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CA4A0">
      <w:pPr>
        <w:pStyle w:val="5"/>
        <w:spacing w:line="360" w:lineRule="auto"/>
        <w:ind w:left="0" w:leftChars="0"/>
        <w:jc w:val="center"/>
        <w:rPr>
          <w:rFonts w:hint="eastAsia" w:ascii="黑体" w:hAnsi="黑体" w:eastAsia="黑体" w:cs="Times New Roman"/>
          <w:b/>
          <w:bCs/>
          <w:sz w:val="48"/>
          <w:szCs w:val="48"/>
        </w:rPr>
      </w:pPr>
      <w:bookmarkStart w:id="0" w:name="_GoBack"/>
      <w:bookmarkEnd w:id="0"/>
    </w:p>
    <w:p w14:paraId="412A777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一、总体需求</w:t>
      </w:r>
    </w:p>
    <w:p w14:paraId="2F1C54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1.项目背景与目标</w:t>
      </w:r>
    </w:p>
    <w:p w14:paraId="6F5F6E8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Style w:val="9"/>
          <w:rFonts w:hint="eastAsia" w:ascii="宋体" w:hAnsi="宋体" w:eastAsia="宋体" w:cs="宋体"/>
          <w:b w:val="0"/>
          <w:bCs w:val="0"/>
          <w:sz w:val="28"/>
          <w:szCs w:val="28"/>
          <w:lang w:eastAsia="zh-CN"/>
        </w:rPr>
      </w:pPr>
      <w:r>
        <w:rPr>
          <w:rStyle w:val="9"/>
          <w:rFonts w:hint="eastAsia" w:ascii="宋体" w:hAnsi="宋体" w:eastAsia="宋体" w:cs="宋体"/>
          <w:b w:val="0"/>
          <w:bCs w:val="0"/>
          <w:sz w:val="28"/>
          <w:szCs w:val="28"/>
          <w:lang w:eastAsia="zh-CN"/>
        </w:rPr>
        <w:t>为深入贯彻党的二十届三中全会关于强化人大预算决算审查监督、国有资产管理及政府债务管理监督的部署要求，对标全国人大常委会预算工委印发的《人大预算联网监督系统基本业务规范》《人大预算联网监督系统指标框架》相关标准，紧扣数字化赋能国家治理现代化发展大势，安阳市人大常委会统筹推进现有预算联网监督系统智能化升级改造与配套指标体系课题研究工作，项目依托人工智能、大数据等前沿技术搭建财务会计监督、预算联网升级、代表场景服务、指标应用中心、智能知识库及各类智能化应用模块，着力构建数据融通、智能高效、场景丰富、服务精准的新型预算联网监督平台，推动预算监督从事后核查转向事前预警、全流程管控，提升监督数字化智能化水平。课题严守依法精准、务实高效原则，立足本地监督痛点，联合智库采用文献梳理、案例论证、定性定量结合等方式，围绕预算编审、执行、调整、决算、审计整改、债务监管全链条重构监督指标、细化规则、探索智能落地路径，分层搭建适配本地的标准化指标体系，逐一明确指标释义、数据源、核算逻辑与预警阈值，同步推进大模型赋能智能审查，最终形成研究报告、指标汇编及配套规程，提炼可复制推广的建设范式，为系统运维、常态化智能监督与经验借鉴夯实理论和实操支撑。</w:t>
      </w:r>
    </w:p>
    <w:p w14:paraId="1F6970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2.总体架构要求</w:t>
      </w:r>
    </w:p>
    <w:p w14:paraId="57684BA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jc w:val="left"/>
        <w:textAlignment w:val="auto"/>
        <w:rPr>
          <w:rStyle w:val="9"/>
          <w:rFonts w:hint="eastAsia" w:ascii="宋体" w:hAnsi="宋体" w:eastAsia="宋体" w:cs="宋体"/>
          <w:b w:val="0"/>
          <w:bCs w:val="0"/>
          <w:sz w:val="28"/>
          <w:szCs w:val="28"/>
          <w:lang w:eastAsia="zh-CN"/>
        </w:rPr>
      </w:pPr>
      <w:r>
        <w:rPr>
          <w:rFonts w:hint="eastAsia" w:ascii="宋体" w:hAnsi="宋体" w:eastAsia="宋体" w:cs="宋体"/>
          <w:b/>
          <w:bCs/>
          <w:kern w:val="0"/>
          <w:sz w:val="28"/>
          <w:szCs w:val="28"/>
          <w:lang w:val="en-US" w:eastAsia="zh-CN" w:bidi="ar"/>
        </w:rPr>
        <w:t>（1）兼容性：</w:t>
      </w:r>
      <w:r>
        <w:rPr>
          <w:rStyle w:val="9"/>
          <w:rFonts w:hint="eastAsia" w:ascii="宋体" w:hAnsi="宋体" w:eastAsia="宋体" w:cs="宋体"/>
          <w:b w:val="0"/>
          <w:bCs w:val="0"/>
          <w:sz w:val="28"/>
          <w:szCs w:val="28"/>
          <w:lang w:eastAsia="zh-CN"/>
        </w:rPr>
        <w:t>系统需适配国产化软硬件环境（信创环境），支持主流国产操作系统、国产数据库及中间件。</w:t>
      </w:r>
    </w:p>
    <w:p w14:paraId="39CEE31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bCs/>
          <w:kern w:val="0"/>
          <w:sz w:val="28"/>
          <w:szCs w:val="28"/>
          <w:lang w:val="en-US" w:eastAsia="zh-CN" w:bidi="ar"/>
        </w:rPr>
        <w:t>（2）安全性：</w:t>
      </w:r>
      <w:r>
        <w:rPr>
          <w:rStyle w:val="9"/>
          <w:rFonts w:hint="eastAsia" w:ascii="宋体" w:hAnsi="宋体" w:eastAsia="宋体" w:cs="宋体"/>
          <w:b w:val="0"/>
          <w:bCs w:val="0"/>
          <w:sz w:val="28"/>
          <w:szCs w:val="28"/>
          <w:lang w:eastAsia="zh-CN"/>
        </w:rPr>
        <w:t>系统需通过商用密码应用安全</w:t>
      </w:r>
      <w:r>
        <w:rPr>
          <w:rFonts w:hint="eastAsia" w:ascii="宋体" w:hAnsi="宋体" w:eastAsia="宋体" w:cs="宋体"/>
          <w:b w:val="0"/>
          <w:bCs w:val="0"/>
          <w:sz w:val="28"/>
          <w:szCs w:val="28"/>
        </w:rPr>
        <w:t>性评估（密评）</w:t>
      </w:r>
      <w:r>
        <w:rPr>
          <w:rFonts w:hint="eastAsia" w:ascii="宋体" w:hAnsi="宋体" w:eastAsia="宋体" w:cs="宋体"/>
          <w:b w:val="0"/>
          <w:bCs w:val="0"/>
          <w:sz w:val="28"/>
          <w:szCs w:val="28"/>
          <w:lang w:eastAsia="zh-CN"/>
        </w:rPr>
        <w:t>。</w:t>
      </w:r>
    </w:p>
    <w:p w14:paraId="7889A7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3.建设范围</w:t>
      </w:r>
    </w:p>
    <w:p w14:paraId="4DF20F6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本项目主要建设内容包括：拓展财务会计监督、预算联网监督升级、代表服务场景应用、指标应用中心、智能化知识库、智能化应用等六大核心业务板块</w:t>
      </w:r>
      <w:r>
        <w:rPr>
          <w:rFonts w:hint="eastAsia" w:ascii="宋体" w:hAnsi="宋体" w:eastAsia="宋体" w:cs="宋体"/>
          <w:b w:val="0"/>
          <w:bCs w:val="0"/>
          <w:sz w:val="28"/>
          <w:szCs w:val="28"/>
          <w:lang w:val="en-US" w:eastAsia="zh-CN"/>
        </w:rPr>
        <w:t>和指标体系建设课题研究</w:t>
      </w:r>
      <w:r>
        <w:rPr>
          <w:rFonts w:hint="eastAsia" w:ascii="宋体" w:hAnsi="宋体" w:eastAsia="宋体" w:cs="宋体"/>
          <w:b w:val="0"/>
          <w:bCs w:val="0"/>
          <w:sz w:val="28"/>
          <w:szCs w:val="28"/>
        </w:rPr>
        <w:t>，以及配套的网络</w:t>
      </w:r>
      <w:r>
        <w:rPr>
          <w:rFonts w:hint="eastAsia" w:ascii="宋体" w:hAnsi="宋体" w:eastAsia="宋体" w:cs="宋体"/>
          <w:b w:val="0"/>
          <w:bCs w:val="0"/>
          <w:sz w:val="28"/>
          <w:szCs w:val="28"/>
          <w:lang w:val="en-US" w:eastAsia="zh-CN"/>
        </w:rPr>
        <w:t>安全</w:t>
      </w:r>
      <w:r>
        <w:rPr>
          <w:rFonts w:hint="eastAsia" w:ascii="宋体" w:hAnsi="宋体" w:eastAsia="宋体" w:cs="宋体"/>
          <w:b w:val="0"/>
          <w:bCs w:val="0"/>
          <w:sz w:val="28"/>
          <w:szCs w:val="28"/>
        </w:rPr>
        <w:t>部署与后期运维服务。</w:t>
      </w:r>
    </w:p>
    <w:p w14:paraId="7829E46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二、具体需求</w:t>
      </w:r>
    </w:p>
    <w:p w14:paraId="610D8F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1.拓展财务会计监督</w:t>
      </w:r>
    </w:p>
    <w:p w14:paraId="1469161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对接</w:t>
      </w:r>
      <w:r>
        <w:rPr>
          <w:rFonts w:hint="eastAsia" w:ascii="宋体" w:hAnsi="宋体" w:eastAsia="宋体" w:cs="宋体"/>
          <w:b w:val="0"/>
          <w:bCs w:val="0"/>
          <w:sz w:val="28"/>
          <w:szCs w:val="28"/>
          <w:lang w:val="en-US" w:eastAsia="zh-CN"/>
        </w:rPr>
        <w:t>财政</w:t>
      </w:r>
      <w:r>
        <w:rPr>
          <w:rFonts w:hint="eastAsia" w:ascii="宋体" w:hAnsi="宋体" w:eastAsia="宋体" w:cs="宋体"/>
          <w:b w:val="0"/>
          <w:bCs w:val="0"/>
          <w:sz w:val="28"/>
          <w:szCs w:val="28"/>
        </w:rPr>
        <w:t>预算</w:t>
      </w:r>
      <w:r>
        <w:rPr>
          <w:rFonts w:hint="eastAsia" w:ascii="宋体" w:hAnsi="宋体" w:eastAsia="宋体" w:cs="宋体"/>
          <w:b w:val="0"/>
          <w:bCs w:val="0"/>
          <w:sz w:val="28"/>
          <w:szCs w:val="28"/>
          <w:lang w:val="en-US" w:eastAsia="zh-CN"/>
        </w:rPr>
        <w:t>管理</w:t>
      </w:r>
      <w:r>
        <w:rPr>
          <w:rFonts w:hint="eastAsia" w:ascii="宋体" w:hAnsi="宋体" w:eastAsia="宋体" w:cs="宋体"/>
          <w:b w:val="0"/>
          <w:bCs w:val="0"/>
          <w:sz w:val="28"/>
          <w:szCs w:val="28"/>
        </w:rPr>
        <w:t>一体化财务数据，依托数据复算引擎按照财政总预算会计制度和政府会计制度重构生成两套独立的账簿与报表体系，支持全链路数据溯源与穿透查询，并配套校验规则保障数据合规。总预算会计监督聚焦账户规范管理、会计基础信息、会计循环关系、财政资金保障能力、重点会计科目、决算批复执行六大维度开展全流程监管，构建投资、债务、上下级、收支四大会计循环监督图谱，强化资金核算、债务监测及科目勾稽分析能力，跟踪决算审查意见整改以形成监督闭环。部门预算会计监督搭建单位财务核算全链条监督体系，实现总账、明细账、会计凭证的灵活查询与深度穿透核查，打造厉行节约专题监督模块，对“三公”经费及一般性支出开展量化监控与异常预警；同时跟踪重点支出进度与合规性，为重点单位建立专属档案并生成支出画像，推动实现差异化、常态化的精准监督。</w:t>
      </w:r>
    </w:p>
    <w:p w14:paraId="1758609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jc w:val="left"/>
        <w:textAlignment w:val="auto"/>
        <w:outlineLvl w:val="3"/>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2.预算联网监督系统升级</w:t>
      </w:r>
    </w:p>
    <w:p w14:paraId="5F646C8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开展预算联网监督系统升级，搭建涵盖预决算审查、国资管理、政府债务管控、审计整改跟踪四大板块的全链条智能人大监督体系。预决算审查覆盖四本预算全生命周期及部门预决算精细核查；国资监管贯通行政事业、企业、金融、自然资源四类资产，依托可视化大屏、制式报告、整改跟踪实现全域监管；政府债务围绕举借、使用、付息、偿还全流程，配套报表、规模监测、风险研判、智能出报及法规查阅功能；审计整改形成计划、审议、研判、督办闭环，做到问题溯源整改全留痕。系统依托数据归集、智能预警、简易操作，赋能人大履职，助力人大监督提质增效，守护财政资金合规运行与国有资产保值增值。</w:t>
      </w:r>
    </w:p>
    <w:p w14:paraId="7D9C15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3.代表服务场景应用</w:t>
      </w:r>
    </w:p>
    <w:p w14:paraId="65A532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以代表履职需求为导向，全面拓展多元化服务场景：代表联络站模块提供预决算查询、政策检索及意见提交等功能，依托跨部门数据共享机制支撑精准监督；重大民生实事项目模块实现从进展可视化、材料规范审核到动态督办的全链条闭环管理，并结合预算一体化数据深度核查资金使用情况；移动监督终端板块紧扣“掌上履职”需求，提升预算监督的便捷性与精准度。</w:t>
      </w:r>
      <w:r>
        <w:rPr>
          <w:rFonts w:hint="eastAsia" w:ascii="宋体" w:hAnsi="宋体" w:eastAsia="宋体" w:cs="宋体"/>
          <w:b w:val="0"/>
          <w:bCs w:val="0"/>
          <w:sz w:val="28"/>
          <w:szCs w:val="28"/>
          <w:lang w:val="en-US" w:eastAsia="zh-CN"/>
        </w:rPr>
        <w:t>本次</w:t>
      </w:r>
      <w:r>
        <w:rPr>
          <w:rFonts w:hint="eastAsia" w:ascii="宋体" w:hAnsi="宋体" w:eastAsia="宋体" w:cs="宋体"/>
          <w:b w:val="0"/>
          <w:bCs w:val="0"/>
          <w:sz w:val="28"/>
          <w:szCs w:val="28"/>
        </w:rPr>
        <w:t>代表联络站建设在林州市、安阳县、滑县、内黄县、汤阴县、文峰区、北关区、殷都区、龙安区共9个地点，每个地点设置2个试点，合计18个试点，对18个试点进行代表联络站监督终端建设</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根据联络站所属行政区域自动过滤展示本区域的预算数据和项目信息</w:t>
      </w:r>
      <w:r>
        <w:rPr>
          <w:rFonts w:hint="eastAsia" w:ascii="宋体" w:hAnsi="宋体" w:eastAsia="宋体" w:cs="宋体"/>
          <w:b w:val="0"/>
          <w:bCs w:val="0"/>
          <w:sz w:val="28"/>
          <w:szCs w:val="28"/>
          <w:lang w:eastAsia="zh-CN"/>
        </w:rPr>
        <w:t>。</w:t>
      </w:r>
    </w:p>
    <w:p w14:paraId="202F34A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textAlignment w:val="auto"/>
        <w:outlineLvl w:val="3"/>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4.指标应用中心</w:t>
      </w:r>
    </w:p>
    <w:p w14:paraId="105A241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sz w:val="28"/>
          <w:szCs w:val="28"/>
        </w:rPr>
        <w:t>依托海量政策文献资料构建智能化知识底座，通过引入AI大模型技术实现监督指标的自动提取、修正量化与全生命周期管理，并参照全国人大监督框架紧密结合安阳市实际，搭建一套标准化、可动态更新的监督指标体系。模块立足当下预决算审查、执行、调整、决算、专项监督等全品类核心业务，完成标准化指标体系的全域搭建与智能化赋能落地，实现监督指标智能管控、数据联动分析、风险精准研判、监督成果规整输出的全流程闭环能力。平台采用先进的开放式整体架构与分层模块化设计，深度夯实指标体系底层基座、数据治理基础与业务适配框架，完善跨层级、跨部门、跨业务的协同支撑能力。依托成熟的基础架构体系，可支撑后续持续深耕细分监督领域、丰富监督指标维度、健全分级分类监督标准、完善全域监督治理体系，逐步构建全方位、多层次、立体化的智慧监督治理格局，为人大监督工作体系提质增效、全域深化建设筑牢核心底座支撑</w:t>
      </w:r>
      <w:r>
        <w:rPr>
          <w:rFonts w:hint="eastAsia" w:ascii="宋体" w:hAnsi="宋体" w:eastAsia="宋体" w:cs="宋体"/>
          <w:b w:val="0"/>
          <w:bCs w:val="0"/>
          <w:sz w:val="28"/>
          <w:szCs w:val="28"/>
        </w:rPr>
        <w:t>。</w:t>
      </w:r>
    </w:p>
    <w:p w14:paraId="75D56BB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200"/>
        <w:textAlignment w:val="auto"/>
        <w:outlineLvl w:val="3"/>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5.智能化知识库</w:t>
      </w:r>
    </w:p>
    <w:p w14:paraId="38EB883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依托大模型算法、智能检索、知识图谱构建等前沿数字化技术，搭建一体化、复合型、体系化的智能知识服务平台。系统全面归集国家及地方政策法规、行业监督标准、履职工作规范、典型监督案例、地方特色履职资源等多维度权威资料，搭建涵盖通用知识、专项知识、地方特色知识的全域知识资源体系，形成标准化、结构化、精细化的智慧知识底座。深度搭建标准化知识治理体系、全流程业务管控体系和智能化知识赋能体系，完善多层次知识分类管理、权限管控、智能调用机制，夯实知识赋能的底层基础。依托完备的知识基座与业务架构，能够持续充实各类监督领域知识资源、完善知识应用场景、深化知识与监督业务的深度融合，持续健全人大监督数字化履职管理体系，全方位夯实智慧监督工作的知识支撑与流程保障。</w:t>
      </w:r>
    </w:p>
    <w:p w14:paraId="3BAA67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6.智能化应用</w:t>
      </w:r>
    </w:p>
    <w:p w14:paraId="1A39D2C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sz w:val="28"/>
          <w:szCs w:val="28"/>
        </w:rPr>
        <w:t>搭建人大预决算智能监督场景落地、业务赋能、决策支撑的核心应用载体，以全域智能赋能、全场景业务适配、全流程提质增效为建设核心，采用模块化、微服务化的先进架构设计，搭建一体化智慧监督应用服务平台。平台深度贴合人大预算监督全品类履职场景，整合前沿人工智能技术能力，构建覆盖日常业务办理、海量数据治理、智能分析研判、科学辅助决策、风险防控预警、问题整改督办的完整智能服务体系，全方位赋能传统监督业务数字化、智慧化转型。系统深度优化底层技术架构、数据交互机制、业务适配能力和智能服务逻辑，完善多维度智能服务能力、全场景业务适配体系和跨系统协同联动机制，筑牢平台智能化、场景化、精细化服务的技术基础。依托成熟的平台架构与技术基底，能够持续深挖监督业务赋能场景、丰富智能化服务矩阵、深化数据与智能技术的融合应用、健全智慧监督决策支撑体系，持续完善全域智慧监督服务格局，全面提升人大预决算监督履职的数字化、智能化、现代化水平</w:t>
      </w:r>
      <w:r>
        <w:rPr>
          <w:rFonts w:hint="eastAsia" w:ascii="宋体" w:hAnsi="宋体" w:eastAsia="宋体" w:cs="宋体"/>
          <w:b w:val="0"/>
          <w:bCs w:val="0"/>
          <w:sz w:val="28"/>
          <w:szCs w:val="28"/>
        </w:rPr>
        <w:t>。</w:t>
      </w:r>
    </w:p>
    <w:p w14:paraId="6151465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7.指标体系建设课题研究</w:t>
      </w:r>
    </w:p>
    <w:p w14:paraId="7C085F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开展指标体系建设课题研究，紧扣全国人大预算联网监督建设规范等相关要求，立足安阳市人大预算审查监督工作实际痛点，依托</w:t>
      </w:r>
      <w:r>
        <w:rPr>
          <w:rFonts w:hint="eastAsia" w:ascii="宋体" w:hAnsi="宋体" w:eastAsia="宋体" w:cs="宋体"/>
          <w:b w:val="0"/>
          <w:bCs w:val="0"/>
          <w:sz w:val="28"/>
          <w:szCs w:val="28"/>
          <w:lang w:val="en-US" w:eastAsia="zh-CN"/>
        </w:rPr>
        <w:t>国内顶级的专业研究机构</w:t>
      </w:r>
      <w:r>
        <w:rPr>
          <w:rFonts w:hint="eastAsia" w:ascii="宋体" w:hAnsi="宋体" w:eastAsia="宋体" w:cs="宋体"/>
          <w:b w:val="0"/>
          <w:bCs w:val="0"/>
          <w:sz w:val="28"/>
          <w:szCs w:val="28"/>
        </w:rPr>
        <w:t>，遵循依法监督、精准监督、务实高效的原则，综合运用文献研究、实地调研、案例分析、专家论证、定性与定量结合等研究方法，系统开展预算监督指标体系重构、核心指标逻辑规范、智能化应用场景探索等研究工作。重点围绕预算审查、预算执行、预算调整、决算审查、审计整改、政府债务监督等全业务环节，搭建层级清晰、法理充分、贴合安阳本地实际的标准化监督指标体系，明确各项指标的定义、数据来源、计算规则与预警阈值，同步探索大模型智能审查场景落地应用路径，形成可复制、可推广的基层人大预算联网监督建设标准与工作规范。课题最终形成《安阳市人大预算联网监督系统指标体系研究报告》《预算审查监督指标库汇编》及配套工作规程成果，为系统智能化建设、常态化监督应用及区域经验推广提供坚实理论支撑与实践依据。</w:t>
      </w:r>
    </w:p>
    <w:p w14:paraId="6E05EB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三、工期要求</w:t>
      </w:r>
    </w:p>
    <w:p w14:paraId="6B978DA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项目建设周期：合同签订生效后，</w:t>
      </w:r>
      <w:r>
        <w:rPr>
          <w:rFonts w:hint="default" w:ascii="宋体" w:hAnsi="宋体" w:eastAsia="宋体" w:cs="宋体"/>
          <w:b w:val="0"/>
          <w:bCs w:val="0"/>
          <w:sz w:val="28"/>
          <w:szCs w:val="28"/>
          <w:lang w:val="en"/>
        </w:rPr>
        <w:t>2026</w:t>
      </w:r>
      <w:r>
        <w:rPr>
          <w:rFonts w:hint="eastAsia" w:ascii="宋体" w:hAnsi="宋体" w:eastAsia="宋体" w:cs="宋体"/>
          <w:b w:val="0"/>
          <w:bCs w:val="0"/>
          <w:sz w:val="28"/>
          <w:szCs w:val="28"/>
          <w:lang w:val="en" w:eastAsia="zh-CN"/>
        </w:rPr>
        <w:t>年</w:t>
      </w:r>
      <w:r>
        <w:rPr>
          <w:rFonts w:hint="eastAsia" w:ascii="宋体" w:hAnsi="宋体" w:eastAsia="宋体" w:cs="宋体"/>
          <w:b w:val="0"/>
          <w:bCs w:val="0"/>
          <w:sz w:val="28"/>
          <w:szCs w:val="28"/>
          <w:lang w:val="en-US" w:eastAsia="zh-CN"/>
        </w:rPr>
        <w:t>8月底前</w:t>
      </w:r>
      <w:r>
        <w:rPr>
          <w:rFonts w:hint="eastAsia" w:ascii="宋体" w:hAnsi="宋体" w:eastAsia="宋体" w:cs="宋体"/>
          <w:b w:val="0"/>
          <w:bCs w:val="0"/>
          <w:sz w:val="28"/>
          <w:szCs w:val="28"/>
        </w:rPr>
        <w:t>完成系统开发、部署、数据迁移、试运行及</w:t>
      </w:r>
      <w:r>
        <w:rPr>
          <w:rFonts w:hint="eastAsia" w:ascii="宋体" w:hAnsi="宋体" w:eastAsia="宋体" w:cs="宋体"/>
          <w:b w:val="0"/>
          <w:bCs w:val="0"/>
          <w:sz w:val="28"/>
          <w:szCs w:val="28"/>
          <w:lang w:eastAsia="zh-CN"/>
        </w:rPr>
        <w:t>成果总结工作</w:t>
      </w:r>
      <w:r>
        <w:rPr>
          <w:rFonts w:hint="eastAsia" w:ascii="宋体" w:hAnsi="宋体" w:eastAsia="宋体" w:cs="宋体"/>
          <w:b w:val="0"/>
          <w:bCs w:val="0"/>
          <w:sz w:val="28"/>
          <w:szCs w:val="28"/>
        </w:rPr>
        <w:t>。</w:t>
      </w:r>
    </w:p>
    <w:p w14:paraId="25B83D3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2" w:firstLineChars="200"/>
        <w:textAlignment w:val="auto"/>
        <w:rPr>
          <w:rFonts w:hint="eastAsia" w:ascii="宋体" w:hAnsi="宋体" w:eastAsia="宋体" w:cs="宋体"/>
          <w:b w:val="0"/>
          <w:bCs w:val="0"/>
          <w:sz w:val="28"/>
          <w:szCs w:val="28"/>
        </w:rPr>
      </w:pPr>
      <w:r>
        <w:rPr>
          <w:rFonts w:hint="eastAsia" w:ascii="宋体" w:hAnsi="宋体" w:eastAsia="宋体" w:cs="宋体"/>
          <w:b/>
          <w:bCs/>
          <w:sz w:val="28"/>
          <w:szCs w:val="28"/>
        </w:rPr>
        <w:t>四、后期运维</w:t>
      </w:r>
    </w:p>
    <w:p w14:paraId="16938D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运维服务期限：项目验收合格之日起</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年。</w:t>
      </w:r>
    </w:p>
    <w:p w14:paraId="233D6042">
      <w:pPr>
        <w:keepNext w:val="0"/>
        <w:keepLines w:val="0"/>
        <w:pageBreakBefore w:val="0"/>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B6936"/>
    <w:multiLevelType w:val="multilevel"/>
    <w:tmpl w:val="7ABB6936"/>
    <w:lvl w:ilvl="0" w:tentative="0">
      <w:start w:val="1"/>
      <w:numFmt w:val="chineseCountingThousand"/>
      <w:lvlText w:val="%1、"/>
      <w:lvlJc w:val="left"/>
      <w:pPr>
        <w:ind w:left="432" w:hanging="432"/>
      </w:pPr>
      <w:rPr>
        <w:rFonts w:hint="eastAsia"/>
      </w:rPr>
    </w:lvl>
    <w:lvl w:ilvl="1" w:tentative="0">
      <w:start w:val="1"/>
      <w:numFmt w:val="decimal"/>
      <w:pStyle w:val="2"/>
      <w:lvlText w:val="%2."/>
      <w:lvlJc w:val="left"/>
      <w:pPr>
        <w:ind w:left="576" w:hanging="576"/>
      </w:pPr>
      <w:rPr>
        <w:rFonts w:hint="default" w:ascii="Times New Roman" w:hAnsi="Times New Roman" w:cs="Times New Roman"/>
      </w:rPr>
    </w:lvl>
    <w:lvl w:ilvl="2" w:tentative="0">
      <w:start w:val="1"/>
      <w:numFmt w:val="decimal"/>
      <w:lvlText w:val="%2.%3."/>
      <w:lvlJc w:val="left"/>
      <w:pPr>
        <w:ind w:left="0" w:firstLine="0"/>
      </w:pPr>
      <w:rPr>
        <w:rFonts w:hint="eastAsia"/>
      </w:rPr>
    </w:lvl>
    <w:lvl w:ilvl="3" w:tentative="0">
      <w:start w:val="1"/>
      <w:numFmt w:val="decimal"/>
      <w:lvlText w:val="%2.%3.%4."/>
      <w:lvlJc w:val="left"/>
      <w:pPr>
        <w:ind w:left="864" w:hanging="864"/>
      </w:pPr>
      <w:rPr>
        <w:rFonts w:hint="eastAsia"/>
      </w:rPr>
    </w:lvl>
    <w:lvl w:ilvl="4" w:tentative="0">
      <w:start w:val="1"/>
      <w:numFmt w:val="decimal"/>
      <w:lvlText w:val="%2.%3.%4.%5."/>
      <w:lvlJc w:val="left"/>
      <w:pPr>
        <w:ind w:left="1008" w:hanging="1008"/>
      </w:pPr>
      <w:rPr>
        <w:rFonts w:hint="eastAsia"/>
      </w:rPr>
    </w:lvl>
    <w:lvl w:ilvl="5" w:tentative="0">
      <w:start w:val="1"/>
      <w:numFmt w:val="decimal"/>
      <w:lvlText w:val="%2.%3.%4.%5.%6."/>
      <w:lvlJc w:val="left"/>
      <w:pPr>
        <w:ind w:left="1152" w:hanging="1152"/>
      </w:pPr>
      <w:rPr>
        <w:rFonts w:hint="eastAsia"/>
      </w:rPr>
    </w:lvl>
    <w:lvl w:ilvl="6" w:tentative="0">
      <w:start w:val="1"/>
      <w:numFmt w:val="decimal"/>
      <w:lvlText w:val="%2.%3.%4.%5.%6.%7."/>
      <w:lvlJc w:val="left"/>
      <w:pPr>
        <w:ind w:left="1296" w:hanging="1296"/>
      </w:pPr>
      <w:rPr>
        <w:rFonts w:hint="eastAsia"/>
      </w:rPr>
    </w:lvl>
    <w:lvl w:ilvl="7" w:tentative="0">
      <w:start w:val="1"/>
      <w:numFmt w:val="decimal"/>
      <w:lvlText w:val="%2.%3.%4.%5.%6.%7.%8."/>
      <w:lvlJc w:val="left"/>
      <w:pPr>
        <w:ind w:left="1440" w:hanging="1440"/>
      </w:pPr>
      <w:rPr>
        <w:rFonts w:hint="eastAsia"/>
      </w:rPr>
    </w:lvl>
    <w:lvl w:ilvl="8" w:tentative="0">
      <w:start w:val="1"/>
      <w:numFmt w:val="decimal"/>
      <w:lvlText w:val="%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dit="forms" w:formatting="1" w:enforcement="1" w:cryptProviderType="rsaFull" w:cryptAlgorithmClass="hash" w:cryptAlgorithmType="typeAny" w:cryptAlgorithmSid="4" w:cryptSpinCount="0" w:hash="oxMs0fHO0YmAPB5MU8IWgKpUkK0=" w:salt="bf2M22YQ5f3UaTFrTMtl3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A227F"/>
    <w:rsid w:val="019B0255"/>
    <w:rsid w:val="03883FE0"/>
    <w:rsid w:val="04ED064B"/>
    <w:rsid w:val="062067FE"/>
    <w:rsid w:val="0D350DE1"/>
    <w:rsid w:val="134D31B8"/>
    <w:rsid w:val="13D04A18"/>
    <w:rsid w:val="25CE54D7"/>
    <w:rsid w:val="26AD2EBB"/>
    <w:rsid w:val="2FDA0814"/>
    <w:rsid w:val="311A6C35"/>
    <w:rsid w:val="3672758E"/>
    <w:rsid w:val="39271F4F"/>
    <w:rsid w:val="3FBF43B6"/>
    <w:rsid w:val="43EF0FE2"/>
    <w:rsid w:val="49211C3E"/>
    <w:rsid w:val="4AFD326F"/>
    <w:rsid w:val="4B944949"/>
    <w:rsid w:val="4D063625"/>
    <w:rsid w:val="4D823D68"/>
    <w:rsid w:val="4DF058C7"/>
    <w:rsid w:val="52FC54DA"/>
    <w:rsid w:val="594E53E5"/>
    <w:rsid w:val="5D6C356E"/>
    <w:rsid w:val="5DFE9B0C"/>
    <w:rsid w:val="62AE40EB"/>
    <w:rsid w:val="66AD1462"/>
    <w:rsid w:val="6B543355"/>
    <w:rsid w:val="6BAA227F"/>
    <w:rsid w:val="705362D1"/>
    <w:rsid w:val="72DD44C7"/>
    <w:rsid w:val="77492C18"/>
    <w:rsid w:val="7CAA116B"/>
    <w:rsid w:val="7D7F3A88"/>
    <w:rsid w:val="7FDF4110"/>
    <w:rsid w:val="CFF7E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120" w:after="120" w:line="415"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3277</Words>
  <Characters>3293</Characters>
  <Lines>0</Lines>
  <Paragraphs>0</Paragraphs>
  <TotalTime>2</TotalTime>
  <ScaleCrop>false</ScaleCrop>
  <LinksUpToDate>false</LinksUpToDate>
  <CharactersWithSpaces>3293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2026-06-04T03:33:00Z</dcterms:created>
  <dc:creator>亚洲</dc:creator>
  <cp:lastModifiedBy>Administrator</cp:lastModifiedBy>
  <dcterms:modified xsi:type="dcterms:W3CDTF">2026-06-05T01:51:32Z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1CAACF3F62F043B9886CCB2954408ABC_13</vt:lpwstr>
  </property>
  <property fmtid="{D5CDD505-2E9C-101B-9397-08002B2CF9AE}" pid="4" name="KSOTemplateDocerSaveRecord">
    <vt:lpwstr>eyJoZGlkIjoiYWViYWFjMDEyOWIxMDRiMzJjNmM0MTE3OGZjYjA0YjkifQ==</vt:lpwstr>
  </property>
</Properties>
</file>