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48A9C">
      <w:pPr>
        <w:widowControl w:val="0"/>
        <w:snapToGrid w:val="0"/>
        <w:spacing w:line="560" w:lineRule="exact"/>
        <w:jc w:val="center"/>
        <w:outlineLvl w:val="0"/>
        <w:rPr>
          <w:rFonts w:hint="eastAsia" w:eastAsia="黑体"/>
          <w:b/>
          <w:color w:val="auto"/>
          <w:sz w:val="36"/>
          <w:szCs w:val="36"/>
          <w:highlight w:val="none"/>
        </w:rPr>
      </w:pPr>
      <w:r>
        <w:rPr>
          <w:rFonts w:hint="eastAsia" w:eastAsia="黑体"/>
          <w:b/>
          <w:color w:val="auto"/>
          <w:sz w:val="36"/>
          <w:szCs w:val="36"/>
          <w:highlight w:val="none"/>
        </w:rPr>
        <w:t>安阳市公安局交通管理支队机动车号牌项目</w:t>
      </w:r>
    </w:p>
    <w:p w14:paraId="6C186F88">
      <w:pPr>
        <w:widowControl w:val="0"/>
        <w:snapToGrid w:val="0"/>
        <w:spacing w:line="560" w:lineRule="exact"/>
        <w:jc w:val="center"/>
        <w:outlineLvl w:val="0"/>
        <w:rPr>
          <w:color w:val="auto"/>
          <w:sz w:val="36"/>
          <w:szCs w:val="36"/>
          <w:highlight w:val="none"/>
        </w:rPr>
      </w:pPr>
      <w:r>
        <w:rPr>
          <w:rFonts w:hint="eastAsia" w:eastAsia="黑体"/>
          <w:b/>
          <w:color w:val="auto"/>
          <w:sz w:val="36"/>
          <w:szCs w:val="36"/>
          <w:highlight w:val="none"/>
        </w:rPr>
        <w:t>招标公告</w:t>
      </w:r>
    </w:p>
    <w:p w14:paraId="6178013A">
      <w:pPr>
        <w:widowControl w:val="0"/>
        <w:adjustRightInd w:val="0"/>
        <w:snapToGrid w:val="0"/>
        <w:spacing w:line="360" w:lineRule="auto"/>
        <w:ind w:firstLine="632" w:firstLineChars="225"/>
        <w:jc w:val="left"/>
        <w:rPr>
          <w:rFonts w:ascii="黑体" w:hAnsi="黑体" w:eastAsia="黑体"/>
          <w:b/>
          <w:color w:val="auto"/>
          <w:sz w:val="28"/>
          <w:szCs w:val="28"/>
          <w:highlight w:val="none"/>
        </w:rPr>
      </w:pPr>
      <w:bookmarkStart w:id="22" w:name="_GoBack"/>
      <w:bookmarkEnd w:id="22"/>
    </w:p>
    <w:p w14:paraId="4D17DD0E">
      <w:pPr>
        <w:widowControl w:val="0"/>
        <w:adjustRightInd w:val="0"/>
        <w:snapToGrid w:val="0"/>
        <w:spacing w:line="360" w:lineRule="auto"/>
        <w:ind w:firstLine="632" w:firstLineChars="225"/>
        <w:jc w:val="left"/>
        <w:rPr>
          <w:rFonts w:ascii="黑体" w:hAnsi="黑体" w:eastAsia="黑体"/>
          <w:b/>
          <w:color w:val="auto"/>
          <w:sz w:val="28"/>
          <w:szCs w:val="28"/>
          <w:highlight w:val="none"/>
        </w:rPr>
      </w:pPr>
      <w:r>
        <w:rPr>
          <w:rFonts w:hint="eastAsia" w:ascii="黑体" w:hAnsi="黑体" w:eastAsia="黑体"/>
          <w:b/>
          <w:color w:val="auto"/>
          <w:sz w:val="28"/>
          <w:szCs w:val="28"/>
          <w:highlight w:val="none"/>
        </w:rPr>
        <w:t>1.项目基本情况</w:t>
      </w:r>
    </w:p>
    <w:p w14:paraId="1CF62CD0">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1.1</w:t>
      </w:r>
      <w:r>
        <w:rPr>
          <w:rFonts w:hint="eastAsia" w:ascii="宋体" w:hAnsi="宋体"/>
          <w:color w:val="auto"/>
          <w:sz w:val="24"/>
          <w:szCs w:val="24"/>
          <w:highlight w:val="none"/>
        </w:rPr>
        <w:t xml:space="preserve">项目编号：安财招标采购-2026-16 </w:t>
      </w:r>
    </w:p>
    <w:p w14:paraId="50244F8C">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1.2</w:t>
      </w:r>
      <w:r>
        <w:rPr>
          <w:rFonts w:hint="eastAsia" w:ascii="宋体" w:hAnsi="宋体"/>
          <w:color w:val="auto"/>
          <w:sz w:val="24"/>
          <w:szCs w:val="24"/>
          <w:highlight w:val="none"/>
        </w:rPr>
        <w:t>项目名称：安阳市公安局交通管理支队机动车号牌项目</w:t>
      </w:r>
    </w:p>
    <w:p w14:paraId="14B516BF">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1.3采购方式：公开招标</w:t>
      </w:r>
    </w:p>
    <w:p w14:paraId="32282CDC">
      <w:pPr>
        <w:widowControl w:val="0"/>
        <w:adjustRightInd w:val="0"/>
        <w:snapToGrid w:val="0"/>
        <w:spacing w:line="360" w:lineRule="auto"/>
        <w:ind w:firstLine="540" w:firstLineChars="225"/>
        <w:jc w:val="left"/>
        <w:rPr>
          <w:rFonts w:hint="default" w:ascii="宋体" w:hAnsi="宋体" w:eastAsia="宋体"/>
          <w:color w:val="auto"/>
          <w:sz w:val="24"/>
          <w:szCs w:val="24"/>
          <w:highlight w:val="none"/>
          <w:lang w:val="en-US" w:eastAsia="zh-CN"/>
        </w:rPr>
      </w:pPr>
      <w:r>
        <w:rPr>
          <w:rFonts w:ascii="宋体" w:hAnsi="宋体"/>
          <w:color w:val="auto"/>
          <w:sz w:val="24"/>
          <w:szCs w:val="24"/>
          <w:highlight w:val="none"/>
        </w:rPr>
        <w:t>1.</w:t>
      </w:r>
      <w:r>
        <w:rPr>
          <w:rFonts w:hint="eastAsia" w:ascii="宋体" w:hAnsi="宋体"/>
          <w:color w:val="auto"/>
          <w:sz w:val="24"/>
          <w:szCs w:val="24"/>
          <w:highlight w:val="none"/>
        </w:rPr>
        <w:t>4预算金额：</w:t>
      </w:r>
      <w:r>
        <w:rPr>
          <w:rFonts w:hint="eastAsia" w:ascii="宋体" w:hAnsi="宋体"/>
          <w:color w:val="auto"/>
          <w:sz w:val="24"/>
          <w:szCs w:val="24"/>
          <w:highlight w:val="none"/>
          <w:lang w:val="en-US" w:eastAsia="zh-CN"/>
        </w:rPr>
        <w:t>6910297.2</w:t>
      </w:r>
      <w:r>
        <w:rPr>
          <w:rFonts w:hint="eastAsia" w:ascii="宋体" w:hAnsi="宋体"/>
          <w:color w:val="auto"/>
          <w:sz w:val="24"/>
          <w:szCs w:val="24"/>
          <w:highlight w:val="none"/>
        </w:rPr>
        <w:t>元</w:t>
      </w:r>
    </w:p>
    <w:p w14:paraId="28A013A5">
      <w:pPr>
        <w:adjustRightInd w:val="0"/>
        <w:snapToGrid w:val="0"/>
        <w:spacing w:line="360" w:lineRule="auto"/>
        <w:ind w:firstLine="540" w:firstLineChars="225"/>
        <w:rPr>
          <w:rFonts w:ascii="宋体"/>
          <w:b/>
          <w:color w:val="auto"/>
          <w:szCs w:val="21"/>
          <w:highlight w:val="none"/>
        </w:rPr>
      </w:pPr>
      <w:r>
        <w:rPr>
          <w:rFonts w:hint="eastAsia" w:ascii="宋体" w:hAnsi="宋体"/>
          <w:color w:val="auto"/>
          <w:sz w:val="24"/>
          <w:szCs w:val="24"/>
          <w:highlight w:val="none"/>
        </w:rPr>
        <w:t>1.5采购需求（详见法定媒体公告附件）：</w:t>
      </w:r>
      <w:r>
        <w:rPr>
          <w:rFonts w:hint="eastAsia" w:ascii="宋体" w:hAnsi="宋体" w:cs="微软雅黑"/>
          <w:color w:val="auto"/>
          <w:sz w:val="24"/>
          <w:szCs w:val="24"/>
          <w:highlight w:val="none"/>
        </w:rPr>
        <w:t>按省公安机关交通管理部门的规定订购号牌半成品</w:t>
      </w:r>
      <w:r>
        <w:rPr>
          <w:rFonts w:hint="eastAsia" w:ascii="宋体" w:hAnsi="宋体"/>
          <w:color w:val="auto"/>
          <w:sz w:val="24"/>
          <w:szCs w:val="24"/>
          <w:highlight w:val="none"/>
        </w:rPr>
        <w:t>，加工成成品并协助交管部门发放给用户并安装，服务期三年。</w:t>
      </w:r>
    </w:p>
    <w:p w14:paraId="56E21D33">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1.6合同履行期限：详见招标文件第二章</w:t>
      </w:r>
    </w:p>
    <w:p w14:paraId="00ACC47A">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1.7本项目（是/否）接受联合体投标：否</w:t>
      </w:r>
    </w:p>
    <w:p w14:paraId="154ABC1B">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1.8是否接受进口产品：否</w:t>
      </w:r>
    </w:p>
    <w:p w14:paraId="069FFAD8">
      <w:pPr>
        <w:widowControl w:val="0"/>
        <w:snapToGrid w:val="0"/>
        <w:spacing w:line="560" w:lineRule="exact"/>
        <w:jc w:val="left"/>
        <w:rPr>
          <w:rFonts w:ascii="宋体" w:hAnsi="宋体"/>
          <w:b/>
          <w:color w:val="auto"/>
          <w:sz w:val="24"/>
          <w:szCs w:val="24"/>
          <w:highlight w:val="none"/>
        </w:rPr>
      </w:pPr>
    </w:p>
    <w:p w14:paraId="08FDB4BA">
      <w:pPr>
        <w:widowControl w:val="0"/>
        <w:snapToGrid w:val="0"/>
        <w:spacing w:line="360" w:lineRule="auto"/>
        <w:ind w:firstLine="562" w:firstLineChars="200"/>
        <w:rPr>
          <w:rFonts w:ascii="黑体" w:hAnsi="黑体" w:eastAsia="黑体"/>
          <w:b/>
          <w:color w:val="auto"/>
          <w:sz w:val="28"/>
          <w:szCs w:val="28"/>
          <w:highlight w:val="none"/>
        </w:rPr>
      </w:pPr>
      <w:bookmarkStart w:id="0" w:name="_Toc28359080"/>
      <w:bookmarkStart w:id="1" w:name="_Toc28359003"/>
      <w:bookmarkStart w:id="2" w:name="_Toc35393622"/>
      <w:bookmarkStart w:id="3" w:name="_Toc35393791"/>
      <w:r>
        <w:rPr>
          <w:rFonts w:hint="eastAsia" w:ascii="黑体" w:hAnsi="黑体" w:eastAsia="黑体"/>
          <w:b/>
          <w:color w:val="auto"/>
          <w:sz w:val="28"/>
          <w:szCs w:val="28"/>
          <w:highlight w:val="none"/>
        </w:rPr>
        <w:t>2.申请人的资格要求：</w:t>
      </w:r>
      <w:bookmarkEnd w:id="0"/>
      <w:bookmarkEnd w:id="1"/>
      <w:bookmarkEnd w:id="2"/>
      <w:bookmarkEnd w:id="3"/>
    </w:p>
    <w:p w14:paraId="4A09486A">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2.1满足《中华人民共和国政府采购法》第二十二条规定；</w:t>
      </w:r>
    </w:p>
    <w:p w14:paraId="4B9C0BE5">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2.2落实政府采购政策需满足的资格要求：本项目专门面向中小企业采购，■提供《中小企业声明函》。</w:t>
      </w:r>
    </w:p>
    <w:p w14:paraId="52A8C884">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2.3本项目的特定资格要求：</w:t>
      </w:r>
    </w:p>
    <w:p w14:paraId="6A177390">
      <w:pPr>
        <w:widowControl w:val="0"/>
        <w:adjustRightInd w:val="0"/>
        <w:snapToGrid w:val="0"/>
        <w:spacing w:line="360" w:lineRule="auto"/>
        <w:ind w:firstLine="540" w:firstLineChars="225"/>
        <w:jc w:val="left"/>
        <w:rPr>
          <w:rFonts w:ascii="宋体"/>
          <w:color w:val="auto"/>
          <w:sz w:val="24"/>
          <w:szCs w:val="24"/>
          <w:highlight w:val="none"/>
        </w:rPr>
      </w:pPr>
      <w:r>
        <w:rPr>
          <w:rFonts w:hint="eastAsia" w:ascii="宋体" w:hAnsi="宋体"/>
          <w:color w:val="auto"/>
          <w:sz w:val="24"/>
          <w:szCs w:val="24"/>
          <w:highlight w:val="none"/>
        </w:rPr>
        <w:t>2.3.1满足《中华人民共和国政府采购法》第二十二条第一款规定的供应商基础性资格要求；供应商自行承诺并承担后果，承诺书不实的，按《政府采购法》有关提供虚假材料的有关规定给予处罚。</w:t>
      </w:r>
    </w:p>
    <w:p w14:paraId="14AF7A7D">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2对供</w:t>
      </w:r>
      <w:r>
        <w:rPr>
          <w:rFonts w:ascii="宋体" w:hAnsi="宋体"/>
          <w:color w:val="auto"/>
          <w:sz w:val="24"/>
          <w:szCs w:val="24"/>
          <w:highlight w:val="none"/>
        </w:rPr>
        <w:t>应商的限制性规定</w:t>
      </w:r>
    </w:p>
    <w:p w14:paraId="0682E458">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（1）供应商应当无不良信用记录。</w:t>
      </w:r>
      <w:r>
        <w:rPr>
          <w:rFonts w:ascii="宋体" w:hAnsi="宋体"/>
          <w:color w:val="auto"/>
          <w:sz w:val="24"/>
          <w:szCs w:val="24"/>
          <w:highlight w:val="none"/>
        </w:rPr>
        <w:t>(</w:t>
      </w:r>
      <w:r>
        <w:rPr>
          <w:rFonts w:hint="eastAsia" w:ascii="宋体" w:hAnsi="宋体"/>
          <w:color w:val="auto"/>
          <w:sz w:val="24"/>
          <w:szCs w:val="24"/>
          <w:highlight w:val="none"/>
        </w:rPr>
        <w:t>未列入“信用中国”</w:t>
      </w:r>
      <w:r>
        <w:rPr>
          <w:rFonts w:ascii="宋体" w:hAnsi="宋体"/>
          <w:color w:val="auto"/>
          <w:sz w:val="24"/>
          <w:szCs w:val="24"/>
          <w:highlight w:val="none"/>
        </w:rPr>
        <w:t>&lt;www.creditchina.gov.cn&gt;</w:t>
      </w:r>
      <w:r>
        <w:rPr>
          <w:rFonts w:hint="eastAsia" w:ascii="宋体" w:hAnsi="宋体"/>
          <w:color w:val="auto"/>
          <w:sz w:val="24"/>
          <w:szCs w:val="24"/>
          <w:highlight w:val="none"/>
        </w:rPr>
        <w:t>网站的“失信被执行人”和“重大税收违法失信主体”及“中国政府采购网”</w:t>
      </w:r>
      <w:r>
        <w:rPr>
          <w:rFonts w:ascii="宋体" w:hAnsi="宋体"/>
          <w:color w:val="auto"/>
          <w:sz w:val="24"/>
          <w:szCs w:val="24"/>
          <w:highlight w:val="none"/>
        </w:rPr>
        <w:t>&lt;www.ccgp.gov.cn&gt;</w:t>
      </w:r>
      <w:r>
        <w:rPr>
          <w:rFonts w:hint="eastAsia" w:ascii="宋体" w:hAnsi="宋体"/>
          <w:color w:val="auto"/>
          <w:sz w:val="24"/>
          <w:szCs w:val="24"/>
          <w:highlight w:val="none"/>
        </w:rPr>
        <w:t>网站的“政府采购严重违法失信行为记录名单”</w:t>
      </w:r>
      <w:r>
        <w:rPr>
          <w:rFonts w:ascii="宋体" w:hAnsi="宋体"/>
          <w:color w:val="auto"/>
          <w:sz w:val="24"/>
          <w:szCs w:val="24"/>
          <w:highlight w:val="none"/>
        </w:rPr>
        <w:t>)</w:t>
      </w:r>
    </w:p>
    <w:p w14:paraId="0F680023">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供应商递交投标文件后，采购人或者采购代理机构将按以上信用信息查询渠道在解密投标文件之前对参加本项目的投标人信用记录进行查询，投标人有上述任一不良信用记录的，其</w:t>
      </w:r>
      <w:r>
        <w:rPr>
          <w:rFonts w:ascii="宋体" w:hAnsi="宋体"/>
          <w:color w:val="auto"/>
          <w:sz w:val="24"/>
          <w:szCs w:val="24"/>
          <w:highlight w:val="none"/>
        </w:rPr>
        <w:t>投标将被</w:t>
      </w:r>
      <w:r>
        <w:rPr>
          <w:rFonts w:hint="eastAsia" w:ascii="宋体" w:hAnsi="宋体"/>
          <w:color w:val="auto"/>
          <w:sz w:val="24"/>
          <w:szCs w:val="24"/>
          <w:highlight w:val="none"/>
        </w:rPr>
        <w:t>拒</w:t>
      </w:r>
      <w:r>
        <w:rPr>
          <w:rFonts w:ascii="宋体" w:hAnsi="宋体"/>
          <w:color w:val="auto"/>
          <w:sz w:val="24"/>
          <w:szCs w:val="24"/>
          <w:highlight w:val="none"/>
        </w:rPr>
        <w:t>绝</w:t>
      </w:r>
      <w:r>
        <w:rPr>
          <w:rFonts w:hint="eastAsia" w:ascii="宋体" w:hAnsi="宋体"/>
          <w:color w:val="auto"/>
          <w:sz w:val="24"/>
          <w:szCs w:val="24"/>
          <w:highlight w:val="none"/>
        </w:rPr>
        <w:t>、</w:t>
      </w:r>
      <w:r>
        <w:rPr>
          <w:rFonts w:ascii="宋体" w:hAnsi="宋体"/>
          <w:color w:val="auto"/>
          <w:sz w:val="24"/>
          <w:szCs w:val="24"/>
          <w:highlight w:val="none"/>
        </w:rPr>
        <w:t>为无效投</w:t>
      </w:r>
      <w:r>
        <w:rPr>
          <w:rFonts w:hint="eastAsia" w:ascii="宋体" w:hAnsi="宋体"/>
          <w:color w:val="auto"/>
          <w:sz w:val="24"/>
          <w:szCs w:val="24"/>
          <w:highlight w:val="none"/>
        </w:rPr>
        <w:t>标。查询的网页内容将以截图或者拍照作为证据留存。</w:t>
      </w:r>
    </w:p>
    <w:p w14:paraId="4A931639">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单位负责人为同一人或者存在直接控股、管理关系的不同供应商，不得参加本合同项下的政府采购活动。供应商自行承诺并承担后果，承诺书不实的，按《政府采购法》有关提供虚假材料的有关规定给予处罚。</w:t>
      </w:r>
    </w:p>
    <w:p w14:paraId="5EEB4B21">
      <w:pPr>
        <w:widowControl w:val="0"/>
        <w:snapToGrid w:val="0"/>
        <w:spacing w:line="360" w:lineRule="auto"/>
        <w:ind w:firstLine="540" w:firstLineChars="225"/>
        <w:rPr>
          <w:color w:val="auto"/>
          <w:szCs w:val="21"/>
          <w:highlight w:val="none"/>
        </w:rPr>
      </w:pPr>
      <w:r>
        <w:rPr>
          <w:rFonts w:hint="eastAsia" w:ascii="宋体" w:hAnsi="宋体"/>
          <w:color w:val="auto"/>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11D399C4">
      <w:pPr>
        <w:widowControl w:val="0"/>
        <w:snapToGrid w:val="0"/>
        <w:spacing w:line="360" w:lineRule="auto"/>
        <w:ind w:firstLine="540" w:firstLineChars="225"/>
        <w:rPr>
          <w:color w:val="auto"/>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3项目的特定资格要求：</w:t>
      </w:r>
    </w:p>
    <w:p w14:paraId="3C0233E2">
      <w:pPr>
        <w:widowControl w:val="0"/>
        <w:numPr>
          <w:ilvl w:val="0"/>
          <w:numId w:val="1"/>
        </w:numPr>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投标人近五年（自2021年1月1日始）内具有同类业务经验，■同类业务的具体范围为号牌制作。提供同类业务合同。</w:t>
      </w:r>
    </w:p>
    <w:p w14:paraId="2170CC6A">
      <w:pPr>
        <w:widowControl w:val="0"/>
        <w:numPr>
          <w:ilvl w:val="0"/>
          <w:numId w:val="0"/>
        </w:num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（2）具备法律、行政法规规定的其他条件。</w:t>
      </w:r>
    </w:p>
    <w:p w14:paraId="1B6791E9">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（3）本项目（是/否）接受联合体投标：同“项目基本情况”1.7款要求。</w:t>
      </w:r>
    </w:p>
    <w:p w14:paraId="68FB6403">
      <w:pPr>
        <w:widowControl w:val="0"/>
        <w:adjustRightInd w:val="0"/>
        <w:spacing w:before="156" w:beforeLines="50" w:line="300" w:lineRule="auto"/>
        <w:ind w:firstLine="540" w:firstLineChars="225"/>
        <w:rPr>
          <w:color w:val="auto"/>
          <w:sz w:val="24"/>
          <w:szCs w:val="24"/>
          <w:highlight w:val="none"/>
        </w:rPr>
      </w:pPr>
      <w:r>
        <w:rPr>
          <w:rFonts w:hint="eastAsia"/>
          <w:color w:val="auto"/>
          <w:sz w:val="24"/>
          <w:szCs w:val="24"/>
          <w:highlight w:val="none"/>
        </w:rPr>
        <w:t>注：（1）所有证照均应为有效的证照；文中“近”、“前”指距投标截止时间。</w:t>
      </w:r>
    </w:p>
    <w:p w14:paraId="6CE64263">
      <w:pPr>
        <w:widowControl w:val="0"/>
        <w:adjustRightInd w:val="0"/>
        <w:spacing w:before="156" w:beforeLines="50" w:line="300" w:lineRule="auto"/>
        <w:ind w:firstLine="540" w:firstLineChars="225"/>
        <w:rPr>
          <w:color w:val="auto"/>
          <w:sz w:val="24"/>
          <w:szCs w:val="24"/>
          <w:highlight w:val="none"/>
        </w:rPr>
      </w:pPr>
      <w:r>
        <w:rPr>
          <w:rFonts w:hint="eastAsia"/>
          <w:color w:val="auto"/>
          <w:sz w:val="24"/>
          <w:szCs w:val="24"/>
          <w:highlight w:val="none"/>
        </w:rPr>
        <w:t>（2）资格证明材料（文件）应附于投标文件中并经投</w:t>
      </w:r>
      <w:r>
        <w:rPr>
          <w:color w:val="auto"/>
          <w:sz w:val="24"/>
          <w:szCs w:val="24"/>
          <w:highlight w:val="none"/>
        </w:rPr>
        <w:t>标人</w:t>
      </w:r>
      <w:r>
        <w:rPr>
          <w:rFonts w:hint="eastAsia" w:ascii="宋体" w:hAnsi="宋体" w:cs="楷体_GB2312"/>
          <w:color w:val="auto"/>
          <w:sz w:val="24"/>
          <w:highlight w:val="none"/>
        </w:rPr>
        <w:t>电子签章</w:t>
      </w:r>
      <w:r>
        <w:rPr>
          <w:rFonts w:hint="eastAsia"/>
          <w:color w:val="auto"/>
          <w:sz w:val="24"/>
          <w:szCs w:val="24"/>
          <w:highlight w:val="none"/>
        </w:rPr>
        <w:t>。投标人对资格证明文件真实性有效合规承担责任，提供虚假材料的为无效投标并将进一步追究其责任。</w:t>
      </w:r>
    </w:p>
    <w:p w14:paraId="62BB0D18">
      <w:pPr>
        <w:pStyle w:val="3"/>
        <w:shd w:val="clear" w:color="auto" w:fill="FFFFFF"/>
        <w:adjustRightInd w:val="0"/>
        <w:spacing w:before="50" w:beforeAutospacing="0" w:after="0" w:afterAutospacing="0" w:line="300" w:lineRule="auto"/>
        <w:ind w:firstLine="540" w:firstLineChars="225"/>
        <w:rPr>
          <w:color w:val="auto"/>
          <w:highlight w:val="none"/>
        </w:rPr>
      </w:pPr>
      <w:r>
        <w:rPr>
          <w:rFonts w:hint="eastAsia"/>
          <w:color w:val="auto"/>
          <w:highlight w:val="none"/>
        </w:rPr>
        <w:t>（3）</w:t>
      </w:r>
      <w:r>
        <w:rPr>
          <w:color w:val="auto"/>
          <w:highlight w:val="none"/>
        </w:rPr>
        <w:t xml:space="preserve"> </w:t>
      </w:r>
      <w:r>
        <w:rPr>
          <w:rFonts w:hint="eastAsia"/>
          <w:color w:val="auto"/>
          <w:highlight w:val="none"/>
        </w:rPr>
        <w:t>本项目采取资格后审，开标后，将由采购人或者采购代理机构对投标人的资格证明材料（文件）等进行资格审核，未按要求逐一提供、或资格审查不合格的为无效投标，投标人应自负其风险费用。</w:t>
      </w:r>
    </w:p>
    <w:p w14:paraId="2CB06CE5">
      <w:pPr>
        <w:widowControl w:val="0"/>
        <w:snapToGrid w:val="0"/>
        <w:spacing w:line="560" w:lineRule="exact"/>
        <w:jc w:val="left"/>
        <w:rPr>
          <w:b/>
          <w:color w:val="auto"/>
          <w:highlight w:val="none"/>
        </w:rPr>
      </w:pPr>
    </w:p>
    <w:p w14:paraId="16AF2EC6">
      <w:pPr>
        <w:widowControl w:val="0"/>
        <w:snapToGrid w:val="0"/>
        <w:spacing w:line="360" w:lineRule="auto"/>
        <w:ind w:firstLine="562" w:firstLineChars="200"/>
        <w:rPr>
          <w:rFonts w:ascii="黑体" w:hAnsi="黑体" w:eastAsia="黑体"/>
          <w:b/>
          <w:color w:val="auto"/>
          <w:sz w:val="28"/>
          <w:szCs w:val="28"/>
          <w:highlight w:val="none"/>
        </w:rPr>
      </w:pPr>
      <w:bookmarkStart w:id="4" w:name="_Toc35393792"/>
      <w:bookmarkStart w:id="5" w:name="_Toc35393623"/>
      <w:r>
        <w:rPr>
          <w:rFonts w:hint="eastAsia" w:ascii="黑体" w:hAnsi="黑体" w:eastAsia="黑体"/>
          <w:b/>
          <w:color w:val="auto"/>
          <w:sz w:val="28"/>
          <w:szCs w:val="28"/>
          <w:highlight w:val="none"/>
        </w:rPr>
        <w:t>3.获取招标文件</w:t>
      </w:r>
      <w:bookmarkEnd w:id="4"/>
      <w:bookmarkEnd w:id="5"/>
    </w:p>
    <w:p w14:paraId="1F4DF0E1">
      <w:pPr>
        <w:snapToGrid w:val="0"/>
        <w:spacing w:line="360" w:lineRule="auto"/>
        <w:ind w:firstLine="540" w:firstLineChars="225"/>
        <w:jc w:val="left"/>
        <w:rPr>
          <w:b/>
          <w:bCs/>
          <w:color w:val="auto"/>
          <w:sz w:val="24"/>
          <w:szCs w:val="24"/>
          <w:highlight w:val="none"/>
        </w:rPr>
      </w:pPr>
      <w:bookmarkStart w:id="6" w:name="_Toc28359005"/>
      <w:bookmarkStart w:id="7" w:name="_Toc28359082"/>
      <w:bookmarkStart w:id="8" w:name="_Toc35393793"/>
      <w:bookmarkStart w:id="9" w:name="_Toc35393624"/>
      <w:r>
        <w:rPr>
          <w:rFonts w:hint="eastAsia" w:ascii="宋体" w:hAnsi="宋体"/>
          <w:color w:val="auto"/>
          <w:sz w:val="24"/>
          <w:szCs w:val="24"/>
          <w:highlight w:val="none"/>
        </w:rPr>
        <w:t>3.1</w:t>
      </w:r>
      <w:r>
        <w:rPr>
          <w:rFonts w:hint="eastAsia"/>
          <w:color w:val="auto"/>
          <w:sz w:val="24"/>
          <w:szCs w:val="24"/>
          <w:highlight w:val="none"/>
        </w:rPr>
        <w:t>时间：</w:t>
      </w:r>
      <w:r>
        <w:rPr>
          <w:rFonts w:hint="eastAsia"/>
          <w:color w:val="auto"/>
          <w:sz w:val="24"/>
          <w:szCs w:val="24"/>
          <w:highlight w:val="none"/>
          <w:u w:val="single"/>
          <w:lang w:val="en-US" w:eastAsia="zh-CN"/>
        </w:rPr>
        <w:t>2026</w:t>
      </w:r>
      <w:r>
        <w:rPr>
          <w:rFonts w:hint="eastAsia"/>
          <w:color w:val="auto"/>
          <w:sz w:val="24"/>
          <w:szCs w:val="24"/>
          <w:highlight w:val="none"/>
        </w:rPr>
        <w:t>年</w:t>
      </w:r>
      <w:r>
        <w:rPr>
          <w:rFonts w:hint="eastAsia"/>
          <w:color w:val="auto"/>
          <w:sz w:val="24"/>
          <w:szCs w:val="24"/>
          <w:highlight w:val="none"/>
          <w:u w:val="single"/>
          <w:lang w:val="en-US" w:eastAsia="zh-CN"/>
        </w:rPr>
        <w:t>6</w:t>
      </w:r>
      <w:r>
        <w:rPr>
          <w:rFonts w:hint="eastAsia"/>
          <w:color w:val="auto"/>
          <w:sz w:val="24"/>
          <w:szCs w:val="24"/>
          <w:highlight w:val="none"/>
        </w:rPr>
        <w:t>月</w:t>
      </w:r>
      <w:r>
        <w:rPr>
          <w:rFonts w:hint="eastAsia"/>
          <w:color w:val="auto"/>
          <w:sz w:val="24"/>
          <w:szCs w:val="24"/>
          <w:highlight w:val="none"/>
          <w:u w:val="single"/>
          <w:lang w:val="en-US" w:eastAsia="zh-CN"/>
        </w:rPr>
        <w:t>16</w:t>
      </w:r>
      <w:r>
        <w:rPr>
          <w:rFonts w:hint="eastAsia"/>
          <w:color w:val="auto"/>
          <w:sz w:val="24"/>
          <w:szCs w:val="24"/>
          <w:highlight w:val="none"/>
        </w:rPr>
        <w:t>日至</w:t>
      </w:r>
      <w:r>
        <w:rPr>
          <w:rFonts w:hint="eastAsia"/>
          <w:color w:val="auto"/>
          <w:sz w:val="24"/>
          <w:szCs w:val="24"/>
          <w:highlight w:val="none"/>
          <w:u w:val="single"/>
          <w:lang w:val="en-US" w:eastAsia="zh-CN"/>
        </w:rPr>
        <w:t>2026</w:t>
      </w:r>
      <w:r>
        <w:rPr>
          <w:rFonts w:hint="eastAsia"/>
          <w:color w:val="auto"/>
          <w:sz w:val="24"/>
          <w:szCs w:val="24"/>
          <w:highlight w:val="none"/>
        </w:rPr>
        <w:t>年</w:t>
      </w:r>
      <w:r>
        <w:rPr>
          <w:rFonts w:hint="eastAsia"/>
          <w:color w:val="auto"/>
          <w:sz w:val="24"/>
          <w:szCs w:val="24"/>
          <w:highlight w:val="none"/>
          <w:u w:val="single" w:color="auto"/>
          <w:lang w:val="en-US" w:eastAsia="zh-CN"/>
        </w:rPr>
        <w:t>6</w:t>
      </w:r>
      <w:r>
        <w:rPr>
          <w:rFonts w:hint="eastAsia"/>
          <w:color w:val="auto"/>
          <w:sz w:val="24"/>
          <w:szCs w:val="24"/>
          <w:highlight w:val="none"/>
        </w:rPr>
        <w:t>月</w:t>
      </w:r>
      <w:r>
        <w:rPr>
          <w:rFonts w:hint="eastAsia"/>
          <w:color w:val="auto"/>
          <w:sz w:val="24"/>
          <w:szCs w:val="24"/>
          <w:highlight w:val="none"/>
          <w:u w:val="single"/>
          <w:lang w:val="en-US" w:eastAsia="zh-CN"/>
        </w:rPr>
        <w:t>23</w:t>
      </w:r>
      <w:r>
        <w:rPr>
          <w:rFonts w:hint="eastAsia"/>
          <w:color w:val="auto"/>
          <w:sz w:val="24"/>
          <w:szCs w:val="24"/>
          <w:highlight w:val="none"/>
        </w:rPr>
        <w:t>日，每天上午</w:t>
      </w:r>
      <w:r>
        <w:rPr>
          <w:rFonts w:hint="eastAsia"/>
          <w:color w:val="auto"/>
          <w:sz w:val="24"/>
          <w:szCs w:val="24"/>
          <w:highlight w:val="none"/>
          <w:u w:val="single"/>
          <w:lang w:val="en-US" w:eastAsia="zh-CN"/>
        </w:rPr>
        <w:t>00：00</w:t>
      </w:r>
      <w:r>
        <w:rPr>
          <w:rFonts w:hint="eastAsia"/>
          <w:color w:val="auto"/>
          <w:sz w:val="24"/>
          <w:szCs w:val="24"/>
          <w:highlight w:val="none"/>
        </w:rPr>
        <w:t>至</w:t>
      </w:r>
      <w:r>
        <w:rPr>
          <w:rFonts w:hint="eastAsia"/>
          <w:color w:val="auto"/>
          <w:sz w:val="24"/>
          <w:szCs w:val="24"/>
          <w:highlight w:val="none"/>
          <w:u w:val="single"/>
          <w:lang w:val="en-US" w:eastAsia="zh-CN"/>
        </w:rPr>
        <w:t>12：00</w:t>
      </w:r>
      <w:r>
        <w:rPr>
          <w:rFonts w:hint="eastAsia"/>
          <w:color w:val="auto"/>
          <w:sz w:val="24"/>
          <w:szCs w:val="24"/>
          <w:highlight w:val="none"/>
        </w:rPr>
        <w:t>，下午</w:t>
      </w:r>
      <w:r>
        <w:rPr>
          <w:rFonts w:hint="eastAsia"/>
          <w:color w:val="auto"/>
          <w:sz w:val="24"/>
          <w:szCs w:val="24"/>
          <w:highlight w:val="none"/>
          <w:u w:val="single"/>
          <w:lang w:val="en-US" w:eastAsia="zh-CN"/>
        </w:rPr>
        <w:t>12：00</w:t>
      </w:r>
      <w:r>
        <w:rPr>
          <w:rFonts w:hint="eastAsia"/>
          <w:color w:val="auto"/>
          <w:sz w:val="24"/>
          <w:szCs w:val="24"/>
          <w:highlight w:val="none"/>
        </w:rPr>
        <w:t>至</w:t>
      </w:r>
      <w:r>
        <w:rPr>
          <w:rFonts w:hint="eastAsia"/>
          <w:color w:val="auto"/>
          <w:sz w:val="24"/>
          <w:szCs w:val="24"/>
          <w:highlight w:val="none"/>
          <w:u w:val="single"/>
          <w:lang w:val="en-US" w:eastAsia="zh-CN"/>
        </w:rPr>
        <w:t>23：59</w:t>
      </w:r>
      <w:r>
        <w:rPr>
          <w:rFonts w:hint="eastAsia"/>
          <w:color w:val="auto"/>
          <w:sz w:val="24"/>
          <w:szCs w:val="24"/>
          <w:highlight w:val="none"/>
        </w:rPr>
        <w:t>（北京时间，</w:t>
      </w:r>
      <w:r>
        <w:rPr>
          <w:color w:val="auto"/>
          <w:sz w:val="24"/>
          <w:szCs w:val="24"/>
          <w:highlight w:val="none"/>
        </w:rPr>
        <w:t>法定节假日</w:t>
      </w:r>
      <w:r>
        <w:rPr>
          <w:rFonts w:hint="eastAsia"/>
          <w:color w:val="auto"/>
          <w:sz w:val="24"/>
          <w:szCs w:val="24"/>
          <w:highlight w:val="none"/>
        </w:rPr>
        <w:t>除外）</w:t>
      </w:r>
    </w:p>
    <w:p w14:paraId="658AF33F">
      <w:pPr>
        <w:widowControl w:val="0"/>
        <w:snapToGrid w:val="0"/>
        <w:spacing w:line="360" w:lineRule="auto"/>
        <w:ind w:left="55" w:leftChars="26" w:firstLine="540" w:firstLineChars="225"/>
        <w:rPr>
          <w:rFonts w:ascii="宋体" w:hAnsi="宋体"/>
          <w:b/>
          <w:color w:val="auto"/>
          <w:sz w:val="24"/>
          <w:szCs w:val="24"/>
          <w:highlight w:val="none"/>
        </w:rPr>
      </w:pPr>
      <w:r>
        <w:rPr>
          <w:rFonts w:hint="eastAsia" w:ascii="宋体" w:hAnsi="宋体"/>
          <w:color w:val="auto"/>
          <w:sz w:val="24"/>
          <w:szCs w:val="24"/>
          <w:highlight w:val="none"/>
        </w:rPr>
        <w:t>3.2地点</w:t>
      </w:r>
      <w:r>
        <w:rPr>
          <w:rFonts w:hint="eastAsia"/>
          <w:color w:val="auto"/>
          <w:sz w:val="24"/>
          <w:szCs w:val="24"/>
          <w:highlight w:val="none"/>
        </w:rPr>
        <w:t>：</w:t>
      </w:r>
      <w:r>
        <w:rPr>
          <w:rFonts w:hint="eastAsia"/>
          <w:b/>
          <w:bCs/>
          <w:color w:val="auto"/>
          <w:sz w:val="24"/>
          <w:szCs w:val="24"/>
          <w:highlight w:val="none"/>
        </w:rPr>
        <w:t>登录安阳市公共资源交易中心网站（</w:t>
      </w:r>
      <w:r>
        <w:rPr>
          <w:b/>
          <w:bCs/>
          <w:color w:val="auto"/>
          <w:sz w:val="24"/>
          <w:szCs w:val="24"/>
          <w:highlight w:val="none"/>
        </w:rPr>
        <w:t>https://ggzy.anyang.gov.cn</w:t>
      </w:r>
      <w:r>
        <w:rPr>
          <w:rFonts w:hint="eastAsia"/>
          <w:b/>
          <w:bCs/>
          <w:color w:val="auto"/>
          <w:sz w:val="24"/>
          <w:szCs w:val="24"/>
          <w:highlight w:val="none"/>
        </w:rPr>
        <w:t>），在【交易主体登录】入口完成注册。凭数字证书下载招标文件及其它资料。</w:t>
      </w:r>
    </w:p>
    <w:p w14:paraId="2C99DE09">
      <w:pPr>
        <w:spacing w:line="360" w:lineRule="auto"/>
        <w:ind w:firstLine="540"/>
        <w:rPr>
          <w:b/>
          <w:bCs/>
          <w:color w:val="auto"/>
          <w:sz w:val="24"/>
          <w:szCs w:val="24"/>
          <w:highlight w:val="none"/>
        </w:rPr>
      </w:pPr>
      <w:r>
        <w:rPr>
          <w:rFonts w:hint="eastAsia" w:ascii="宋体" w:hAnsi="宋体"/>
          <w:color w:val="auto"/>
          <w:sz w:val="24"/>
          <w:szCs w:val="24"/>
          <w:highlight w:val="none"/>
        </w:rPr>
        <w:t>3.3方式：</w:t>
      </w:r>
      <w:r>
        <w:rPr>
          <w:rFonts w:hint="eastAsia"/>
          <w:b/>
          <w:bCs/>
          <w:color w:val="auto"/>
          <w:sz w:val="24"/>
          <w:szCs w:val="24"/>
          <w:highlight w:val="none"/>
        </w:rPr>
        <w:t>网上</w:t>
      </w:r>
      <w:r>
        <w:rPr>
          <w:b/>
          <w:bCs/>
          <w:color w:val="auto"/>
          <w:sz w:val="24"/>
          <w:szCs w:val="24"/>
          <w:highlight w:val="none"/>
        </w:rPr>
        <w:t>下载</w:t>
      </w:r>
      <w:r>
        <w:rPr>
          <w:rFonts w:hint="eastAsia"/>
          <w:b/>
          <w:bCs/>
          <w:color w:val="auto"/>
          <w:sz w:val="24"/>
          <w:szCs w:val="24"/>
          <w:highlight w:val="none"/>
        </w:rPr>
        <w:t>；</w:t>
      </w:r>
    </w:p>
    <w:p w14:paraId="548034E6">
      <w:pPr>
        <w:spacing w:line="360" w:lineRule="auto"/>
        <w:ind w:firstLine="540"/>
        <w:rPr>
          <w:b/>
          <w:bCs/>
          <w:color w:val="auto"/>
          <w:sz w:val="24"/>
          <w:szCs w:val="24"/>
          <w:highlight w:val="none"/>
        </w:rPr>
      </w:pPr>
      <w:r>
        <w:rPr>
          <w:rFonts w:hint="eastAsia"/>
          <w:b/>
          <w:bCs/>
          <w:color w:val="auto"/>
          <w:sz w:val="24"/>
          <w:szCs w:val="24"/>
          <w:highlight w:val="none"/>
        </w:rPr>
        <w:t>具体流程请查询安阳市公共资源交易中心网站-服务指南-操作手册-《安阳市公共资源交易系统投标人（供应商）操作手册》。</w:t>
      </w:r>
      <w:r>
        <w:rPr>
          <w:b/>
          <w:bCs/>
          <w:color w:val="auto"/>
          <w:sz w:val="24"/>
          <w:szCs w:val="24"/>
          <w:highlight w:val="none"/>
        </w:rPr>
        <w:t>如有技术问题请咨询</w:t>
      </w:r>
      <w:r>
        <w:rPr>
          <w:rFonts w:hint="eastAsia"/>
          <w:b/>
          <w:bCs/>
          <w:color w:val="auto"/>
          <w:sz w:val="24"/>
          <w:szCs w:val="24"/>
          <w:highlight w:val="none"/>
        </w:rPr>
        <w:t>400-998-0000、0372-3387739。</w:t>
      </w:r>
    </w:p>
    <w:p w14:paraId="12D8D882">
      <w:pPr>
        <w:spacing w:line="360" w:lineRule="auto"/>
        <w:ind w:firstLine="540"/>
        <w:rPr>
          <w:rFonts w:ascii="宋体" w:hAnsi="宋体" w:cs="宋体"/>
          <w:color w:val="auto"/>
          <w:sz w:val="24"/>
          <w:szCs w:val="24"/>
          <w:highlight w:val="none"/>
        </w:rPr>
      </w:pPr>
      <w:r>
        <w:rPr>
          <w:rFonts w:hint="eastAsia" w:ascii="宋体" w:hAnsi="宋体"/>
          <w:color w:val="auto"/>
          <w:sz w:val="24"/>
          <w:szCs w:val="24"/>
          <w:highlight w:val="none"/>
        </w:rPr>
        <w:t>3.4售价：</w:t>
      </w:r>
      <w:r>
        <w:rPr>
          <w:rFonts w:hint="eastAsia" w:ascii="宋体" w:hAnsi="宋体" w:cs="宋体"/>
          <w:color w:val="auto"/>
          <w:sz w:val="24"/>
          <w:szCs w:val="24"/>
          <w:highlight w:val="none"/>
        </w:rPr>
        <w:t>0元</w:t>
      </w:r>
    </w:p>
    <w:p w14:paraId="563F7970">
      <w:pPr>
        <w:pStyle w:val="3"/>
        <w:shd w:val="clear" w:color="auto" w:fill="FFFFFF"/>
        <w:adjustRightInd w:val="0"/>
        <w:spacing w:before="50" w:beforeAutospacing="0" w:after="0" w:afterAutospacing="0" w:line="300" w:lineRule="auto"/>
        <w:rPr>
          <w:rFonts w:cs="Times New Roman"/>
          <w:color w:val="auto"/>
          <w:highlight w:val="none"/>
        </w:rPr>
      </w:pPr>
    </w:p>
    <w:p w14:paraId="578369DD">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4.提交投标文件</w:t>
      </w:r>
      <w:bookmarkEnd w:id="6"/>
      <w:bookmarkEnd w:id="7"/>
      <w:r>
        <w:rPr>
          <w:rFonts w:hint="eastAsia" w:ascii="黑体" w:hAnsi="黑体" w:eastAsia="黑体"/>
          <w:b/>
          <w:color w:val="auto"/>
          <w:sz w:val="28"/>
          <w:szCs w:val="28"/>
          <w:highlight w:val="none"/>
        </w:rPr>
        <w:t>截止时间</w:t>
      </w:r>
      <w:bookmarkEnd w:id="8"/>
      <w:bookmarkEnd w:id="9"/>
      <w:r>
        <w:rPr>
          <w:rFonts w:hint="eastAsia" w:ascii="黑体" w:hAnsi="黑体" w:eastAsia="黑体"/>
          <w:b/>
          <w:color w:val="auto"/>
          <w:sz w:val="28"/>
          <w:szCs w:val="28"/>
          <w:highlight w:val="none"/>
        </w:rPr>
        <w:t>（投标截止时间及地点）</w:t>
      </w:r>
    </w:p>
    <w:p w14:paraId="0965D46A">
      <w:pPr>
        <w:widowControl w:val="0"/>
        <w:adjustRightInd w:val="0"/>
        <w:spacing w:before="156" w:beforeLines="50" w:line="300" w:lineRule="auto"/>
        <w:ind w:firstLine="540" w:firstLineChars="225"/>
        <w:rPr>
          <w:color w:val="auto"/>
          <w:sz w:val="24"/>
          <w:szCs w:val="24"/>
          <w:highlight w:val="none"/>
        </w:rPr>
      </w:pPr>
      <w:r>
        <w:rPr>
          <w:rFonts w:hint="eastAsia" w:ascii="宋体" w:hAnsi="宋体"/>
          <w:color w:val="auto"/>
          <w:sz w:val="24"/>
          <w:szCs w:val="24"/>
          <w:highlight w:val="none"/>
        </w:rPr>
        <w:t>4.1</w:t>
      </w:r>
      <w:r>
        <w:rPr>
          <w:rFonts w:hint="eastAsia"/>
          <w:color w:val="auto"/>
          <w:sz w:val="24"/>
          <w:szCs w:val="24"/>
          <w:highlight w:val="none"/>
        </w:rPr>
        <w:t>时间：2026年</w:t>
      </w:r>
      <w:r>
        <w:rPr>
          <w:rFonts w:hint="eastAsia"/>
          <w:color w:val="auto"/>
          <w:sz w:val="24"/>
          <w:szCs w:val="24"/>
          <w:highlight w:val="none"/>
          <w:lang w:val="en-US" w:eastAsia="zh-CN"/>
        </w:rPr>
        <w:t>7</w:t>
      </w:r>
      <w:r>
        <w:rPr>
          <w:rFonts w:hint="eastAsia"/>
          <w:color w:val="auto"/>
          <w:sz w:val="24"/>
          <w:szCs w:val="24"/>
          <w:highlight w:val="none"/>
        </w:rPr>
        <w:t>月</w:t>
      </w:r>
      <w:r>
        <w:rPr>
          <w:rFonts w:hint="eastAsia"/>
          <w:color w:val="auto"/>
          <w:sz w:val="24"/>
          <w:szCs w:val="24"/>
          <w:highlight w:val="none"/>
          <w:lang w:val="en-US" w:eastAsia="zh-CN"/>
        </w:rPr>
        <w:t>6</w:t>
      </w:r>
      <w:r>
        <w:rPr>
          <w:rFonts w:hint="eastAsia"/>
          <w:color w:val="auto"/>
          <w:sz w:val="24"/>
          <w:szCs w:val="24"/>
          <w:highlight w:val="none"/>
        </w:rPr>
        <w:t>日09时00分（北京时间）</w:t>
      </w:r>
    </w:p>
    <w:p w14:paraId="0D482B3E">
      <w:pPr>
        <w:widowControl w:val="0"/>
        <w:adjustRightInd w:val="0"/>
        <w:spacing w:before="156" w:beforeLines="50" w:line="30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4.2地点：于安阳市公共资源交易平台网上上传递交、并由投标人在规定时间远程解密。</w:t>
      </w:r>
    </w:p>
    <w:p w14:paraId="1FA409BB">
      <w:pPr>
        <w:widowControl w:val="0"/>
        <w:snapToGrid w:val="0"/>
        <w:spacing w:line="360" w:lineRule="auto"/>
        <w:ind w:left="55" w:leftChars="26" w:firstLine="540" w:firstLineChars="225"/>
        <w:rPr>
          <w:color w:val="auto"/>
          <w:sz w:val="24"/>
          <w:szCs w:val="24"/>
          <w:highlight w:val="none"/>
        </w:rPr>
      </w:pPr>
    </w:p>
    <w:p w14:paraId="27590CFD">
      <w:pPr>
        <w:widowControl w:val="0"/>
        <w:adjustRightInd w:val="0"/>
        <w:spacing w:before="156" w:beforeLines="50" w:line="300" w:lineRule="auto"/>
        <w:ind w:firstLine="632" w:firstLineChars="225"/>
        <w:rPr>
          <w:color w:val="auto"/>
          <w:sz w:val="24"/>
          <w:szCs w:val="24"/>
          <w:highlight w:val="none"/>
        </w:rPr>
      </w:pPr>
      <w:r>
        <w:rPr>
          <w:rFonts w:hint="eastAsia" w:ascii="黑体" w:hAnsi="黑体" w:eastAsia="黑体"/>
          <w:b/>
          <w:color w:val="auto"/>
          <w:sz w:val="28"/>
          <w:szCs w:val="28"/>
          <w:highlight w:val="none"/>
        </w:rPr>
        <w:t>5.开标时间和地点</w:t>
      </w:r>
    </w:p>
    <w:p w14:paraId="6B06EC3B">
      <w:pPr>
        <w:widowControl w:val="0"/>
        <w:adjustRightInd w:val="0"/>
        <w:spacing w:before="156" w:beforeLines="50" w:line="300" w:lineRule="auto"/>
        <w:ind w:firstLine="540" w:firstLineChars="225"/>
        <w:rPr>
          <w:color w:val="auto"/>
          <w:sz w:val="24"/>
          <w:szCs w:val="24"/>
          <w:highlight w:val="none"/>
        </w:rPr>
      </w:pPr>
      <w:r>
        <w:rPr>
          <w:rFonts w:hint="eastAsia"/>
          <w:color w:val="auto"/>
          <w:sz w:val="24"/>
          <w:szCs w:val="24"/>
          <w:highlight w:val="none"/>
        </w:rPr>
        <w:t>5.1时间：2026年</w:t>
      </w:r>
      <w:r>
        <w:rPr>
          <w:rFonts w:hint="eastAsia"/>
          <w:color w:val="auto"/>
          <w:sz w:val="24"/>
          <w:szCs w:val="24"/>
          <w:highlight w:val="none"/>
          <w:lang w:val="en-US" w:eastAsia="zh-CN"/>
        </w:rPr>
        <w:t>7</w:t>
      </w:r>
      <w:r>
        <w:rPr>
          <w:rFonts w:hint="eastAsia"/>
          <w:color w:val="auto"/>
          <w:sz w:val="24"/>
          <w:szCs w:val="24"/>
          <w:highlight w:val="none"/>
        </w:rPr>
        <w:t>月</w:t>
      </w:r>
      <w:r>
        <w:rPr>
          <w:rFonts w:hint="eastAsia"/>
          <w:color w:val="auto"/>
          <w:sz w:val="24"/>
          <w:szCs w:val="24"/>
          <w:highlight w:val="none"/>
          <w:lang w:val="en-US" w:eastAsia="zh-CN"/>
        </w:rPr>
        <w:t>6</w:t>
      </w:r>
      <w:r>
        <w:rPr>
          <w:rFonts w:hint="eastAsia"/>
          <w:color w:val="auto"/>
          <w:sz w:val="24"/>
          <w:szCs w:val="24"/>
          <w:highlight w:val="none"/>
        </w:rPr>
        <w:t>日09时00分（北京时间）</w:t>
      </w:r>
    </w:p>
    <w:p w14:paraId="09CA809E">
      <w:pPr>
        <w:widowControl w:val="0"/>
        <w:adjustRightInd w:val="0"/>
        <w:spacing w:before="156" w:beforeLines="50" w:line="300" w:lineRule="auto"/>
        <w:ind w:firstLine="540" w:firstLineChars="225"/>
        <w:rPr>
          <w:color w:val="auto"/>
          <w:sz w:val="24"/>
          <w:szCs w:val="24"/>
          <w:highlight w:val="none"/>
        </w:rPr>
      </w:pPr>
      <w:r>
        <w:rPr>
          <w:rFonts w:hint="eastAsia" w:ascii="宋体" w:hAnsi="宋体"/>
          <w:color w:val="auto"/>
          <w:sz w:val="24"/>
          <w:szCs w:val="24"/>
          <w:highlight w:val="none"/>
        </w:rPr>
        <w:t>5.2地点（</w:t>
      </w:r>
      <w:r>
        <w:rPr>
          <w:rFonts w:hint="eastAsia"/>
          <w:color w:val="auto"/>
          <w:sz w:val="24"/>
          <w:szCs w:val="24"/>
          <w:highlight w:val="none"/>
        </w:rPr>
        <w:t>管理员网上操作地点）：安阳市公共资源交易中心五楼集中开标大厅</w:t>
      </w:r>
      <w:r>
        <w:rPr>
          <w:rFonts w:hint="eastAsia"/>
          <w:color w:val="auto"/>
          <w:sz w:val="24"/>
          <w:szCs w:val="24"/>
          <w:highlight w:val="none"/>
          <w:lang w:val="en-US" w:eastAsia="zh-CN"/>
        </w:rPr>
        <w:t>六</w:t>
      </w:r>
      <w:r>
        <w:rPr>
          <w:rFonts w:hint="eastAsia"/>
          <w:color w:val="auto"/>
          <w:sz w:val="24"/>
          <w:szCs w:val="24"/>
          <w:highlight w:val="none"/>
        </w:rPr>
        <w:t>室（安阳市文峰大道东段</w:t>
      </w:r>
      <w:r>
        <w:rPr>
          <w:color w:val="auto"/>
          <w:sz w:val="24"/>
          <w:szCs w:val="24"/>
          <w:highlight w:val="none"/>
        </w:rPr>
        <w:t>559</w:t>
      </w:r>
      <w:r>
        <w:rPr>
          <w:rFonts w:hint="eastAsia"/>
          <w:color w:val="auto"/>
          <w:sz w:val="24"/>
          <w:szCs w:val="24"/>
          <w:highlight w:val="none"/>
        </w:rPr>
        <w:t>号安阳市民之家）。</w:t>
      </w:r>
    </w:p>
    <w:p w14:paraId="41AC827C">
      <w:pPr>
        <w:widowControl w:val="0"/>
        <w:adjustRightInd w:val="0"/>
        <w:spacing w:before="156" w:beforeLines="50" w:line="300" w:lineRule="auto"/>
        <w:ind w:firstLine="540" w:firstLineChars="225"/>
        <w:rPr>
          <w:b/>
          <w:bCs/>
          <w:color w:val="auto"/>
          <w:sz w:val="24"/>
          <w:szCs w:val="24"/>
          <w:highlight w:val="none"/>
        </w:rPr>
      </w:pPr>
      <w:r>
        <w:rPr>
          <w:rFonts w:hint="eastAsia" w:ascii="宋体" w:hAnsi="宋体"/>
          <w:color w:val="auto"/>
          <w:sz w:val="24"/>
          <w:szCs w:val="24"/>
          <w:highlight w:val="none"/>
        </w:rPr>
        <w:t>5.3</w:t>
      </w:r>
      <w:r>
        <w:rPr>
          <w:rFonts w:hint="eastAsia"/>
          <w:b/>
          <w:bCs/>
          <w:color w:val="auto"/>
          <w:sz w:val="24"/>
          <w:szCs w:val="24"/>
          <w:highlight w:val="none"/>
        </w:rPr>
        <w:t>本项目采用远程不见面交易的模式，开标当日，投标人无需到开标现场参加开标会议，投标人应当在投标截止时间前，使用</w:t>
      </w:r>
      <w:r>
        <w:rPr>
          <w:b/>
          <w:bCs/>
          <w:color w:val="auto"/>
          <w:sz w:val="24"/>
          <w:szCs w:val="24"/>
          <w:highlight w:val="none"/>
        </w:rPr>
        <w:t>IE</w:t>
      </w:r>
      <w:r>
        <w:rPr>
          <w:rFonts w:hint="eastAsia"/>
          <w:b/>
          <w:bCs/>
          <w:color w:val="auto"/>
          <w:sz w:val="24"/>
          <w:szCs w:val="24"/>
          <w:highlight w:val="none"/>
        </w:rPr>
        <w:t>浏览器登录到安阳市公共资源交易不见面开标大厅，点击右上方【登录】按钮进入，在线准时参加开标活动并进行投标文件解密等。因投标人原因未能解密、解密失败或解密超时的将被拒绝。</w:t>
      </w:r>
    </w:p>
    <w:p w14:paraId="4162DA80">
      <w:pPr>
        <w:widowControl w:val="0"/>
        <w:snapToGrid w:val="0"/>
        <w:spacing w:line="360" w:lineRule="auto"/>
        <w:ind w:firstLine="480" w:firstLineChars="200"/>
        <w:rPr>
          <w:color w:val="auto"/>
          <w:sz w:val="24"/>
          <w:szCs w:val="24"/>
          <w:highlight w:val="none"/>
        </w:rPr>
      </w:pPr>
    </w:p>
    <w:p w14:paraId="78B9EE41">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6.发布公告的媒介及招标公告期限</w:t>
      </w:r>
    </w:p>
    <w:p w14:paraId="57E5D91B">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本项目在“河南省政府采购网（安阳市政府采购网）”、“</w:t>
      </w:r>
      <w:r>
        <w:rPr>
          <w:rFonts w:hint="eastAsia" w:ascii="宋体" w:hAnsi="宋体" w:cs="宋体"/>
          <w:color w:val="auto"/>
          <w:sz w:val="24"/>
          <w:szCs w:val="24"/>
          <w:highlight w:val="none"/>
        </w:rPr>
        <w:t>全国公共资源交易平台（河南省·安阳市）</w:t>
      </w:r>
      <w:r>
        <w:rPr>
          <w:rFonts w:hint="eastAsia" w:ascii="宋体" w:hAnsi="宋体"/>
          <w:color w:val="auto"/>
          <w:sz w:val="24"/>
          <w:szCs w:val="24"/>
          <w:highlight w:val="none"/>
        </w:rPr>
        <w:t>安阳市公共资源交易中心”</w:t>
      </w:r>
      <w:r>
        <w:rPr>
          <w:rFonts w:hint="eastAsia" w:ascii="宋体" w:hAnsi="宋体" w:cs="宋体"/>
          <w:color w:val="auto"/>
          <w:sz w:val="24"/>
          <w:szCs w:val="24"/>
          <w:highlight w:val="none"/>
        </w:rPr>
        <w:t>、</w:t>
      </w:r>
      <w:r>
        <w:rPr>
          <w:rFonts w:hint="eastAsia" w:ascii="宋体" w:hAnsi="宋体"/>
          <w:color w:val="auto"/>
          <w:sz w:val="24"/>
          <w:szCs w:val="24"/>
          <w:highlight w:val="none"/>
        </w:rPr>
        <w:t>“安阳招标采购网”网站上同期发布。</w:t>
      </w:r>
      <w:r>
        <w:rPr>
          <w:rFonts w:hint="eastAsia" w:ascii="宋体" w:hAnsi="宋体" w:cs="宋体"/>
          <w:color w:val="auto"/>
          <w:sz w:val="24"/>
          <w:szCs w:val="24"/>
          <w:highlight w:val="none"/>
        </w:rPr>
        <w:t>招标公告期限为五个工作日。</w:t>
      </w:r>
    </w:p>
    <w:p w14:paraId="553994A1">
      <w:pPr>
        <w:tabs>
          <w:tab w:val="left" w:pos="39"/>
          <w:tab w:val="left" w:pos="96"/>
        </w:tabs>
        <w:snapToGrid w:val="0"/>
        <w:spacing w:line="360" w:lineRule="auto"/>
        <w:ind w:firstLine="566" w:firstLineChars="236"/>
        <w:rPr>
          <w:rFonts w:ascii="宋体" w:hAnsi="宋体"/>
          <w:color w:val="auto"/>
          <w:kern w:val="2"/>
          <w:sz w:val="24"/>
          <w:szCs w:val="24"/>
          <w:highlight w:val="none"/>
        </w:rPr>
      </w:pPr>
    </w:p>
    <w:p w14:paraId="12627042">
      <w:pPr>
        <w:widowControl w:val="0"/>
        <w:snapToGrid w:val="0"/>
        <w:spacing w:line="360" w:lineRule="auto"/>
        <w:ind w:firstLine="562" w:firstLineChars="200"/>
        <w:rPr>
          <w:rFonts w:ascii="黑体" w:hAnsi="黑体" w:eastAsia="黑体"/>
          <w:b/>
          <w:color w:val="auto"/>
          <w:sz w:val="28"/>
          <w:szCs w:val="28"/>
          <w:highlight w:val="none"/>
        </w:rPr>
      </w:pPr>
      <w:bookmarkStart w:id="10" w:name="_Toc35393795"/>
      <w:bookmarkStart w:id="11" w:name="_Toc35393626"/>
      <w:r>
        <w:rPr>
          <w:rFonts w:hint="eastAsia" w:ascii="黑体" w:hAnsi="黑体" w:eastAsia="黑体"/>
          <w:b/>
          <w:color w:val="auto"/>
          <w:sz w:val="28"/>
          <w:szCs w:val="28"/>
          <w:highlight w:val="none"/>
        </w:rPr>
        <w:t>7.其他补充事宜</w:t>
      </w:r>
      <w:bookmarkEnd w:id="10"/>
      <w:bookmarkEnd w:id="11"/>
    </w:p>
    <w:p w14:paraId="7E812C9B">
      <w:pPr>
        <w:widowControl w:val="0"/>
        <w:snapToGrid w:val="0"/>
        <w:spacing w:line="360" w:lineRule="auto"/>
        <w:ind w:firstLine="540" w:firstLineChars="225"/>
        <w:jc w:val="left"/>
        <w:rPr>
          <w:color w:val="auto"/>
          <w:sz w:val="24"/>
          <w:szCs w:val="24"/>
          <w:highlight w:val="none"/>
        </w:rPr>
      </w:pPr>
      <w:r>
        <w:rPr>
          <w:rFonts w:hint="eastAsia" w:ascii="宋体" w:hAnsi="宋体"/>
          <w:color w:val="auto"/>
          <w:sz w:val="24"/>
          <w:szCs w:val="24"/>
          <w:highlight w:val="none"/>
        </w:rPr>
        <w:t>7.1项目落实的政府采购政策：</w:t>
      </w:r>
      <w:r>
        <w:rPr>
          <w:rFonts w:hint="eastAsia"/>
          <w:color w:val="auto"/>
          <w:sz w:val="24"/>
          <w:szCs w:val="24"/>
          <w:highlight w:val="none"/>
        </w:rPr>
        <w:t>强制节能产品强制采购、节能产品、环境标志产品优先采购、促进中小企业发展扶持政策、进口产品政策、信息安全产品、社会信用体系建设、促进残疾人就业、支持监狱企业发展、</w:t>
      </w:r>
      <w:r>
        <w:rPr>
          <w:rFonts w:hint="eastAsia" w:ascii="宋体" w:hAnsi="宋体"/>
          <w:color w:val="auto"/>
          <w:sz w:val="24"/>
          <w:szCs w:val="24"/>
          <w:highlight w:val="none"/>
        </w:rPr>
        <w:t>支持绿色建筑、绿色建材，支持不发达、少数民族地区的企业，促进自主创新产业发展，支持脱贫攻坚、本国产品的支持政策等</w:t>
      </w:r>
      <w:r>
        <w:rPr>
          <w:rFonts w:hint="eastAsia"/>
          <w:color w:val="auto"/>
          <w:sz w:val="24"/>
          <w:szCs w:val="24"/>
          <w:highlight w:val="none"/>
        </w:rPr>
        <w:t>。</w:t>
      </w:r>
    </w:p>
    <w:p w14:paraId="71856BE3">
      <w:pPr>
        <w:widowControl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7.2政府采购合同融资</w:t>
      </w:r>
    </w:p>
    <w:p w14:paraId="63CFD5CF">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28082DFF">
      <w:pPr>
        <w:pStyle w:val="3"/>
        <w:shd w:val="clear" w:color="auto" w:fill="FFFFFF"/>
        <w:adjustRightInd w:val="0"/>
        <w:spacing w:before="50" w:beforeAutospacing="0" w:after="0" w:afterAutospacing="0" w:line="300" w:lineRule="auto"/>
        <w:ind w:firstLine="540" w:firstLineChars="225"/>
        <w:rPr>
          <w:rFonts w:cs="Times New Roman"/>
          <w:color w:val="auto"/>
          <w:highlight w:val="none"/>
        </w:rPr>
      </w:pPr>
      <w:r>
        <w:rPr>
          <w:rFonts w:hint="eastAsia"/>
          <w:color w:val="auto"/>
          <w:highlight w:val="none"/>
        </w:rPr>
        <w:t xml:space="preserve">7.3 </w:t>
      </w:r>
      <w:r>
        <w:rPr>
          <w:rFonts w:hint="eastAsia" w:cs="Times New Roman"/>
          <w:color w:val="auto"/>
          <w:highlight w:val="none"/>
        </w:rPr>
        <w:t>网</w:t>
      </w:r>
      <w:r>
        <w:rPr>
          <w:rFonts w:cs="Times New Roman"/>
          <w:color w:val="auto"/>
          <w:highlight w:val="none"/>
        </w:rPr>
        <w:t>上</w:t>
      </w:r>
      <w:r>
        <w:rPr>
          <w:rFonts w:hint="eastAsia" w:cs="Times New Roman"/>
          <w:color w:val="auto"/>
          <w:highlight w:val="none"/>
        </w:rPr>
        <w:t>电子交易系</w:t>
      </w:r>
      <w:r>
        <w:rPr>
          <w:rFonts w:cs="Times New Roman"/>
          <w:color w:val="auto"/>
          <w:highlight w:val="none"/>
        </w:rPr>
        <w:t>统</w:t>
      </w:r>
      <w:r>
        <w:rPr>
          <w:rFonts w:hint="eastAsia" w:cs="Times New Roman"/>
          <w:color w:val="auto"/>
          <w:highlight w:val="none"/>
        </w:rPr>
        <w:t>网</w:t>
      </w:r>
      <w:r>
        <w:rPr>
          <w:rFonts w:cs="Times New Roman"/>
          <w:color w:val="auto"/>
          <w:highlight w:val="none"/>
        </w:rPr>
        <w:t>址</w:t>
      </w:r>
    </w:p>
    <w:p w14:paraId="7CD4C14B">
      <w:pPr>
        <w:widowControl w:val="0"/>
        <w:tabs>
          <w:tab w:val="left" w:pos="39"/>
          <w:tab w:val="left" w:pos="96"/>
        </w:tabs>
        <w:snapToGrid w:val="0"/>
        <w:spacing w:line="360" w:lineRule="auto"/>
        <w:ind w:firstLine="590" w:firstLineChars="245"/>
        <w:rPr>
          <w:rStyle w:val="6"/>
          <w:b/>
          <w:color w:val="auto"/>
          <w:sz w:val="24"/>
          <w:szCs w:val="24"/>
          <w:highlight w:val="none"/>
        </w:rPr>
      </w:pPr>
      <w:bookmarkStart w:id="12" w:name="_Toc35393796"/>
      <w:bookmarkStart w:id="13" w:name="_Toc28359085"/>
      <w:bookmarkStart w:id="14" w:name="_Toc35393627"/>
      <w:bookmarkStart w:id="15" w:name="_Toc28359008"/>
      <w:r>
        <w:rPr>
          <w:rFonts w:hint="eastAsia" w:ascii="宋体"/>
          <w:b/>
          <w:color w:val="auto"/>
          <w:sz w:val="24"/>
          <w:szCs w:val="24"/>
          <w:highlight w:val="none"/>
        </w:rPr>
        <w:t>7.3.1</w:t>
      </w:r>
      <w:r>
        <w:rPr>
          <w:rFonts w:hint="eastAsia" w:ascii="宋体" w:hAnsi="宋体"/>
          <w:b/>
          <w:color w:val="auto"/>
          <w:sz w:val="24"/>
          <w:szCs w:val="24"/>
          <w:highlight w:val="none"/>
        </w:rPr>
        <w:t>全国公共资源交易平台（河南省</w:t>
      </w:r>
      <w:r>
        <w:rPr>
          <w:rFonts w:hint="eastAsia" w:ascii="宋体" w:hAnsi="宋体" w:cs="宋体"/>
          <w:color w:val="auto"/>
          <w:sz w:val="24"/>
          <w:szCs w:val="24"/>
          <w:highlight w:val="none"/>
        </w:rPr>
        <w:t>·</w:t>
      </w:r>
      <w:r>
        <w:rPr>
          <w:rFonts w:hint="eastAsia" w:ascii="宋体" w:hAnsi="宋体"/>
          <w:b/>
          <w:color w:val="auto"/>
          <w:sz w:val="24"/>
          <w:szCs w:val="24"/>
          <w:highlight w:val="none"/>
        </w:rPr>
        <w:t>安阳市）</w:t>
      </w:r>
      <w:r>
        <w:rPr>
          <w:color w:val="auto"/>
          <w:highlight w:val="none"/>
        </w:rPr>
        <w:fldChar w:fldCharType="begin"/>
      </w:r>
      <w:r>
        <w:rPr>
          <w:color w:val="auto"/>
          <w:highlight w:val="none"/>
        </w:rPr>
        <w:instrText xml:space="preserve"> HYPERLINK "https://ggzy.anyang.gov.cn" </w:instrText>
      </w:r>
      <w:r>
        <w:rPr>
          <w:color w:val="auto"/>
          <w:highlight w:val="none"/>
        </w:rPr>
        <w:fldChar w:fldCharType="separate"/>
      </w:r>
      <w:r>
        <w:rPr>
          <w:rStyle w:val="6"/>
          <w:b/>
          <w:color w:val="auto"/>
          <w:sz w:val="24"/>
          <w:szCs w:val="24"/>
          <w:highlight w:val="none"/>
        </w:rPr>
        <w:t>https://ggzy.anyang.gov.cn</w:t>
      </w:r>
      <w:r>
        <w:rPr>
          <w:rStyle w:val="6"/>
          <w:b/>
          <w:color w:val="auto"/>
          <w:sz w:val="24"/>
          <w:szCs w:val="24"/>
          <w:highlight w:val="none"/>
        </w:rPr>
        <w:fldChar w:fldCharType="end"/>
      </w:r>
    </w:p>
    <w:p w14:paraId="0F9D6358">
      <w:pPr>
        <w:widowControl w:val="0"/>
        <w:tabs>
          <w:tab w:val="left" w:pos="39"/>
          <w:tab w:val="left" w:pos="96"/>
        </w:tabs>
        <w:snapToGrid w:val="0"/>
        <w:spacing w:line="360" w:lineRule="auto"/>
        <w:ind w:firstLine="590" w:firstLineChars="245"/>
        <w:rPr>
          <w:rFonts w:ascii="宋体"/>
          <w:b/>
          <w:color w:val="auto"/>
          <w:sz w:val="24"/>
          <w:szCs w:val="24"/>
          <w:highlight w:val="none"/>
        </w:rPr>
      </w:pPr>
      <w:r>
        <w:rPr>
          <w:rFonts w:hint="eastAsia" w:ascii="宋体" w:hAnsi="宋体"/>
          <w:b/>
          <w:color w:val="auto"/>
          <w:sz w:val="24"/>
          <w:szCs w:val="24"/>
          <w:highlight w:val="none"/>
        </w:rPr>
        <w:t>招标文件简称“安阳市公共资源交易平台”</w:t>
      </w:r>
    </w:p>
    <w:p w14:paraId="36E9080D">
      <w:pPr>
        <w:widowControl w:val="0"/>
        <w:tabs>
          <w:tab w:val="left" w:pos="39"/>
          <w:tab w:val="left" w:pos="96"/>
        </w:tabs>
        <w:snapToGrid w:val="0"/>
        <w:spacing w:line="360" w:lineRule="auto"/>
        <w:ind w:firstLine="602" w:firstLineChars="250"/>
        <w:rPr>
          <w:rFonts w:ascii="宋体" w:hAnsi="宋体" w:cs="宋体"/>
          <w:color w:val="auto"/>
          <w:sz w:val="24"/>
          <w:szCs w:val="24"/>
          <w:highlight w:val="none"/>
        </w:rPr>
      </w:pPr>
      <w:r>
        <w:rPr>
          <w:rFonts w:hint="eastAsia" w:ascii="宋体"/>
          <w:b/>
          <w:color w:val="auto"/>
          <w:sz w:val="24"/>
          <w:szCs w:val="24"/>
          <w:highlight w:val="none"/>
        </w:rPr>
        <w:t>7.3.2投标文件制作软件：在安阳市公共资源交易平台进行下载、并安装投标文件制作工具，查看招标文件和制作电子投标文件。</w:t>
      </w:r>
    </w:p>
    <w:p w14:paraId="2EF36066">
      <w:pPr>
        <w:widowControl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7.4 说明</w:t>
      </w:r>
    </w:p>
    <w:p w14:paraId="473AD58E">
      <w:pPr>
        <w:widowControl w:val="0"/>
        <w:tabs>
          <w:tab w:val="left" w:pos="39"/>
          <w:tab w:val="left" w:pos="96"/>
        </w:tabs>
        <w:snapToGrid w:val="0"/>
        <w:spacing w:line="360" w:lineRule="auto"/>
        <w:ind w:firstLine="602" w:firstLineChars="250"/>
        <w:rPr>
          <w:rFonts w:ascii="宋体"/>
          <w:b/>
          <w:color w:val="auto"/>
          <w:sz w:val="24"/>
          <w:szCs w:val="24"/>
          <w:highlight w:val="none"/>
        </w:rPr>
      </w:pPr>
      <w:r>
        <w:rPr>
          <w:rFonts w:hint="eastAsia" w:ascii="宋体"/>
          <w:b/>
          <w:color w:val="auto"/>
          <w:sz w:val="24"/>
          <w:szCs w:val="24"/>
          <w:highlight w:val="none"/>
        </w:rPr>
        <w:t>投标单价的最高限价补充说明如下：投标人的投标单价（含固封）不得高于下列“投标单价最高限价”，否则视为无效投标。</w:t>
      </w:r>
    </w:p>
    <w:tbl>
      <w:tblPr>
        <w:tblStyle w:val="7"/>
        <w:tblW w:w="97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2212"/>
        <w:gridCol w:w="713"/>
        <w:gridCol w:w="1952"/>
        <w:gridCol w:w="1805"/>
        <w:gridCol w:w="2512"/>
      </w:tblGrid>
      <w:tr w14:paraId="4BD82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blHeader/>
          <w:jc w:val="center"/>
        </w:trPr>
        <w:tc>
          <w:tcPr>
            <w:tcW w:w="601" w:type="dxa"/>
            <w:vAlign w:val="center"/>
          </w:tcPr>
          <w:p w14:paraId="5D53F3AB">
            <w:pPr>
              <w:widowControl w:val="0"/>
              <w:adjustRightInd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2212" w:type="dxa"/>
            <w:vAlign w:val="center"/>
          </w:tcPr>
          <w:p w14:paraId="579D422C">
            <w:pPr>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分类</w:t>
            </w:r>
          </w:p>
        </w:tc>
        <w:tc>
          <w:tcPr>
            <w:tcW w:w="713" w:type="dxa"/>
            <w:vAlign w:val="center"/>
          </w:tcPr>
          <w:p w14:paraId="1B7E9D77">
            <w:pPr>
              <w:widowControl w:val="0"/>
              <w:adjustRightInd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952" w:type="dxa"/>
            <w:vAlign w:val="center"/>
          </w:tcPr>
          <w:p w14:paraId="15AACB8D">
            <w:pPr>
              <w:widowControl w:val="0"/>
              <w:adjustRightInd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投标单价最高限价</w:t>
            </w:r>
          </w:p>
          <w:p w14:paraId="3981F147">
            <w:pPr>
              <w:widowControl w:val="0"/>
              <w:adjustRightInd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（元）</w:t>
            </w:r>
          </w:p>
        </w:tc>
        <w:tc>
          <w:tcPr>
            <w:tcW w:w="1805" w:type="dxa"/>
            <w:vAlign w:val="center"/>
          </w:tcPr>
          <w:p w14:paraId="2E3E1C04">
            <w:pPr>
              <w:widowControl w:val="0"/>
              <w:adjustRightInd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半成品购买单价</w:t>
            </w:r>
          </w:p>
          <w:p w14:paraId="1BCC5E26">
            <w:pPr>
              <w:widowControl w:val="0"/>
              <w:adjustRightInd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（含固封）</w:t>
            </w:r>
          </w:p>
        </w:tc>
        <w:tc>
          <w:tcPr>
            <w:tcW w:w="2512" w:type="dxa"/>
            <w:vAlign w:val="center"/>
          </w:tcPr>
          <w:p w14:paraId="7F99CCFE">
            <w:pPr>
              <w:widowControl w:val="0"/>
              <w:adjustRightInd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总数量</w:t>
            </w:r>
          </w:p>
          <w:p w14:paraId="1B9C69E5">
            <w:pPr>
              <w:widowControl w:val="0"/>
              <w:adjustRightInd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2025年生产量仅供参考</w:t>
            </w:r>
          </w:p>
        </w:tc>
      </w:tr>
      <w:tr w14:paraId="2FDC8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1" w:type="dxa"/>
            <w:vAlign w:val="center"/>
          </w:tcPr>
          <w:p w14:paraId="43E5E1D7">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2212" w:type="dxa"/>
            <w:vAlign w:val="center"/>
          </w:tcPr>
          <w:p w14:paraId="4AC78000">
            <w:pPr>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大型汽车号牌</w:t>
            </w:r>
          </w:p>
        </w:tc>
        <w:tc>
          <w:tcPr>
            <w:tcW w:w="713" w:type="dxa"/>
            <w:vAlign w:val="center"/>
          </w:tcPr>
          <w:p w14:paraId="1CD0CE7E">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1副</w:t>
            </w:r>
          </w:p>
        </w:tc>
        <w:tc>
          <w:tcPr>
            <w:tcW w:w="1952" w:type="dxa"/>
            <w:vAlign w:val="center"/>
          </w:tcPr>
          <w:p w14:paraId="5F52015F">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50.00</w:t>
            </w:r>
          </w:p>
        </w:tc>
        <w:tc>
          <w:tcPr>
            <w:tcW w:w="1805" w:type="dxa"/>
            <w:vAlign w:val="center"/>
          </w:tcPr>
          <w:p w14:paraId="72531641">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42.60元</w:t>
            </w:r>
          </w:p>
        </w:tc>
        <w:tc>
          <w:tcPr>
            <w:tcW w:w="2512" w:type="dxa"/>
            <w:vAlign w:val="center"/>
          </w:tcPr>
          <w:p w14:paraId="1CF8403A">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4462副</w:t>
            </w:r>
          </w:p>
        </w:tc>
      </w:tr>
      <w:tr w14:paraId="338B0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1" w:type="dxa"/>
            <w:vAlign w:val="center"/>
          </w:tcPr>
          <w:p w14:paraId="0E3029C5">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2</w:t>
            </w:r>
          </w:p>
        </w:tc>
        <w:tc>
          <w:tcPr>
            <w:tcW w:w="2212" w:type="dxa"/>
            <w:vAlign w:val="center"/>
          </w:tcPr>
          <w:p w14:paraId="381F75C0">
            <w:pPr>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挂车号牌</w:t>
            </w:r>
          </w:p>
        </w:tc>
        <w:tc>
          <w:tcPr>
            <w:tcW w:w="713" w:type="dxa"/>
            <w:vAlign w:val="center"/>
          </w:tcPr>
          <w:p w14:paraId="5BE8A6C0">
            <w:pPr>
              <w:widowControl w:val="0"/>
              <w:adjustRightInd w:val="0"/>
              <w:snapToGrid w:val="0"/>
              <w:spacing w:line="240" w:lineRule="auto"/>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1张</w:t>
            </w:r>
          </w:p>
        </w:tc>
        <w:tc>
          <w:tcPr>
            <w:tcW w:w="1952" w:type="dxa"/>
            <w:vAlign w:val="center"/>
          </w:tcPr>
          <w:p w14:paraId="57A3955E">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40.00</w:t>
            </w:r>
          </w:p>
        </w:tc>
        <w:tc>
          <w:tcPr>
            <w:tcW w:w="1805" w:type="dxa"/>
            <w:vAlign w:val="center"/>
          </w:tcPr>
          <w:p w14:paraId="16CDA269">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25.20元</w:t>
            </w:r>
          </w:p>
        </w:tc>
        <w:tc>
          <w:tcPr>
            <w:tcW w:w="2512" w:type="dxa"/>
            <w:vAlign w:val="center"/>
          </w:tcPr>
          <w:p w14:paraId="18E69E01">
            <w:pPr>
              <w:widowControl w:val="0"/>
              <w:adjustRightInd w:val="0"/>
              <w:snapToGrid w:val="0"/>
              <w:spacing w:line="240" w:lineRule="auto"/>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1852</w:t>
            </w:r>
            <w:r>
              <w:rPr>
                <w:rFonts w:hint="eastAsia" w:ascii="宋体" w:hAnsi="宋体"/>
                <w:color w:val="auto"/>
                <w:sz w:val="24"/>
                <w:szCs w:val="24"/>
                <w:highlight w:val="none"/>
                <w:lang w:eastAsia="zh-CN"/>
              </w:rPr>
              <w:t>张</w:t>
            </w:r>
          </w:p>
        </w:tc>
      </w:tr>
      <w:tr w14:paraId="5043C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1" w:type="dxa"/>
            <w:vAlign w:val="center"/>
          </w:tcPr>
          <w:p w14:paraId="7926A1DF">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3</w:t>
            </w:r>
          </w:p>
        </w:tc>
        <w:tc>
          <w:tcPr>
            <w:tcW w:w="2212" w:type="dxa"/>
            <w:vAlign w:val="center"/>
          </w:tcPr>
          <w:p w14:paraId="2E18F7DC">
            <w:pPr>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大型新能源</w:t>
            </w:r>
          </w:p>
          <w:p w14:paraId="453782C4">
            <w:pPr>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汽车号牌</w:t>
            </w:r>
          </w:p>
        </w:tc>
        <w:tc>
          <w:tcPr>
            <w:tcW w:w="713" w:type="dxa"/>
            <w:vAlign w:val="center"/>
          </w:tcPr>
          <w:p w14:paraId="5D3E38D8">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1副</w:t>
            </w:r>
          </w:p>
        </w:tc>
        <w:tc>
          <w:tcPr>
            <w:tcW w:w="1952" w:type="dxa"/>
            <w:vAlign w:val="center"/>
          </w:tcPr>
          <w:p w14:paraId="10451F37">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50.00</w:t>
            </w:r>
          </w:p>
        </w:tc>
        <w:tc>
          <w:tcPr>
            <w:tcW w:w="1805" w:type="dxa"/>
            <w:vAlign w:val="center"/>
          </w:tcPr>
          <w:p w14:paraId="6952D044">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44.40元</w:t>
            </w:r>
          </w:p>
        </w:tc>
        <w:tc>
          <w:tcPr>
            <w:tcW w:w="2512" w:type="dxa"/>
            <w:vAlign w:val="center"/>
          </w:tcPr>
          <w:p w14:paraId="768EAC2A">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1959副</w:t>
            </w:r>
          </w:p>
        </w:tc>
      </w:tr>
      <w:tr w14:paraId="21A1D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1" w:type="dxa"/>
            <w:vAlign w:val="center"/>
          </w:tcPr>
          <w:p w14:paraId="2B0B9A78">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4</w:t>
            </w:r>
          </w:p>
        </w:tc>
        <w:tc>
          <w:tcPr>
            <w:tcW w:w="2212" w:type="dxa"/>
            <w:vAlign w:val="center"/>
          </w:tcPr>
          <w:p w14:paraId="55EB9879">
            <w:pPr>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小型汽车号牌</w:t>
            </w:r>
          </w:p>
        </w:tc>
        <w:tc>
          <w:tcPr>
            <w:tcW w:w="713" w:type="dxa"/>
            <w:vAlign w:val="center"/>
          </w:tcPr>
          <w:p w14:paraId="40A20894">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1副</w:t>
            </w:r>
          </w:p>
        </w:tc>
        <w:tc>
          <w:tcPr>
            <w:tcW w:w="1952" w:type="dxa"/>
            <w:vAlign w:val="center"/>
          </w:tcPr>
          <w:p w14:paraId="1315F482">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50.00</w:t>
            </w:r>
          </w:p>
        </w:tc>
        <w:tc>
          <w:tcPr>
            <w:tcW w:w="1805" w:type="dxa"/>
            <w:vAlign w:val="center"/>
          </w:tcPr>
          <w:p w14:paraId="14BB7F76">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34.70元</w:t>
            </w:r>
          </w:p>
        </w:tc>
        <w:tc>
          <w:tcPr>
            <w:tcW w:w="2512" w:type="dxa"/>
            <w:vAlign w:val="center"/>
          </w:tcPr>
          <w:p w14:paraId="461B692F">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110291副</w:t>
            </w:r>
          </w:p>
        </w:tc>
      </w:tr>
      <w:tr w14:paraId="4773F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1" w:type="dxa"/>
            <w:vAlign w:val="center"/>
          </w:tcPr>
          <w:p w14:paraId="6CF72E57">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5</w:t>
            </w:r>
          </w:p>
        </w:tc>
        <w:tc>
          <w:tcPr>
            <w:tcW w:w="2212" w:type="dxa"/>
            <w:vAlign w:val="center"/>
          </w:tcPr>
          <w:p w14:paraId="75F0381B">
            <w:pPr>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小型新能源</w:t>
            </w:r>
          </w:p>
          <w:p w14:paraId="5BDC4DD9">
            <w:pPr>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汽车号牌</w:t>
            </w:r>
          </w:p>
        </w:tc>
        <w:tc>
          <w:tcPr>
            <w:tcW w:w="713" w:type="dxa"/>
            <w:vAlign w:val="center"/>
          </w:tcPr>
          <w:p w14:paraId="7C00479C">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1副</w:t>
            </w:r>
          </w:p>
        </w:tc>
        <w:tc>
          <w:tcPr>
            <w:tcW w:w="1952" w:type="dxa"/>
            <w:vAlign w:val="center"/>
          </w:tcPr>
          <w:p w14:paraId="425CA2EC">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50.00</w:t>
            </w:r>
          </w:p>
        </w:tc>
        <w:tc>
          <w:tcPr>
            <w:tcW w:w="1805" w:type="dxa"/>
            <w:vAlign w:val="center"/>
          </w:tcPr>
          <w:p w14:paraId="5A555D5C">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44.40元</w:t>
            </w:r>
          </w:p>
        </w:tc>
        <w:tc>
          <w:tcPr>
            <w:tcW w:w="2512" w:type="dxa"/>
            <w:vAlign w:val="center"/>
          </w:tcPr>
          <w:p w14:paraId="554AD3A1">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38157副</w:t>
            </w:r>
          </w:p>
        </w:tc>
      </w:tr>
      <w:tr w14:paraId="25942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jc w:val="center"/>
        </w:trPr>
        <w:tc>
          <w:tcPr>
            <w:tcW w:w="601" w:type="dxa"/>
            <w:vAlign w:val="center"/>
          </w:tcPr>
          <w:p w14:paraId="21DA85C3">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6</w:t>
            </w:r>
          </w:p>
        </w:tc>
        <w:tc>
          <w:tcPr>
            <w:tcW w:w="2212" w:type="dxa"/>
            <w:vAlign w:val="center"/>
          </w:tcPr>
          <w:p w14:paraId="74B7C497">
            <w:pPr>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教练汽车号牌</w:t>
            </w:r>
          </w:p>
        </w:tc>
        <w:tc>
          <w:tcPr>
            <w:tcW w:w="713" w:type="dxa"/>
            <w:vAlign w:val="center"/>
          </w:tcPr>
          <w:p w14:paraId="07B295F6">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1副</w:t>
            </w:r>
          </w:p>
        </w:tc>
        <w:tc>
          <w:tcPr>
            <w:tcW w:w="1952" w:type="dxa"/>
            <w:vAlign w:val="center"/>
          </w:tcPr>
          <w:p w14:paraId="08D255E3">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40.40</w:t>
            </w:r>
          </w:p>
        </w:tc>
        <w:tc>
          <w:tcPr>
            <w:tcW w:w="1805" w:type="dxa"/>
            <w:vAlign w:val="center"/>
          </w:tcPr>
          <w:p w14:paraId="2AE9F61D">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34.80元</w:t>
            </w:r>
          </w:p>
        </w:tc>
        <w:tc>
          <w:tcPr>
            <w:tcW w:w="2512" w:type="dxa"/>
            <w:vAlign w:val="center"/>
          </w:tcPr>
          <w:p w14:paraId="68F9BF0D">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464副</w:t>
            </w:r>
          </w:p>
        </w:tc>
      </w:tr>
      <w:tr w14:paraId="2F9B1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1" w:type="dxa"/>
            <w:vAlign w:val="center"/>
          </w:tcPr>
          <w:p w14:paraId="5EED0C23">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7</w:t>
            </w:r>
          </w:p>
        </w:tc>
        <w:tc>
          <w:tcPr>
            <w:tcW w:w="2212" w:type="dxa"/>
            <w:vAlign w:val="center"/>
          </w:tcPr>
          <w:p w14:paraId="181A24F3">
            <w:pPr>
              <w:snapToGrid w:val="0"/>
              <w:spacing w:line="240" w:lineRule="auto"/>
              <w:jc w:val="center"/>
              <w:rPr>
                <w:rFonts w:ascii="宋体" w:hAnsi="宋体"/>
                <w:color w:val="auto"/>
                <w:sz w:val="24"/>
                <w:szCs w:val="24"/>
                <w:highlight w:val="none"/>
              </w:rPr>
            </w:pPr>
            <w:r>
              <w:rPr>
                <w:rFonts w:ascii="宋体" w:hAnsi="宋体"/>
                <w:color w:val="auto"/>
                <w:sz w:val="24"/>
                <w:szCs w:val="24"/>
                <w:highlight w:val="none"/>
              </w:rPr>
              <w:t>普通摩托车</w:t>
            </w:r>
          </w:p>
          <w:p w14:paraId="0231FAF4">
            <w:pPr>
              <w:snapToGrid w:val="0"/>
              <w:spacing w:line="240" w:lineRule="auto"/>
              <w:jc w:val="center"/>
              <w:rPr>
                <w:rFonts w:ascii="宋体" w:hAnsi="宋体"/>
                <w:color w:val="auto"/>
                <w:sz w:val="24"/>
                <w:szCs w:val="24"/>
                <w:highlight w:val="none"/>
              </w:rPr>
            </w:pPr>
            <w:r>
              <w:rPr>
                <w:rFonts w:ascii="宋体" w:hAnsi="宋体"/>
                <w:color w:val="auto"/>
                <w:sz w:val="24"/>
                <w:szCs w:val="24"/>
                <w:highlight w:val="none"/>
              </w:rPr>
              <w:t>号牌</w:t>
            </w:r>
          </w:p>
        </w:tc>
        <w:tc>
          <w:tcPr>
            <w:tcW w:w="713" w:type="dxa"/>
            <w:vAlign w:val="center"/>
          </w:tcPr>
          <w:p w14:paraId="1E26F36C">
            <w:pPr>
              <w:widowControl w:val="0"/>
              <w:adjustRightInd w:val="0"/>
              <w:snapToGrid w:val="0"/>
              <w:spacing w:line="240" w:lineRule="auto"/>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1张</w:t>
            </w:r>
          </w:p>
        </w:tc>
        <w:tc>
          <w:tcPr>
            <w:tcW w:w="1952" w:type="dxa"/>
            <w:vAlign w:val="center"/>
          </w:tcPr>
          <w:p w14:paraId="1183D591">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15.90</w:t>
            </w:r>
          </w:p>
        </w:tc>
        <w:tc>
          <w:tcPr>
            <w:tcW w:w="1805" w:type="dxa"/>
            <w:vAlign w:val="center"/>
          </w:tcPr>
          <w:p w14:paraId="22864384">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15.40元</w:t>
            </w:r>
          </w:p>
        </w:tc>
        <w:tc>
          <w:tcPr>
            <w:tcW w:w="2512" w:type="dxa"/>
            <w:vAlign w:val="center"/>
          </w:tcPr>
          <w:p w14:paraId="116A4647">
            <w:pPr>
              <w:widowControl w:val="0"/>
              <w:adjustRightInd w:val="0"/>
              <w:snapToGrid w:val="0"/>
              <w:spacing w:line="240" w:lineRule="auto"/>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10918</w:t>
            </w:r>
            <w:r>
              <w:rPr>
                <w:rFonts w:hint="eastAsia" w:ascii="宋体" w:hAnsi="宋体"/>
                <w:color w:val="auto"/>
                <w:sz w:val="24"/>
                <w:szCs w:val="24"/>
                <w:highlight w:val="none"/>
                <w:lang w:eastAsia="zh-CN"/>
              </w:rPr>
              <w:t>张</w:t>
            </w:r>
          </w:p>
        </w:tc>
      </w:tr>
      <w:tr w14:paraId="082B0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1" w:type="dxa"/>
            <w:vAlign w:val="center"/>
          </w:tcPr>
          <w:p w14:paraId="1EDC7FD0">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8</w:t>
            </w:r>
          </w:p>
        </w:tc>
        <w:tc>
          <w:tcPr>
            <w:tcW w:w="2212" w:type="dxa"/>
            <w:vAlign w:val="center"/>
          </w:tcPr>
          <w:p w14:paraId="0C552825">
            <w:pPr>
              <w:snapToGrid w:val="0"/>
              <w:spacing w:line="240" w:lineRule="auto"/>
              <w:jc w:val="center"/>
              <w:rPr>
                <w:rFonts w:ascii="宋体" w:hAnsi="宋体"/>
                <w:color w:val="auto"/>
                <w:sz w:val="24"/>
                <w:szCs w:val="24"/>
                <w:highlight w:val="none"/>
              </w:rPr>
            </w:pPr>
            <w:r>
              <w:rPr>
                <w:rFonts w:ascii="宋体" w:hAnsi="宋体"/>
                <w:color w:val="auto"/>
                <w:sz w:val="24"/>
                <w:szCs w:val="24"/>
                <w:highlight w:val="none"/>
              </w:rPr>
              <w:t>轻便摩托车</w:t>
            </w:r>
          </w:p>
          <w:p w14:paraId="3FD43CA3">
            <w:pPr>
              <w:snapToGrid w:val="0"/>
              <w:spacing w:line="240" w:lineRule="auto"/>
              <w:jc w:val="center"/>
              <w:rPr>
                <w:rFonts w:ascii="宋体" w:hAnsi="宋体"/>
                <w:color w:val="auto"/>
                <w:sz w:val="24"/>
                <w:szCs w:val="24"/>
                <w:highlight w:val="none"/>
              </w:rPr>
            </w:pPr>
            <w:r>
              <w:rPr>
                <w:rFonts w:ascii="宋体" w:hAnsi="宋体"/>
                <w:color w:val="auto"/>
                <w:sz w:val="24"/>
                <w:szCs w:val="24"/>
                <w:highlight w:val="none"/>
              </w:rPr>
              <w:t>号牌</w:t>
            </w:r>
          </w:p>
        </w:tc>
        <w:tc>
          <w:tcPr>
            <w:tcW w:w="713" w:type="dxa"/>
            <w:vAlign w:val="center"/>
          </w:tcPr>
          <w:p w14:paraId="7970F259">
            <w:pPr>
              <w:widowControl w:val="0"/>
              <w:adjustRightInd w:val="0"/>
              <w:snapToGrid w:val="0"/>
              <w:spacing w:line="240" w:lineRule="auto"/>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1张</w:t>
            </w:r>
          </w:p>
        </w:tc>
        <w:tc>
          <w:tcPr>
            <w:tcW w:w="1952" w:type="dxa"/>
            <w:vAlign w:val="center"/>
          </w:tcPr>
          <w:p w14:paraId="68D25E72">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15.90</w:t>
            </w:r>
          </w:p>
        </w:tc>
        <w:tc>
          <w:tcPr>
            <w:tcW w:w="1805" w:type="dxa"/>
            <w:vAlign w:val="center"/>
          </w:tcPr>
          <w:p w14:paraId="75FBE60E">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15.40元</w:t>
            </w:r>
          </w:p>
        </w:tc>
        <w:tc>
          <w:tcPr>
            <w:tcW w:w="2512" w:type="dxa"/>
            <w:vAlign w:val="center"/>
          </w:tcPr>
          <w:p w14:paraId="0C72E057">
            <w:pPr>
              <w:widowControl w:val="0"/>
              <w:adjustRightInd w:val="0"/>
              <w:snapToGrid w:val="0"/>
              <w:spacing w:line="240" w:lineRule="auto"/>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48</w:t>
            </w:r>
            <w:r>
              <w:rPr>
                <w:rFonts w:hint="eastAsia" w:ascii="宋体" w:hAnsi="宋体"/>
                <w:color w:val="auto"/>
                <w:sz w:val="24"/>
                <w:szCs w:val="24"/>
                <w:highlight w:val="none"/>
                <w:lang w:eastAsia="zh-CN"/>
              </w:rPr>
              <w:t>张</w:t>
            </w:r>
          </w:p>
        </w:tc>
      </w:tr>
      <w:tr w14:paraId="70FDF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1" w:type="dxa"/>
            <w:vAlign w:val="center"/>
          </w:tcPr>
          <w:p w14:paraId="6F370CFF">
            <w:pPr>
              <w:widowControl w:val="0"/>
              <w:adjustRightInd w:val="0"/>
              <w:snapToGrid w:val="0"/>
              <w:spacing w:line="240" w:lineRule="auto"/>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9</w:t>
            </w:r>
          </w:p>
        </w:tc>
        <w:tc>
          <w:tcPr>
            <w:tcW w:w="2212" w:type="dxa"/>
            <w:shd w:val="clear" w:color="auto" w:fill="auto"/>
            <w:vAlign w:val="center"/>
          </w:tcPr>
          <w:p w14:paraId="6842ECA7">
            <w:pPr>
              <w:snapToGrid w:val="0"/>
              <w:spacing w:line="240" w:lineRule="auto"/>
              <w:jc w:val="center"/>
              <w:rPr>
                <w:rFonts w:ascii="宋体" w:hAnsi="宋体"/>
                <w:color w:val="auto"/>
                <w:sz w:val="24"/>
                <w:szCs w:val="24"/>
                <w:highlight w:val="none"/>
              </w:rPr>
            </w:pPr>
            <w:r>
              <w:rPr>
                <w:rFonts w:ascii="宋体" w:hAnsi="宋体"/>
                <w:color w:val="auto"/>
                <w:sz w:val="24"/>
                <w:szCs w:val="24"/>
                <w:highlight w:val="none"/>
              </w:rPr>
              <w:t>教练摩托车</w:t>
            </w:r>
          </w:p>
          <w:p w14:paraId="2F3C9EF0">
            <w:pPr>
              <w:snapToGrid w:val="0"/>
              <w:spacing w:line="240" w:lineRule="auto"/>
              <w:jc w:val="center"/>
              <w:rPr>
                <w:rFonts w:ascii="宋体" w:hAnsi="宋体" w:eastAsia="宋体" w:cs="Times New Roman"/>
                <w:color w:val="auto"/>
                <w:sz w:val="24"/>
                <w:szCs w:val="24"/>
                <w:highlight w:val="none"/>
                <w:u w:color="000000"/>
                <w:lang w:val="en-US" w:eastAsia="zh-CN" w:bidi="ar-SA"/>
              </w:rPr>
            </w:pPr>
            <w:r>
              <w:rPr>
                <w:rFonts w:ascii="宋体" w:hAnsi="宋体"/>
                <w:color w:val="auto"/>
                <w:sz w:val="24"/>
                <w:szCs w:val="24"/>
                <w:highlight w:val="none"/>
              </w:rPr>
              <w:t>号牌</w:t>
            </w:r>
          </w:p>
        </w:tc>
        <w:tc>
          <w:tcPr>
            <w:tcW w:w="713" w:type="dxa"/>
            <w:shd w:val="clear" w:color="auto" w:fill="auto"/>
            <w:vAlign w:val="center"/>
          </w:tcPr>
          <w:p w14:paraId="4A16D926">
            <w:pPr>
              <w:widowControl w:val="0"/>
              <w:adjustRightInd w:val="0"/>
              <w:snapToGrid w:val="0"/>
              <w:spacing w:line="240" w:lineRule="auto"/>
              <w:jc w:val="center"/>
              <w:rPr>
                <w:rFonts w:hint="eastAsia" w:ascii="宋体" w:hAnsi="宋体" w:eastAsia="宋体" w:cs="Times New Roman"/>
                <w:color w:val="auto"/>
                <w:sz w:val="24"/>
                <w:szCs w:val="24"/>
                <w:highlight w:val="none"/>
                <w:u w:color="000000"/>
                <w:lang w:val="en-US" w:eastAsia="zh-CN" w:bidi="ar-SA"/>
              </w:rPr>
            </w:pPr>
            <w:r>
              <w:rPr>
                <w:rFonts w:hint="eastAsia" w:ascii="宋体" w:hAnsi="宋体"/>
                <w:color w:val="auto"/>
                <w:sz w:val="24"/>
                <w:szCs w:val="24"/>
                <w:highlight w:val="none"/>
                <w:lang w:val="en-US" w:eastAsia="zh-CN"/>
              </w:rPr>
              <w:t>1张</w:t>
            </w:r>
          </w:p>
        </w:tc>
        <w:tc>
          <w:tcPr>
            <w:tcW w:w="1952" w:type="dxa"/>
            <w:shd w:val="clear" w:color="auto" w:fill="auto"/>
            <w:vAlign w:val="center"/>
          </w:tcPr>
          <w:p w14:paraId="575D2CA6">
            <w:pPr>
              <w:widowControl w:val="0"/>
              <w:adjustRightInd w:val="0"/>
              <w:snapToGrid w:val="0"/>
              <w:spacing w:line="240" w:lineRule="auto"/>
              <w:jc w:val="center"/>
              <w:rPr>
                <w:rFonts w:hint="eastAsia" w:ascii="宋体" w:hAnsi="宋体" w:eastAsia="宋体" w:cs="Times New Roman"/>
                <w:color w:val="auto"/>
                <w:sz w:val="24"/>
                <w:szCs w:val="24"/>
                <w:highlight w:val="none"/>
                <w:u w:color="000000"/>
                <w:lang w:val="en-US" w:eastAsia="zh-CN" w:bidi="ar-SA"/>
              </w:rPr>
            </w:pPr>
            <w:r>
              <w:rPr>
                <w:rFonts w:hint="eastAsia" w:ascii="宋体" w:hAnsi="宋体"/>
                <w:color w:val="auto"/>
                <w:sz w:val="24"/>
                <w:szCs w:val="24"/>
                <w:highlight w:val="none"/>
              </w:rPr>
              <w:t>15.90</w:t>
            </w:r>
          </w:p>
        </w:tc>
        <w:tc>
          <w:tcPr>
            <w:tcW w:w="1805" w:type="dxa"/>
            <w:shd w:val="clear" w:color="auto" w:fill="auto"/>
            <w:vAlign w:val="center"/>
          </w:tcPr>
          <w:p w14:paraId="5C37EF47">
            <w:pPr>
              <w:widowControl w:val="0"/>
              <w:adjustRightInd w:val="0"/>
              <w:snapToGrid w:val="0"/>
              <w:spacing w:line="240" w:lineRule="auto"/>
              <w:jc w:val="center"/>
              <w:rPr>
                <w:rFonts w:hint="eastAsia" w:ascii="宋体" w:hAnsi="宋体" w:eastAsia="宋体" w:cs="Times New Roman"/>
                <w:color w:val="auto"/>
                <w:sz w:val="24"/>
                <w:szCs w:val="24"/>
                <w:highlight w:val="none"/>
                <w:u w:color="000000"/>
                <w:lang w:val="en-US" w:eastAsia="zh-CN" w:bidi="ar-SA"/>
              </w:rPr>
            </w:pPr>
            <w:r>
              <w:rPr>
                <w:rFonts w:hint="eastAsia" w:ascii="宋体" w:hAnsi="宋体"/>
                <w:color w:val="auto"/>
                <w:sz w:val="24"/>
                <w:szCs w:val="24"/>
                <w:highlight w:val="none"/>
              </w:rPr>
              <w:t>15.40元</w:t>
            </w:r>
          </w:p>
        </w:tc>
        <w:tc>
          <w:tcPr>
            <w:tcW w:w="2512" w:type="dxa"/>
            <w:shd w:val="clear" w:color="auto" w:fill="auto"/>
            <w:vAlign w:val="center"/>
          </w:tcPr>
          <w:p w14:paraId="05E8D2A0">
            <w:pPr>
              <w:widowControl w:val="0"/>
              <w:adjustRightInd w:val="0"/>
              <w:snapToGrid w:val="0"/>
              <w:spacing w:line="240" w:lineRule="auto"/>
              <w:jc w:val="center"/>
              <w:rPr>
                <w:rFonts w:hint="eastAsia" w:ascii="宋体" w:hAnsi="宋体" w:eastAsia="宋体" w:cs="Times New Roman"/>
                <w:color w:val="auto"/>
                <w:sz w:val="24"/>
                <w:szCs w:val="24"/>
                <w:highlight w:val="none"/>
                <w:u w:color="000000"/>
                <w:lang w:val="en-US" w:eastAsia="zh-CN" w:bidi="ar-SA"/>
              </w:rPr>
            </w:pPr>
            <w:r>
              <w:rPr>
                <w:rFonts w:hint="eastAsia" w:ascii="宋体" w:hAnsi="宋体"/>
                <w:color w:val="auto"/>
                <w:sz w:val="24"/>
                <w:szCs w:val="24"/>
                <w:highlight w:val="none"/>
                <w:lang w:val="en-US" w:eastAsia="zh-CN"/>
              </w:rPr>
              <w:t>5张</w:t>
            </w:r>
          </w:p>
        </w:tc>
      </w:tr>
      <w:tr w14:paraId="5CCD5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01" w:type="dxa"/>
            <w:vAlign w:val="center"/>
          </w:tcPr>
          <w:p w14:paraId="5E4EB53A">
            <w:pPr>
              <w:widowControl w:val="0"/>
              <w:adjustRightInd w:val="0"/>
              <w:snapToGrid w:val="0"/>
              <w:spacing w:line="240"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10</w:t>
            </w:r>
          </w:p>
        </w:tc>
        <w:tc>
          <w:tcPr>
            <w:tcW w:w="2212" w:type="dxa"/>
            <w:vAlign w:val="center"/>
          </w:tcPr>
          <w:p w14:paraId="5BF17F2A">
            <w:pPr>
              <w:snapToGrid w:val="0"/>
              <w:spacing w:line="240" w:lineRule="auto"/>
              <w:jc w:val="center"/>
              <w:rPr>
                <w:rFonts w:ascii="宋体" w:hAnsi="宋体"/>
                <w:color w:val="auto"/>
                <w:sz w:val="24"/>
                <w:szCs w:val="24"/>
                <w:highlight w:val="none"/>
              </w:rPr>
            </w:pPr>
            <w:r>
              <w:rPr>
                <w:rFonts w:ascii="宋体" w:hAnsi="宋体"/>
                <w:color w:val="auto"/>
                <w:sz w:val="24"/>
                <w:szCs w:val="24"/>
                <w:highlight w:val="none"/>
              </w:rPr>
              <w:t>低速车号牌</w:t>
            </w:r>
          </w:p>
        </w:tc>
        <w:tc>
          <w:tcPr>
            <w:tcW w:w="713" w:type="dxa"/>
            <w:vAlign w:val="center"/>
          </w:tcPr>
          <w:p w14:paraId="031EC618">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1副</w:t>
            </w:r>
          </w:p>
        </w:tc>
        <w:tc>
          <w:tcPr>
            <w:tcW w:w="1952" w:type="dxa"/>
            <w:vAlign w:val="center"/>
          </w:tcPr>
          <w:p w14:paraId="1D3F4986">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25.70</w:t>
            </w:r>
          </w:p>
        </w:tc>
        <w:tc>
          <w:tcPr>
            <w:tcW w:w="1805" w:type="dxa"/>
            <w:vAlign w:val="center"/>
          </w:tcPr>
          <w:p w14:paraId="05FD6502">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25.70元</w:t>
            </w:r>
          </w:p>
        </w:tc>
        <w:tc>
          <w:tcPr>
            <w:tcW w:w="2512" w:type="dxa"/>
            <w:vAlign w:val="center"/>
          </w:tcPr>
          <w:p w14:paraId="7F269E92">
            <w:pPr>
              <w:widowControl w:val="0"/>
              <w:adjustRightInd w:val="0"/>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21副</w:t>
            </w:r>
          </w:p>
        </w:tc>
      </w:tr>
    </w:tbl>
    <w:p w14:paraId="5F0F1132">
      <w:pPr>
        <w:widowControl w:val="0"/>
        <w:snapToGrid w:val="0"/>
        <w:spacing w:line="360" w:lineRule="auto"/>
        <w:ind w:firstLine="482" w:firstLineChars="200"/>
        <w:jc w:val="left"/>
        <w:rPr>
          <w:b/>
          <w:bCs/>
          <w:color w:val="auto"/>
          <w:sz w:val="24"/>
          <w:szCs w:val="24"/>
          <w:highlight w:val="none"/>
        </w:rPr>
      </w:pPr>
      <w:r>
        <w:rPr>
          <w:rFonts w:hint="eastAsia"/>
          <w:b/>
          <w:bCs/>
          <w:color w:val="auto"/>
          <w:sz w:val="24"/>
          <w:szCs w:val="24"/>
          <w:highlight w:val="none"/>
        </w:rPr>
        <w:t>注：1、所有种类号牌的投标单价的总和，计入价格评审。</w:t>
      </w:r>
    </w:p>
    <w:p w14:paraId="39D88171">
      <w:pPr>
        <w:widowControl w:val="0"/>
        <w:snapToGrid w:val="0"/>
        <w:spacing w:line="360" w:lineRule="auto"/>
        <w:ind w:firstLine="482" w:firstLineChars="200"/>
        <w:jc w:val="left"/>
        <w:rPr>
          <w:b/>
          <w:bCs/>
          <w:color w:val="auto"/>
          <w:sz w:val="24"/>
          <w:szCs w:val="24"/>
          <w:highlight w:val="none"/>
        </w:rPr>
      </w:pPr>
      <w:r>
        <w:rPr>
          <w:rFonts w:hint="eastAsia"/>
          <w:b/>
          <w:bCs/>
          <w:color w:val="auto"/>
          <w:sz w:val="24"/>
          <w:szCs w:val="24"/>
          <w:highlight w:val="none"/>
        </w:rPr>
        <w:t>2、上述“1.4预算金额”为本年度已批复预算规模，</w:t>
      </w:r>
      <w:bookmarkStart w:id="16" w:name="OLE_LINK6"/>
      <w:r>
        <w:rPr>
          <w:rFonts w:hint="eastAsia"/>
          <w:b/>
          <w:bCs/>
          <w:color w:val="auto"/>
          <w:sz w:val="24"/>
          <w:szCs w:val="24"/>
          <w:highlight w:val="none"/>
        </w:rPr>
        <w:t>每年实际服务金额根据中标单价及实际生产数量据实结算，且不超当年预算规模（预算金额）。</w:t>
      </w:r>
      <w:bookmarkEnd w:id="16"/>
    </w:p>
    <w:p w14:paraId="330D57A7">
      <w:pPr>
        <w:widowControl w:val="0"/>
        <w:snapToGrid w:val="0"/>
        <w:spacing w:line="360" w:lineRule="auto"/>
        <w:ind w:firstLine="482" w:firstLineChars="200"/>
        <w:jc w:val="left"/>
        <w:rPr>
          <w:rFonts w:hint="eastAsia"/>
          <w:b/>
          <w:bCs/>
          <w:color w:val="auto"/>
          <w:sz w:val="24"/>
          <w:szCs w:val="24"/>
          <w:highlight w:val="none"/>
          <w:lang w:eastAsia="zh-CN"/>
        </w:rPr>
      </w:pPr>
      <w:r>
        <w:rPr>
          <w:rFonts w:hint="eastAsia"/>
          <w:b/>
          <w:bCs/>
          <w:color w:val="auto"/>
          <w:sz w:val="24"/>
          <w:szCs w:val="24"/>
          <w:highlight w:val="none"/>
        </w:rPr>
        <w:t>3、</w:t>
      </w:r>
      <w:bookmarkStart w:id="17" w:name="OLE_LINK4"/>
      <w:r>
        <w:rPr>
          <w:rFonts w:hint="eastAsia"/>
          <w:b/>
          <w:bCs/>
          <w:color w:val="auto"/>
          <w:sz w:val="24"/>
          <w:szCs w:val="24"/>
          <w:highlight w:val="none"/>
        </w:rPr>
        <w:t>本项目服务期3年。根据各年度预算批复情况、合同一年一签。采购人根据下年度预算批复情况、对中标人上年度履约服务考核情况(通过考核)等签订下一年度合同。本次采购项目的累计合同服务期3年，3年服务期内单价不得改变。</w:t>
      </w:r>
      <w:bookmarkEnd w:id="17"/>
    </w:p>
    <w:p w14:paraId="4AE801B3">
      <w:pPr>
        <w:widowControl w:val="0"/>
        <w:snapToGrid w:val="0"/>
        <w:spacing w:line="360" w:lineRule="auto"/>
        <w:ind w:firstLine="482" w:firstLineChars="200"/>
        <w:jc w:val="left"/>
        <w:rPr>
          <w:rFonts w:hint="eastAsia"/>
          <w:b/>
          <w:bCs/>
          <w:color w:val="auto"/>
          <w:sz w:val="24"/>
          <w:szCs w:val="24"/>
          <w:highlight w:val="none"/>
          <w:lang w:eastAsia="zh-CN"/>
        </w:rPr>
      </w:pPr>
    </w:p>
    <w:p w14:paraId="4AE06884">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8.对本次招标提出询问，请按</w:t>
      </w:r>
      <w:r>
        <w:rPr>
          <w:rFonts w:ascii="黑体" w:hAnsi="黑体" w:eastAsia="黑体"/>
          <w:b/>
          <w:color w:val="auto"/>
          <w:sz w:val="28"/>
          <w:szCs w:val="28"/>
          <w:highlight w:val="none"/>
        </w:rPr>
        <w:t>以下方式</w:t>
      </w:r>
      <w:r>
        <w:rPr>
          <w:rFonts w:hint="eastAsia" w:ascii="黑体" w:hAnsi="黑体" w:eastAsia="黑体"/>
          <w:b/>
          <w:color w:val="auto"/>
          <w:sz w:val="28"/>
          <w:szCs w:val="28"/>
          <w:highlight w:val="none"/>
        </w:rPr>
        <w:t>联系</w:t>
      </w:r>
      <w:bookmarkEnd w:id="12"/>
      <w:bookmarkEnd w:id="13"/>
      <w:bookmarkEnd w:id="14"/>
      <w:bookmarkEnd w:id="15"/>
    </w:p>
    <w:p w14:paraId="03B154FF">
      <w:pPr>
        <w:ind w:firstLine="480" w:firstLineChars="200"/>
        <w:jc w:val="left"/>
        <w:rPr>
          <w:rFonts w:ascii="宋体" w:hAnsi="宋体"/>
          <w:color w:val="auto"/>
          <w:sz w:val="24"/>
          <w:szCs w:val="24"/>
          <w:highlight w:val="none"/>
        </w:rPr>
      </w:pPr>
      <w:r>
        <w:rPr>
          <w:rFonts w:hint="eastAsia" w:ascii="宋体" w:hAnsi="宋体" w:cs="宋体"/>
          <w:color w:val="auto"/>
          <w:sz w:val="24"/>
          <w:szCs w:val="24"/>
          <w:highlight w:val="none"/>
        </w:rPr>
        <w:t>8.1 采购人信息</w:t>
      </w:r>
    </w:p>
    <w:p w14:paraId="32EF4316">
      <w:pPr>
        <w:spacing w:line="360" w:lineRule="auto"/>
        <w:ind w:left="1079" w:leftChars="428" w:hanging="180" w:hangingChars="75"/>
        <w:jc w:val="left"/>
        <w:rPr>
          <w:rFonts w:ascii="宋体" w:hAnsi="宋体"/>
          <w:color w:val="auto"/>
          <w:sz w:val="24"/>
          <w:szCs w:val="24"/>
          <w:highlight w:val="none"/>
        </w:rPr>
      </w:pPr>
      <w:r>
        <w:rPr>
          <w:rFonts w:hint="eastAsia" w:ascii="宋体" w:hAnsi="宋体"/>
          <w:color w:val="auto"/>
          <w:sz w:val="24"/>
          <w:szCs w:val="24"/>
          <w:highlight w:val="none"/>
        </w:rPr>
        <w:t>名 称：安阳市公安局交通管理支队</w:t>
      </w:r>
    </w:p>
    <w:p w14:paraId="4C0EAEFC">
      <w:pPr>
        <w:spacing w:line="360" w:lineRule="auto"/>
        <w:ind w:left="1079" w:leftChars="428" w:hanging="180" w:hangingChars="75"/>
        <w:jc w:val="left"/>
        <w:rPr>
          <w:rFonts w:ascii="宋体" w:hAnsi="宋体"/>
          <w:color w:val="auto"/>
          <w:sz w:val="24"/>
          <w:szCs w:val="24"/>
          <w:highlight w:val="none"/>
        </w:rPr>
      </w:pPr>
      <w:r>
        <w:rPr>
          <w:rFonts w:hint="eastAsia" w:ascii="宋体" w:hAnsi="宋体"/>
          <w:color w:val="auto"/>
          <w:sz w:val="24"/>
          <w:szCs w:val="24"/>
          <w:highlight w:val="none"/>
        </w:rPr>
        <w:t>地址：</w:t>
      </w:r>
      <w:r>
        <w:rPr>
          <w:rFonts w:hint="eastAsia" w:ascii="宋体"/>
          <w:color w:val="auto"/>
          <w:sz w:val="24"/>
          <w:szCs w:val="24"/>
          <w:highlight w:val="none"/>
        </w:rPr>
        <w:t>安阳市文昌大道中段</w:t>
      </w:r>
      <w:r>
        <w:rPr>
          <w:rFonts w:hint="eastAsia" w:ascii="宋体" w:hAnsi="宋体"/>
          <w:color w:val="auto"/>
          <w:sz w:val="24"/>
          <w:szCs w:val="24"/>
          <w:highlight w:val="none"/>
        </w:rPr>
        <w:t>　       　</w:t>
      </w:r>
    </w:p>
    <w:p w14:paraId="6E6B4CAC">
      <w:pPr>
        <w:spacing w:line="360" w:lineRule="auto"/>
        <w:ind w:left="1079" w:leftChars="428" w:hanging="180" w:hangingChars="75"/>
        <w:jc w:val="left"/>
        <w:rPr>
          <w:rFonts w:ascii="宋体" w:hAnsi="宋体"/>
          <w:color w:val="auto"/>
          <w:sz w:val="24"/>
          <w:szCs w:val="24"/>
          <w:highlight w:val="none"/>
        </w:rPr>
      </w:pPr>
      <w:r>
        <w:rPr>
          <w:rFonts w:hint="eastAsia" w:ascii="宋体" w:hAnsi="宋体"/>
          <w:color w:val="auto"/>
          <w:sz w:val="24"/>
          <w:szCs w:val="24"/>
          <w:highlight w:val="none"/>
        </w:rPr>
        <w:t>联系人：</w:t>
      </w:r>
      <w:r>
        <w:rPr>
          <w:rFonts w:hint="eastAsia" w:ascii="宋体" w:hAnsi="宋体"/>
          <w:color w:val="auto"/>
          <w:sz w:val="24"/>
          <w:szCs w:val="24"/>
          <w:highlight w:val="none"/>
          <w:lang w:eastAsia="zh-CN"/>
        </w:rPr>
        <w:t>聂焱</w:t>
      </w:r>
      <w:r>
        <w:rPr>
          <w:rFonts w:hint="eastAsia" w:ascii="宋体" w:hAnsi="宋体"/>
          <w:color w:val="auto"/>
          <w:sz w:val="24"/>
          <w:szCs w:val="24"/>
          <w:highlight w:val="none"/>
        </w:rPr>
        <w:t xml:space="preserve">    </w:t>
      </w:r>
    </w:p>
    <w:p w14:paraId="502E56E7">
      <w:pPr>
        <w:spacing w:line="360" w:lineRule="auto"/>
        <w:ind w:left="1079" w:leftChars="428" w:hanging="180" w:hangingChars="75"/>
        <w:jc w:val="left"/>
        <w:rPr>
          <w:rFonts w:ascii="宋体" w:hAnsi="宋体"/>
          <w:color w:val="auto"/>
          <w:sz w:val="24"/>
          <w:szCs w:val="24"/>
          <w:highlight w:val="none"/>
        </w:rPr>
      </w:pPr>
      <w:r>
        <w:rPr>
          <w:rFonts w:hint="eastAsia" w:ascii="宋体" w:hAnsi="宋体"/>
          <w:color w:val="auto"/>
          <w:sz w:val="24"/>
          <w:szCs w:val="24"/>
          <w:highlight w:val="none"/>
        </w:rPr>
        <w:t>联系方式：</w:t>
      </w:r>
      <w:r>
        <w:rPr>
          <w:rFonts w:hint="eastAsia" w:ascii="宋体" w:hAnsi="宋体"/>
          <w:color w:val="auto"/>
          <w:sz w:val="24"/>
          <w:szCs w:val="24"/>
          <w:highlight w:val="none"/>
          <w:lang w:val="en-US" w:eastAsia="zh-CN"/>
        </w:rPr>
        <w:t>18637280903</w:t>
      </w:r>
      <w:r>
        <w:rPr>
          <w:rFonts w:hint="eastAsia" w:ascii="宋体" w:hAnsi="宋体"/>
          <w:color w:val="auto"/>
          <w:sz w:val="24"/>
          <w:szCs w:val="24"/>
          <w:highlight w:val="none"/>
        </w:rPr>
        <w:t xml:space="preserve">　   </w:t>
      </w:r>
      <w:bookmarkStart w:id="18" w:name="_Toc28359086"/>
      <w:bookmarkStart w:id="19" w:name="_Toc28359009"/>
    </w:p>
    <w:p w14:paraId="35A239A1">
      <w:pPr>
        <w:spacing w:line="360" w:lineRule="auto"/>
        <w:ind w:firstLine="480" w:firstLineChars="200"/>
        <w:jc w:val="left"/>
        <w:rPr>
          <w:rFonts w:ascii="宋体" w:hAnsi="宋体"/>
          <w:color w:val="auto"/>
          <w:sz w:val="24"/>
          <w:szCs w:val="24"/>
          <w:highlight w:val="none"/>
        </w:rPr>
      </w:pPr>
      <w:r>
        <w:rPr>
          <w:rFonts w:hint="eastAsia" w:ascii="宋体" w:hAnsi="宋体" w:cs="宋体"/>
          <w:color w:val="auto"/>
          <w:sz w:val="24"/>
          <w:szCs w:val="24"/>
          <w:highlight w:val="none"/>
        </w:rPr>
        <w:t>8.2 采购代理机构信息</w:t>
      </w:r>
      <w:bookmarkEnd w:id="18"/>
      <w:bookmarkEnd w:id="19"/>
    </w:p>
    <w:p w14:paraId="682BFC97">
      <w:pPr>
        <w:spacing w:line="360" w:lineRule="auto"/>
        <w:ind w:firstLine="840" w:firstLineChars="350"/>
        <w:rPr>
          <w:rFonts w:ascii="宋体" w:hAnsi="宋体"/>
          <w:color w:val="auto"/>
          <w:sz w:val="24"/>
          <w:szCs w:val="24"/>
          <w:highlight w:val="none"/>
        </w:rPr>
      </w:pPr>
      <w:r>
        <w:rPr>
          <w:rFonts w:hint="eastAsia" w:ascii="宋体" w:hAnsi="宋体"/>
          <w:color w:val="auto"/>
          <w:sz w:val="24"/>
          <w:szCs w:val="24"/>
          <w:highlight w:val="none"/>
        </w:rPr>
        <w:t>名  称：安阳市方正招标采购服务有限责任公司  　</w:t>
      </w:r>
    </w:p>
    <w:p w14:paraId="78A41A94">
      <w:pPr>
        <w:spacing w:line="360" w:lineRule="auto"/>
        <w:ind w:left="1798" w:leftChars="399" w:hanging="960" w:hangingChars="400"/>
        <w:rPr>
          <w:rFonts w:ascii="宋体" w:hAnsi="宋体"/>
          <w:color w:val="auto"/>
          <w:sz w:val="24"/>
          <w:szCs w:val="24"/>
          <w:highlight w:val="none"/>
        </w:rPr>
      </w:pPr>
      <w:r>
        <w:rPr>
          <w:rFonts w:hint="eastAsia" w:ascii="宋体" w:hAnsi="宋体"/>
          <w:color w:val="auto"/>
          <w:sz w:val="24"/>
          <w:szCs w:val="24"/>
          <w:highlight w:val="none"/>
        </w:rPr>
        <w:t>地　址：安阳市安钢大道39号（人民大道北地下道口南侧、安阳粮食产业集团-后院办公楼五楼）　　</w:t>
      </w:r>
    </w:p>
    <w:p w14:paraId="63AF24C6">
      <w:pPr>
        <w:spacing w:line="360" w:lineRule="auto"/>
        <w:ind w:firstLine="840" w:firstLineChars="350"/>
        <w:rPr>
          <w:rFonts w:ascii="宋体" w:hAnsi="宋体"/>
          <w:color w:val="auto"/>
          <w:sz w:val="24"/>
          <w:szCs w:val="24"/>
          <w:highlight w:val="none"/>
        </w:rPr>
      </w:pPr>
      <w:r>
        <w:rPr>
          <w:rFonts w:hint="eastAsia" w:ascii="宋体" w:hAnsi="宋体"/>
          <w:color w:val="auto"/>
          <w:sz w:val="24"/>
          <w:szCs w:val="24"/>
          <w:highlight w:val="none"/>
        </w:rPr>
        <w:t xml:space="preserve">联系人：陶文雯  </w:t>
      </w:r>
    </w:p>
    <w:p w14:paraId="3BB899F0">
      <w:pPr>
        <w:spacing w:line="360" w:lineRule="auto"/>
        <w:ind w:firstLine="840" w:firstLineChars="350"/>
        <w:rPr>
          <w:rFonts w:ascii="宋体" w:hAnsi="宋体"/>
          <w:color w:val="auto"/>
          <w:sz w:val="24"/>
          <w:szCs w:val="24"/>
          <w:highlight w:val="none"/>
        </w:rPr>
      </w:pPr>
      <w:r>
        <w:rPr>
          <w:rFonts w:hint="eastAsia" w:ascii="宋体" w:hAnsi="宋体"/>
          <w:color w:val="auto"/>
          <w:sz w:val="24"/>
          <w:szCs w:val="24"/>
          <w:highlight w:val="none"/>
        </w:rPr>
        <w:t>联系方式：</w:t>
      </w:r>
      <w:bookmarkStart w:id="20" w:name="_Toc28359010"/>
      <w:bookmarkStart w:id="21" w:name="_Toc28359087"/>
      <w:r>
        <w:rPr>
          <w:rFonts w:hint="eastAsia" w:ascii="宋体" w:hAnsi="宋体"/>
          <w:color w:val="auto"/>
          <w:sz w:val="24"/>
          <w:szCs w:val="24"/>
          <w:highlight w:val="none"/>
        </w:rPr>
        <w:t>0372-2283981、2283982   财务部咨询电话：0372-2283983　</w:t>
      </w:r>
    </w:p>
    <w:p w14:paraId="434191EE">
      <w:pPr>
        <w:spacing w:line="360" w:lineRule="auto"/>
        <w:ind w:firstLine="480" w:firstLineChars="200"/>
        <w:rPr>
          <w:rFonts w:ascii="宋体" w:hAnsi="宋体"/>
          <w:color w:val="auto"/>
          <w:sz w:val="24"/>
          <w:szCs w:val="24"/>
          <w:highlight w:val="none"/>
          <w:u w:val="single"/>
        </w:rPr>
      </w:pPr>
      <w:r>
        <w:rPr>
          <w:rFonts w:hint="eastAsia" w:ascii="宋体" w:hAnsi="宋体" w:cs="宋体"/>
          <w:color w:val="auto"/>
          <w:sz w:val="24"/>
          <w:szCs w:val="24"/>
          <w:highlight w:val="none"/>
        </w:rPr>
        <w:t>8.3 项目</w:t>
      </w:r>
      <w:r>
        <w:rPr>
          <w:rFonts w:ascii="宋体" w:hAnsi="宋体" w:cs="宋体"/>
          <w:color w:val="auto"/>
          <w:sz w:val="24"/>
          <w:szCs w:val="24"/>
          <w:highlight w:val="none"/>
        </w:rPr>
        <w:t>联系方式</w:t>
      </w:r>
      <w:bookmarkEnd w:id="20"/>
      <w:bookmarkEnd w:id="21"/>
    </w:p>
    <w:p w14:paraId="5B59B61D">
      <w:pPr>
        <w:pStyle w:val="2"/>
        <w:spacing w:line="360" w:lineRule="auto"/>
        <w:ind w:firstLine="840" w:firstLineChars="350"/>
        <w:rPr>
          <w:rFonts w:hAnsi="宋体"/>
          <w:color w:val="auto"/>
          <w:sz w:val="24"/>
          <w:szCs w:val="24"/>
          <w:highlight w:val="none"/>
        </w:rPr>
      </w:pPr>
      <w:r>
        <w:rPr>
          <w:rFonts w:hint="eastAsia" w:hAnsi="宋体"/>
          <w:color w:val="auto"/>
          <w:sz w:val="24"/>
          <w:szCs w:val="24"/>
          <w:highlight w:val="none"/>
        </w:rPr>
        <w:t xml:space="preserve">项目联系人：陶文雯  </w:t>
      </w:r>
    </w:p>
    <w:p w14:paraId="436FE732">
      <w:pPr>
        <w:spacing w:line="360" w:lineRule="auto"/>
        <w:ind w:firstLine="840" w:firstLineChars="350"/>
        <w:rPr>
          <w:rFonts w:ascii="宋体" w:hAnsi="宋体"/>
          <w:color w:val="auto"/>
          <w:sz w:val="24"/>
          <w:szCs w:val="24"/>
          <w:highlight w:val="none"/>
        </w:rPr>
      </w:pPr>
      <w:r>
        <w:rPr>
          <w:rFonts w:hint="eastAsia" w:ascii="宋体" w:hAnsi="宋体"/>
          <w:color w:val="auto"/>
          <w:sz w:val="24"/>
          <w:szCs w:val="24"/>
          <w:highlight w:val="none"/>
        </w:rPr>
        <w:t>联系方式：13937245785</w:t>
      </w:r>
    </w:p>
    <w:p w14:paraId="651E3672">
      <w:pPr>
        <w:widowControl w:val="0"/>
        <w:adjustRightInd w:val="0"/>
        <w:spacing w:before="156" w:beforeLines="50" w:line="300" w:lineRule="auto"/>
        <w:rPr>
          <w:color w:val="auto"/>
          <w:sz w:val="24"/>
          <w:szCs w:val="24"/>
          <w:highlight w:val="none"/>
        </w:rPr>
      </w:pPr>
    </w:p>
    <w:p w14:paraId="1BB1D322">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9.网</w:t>
      </w:r>
      <w:r>
        <w:rPr>
          <w:rFonts w:ascii="黑体" w:hAnsi="黑体" w:eastAsia="黑体"/>
          <w:b/>
          <w:color w:val="auto"/>
          <w:sz w:val="28"/>
          <w:szCs w:val="28"/>
          <w:highlight w:val="none"/>
        </w:rPr>
        <w:t>上</w:t>
      </w:r>
      <w:r>
        <w:rPr>
          <w:rFonts w:hint="eastAsia" w:ascii="黑体" w:hAnsi="黑体" w:eastAsia="黑体"/>
          <w:b/>
          <w:color w:val="auto"/>
          <w:sz w:val="28"/>
          <w:szCs w:val="28"/>
          <w:highlight w:val="none"/>
        </w:rPr>
        <w:t>电子交易提示：</w:t>
      </w:r>
      <w:r>
        <w:rPr>
          <w:rFonts w:ascii="黑体" w:hAnsi="黑体" w:eastAsia="黑体"/>
          <w:b/>
          <w:color w:val="auto"/>
          <w:sz w:val="28"/>
          <w:szCs w:val="28"/>
          <w:highlight w:val="none"/>
        </w:rPr>
        <w:t xml:space="preserve"> </w:t>
      </w:r>
    </w:p>
    <w:p w14:paraId="252955E5">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color w:val="auto"/>
          <w:sz w:val="24"/>
          <w:szCs w:val="24"/>
          <w:highlight w:val="none"/>
        </w:rPr>
        <w:t>9</w:t>
      </w:r>
      <w:r>
        <w:rPr>
          <w:rFonts w:hint="eastAsia" w:ascii="宋体" w:hAnsi="宋体"/>
          <w:color w:val="auto"/>
          <w:sz w:val="24"/>
          <w:szCs w:val="24"/>
          <w:highlight w:val="none"/>
        </w:rPr>
        <w:t>.1注册：投标人完成注册、办理数字证书后，方可获取招标文件、参加投标等网上电子交易。</w:t>
      </w:r>
    </w:p>
    <w:p w14:paraId="07F1315A">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color w:val="auto"/>
          <w:sz w:val="24"/>
          <w:szCs w:val="24"/>
          <w:highlight w:val="none"/>
        </w:rPr>
        <w:t>9</w:t>
      </w:r>
      <w:r>
        <w:rPr>
          <w:rFonts w:hint="eastAsia" w:ascii="宋体" w:hAnsi="宋体"/>
          <w:color w:val="auto"/>
          <w:sz w:val="24"/>
          <w:szCs w:val="24"/>
          <w:highlight w:val="none"/>
        </w:rPr>
        <w:t>.2 获取招标文件：按本章第3条“获取招标文件”办理。</w:t>
      </w:r>
    </w:p>
    <w:p w14:paraId="112AB72A">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color w:val="auto"/>
          <w:sz w:val="24"/>
          <w:szCs w:val="24"/>
          <w:highlight w:val="none"/>
        </w:rPr>
        <w:t>9</w:t>
      </w:r>
      <w:r>
        <w:rPr>
          <w:rFonts w:hint="eastAsia" w:ascii="宋体" w:hAnsi="宋体"/>
          <w:color w:val="auto"/>
          <w:sz w:val="24"/>
          <w:szCs w:val="24"/>
          <w:highlight w:val="none"/>
        </w:rPr>
        <w:t>.3招标文件的澄清与修改或延期的通知：按《招标文件》第三章“投标人须知”第2条“2.4 招标文件的澄清、修改、补充的通知，及相应时间变更”执行。</w:t>
      </w:r>
      <w:r>
        <w:rPr>
          <w:rFonts w:hint="eastAsia" w:ascii="黑体" w:hAnsi="黑体" w:eastAsia="黑体" w:cs="楷体_GB2312"/>
          <w:b/>
          <w:color w:val="auto"/>
          <w:sz w:val="24"/>
          <w:highlight w:val="none"/>
          <w:lang w:val="zh-CN"/>
        </w:rPr>
        <w:t>不另行通知。</w:t>
      </w:r>
    </w:p>
    <w:p w14:paraId="348D958B">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color w:val="auto"/>
          <w:sz w:val="24"/>
          <w:szCs w:val="24"/>
          <w:highlight w:val="none"/>
        </w:rPr>
        <w:t>9</w:t>
      </w:r>
      <w:r>
        <w:rPr>
          <w:rFonts w:hint="eastAsia" w:ascii="宋体" w:hAnsi="宋体"/>
          <w:color w:val="auto"/>
          <w:sz w:val="24"/>
          <w:szCs w:val="24"/>
          <w:highlight w:val="none"/>
        </w:rPr>
        <w:t>.4投标文件编制：在安阳市公共资源交易中心网站下载并安装投标文件制作工具、进行编制，按《招标文件》第三章“投标人须知”第3条第7款“3.7投标文件的编制”执行，</w:t>
      </w:r>
      <w:r>
        <w:rPr>
          <w:rFonts w:hint="eastAsia" w:ascii="黑体" w:hAnsi="黑体" w:eastAsia="黑体" w:cs="楷体_GB2312"/>
          <w:b/>
          <w:color w:val="auto"/>
          <w:sz w:val="24"/>
          <w:highlight w:val="none"/>
          <w:lang w:val="zh-CN"/>
        </w:rPr>
        <w:t>否则将会评定为无效投标。</w:t>
      </w:r>
    </w:p>
    <w:p w14:paraId="0C94A63D">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color w:val="auto"/>
          <w:sz w:val="24"/>
          <w:szCs w:val="24"/>
          <w:highlight w:val="none"/>
        </w:rPr>
        <w:t>9</w:t>
      </w:r>
      <w:r>
        <w:rPr>
          <w:rFonts w:hint="eastAsia" w:ascii="宋体" w:hAnsi="宋体"/>
          <w:color w:val="auto"/>
          <w:sz w:val="24"/>
          <w:szCs w:val="24"/>
          <w:highlight w:val="none"/>
        </w:rPr>
        <w:t>.5</w:t>
      </w:r>
      <w:r>
        <w:rPr>
          <w:rFonts w:hint="eastAsia" w:ascii="宋体"/>
          <w:color w:val="auto"/>
          <w:sz w:val="24"/>
          <w:szCs w:val="24"/>
          <w:highlight w:val="none"/>
        </w:rPr>
        <w:t>投标文件递交：</w:t>
      </w:r>
      <w:r>
        <w:rPr>
          <w:rFonts w:hint="eastAsia" w:ascii="宋体" w:hAnsi="宋体"/>
          <w:color w:val="auto"/>
          <w:sz w:val="24"/>
          <w:szCs w:val="24"/>
          <w:highlight w:val="none"/>
        </w:rPr>
        <w:t>投标人应在投标截止时间前上传加密的电子投标文件（*.aytf）到安阳市公共资源交易平台，按《招标文件》第三章“投标人须知”第4条 “4. 投标”执行，</w:t>
      </w:r>
      <w:r>
        <w:rPr>
          <w:rFonts w:hint="eastAsia" w:ascii="黑体" w:hAnsi="黑体" w:eastAsia="黑体" w:cs="楷体_GB2312"/>
          <w:b/>
          <w:color w:val="auto"/>
          <w:sz w:val="24"/>
          <w:highlight w:val="none"/>
          <w:lang w:val="zh-CN"/>
        </w:rPr>
        <w:t>否则将会评定为无效投标。</w:t>
      </w:r>
    </w:p>
    <w:p w14:paraId="06ACE2CF">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color w:val="auto"/>
          <w:sz w:val="24"/>
          <w:szCs w:val="24"/>
          <w:highlight w:val="none"/>
        </w:rPr>
        <w:t>9.6投标文件</w:t>
      </w:r>
      <w:r>
        <w:rPr>
          <w:rFonts w:hint="eastAsia" w:ascii="宋体" w:hAnsi="宋体"/>
          <w:color w:val="auto"/>
          <w:sz w:val="24"/>
          <w:szCs w:val="24"/>
          <w:highlight w:val="none"/>
        </w:rPr>
        <w:t>解密</w:t>
      </w:r>
      <w:r>
        <w:rPr>
          <w:rFonts w:hint="eastAsia" w:ascii="宋体"/>
          <w:color w:val="auto"/>
          <w:sz w:val="24"/>
          <w:szCs w:val="24"/>
          <w:highlight w:val="none"/>
        </w:rPr>
        <w:t>：</w:t>
      </w:r>
      <w:r>
        <w:rPr>
          <w:rFonts w:hint="eastAsia"/>
          <w:bCs/>
          <w:color w:val="auto"/>
          <w:sz w:val="24"/>
          <w:szCs w:val="24"/>
          <w:highlight w:val="none"/>
        </w:rPr>
        <w:t>本项目采用远程不见面交易的模式，开标当日，投标人无需到开标现场参加开标会议，投标人应当在投标截止时间前，使用</w:t>
      </w:r>
      <w:r>
        <w:rPr>
          <w:bCs/>
          <w:color w:val="auto"/>
          <w:sz w:val="24"/>
          <w:szCs w:val="24"/>
          <w:highlight w:val="none"/>
        </w:rPr>
        <w:t>IE</w:t>
      </w:r>
      <w:r>
        <w:rPr>
          <w:rFonts w:hint="eastAsia"/>
          <w:bCs/>
          <w:color w:val="auto"/>
          <w:sz w:val="24"/>
          <w:szCs w:val="24"/>
          <w:highlight w:val="none"/>
        </w:rPr>
        <w:t>浏览器登录到安阳市公共资源交易不见面开标大厅，点击右上方【登录】按钮进入，在线准时参加开标活动并进行投标文件解密等。</w:t>
      </w:r>
      <w:r>
        <w:rPr>
          <w:rFonts w:hint="eastAsia" w:ascii="宋体" w:hAnsi="宋体"/>
          <w:color w:val="auto"/>
          <w:sz w:val="24"/>
          <w:szCs w:val="24"/>
          <w:highlight w:val="none"/>
        </w:rPr>
        <w:t xml:space="preserve">按《招标文件》第三章“投标人须知”第5条“5 </w:t>
      </w:r>
      <w:r>
        <w:rPr>
          <w:rFonts w:hint="eastAsia" w:ascii="宋体"/>
          <w:color w:val="auto"/>
          <w:sz w:val="24"/>
          <w:szCs w:val="24"/>
          <w:highlight w:val="none"/>
        </w:rPr>
        <w:t>开标</w:t>
      </w:r>
      <w:r>
        <w:rPr>
          <w:rFonts w:hint="eastAsia" w:ascii="宋体" w:hAnsi="宋体"/>
          <w:color w:val="auto"/>
          <w:sz w:val="24"/>
          <w:szCs w:val="24"/>
          <w:highlight w:val="none"/>
        </w:rPr>
        <w:t>”执行，</w:t>
      </w:r>
      <w:r>
        <w:rPr>
          <w:rFonts w:hint="eastAsia" w:ascii="宋体" w:hAnsi="宋体" w:cs="楷体_GB2312"/>
          <w:color w:val="auto"/>
          <w:sz w:val="24"/>
          <w:highlight w:val="none"/>
          <w:lang w:val="zh-CN"/>
        </w:rPr>
        <w:t>否则其投标将不能被接受。</w:t>
      </w:r>
    </w:p>
    <w:p w14:paraId="114E39CD">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hAnsi="宋体" w:cs="楷体_GB2312"/>
          <w:color w:val="auto"/>
          <w:sz w:val="24"/>
          <w:highlight w:val="none"/>
          <w:lang w:val="zh-CN"/>
        </w:rPr>
        <w:t>9.7锁名称变更或者延期可能会导致开标过程无法正常解密标书。开标过程中解密必须使用生成标书时使用的CA锁，丢失、变更、延期都会导致无法解密。如无待开标解密项目，变更或者延期不影响正常的业务操作，但需要注意如下事项：</w:t>
      </w:r>
    </w:p>
    <w:p w14:paraId="22509C48">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hAnsi="宋体" w:cs="楷体_GB2312"/>
          <w:color w:val="auto"/>
          <w:sz w:val="24"/>
          <w:highlight w:val="none"/>
          <w:lang w:val="zh-CN"/>
        </w:rPr>
        <w:t>①锁名称变更前建议先在交易系统修改单位名称为最新的，变更完成后再变更锁名称，以免因名称不一致无法正常登录系统。</w:t>
      </w:r>
    </w:p>
    <w:p w14:paraId="592364D8">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s="楷体_GB2312"/>
          <w:color w:val="auto"/>
          <w:sz w:val="24"/>
          <w:highlight w:val="none"/>
          <w:lang w:val="zh-CN"/>
        </w:rPr>
        <w:t>②锁延期之后序列号可能会发生改变（视不同CA而定），变更后需要重新进行绑定。</w:t>
      </w:r>
    </w:p>
    <w:p w14:paraId="4DAA6385">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9.8政府采购电子交易中，投标人网上电子交易的系统操作规则应以安阳市公共资源交易平台即时发布的相关规则为准。</w:t>
      </w:r>
    </w:p>
    <w:p w14:paraId="21938875">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9.9望投标人充分熟悉网上电子交易操作流程、以便有效投标。</w:t>
      </w:r>
    </w:p>
    <w:p w14:paraId="6E4F06D2">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bCs/>
          <w:color w:val="auto"/>
          <w:sz w:val="24"/>
          <w:szCs w:val="24"/>
          <w:highlight w:val="none"/>
        </w:rPr>
        <w:t xml:space="preserve">9.10 </w:t>
      </w:r>
      <w:r>
        <w:rPr>
          <w:rFonts w:hint="eastAsia"/>
          <w:bCs/>
          <w:color w:val="auto"/>
          <w:sz w:val="24"/>
          <w:szCs w:val="24"/>
          <w:highlight w:val="none"/>
        </w:rPr>
        <w:t>如遇到网上系统操作等技术问题请咨询</w:t>
      </w:r>
      <w:r>
        <w:rPr>
          <w:rFonts w:hint="eastAsia" w:ascii="宋体" w:hAnsi="宋体"/>
          <w:color w:val="auto"/>
          <w:sz w:val="24"/>
          <w:szCs w:val="24"/>
          <w:highlight w:val="none"/>
        </w:rPr>
        <w:t>400-998-0000、0372-3387739。</w:t>
      </w:r>
    </w:p>
    <w:p w14:paraId="7D5662EB">
      <w:pPr>
        <w:widowControl w:val="0"/>
        <w:tabs>
          <w:tab w:val="left" w:pos="39"/>
          <w:tab w:val="left" w:pos="96"/>
        </w:tabs>
        <w:snapToGrid w:val="0"/>
        <w:spacing w:line="360" w:lineRule="auto"/>
        <w:ind w:firstLine="540" w:firstLineChars="225"/>
        <w:rPr>
          <w:rFonts w:ascii="宋体"/>
          <w:color w:val="auto"/>
          <w:sz w:val="24"/>
          <w:szCs w:val="24"/>
          <w:highlight w:val="none"/>
        </w:rPr>
      </w:pPr>
    </w:p>
    <w:p w14:paraId="4EBCFE21">
      <w:pPr>
        <w:widowControl w:val="0"/>
        <w:tabs>
          <w:tab w:val="left" w:pos="39"/>
          <w:tab w:val="left" w:pos="96"/>
        </w:tabs>
        <w:snapToGrid w:val="0"/>
        <w:spacing w:line="360" w:lineRule="auto"/>
        <w:jc w:val="right"/>
        <w:rPr>
          <w:rFonts w:ascii="宋体"/>
          <w:color w:val="auto"/>
          <w:sz w:val="24"/>
          <w:szCs w:val="24"/>
          <w:highlight w:val="none"/>
        </w:rPr>
      </w:pPr>
      <w:r>
        <w:rPr>
          <w:rFonts w:hint="eastAsia" w:ascii="宋体"/>
          <w:color w:val="auto"/>
          <w:sz w:val="24"/>
          <w:szCs w:val="24"/>
          <w:highlight w:val="none"/>
        </w:rPr>
        <w:t>安阳市方正招标采购服务有限责任公司</w:t>
      </w:r>
    </w:p>
    <w:p w14:paraId="1560523B">
      <w:pPr>
        <w:widowControl w:val="0"/>
        <w:tabs>
          <w:tab w:val="left" w:pos="39"/>
          <w:tab w:val="left" w:pos="96"/>
        </w:tabs>
        <w:snapToGrid w:val="0"/>
        <w:spacing w:line="360" w:lineRule="auto"/>
        <w:ind w:firstLine="540" w:firstLineChars="225"/>
        <w:jc w:val="right"/>
        <w:rPr>
          <w:rFonts w:ascii="宋体"/>
          <w:color w:val="auto"/>
          <w:sz w:val="24"/>
          <w:szCs w:val="24"/>
          <w:highlight w:val="none"/>
        </w:rPr>
      </w:pPr>
      <w:r>
        <w:rPr>
          <w:rFonts w:hint="eastAsia" w:ascii="宋体"/>
          <w:color w:val="auto"/>
          <w:sz w:val="24"/>
          <w:szCs w:val="24"/>
          <w:highlight w:val="none"/>
        </w:rPr>
        <w:t>二〇二六年</w:t>
      </w:r>
      <w:r>
        <w:rPr>
          <w:rFonts w:hint="eastAsia" w:ascii="宋体"/>
          <w:color w:val="auto"/>
          <w:sz w:val="24"/>
          <w:szCs w:val="24"/>
          <w:highlight w:val="none"/>
          <w:lang w:val="en-US" w:eastAsia="zh-CN"/>
        </w:rPr>
        <w:t>六</w:t>
      </w:r>
      <w:r>
        <w:rPr>
          <w:rFonts w:hint="eastAsia" w:ascii="宋体"/>
          <w:color w:val="auto"/>
          <w:sz w:val="24"/>
          <w:szCs w:val="24"/>
          <w:highlight w:val="none"/>
        </w:rPr>
        <w:t>月</w:t>
      </w:r>
      <w:r>
        <w:rPr>
          <w:rFonts w:hint="eastAsia" w:ascii="宋体"/>
          <w:color w:val="auto"/>
          <w:sz w:val="24"/>
          <w:szCs w:val="24"/>
          <w:highlight w:val="none"/>
          <w:lang w:val="en-US" w:eastAsia="zh-CN"/>
        </w:rPr>
        <w:t>十五</w:t>
      </w:r>
      <w:r>
        <w:rPr>
          <w:rFonts w:hint="eastAsia" w:ascii="宋体"/>
          <w:color w:val="auto"/>
          <w:sz w:val="24"/>
          <w:szCs w:val="24"/>
          <w:highlight w:val="none"/>
        </w:rPr>
        <w:t>日</w:t>
      </w:r>
    </w:p>
    <w:p w14:paraId="334442E4">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AFC7AE"/>
    <w:multiLevelType w:val="singleLevel"/>
    <w:tmpl w:val="CEAFC7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BD7445"/>
    <w:rsid w:val="2CBD7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99"/>
    <w:pPr>
      <w:widowControl w:val="0"/>
      <w:spacing w:line="240" w:lineRule="auto"/>
      <w:textAlignment w:val="auto"/>
    </w:pPr>
    <w:rPr>
      <w:rFonts w:ascii="宋体" w:hAnsi="Courier New"/>
    </w:rPr>
  </w:style>
  <w:style w:type="paragraph" w:styleId="3">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character" w:styleId="6">
    <w:name w:val="Hyperlink"/>
    <w:basedOn w:val="5"/>
    <w:qFormat/>
    <w:uiPriority w:val="99"/>
    <w:rPr>
      <w:rFonts w:cs="Times New Roman"/>
      <w:color w:val="0368A8"/>
      <w:u w:val="none"/>
    </w:rPr>
  </w:style>
  <w:style w:type="table" w:customStyle="1" w:styleId="7">
    <w:name w:val="Table Normal_0"/>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2026-06-15T09:05:00Z</dcterms:created>
  <dc:creator>Administrator</dc:creator>
  <cp:lastModifiedBy>Administrator</cp:lastModifiedBy>
  <dcterms:modified xsi:type="dcterms:W3CDTF">2026-06-15T09:06:12Z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3A8DDEDEF5F6466B9990C76BE10FC050_11</vt:lpwstr>
  </property>
  <property fmtid="{D5CDD505-2E9C-101B-9397-08002B2CF9AE}" pid="4" name="KSOTemplateDocerSaveRecord">
    <vt:lpwstr>eyJoZGlkIjoiYzRlYzE4NmFkNWE4NGFlNjlkMjJmNTIzODdmN2JjZGIiLCJ1c2VySWQiOiI0Mjg5NzQzNDUifQ==</vt:lpwstr>
  </property>
</Properties>
</file>