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A26B0">
      <w:pPr>
        <w:pStyle w:val="2"/>
        <w:pageBreakBefore/>
        <w:jc w:val="center"/>
        <w:rPr>
          <w:rFonts w:hint="eastAsia" w:ascii="宋体" w:hAnsi="宋体"/>
        </w:rPr>
      </w:pPr>
      <w:bookmarkStart w:id="0" w:name="_Toc24628"/>
      <w:r>
        <w:rPr>
          <w:rFonts w:hint="eastAsia" w:ascii="宋体" w:hAnsi="宋体"/>
        </w:rPr>
        <w:t>第</w:t>
      </w:r>
      <w:r>
        <w:rPr>
          <w:rFonts w:hint="eastAsia" w:ascii="宋体" w:hAnsi="宋体"/>
          <w:lang w:eastAsia="zh-CN"/>
        </w:rPr>
        <w:t>三</w:t>
      </w:r>
      <w:r>
        <w:rPr>
          <w:rFonts w:hint="eastAsia" w:ascii="宋体" w:hAnsi="宋体"/>
        </w:rPr>
        <w:t>部分   采购人需求</w:t>
      </w:r>
      <w:bookmarkEnd w:id="0"/>
    </w:p>
    <w:p w14:paraId="12AD768C">
      <w:pPr>
        <w:snapToGrid w:val="0"/>
        <w:spacing w:before="142" w:beforeLines="50" w:after="142" w:afterLines="50" w:line="700" w:lineRule="exact"/>
        <w:jc w:val="center"/>
        <w:textAlignment w:val="baseline"/>
        <w:rPr>
          <w:rFonts w:hint="eastAsia" w:ascii="宋体" w:hAnsi="宋体"/>
          <w:b/>
          <w:sz w:val="36"/>
        </w:rPr>
      </w:pPr>
      <w:r>
        <w:rPr>
          <w:rFonts w:hint="eastAsia" w:ascii="宋体" w:hAnsi="宋体"/>
          <w:b/>
          <w:sz w:val="36"/>
        </w:rPr>
        <w:t>一</w:t>
      </w:r>
      <w:r>
        <w:rPr>
          <w:rFonts w:hint="eastAsia" w:ascii="宋体" w:hAnsi="宋体"/>
          <w:b/>
          <w:sz w:val="36"/>
          <w:lang w:eastAsia="zh-CN"/>
        </w:rPr>
        <w:t>、服务</w:t>
      </w:r>
      <w:r>
        <w:rPr>
          <w:rFonts w:hint="eastAsia" w:ascii="宋体" w:hAnsi="宋体"/>
          <w:b/>
          <w:sz w:val="36"/>
        </w:rPr>
        <w:t>要求</w:t>
      </w:r>
    </w:p>
    <w:p w14:paraId="60AFD67A">
      <w:pPr>
        <w:snapToGrid w:val="0"/>
        <w:spacing w:line="560" w:lineRule="atLeast"/>
        <w:ind w:firstLine="562" w:firstLineChars="200"/>
        <w:rPr>
          <w:rFonts w:hint="eastAsia" w:ascii="仿宋_GB2312" w:hAnsi="Times New Roman" w:eastAsia="仿宋_GB2312" w:cs="Times New Roman"/>
          <w:b/>
          <w:bCs/>
          <w:color w:val="auto"/>
          <w:sz w:val="28"/>
          <w:szCs w:val="28"/>
        </w:rPr>
      </w:pPr>
      <w:r>
        <w:rPr>
          <w:rFonts w:hint="eastAsia" w:ascii="仿宋_GB2312" w:hAnsi="Times New Roman" w:eastAsia="仿宋_GB2312" w:cs="Times New Roman"/>
          <w:b/>
          <w:bCs/>
          <w:color w:val="auto"/>
          <w:sz w:val="28"/>
          <w:szCs w:val="28"/>
          <w:lang w:val="en-US" w:eastAsia="zh-CN"/>
        </w:rPr>
        <w:t>一.</w:t>
      </w:r>
      <w:r>
        <w:rPr>
          <w:rFonts w:hint="eastAsia" w:ascii="仿宋_GB2312" w:hAnsi="Times New Roman" w:eastAsia="仿宋_GB2312" w:cs="Times New Roman"/>
          <w:b/>
          <w:bCs/>
          <w:color w:val="auto"/>
          <w:sz w:val="28"/>
          <w:szCs w:val="28"/>
        </w:rPr>
        <w:t>采购项目、</w:t>
      </w:r>
      <w:r>
        <w:rPr>
          <w:rFonts w:hint="eastAsia" w:ascii="仿宋_GB2312" w:hAnsi="Times New Roman" w:eastAsia="仿宋_GB2312" w:cs="Times New Roman"/>
          <w:b/>
          <w:bCs/>
          <w:color w:val="auto"/>
          <w:sz w:val="28"/>
          <w:szCs w:val="28"/>
          <w:lang w:eastAsia="zh-CN"/>
        </w:rPr>
        <w:t>包段</w:t>
      </w:r>
      <w:r>
        <w:rPr>
          <w:rFonts w:hint="eastAsia" w:ascii="仿宋_GB2312" w:hAnsi="Times New Roman" w:eastAsia="仿宋_GB2312" w:cs="Times New Roman"/>
          <w:b/>
          <w:bCs/>
          <w:color w:val="auto"/>
          <w:sz w:val="28"/>
          <w:szCs w:val="28"/>
        </w:rPr>
        <w:t>划分</w:t>
      </w:r>
    </w:p>
    <w:p w14:paraId="2FD0BC8D">
      <w:pPr>
        <w:snapToGrid w:val="0"/>
        <w:spacing w:line="560" w:lineRule="atLeast"/>
        <w:ind w:firstLine="560" w:firstLineChars="200"/>
        <w:rPr>
          <w:rFonts w:hint="eastAsia"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lang w:val="en-US" w:eastAsia="zh-CN"/>
        </w:rPr>
        <w:t>1.1</w:t>
      </w:r>
      <w:r>
        <w:rPr>
          <w:rFonts w:hint="eastAsia" w:ascii="仿宋_GB2312" w:hAnsi="Times New Roman" w:eastAsia="仿宋_GB2312" w:cs="Times New Roman"/>
          <w:color w:val="auto"/>
          <w:sz w:val="28"/>
          <w:szCs w:val="28"/>
        </w:rPr>
        <w:t>采购项目名称：安阳市生态环境局汤阴分局</w:t>
      </w:r>
      <w:r>
        <w:rPr>
          <w:rFonts w:hint="eastAsia" w:ascii="仿宋_GB2312" w:hAnsi="Times New Roman" w:eastAsia="仿宋_GB2312" w:cs="Times New Roman"/>
          <w:color w:val="auto"/>
          <w:sz w:val="28"/>
          <w:szCs w:val="28"/>
          <w:lang w:val="en-US" w:eastAsia="zh-CN"/>
        </w:rPr>
        <w:t>汤阴高新技术产业开发区工业污水处理厂深度处理项目设计</w:t>
      </w:r>
    </w:p>
    <w:p w14:paraId="79511A94">
      <w:pPr>
        <w:snapToGrid w:val="0"/>
        <w:spacing w:line="560" w:lineRule="atLeast"/>
        <w:ind w:firstLine="560" w:firstLineChars="200"/>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lang w:val="en-US" w:eastAsia="zh-CN"/>
        </w:rPr>
        <w:t>1.2</w:t>
      </w:r>
      <w:r>
        <w:rPr>
          <w:rFonts w:hint="eastAsia" w:ascii="仿宋_GB2312" w:hAnsi="Times New Roman" w:eastAsia="仿宋_GB2312" w:cs="Times New Roman"/>
          <w:color w:val="auto"/>
          <w:sz w:val="28"/>
          <w:szCs w:val="28"/>
          <w:lang w:eastAsia="zh-CN"/>
        </w:rPr>
        <w:t>包段</w:t>
      </w:r>
      <w:r>
        <w:rPr>
          <w:rFonts w:hint="eastAsia" w:ascii="仿宋_GB2312" w:hAnsi="Times New Roman" w:eastAsia="仿宋_GB2312" w:cs="Times New Roman"/>
          <w:color w:val="auto"/>
          <w:sz w:val="28"/>
          <w:szCs w:val="28"/>
        </w:rPr>
        <w:t xml:space="preserve">划分：本次采购项目划分为 </w:t>
      </w:r>
      <w:r>
        <w:rPr>
          <w:rFonts w:hint="eastAsia" w:ascii="仿宋_GB2312" w:hAnsi="Times New Roman" w:eastAsia="仿宋_GB2312" w:cs="Times New Roman"/>
          <w:color w:val="auto"/>
          <w:sz w:val="28"/>
          <w:szCs w:val="28"/>
          <w:lang w:val="en-US" w:eastAsia="zh-CN"/>
        </w:rPr>
        <w:t>1</w:t>
      </w:r>
      <w:r>
        <w:rPr>
          <w:rFonts w:hint="eastAsia" w:ascii="仿宋_GB2312" w:hAnsi="Times New Roman" w:eastAsia="仿宋_GB2312" w:cs="Times New Roman"/>
          <w:color w:val="auto"/>
          <w:sz w:val="28"/>
          <w:szCs w:val="28"/>
        </w:rPr>
        <w:t>个</w:t>
      </w:r>
      <w:r>
        <w:rPr>
          <w:rFonts w:hint="eastAsia" w:ascii="仿宋_GB2312" w:hAnsi="Times New Roman" w:eastAsia="仿宋_GB2312" w:cs="Times New Roman"/>
          <w:color w:val="auto"/>
          <w:sz w:val="28"/>
          <w:szCs w:val="28"/>
          <w:lang w:eastAsia="zh-CN"/>
        </w:rPr>
        <w:t>包段</w:t>
      </w:r>
      <w:r>
        <w:rPr>
          <w:rFonts w:hint="eastAsia" w:ascii="仿宋_GB2312" w:hAnsi="Times New Roman" w:eastAsia="仿宋_GB2312" w:cs="Times New Roman"/>
          <w:color w:val="auto"/>
          <w:sz w:val="28"/>
          <w:szCs w:val="28"/>
        </w:rPr>
        <w:t>。</w:t>
      </w:r>
    </w:p>
    <w:tbl>
      <w:tblPr>
        <w:tblStyle w:val="5"/>
        <w:tblpPr w:leftFromText="180" w:rightFromText="180" w:vertAnchor="text" w:horzAnchor="page" w:tblpX="810" w:tblpY="91"/>
        <w:tblOverlap w:val="never"/>
        <w:tblW w:w="1012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95"/>
        <w:gridCol w:w="3467"/>
        <w:gridCol w:w="1660"/>
        <w:gridCol w:w="1855"/>
        <w:gridCol w:w="1350"/>
      </w:tblGrid>
      <w:tr w14:paraId="2B1D5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1795" w:type="dxa"/>
            <w:noWrap w:val="0"/>
            <w:vAlign w:val="center"/>
          </w:tcPr>
          <w:p w14:paraId="0CC53C06">
            <w:pPr>
              <w:snapToGrid w:val="0"/>
              <w:spacing w:line="560" w:lineRule="atLeast"/>
              <w:jc w:val="center"/>
              <w:rPr>
                <w:rFonts w:hint="eastAsia" w:ascii="仿宋_GB2312" w:hAnsi="Times New Roman" w:eastAsia="仿宋_GB2312" w:cs="Times New Roman"/>
                <w:color w:val="auto"/>
                <w:sz w:val="24"/>
                <w:szCs w:val="24"/>
              </w:rPr>
            </w:pPr>
            <w:r>
              <w:rPr>
                <w:rFonts w:hint="eastAsia" w:ascii="仿宋_GB2312" w:hAnsi="Times New Roman" w:eastAsia="仿宋_GB2312" w:cs="Times New Roman"/>
                <w:color w:val="auto"/>
                <w:sz w:val="24"/>
                <w:szCs w:val="24"/>
              </w:rPr>
              <w:t>项目名称</w:t>
            </w:r>
          </w:p>
        </w:tc>
        <w:tc>
          <w:tcPr>
            <w:tcW w:w="3467" w:type="dxa"/>
            <w:noWrap w:val="0"/>
            <w:vAlign w:val="center"/>
          </w:tcPr>
          <w:p w14:paraId="294DDEC0">
            <w:pPr>
              <w:snapToGrid w:val="0"/>
              <w:spacing w:line="560" w:lineRule="atLeast"/>
              <w:jc w:val="center"/>
              <w:rPr>
                <w:rFonts w:hint="eastAsia" w:ascii="仿宋_GB2312" w:hAnsi="Times New Roman" w:eastAsia="仿宋_GB2312" w:cs="Times New Roman"/>
                <w:color w:val="auto"/>
                <w:sz w:val="24"/>
                <w:szCs w:val="24"/>
              </w:rPr>
            </w:pPr>
            <w:r>
              <w:rPr>
                <w:rFonts w:hint="eastAsia" w:ascii="仿宋_GB2312" w:hAnsi="Times New Roman" w:eastAsia="仿宋_GB2312" w:cs="Times New Roman"/>
                <w:color w:val="auto"/>
                <w:sz w:val="24"/>
                <w:szCs w:val="24"/>
              </w:rPr>
              <w:t>磋商内容及范围</w:t>
            </w:r>
          </w:p>
        </w:tc>
        <w:tc>
          <w:tcPr>
            <w:tcW w:w="1660" w:type="dxa"/>
            <w:noWrap w:val="0"/>
            <w:vAlign w:val="center"/>
          </w:tcPr>
          <w:p w14:paraId="21E3B303">
            <w:pPr>
              <w:snapToGrid w:val="0"/>
              <w:spacing w:line="560" w:lineRule="atLeast"/>
              <w:jc w:val="center"/>
              <w:rPr>
                <w:rFonts w:hint="eastAsia" w:ascii="仿宋_GB2312" w:hAnsi="Times New Roman" w:eastAsia="仿宋_GB2312" w:cs="Times New Roman"/>
                <w:color w:val="auto"/>
                <w:sz w:val="24"/>
                <w:szCs w:val="24"/>
              </w:rPr>
            </w:pPr>
            <w:r>
              <w:rPr>
                <w:rFonts w:hint="eastAsia" w:ascii="仿宋_GB2312" w:hAnsi="Times New Roman" w:eastAsia="仿宋_GB2312" w:cs="Times New Roman"/>
                <w:color w:val="auto"/>
                <w:sz w:val="24"/>
                <w:szCs w:val="24"/>
              </w:rPr>
              <w:t>合同履行期限</w:t>
            </w:r>
          </w:p>
        </w:tc>
        <w:tc>
          <w:tcPr>
            <w:tcW w:w="1855" w:type="dxa"/>
            <w:noWrap w:val="0"/>
            <w:vAlign w:val="center"/>
          </w:tcPr>
          <w:p w14:paraId="6A86F85C">
            <w:pPr>
              <w:snapToGrid w:val="0"/>
              <w:spacing w:line="560" w:lineRule="atLeast"/>
              <w:jc w:val="center"/>
              <w:rPr>
                <w:rFonts w:hint="eastAsia" w:ascii="仿宋_GB2312" w:hAnsi="Times New Roman" w:eastAsia="仿宋_GB2312" w:cs="Times New Roman"/>
                <w:color w:val="auto"/>
                <w:sz w:val="24"/>
                <w:szCs w:val="24"/>
              </w:rPr>
            </w:pPr>
            <w:r>
              <w:rPr>
                <w:rFonts w:hint="eastAsia" w:ascii="仿宋_GB2312" w:hAnsi="Times New Roman" w:eastAsia="仿宋_GB2312" w:cs="Times New Roman"/>
                <w:color w:val="auto"/>
                <w:sz w:val="24"/>
                <w:szCs w:val="24"/>
                <w:lang w:eastAsia="zh-CN"/>
              </w:rPr>
              <w:t>服务</w:t>
            </w:r>
            <w:r>
              <w:rPr>
                <w:rFonts w:hint="eastAsia" w:ascii="仿宋_GB2312" w:hAnsi="Times New Roman" w:eastAsia="仿宋_GB2312" w:cs="Times New Roman"/>
                <w:color w:val="auto"/>
                <w:sz w:val="24"/>
                <w:szCs w:val="24"/>
                <w:lang w:val="en-US" w:eastAsia="zh-CN"/>
              </w:rPr>
              <w:t>质量</w:t>
            </w:r>
            <w:r>
              <w:rPr>
                <w:rFonts w:hint="eastAsia" w:ascii="仿宋_GB2312" w:hAnsi="Times New Roman" w:eastAsia="仿宋_GB2312" w:cs="Times New Roman"/>
                <w:color w:val="auto"/>
                <w:sz w:val="24"/>
                <w:szCs w:val="24"/>
              </w:rPr>
              <w:t>要求</w:t>
            </w:r>
          </w:p>
        </w:tc>
        <w:tc>
          <w:tcPr>
            <w:tcW w:w="1350" w:type="dxa"/>
            <w:noWrap w:val="0"/>
            <w:vAlign w:val="center"/>
          </w:tcPr>
          <w:p w14:paraId="68B8CE7B">
            <w:pPr>
              <w:snapToGrid w:val="0"/>
              <w:spacing w:line="560" w:lineRule="atLeast"/>
              <w:jc w:val="center"/>
              <w:rPr>
                <w:rFonts w:hint="eastAsia" w:ascii="仿宋_GB2312" w:hAnsi="Times New Roman" w:eastAsia="仿宋_GB2312" w:cs="Times New Roman"/>
                <w:color w:val="auto"/>
                <w:sz w:val="24"/>
                <w:szCs w:val="24"/>
                <w:lang w:eastAsia="zh-CN"/>
              </w:rPr>
            </w:pPr>
            <w:r>
              <w:rPr>
                <w:rFonts w:hint="eastAsia" w:ascii="仿宋_GB2312" w:hAnsi="Times New Roman" w:eastAsia="仿宋_GB2312" w:cs="Times New Roman"/>
                <w:color w:val="auto"/>
                <w:sz w:val="24"/>
                <w:szCs w:val="24"/>
                <w:lang w:eastAsia="zh-CN"/>
              </w:rPr>
              <w:t>服务地点</w:t>
            </w:r>
          </w:p>
        </w:tc>
      </w:tr>
      <w:tr w14:paraId="4E3F3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8" w:hRule="atLeast"/>
        </w:trPr>
        <w:tc>
          <w:tcPr>
            <w:tcW w:w="1795" w:type="dxa"/>
            <w:noWrap w:val="0"/>
            <w:vAlign w:val="center"/>
          </w:tcPr>
          <w:p w14:paraId="4A399AFF">
            <w:pPr>
              <w:snapToGrid w:val="0"/>
              <w:spacing w:line="560" w:lineRule="atLeast"/>
              <w:jc w:val="center"/>
              <w:rPr>
                <w:rFonts w:hint="eastAsia" w:ascii="仿宋_GB2312" w:hAnsi="Times New Roman" w:eastAsia="仿宋_GB2312" w:cs="Times New Roman"/>
                <w:color w:val="auto"/>
                <w:sz w:val="24"/>
                <w:szCs w:val="24"/>
                <w:lang w:val="en-US" w:eastAsia="zh-CN"/>
              </w:rPr>
            </w:pPr>
            <w:r>
              <w:rPr>
                <w:rFonts w:hint="eastAsia" w:ascii="仿宋_GB2312" w:hAnsi="Times New Roman" w:eastAsia="仿宋_GB2312" w:cs="Times New Roman"/>
                <w:color w:val="auto"/>
                <w:sz w:val="24"/>
                <w:szCs w:val="24"/>
                <w:lang w:val="en-US" w:eastAsia="zh-CN"/>
              </w:rPr>
              <w:t>安阳市生态环境局汤阴分局汤阴高新技术产业开发区工业污水处理厂深度处理项目设计</w:t>
            </w:r>
          </w:p>
        </w:tc>
        <w:tc>
          <w:tcPr>
            <w:tcW w:w="3467" w:type="dxa"/>
            <w:noWrap w:val="0"/>
            <w:vAlign w:val="center"/>
          </w:tcPr>
          <w:p w14:paraId="7A63F84E">
            <w:pPr>
              <w:snapToGrid w:val="0"/>
              <w:spacing w:line="560" w:lineRule="atLeast"/>
              <w:jc w:val="center"/>
              <w:rPr>
                <w:rFonts w:hint="eastAsia" w:ascii="仿宋_GB2312" w:hAnsi="Times New Roman" w:eastAsia="仿宋_GB2312" w:cs="Times New Roman"/>
                <w:color w:val="auto"/>
                <w:sz w:val="24"/>
                <w:szCs w:val="24"/>
                <w:lang w:val="en-US" w:eastAsia="zh-CN"/>
              </w:rPr>
            </w:pPr>
            <w:r>
              <w:rPr>
                <w:rFonts w:hint="eastAsia" w:ascii="仿宋_GB2312" w:hAnsi="Times New Roman" w:eastAsia="仿宋_GB2312" w:cs="Times New Roman"/>
                <w:color w:val="auto"/>
                <w:sz w:val="24"/>
                <w:szCs w:val="24"/>
                <w:lang w:val="en-US" w:eastAsia="zh-CN"/>
              </w:rPr>
              <w:t>本项目的地形图测绘、地质勘察、初步设计、施工图设计和编制概算、预算及相关后续服务工作，按国家、省及市相关规定提供技术成果文件和相关后续服务</w:t>
            </w:r>
          </w:p>
        </w:tc>
        <w:tc>
          <w:tcPr>
            <w:tcW w:w="1660" w:type="dxa"/>
            <w:noWrap w:val="0"/>
            <w:vAlign w:val="center"/>
          </w:tcPr>
          <w:p w14:paraId="12933AC8">
            <w:pPr>
              <w:snapToGrid w:val="0"/>
              <w:spacing w:line="560" w:lineRule="atLeast"/>
              <w:jc w:val="center"/>
              <w:rPr>
                <w:rFonts w:hint="eastAsia" w:ascii="仿宋_GB2312" w:hAnsi="Times New Roman" w:eastAsia="仿宋_GB2312" w:cs="Times New Roman"/>
                <w:color w:val="auto"/>
                <w:sz w:val="24"/>
                <w:szCs w:val="24"/>
                <w:lang w:val="en-US" w:eastAsia="zh-CN"/>
              </w:rPr>
            </w:pPr>
            <w:r>
              <w:rPr>
                <w:rFonts w:hint="eastAsia" w:ascii="仿宋_GB2312" w:hAnsi="Times New Roman" w:eastAsia="仿宋_GB2312" w:cs="Times New Roman"/>
                <w:color w:val="auto"/>
                <w:sz w:val="24"/>
                <w:szCs w:val="24"/>
                <w:lang w:val="en-US" w:eastAsia="zh-CN"/>
              </w:rPr>
              <w:t>签订合同后30日历天内</w:t>
            </w:r>
          </w:p>
        </w:tc>
        <w:tc>
          <w:tcPr>
            <w:tcW w:w="1855" w:type="dxa"/>
            <w:noWrap w:val="0"/>
            <w:vAlign w:val="center"/>
          </w:tcPr>
          <w:p w14:paraId="422814EC">
            <w:pPr>
              <w:snapToGrid w:val="0"/>
              <w:spacing w:line="560" w:lineRule="atLeast"/>
              <w:jc w:val="center"/>
              <w:rPr>
                <w:rFonts w:hint="eastAsia" w:ascii="仿宋_GB2312" w:hAnsi="Times New Roman" w:eastAsia="仿宋_GB2312" w:cs="Times New Roman"/>
                <w:color w:val="auto"/>
                <w:sz w:val="24"/>
                <w:szCs w:val="24"/>
                <w:lang w:val="en-US" w:eastAsia="zh-CN"/>
              </w:rPr>
            </w:pPr>
            <w:r>
              <w:rPr>
                <w:rFonts w:hint="eastAsia" w:ascii="仿宋_GB2312" w:hAnsi="Times New Roman" w:eastAsia="仿宋_GB2312" w:cs="Times New Roman"/>
                <w:color w:val="auto"/>
                <w:sz w:val="24"/>
                <w:szCs w:val="24"/>
                <w:lang w:val="en-US" w:eastAsia="zh-CN"/>
              </w:rPr>
              <w:t>符合国家现行工程设计规范合格标准</w:t>
            </w:r>
          </w:p>
        </w:tc>
        <w:tc>
          <w:tcPr>
            <w:tcW w:w="1350" w:type="dxa"/>
            <w:noWrap w:val="0"/>
            <w:vAlign w:val="center"/>
          </w:tcPr>
          <w:p w14:paraId="62BF4851">
            <w:pPr>
              <w:snapToGrid w:val="0"/>
              <w:spacing w:line="560" w:lineRule="atLeast"/>
              <w:jc w:val="center"/>
              <w:rPr>
                <w:rFonts w:hint="eastAsia" w:ascii="仿宋_GB2312" w:hAnsi="Times New Roman" w:eastAsia="仿宋_GB2312" w:cs="Times New Roman"/>
                <w:color w:val="auto"/>
                <w:sz w:val="24"/>
                <w:szCs w:val="24"/>
                <w:lang w:val="en-US" w:eastAsia="zh-CN"/>
              </w:rPr>
            </w:pPr>
            <w:r>
              <w:rPr>
                <w:rFonts w:hint="eastAsia" w:ascii="仿宋_GB2312" w:hAnsi="Times New Roman" w:eastAsia="仿宋_GB2312" w:cs="Times New Roman"/>
                <w:color w:val="auto"/>
                <w:sz w:val="24"/>
                <w:szCs w:val="24"/>
                <w:lang w:val="en-US" w:eastAsia="zh-CN"/>
              </w:rPr>
              <w:t>采购人指定地点</w:t>
            </w:r>
          </w:p>
        </w:tc>
      </w:tr>
    </w:tbl>
    <w:p w14:paraId="51C59078">
      <w:pPr>
        <w:snapToGrid w:val="0"/>
        <w:spacing w:line="560" w:lineRule="atLeast"/>
        <w:ind w:firstLine="562" w:firstLineChars="200"/>
        <w:rPr>
          <w:rFonts w:hint="eastAsia" w:ascii="仿宋_GB2312" w:hAnsi="Times New Roman" w:eastAsia="仿宋_GB2312" w:cs="Times New Roman"/>
          <w:b/>
          <w:bCs/>
          <w:color w:val="auto"/>
          <w:sz w:val="28"/>
          <w:szCs w:val="28"/>
        </w:rPr>
      </w:pPr>
      <w:r>
        <w:rPr>
          <w:rFonts w:hint="eastAsia" w:ascii="仿宋_GB2312" w:hAnsi="Times New Roman" w:eastAsia="仿宋_GB2312" w:cs="Times New Roman"/>
          <w:b/>
          <w:bCs/>
          <w:color w:val="auto"/>
          <w:sz w:val="28"/>
          <w:szCs w:val="28"/>
          <w:lang w:val="en-US" w:eastAsia="zh-CN"/>
        </w:rPr>
        <w:t>二.</w:t>
      </w:r>
      <w:r>
        <w:rPr>
          <w:rFonts w:hint="eastAsia" w:ascii="仿宋_GB2312" w:hAnsi="Times New Roman" w:eastAsia="仿宋_GB2312" w:cs="Times New Roman"/>
          <w:b/>
          <w:bCs/>
          <w:color w:val="auto"/>
          <w:sz w:val="28"/>
          <w:szCs w:val="28"/>
        </w:rPr>
        <w:t>响应报价（价格构成）</w:t>
      </w:r>
    </w:p>
    <w:p w14:paraId="17970EDF">
      <w:pPr>
        <w:snapToGrid w:val="0"/>
        <w:spacing w:line="560" w:lineRule="atLeast"/>
        <w:ind w:firstLine="560" w:firstLineChars="200"/>
        <w:rPr>
          <w:rFonts w:hint="eastAsia" w:ascii="仿宋_GB2312" w:hAnsi="Times New Roman" w:eastAsia="仿宋_GB2312" w:cs="Times New Roman"/>
          <w:color w:val="auto"/>
          <w:sz w:val="28"/>
          <w:szCs w:val="28"/>
          <w:lang w:val="zh-CN" w:eastAsia="zh-CN"/>
        </w:rPr>
      </w:pPr>
      <w:r>
        <w:rPr>
          <w:rFonts w:hint="eastAsia" w:ascii="仿宋_GB2312" w:hAnsi="Times New Roman" w:eastAsia="仿宋_GB2312" w:cs="Times New Roman"/>
          <w:color w:val="auto"/>
          <w:sz w:val="28"/>
          <w:szCs w:val="28"/>
          <w:lang w:val="en-US" w:eastAsia="zh-CN"/>
        </w:rPr>
        <w:t>2.1</w:t>
      </w:r>
      <w:r>
        <w:rPr>
          <w:rFonts w:hint="eastAsia" w:ascii="仿宋_GB2312" w:hAnsi="Times New Roman" w:eastAsia="仿宋_GB2312" w:cs="Times New Roman"/>
          <w:color w:val="auto"/>
          <w:sz w:val="28"/>
          <w:szCs w:val="28"/>
          <w:lang w:val="zh-CN" w:eastAsia="zh-CN"/>
        </w:rPr>
        <w:t>供应商应按包段（包） 进行投标，各包段（包）的磋商报价均应为达到服务要求下的目的地交验价，包括相关税款、人员工资、备品备件价、易损件价、专用工具价、第三方抽检费、服务费、</w:t>
      </w:r>
      <w:r>
        <w:rPr>
          <w:rFonts w:hint="eastAsia" w:ascii="仿宋_GB2312" w:hAnsi="Times New Roman" w:eastAsia="仿宋_GB2312" w:cs="Times New Roman"/>
          <w:color w:val="auto"/>
          <w:sz w:val="28"/>
          <w:szCs w:val="28"/>
          <w:lang w:val="en-US" w:eastAsia="zh-CN"/>
        </w:rPr>
        <w:t>电费、网费</w:t>
      </w:r>
      <w:r>
        <w:rPr>
          <w:rFonts w:hint="eastAsia" w:ascii="仿宋_GB2312" w:hAnsi="Times New Roman" w:eastAsia="仿宋_GB2312" w:cs="Times New Roman"/>
          <w:color w:val="auto"/>
          <w:sz w:val="28"/>
          <w:szCs w:val="28"/>
          <w:lang w:val="zh-CN" w:eastAsia="zh-CN"/>
        </w:rPr>
        <w:t>、知识产权（如有）、保险（如需）等与采购项目（包段（包））相关的、必须的款项及费用（包括未列明而完成交验所必须的所有费用、材料、工具、设施）。成交价格在成交合同范围内固定不变。</w:t>
      </w:r>
    </w:p>
    <w:p w14:paraId="5907996A">
      <w:pPr>
        <w:snapToGrid w:val="0"/>
        <w:spacing w:line="560" w:lineRule="atLeast"/>
        <w:ind w:firstLine="560" w:firstLineChars="200"/>
        <w:rPr>
          <w:rFonts w:hint="eastAsia" w:ascii="仿宋_GB2312" w:hAnsi="Times New Roman" w:eastAsia="仿宋_GB2312" w:cs="Times New Roman"/>
          <w:color w:val="auto"/>
          <w:sz w:val="28"/>
          <w:szCs w:val="28"/>
          <w:lang w:val="zh-CN" w:eastAsia="zh-CN"/>
        </w:rPr>
      </w:pPr>
      <w:r>
        <w:rPr>
          <w:rFonts w:hint="eastAsia" w:ascii="仿宋_GB2312" w:hAnsi="Times New Roman" w:eastAsia="仿宋_GB2312" w:cs="Times New Roman"/>
          <w:color w:val="auto"/>
          <w:sz w:val="28"/>
          <w:szCs w:val="28"/>
          <w:lang w:val="en-US" w:eastAsia="zh-CN"/>
        </w:rPr>
        <w:t>2.2</w:t>
      </w:r>
      <w:r>
        <w:rPr>
          <w:rFonts w:hint="eastAsia" w:ascii="仿宋_GB2312" w:hAnsi="Times New Roman" w:eastAsia="仿宋_GB2312" w:cs="Times New Roman"/>
          <w:color w:val="auto"/>
          <w:sz w:val="28"/>
          <w:szCs w:val="28"/>
          <w:lang w:val="zh-CN" w:eastAsia="zh-CN"/>
        </w:rPr>
        <w:t>本次竞争性磋商共二次报价（含系统中开标一览表报价共二次价格磋商）。磋商小组未对《磋商文件》作优化变更增加的，磋商中的报价均不应超过前次报价，供应商擅自调高报价的，磋商小组将按二次报价中的最低报价作为有效报价。供应商拒绝接受上述意见的，磋商小组将视为变相在提交《响应文件》截止时间后撤回《响应文件》，并评定其为无效投标，提交由同级财政局政府采购监督管理部门对其违规行为进行处理。</w:t>
      </w:r>
    </w:p>
    <w:p w14:paraId="65B137BC">
      <w:pPr>
        <w:snapToGrid w:val="0"/>
        <w:spacing w:line="560" w:lineRule="atLeast"/>
        <w:ind w:firstLine="560" w:firstLineChars="200"/>
        <w:rPr>
          <w:rFonts w:hint="eastAsia" w:ascii="仿宋_GB2312" w:hAnsi="Times New Roman" w:eastAsia="仿宋_GB2312" w:cs="Times New Roman"/>
          <w:color w:val="auto"/>
          <w:sz w:val="28"/>
          <w:szCs w:val="28"/>
          <w:lang w:val="zh-CN" w:eastAsia="zh-CN"/>
        </w:rPr>
      </w:pPr>
      <w:r>
        <w:rPr>
          <w:rFonts w:hint="eastAsia" w:ascii="仿宋_GB2312" w:hAnsi="Times New Roman" w:eastAsia="仿宋_GB2312" w:cs="Times New Roman"/>
          <w:color w:val="auto"/>
          <w:sz w:val="28"/>
          <w:szCs w:val="28"/>
          <w:lang w:val="en-US" w:eastAsia="zh-CN"/>
        </w:rPr>
        <w:t>2.3</w:t>
      </w:r>
      <w:r>
        <w:rPr>
          <w:rFonts w:hint="eastAsia" w:ascii="仿宋_GB2312" w:hAnsi="Times New Roman" w:eastAsia="仿宋_GB2312" w:cs="Times New Roman"/>
          <w:color w:val="auto"/>
          <w:sz w:val="28"/>
          <w:szCs w:val="28"/>
          <w:lang w:val="zh-CN" w:eastAsia="zh-CN"/>
        </w:rPr>
        <w:t>如供应商的投标报价未超过采购预算（见第一</w:t>
      </w:r>
      <w:r>
        <w:rPr>
          <w:rFonts w:hint="eastAsia" w:ascii="仿宋_GB2312" w:hAnsi="Times New Roman" w:eastAsia="仿宋_GB2312" w:cs="Times New Roman"/>
          <w:color w:val="auto"/>
          <w:sz w:val="28"/>
          <w:szCs w:val="28"/>
          <w:lang w:val="en-US" w:eastAsia="zh-CN"/>
        </w:rPr>
        <w:t xml:space="preserve">章 </w:t>
      </w:r>
      <w:r>
        <w:rPr>
          <w:rFonts w:hint="eastAsia" w:ascii="仿宋_GB2312" w:hAnsi="Times New Roman" w:eastAsia="仿宋_GB2312" w:cs="Times New Roman"/>
          <w:color w:val="auto"/>
          <w:sz w:val="28"/>
          <w:szCs w:val="28"/>
          <w:lang w:val="zh-CN" w:eastAsia="zh-CN"/>
        </w:rPr>
        <w:t>竞争性磋商公告）的供应商不足三家的，该</w:t>
      </w:r>
      <w:r>
        <w:rPr>
          <w:rFonts w:hint="eastAsia" w:ascii="仿宋_GB2312" w:hAnsi="Times New Roman" w:eastAsia="仿宋_GB2312" w:cs="Times New Roman"/>
          <w:color w:val="auto"/>
          <w:sz w:val="28"/>
          <w:szCs w:val="28"/>
          <w:lang w:val="en-US" w:eastAsia="zh-CN"/>
        </w:rPr>
        <w:t>项目作废</w:t>
      </w:r>
      <w:r>
        <w:rPr>
          <w:rFonts w:hint="eastAsia" w:ascii="仿宋_GB2312" w:hAnsi="Times New Roman" w:eastAsia="仿宋_GB2312" w:cs="Times New Roman"/>
          <w:color w:val="auto"/>
          <w:sz w:val="28"/>
          <w:szCs w:val="28"/>
          <w:lang w:val="zh-CN" w:eastAsia="zh-CN"/>
        </w:rPr>
        <w:t>标处理。</w:t>
      </w:r>
    </w:p>
    <w:p w14:paraId="3D063B94">
      <w:pPr>
        <w:snapToGrid w:val="0"/>
        <w:spacing w:line="560" w:lineRule="atLeast"/>
        <w:ind w:firstLine="562" w:firstLineChars="200"/>
        <w:rPr>
          <w:rFonts w:hint="eastAsia" w:ascii="仿宋_GB2312" w:hAnsi="Times New Roman" w:eastAsia="仿宋_GB2312" w:cs="Times New Roman"/>
          <w:b/>
          <w:bCs/>
          <w:color w:val="auto"/>
          <w:sz w:val="28"/>
          <w:szCs w:val="28"/>
          <w:highlight w:val="none"/>
          <w:lang w:val="zh-CN" w:eastAsia="zh-CN"/>
        </w:rPr>
      </w:pPr>
      <w:r>
        <w:rPr>
          <w:rFonts w:hint="eastAsia" w:ascii="仿宋_GB2312" w:hAnsi="Times New Roman" w:eastAsia="仿宋_GB2312" w:cs="Times New Roman"/>
          <w:b/>
          <w:bCs/>
          <w:color w:val="auto"/>
          <w:sz w:val="28"/>
          <w:szCs w:val="28"/>
          <w:highlight w:val="none"/>
          <w:lang w:val="zh-CN" w:eastAsia="zh-CN"/>
        </w:rPr>
        <w:t>三、具体服务要求及标段（包）内容（范围）</w:t>
      </w:r>
    </w:p>
    <w:p w14:paraId="4F7498E1">
      <w:pPr>
        <w:snapToGrid w:val="0"/>
        <w:spacing w:line="560" w:lineRule="atLeast"/>
        <w:ind w:firstLine="560" w:firstLineChars="200"/>
        <w:rPr>
          <w:rFonts w:hint="eastAsia" w:ascii="仿宋_GB2312" w:hAnsi="Times New Roman" w:eastAsia="仿宋_GB2312" w:cs="Times New Roman"/>
          <w:color w:val="auto"/>
          <w:sz w:val="28"/>
          <w:szCs w:val="28"/>
          <w:highlight w:val="none"/>
          <w:lang w:val="en-US" w:eastAsia="zh-CN"/>
        </w:rPr>
      </w:pPr>
      <w:r>
        <w:rPr>
          <w:rFonts w:hint="eastAsia" w:ascii="仿宋_GB2312" w:hAnsi="Times New Roman" w:eastAsia="仿宋_GB2312" w:cs="Times New Roman"/>
          <w:color w:val="auto"/>
          <w:sz w:val="28"/>
          <w:szCs w:val="28"/>
          <w:highlight w:val="none"/>
          <w:lang w:val="en-US" w:eastAsia="zh-CN"/>
        </w:rPr>
        <w:t>3.1、项目概况：</w:t>
      </w:r>
    </w:p>
    <w:p w14:paraId="0801B89A">
      <w:pPr>
        <w:snapToGrid w:val="0"/>
        <w:spacing w:line="560" w:lineRule="atLeast"/>
        <w:ind w:firstLine="560" w:firstLineChars="200"/>
        <w:rPr>
          <w:rFonts w:hint="eastAsia" w:ascii="仿宋_GB2312" w:hAnsi="Times New Roman" w:eastAsia="仿宋_GB2312" w:cs="Times New Roman"/>
          <w:color w:val="auto"/>
          <w:sz w:val="28"/>
          <w:szCs w:val="28"/>
          <w:highlight w:val="none"/>
          <w:lang w:val="en-US" w:eastAsia="zh-CN"/>
        </w:rPr>
      </w:pPr>
      <w:r>
        <w:rPr>
          <w:rFonts w:hint="eastAsia" w:ascii="仿宋_GB2312" w:hAnsi="Times New Roman" w:eastAsia="仿宋_GB2312" w:cs="Times New Roman"/>
          <w:color w:val="auto"/>
          <w:sz w:val="28"/>
          <w:szCs w:val="28"/>
          <w:highlight w:val="none"/>
          <w:lang w:val="en-US" w:eastAsia="zh-CN"/>
        </w:rPr>
        <w:t>依据汤阴高新技术产业开发区工业污水处理厂深度处理项目可行性研究报告，完成项目包含地形图测绘、地质勘察、初步设计、施工图设计和编制概算、预算及相关后续服务工作，按国家、省及市相关规定提供技术成果文件和相关后续服务。</w:t>
      </w:r>
    </w:p>
    <w:p w14:paraId="22A36B22">
      <w:pPr>
        <w:snapToGrid w:val="0"/>
        <w:spacing w:line="560" w:lineRule="atLeast"/>
        <w:ind w:firstLine="560" w:firstLineChars="200"/>
        <w:rPr>
          <w:rFonts w:hint="eastAsia" w:ascii="仿宋_GB2312" w:hAnsi="Times New Roman" w:eastAsia="仿宋_GB2312" w:cs="Times New Roman"/>
          <w:color w:val="auto"/>
          <w:sz w:val="28"/>
          <w:szCs w:val="28"/>
          <w:highlight w:val="none"/>
          <w:lang w:val="en-US" w:eastAsia="zh-CN"/>
        </w:rPr>
      </w:pPr>
      <w:r>
        <w:rPr>
          <w:rFonts w:hint="eastAsia" w:ascii="仿宋_GB2312" w:hAnsi="Times New Roman" w:eastAsia="仿宋_GB2312" w:cs="Times New Roman"/>
          <w:color w:val="auto"/>
          <w:sz w:val="28"/>
          <w:szCs w:val="28"/>
          <w:highlight w:val="none"/>
          <w:lang w:val="en-US" w:eastAsia="zh-CN"/>
        </w:rPr>
        <w:t xml:space="preserve">3.2、报价要求： </w:t>
      </w:r>
    </w:p>
    <w:p w14:paraId="4FE5431A">
      <w:pPr>
        <w:snapToGrid w:val="0"/>
        <w:spacing w:line="560" w:lineRule="atLeast"/>
        <w:ind w:firstLine="560" w:firstLineChars="200"/>
        <w:rPr>
          <w:rFonts w:hint="eastAsia" w:ascii="仿宋_GB2312" w:hAnsi="Times New Roman" w:eastAsia="仿宋_GB2312" w:cs="Times New Roman"/>
          <w:color w:val="auto"/>
          <w:sz w:val="28"/>
          <w:szCs w:val="28"/>
          <w:highlight w:val="none"/>
          <w:lang w:val="en-US" w:eastAsia="zh-CN"/>
        </w:rPr>
      </w:pPr>
      <w:r>
        <w:rPr>
          <w:rFonts w:hint="eastAsia" w:ascii="仿宋_GB2312" w:hAnsi="Times New Roman" w:eastAsia="仿宋_GB2312" w:cs="Times New Roman"/>
          <w:color w:val="auto"/>
          <w:sz w:val="28"/>
          <w:szCs w:val="28"/>
          <w:highlight w:val="none"/>
          <w:lang w:val="en-US" w:eastAsia="zh-CN"/>
        </w:rPr>
        <w:t xml:space="preserve">所报总价应包括其履行本项目合同所需的所有费用。 </w:t>
      </w:r>
    </w:p>
    <w:p w14:paraId="08785D69">
      <w:pPr>
        <w:snapToGrid w:val="0"/>
        <w:spacing w:line="560" w:lineRule="atLeast"/>
        <w:ind w:firstLine="560" w:firstLineChars="200"/>
        <w:rPr>
          <w:rFonts w:hint="default" w:ascii="仿宋_GB2312" w:hAnsi="Times New Roman" w:eastAsia="仿宋_GB2312" w:cs="Times New Roman"/>
          <w:color w:val="auto"/>
          <w:sz w:val="28"/>
          <w:szCs w:val="28"/>
          <w:highlight w:val="none"/>
          <w:lang w:val="en-US" w:eastAsia="zh-CN"/>
        </w:rPr>
      </w:pPr>
    </w:p>
    <w:p w14:paraId="6207907B">
      <w:pPr>
        <w:tabs>
          <w:tab w:val="left" w:pos="9180"/>
        </w:tabs>
        <w:snapToGrid w:val="0"/>
        <w:spacing w:before="142" w:beforeLines="50" w:after="142" w:afterLines="50" w:line="700" w:lineRule="atLeast"/>
        <w:jc w:val="center"/>
        <w:rPr>
          <w:rFonts w:hint="eastAsia" w:ascii="仿宋_GB2312" w:hAnsi="Times New Roman" w:eastAsia="仿宋_GB2312" w:cs="Times New Roman"/>
          <w:color w:val="FF0000"/>
          <w:sz w:val="28"/>
          <w:szCs w:val="28"/>
          <w:lang w:val="en-US" w:eastAsia="zh-CN"/>
        </w:rPr>
      </w:pPr>
      <w:r>
        <w:rPr>
          <w:rFonts w:hint="eastAsia" w:ascii="宋体" w:hAnsi="宋体"/>
          <w:b/>
          <w:color w:val="auto"/>
          <w:sz w:val="36"/>
          <w:lang w:eastAsia="zh-CN"/>
        </w:rPr>
        <w:t>二</w:t>
      </w:r>
      <w:r>
        <w:rPr>
          <w:rFonts w:hint="eastAsia" w:ascii="宋体" w:hAnsi="宋体"/>
          <w:b/>
          <w:color w:val="auto"/>
          <w:sz w:val="36"/>
        </w:rPr>
        <w:t>、商务要求</w:t>
      </w:r>
    </w:p>
    <w:p w14:paraId="38BFEFDE">
      <w:pPr>
        <w:snapToGrid w:val="0"/>
        <w:spacing w:line="560" w:lineRule="atLeas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1.合同履行期限：签订合同后30日历天</w:t>
      </w:r>
      <w:r>
        <w:rPr>
          <w:rFonts w:hint="eastAsia" w:ascii="仿宋_GB2312" w:eastAsia="仿宋_GB2312"/>
          <w:color w:val="auto"/>
          <w:sz w:val="28"/>
          <w:szCs w:val="28"/>
          <w:lang w:val="en-US" w:eastAsia="zh-CN"/>
        </w:rPr>
        <w:t>内</w:t>
      </w:r>
      <w:r>
        <w:rPr>
          <w:rFonts w:hint="eastAsia" w:ascii="仿宋_GB2312" w:eastAsia="仿宋_GB2312"/>
          <w:color w:val="auto"/>
          <w:sz w:val="28"/>
          <w:szCs w:val="28"/>
        </w:rPr>
        <w:t>；</w:t>
      </w:r>
    </w:p>
    <w:p w14:paraId="5CCC831B">
      <w:pPr>
        <w:snapToGrid w:val="0"/>
        <w:spacing w:line="560" w:lineRule="atLeas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2.服务地点：详见采购文件第一部分。</w:t>
      </w:r>
    </w:p>
    <w:p w14:paraId="48C0C52C">
      <w:pPr>
        <w:snapToGrid w:val="0"/>
        <w:spacing w:line="560" w:lineRule="atLeast"/>
        <w:ind w:firstLine="560" w:firstLineChars="200"/>
        <w:rPr>
          <w:rFonts w:hint="eastAsia" w:ascii="仿宋_GB2312" w:eastAsia="仿宋_GB2312"/>
          <w:color w:val="auto"/>
          <w:sz w:val="28"/>
          <w:szCs w:val="28"/>
        </w:rPr>
      </w:pPr>
      <w:r>
        <w:rPr>
          <w:rFonts w:hint="eastAsia" w:ascii="仿宋_GB2312" w:eastAsia="仿宋_GB2312"/>
          <w:color w:val="auto"/>
          <w:sz w:val="28"/>
          <w:szCs w:val="28"/>
          <w:lang w:val="en-US" w:eastAsia="zh-CN"/>
        </w:rPr>
        <w:t>3.</w:t>
      </w:r>
      <w:r>
        <w:rPr>
          <w:rFonts w:hint="eastAsia" w:ascii="仿宋_GB2312" w:eastAsia="仿宋_GB2312"/>
          <w:color w:val="auto"/>
          <w:sz w:val="28"/>
          <w:szCs w:val="28"/>
        </w:rPr>
        <w:t>质量要求:符合国家现行工程设计规范合格标准；</w:t>
      </w:r>
    </w:p>
    <w:p w14:paraId="30743DE2">
      <w:pPr>
        <w:snapToGrid w:val="0"/>
        <w:spacing w:line="560" w:lineRule="atLeast"/>
        <w:ind w:firstLine="560" w:firstLineChars="200"/>
        <w:rPr>
          <w:rFonts w:hint="default" w:ascii="仿宋_GB2312" w:hAnsi="Times New Roman" w:eastAsia="仿宋_GB2312" w:cs="Times New Roman"/>
          <w:color w:val="auto"/>
          <w:sz w:val="28"/>
          <w:szCs w:val="28"/>
          <w:lang w:val="en-US" w:eastAsia="zh-CN"/>
        </w:rPr>
      </w:pPr>
      <w:r>
        <w:rPr>
          <w:rFonts w:hint="eastAsia" w:ascii="仿宋_GB2312" w:eastAsia="仿宋_GB2312"/>
          <w:color w:val="auto"/>
          <w:sz w:val="28"/>
          <w:szCs w:val="28"/>
          <w:lang w:val="en-US" w:eastAsia="zh-CN"/>
        </w:rPr>
        <w:t>4.</w:t>
      </w:r>
      <w:r>
        <w:rPr>
          <w:rFonts w:hint="eastAsia" w:ascii="仿宋_GB2312" w:hAnsi="Times New Roman" w:eastAsia="仿宋_GB2312" w:cs="Times New Roman"/>
          <w:color w:val="auto"/>
          <w:sz w:val="28"/>
          <w:szCs w:val="28"/>
        </w:rPr>
        <w:t>付款方式：乙方完成工程设计，将设计图纸及预算清单交付甲方后，支付设计总费用的40%，设计图纸及预算清单通过财政评审后，支付总费用的30%，工程竣工验收合格后，支付总费用的30%。</w:t>
      </w:r>
    </w:p>
    <w:p w14:paraId="535AF0A7">
      <w:pPr>
        <w:pStyle w:val="4"/>
        <w:rPr>
          <w:rFonts w:hint="default" w:ascii="仿宋_GB2312" w:hAnsi="Times New Roman" w:eastAsia="仿宋_GB2312" w:cs="Times New Roman"/>
          <w:b w:val="0"/>
          <w:bCs/>
          <w:color w:val="auto"/>
          <w:kern w:val="2"/>
          <w:sz w:val="28"/>
          <w:szCs w:val="28"/>
          <w:lang w:val="en-US" w:eastAsia="zh-CN" w:bidi="ar-SA"/>
        </w:rPr>
      </w:pPr>
      <w:r>
        <w:rPr>
          <w:rFonts w:hint="eastAsia" w:ascii="仿宋_GB2312" w:hAnsi="Times New Roman" w:eastAsia="仿宋_GB2312" w:cs="Times New Roman"/>
          <w:b w:val="0"/>
          <w:bCs/>
          <w:color w:val="auto"/>
          <w:kern w:val="2"/>
          <w:sz w:val="28"/>
          <w:szCs w:val="28"/>
          <w:lang w:val="en-US" w:eastAsia="zh-CN" w:bidi="ar-SA"/>
        </w:rPr>
        <w:t>5.验收标准：符合磋商文件、响应文件及合同的要求。</w:t>
      </w:r>
    </w:p>
    <w:p w14:paraId="1F166DA0">
      <w:pPr>
        <w:tabs>
          <w:tab w:val="left" w:pos="9180"/>
        </w:tabs>
        <w:snapToGrid w:val="0"/>
        <w:spacing w:before="142" w:beforeLines="50" w:after="142" w:afterLines="50" w:line="700" w:lineRule="atLeast"/>
        <w:jc w:val="center"/>
        <w:rPr>
          <w:rFonts w:hint="eastAsia" w:ascii="宋体" w:hAnsi="宋体"/>
          <w:b/>
          <w:color w:val="auto"/>
          <w:sz w:val="36"/>
        </w:rPr>
      </w:pPr>
      <w:r>
        <w:rPr>
          <w:rFonts w:hint="eastAsia" w:ascii="宋体" w:hAnsi="宋体"/>
          <w:b/>
          <w:color w:val="auto"/>
          <w:sz w:val="36"/>
          <w:lang w:eastAsia="zh-CN"/>
        </w:rPr>
        <w:t>三</w:t>
      </w:r>
      <w:r>
        <w:rPr>
          <w:rFonts w:hint="eastAsia" w:ascii="宋体" w:hAnsi="宋体"/>
          <w:b/>
          <w:color w:val="auto"/>
          <w:sz w:val="36"/>
        </w:rPr>
        <w:t>、其他要求</w:t>
      </w:r>
    </w:p>
    <w:p w14:paraId="629FB1B4">
      <w:pPr>
        <w:tabs>
          <w:tab w:val="left" w:pos="5341"/>
        </w:tabs>
        <w:snapToGrid w:val="0"/>
        <w:spacing w:line="560" w:lineRule="atLeast"/>
        <w:ind w:firstLine="560" w:firstLineChars="200"/>
        <w:rPr>
          <w:rFonts w:hint="eastAsia" w:ascii="仿宋_GB2312" w:hAnsi="Times New Roman" w:eastAsia="仿宋_GB2312" w:cs="Times New Roman"/>
          <w:color w:val="auto"/>
          <w:sz w:val="28"/>
          <w:szCs w:val="28"/>
          <w:lang w:eastAsia="zh-CN"/>
        </w:rPr>
      </w:pPr>
      <w:r>
        <w:rPr>
          <w:rFonts w:hint="eastAsia" w:ascii="仿宋_GB2312" w:hAnsi="Times New Roman" w:eastAsia="仿宋_GB2312" w:cs="Times New Roman"/>
          <w:color w:val="auto"/>
          <w:sz w:val="28"/>
          <w:szCs w:val="28"/>
          <w:lang w:val="en-US" w:eastAsia="zh-CN"/>
        </w:rPr>
        <w:t>1.投标</w:t>
      </w:r>
      <w:r>
        <w:rPr>
          <w:rFonts w:hint="eastAsia" w:ascii="仿宋_GB2312" w:hAnsi="Times New Roman" w:eastAsia="仿宋_GB2312" w:cs="Times New Roman"/>
          <w:color w:val="auto"/>
          <w:sz w:val="28"/>
          <w:szCs w:val="28"/>
          <w:lang w:eastAsia="zh-CN"/>
        </w:rPr>
        <w:t>人需根据项目提供对项目的理解与需求响应、重点难点分析、项目实施工作计划与进度安排、服务质量保障方案、控制工程造价的措施；</w:t>
      </w:r>
    </w:p>
    <w:p w14:paraId="0D676A55">
      <w:pPr>
        <w:tabs>
          <w:tab w:val="left" w:pos="5341"/>
        </w:tabs>
        <w:snapToGrid w:val="0"/>
        <w:spacing w:line="560" w:lineRule="atLeast"/>
        <w:ind w:firstLine="560" w:firstLineChars="200"/>
        <w:rPr>
          <w:rFonts w:hint="eastAsia" w:ascii="仿宋_GB2312" w:hAnsi="Times New Roman" w:eastAsia="仿宋_GB2312" w:cs="Times New Roman"/>
          <w:color w:val="auto"/>
          <w:sz w:val="28"/>
          <w:szCs w:val="28"/>
          <w:lang w:eastAsia="zh-CN"/>
        </w:rPr>
      </w:pPr>
      <w:r>
        <w:rPr>
          <w:rFonts w:hint="eastAsia" w:ascii="仿宋_GB2312" w:hAnsi="Times New Roman" w:eastAsia="仿宋_GB2312" w:cs="Times New Roman"/>
          <w:color w:val="auto"/>
          <w:sz w:val="28"/>
          <w:szCs w:val="28"/>
          <w:lang w:val="en-US" w:eastAsia="zh-CN"/>
        </w:rPr>
        <w:t>2</w:t>
      </w:r>
      <w:r>
        <w:rPr>
          <w:rFonts w:hint="eastAsia" w:ascii="仿宋_GB2312" w:hAnsi="Times New Roman" w:eastAsia="仿宋_GB2312" w:cs="Times New Roman"/>
          <w:color w:val="auto"/>
          <w:sz w:val="28"/>
          <w:szCs w:val="28"/>
          <w:lang w:eastAsia="zh-CN"/>
        </w:rPr>
        <w:t>.在项目服务实施期间，中标人应严格执行国家、地方、行业各项有关本项目业务管理和安全作业的法律、法规和制度，积极主动加强和服务业务及安全等有关的管理工作，并按规定承担相应的费用。中标人因违反规定等原因造成的一切损失和责任由中标人承担。</w:t>
      </w:r>
    </w:p>
    <w:p w14:paraId="6412C018">
      <w:pPr>
        <w:tabs>
          <w:tab w:val="left" w:pos="5341"/>
        </w:tabs>
        <w:snapToGrid w:val="0"/>
        <w:spacing w:line="560" w:lineRule="atLeast"/>
        <w:ind w:firstLine="560" w:firstLineChars="200"/>
        <w:rPr>
          <w:rFonts w:hint="eastAsia" w:ascii="仿宋_GB2312" w:hAnsi="Times New Roman" w:eastAsia="仿宋_GB2312" w:cs="Times New Roman"/>
          <w:color w:val="auto"/>
          <w:sz w:val="28"/>
          <w:szCs w:val="28"/>
          <w:lang w:eastAsia="zh-CN"/>
        </w:rPr>
      </w:pPr>
      <w:r>
        <w:rPr>
          <w:rFonts w:hint="eastAsia" w:ascii="仿宋_GB2312" w:hAnsi="Times New Roman" w:eastAsia="仿宋_GB2312" w:cs="Times New Roman"/>
          <w:color w:val="auto"/>
          <w:sz w:val="28"/>
          <w:szCs w:val="28"/>
          <w:lang w:val="en-US" w:eastAsia="zh-CN"/>
        </w:rPr>
        <w:t>3</w:t>
      </w:r>
      <w:r>
        <w:rPr>
          <w:rFonts w:hint="eastAsia" w:ascii="仿宋_GB2312" w:hAnsi="Times New Roman" w:eastAsia="仿宋_GB2312" w:cs="Times New Roman"/>
          <w:color w:val="auto"/>
          <w:sz w:val="28"/>
          <w:szCs w:val="28"/>
          <w:lang w:eastAsia="zh-CN"/>
        </w:rPr>
        <w:t>.项目负责人应为中标人在职人员，具有类似本项目的服务管理经验，项目组人员的数量应足够满足本项目服务需要，具有良好的职业道德和严谨的工作作风。</w:t>
      </w:r>
    </w:p>
    <w:p w14:paraId="4819299C">
      <w:pPr>
        <w:tabs>
          <w:tab w:val="left" w:pos="5341"/>
        </w:tabs>
        <w:snapToGrid w:val="0"/>
        <w:spacing w:line="560" w:lineRule="atLeast"/>
        <w:ind w:firstLine="560" w:firstLineChars="200"/>
        <w:rPr>
          <w:rFonts w:hint="eastAsia" w:ascii="仿宋_GB2312" w:hAnsi="Times New Roman" w:eastAsia="仿宋_GB2312" w:cs="Times New Roman"/>
          <w:color w:val="auto"/>
          <w:sz w:val="28"/>
          <w:szCs w:val="28"/>
          <w:lang w:eastAsia="zh-CN"/>
        </w:rPr>
      </w:pPr>
      <w:r>
        <w:rPr>
          <w:rFonts w:hint="eastAsia" w:ascii="仿宋_GB2312" w:hAnsi="Times New Roman" w:eastAsia="仿宋_GB2312" w:cs="Times New Roman"/>
          <w:color w:val="auto"/>
          <w:sz w:val="28"/>
          <w:szCs w:val="28"/>
          <w:lang w:val="en-US" w:eastAsia="zh-CN"/>
        </w:rPr>
        <w:t>4</w:t>
      </w:r>
      <w:r>
        <w:rPr>
          <w:rFonts w:hint="eastAsia" w:ascii="仿宋_GB2312" w:hAnsi="Times New Roman" w:eastAsia="仿宋_GB2312" w:cs="Times New Roman"/>
          <w:color w:val="auto"/>
          <w:sz w:val="28"/>
          <w:szCs w:val="28"/>
          <w:lang w:eastAsia="zh-CN"/>
        </w:rPr>
        <w:t>.中标人在组织项目服务实施期间，应按采购人实际服务需求落实所对应提供的服务工作，中标人在项目服务实施期间应做好相关管理记录，保证满足采购人服务需求。</w:t>
      </w:r>
    </w:p>
    <w:p w14:paraId="5D2C21AD">
      <w:pPr>
        <w:tabs>
          <w:tab w:val="left" w:pos="5341"/>
        </w:tabs>
        <w:snapToGrid w:val="0"/>
        <w:spacing w:line="560" w:lineRule="atLeast"/>
        <w:ind w:firstLine="560" w:firstLineChars="200"/>
        <w:rPr>
          <w:rFonts w:hint="eastAsia" w:ascii="仿宋_GB2312" w:hAnsi="Times New Roman" w:eastAsia="仿宋_GB2312" w:cs="Times New Roman"/>
          <w:color w:val="auto"/>
          <w:sz w:val="28"/>
          <w:szCs w:val="28"/>
          <w:lang w:eastAsia="zh-CN"/>
        </w:rPr>
      </w:pPr>
      <w:r>
        <w:rPr>
          <w:rFonts w:hint="eastAsia" w:ascii="仿宋_GB2312" w:hAnsi="Times New Roman" w:eastAsia="仿宋_GB2312" w:cs="Times New Roman"/>
          <w:color w:val="auto"/>
          <w:sz w:val="28"/>
          <w:szCs w:val="28"/>
          <w:lang w:val="en-US" w:eastAsia="zh-CN"/>
        </w:rPr>
        <w:t>5</w:t>
      </w:r>
      <w:r>
        <w:rPr>
          <w:rFonts w:hint="eastAsia" w:ascii="仿宋_GB2312" w:hAnsi="Times New Roman" w:eastAsia="仿宋_GB2312" w:cs="Times New Roman"/>
          <w:color w:val="auto"/>
          <w:sz w:val="28"/>
          <w:szCs w:val="28"/>
          <w:lang w:eastAsia="zh-CN"/>
        </w:rPr>
        <w:t>.经采购人确认的项目负责人和项目组人员及数量，未经采购人书面批准不得随意调换或撤离，若自行更换或撤离，按照合同违约处理。</w:t>
      </w:r>
    </w:p>
    <w:p w14:paraId="0ED6DA13">
      <w:pPr>
        <w:tabs>
          <w:tab w:val="left" w:pos="5341"/>
        </w:tabs>
        <w:snapToGrid w:val="0"/>
        <w:spacing w:line="560" w:lineRule="atLeast"/>
        <w:ind w:firstLine="560" w:firstLineChars="200"/>
        <w:rPr>
          <w:rFonts w:hint="eastAsia" w:ascii="仿宋_GB2312" w:hAnsi="Times New Roman" w:eastAsia="仿宋_GB2312" w:cs="Times New Roman"/>
          <w:color w:val="auto"/>
          <w:sz w:val="28"/>
          <w:szCs w:val="28"/>
          <w:lang w:eastAsia="zh-CN"/>
        </w:rPr>
      </w:pPr>
      <w:r>
        <w:rPr>
          <w:rFonts w:hint="eastAsia" w:ascii="仿宋_GB2312" w:hAnsi="Times New Roman" w:eastAsia="仿宋_GB2312" w:cs="Times New Roman"/>
          <w:color w:val="auto"/>
          <w:sz w:val="28"/>
          <w:szCs w:val="28"/>
          <w:lang w:val="en-US" w:eastAsia="zh-CN"/>
        </w:rPr>
        <w:t>6</w:t>
      </w:r>
      <w:r>
        <w:rPr>
          <w:rFonts w:hint="eastAsia" w:ascii="仿宋_GB2312" w:hAnsi="Times New Roman" w:eastAsia="仿宋_GB2312" w:cs="Times New Roman"/>
          <w:color w:val="auto"/>
          <w:sz w:val="28"/>
          <w:szCs w:val="28"/>
          <w:lang w:eastAsia="zh-CN"/>
        </w:rPr>
        <w:t>.如本项目涉及商品包装和快递包装的，除采购需求另有要求外，中标人所提供的货物包装应当参照财政部办公厅、生态环境部办公厅以及国家邮政局办公室联合发布的《商品包装政府采购需求标准（试行）》《快递包装政府采购需求标准（试行）》执行。</w:t>
      </w:r>
    </w:p>
    <w:p w14:paraId="1707CEF9">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0D"/>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110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Indent"/>
    <w:basedOn w:val="1"/>
    <w:qFormat/>
    <w:uiPriority w:val="0"/>
    <w:pPr>
      <w:tabs>
        <w:tab w:val="left" w:pos="0"/>
      </w:tabs>
      <w:ind w:firstLine="540"/>
    </w:pPr>
    <w:rPr>
      <w:rFonts w:eastAsia="楷体_GB2312"/>
      <w:b/>
      <w:sz w:val="28"/>
    </w:rPr>
  </w:style>
  <w:style w:type="paragraph" w:styleId="4">
    <w:name w:val="Body Text First Indent 2"/>
    <w:basedOn w:val="3"/>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2026-09-01T03:54:13Z</dcterms:created>
  <dc:creator>Administrator</dc:creator>
  <cp:lastModifiedBy>wpshuiyuan</cp:lastModifiedBy>
  <dcterms:modified xsi:type="dcterms:W3CDTF">2026-09-01T03:54:41Z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eyJoZGlkIjoiYWU3MmVlNzVjNDkzMDY2ZmZmZDVhOWU1YzgzMmQwYjQiLCJ1c2VySWQiOiI0MTAxMzYwMjIifQ==</vt:lpwstr>
  </property>
  <property fmtid="{D5CDD505-2E9C-101B-9397-08002B2CF9AE}" pid="4" name="ICV">
    <vt:lpwstr>5FE62D44E0BD4D11B4A821C2D9817DC8_12</vt:lpwstr>
  </property>
</Properties>
</file>