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EEF4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baseline"/>
        <w:rPr>
          <w:rFonts w:ascii="宋体" w:hAnsi="宋体" w:cs="宋体"/>
          <w:b/>
          <w:bCs/>
          <w:color w:val="auto"/>
          <w:sz w:val="32"/>
          <w:szCs w:val="32"/>
        </w:rPr>
      </w:pPr>
      <w:r>
        <w:rPr>
          <w:rFonts w:hint="eastAsia" w:ascii="宋体" w:hAnsi="宋体" w:cs="宋体"/>
          <w:b/>
          <w:bCs/>
          <w:color w:val="auto"/>
          <w:sz w:val="32"/>
          <w:szCs w:val="32"/>
        </w:rPr>
        <w:t>河南安阳漳河峡谷国家湿地公园管理委员会漳河湿地公园保护总体规划修编项目竞争性磋商公告</w:t>
      </w:r>
    </w:p>
    <w:p w14:paraId="4D028250">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一、项目基本情况</w:t>
      </w:r>
    </w:p>
    <w:p w14:paraId="7FDBFD61">
      <w:pPr>
        <w:widowControl w:val="0"/>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color w:val="auto"/>
          <w:sz w:val="24"/>
          <w:szCs w:val="24"/>
          <w:highlight w:val="none"/>
        </w:rPr>
        <w:t>采购项目编号</w:t>
      </w:r>
      <w:r>
        <w:rPr>
          <w:rFonts w:hint="eastAsia" w:ascii="宋体" w:hAnsi="宋体" w:cs="宋体"/>
          <w:color w:val="auto"/>
          <w:sz w:val="24"/>
          <w:szCs w:val="24"/>
        </w:rPr>
        <w:t>：殷磋商-2026-10</w:t>
      </w:r>
    </w:p>
    <w:p w14:paraId="44C1A9CF">
      <w:pPr>
        <w:widowControl w:val="0"/>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2、采购项目名称：河南安阳漳河峡谷国家湿地公园管理委员会漳河湿地公园保护总体规划修编项目</w:t>
      </w:r>
    </w:p>
    <w:p w14:paraId="0249BCDC">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3、采购方式：竞争性磋商</w:t>
      </w:r>
    </w:p>
    <w:p w14:paraId="70B60963">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4、预算金额：</w:t>
      </w:r>
      <w:r>
        <w:rPr>
          <w:rFonts w:hint="eastAsia" w:ascii="宋体" w:hAnsi="宋体" w:cs="宋体"/>
          <w:color w:val="auto"/>
          <w:sz w:val="24"/>
          <w:szCs w:val="24"/>
          <w:lang w:val="en-US" w:eastAsia="zh-CN"/>
        </w:rPr>
        <w:t>600000</w:t>
      </w:r>
      <w:r>
        <w:rPr>
          <w:rFonts w:hint="eastAsia" w:ascii="宋体" w:hAnsi="宋体" w:cs="宋体"/>
          <w:color w:val="auto"/>
          <w:sz w:val="24"/>
          <w:szCs w:val="24"/>
          <w:lang w:eastAsia="zh-CN"/>
        </w:rPr>
        <w:t>.00</w:t>
      </w:r>
      <w:r>
        <w:rPr>
          <w:rFonts w:hint="eastAsia" w:ascii="宋体" w:hAnsi="宋体" w:cs="宋体"/>
          <w:color w:val="auto"/>
          <w:sz w:val="24"/>
          <w:szCs w:val="24"/>
        </w:rPr>
        <w:t>元</w:t>
      </w:r>
    </w:p>
    <w:p w14:paraId="32783217">
      <w:pPr>
        <w:widowControl w:val="0"/>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 xml:space="preserve">   最高限价：</w:t>
      </w:r>
      <w:r>
        <w:rPr>
          <w:rFonts w:hint="eastAsia" w:ascii="宋体" w:hAnsi="宋体" w:cs="宋体"/>
          <w:color w:val="auto"/>
          <w:sz w:val="24"/>
          <w:szCs w:val="24"/>
          <w:lang w:val="en-US" w:eastAsia="zh-CN"/>
        </w:rPr>
        <w:t>600000</w:t>
      </w:r>
      <w:r>
        <w:rPr>
          <w:rFonts w:hint="eastAsia" w:ascii="宋体" w:hAnsi="宋体" w:cs="宋体"/>
          <w:color w:val="auto"/>
          <w:sz w:val="24"/>
          <w:szCs w:val="24"/>
          <w:lang w:eastAsia="zh-CN"/>
        </w:rPr>
        <w:t>.00</w:t>
      </w:r>
      <w:r>
        <w:rPr>
          <w:rFonts w:hint="eastAsia" w:ascii="宋体" w:hAnsi="宋体" w:cs="宋体"/>
          <w:color w:val="auto"/>
          <w:sz w:val="24"/>
          <w:szCs w:val="24"/>
        </w:rPr>
        <w:t>元</w:t>
      </w:r>
    </w:p>
    <w:tbl>
      <w:tblPr>
        <w:tblStyle w:val="3"/>
        <w:tblW w:w="9434" w:type="dxa"/>
        <w:tblInd w:w="-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494"/>
        <w:gridCol w:w="734"/>
        <w:gridCol w:w="2298"/>
        <w:gridCol w:w="1147"/>
        <w:gridCol w:w="1506"/>
        <w:gridCol w:w="1633"/>
        <w:gridCol w:w="1622"/>
      </w:tblGrid>
      <w:tr w14:paraId="412BB5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47" w:hRule="atLeast"/>
        </w:trPr>
        <w:tc>
          <w:tcPr>
            <w:tcW w:w="494" w:type="dxa"/>
            <w:tcBorders>
              <w:top w:val="single" w:color="000000" w:sz="2" w:space="0"/>
              <w:left w:val="single" w:color="000000" w:sz="6" w:space="0"/>
              <w:bottom w:val="single" w:color="auto" w:sz="4" w:space="0"/>
              <w:right w:val="single" w:color="auto" w:sz="4" w:space="0"/>
            </w:tcBorders>
            <w:noWrap w:val="0"/>
            <w:vAlign w:val="center"/>
          </w:tcPr>
          <w:p w14:paraId="1A26045D">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734" w:type="dxa"/>
            <w:tcBorders>
              <w:top w:val="single" w:color="000000" w:sz="2" w:space="0"/>
              <w:left w:val="single" w:color="000000" w:sz="6" w:space="0"/>
              <w:bottom w:val="single" w:color="auto" w:sz="4" w:space="0"/>
              <w:right w:val="single" w:color="auto" w:sz="4" w:space="0"/>
            </w:tcBorders>
            <w:noWrap w:val="0"/>
            <w:vAlign w:val="center"/>
          </w:tcPr>
          <w:p w14:paraId="5570980F">
            <w:pPr>
              <w:jc w:val="center"/>
              <w:rPr>
                <w:rFonts w:hint="eastAsia" w:ascii="宋体" w:hAnsi="宋体" w:eastAsia="宋体" w:cs="宋体"/>
                <w:b/>
                <w:bCs/>
                <w:sz w:val="24"/>
                <w:szCs w:val="24"/>
              </w:rPr>
            </w:pPr>
            <w:r>
              <w:rPr>
                <w:rFonts w:hint="eastAsia" w:ascii="宋体" w:hAnsi="宋体" w:eastAsia="宋体" w:cs="宋体"/>
                <w:b/>
                <w:bCs/>
                <w:sz w:val="24"/>
                <w:szCs w:val="24"/>
              </w:rPr>
              <w:t>包号</w:t>
            </w:r>
          </w:p>
        </w:tc>
        <w:tc>
          <w:tcPr>
            <w:tcW w:w="2298" w:type="dxa"/>
            <w:tcBorders>
              <w:top w:val="single" w:color="000000" w:sz="2" w:space="0"/>
              <w:left w:val="single" w:color="auto" w:sz="4" w:space="0"/>
              <w:bottom w:val="single" w:color="auto" w:sz="4" w:space="0"/>
              <w:right w:val="single" w:color="auto" w:sz="4" w:space="0"/>
            </w:tcBorders>
            <w:noWrap w:val="0"/>
            <w:vAlign w:val="center"/>
          </w:tcPr>
          <w:p w14:paraId="6CF0C6B0">
            <w:pPr>
              <w:ind w:left="180"/>
              <w:jc w:val="center"/>
              <w:rPr>
                <w:rFonts w:hint="eastAsia" w:ascii="宋体" w:hAnsi="宋体" w:eastAsia="宋体" w:cs="宋体"/>
                <w:b/>
                <w:bCs/>
                <w:sz w:val="24"/>
                <w:szCs w:val="24"/>
              </w:rPr>
            </w:pPr>
            <w:r>
              <w:rPr>
                <w:rFonts w:hint="eastAsia" w:ascii="宋体" w:hAnsi="宋体" w:eastAsia="宋体" w:cs="宋体"/>
                <w:b/>
                <w:bCs/>
                <w:sz w:val="24"/>
                <w:szCs w:val="24"/>
              </w:rPr>
              <w:t>包名称</w:t>
            </w:r>
          </w:p>
        </w:tc>
        <w:tc>
          <w:tcPr>
            <w:tcW w:w="1147" w:type="dxa"/>
            <w:tcBorders>
              <w:top w:val="single" w:color="000000" w:sz="2" w:space="0"/>
              <w:left w:val="single" w:color="auto" w:sz="4" w:space="0"/>
              <w:bottom w:val="single" w:color="auto" w:sz="4" w:space="0"/>
              <w:right w:val="single" w:color="000000" w:sz="6" w:space="0"/>
            </w:tcBorders>
            <w:noWrap w:val="0"/>
            <w:vAlign w:val="center"/>
          </w:tcPr>
          <w:p w14:paraId="01678545">
            <w:pPr>
              <w:jc w:val="center"/>
              <w:rPr>
                <w:rFonts w:hint="eastAsia" w:ascii="宋体" w:hAnsi="宋体" w:eastAsia="宋体" w:cs="宋体"/>
                <w:b/>
                <w:bCs/>
                <w:sz w:val="24"/>
                <w:szCs w:val="24"/>
              </w:rPr>
            </w:pPr>
            <w:r>
              <w:rPr>
                <w:rFonts w:hint="eastAsia" w:ascii="宋体" w:hAnsi="宋体" w:eastAsia="宋体" w:cs="宋体"/>
                <w:b/>
                <w:bCs/>
                <w:sz w:val="24"/>
                <w:szCs w:val="24"/>
              </w:rPr>
              <w:t>包预算（元）</w:t>
            </w:r>
          </w:p>
        </w:tc>
        <w:tc>
          <w:tcPr>
            <w:tcW w:w="1506" w:type="dxa"/>
            <w:tcBorders>
              <w:top w:val="single" w:color="000000" w:sz="2" w:space="0"/>
              <w:left w:val="single" w:color="000000" w:sz="6" w:space="0"/>
              <w:bottom w:val="single" w:color="auto" w:sz="4" w:space="0"/>
              <w:right w:val="single" w:color="000000" w:sz="6" w:space="0"/>
            </w:tcBorders>
            <w:noWrap w:val="0"/>
            <w:vAlign w:val="center"/>
          </w:tcPr>
          <w:p w14:paraId="3D75B77C">
            <w:pPr>
              <w:jc w:val="center"/>
              <w:rPr>
                <w:rFonts w:hint="eastAsia" w:ascii="宋体" w:hAnsi="宋体" w:eastAsia="宋体" w:cs="宋体"/>
                <w:b/>
                <w:bCs/>
                <w:sz w:val="24"/>
                <w:szCs w:val="24"/>
              </w:rPr>
            </w:pPr>
            <w:r>
              <w:rPr>
                <w:rFonts w:hint="eastAsia" w:ascii="宋体" w:hAnsi="宋体" w:eastAsia="宋体" w:cs="宋体"/>
                <w:b/>
                <w:bCs/>
                <w:sz w:val="24"/>
                <w:szCs w:val="24"/>
              </w:rPr>
              <w:t>包最高限价（元）</w:t>
            </w:r>
          </w:p>
        </w:tc>
        <w:tc>
          <w:tcPr>
            <w:tcW w:w="1633" w:type="dxa"/>
            <w:tcBorders>
              <w:top w:val="single" w:color="000000" w:sz="2" w:space="0"/>
              <w:left w:val="single" w:color="000000" w:sz="6" w:space="0"/>
              <w:bottom w:val="single" w:color="auto" w:sz="4" w:space="0"/>
              <w:right w:val="single" w:color="000000" w:sz="6" w:space="0"/>
            </w:tcBorders>
            <w:noWrap w:val="0"/>
            <w:vAlign w:val="center"/>
          </w:tcPr>
          <w:p w14:paraId="1D315741">
            <w:pPr>
              <w:jc w:val="center"/>
              <w:rPr>
                <w:rFonts w:hint="eastAsia" w:ascii="宋体" w:hAnsi="宋体" w:eastAsia="宋体" w:cs="宋体"/>
                <w:b/>
                <w:bCs/>
                <w:sz w:val="24"/>
                <w:szCs w:val="24"/>
              </w:rPr>
            </w:pPr>
            <w:r>
              <w:rPr>
                <w:rFonts w:hint="eastAsia" w:ascii="宋体" w:hAnsi="宋体" w:eastAsia="宋体" w:cs="宋体"/>
                <w:b/>
                <w:bCs/>
                <w:color w:val="auto"/>
                <w:sz w:val="24"/>
                <w:szCs w:val="24"/>
                <w:lang w:val="en-US" w:eastAsia="zh-CN"/>
              </w:rPr>
              <w:t>是否专门面向中小企业</w:t>
            </w:r>
          </w:p>
        </w:tc>
        <w:tc>
          <w:tcPr>
            <w:tcW w:w="1622" w:type="dxa"/>
            <w:tcBorders>
              <w:top w:val="single" w:color="000000" w:sz="2" w:space="0"/>
              <w:left w:val="single" w:color="000000" w:sz="6" w:space="0"/>
              <w:bottom w:val="single" w:color="auto" w:sz="4" w:space="0"/>
              <w:right w:val="single" w:color="000000" w:sz="6" w:space="0"/>
            </w:tcBorders>
            <w:noWrap w:val="0"/>
            <w:vAlign w:val="center"/>
          </w:tcPr>
          <w:p w14:paraId="6589B241">
            <w:pPr>
              <w:jc w:val="center"/>
              <w:rPr>
                <w:rFonts w:hint="eastAsia" w:ascii="宋体" w:hAnsi="宋体" w:eastAsia="宋体" w:cs="宋体"/>
                <w:b/>
                <w:bCs/>
                <w:sz w:val="24"/>
                <w:szCs w:val="24"/>
              </w:rPr>
            </w:pPr>
            <w:r>
              <w:rPr>
                <w:rFonts w:hint="eastAsia" w:ascii="宋体" w:hAnsi="宋体" w:eastAsia="宋体" w:cs="宋体"/>
                <w:b/>
                <w:bCs/>
                <w:color w:val="auto"/>
                <w:sz w:val="24"/>
                <w:szCs w:val="24"/>
                <w:lang w:eastAsia="zh-CN"/>
              </w:rPr>
              <w:t>采购预留金额（元）</w:t>
            </w:r>
          </w:p>
        </w:tc>
      </w:tr>
      <w:tr w14:paraId="6C1ECD5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cantSplit/>
          <w:trHeight w:val="1128" w:hRule="atLeast"/>
        </w:trPr>
        <w:tc>
          <w:tcPr>
            <w:tcW w:w="494" w:type="dxa"/>
            <w:tcBorders>
              <w:top w:val="single" w:color="000000" w:sz="6" w:space="0"/>
              <w:left w:val="single" w:color="000000" w:sz="6" w:space="0"/>
              <w:bottom w:val="single" w:color="000000" w:sz="6" w:space="0"/>
              <w:right w:val="single" w:color="auto" w:sz="4" w:space="0"/>
            </w:tcBorders>
            <w:noWrap w:val="0"/>
            <w:vAlign w:val="center"/>
          </w:tcPr>
          <w:p w14:paraId="4C7A0255">
            <w:pPr>
              <w:jc w:val="center"/>
              <w:rPr>
                <w:rFonts w:hint="eastAsia" w:ascii="宋体" w:hAnsi="宋体" w:eastAsia="宋体" w:cs="宋体"/>
                <w:b/>
                <w:bCs/>
                <w:sz w:val="24"/>
                <w:szCs w:val="24"/>
              </w:rPr>
            </w:pPr>
            <w:r>
              <w:rPr>
                <w:rFonts w:hint="eastAsia" w:ascii="宋体" w:hAnsi="宋体" w:eastAsia="宋体" w:cs="宋体"/>
                <w:b/>
                <w:bCs/>
                <w:sz w:val="24"/>
                <w:szCs w:val="24"/>
              </w:rPr>
              <w:t>1</w:t>
            </w:r>
          </w:p>
        </w:tc>
        <w:tc>
          <w:tcPr>
            <w:tcW w:w="734" w:type="dxa"/>
            <w:tcBorders>
              <w:top w:val="single" w:color="000000" w:sz="6" w:space="0"/>
              <w:left w:val="single" w:color="000000" w:sz="6" w:space="0"/>
              <w:bottom w:val="single" w:color="000000" w:sz="6" w:space="0"/>
              <w:right w:val="single" w:color="auto" w:sz="4" w:space="0"/>
            </w:tcBorders>
            <w:noWrap w:val="0"/>
            <w:vAlign w:val="center"/>
          </w:tcPr>
          <w:p w14:paraId="573799AF">
            <w:pPr>
              <w:jc w:val="center"/>
              <w:rPr>
                <w:rFonts w:hint="default" w:ascii="宋体" w:hAnsi="宋体" w:eastAsia="宋体" w:cs="宋体"/>
                <w:bCs/>
                <w:iCs/>
                <w:sz w:val="24"/>
                <w:szCs w:val="24"/>
                <w:lang w:val="en-US" w:eastAsia="zh-CN"/>
              </w:rPr>
            </w:pPr>
            <w:r>
              <w:rPr>
                <w:rFonts w:hint="eastAsia" w:ascii="宋体" w:hAnsi="宋体" w:eastAsia="宋体" w:cs="宋体"/>
                <w:bCs/>
                <w:iCs/>
                <w:sz w:val="24"/>
                <w:szCs w:val="24"/>
              </w:rPr>
              <w:t>殷磋商-2026-10</w:t>
            </w:r>
            <w:r>
              <w:rPr>
                <w:rFonts w:hint="eastAsia" w:ascii="宋体" w:hAnsi="宋体" w:cs="宋体"/>
                <w:bCs/>
                <w:iCs/>
                <w:sz w:val="24"/>
                <w:szCs w:val="24"/>
                <w:lang w:val="en-US" w:eastAsia="zh-CN"/>
              </w:rPr>
              <w:t>-1</w:t>
            </w:r>
          </w:p>
        </w:tc>
        <w:tc>
          <w:tcPr>
            <w:tcW w:w="2298" w:type="dxa"/>
            <w:tcBorders>
              <w:top w:val="single" w:color="000000" w:sz="6" w:space="0"/>
              <w:left w:val="single" w:color="auto" w:sz="4" w:space="0"/>
              <w:bottom w:val="single" w:color="000000" w:sz="6" w:space="0"/>
              <w:right w:val="single" w:color="auto" w:sz="4" w:space="0"/>
            </w:tcBorders>
            <w:noWrap w:val="0"/>
            <w:vAlign w:val="center"/>
          </w:tcPr>
          <w:p w14:paraId="781B953F">
            <w:pPr>
              <w:ind w:left="105"/>
              <w:jc w:val="center"/>
              <w:rPr>
                <w:rFonts w:hint="eastAsia" w:ascii="宋体" w:hAnsi="宋体" w:eastAsia="宋体" w:cs="宋体"/>
                <w:sz w:val="24"/>
                <w:szCs w:val="24"/>
              </w:rPr>
            </w:pPr>
            <w:r>
              <w:rPr>
                <w:rFonts w:hint="eastAsia" w:ascii="宋体" w:hAnsi="宋体" w:eastAsia="宋体" w:cs="宋体"/>
                <w:sz w:val="24"/>
                <w:szCs w:val="24"/>
              </w:rPr>
              <w:t>河南安阳漳河峡谷国家湿地公园管理委员会漳河湿地公园保护总体规划修编项目</w:t>
            </w:r>
          </w:p>
        </w:tc>
        <w:tc>
          <w:tcPr>
            <w:tcW w:w="1147" w:type="dxa"/>
            <w:tcBorders>
              <w:top w:val="single" w:color="000000" w:sz="6" w:space="0"/>
              <w:left w:val="single" w:color="auto" w:sz="4" w:space="0"/>
              <w:bottom w:val="single" w:color="000000" w:sz="6" w:space="0"/>
              <w:right w:val="single" w:color="000000" w:sz="6" w:space="0"/>
            </w:tcBorders>
            <w:noWrap w:val="0"/>
            <w:vAlign w:val="center"/>
          </w:tcPr>
          <w:p w14:paraId="0B50DF41">
            <w:pPr>
              <w:jc w:val="center"/>
              <w:rPr>
                <w:rFonts w:hint="eastAsia" w:ascii="宋体" w:hAnsi="宋体" w:eastAsia="宋体" w:cs="宋体"/>
                <w:sz w:val="24"/>
                <w:szCs w:val="24"/>
              </w:rPr>
            </w:pPr>
            <w:r>
              <w:rPr>
                <w:rFonts w:hint="eastAsia" w:ascii="宋体" w:hAnsi="宋体" w:eastAsia="宋体" w:cs="宋体"/>
                <w:spacing w:val="2"/>
                <w:sz w:val="24"/>
                <w:szCs w:val="24"/>
                <w:u w:val="none"/>
                <w:lang w:val="en-US" w:eastAsia="zh-CN"/>
              </w:rPr>
              <w:t>600000.00</w:t>
            </w:r>
          </w:p>
        </w:tc>
        <w:tc>
          <w:tcPr>
            <w:tcW w:w="1506" w:type="dxa"/>
            <w:tcBorders>
              <w:top w:val="single" w:color="000000" w:sz="6" w:space="0"/>
              <w:left w:val="single" w:color="000000" w:sz="6" w:space="0"/>
              <w:bottom w:val="single" w:color="000000" w:sz="6" w:space="0"/>
              <w:right w:val="single" w:color="000000" w:sz="6" w:space="0"/>
            </w:tcBorders>
            <w:noWrap w:val="0"/>
            <w:vAlign w:val="center"/>
          </w:tcPr>
          <w:p w14:paraId="4F372482">
            <w:pPr>
              <w:jc w:val="center"/>
              <w:rPr>
                <w:rFonts w:hint="eastAsia" w:ascii="宋体" w:hAnsi="宋体" w:eastAsia="宋体" w:cs="宋体"/>
                <w:sz w:val="24"/>
                <w:szCs w:val="24"/>
              </w:rPr>
            </w:pPr>
            <w:r>
              <w:rPr>
                <w:rFonts w:hint="eastAsia" w:ascii="宋体" w:hAnsi="宋体" w:eastAsia="宋体" w:cs="宋体"/>
                <w:spacing w:val="2"/>
                <w:sz w:val="24"/>
                <w:szCs w:val="24"/>
                <w:u w:val="none"/>
                <w:lang w:val="en-US" w:eastAsia="zh-CN"/>
              </w:rPr>
              <w:t>600000.00</w:t>
            </w:r>
          </w:p>
        </w:tc>
        <w:tc>
          <w:tcPr>
            <w:tcW w:w="1633" w:type="dxa"/>
            <w:tcBorders>
              <w:top w:val="single" w:color="000000" w:sz="6" w:space="0"/>
              <w:left w:val="single" w:color="000000" w:sz="6" w:space="0"/>
              <w:bottom w:val="single" w:color="000000" w:sz="6" w:space="0"/>
              <w:right w:val="single" w:color="000000" w:sz="6" w:space="0"/>
            </w:tcBorders>
            <w:noWrap w:val="0"/>
            <w:vAlign w:val="center"/>
          </w:tcPr>
          <w:p w14:paraId="4A5797C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是</w:t>
            </w:r>
          </w:p>
        </w:tc>
        <w:tc>
          <w:tcPr>
            <w:tcW w:w="1622" w:type="dxa"/>
            <w:tcBorders>
              <w:top w:val="single" w:color="000000" w:sz="6" w:space="0"/>
              <w:left w:val="single" w:color="000000" w:sz="6" w:space="0"/>
              <w:bottom w:val="single" w:color="000000" w:sz="6" w:space="0"/>
              <w:right w:val="single" w:color="000000" w:sz="6" w:space="0"/>
            </w:tcBorders>
            <w:noWrap w:val="0"/>
            <w:vAlign w:val="center"/>
          </w:tcPr>
          <w:p w14:paraId="43846B04">
            <w:pPr>
              <w:jc w:val="center"/>
              <w:rPr>
                <w:rFonts w:hint="eastAsia" w:ascii="宋体" w:hAnsi="宋体" w:eastAsia="宋体" w:cs="宋体"/>
                <w:sz w:val="24"/>
                <w:szCs w:val="24"/>
              </w:rPr>
            </w:pPr>
            <w:r>
              <w:rPr>
                <w:rFonts w:hint="eastAsia" w:ascii="宋体" w:hAnsi="宋体" w:eastAsia="宋体" w:cs="宋体"/>
                <w:spacing w:val="2"/>
                <w:sz w:val="24"/>
                <w:szCs w:val="24"/>
                <w:u w:val="none"/>
                <w:lang w:val="en-US" w:eastAsia="zh-CN"/>
              </w:rPr>
              <w:t>600000.00</w:t>
            </w:r>
          </w:p>
        </w:tc>
      </w:tr>
    </w:tbl>
    <w:p w14:paraId="2FDFA31F">
      <w:pPr>
        <w:numPr>
          <w:ilvl w:val="0"/>
          <w:numId w:val="0"/>
        </w:numPr>
        <w:adjustRightInd w:val="0"/>
        <w:snapToGrid w:val="0"/>
        <w:spacing w:line="360" w:lineRule="auto"/>
        <w:ind w:firstLine="480" w:firstLineChars="200"/>
        <w:rPr>
          <w:rFonts w:hint="eastAsia" w:ascii="宋体" w:hAnsi="宋体" w:cs="宋体"/>
          <w:color w:val="auto"/>
          <w:sz w:val="24"/>
          <w:szCs w:val="24"/>
          <w:lang w:val="en-US" w:eastAsia="zh-CN"/>
        </w:rPr>
      </w:pPr>
      <w:r>
        <w:rPr>
          <w:rFonts w:hint="eastAsia" w:ascii="宋体" w:hAnsi="宋体" w:eastAsia="宋体" w:cs="宋体"/>
          <w:color w:val="auto"/>
          <w:sz w:val="24"/>
          <w:szCs w:val="24"/>
          <w:u w:color="000000"/>
          <w:lang w:val="en-US" w:eastAsia="zh-CN" w:bidi="ar-SA"/>
        </w:rPr>
        <w:t>5、</w:t>
      </w:r>
      <w:r>
        <w:rPr>
          <w:rFonts w:hint="eastAsia" w:ascii="宋体" w:hAnsi="宋体" w:cs="宋体"/>
          <w:color w:val="auto"/>
          <w:sz w:val="24"/>
          <w:szCs w:val="24"/>
          <w:lang w:val="en-US" w:eastAsia="zh-CN"/>
        </w:rPr>
        <w:t>采购需求（包括但不限于标的的名称、数量、简要技术需求或服务要求等）</w:t>
      </w:r>
      <w:bookmarkStart w:id="12" w:name="_GoBack"/>
      <w:bookmarkEnd w:id="12"/>
    </w:p>
    <w:p w14:paraId="697BFA64">
      <w:pPr>
        <w:numPr>
          <w:ilvl w:val="0"/>
          <w:numId w:val="0"/>
        </w:numPr>
        <w:adjustRightInd w:val="0"/>
        <w:snapToGrid w:val="0"/>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5.1 采购内容：本项目</w:t>
      </w:r>
      <w:r>
        <w:rPr>
          <w:rFonts w:hint="eastAsia" w:ascii="宋体" w:hAnsi="宋体" w:eastAsia="宋体" w:cs="宋体"/>
          <w:color w:val="auto"/>
          <w:sz w:val="24"/>
          <w:szCs w:val="24"/>
          <w:highlight w:val="none"/>
          <w:lang w:val="en-US" w:eastAsia="zh-CN"/>
        </w:rPr>
        <w:t>主要为进一步保护和合理利用公园生态资源，协调周边产业布局，优化生态红线，最大化发挥公园生态服务价值，维护区域生态安全。现开展河南安阳漳河峡谷国家湿地公园管理委员会漳河湿地公园保护总体规划修编项目</w:t>
      </w:r>
      <w:r>
        <w:rPr>
          <w:rFonts w:hint="eastAsia" w:ascii="宋体" w:hAnsi="宋体" w:cs="宋体"/>
          <w:color w:val="auto"/>
          <w:sz w:val="24"/>
          <w:szCs w:val="24"/>
          <w:lang w:val="en-US" w:eastAsia="zh-CN"/>
        </w:rPr>
        <w:t>，具体内容详见磋商文件“第二章  采购项目及服务要求”。</w:t>
      </w:r>
    </w:p>
    <w:p w14:paraId="0CEBE9D4">
      <w:pPr>
        <w:numPr>
          <w:ilvl w:val="0"/>
          <w:numId w:val="0"/>
        </w:numPr>
        <w:adjustRightInd w:val="0"/>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5.2 质量要求：</w:t>
      </w:r>
      <w:r>
        <w:rPr>
          <w:rFonts w:hint="eastAsia" w:ascii="宋体" w:hAnsi="宋体" w:eastAsia="宋体" w:cs="宋体"/>
          <w:color w:val="auto"/>
          <w:sz w:val="24"/>
          <w:szCs w:val="24"/>
          <w:highlight w:val="none"/>
          <w:lang w:val="en-US" w:eastAsia="zh-CN"/>
        </w:rPr>
        <w:t>符合国家现行标准规范及采购人要求</w:t>
      </w:r>
    </w:p>
    <w:p w14:paraId="34E6D739">
      <w:pPr>
        <w:adjustRightInd w:val="0"/>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6、合同履行期限：</w:t>
      </w:r>
      <w:r>
        <w:rPr>
          <w:rFonts w:hint="eastAsia" w:ascii="宋体" w:hAnsi="宋体" w:cs="宋体"/>
          <w:color w:val="auto"/>
          <w:sz w:val="24"/>
          <w:szCs w:val="24"/>
          <w:lang w:val="en-US" w:eastAsia="zh-CN"/>
        </w:rPr>
        <w:t>180日历天</w:t>
      </w:r>
    </w:p>
    <w:p w14:paraId="7E6194E1">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7、本项目是否接受联合体投标：否</w:t>
      </w:r>
    </w:p>
    <w:p w14:paraId="6A0F304E">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8、是否接受进口产品：否</w:t>
      </w:r>
    </w:p>
    <w:p w14:paraId="17545549">
      <w:pPr>
        <w:widowControl w:val="0"/>
        <w:adjustRightInd w:val="0"/>
        <w:snapToGrid w:val="0"/>
        <w:spacing w:line="360" w:lineRule="auto"/>
        <w:ind w:firstLine="480" w:firstLineChars="200"/>
        <w:jc w:val="left"/>
        <w:rPr>
          <w:rFonts w:hint="eastAsia" w:ascii="宋体" w:hAnsi="宋体" w:eastAsia="宋体" w:cs="宋体"/>
          <w:color w:val="auto"/>
          <w:sz w:val="24"/>
          <w:szCs w:val="24"/>
          <w:lang w:eastAsia="zh-CN"/>
        </w:rPr>
      </w:pPr>
      <w:r>
        <w:rPr>
          <w:rFonts w:hint="eastAsia" w:ascii="宋体" w:hAnsi="宋体" w:cs="宋体"/>
          <w:color w:val="auto"/>
          <w:sz w:val="24"/>
          <w:szCs w:val="24"/>
        </w:rPr>
        <w:t>9、是否专门面向中小企业：</w:t>
      </w:r>
      <w:r>
        <w:rPr>
          <w:rFonts w:hint="eastAsia" w:ascii="宋体" w:hAnsi="宋体" w:cs="宋体"/>
          <w:color w:val="auto"/>
          <w:sz w:val="24"/>
          <w:szCs w:val="24"/>
          <w:lang w:val="en-US" w:eastAsia="zh-CN"/>
        </w:rPr>
        <w:t>是</w:t>
      </w:r>
    </w:p>
    <w:p w14:paraId="05A34380">
      <w:pPr>
        <w:widowControl w:val="0"/>
        <w:snapToGrid w:val="0"/>
        <w:spacing w:line="360" w:lineRule="auto"/>
        <w:rPr>
          <w:rFonts w:ascii="宋体" w:hAnsi="宋体" w:cs="宋体"/>
          <w:b/>
          <w:color w:val="auto"/>
          <w:sz w:val="28"/>
          <w:szCs w:val="28"/>
        </w:rPr>
      </w:pPr>
      <w:bookmarkStart w:id="0" w:name="_Toc28359080"/>
      <w:bookmarkStart w:id="1" w:name="_Toc35393622"/>
      <w:bookmarkStart w:id="2" w:name="_Toc35393791"/>
      <w:bookmarkStart w:id="3" w:name="_Toc28359003"/>
      <w:r>
        <w:rPr>
          <w:rFonts w:hint="eastAsia" w:ascii="宋体" w:hAnsi="宋体" w:cs="宋体"/>
          <w:b/>
          <w:color w:val="auto"/>
          <w:sz w:val="28"/>
          <w:szCs w:val="28"/>
        </w:rPr>
        <w:t>二、申请人资格要求</w:t>
      </w:r>
      <w:bookmarkEnd w:id="0"/>
      <w:bookmarkEnd w:id="1"/>
      <w:bookmarkEnd w:id="2"/>
      <w:bookmarkEnd w:id="3"/>
    </w:p>
    <w:p w14:paraId="1D9A9A73">
      <w:pPr>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1、满足《中华人民共和国政府采购法》第二十二条规定；</w:t>
      </w:r>
    </w:p>
    <w:p w14:paraId="3E16661B">
      <w:pPr>
        <w:widowControl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2、落实政府采购政策满足的资格要求：</w:t>
      </w:r>
    </w:p>
    <w:p w14:paraId="71405A5D">
      <w:pPr>
        <w:widowControl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属于专门面向中小企业采购项目，供应商应在资格性证明文件中提供《中小企业声明函》或《残疾人福利性单位声明函》或省级以上监狱管理局、戒毒管理局（含新疆生产建设兵团）出具的属于监狱企业的证明文件。</w:t>
      </w:r>
    </w:p>
    <w:p w14:paraId="0A69634D">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3、本项目的特定资格要求：</w:t>
      </w:r>
    </w:p>
    <w:p w14:paraId="6AC95703">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3.1 满足《中华人民共和国政府采购法》第二十二条规定的供应商基础性资格要求；供应商自行承诺（格式自拟）并承担后果，承诺书不实的，按《政府采购法》有关提供虚假材料的有关规定给予处罚。</w:t>
      </w:r>
    </w:p>
    <w:p w14:paraId="34B36A7E">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3.2 项目（标段）资格要求，并提供相关资格证明材料</w:t>
      </w:r>
    </w:p>
    <w:p w14:paraId="24E54866">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（1）无不良信用记录。（未列入“信用中国”网站的“失信被执行人”和“重大税收违法失信主体”及“中国政府采购网”网站的“政府采购严重违法失信行为记录名单”）</w:t>
      </w:r>
    </w:p>
    <w:p w14:paraId="0619CECF">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供应商递交《响应文件》后，采购人或者采购代理机构将按以上信用信息查询渠道在解密《响应文件》之</w:t>
      </w:r>
      <w:r>
        <w:rPr>
          <w:rFonts w:hint="eastAsia" w:ascii="宋体" w:hAnsi="宋体" w:cs="宋体"/>
          <w:color w:val="auto"/>
          <w:sz w:val="24"/>
          <w:szCs w:val="24"/>
          <w:lang w:val="en-US" w:eastAsia="zh-CN"/>
        </w:rPr>
        <w:t>前</w:t>
      </w:r>
      <w:r>
        <w:rPr>
          <w:rFonts w:hint="eastAsia" w:ascii="宋体" w:hAnsi="宋体" w:cs="宋体"/>
          <w:color w:val="auto"/>
          <w:sz w:val="24"/>
          <w:szCs w:val="24"/>
        </w:rPr>
        <w:t>对参加本项目的供应商信用记录进行查询，供应商有上述任一不良信用记录的，其投标将被拒绝、为无效投标。查询的网页内容将以截图或者拍照作为证据留存，供应商可不提供相关证明材料。</w:t>
      </w:r>
    </w:p>
    <w:p w14:paraId="7F35A272">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单位负责人为同一人或者存在直接控股、管理关系的不同供应商，不得参加本合同项下的政府采购活动。供应商自行承诺并提供《国家企业信用信息公示系统》中本公司企业信用信息公示报告。承诺书不实的，按《政府采购法》有关提供虚假材料的有关规定给予处罚。</w:t>
      </w:r>
    </w:p>
    <w:p w14:paraId="0C6AC6C4">
      <w:pPr>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3）为本采购项目提供整体设计、规范编制或者项目管理、监理、检测等服务的供应商，不得再参加本采购项目。供应商自行承诺并承担后果，承诺书不实的，按《政府采购法》有关提供虚假材料的有关规定给予处罚。</w:t>
      </w:r>
    </w:p>
    <w:p w14:paraId="5CE22AE5">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lang w:val="en-US" w:eastAsia="zh-CN"/>
        </w:rPr>
        <w:t>投标人特定资格要求</w:t>
      </w:r>
    </w:p>
    <w:p w14:paraId="3FF85A3F">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（1）投标人具有林业调查规划设计乙级(含)以上资质；</w:t>
      </w:r>
    </w:p>
    <w:p w14:paraId="4D8092C4">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（2）拟派项目负责人须具有林业及相关专业中级或以上职称；</w:t>
      </w:r>
    </w:p>
    <w:p w14:paraId="0CD03EF1">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（3）具备法律、行政法规规定的其他条件。</w:t>
      </w:r>
    </w:p>
    <w:p w14:paraId="76E9C575">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注：</w:t>
      </w:r>
      <w:r>
        <w:rPr>
          <w:rFonts w:hint="eastAsia" w:ascii="宋体" w:hAnsi="宋体" w:eastAsia="宋体" w:cs="宋体"/>
          <w:color w:val="auto"/>
          <w:sz w:val="24"/>
          <w:szCs w:val="24"/>
          <w:highlight w:val="none"/>
          <w:lang w:eastAsia="zh-CN"/>
        </w:rPr>
        <w:t>（1）所有证照均应在有效期内；文中“近”、“前”指距投标截止时间。</w:t>
      </w:r>
    </w:p>
    <w:p w14:paraId="47A7E597">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资格证明材料（文件）应附于响应文件中并经供应商电子签章。供应商对资格证明文件真实性有效合规承担责任，提供虚假材料的为无效投标并将进一步追究其责任。</w:t>
      </w:r>
    </w:p>
    <w:p w14:paraId="513E3696">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）本项目采取资格后审，开标后，将由磋商小组对供应商的资格证明材料（文件）等进行资格审核，未按要求逐一提供、或资格审查不合格的为无效投标，供应商应自负其风险费用。</w:t>
      </w:r>
    </w:p>
    <w:p w14:paraId="7796CFD8">
      <w:pPr>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rPr>
        <w:t>4</w:t>
      </w:r>
      <w:r>
        <w:rPr>
          <w:rFonts w:hint="eastAsia" w:ascii="宋体" w:hAnsi="宋体" w:cs="宋体"/>
          <w:color w:val="auto"/>
          <w:sz w:val="24"/>
          <w:szCs w:val="24"/>
          <w:lang w:eastAsia="zh-CN"/>
        </w:rPr>
        <w:t>）</w:t>
      </w:r>
      <w:r>
        <w:rPr>
          <w:rFonts w:hint="eastAsia" w:ascii="宋体" w:hAnsi="宋体" w:cs="宋体"/>
          <w:color w:val="auto"/>
          <w:sz w:val="24"/>
          <w:szCs w:val="24"/>
        </w:rPr>
        <w:t>政府采购监督管理部门将依据“双随机一公开”原则，定期或不定期随机抽取政府采购项目进行监督检查，审查供应商投标（响应）文件的真实性，重点审查中标、成交供应商，财政部门认为有必要的，可以对其他参加采购活动的供应商一并审查。如发现提供虚假材料谋取中标的情形，将按照政府采购法顶格给予处罚。</w:t>
      </w:r>
    </w:p>
    <w:p w14:paraId="66C0BD9D">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三、获取采购文件</w:t>
      </w:r>
    </w:p>
    <w:p w14:paraId="4F3701BB">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1、时间</w:t>
      </w:r>
      <w:r>
        <w:rPr>
          <w:rFonts w:hint="eastAsia" w:ascii="宋体" w:hAnsi="宋体" w:cs="宋体"/>
          <w:color w:val="auto"/>
          <w:sz w:val="24"/>
          <w:szCs w:val="24"/>
          <w:highlight w:val="none"/>
        </w:rPr>
        <w:t>：</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09</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15</w:t>
      </w:r>
      <w:r>
        <w:rPr>
          <w:rFonts w:hint="eastAsia" w:ascii="宋体" w:hAnsi="宋体"/>
          <w:color w:val="auto"/>
          <w:sz w:val="24"/>
          <w:szCs w:val="24"/>
          <w:highlight w:val="none"/>
        </w:rPr>
        <w:t>日至</w:t>
      </w:r>
      <w:r>
        <w:rPr>
          <w:rFonts w:hint="eastAsia" w:ascii="宋体" w:hAnsi="宋体"/>
          <w:color w:val="auto"/>
          <w:sz w:val="24"/>
          <w:szCs w:val="24"/>
          <w:highlight w:val="none"/>
          <w:lang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09</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20</w:t>
      </w:r>
      <w:r>
        <w:rPr>
          <w:rFonts w:hint="eastAsia" w:ascii="宋体" w:hAnsi="宋体"/>
          <w:color w:val="auto"/>
          <w:sz w:val="24"/>
          <w:szCs w:val="24"/>
          <w:highlight w:val="none"/>
        </w:rPr>
        <w:t>日</w:t>
      </w:r>
      <w:r>
        <w:rPr>
          <w:rFonts w:hint="eastAsia" w:ascii="宋体" w:hAnsi="宋体"/>
          <w:color w:val="auto"/>
          <w:sz w:val="24"/>
          <w:szCs w:val="24"/>
        </w:rPr>
        <w:t>，</w:t>
      </w:r>
      <w:r>
        <w:rPr>
          <w:rFonts w:hint="eastAsia" w:ascii="宋体" w:hAnsi="宋体" w:cs="宋体"/>
          <w:color w:val="auto"/>
          <w:sz w:val="24"/>
          <w:szCs w:val="24"/>
        </w:rPr>
        <w:t>每天上午00：00至12：00，下午12：00至23：59（北京时间，法定节假日除外）。</w:t>
      </w:r>
    </w:p>
    <w:p w14:paraId="2E8EDBB1">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2、地点：安阳市公共资源交易中心网站（https://ggzy.anyang.gov.cn）</w:t>
      </w:r>
      <w:r>
        <w:rPr>
          <w:rFonts w:hint="eastAsia" w:ascii="宋体" w:hAnsi="宋体"/>
          <w:color w:val="auto"/>
          <w:sz w:val="24"/>
          <w:szCs w:val="24"/>
        </w:rPr>
        <w:t>，凭数字证书下载磋商文件。获取磋商文件后，请到安阳市公共资源交易中心网站</w:t>
      </w:r>
      <w:r>
        <w:rPr>
          <w:rFonts w:hint="eastAsia" w:asciiTheme="minorEastAsia" w:hAnsiTheme="minorEastAsia" w:eastAsiaTheme="minorEastAsia"/>
          <w:color w:val="auto"/>
          <w:sz w:val="24"/>
          <w:szCs w:val="24"/>
          <w:lang w:val="zh-CN"/>
        </w:rPr>
        <w:t>（https://ggzy.anyang.gov.cn）</w:t>
      </w:r>
      <w:r>
        <w:rPr>
          <w:rFonts w:hint="eastAsia" w:ascii="宋体" w:hAnsi="宋体"/>
          <w:color w:val="auto"/>
          <w:sz w:val="24"/>
          <w:szCs w:val="24"/>
        </w:rPr>
        <w:t>下载并安装投标文件制作工具，查看磋商文件和制作电子投标文件。</w:t>
      </w:r>
    </w:p>
    <w:p w14:paraId="7FED4A66">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3、方式：本次招标文件在网上获取，供应商</w:t>
      </w:r>
      <w:r>
        <w:rPr>
          <w:rFonts w:hint="eastAsia" w:ascii="宋体" w:hAnsi="宋体" w:cs="宋体"/>
          <w:color w:val="auto"/>
          <w:sz w:val="24"/>
          <w:szCs w:val="24"/>
          <w:lang w:eastAsia="zh-CN"/>
        </w:rPr>
        <w:t>登录</w:t>
      </w:r>
      <w:r>
        <w:rPr>
          <w:rFonts w:hint="eastAsia" w:ascii="宋体" w:hAnsi="宋体" w:cs="宋体"/>
          <w:color w:val="auto"/>
          <w:sz w:val="24"/>
          <w:szCs w:val="24"/>
        </w:rPr>
        <w:t>安阳市公共资源交易中心网站，凭企业数字证书点击登录“政府采购”系统，获取招标文件及其它资料（具体办理流程请查询安阳市公共资源交易中心网站-服务指南-操作手册-《安阳市公共资源交易系统</w:t>
      </w:r>
      <w:r>
        <w:rPr>
          <w:rFonts w:hint="eastAsia" w:ascii="宋体" w:hAnsi="宋体" w:cs="宋体"/>
          <w:color w:val="auto"/>
          <w:sz w:val="24"/>
          <w:szCs w:val="24"/>
          <w:lang w:val="en-US" w:eastAsia="zh-CN"/>
        </w:rPr>
        <w:t>投标人</w:t>
      </w:r>
      <w:r>
        <w:rPr>
          <w:rFonts w:hint="eastAsia" w:ascii="宋体" w:hAnsi="宋体" w:cs="宋体"/>
          <w:color w:val="auto"/>
          <w:sz w:val="24"/>
          <w:szCs w:val="24"/>
        </w:rPr>
        <w:t>（供应商）操作手册》）</w:t>
      </w:r>
    </w:p>
    <w:p w14:paraId="5077BC1A">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4、售价：0元</w:t>
      </w:r>
    </w:p>
    <w:p w14:paraId="04E1AE4B">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四、响应文件提交</w:t>
      </w:r>
    </w:p>
    <w:p w14:paraId="16B3AB58">
      <w:pPr>
        <w:widowControl w:val="0"/>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rPr>
        <w:t>1、截止时间：</w:t>
      </w:r>
      <w:r>
        <w:rPr>
          <w:rFonts w:hint="eastAsia" w:ascii="宋体" w:hAnsi="宋体" w:cs="宋体"/>
          <w:color w:val="auto"/>
          <w:sz w:val="24"/>
          <w:szCs w:val="22"/>
          <w:highlight w:val="none"/>
          <w:lang w:eastAsia="zh-CN"/>
        </w:rPr>
        <w:t>2026</w:t>
      </w:r>
      <w:r>
        <w:rPr>
          <w:rFonts w:hint="eastAsia" w:ascii="宋体" w:hAnsi="宋体" w:cs="宋体"/>
          <w:color w:val="auto"/>
          <w:sz w:val="24"/>
          <w:szCs w:val="22"/>
          <w:highlight w:val="none"/>
        </w:rPr>
        <w:t>年</w:t>
      </w:r>
      <w:r>
        <w:rPr>
          <w:rFonts w:hint="eastAsia" w:ascii="宋体" w:hAnsi="宋体" w:cs="宋体"/>
          <w:color w:val="auto"/>
          <w:sz w:val="24"/>
          <w:szCs w:val="22"/>
          <w:highlight w:val="none"/>
          <w:lang w:val="en-US" w:eastAsia="zh-CN"/>
        </w:rPr>
        <w:t>09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28</w:t>
      </w:r>
      <w:r>
        <w:rPr>
          <w:rFonts w:hint="eastAsia" w:ascii="宋体" w:hAnsi="宋体" w:cs="宋体"/>
          <w:color w:val="auto"/>
          <w:sz w:val="24"/>
          <w:szCs w:val="22"/>
          <w:highlight w:val="none"/>
        </w:rPr>
        <w:t>日</w:t>
      </w:r>
      <w:r>
        <w:rPr>
          <w:rFonts w:hint="eastAsia" w:ascii="宋体" w:hAnsi="宋体" w:cs="宋体"/>
          <w:color w:val="auto"/>
          <w:sz w:val="24"/>
          <w:szCs w:val="22"/>
          <w:highlight w:val="none"/>
          <w:lang w:val="en-US" w:eastAsia="zh-CN"/>
        </w:rPr>
        <w:t>09</w:t>
      </w:r>
      <w:r>
        <w:rPr>
          <w:rFonts w:hint="eastAsia" w:ascii="宋体" w:hAnsi="宋体" w:cs="宋体"/>
          <w:color w:val="auto"/>
          <w:sz w:val="24"/>
          <w:szCs w:val="22"/>
          <w:highlight w:val="none"/>
        </w:rPr>
        <w:t>时00分</w:t>
      </w:r>
      <w:r>
        <w:rPr>
          <w:rFonts w:hint="eastAsia" w:ascii="宋体" w:hAnsi="宋体" w:cs="宋体"/>
          <w:color w:val="auto"/>
          <w:sz w:val="24"/>
          <w:szCs w:val="24"/>
          <w:highlight w:val="none"/>
        </w:rPr>
        <w:t>（北京时间）</w:t>
      </w:r>
    </w:p>
    <w:p w14:paraId="7B78055B">
      <w:pPr>
        <w:widowControl w:val="0"/>
        <w:adjustRightInd w:val="0"/>
        <w:snapToGrid w:val="0"/>
        <w:spacing w:line="360" w:lineRule="auto"/>
        <w:ind w:firstLine="480" w:firstLineChars="200"/>
        <w:jc w:val="left"/>
        <w:rPr>
          <w:rFonts w:hint="eastAsia" w:ascii="宋体" w:hAnsi="宋体" w:cs="宋体"/>
          <w:color w:val="auto"/>
          <w:sz w:val="24"/>
          <w:szCs w:val="24"/>
        </w:rPr>
      </w:pPr>
      <w:r>
        <w:rPr>
          <w:rFonts w:hint="eastAsia" w:ascii="宋体" w:hAnsi="宋体" w:cs="宋体"/>
          <w:color w:val="auto"/>
          <w:sz w:val="24"/>
          <w:szCs w:val="24"/>
        </w:rPr>
        <w:t>2、地点：供应商应在投标截止时间前到安阳市公共资源交易中心网站（https://ggzy.anyang.gov.cn）,凭企业数字证书点击登录“政府采购”系统，上传加密的电子投标文件。</w:t>
      </w:r>
    </w:p>
    <w:p w14:paraId="63ABD07E">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五、响应文件开启</w:t>
      </w:r>
    </w:p>
    <w:p w14:paraId="78108EC8">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1、时间</w:t>
      </w:r>
      <w:r>
        <w:rPr>
          <w:rFonts w:hint="eastAsia" w:ascii="宋体" w:hAnsi="宋体" w:cs="宋体"/>
          <w:color w:val="auto"/>
          <w:sz w:val="24"/>
          <w:szCs w:val="22"/>
        </w:rPr>
        <w:t>：</w:t>
      </w:r>
      <w:r>
        <w:rPr>
          <w:rFonts w:hint="eastAsia" w:ascii="宋体" w:hAnsi="宋体" w:cs="宋体"/>
          <w:color w:val="auto"/>
          <w:sz w:val="24"/>
          <w:szCs w:val="22"/>
          <w:highlight w:val="none"/>
          <w:lang w:eastAsia="zh-CN"/>
        </w:rPr>
        <w:t>2026</w:t>
      </w:r>
      <w:r>
        <w:rPr>
          <w:rFonts w:hint="eastAsia" w:ascii="宋体" w:hAnsi="宋体" w:cs="宋体"/>
          <w:color w:val="auto"/>
          <w:sz w:val="24"/>
          <w:szCs w:val="22"/>
          <w:highlight w:val="none"/>
        </w:rPr>
        <w:t>年</w:t>
      </w:r>
      <w:r>
        <w:rPr>
          <w:rFonts w:hint="eastAsia" w:ascii="宋体" w:hAnsi="宋体" w:cs="宋体"/>
          <w:color w:val="auto"/>
          <w:sz w:val="24"/>
          <w:szCs w:val="22"/>
          <w:highlight w:val="none"/>
          <w:lang w:val="en-US" w:eastAsia="zh-CN"/>
        </w:rPr>
        <w:t>09</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28</w:t>
      </w:r>
      <w:r>
        <w:rPr>
          <w:rFonts w:hint="eastAsia" w:ascii="宋体" w:hAnsi="宋体" w:cs="宋体"/>
          <w:color w:val="auto"/>
          <w:sz w:val="24"/>
          <w:szCs w:val="22"/>
          <w:highlight w:val="none"/>
        </w:rPr>
        <w:t>日9时00分</w:t>
      </w:r>
      <w:r>
        <w:rPr>
          <w:rFonts w:hint="eastAsia" w:ascii="宋体" w:hAnsi="宋体" w:cs="宋体"/>
          <w:color w:val="auto"/>
          <w:sz w:val="24"/>
          <w:szCs w:val="22"/>
        </w:rPr>
        <w:t>（北京时间）</w:t>
      </w:r>
    </w:p>
    <w:p w14:paraId="0A02D5E6">
      <w:pPr>
        <w:spacing w:line="360" w:lineRule="auto"/>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2、地点（管理员网上操作地点）：安阳市公共资源交易中心五楼集中开标大厅</w:t>
      </w:r>
      <w:r>
        <w:rPr>
          <w:rFonts w:hint="eastAsia" w:ascii="宋体" w:hAnsi="宋体" w:cs="宋体"/>
          <w:color w:val="auto"/>
          <w:sz w:val="24"/>
          <w:szCs w:val="24"/>
          <w:lang w:val="en-US" w:eastAsia="zh-CN"/>
        </w:rPr>
        <w:t>八</w:t>
      </w:r>
      <w:r>
        <w:rPr>
          <w:rFonts w:hint="eastAsia" w:ascii="宋体" w:hAnsi="宋体" w:cs="宋体"/>
          <w:color w:val="auto"/>
          <w:sz w:val="24"/>
          <w:szCs w:val="24"/>
        </w:rPr>
        <w:t>室。</w:t>
      </w:r>
    </w:p>
    <w:p w14:paraId="489CF367">
      <w:pPr>
        <w:spacing w:line="360" w:lineRule="auto"/>
        <w:ind w:firstLine="480" w:firstLineChars="200"/>
        <w:textAlignment w:val="auto"/>
        <w:rPr>
          <w:rFonts w:hint="eastAsia" w:ascii="宋体" w:hAnsi="宋体" w:cs="宋体"/>
          <w:color w:val="auto"/>
          <w:sz w:val="24"/>
          <w:szCs w:val="22"/>
          <w:highlight w:val="none"/>
        </w:rPr>
      </w:pPr>
      <w:r>
        <w:rPr>
          <w:rFonts w:hint="eastAsia" w:ascii="宋体" w:hAnsi="宋体" w:cs="宋体"/>
          <w:color w:val="auto"/>
          <w:sz w:val="24"/>
          <w:szCs w:val="24"/>
          <w:highlight w:val="none"/>
        </w:rPr>
        <w:t>本项目采用远程不见面交易的模式，开标当日，供应商无需到开标现场参加开标会议。供应商应当在投标截止时间前，登录到安阳市公共资源交易不见面开标大厅，点击右上方</w:t>
      </w:r>
      <w:r>
        <w:rPr>
          <w:rFonts w:hint="eastAsia" w:ascii="宋体" w:hAnsi="宋体" w:cs="宋体"/>
          <w:color w:val="auto"/>
          <w:sz w:val="24"/>
          <w:szCs w:val="22"/>
          <w:highlight w:val="none"/>
        </w:rPr>
        <w:t>【</w:t>
      </w:r>
      <w:r>
        <w:rPr>
          <w:rFonts w:hint="eastAsia" w:ascii="宋体" w:hAnsi="宋体" w:cs="宋体"/>
          <w:color w:val="auto"/>
          <w:sz w:val="24"/>
          <w:szCs w:val="24"/>
          <w:highlight w:val="none"/>
        </w:rPr>
        <w:t>登录</w:t>
      </w:r>
      <w:r>
        <w:rPr>
          <w:rFonts w:hint="eastAsia" w:ascii="宋体" w:hAnsi="宋体" w:cs="宋体"/>
          <w:color w:val="auto"/>
          <w:sz w:val="24"/>
          <w:szCs w:val="22"/>
          <w:highlight w:val="none"/>
        </w:rPr>
        <w:t>】</w:t>
      </w:r>
      <w:r>
        <w:rPr>
          <w:rFonts w:hint="eastAsia" w:ascii="宋体" w:hAnsi="宋体" w:cs="宋体"/>
          <w:color w:val="auto"/>
          <w:sz w:val="24"/>
          <w:szCs w:val="24"/>
          <w:highlight w:val="none"/>
        </w:rPr>
        <w:t>按钮进入，在线准时参加开标活动并进行投标文件解密等。</w:t>
      </w:r>
      <w:r>
        <w:rPr>
          <w:rFonts w:hint="eastAsia" w:ascii="宋体" w:hAnsi="宋体" w:cs="宋体"/>
          <w:color w:val="auto"/>
          <w:sz w:val="24"/>
          <w:szCs w:val="22"/>
          <w:highlight w:val="none"/>
        </w:rPr>
        <w:t>因供应商原因未能解密、解密失败或解密超时的将被拒绝。</w:t>
      </w:r>
    </w:p>
    <w:p w14:paraId="282C9E57">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六、发布公告的媒介及招标公告期限</w:t>
      </w:r>
    </w:p>
    <w:p w14:paraId="62F15ED0">
      <w:pPr>
        <w:widowControl w:val="0"/>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本次招标公告在《河南省政府采购网》、《安阳市政府采购网》、《</w:t>
      </w:r>
      <w:r>
        <w:rPr>
          <w:rFonts w:hint="eastAsia" w:ascii="宋体" w:hAnsi="宋体" w:cs="宋体"/>
          <w:color w:val="auto"/>
          <w:sz w:val="24"/>
          <w:szCs w:val="24"/>
          <w:highlight w:val="none"/>
          <w:lang w:val="en-US" w:eastAsia="zh-CN"/>
        </w:rPr>
        <w:t>安阳市公共资源交易中心</w:t>
      </w:r>
      <w:r>
        <w:rPr>
          <w:rFonts w:hint="eastAsia" w:ascii="宋体" w:hAnsi="宋体" w:cs="宋体"/>
          <w:color w:val="auto"/>
          <w:sz w:val="24"/>
          <w:szCs w:val="24"/>
          <w:highlight w:val="none"/>
        </w:rPr>
        <w:t>》上发布。招标公告期限为三个工作日。</w:t>
      </w:r>
    </w:p>
    <w:p w14:paraId="11CB9ED3">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七、其他补充事宜</w:t>
      </w:r>
    </w:p>
    <w:p w14:paraId="1D42C1F7">
      <w:pPr>
        <w:spacing w:line="360" w:lineRule="auto"/>
        <w:ind w:firstLine="480" w:firstLineChars="200"/>
        <w:textAlignment w:val="auto"/>
        <w:rPr>
          <w:rFonts w:ascii="宋体" w:hAnsi="宋体" w:cs="宋体"/>
          <w:color w:val="auto"/>
          <w:sz w:val="24"/>
          <w:szCs w:val="22"/>
          <w:highlight w:val="none"/>
        </w:rPr>
      </w:pPr>
      <w:bookmarkStart w:id="4" w:name="_Toc28359008"/>
      <w:bookmarkStart w:id="5" w:name="_Toc35393796"/>
      <w:bookmarkStart w:id="6" w:name="_Toc35393627"/>
      <w:bookmarkStart w:id="7" w:name="_Toc28359085"/>
      <w:r>
        <w:rPr>
          <w:rFonts w:hint="eastAsia" w:ascii="宋体" w:hAnsi="宋体" w:cs="宋体"/>
          <w:color w:val="auto"/>
          <w:sz w:val="24"/>
          <w:szCs w:val="22"/>
          <w:highlight w:val="none"/>
        </w:rPr>
        <w:t>1、本项目执行强制节能产品强制采购、节能产品、环境标志产品及贫困地区产品优先采购、促进中小企业发展扶持政策、进口产品政策、信息安全产品、社会信用体系建设、促进残疾人就业、支持监狱企业发展等。</w:t>
      </w:r>
    </w:p>
    <w:p w14:paraId="1C818DC5">
      <w:pPr>
        <w:spacing w:line="360" w:lineRule="auto"/>
        <w:ind w:firstLine="480" w:firstLineChars="200"/>
        <w:textAlignment w:val="auto"/>
        <w:rPr>
          <w:rFonts w:ascii="宋体" w:hAnsi="宋体" w:cs="宋体"/>
          <w:color w:val="auto"/>
          <w:sz w:val="24"/>
          <w:szCs w:val="22"/>
          <w:highlight w:val="none"/>
        </w:rPr>
      </w:pPr>
      <w:r>
        <w:rPr>
          <w:rFonts w:hint="eastAsia" w:ascii="宋体" w:hAnsi="宋体" w:cs="宋体"/>
          <w:color w:val="auto"/>
          <w:sz w:val="24"/>
          <w:szCs w:val="22"/>
          <w:highlight w:val="none"/>
        </w:rPr>
        <w:t>2、政府采购合同融资：根据豫财购〔2017〕10号和安财购〔2017〕7号文要求，参加政府采购项目的中小微企业供应商，持中标（成交）通知书可向金融机构申请合同融资，详情请登录安阳市政府采购网，进入网站飘窗或业务指南窗口了解金融机构提供的融资服务内容。</w:t>
      </w:r>
    </w:p>
    <w:p w14:paraId="0307D180">
      <w:pPr>
        <w:widowControl w:val="0"/>
        <w:adjustRightInd w:val="0"/>
        <w:snapToGrid w:val="0"/>
        <w:spacing w:line="360" w:lineRule="auto"/>
        <w:jc w:val="left"/>
        <w:rPr>
          <w:rFonts w:ascii="宋体" w:hAnsi="宋体" w:cs="宋体"/>
          <w:b/>
          <w:color w:val="auto"/>
          <w:sz w:val="28"/>
          <w:szCs w:val="28"/>
        </w:rPr>
      </w:pPr>
      <w:r>
        <w:rPr>
          <w:rFonts w:hint="eastAsia" w:ascii="宋体" w:hAnsi="宋体" w:cs="宋体"/>
          <w:b/>
          <w:color w:val="auto"/>
          <w:sz w:val="28"/>
          <w:szCs w:val="28"/>
        </w:rPr>
        <w:t>八、凡对本次招标提出询问，请按照以下方式联系</w:t>
      </w:r>
      <w:bookmarkEnd w:id="4"/>
      <w:bookmarkEnd w:id="5"/>
      <w:bookmarkEnd w:id="6"/>
      <w:bookmarkEnd w:id="7"/>
    </w:p>
    <w:p w14:paraId="1CD49DC0">
      <w:pPr>
        <w:widowControl w:val="0"/>
        <w:adjustRightInd w:val="0"/>
        <w:snapToGri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1、采购人信息</w:t>
      </w:r>
    </w:p>
    <w:p w14:paraId="34167379">
      <w:pPr>
        <w:widowControl w:val="0"/>
        <w:adjustRightInd w:val="0"/>
        <w:snapToGrid w:val="0"/>
        <w:spacing w:line="360" w:lineRule="auto"/>
        <w:ind w:firstLine="480" w:firstLineChars="200"/>
        <w:jc w:val="left"/>
        <w:rPr>
          <w:rFonts w:hint="eastAsia" w:ascii="宋体" w:hAnsi="宋体" w:cs="宋体"/>
          <w:color w:val="auto"/>
          <w:sz w:val="24"/>
          <w:szCs w:val="24"/>
          <w:highlight w:val="none"/>
          <w:lang w:eastAsia="zh-CN"/>
        </w:rPr>
      </w:pPr>
      <w:bookmarkStart w:id="8" w:name="_Toc28359009"/>
      <w:bookmarkStart w:id="9" w:name="_Toc28359086"/>
      <w:r>
        <w:rPr>
          <w:rFonts w:hint="eastAsia" w:ascii="宋体" w:hAnsi="宋体" w:cs="宋体"/>
          <w:color w:val="auto"/>
          <w:sz w:val="24"/>
          <w:szCs w:val="24"/>
          <w:highlight w:val="none"/>
        </w:rPr>
        <w:t>名称：河南安阳漳河峡谷国家湿地公园管理委员会</w:t>
      </w:r>
    </w:p>
    <w:p w14:paraId="13B3CE40">
      <w:pPr>
        <w:widowControl w:val="0"/>
        <w:adjustRightInd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地址：安阳市殷都区都里镇漳河国家湿地公园</w:t>
      </w:r>
    </w:p>
    <w:p w14:paraId="7064325F">
      <w:pPr>
        <w:widowControl w:val="0"/>
        <w:adjustRightInd w:val="0"/>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联系人：许立强</w:t>
      </w:r>
    </w:p>
    <w:p w14:paraId="01F1AD37">
      <w:pPr>
        <w:widowControl w:val="0"/>
        <w:adjustRightInd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联系方式：15324781916</w:t>
      </w:r>
    </w:p>
    <w:p w14:paraId="3FAD54B0">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2、采购代理机构信息</w:t>
      </w:r>
      <w:bookmarkEnd w:id="8"/>
      <w:bookmarkEnd w:id="9"/>
    </w:p>
    <w:p w14:paraId="4C52AFFE">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名称：</w:t>
      </w:r>
      <w:bookmarkStart w:id="10" w:name="_Toc28359087"/>
      <w:bookmarkStart w:id="11" w:name="_Toc28359010"/>
      <w:r>
        <w:rPr>
          <w:rFonts w:hint="eastAsia" w:ascii="宋体" w:hAnsi="宋体" w:cs="宋体"/>
          <w:color w:val="auto"/>
          <w:sz w:val="24"/>
          <w:szCs w:val="24"/>
        </w:rPr>
        <w:t>河南圣坤工程咨询有限公司</w:t>
      </w:r>
    </w:p>
    <w:p w14:paraId="3C935E30">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地址：安阳市文峰区财富公馆东单元15楼</w:t>
      </w:r>
    </w:p>
    <w:p w14:paraId="0CF5A75F">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联系人：</w:t>
      </w:r>
      <w:r>
        <w:rPr>
          <w:rFonts w:hint="eastAsia" w:ascii="宋体" w:hAnsi="宋体" w:cs="宋体"/>
          <w:bCs/>
          <w:color w:val="auto"/>
          <w:kern w:val="2"/>
          <w:sz w:val="24"/>
          <w:szCs w:val="24"/>
        </w:rPr>
        <w:t>冯雪燕</w:t>
      </w:r>
    </w:p>
    <w:p w14:paraId="764B130D">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联系方式：13193539807</w:t>
      </w:r>
    </w:p>
    <w:p w14:paraId="5DDCD1EA">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3、项目联系方式</w:t>
      </w:r>
      <w:bookmarkEnd w:id="10"/>
      <w:bookmarkEnd w:id="11"/>
    </w:p>
    <w:p w14:paraId="4B5EEB47">
      <w:pPr>
        <w:widowControl w:val="0"/>
        <w:adjustRightInd w:val="0"/>
        <w:spacing w:line="360" w:lineRule="auto"/>
        <w:ind w:firstLine="480" w:firstLineChars="200"/>
        <w:jc w:val="left"/>
        <w:rPr>
          <w:rFonts w:ascii="宋体" w:hAnsi="宋体" w:cs="宋体"/>
          <w:color w:val="auto"/>
          <w:sz w:val="24"/>
          <w:szCs w:val="24"/>
        </w:rPr>
      </w:pPr>
      <w:r>
        <w:rPr>
          <w:rFonts w:hint="eastAsia" w:ascii="宋体" w:hAnsi="宋体" w:cs="宋体"/>
          <w:color w:val="auto"/>
          <w:sz w:val="24"/>
          <w:szCs w:val="24"/>
        </w:rPr>
        <w:t>项目联系人：冯雪燕</w:t>
      </w:r>
    </w:p>
    <w:p w14:paraId="0D576B89">
      <w:pPr>
        <w:widowControl w:val="0"/>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联系方式：13193539807</w:t>
      </w:r>
    </w:p>
    <w:sectPr>
      <w:pgSz w:w="11906" w:h="16838"/>
      <w:pgMar w:top="1440" w:right="1463" w:bottom="1667" w:left="146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643A51"/>
    <w:rsid w:val="05643A51"/>
    <w:rsid w:val="0AA479FE"/>
    <w:rsid w:val="17937964"/>
    <w:rsid w:val="1CB87339"/>
    <w:rsid w:val="28241192"/>
    <w:rsid w:val="2BA2543C"/>
    <w:rsid w:val="3ECC6A84"/>
    <w:rsid w:val="48CD6FC5"/>
    <w:rsid w:val="70386C15"/>
    <w:rsid w:val="75CC41D0"/>
    <w:rsid w:val="77AC0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57" w:lineRule="atLeast"/>
      <w:jc w:val="both"/>
      <w:textAlignment w:val="baseline"/>
    </w:pPr>
    <w:rPr>
      <w:rFonts w:ascii="Times New Roman" w:hAnsi="Times New Roman" w:eastAsia="宋体" w:cs="Times New Roman"/>
      <w:color w:val="000000"/>
      <w:sz w:val="21"/>
      <w:u w:color="000000"/>
      <w:lang w:val="en-US" w:eastAsia="zh-CN" w:bidi="ar-SA"/>
    </w:rPr>
  </w:style>
  <w:style w:type="paragraph" w:styleId="2">
    <w:name w:val="heading 2"/>
    <w:basedOn w:val="1"/>
    <w:next w:val="1"/>
    <w:unhideWhenUsed/>
    <w:qFormat/>
    <w:uiPriority w:val="9"/>
    <w:pPr>
      <w:keepNext/>
      <w:keepLines/>
      <w:spacing w:before="260" w:after="260" w:line="416" w:lineRule="atLeast"/>
      <w:outlineLvl w:val="1"/>
    </w:pPr>
    <w:rPr>
      <w:rFonts w:ascii="Cambria" w:hAnsi="Cambria"/>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2026-09-14T08:21:00Z</dcterms:created>
  <dc:creator>安阳北关分公司宋慧芳</dc:creator>
  <cp:lastModifiedBy>安阳北关分公司宋慧芳</cp:lastModifiedBy>
  <cp:lastPrinted>2026-09-14T08:28:07Z</cp:lastPrinted>
  <dcterms:modified xsi:type="dcterms:W3CDTF">2026-09-14T08:37:27Z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60CA1C6F3326420F98996F38CADBAB84_11</vt:lpwstr>
  </property>
  <property fmtid="{D5CDD505-2E9C-101B-9397-08002B2CF9AE}" pid="4" name="KSOTemplateDocerSaveRecord">
    <vt:lpwstr>eyJoZGlkIjoiYTQyYzdmNjMwMzM5OTdiYzE0MjU1YWYxZTc4NmVkNmIiLCJ1c2VySWQiOiIxMTQzNTUwNjI4In0=</vt:lpwstr>
  </property>
</Properties>
</file>