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C96F6">
      <w:pPr>
        <w:keepNext w:val="0"/>
        <w:keepLines w:val="0"/>
        <w:pageBreakBefore w:val="0"/>
        <w:widowControl w:val="0"/>
        <w:kinsoku/>
        <w:wordWrap w:val="0"/>
        <w:overflowPunct w:val="0"/>
        <w:topLinePunct/>
        <w:autoSpaceDE/>
        <w:autoSpaceDN/>
        <w:bidi w:val="0"/>
        <w:adjustRightInd/>
        <w:snapToGrid/>
        <w:spacing w:line="360" w:lineRule="auto"/>
        <w:ind w:left="0" w:right="0" w:firstLine="720" w:firstLineChars="200"/>
        <w:jc w:val="left"/>
        <w:textAlignment w:val="auto"/>
        <w:outlineLvl w:val="9"/>
        <w:rPr>
          <w:rFonts w:hint="eastAsia" w:asciiTheme="minorEastAsia" w:hAnsiTheme="minorEastAsia" w:eastAsiaTheme="minorEastAsia" w:cstheme="minorEastAsia"/>
          <w:spacing w:val="0"/>
          <w:position w:val="0"/>
          <w:sz w:val="36"/>
          <w:szCs w:val="32"/>
          <w:highlight w:val="none"/>
          <w:lang w:val="zh-CN"/>
        </w:rPr>
      </w:pPr>
    </w:p>
    <w:p w14:paraId="4FAE3023">
      <w:pPr>
        <w:keepNext w:val="0"/>
        <w:keepLines w:val="0"/>
        <w:pageBreakBefore w:val="0"/>
        <w:widowControl w:val="0"/>
        <w:kinsoku/>
        <w:wordWrap w:val="0"/>
        <w:overflowPunct w:val="0"/>
        <w:topLinePunct/>
        <w:autoSpaceDE/>
        <w:autoSpaceDN/>
        <w:bidi w:val="0"/>
        <w:adjustRightInd/>
        <w:snapToGrid/>
        <w:spacing w:before="0" w:after="0" w:line="360" w:lineRule="auto"/>
        <w:ind w:right="0"/>
        <w:jc w:val="center"/>
        <w:textAlignment w:val="auto"/>
        <w:outlineLvl w:val="9"/>
        <w:rPr>
          <w:rFonts w:hint="eastAsia" w:eastAsia="黑体" w:asciiTheme="minorEastAsia" w:hAnsiTheme="minorEastAsia" w:cstheme="minorEastAsia"/>
          <w:b w:val="0"/>
          <w:i w:val="0"/>
          <w:strike w:val="0"/>
          <w:color w:val="auto"/>
          <w:spacing w:val="0"/>
          <w:position w:val="0"/>
          <w:sz w:val="40"/>
          <w:szCs w:val="28"/>
          <w:highlight w:val="none"/>
          <w:u w:val="none"/>
          <w:lang w:eastAsia="zh-CN"/>
        </w:rPr>
      </w:pPr>
      <w:r>
        <w:rPr>
          <w:rFonts w:hint="eastAsia" w:ascii="仿宋_GB2312" w:hAnsi="宋体" w:eastAsia="黑体"/>
          <w:b w:val="0"/>
          <w:i w:val="0"/>
          <w:strike w:val="0"/>
          <w:color w:val="auto"/>
          <w:sz w:val="48"/>
          <w:szCs w:val="44"/>
          <w:highlight w:val="none"/>
          <w:u w:val="none"/>
          <w:lang w:val="en-US" w:eastAsia="zh-CN"/>
        </w:rPr>
        <w:t>汤阴县农业农村局2026年秋粮防灾减灾项目三次</w:t>
      </w:r>
    </w:p>
    <w:p w14:paraId="62B193E0">
      <w:pPr>
        <w:keepNext w:val="0"/>
        <w:keepLines w:val="0"/>
        <w:pageBreakBefore w:val="0"/>
        <w:widowControl w:val="0"/>
        <w:kinsoku/>
        <w:wordWrap w:val="0"/>
        <w:overflowPunct w:val="0"/>
        <w:topLinePunct/>
        <w:autoSpaceDE/>
        <w:autoSpaceDN/>
        <w:bidi w:val="0"/>
        <w:adjustRightInd/>
        <w:snapToGrid/>
        <w:spacing w:before="0" w:after="0"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p>
    <w:p w14:paraId="6477BC9F">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p>
    <w:p w14:paraId="1A143523">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p>
    <w:p w14:paraId="7E213E43">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p>
    <w:p w14:paraId="3FF0325E">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p>
    <w:p w14:paraId="30B3E509">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p>
    <w:p w14:paraId="0FBAE0DE">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p>
    <w:p w14:paraId="56B8604F">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p>
    <w:p w14:paraId="402E4895">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p>
    <w:p w14:paraId="3D7C3633">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b/>
          <w:color w:val="000000"/>
          <w:spacing w:val="0"/>
          <w:position w:val="0"/>
          <w:sz w:val="72"/>
          <w:szCs w:val="72"/>
          <w:highlight w:val="none"/>
        </w:rPr>
      </w:pPr>
      <w:r>
        <w:rPr>
          <w:rFonts w:hint="eastAsia" w:asciiTheme="minorEastAsia" w:hAnsiTheme="minorEastAsia" w:eastAsiaTheme="minorEastAsia" w:cstheme="minorEastAsia"/>
          <w:b/>
          <w:color w:val="000000"/>
          <w:spacing w:val="0"/>
          <w:position w:val="0"/>
          <w:sz w:val="72"/>
          <w:szCs w:val="72"/>
          <w:highlight w:val="none"/>
          <w:lang w:eastAsia="zh-CN"/>
        </w:rPr>
        <w:t>竞争性谈判</w:t>
      </w:r>
      <w:r>
        <w:rPr>
          <w:rFonts w:hint="eastAsia" w:asciiTheme="minorEastAsia" w:hAnsiTheme="minorEastAsia" w:eastAsiaTheme="minorEastAsia" w:cstheme="minorEastAsia"/>
          <w:b/>
          <w:color w:val="000000"/>
          <w:spacing w:val="0"/>
          <w:position w:val="0"/>
          <w:sz w:val="72"/>
          <w:szCs w:val="72"/>
          <w:highlight w:val="none"/>
        </w:rPr>
        <w:t>文件</w:t>
      </w:r>
    </w:p>
    <w:p w14:paraId="24580C6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zh-CN"/>
        </w:rPr>
      </w:pPr>
    </w:p>
    <w:p w14:paraId="2968BD5D">
      <w:pPr>
        <w:pStyle w:val="13"/>
        <w:keepNext w:val="0"/>
        <w:keepLines w:val="0"/>
        <w:pageBreakBefore w:val="0"/>
        <w:widowControl w:val="0"/>
        <w:kinsoku/>
        <w:wordWrap w:val="0"/>
        <w:overflowPunct w:val="0"/>
        <w:topLinePunct/>
        <w:autoSpaceDE/>
        <w:autoSpaceDN/>
        <w:bidi w:val="0"/>
        <w:adjustRightInd/>
        <w:snapToGrid/>
        <w:spacing w:after="0"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zh-CN"/>
        </w:rPr>
      </w:pPr>
    </w:p>
    <w:p w14:paraId="726C6F7E">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val="zh-CN"/>
        </w:rPr>
      </w:pPr>
    </w:p>
    <w:p w14:paraId="0A618D6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zh-CN"/>
        </w:rPr>
      </w:pPr>
    </w:p>
    <w:p w14:paraId="6E3BA359">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val="zh-CN"/>
        </w:rPr>
      </w:pPr>
    </w:p>
    <w:p w14:paraId="01A6888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zh-CN"/>
        </w:rPr>
      </w:pPr>
    </w:p>
    <w:p w14:paraId="03DDB197">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pacing w:val="0"/>
          <w:position w:val="0"/>
          <w:sz w:val="36"/>
          <w:szCs w:val="32"/>
          <w:highlight w:val="none"/>
          <w:lang w:val="zh-CN"/>
        </w:rPr>
      </w:pPr>
      <w:bookmarkStart w:id="0" w:name="_Toc4022"/>
      <w:bookmarkStart w:id="1" w:name="_Toc3005"/>
    </w:p>
    <w:p w14:paraId="16C07969">
      <w:pPr>
        <w:keepNext w:val="0"/>
        <w:keepLines w:val="0"/>
        <w:pageBreakBefore w:val="0"/>
        <w:widowControl w:val="0"/>
        <w:kinsoku/>
        <w:wordWrap w:val="0"/>
        <w:overflowPunct w:val="0"/>
        <w:topLinePunct/>
        <w:autoSpaceDE/>
        <w:autoSpaceDN/>
        <w:bidi w:val="0"/>
        <w:adjustRightInd/>
        <w:snapToGrid/>
        <w:spacing w:line="360" w:lineRule="auto"/>
        <w:ind w:left="0" w:right="0" w:firstLine="723" w:firstLineChars="200"/>
        <w:jc w:val="left"/>
        <w:textAlignment w:val="auto"/>
        <w:outlineLvl w:val="9"/>
        <w:rPr>
          <w:rFonts w:hint="eastAsia" w:asciiTheme="minorEastAsia" w:hAnsiTheme="minorEastAsia" w:eastAsiaTheme="minorEastAsia" w:cstheme="minorEastAsia"/>
          <w:b/>
          <w:bCs/>
          <w:spacing w:val="0"/>
          <w:position w:val="0"/>
          <w:sz w:val="36"/>
          <w:szCs w:val="32"/>
          <w:highlight w:val="none"/>
          <w:lang w:val="zh-CN"/>
        </w:rPr>
      </w:pPr>
    </w:p>
    <w:p w14:paraId="159FBF4B">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b/>
          <w:bCs/>
          <w:spacing w:val="0"/>
          <w:position w:val="0"/>
          <w:sz w:val="36"/>
          <w:szCs w:val="32"/>
          <w:highlight w:val="none"/>
          <w:lang w:val="en-US" w:eastAsia="zh-CN"/>
        </w:rPr>
      </w:pPr>
      <w:r>
        <w:rPr>
          <w:rFonts w:hint="eastAsia" w:asciiTheme="minorEastAsia" w:hAnsiTheme="minorEastAsia" w:eastAsiaTheme="minorEastAsia" w:cstheme="minorEastAsia"/>
          <w:b/>
          <w:bCs/>
          <w:spacing w:val="0"/>
          <w:position w:val="0"/>
          <w:sz w:val="36"/>
          <w:szCs w:val="32"/>
          <w:highlight w:val="none"/>
          <w:lang w:val="zh-CN"/>
        </w:rPr>
        <w:t>采   购   人：</w:t>
      </w:r>
      <w:r>
        <w:rPr>
          <w:rFonts w:hint="eastAsia" w:asciiTheme="minorEastAsia" w:hAnsiTheme="minorEastAsia" w:eastAsiaTheme="minorEastAsia" w:cstheme="minorEastAsia"/>
          <w:b/>
          <w:bCs/>
          <w:spacing w:val="0"/>
          <w:position w:val="0"/>
          <w:sz w:val="36"/>
          <w:szCs w:val="32"/>
          <w:highlight w:val="none"/>
          <w:lang w:val="zh-CN" w:eastAsia="zh-CN"/>
        </w:rPr>
        <w:t>汤阴县农业农村局</w:t>
      </w:r>
      <w:bookmarkEnd w:id="0"/>
      <w:bookmarkEnd w:id="1"/>
    </w:p>
    <w:p w14:paraId="51D3794D">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b/>
          <w:bCs/>
          <w:spacing w:val="0"/>
          <w:position w:val="0"/>
          <w:sz w:val="36"/>
          <w:szCs w:val="32"/>
          <w:highlight w:val="none"/>
          <w:lang w:val="zh-CN"/>
        </w:rPr>
      </w:pPr>
      <w:r>
        <w:rPr>
          <w:rFonts w:hint="eastAsia" w:asciiTheme="minorEastAsia" w:hAnsiTheme="minorEastAsia" w:eastAsiaTheme="minorEastAsia" w:cstheme="minorEastAsia"/>
          <w:b/>
          <w:bCs/>
          <w:spacing w:val="0"/>
          <w:position w:val="0"/>
          <w:sz w:val="36"/>
          <w:szCs w:val="32"/>
          <w:highlight w:val="none"/>
          <w:lang w:val="zh-CN"/>
        </w:rPr>
        <w:t>采购代理机构：河南省仁哲工程管理有限公司</w:t>
      </w:r>
    </w:p>
    <w:p w14:paraId="37A2CE8F">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b/>
          <w:bCs/>
          <w:spacing w:val="0"/>
          <w:position w:val="0"/>
          <w:sz w:val="32"/>
          <w:szCs w:val="28"/>
          <w:highlight w:val="none"/>
          <w:lang w:val="zh-CN"/>
        </w:rPr>
        <w:sectPr>
          <w:pgSz w:w="11900" w:h="16838"/>
          <w:pgMar w:top="1440" w:right="1080" w:bottom="1440" w:left="1080" w:header="850" w:footer="992" w:gutter="0"/>
          <w:pgBorders>
            <w:top w:val="none" w:sz="0" w:space="0"/>
            <w:left w:val="none" w:sz="0" w:space="0"/>
            <w:bottom w:val="none" w:sz="0" w:space="0"/>
            <w:right w:val="none" w:sz="0" w:space="0"/>
          </w:pgBorders>
          <w:pgNumType w:fmt="decimal"/>
          <w:cols w:space="708" w:num="1"/>
          <w:rtlGutter w:val="0"/>
          <w:docGrid w:type="lines" w:linePitch="317" w:charSpace="0"/>
        </w:sectPr>
      </w:pPr>
      <w:r>
        <w:rPr>
          <w:rFonts w:hint="eastAsia" w:asciiTheme="minorEastAsia" w:hAnsiTheme="minorEastAsia" w:eastAsiaTheme="minorEastAsia" w:cstheme="minorEastAsia"/>
          <w:b/>
          <w:bCs/>
          <w:spacing w:val="0"/>
          <w:position w:val="0"/>
          <w:sz w:val="36"/>
          <w:szCs w:val="32"/>
          <w:highlight w:val="none"/>
          <w:lang w:val="zh-CN"/>
        </w:rPr>
        <w:t xml:space="preserve">日   </w:t>
      </w:r>
      <w:r>
        <w:rPr>
          <w:rFonts w:hint="eastAsia" w:asciiTheme="minorEastAsia" w:hAnsiTheme="minorEastAsia" w:eastAsiaTheme="minorEastAsia" w:cstheme="minorEastAsia"/>
          <w:b/>
          <w:bCs/>
          <w:spacing w:val="0"/>
          <w:position w:val="0"/>
          <w:sz w:val="36"/>
          <w:szCs w:val="32"/>
          <w:highlight w:val="none"/>
          <w:lang w:val="en-US" w:eastAsia="zh-CN"/>
        </w:rPr>
        <w:t xml:space="preserve">    </w:t>
      </w:r>
      <w:r>
        <w:rPr>
          <w:rFonts w:hint="eastAsia" w:asciiTheme="minorEastAsia" w:hAnsiTheme="minorEastAsia" w:eastAsiaTheme="minorEastAsia" w:cstheme="minorEastAsia"/>
          <w:b/>
          <w:bCs/>
          <w:spacing w:val="0"/>
          <w:position w:val="0"/>
          <w:sz w:val="36"/>
          <w:szCs w:val="32"/>
          <w:highlight w:val="none"/>
          <w:lang w:val="zh-CN"/>
        </w:rPr>
        <w:t xml:space="preserve"> 期：二〇二</w:t>
      </w:r>
      <w:r>
        <w:rPr>
          <w:rFonts w:hint="eastAsia" w:asciiTheme="minorEastAsia" w:hAnsiTheme="minorEastAsia" w:eastAsiaTheme="minorEastAsia" w:cstheme="minorEastAsia"/>
          <w:b/>
          <w:bCs/>
          <w:spacing w:val="0"/>
          <w:position w:val="0"/>
          <w:sz w:val="36"/>
          <w:szCs w:val="32"/>
          <w:highlight w:val="none"/>
          <w:lang w:val="en-US" w:eastAsia="zh-CN"/>
        </w:rPr>
        <w:t xml:space="preserve">六 </w:t>
      </w:r>
      <w:r>
        <w:rPr>
          <w:rFonts w:hint="eastAsia" w:asciiTheme="minorEastAsia" w:hAnsiTheme="minorEastAsia" w:eastAsiaTheme="minorEastAsia" w:cstheme="minorEastAsia"/>
          <w:b/>
          <w:bCs/>
          <w:spacing w:val="0"/>
          <w:position w:val="0"/>
          <w:sz w:val="36"/>
          <w:szCs w:val="32"/>
          <w:highlight w:val="none"/>
          <w:lang w:val="zh-CN"/>
        </w:rPr>
        <w:t>年</w:t>
      </w:r>
      <w:r>
        <w:rPr>
          <w:rFonts w:hint="eastAsia" w:asciiTheme="minorEastAsia" w:hAnsiTheme="minorEastAsia" w:eastAsiaTheme="minorEastAsia" w:cstheme="minorEastAsia"/>
          <w:b/>
          <w:bCs/>
          <w:spacing w:val="0"/>
          <w:position w:val="0"/>
          <w:sz w:val="36"/>
          <w:szCs w:val="32"/>
          <w:highlight w:val="none"/>
          <w:lang w:val="en-US" w:eastAsia="zh-CN"/>
        </w:rPr>
        <w:t xml:space="preserve"> 九 </w:t>
      </w:r>
      <w:r>
        <w:rPr>
          <w:rFonts w:hint="eastAsia" w:asciiTheme="minorEastAsia" w:hAnsiTheme="minorEastAsia" w:eastAsiaTheme="minorEastAsia" w:cstheme="minorEastAsia"/>
          <w:b/>
          <w:bCs/>
          <w:spacing w:val="0"/>
          <w:position w:val="0"/>
          <w:sz w:val="36"/>
          <w:szCs w:val="32"/>
          <w:highlight w:val="none"/>
          <w:lang w:val="zh-CN"/>
        </w:rPr>
        <w:t>月</w:t>
      </w:r>
    </w:p>
    <w:sdt>
      <w:sdtPr>
        <w:rPr>
          <w:rFonts w:ascii="宋体" w:hAnsi="宋体" w:eastAsia="宋体" w:cs="Arial"/>
          <w:snapToGrid w:val="0"/>
          <w:color w:val="000000"/>
          <w:kern w:val="0"/>
          <w:sz w:val="21"/>
          <w:szCs w:val="21"/>
          <w:highlight w:val="none"/>
          <w:lang w:val="en-US" w:eastAsia="en-US" w:bidi="ar-SA"/>
        </w:rPr>
        <w:id w:val="147477798"/>
        <w15:color w:val="DBDBDB"/>
        <w:docPartObj>
          <w:docPartGallery w:val="Table of Contents"/>
          <w:docPartUnique/>
        </w:docPartObj>
      </w:sdtPr>
      <w:sdtEndP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sdtEndPr>
      <w:sdtContent>
        <w:p w14:paraId="1670E1F0">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31F2F1B8">
          <w:pPr>
            <w:spacing w:before="0" w:beforeLines="0" w:after="0" w:afterLines="0" w:line="240" w:lineRule="auto"/>
            <w:ind w:left="0" w:leftChars="0" w:right="0" w:rightChars="0" w:firstLine="0" w:firstLineChars="0"/>
            <w:jc w:val="center"/>
            <w:rPr>
              <w:highlight w:val="none"/>
            </w:rPr>
          </w:pPr>
          <w:r>
            <w:rPr>
              <w:rFonts w:ascii="宋体" w:hAnsi="宋体" w:eastAsia="宋体"/>
              <w:sz w:val="36"/>
              <w:szCs w:val="36"/>
              <w:highlight w:val="none"/>
            </w:rPr>
            <w:t>目录</w:t>
          </w:r>
        </w:p>
        <w:p w14:paraId="035C328A">
          <w:pPr>
            <w:pStyle w:val="12"/>
            <w:tabs>
              <w:tab w:val="right" w:leader="dot" w:pos="9745"/>
            </w:tabs>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begin"/>
          </w: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instrText xml:space="preserve">TOC \o "1-1" \h \u </w:instrText>
          </w: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separate"/>
          </w: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begin"/>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instrText xml:space="preserve"> HYPERLINK \l _Toc168 </w:instrText>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fldChar w:fldCharType="separate"/>
          </w:r>
          <w:r>
            <w:rPr>
              <w:rFonts w:hint="eastAsia"/>
              <w:sz w:val="36"/>
              <w:szCs w:val="36"/>
              <w:highlight w:val="none"/>
              <w:lang w:val="en-US" w:eastAsia="en-US"/>
            </w:rPr>
            <w:t>第一章</w:t>
          </w:r>
          <w:r>
            <w:rPr>
              <w:rFonts w:hint="eastAsia"/>
              <w:sz w:val="36"/>
              <w:szCs w:val="36"/>
              <w:highlight w:val="none"/>
              <w:lang w:val="en-US" w:eastAsia="zh-CN"/>
            </w:rPr>
            <w:t xml:space="preserve"> </w:t>
          </w:r>
          <w:r>
            <w:rPr>
              <w:rFonts w:hint="eastAsia"/>
              <w:sz w:val="36"/>
              <w:szCs w:val="36"/>
              <w:highlight w:val="none"/>
            </w:rPr>
            <w:t>谈判公告</w:t>
          </w:r>
          <w:r>
            <w:rPr>
              <w:sz w:val="36"/>
              <w:szCs w:val="36"/>
              <w:highlight w:val="none"/>
            </w:rPr>
            <w:tab/>
          </w:r>
          <w:r>
            <w:rPr>
              <w:sz w:val="36"/>
              <w:szCs w:val="36"/>
              <w:highlight w:val="none"/>
            </w:rPr>
            <w:fldChar w:fldCharType="begin"/>
          </w:r>
          <w:r>
            <w:rPr>
              <w:sz w:val="36"/>
              <w:szCs w:val="36"/>
              <w:highlight w:val="none"/>
            </w:rPr>
            <w:instrText xml:space="preserve"> PAGEREF _Toc168 \h </w:instrText>
          </w:r>
          <w:r>
            <w:rPr>
              <w:sz w:val="36"/>
              <w:szCs w:val="36"/>
              <w:highlight w:val="none"/>
            </w:rPr>
            <w:fldChar w:fldCharType="separate"/>
          </w:r>
          <w:r>
            <w:rPr>
              <w:sz w:val="36"/>
              <w:szCs w:val="36"/>
              <w:highlight w:val="none"/>
            </w:rPr>
            <w:t>1</w:t>
          </w:r>
          <w:r>
            <w:rPr>
              <w:sz w:val="36"/>
              <w:szCs w:val="36"/>
              <w:highlight w:val="none"/>
            </w:rPr>
            <w:fldChar w:fldCharType="end"/>
          </w: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end"/>
          </w:r>
        </w:p>
        <w:p w14:paraId="17E7BA9D">
          <w:pPr>
            <w:rPr>
              <w:rFonts w:hint="eastAsia" w:asciiTheme="minorEastAsia" w:hAnsiTheme="minorEastAsia" w:eastAsiaTheme="minorEastAsia" w:cstheme="minorEastAsia"/>
              <w:snapToGrid w:val="0"/>
              <w:color w:val="000000"/>
              <w:spacing w:val="0"/>
              <w:kern w:val="0"/>
              <w:position w:val="0"/>
              <w:sz w:val="21"/>
              <w:szCs w:val="28"/>
              <w:highlight w:val="none"/>
              <w:lang w:val="en-US" w:eastAsia="en-US" w:bidi="ar-SA"/>
            </w:rPr>
          </w:pPr>
        </w:p>
        <w:p w14:paraId="3793CFEA">
          <w:pPr>
            <w:pStyle w:val="12"/>
            <w:tabs>
              <w:tab w:val="right" w:leader="dot" w:pos="9745"/>
            </w:tabs>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begin"/>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instrText xml:space="preserve"> HYPERLINK \l _Toc20344 </w:instrText>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fldChar w:fldCharType="separate"/>
          </w:r>
          <w:r>
            <w:rPr>
              <w:rFonts w:hint="eastAsia"/>
              <w:sz w:val="36"/>
              <w:szCs w:val="36"/>
              <w:highlight w:val="none"/>
            </w:rPr>
            <w:t>第二章 采购项目及技术服务要求</w:t>
          </w:r>
          <w:r>
            <w:rPr>
              <w:sz w:val="36"/>
              <w:szCs w:val="36"/>
              <w:highlight w:val="none"/>
            </w:rPr>
            <w:tab/>
          </w:r>
          <w:r>
            <w:rPr>
              <w:sz w:val="36"/>
              <w:szCs w:val="36"/>
              <w:highlight w:val="none"/>
            </w:rPr>
            <w:fldChar w:fldCharType="begin"/>
          </w:r>
          <w:r>
            <w:rPr>
              <w:sz w:val="36"/>
              <w:szCs w:val="36"/>
              <w:highlight w:val="none"/>
            </w:rPr>
            <w:instrText xml:space="preserve"> PAGEREF _Toc20344 \h </w:instrText>
          </w:r>
          <w:r>
            <w:rPr>
              <w:sz w:val="36"/>
              <w:szCs w:val="36"/>
              <w:highlight w:val="none"/>
            </w:rPr>
            <w:fldChar w:fldCharType="separate"/>
          </w:r>
          <w:r>
            <w:rPr>
              <w:sz w:val="36"/>
              <w:szCs w:val="36"/>
              <w:highlight w:val="none"/>
            </w:rPr>
            <w:t>5</w:t>
          </w:r>
          <w:r>
            <w:rPr>
              <w:sz w:val="36"/>
              <w:szCs w:val="36"/>
              <w:highlight w:val="none"/>
            </w:rPr>
            <w:fldChar w:fldCharType="end"/>
          </w: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end"/>
          </w:r>
        </w:p>
        <w:p w14:paraId="32BE21DC">
          <w:pPr>
            <w:rPr>
              <w:highlight w:val="none"/>
            </w:rPr>
          </w:pPr>
        </w:p>
        <w:p w14:paraId="0173E5F6">
          <w:pPr>
            <w:pStyle w:val="12"/>
            <w:tabs>
              <w:tab w:val="right" w:leader="dot" w:pos="9745"/>
            </w:tabs>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begin"/>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instrText xml:space="preserve"> HYPERLINK \l _Toc15679 </w:instrText>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fldChar w:fldCharType="separate"/>
          </w:r>
          <w:r>
            <w:rPr>
              <w:rFonts w:hint="eastAsia"/>
              <w:sz w:val="36"/>
              <w:szCs w:val="36"/>
              <w:highlight w:val="none"/>
            </w:rPr>
            <w:t>第三章 投标人须知</w:t>
          </w:r>
          <w:r>
            <w:rPr>
              <w:sz w:val="36"/>
              <w:szCs w:val="36"/>
              <w:highlight w:val="none"/>
            </w:rPr>
            <w:tab/>
          </w:r>
          <w:r>
            <w:rPr>
              <w:sz w:val="36"/>
              <w:szCs w:val="36"/>
              <w:highlight w:val="none"/>
            </w:rPr>
            <w:fldChar w:fldCharType="begin"/>
          </w:r>
          <w:r>
            <w:rPr>
              <w:sz w:val="36"/>
              <w:szCs w:val="36"/>
              <w:highlight w:val="none"/>
            </w:rPr>
            <w:instrText xml:space="preserve"> PAGEREF _Toc15679 \h </w:instrText>
          </w:r>
          <w:r>
            <w:rPr>
              <w:sz w:val="36"/>
              <w:szCs w:val="36"/>
              <w:highlight w:val="none"/>
            </w:rPr>
            <w:fldChar w:fldCharType="separate"/>
          </w:r>
          <w:r>
            <w:rPr>
              <w:sz w:val="36"/>
              <w:szCs w:val="36"/>
              <w:highlight w:val="none"/>
            </w:rPr>
            <w:t>10</w:t>
          </w:r>
          <w:r>
            <w:rPr>
              <w:sz w:val="36"/>
              <w:szCs w:val="36"/>
              <w:highlight w:val="none"/>
            </w:rPr>
            <w:fldChar w:fldCharType="end"/>
          </w: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end"/>
          </w:r>
        </w:p>
        <w:p w14:paraId="7CE1D452">
          <w:pPr>
            <w:rPr>
              <w:highlight w:val="none"/>
            </w:rPr>
          </w:pPr>
        </w:p>
        <w:p w14:paraId="6D65B5D3">
          <w:pPr>
            <w:pStyle w:val="12"/>
            <w:tabs>
              <w:tab w:val="right" w:leader="dot" w:pos="9745"/>
            </w:tabs>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begin"/>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instrText xml:space="preserve"> HYPERLINK \l _Toc2998 </w:instrText>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fldChar w:fldCharType="separate"/>
          </w:r>
          <w:r>
            <w:rPr>
              <w:rFonts w:hint="eastAsia"/>
              <w:sz w:val="36"/>
              <w:szCs w:val="36"/>
              <w:highlight w:val="none"/>
            </w:rPr>
            <w:t>第四章 评审办法</w:t>
          </w:r>
          <w:r>
            <w:rPr>
              <w:sz w:val="36"/>
              <w:szCs w:val="36"/>
              <w:highlight w:val="none"/>
            </w:rPr>
            <w:tab/>
          </w:r>
          <w:r>
            <w:rPr>
              <w:sz w:val="36"/>
              <w:szCs w:val="36"/>
              <w:highlight w:val="none"/>
            </w:rPr>
            <w:fldChar w:fldCharType="begin"/>
          </w:r>
          <w:r>
            <w:rPr>
              <w:sz w:val="36"/>
              <w:szCs w:val="36"/>
              <w:highlight w:val="none"/>
            </w:rPr>
            <w:instrText xml:space="preserve"> PAGEREF _Toc2998 \h </w:instrText>
          </w:r>
          <w:r>
            <w:rPr>
              <w:sz w:val="36"/>
              <w:szCs w:val="36"/>
              <w:highlight w:val="none"/>
            </w:rPr>
            <w:fldChar w:fldCharType="separate"/>
          </w:r>
          <w:r>
            <w:rPr>
              <w:sz w:val="36"/>
              <w:szCs w:val="36"/>
              <w:highlight w:val="none"/>
            </w:rPr>
            <w:t>25</w:t>
          </w:r>
          <w:r>
            <w:rPr>
              <w:sz w:val="36"/>
              <w:szCs w:val="36"/>
              <w:highlight w:val="none"/>
            </w:rPr>
            <w:fldChar w:fldCharType="end"/>
          </w: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end"/>
          </w:r>
        </w:p>
        <w:p w14:paraId="71DB7166">
          <w:pPr>
            <w:rPr>
              <w:highlight w:val="none"/>
            </w:rPr>
          </w:pPr>
        </w:p>
        <w:p w14:paraId="320B974B">
          <w:pPr>
            <w:pStyle w:val="12"/>
            <w:tabs>
              <w:tab w:val="right" w:leader="dot" w:pos="9745"/>
            </w:tabs>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begin"/>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instrText xml:space="preserve"> HYPERLINK \l _Toc9630 </w:instrText>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fldChar w:fldCharType="separate"/>
          </w:r>
          <w:r>
            <w:rPr>
              <w:rFonts w:hint="eastAsia"/>
              <w:sz w:val="36"/>
              <w:szCs w:val="36"/>
              <w:highlight w:val="none"/>
            </w:rPr>
            <w:t>第</w:t>
          </w:r>
          <w:r>
            <w:rPr>
              <w:rFonts w:hint="eastAsia"/>
              <w:sz w:val="36"/>
              <w:szCs w:val="36"/>
              <w:highlight w:val="none"/>
              <w:lang w:val="en-US" w:eastAsia="zh-CN"/>
            </w:rPr>
            <w:t>五</w:t>
          </w:r>
          <w:r>
            <w:rPr>
              <w:rFonts w:hint="eastAsia"/>
              <w:sz w:val="36"/>
              <w:szCs w:val="36"/>
              <w:highlight w:val="none"/>
            </w:rPr>
            <w:t>章    合同（格式）</w:t>
          </w:r>
          <w:r>
            <w:rPr>
              <w:sz w:val="36"/>
              <w:szCs w:val="36"/>
              <w:highlight w:val="none"/>
            </w:rPr>
            <w:tab/>
          </w:r>
          <w:r>
            <w:rPr>
              <w:sz w:val="36"/>
              <w:szCs w:val="36"/>
              <w:highlight w:val="none"/>
            </w:rPr>
            <w:fldChar w:fldCharType="begin"/>
          </w:r>
          <w:r>
            <w:rPr>
              <w:sz w:val="36"/>
              <w:szCs w:val="36"/>
              <w:highlight w:val="none"/>
            </w:rPr>
            <w:instrText xml:space="preserve"> PAGEREF _Toc9630 \h </w:instrText>
          </w:r>
          <w:r>
            <w:rPr>
              <w:sz w:val="36"/>
              <w:szCs w:val="36"/>
              <w:highlight w:val="none"/>
            </w:rPr>
            <w:fldChar w:fldCharType="separate"/>
          </w:r>
          <w:r>
            <w:rPr>
              <w:sz w:val="36"/>
              <w:szCs w:val="36"/>
              <w:highlight w:val="none"/>
            </w:rPr>
            <w:t>33</w:t>
          </w:r>
          <w:r>
            <w:rPr>
              <w:sz w:val="36"/>
              <w:szCs w:val="36"/>
              <w:highlight w:val="none"/>
            </w:rPr>
            <w:fldChar w:fldCharType="end"/>
          </w: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end"/>
          </w:r>
        </w:p>
        <w:p w14:paraId="28AABCB5">
          <w:pPr>
            <w:rPr>
              <w:highlight w:val="none"/>
            </w:rPr>
          </w:pPr>
        </w:p>
        <w:p w14:paraId="1D4CFF25">
          <w:pPr>
            <w:pStyle w:val="12"/>
            <w:tabs>
              <w:tab w:val="right" w:leader="dot" w:pos="9745"/>
            </w:tabs>
            <w:rPr>
              <w:sz w:val="36"/>
              <w:szCs w:val="36"/>
              <w:highlight w:val="none"/>
            </w:rPr>
          </w:pP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begin"/>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instrText xml:space="preserve"> HYPERLINK \l _Toc29496 </w:instrText>
          </w:r>
          <w:r>
            <w:rPr>
              <w:rFonts w:hint="eastAsia" w:asciiTheme="minorEastAsia" w:hAnsiTheme="minorEastAsia" w:eastAsiaTheme="minorEastAsia" w:cstheme="minorEastAsia"/>
              <w:snapToGrid w:val="0"/>
              <w:spacing w:val="0"/>
              <w:kern w:val="0"/>
              <w:position w:val="0"/>
              <w:sz w:val="36"/>
              <w:szCs w:val="48"/>
              <w:highlight w:val="none"/>
              <w:lang w:val="en-US" w:eastAsia="en-US" w:bidi="ar-SA"/>
            </w:rPr>
            <w:fldChar w:fldCharType="separate"/>
          </w:r>
          <w:r>
            <w:rPr>
              <w:rFonts w:hint="eastAsia"/>
              <w:sz w:val="36"/>
              <w:szCs w:val="36"/>
              <w:highlight w:val="none"/>
            </w:rPr>
            <w:t>第六章 投标文件格式</w:t>
          </w:r>
          <w:r>
            <w:rPr>
              <w:sz w:val="36"/>
              <w:szCs w:val="36"/>
              <w:highlight w:val="none"/>
            </w:rPr>
            <w:tab/>
          </w:r>
          <w:r>
            <w:rPr>
              <w:sz w:val="36"/>
              <w:szCs w:val="36"/>
              <w:highlight w:val="none"/>
            </w:rPr>
            <w:fldChar w:fldCharType="begin"/>
          </w:r>
          <w:r>
            <w:rPr>
              <w:sz w:val="36"/>
              <w:szCs w:val="36"/>
              <w:highlight w:val="none"/>
            </w:rPr>
            <w:instrText xml:space="preserve"> PAGEREF _Toc29496 \h </w:instrText>
          </w:r>
          <w:r>
            <w:rPr>
              <w:sz w:val="36"/>
              <w:szCs w:val="36"/>
              <w:highlight w:val="none"/>
            </w:rPr>
            <w:fldChar w:fldCharType="separate"/>
          </w:r>
          <w:r>
            <w:rPr>
              <w:sz w:val="36"/>
              <w:szCs w:val="36"/>
              <w:highlight w:val="none"/>
            </w:rPr>
            <w:t>44</w:t>
          </w:r>
          <w:r>
            <w:rPr>
              <w:sz w:val="36"/>
              <w:szCs w:val="36"/>
              <w:highlight w:val="none"/>
            </w:rPr>
            <w:fldChar w:fldCharType="end"/>
          </w: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end"/>
          </w:r>
        </w:p>
        <w:p w14:paraId="1B91D91C">
          <w:pPr>
            <w:keepNext w:val="0"/>
            <w:keepLines w:val="0"/>
            <w:pageBreakBefore w:val="0"/>
            <w:widowControl w:val="0"/>
            <w:kinsoku/>
            <w:wordWrap w:val="0"/>
            <w:overflowPunct w:val="0"/>
            <w:topLinePunct/>
            <w:autoSpaceDE/>
            <w:autoSpaceDN/>
            <w:bidi w:val="0"/>
            <w:adjustRightInd/>
            <w:snapToGrid/>
            <w:spacing w:line="360" w:lineRule="auto"/>
            <w:ind w:left="0" w:right="0" w:firstLine="72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36"/>
              <w:szCs w:val="48"/>
              <w:highlight w:val="none"/>
              <w:lang w:val="en-US" w:eastAsia="en-US" w:bidi="ar-SA"/>
            </w:rPr>
            <w:fldChar w:fldCharType="end"/>
          </w:r>
        </w:p>
      </w:sdtContent>
    </w:sdt>
    <w:p w14:paraId="60BBB75D">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1"/>
          <w:szCs w:val="28"/>
          <w:highlight w:val="none"/>
          <w:lang w:val="en-US" w:eastAsia="en-US" w:bidi="ar-SA"/>
        </w:rPr>
      </w:pPr>
    </w:p>
    <w:p w14:paraId="04DE17E7">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8"/>
          <w:szCs w:val="28"/>
          <w:highlight w:val="none"/>
          <w:lang w:val="en-US" w:eastAsia="en-US" w:bidi="ar-SA"/>
        </w:rPr>
      </w:pPr>
    </w:p>
    <w:p w14:paraId="4538CAB4">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8"/>
          <w:szCs w:val="28"/>
          <w:highlight w:val="none"/>
          <w:lang w:val="en-US" w:eastAsia="en-US" w:bidi="ar-SA"/>
        </w:rPr>
      </w:pPr>
    </w:p>
    <w:p w14:paraId="0805D3F2">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8"/>
          <w:szCs w:val="28"/>
          <w:highlight w:val="none"/>
          <w:lang w:val="en-US" w:eastAsia="en-US" w:bidi="ar-SA"/>
        </w:rPr>
      </w:pPr>
    </w:p>
    <w:p w14:paraId="1F7856B1">
      <w:pPr>
        <w:keepNext w:val="0"/>
        <w:keepLines w:val="0"/>
        <w:pageBreakBefore w:val="0"/>
        <w:widowControl w:val="0"/>
        <w:kinsoku/>
        <w:wordWrap w:val="0"/>
        <w:overflowPunct w:val="0"/>
        <w:topLinePunct/>
        <w:autoSpaceDE/>
        <w:autoSpaceDN/>
        <w:bidi w:val="0"/>
        <w:adjustRightInd/>
        <w:snapToGrid/>
        <w:spacing w:line="360" w:lineRule="auto"/>
        <w:ind w:left="0" w:right="0" w:firstLine="703" w:firstLineChars="200"/>
        <w:jc w:val="left"/>
        <w:textAlignment w:val="auto"/>
        <w:outlineLvl w:val="9"/>
        <w:rPr>
          <w:rFonts w:hint="eastAsia" w:asciiTheme="minorEastAsia" w:hAnsiTheme="minorEastAsia" w:eastAsiaTheme="minorEastAsia" w:cstheme="minorEastAsia"/>
          <w:b/>
          <w:bCs/>
          <w:spacing w:val="0"/>
          <w:position w:val="0"/>
          <w:sz w:val="35"/>
          <w:szCs w:val="35"/>
          <w:highlight w:val="none"/>
        </w:rPr>
      </w:pPr>
    </w:p>
    <w:p w14:paraId="5796BE8D">
      <w:pPr>
        <w:keepNext w:val="0"/>
        <w:keepLines w:val="0"/>
        <w:pageBreakBefore w:val="0"/>
        <w:widowControl w:val="0"/>
        <w:kinsoku/>
        <w:wordWrap w:val="0"/>
        <w:overflowPunct w:val="0"/>
        <w:topLinePunct/>
        <w:autoSpaceDE/>
        <w:autoSpaceDN/>
        <w:bidi w:val="0"/>
        <w:adjustRightInd/>
        <w:snapToGrid/>
        <w:spacing w:line="360" w:lineRule="auto"/>
        <w:ind w:left="0" w:right="0" w:firstLine="703" w:firstLineChars="200"/>
        <w:jc w:val="left"/>
        <w:textAlignment w:val="auto"/>
        <w:outlineLvl w:val="9"/>
        <w:rPr>
          <w:rFonts w:hint="eastAsia" w:asciiTheme="minorEastAsia" w:hAnsiTheme="minorEastAsia" w:eastAsiaTheme="minorEastAsia" w:cstheme="minorEastAsia"/>
          <w:b/>
          <w:bCs/>
          <w:spacing w:val="0"/>
          <w:position w:val="0"/>
          <w:sz w:val="35"/>
          <w:szCs w:val="35"/>
          <w:highlight w:val="none"/>
        </w:rPr>
      </w:pPr>
    </w:p>
    <w:p w14:paraId="432C8B4B">
      <w:pPr>
        <w:keepNext w:val="0"/>
        <w:keepLines w:val="0"/>
        <w:pageBreakBefore w:val="0"/>
        <w:widowControl w:val="0"/>
        <w:kinsoku/>
        <w:wordWrap w:val="0"/>
        <w:overflowPunct w:val="0"/>
        <w:topLinePunct/>
        <w:autoSpaceDE/>
        <w:autoSpaceDN/>
        <w:bidi w:val="0"/>
        <w:adjustRightInd/>
        <w:snapToGrid/>
        <w:spacing w:line="360" w:lineRule="auto"/>
        <w:ind w:left="0" w:right="0" w:firstLine="703" w:firstLineChars="200"/>
        <w:jc w:val="left"/>
        <w:textAlignment w:val="auto"/>
        <w:outlineLvl w:val="9"/>
        <w:rPr>
          <w:rFonts w:hint="eastAsia" w:asciiTheme="minorEastAsia" w:hAnsiTheme="minorEastAsia" w:eastAsiaTheme="minorEastAsia" w:cstheme="minorEastAsia"/>
          <w:b/>
          <w:bCs/>
          <w:spacing w:val="0"/>
          <w:position w:val="0"/>
          <w:sz w:val="35"/>
          <w:szCs w:val="35"/>
          <w:highlight w:val="none"/>
        </w:rPr>
      </w:pPr>
    </w:p>
    <w:p w14:paraId="6E81B7DF">
      <w:pPr>
        <w:keepNext w:val="0"/>
        <w:keepLines w:val="0"/>
        <w:pageBreakBefore w:val="0"/>
        <w:widowControl w:val="0"/>
        <w:kinsoku/>
        <w:wordWrap w:val="0"/>
        <w:overflowPunct w:val="0"/>
        <w:topLinePunct/>
        <w:autoSpaceDE/>
        <w:autoSpaceDN/>
        <w:bidi w:val="0"/>
        <w:adjustRightInd/>
        <w:snapToGrid/>
        <w:spacing w:line="360" w:lineRule="auto"/>
        <w:ind w:left="0" w:right="0" w:firstLine="703" w:firstLineChars="200"/>
        <w:jc w:val="left"/>
        <w:textAlignment w:val="auto"/>
        <w:outlineLvl w:val="9"/>
        <w:rPr>
          <w:rFonts w:hint="eastAsia" w:asciiTheme="minorEastAsia" w:hAnsiTheme="minorEastAsia" w:eastAsiaTheme="minorEastAsia" w:cstheme="minorEastAsia"/>
          <w:b/>
          <w:bCs/>
          <w:spacing w:val="0"/>
          <w:position w:val="0"/>
          <w:sz w:val="35"/>
          <w:szCs w:val="35"/>
          <w:highlight w:val="none"/>
        </w:rPr>
      </w:pPr>
    </w:p>
    <w:p w14:paraId="65F12351">
      <w:pPr>
        <w:keepNext w:val="0"/>
        <w:keepLines w:val="0"/>
        <w:pageBreakBefore w:val="0"/>
        <w:widowControl w:val="0"/>
        <w:kinsoku/>
        <w:wordWrap w:val="0"/>
        <w:overflowPunct w:val="0"/>
        <w:topLinePunct/>
        <w:autoSpaceDE/>
        <w:autoSpaceDN/>
        <w:bidi w:val="0"/>
        <w:adjustRightInd/>
        <w:snapToGrid/>
        <w:spacing w:line="360" w:lineRule="auto"/>
        <w:ind w:left="0" w:right="0" w:firstLine="703" w:firstLineChars="200"/>
        <w:jc w:val="left"/>
        <w:textAlignment w:val="auto"/>
        <w:outlineLvl w:val="9"/>
        <w:rPr>
          <w:rFonts w:hint="eastAsia" w:asciiTheme="minorEastAsia" w:hAnsiTheme="minorEastAsia" w:eastAsiaTheme="minorEastAsia" w:cstheme="minorEastAsia"/>
          <w:b/>
          <w:bCs/>
          <w:spacing w:val="0"/>
          <w:position w:val="0"/>
          <w:sz w:val="35"/>
          <w:szCs w:val="35"/>
          <w:highlight w:val="none"/>
        </w:rPr>
      </w:pPr>
    </w:p>
    <w:p w14:paraId="6E880AC3">
      <w:pPr>
        <w:keepNext w:val="0"/>
        <w:keepLines w:val="0"/>
        <w:pageBreakBefore w:val="0"/>
        <w:widowControl w:val="0"/>
        <w:kinsoku/>
        <w:wordWrap w:val="0"/>
        <w:overflowPunct w:val="0"/>
        <w:topLinePunct/>
        <w:autoSpaceDE/>
        <w:autoSpaceDN/>
        <w:bidi w:val="0"/>
        <w:adjustRightInd/>
        <w:snapToGrid/>
        <w:spacing w:line="360" w:lineRule="auto"/>
        <w:ind w:left="0" w:right="0" w:firstLine="703" w:firstLineChars="200"/>
        <w:jc w:val="left"/>
        <w:textAlignment w:val="auto"/>
        <w:outlineLvl w:val="9"/>
        <w:rPr>
          <w:rFonts w:hint="eastAsia" w:asciiTheme="minorEastAsia" w:hAnsiTheme="minorEastAsia" w:eastAsiaTheme="minorEastAsia" w:cstheme="minorEastAsia"/>
          <w:b/>
          <w:bCs/>
          <w:spacing w:val="0"/>
          <w:position w:val="0"/>
          <w:sz w:val="35"/>
          <w:szCs w:val="35"/>
          <w:highlight w:val="none"/>
        </w:rPr>
      </w:pPr>
    </w:p>
    <w:p w14:paraId="399F1359">
      <w:pPr>
        <w:keepNext w:val="0"/>
        <w:keepLines w:val="0"/>
        <w:pageBreakBefore w:val="0"/>
        <w:widowControl w:val="0"/>
        <w:kinsoku/>
        <w:wordWrap w:val="0"/>
        <w:overflowPunct w:val="0"/>
        <w:topLinePunct/>
        <w:autoSpaceDE/>
        <w:autoSpaceDN/>
        <w:bidi w:val="0"/>
        <w:adjustRightInd/>
        <w:snapToGrid/>
        <w:spacing w:line="360" w:lineRule="auto"/>
        <w:ind w:left="0" w:right="0" w:firstLine="703" w:firstLineChars="200"/>
        <w:jc w:val="left"/>
        <w:textAlignment w:val="auto"/>
        <w:outlineLvl w:val="9"/>
        <w:rPr>
          <w:rFonts w:hint="eastAsia" w:asciiTheme="minorEastAsia" w:hAnsiTheme="minorEastAsia" w:eastAsiaTheme="minorEastAsia" w:cstheme="minorEastAsia"/>
          <w:b/>
          <w:bCs/>
          <w:spacing w:val="0"/>
          <w:position w:val="0"/>
          <w:sz w:val="35"/>
          <w:szCs w:val="35"/>
          <w:highlight w:val="none"/>
        </w:rPr>
      </w:pPr>
    </w:p>
    <w:p w14:paraId="374BBDFD">
      <w:pPr>
        <w:keepNext w:val="0"/>
        <w:keepLines w:val="0"/>
        <w:pageBreakBefore w:val="0"/>
        <w:widowControl w:val="0"/>
        <w:kinsoku/>
        <w:wordWrap w:val="0"/>
        <w:overflowPunct w:val="0"/>
        <w:topLinePunct/>
        <w:autoSpaceDE/>
        <w:autoSpaceDN/>
        <w:bidi w:val="0"/>
        <w:adjustRightInd/>
        <w:snapToGrid/>
        <w:spacing w:line="360" w:lineRule="auto"/>
        <w:ind w:left="0" w:right="0" w:firstLine="703" w:firstLineChars="200"/>
        <w:jc w:val="left"/>
        <w:textAlignment w:val="auto"/>
        <w:outlineLvl w:val="9"/>
        <w:rPr>
          <w:rFonts w:hint="eastAsia" w:asciiTheme="minorEastAsia" w:hAnsiTheme="minorEastAsia" w:eastAsiaTheme="minorEastAsia" w:cstheme="minorEastAsia"/>
          <w:b/>
          <w:bCs/>
          <w:spacing w:val="0"/>
          <w:position w:val="0"/>
          <w:sz w:val="35"/>
          <w:szCs w:val="35"/>
          <w:highlight w:val="none"/>
        </w:rPr>
      </w:pPr>
    </w:p>
    <w:p w14:paraId="239A0F02">
      <w:pPr>
        <w:keepNext w:val="0"/>
        <w:keepLines w:val="0"/>
        <w:pageBreakBefore w:val="0"/>
        <w:widowControl w:val="0"/>
        <w:kinsoku/>
        <w:wordWrap w:val="0"/>
        <w:overflowPunct w:val="0"/>
        <w:topLinePunct/>
        <w:autoSpaceDE/>
        <w:autoSpaceDN/>
        <w:bidi w:val="0"/>
        <w:adjustRightInd/>
        <w:snapToGrid/>
        <w:spacing w:line="360" w:lineRule="auto"/>
        <w:ind w:left="0" w:right="0" w:firstLine="703" w:firstLineChars="200"/>
        <w:jc w:val="left"/>
        <w:textAlignment w:val="auto"/>
        <w:outlineLvl w:val="9"/>
        <w:rPr>
          <w:rFonts w:hint="eastAsia" w:asciiTheme="minorEastAsia" w:hAnsiTheme="minorEastAsia" w:eastAsiaTheme="minorEastAsia" w:cstheme="minorEastAsia"/>
          <w:b/>
          <w:bCs/>
          <w:spacing w:val="0"/>
          <w:position w:val="0"/>
          <w:sz w:val="35"/>
          <w:szCs w:val="35"/>
          <w:highlight w:val="none"/>
        </w:rPr>
      </w:pPr>
    </w:p>
    <w:p w14:paraId="27E89A1D">
      <w:pPr>
        <w:keepNext w:val="0"/>
        <w:keepLines w:val="0"/>
        <w:pageBreakBefore w:val="0"/>
        <w:widowControl w:val="0"/>
        <w:numPr>
          <w:ilvl w:val="0"/>
          <w:numId w:val="0"/>
        </w:numPr>
        <w:kinsoku/>
        <w:wordWrap w:val="0"/>
        <w:overflowPunct w:val="0"/>
        <w:topLinePunct/>
        <w:autoSpaceDE/>
        <w:autoSpaceDN/>
        <w:bidi w:val="0"/>
        <w:adjustRightInd/>
        <w:snapToGrid/>
        <w:spacing w:before="0" w:beforeLines="0" w:after="0" w:afterLines="0" w:line="360" w:lineRule="auto"/>
        <w:ind w:right="0" w:rightChars="0"/>
        <w:jc w:val="both"/>
        <w:textAlignment w:val="auto"/>
        <w:outlineLvl w:val="9"/>
        <w:rPr>
          <w:rFonts w:hint="eastAsia"/>
          <w:b/>
          <w:bCs/>
          <w:sz w:val="28"/>
          <w:szCs w:val="28"/>
          <w:highlight w:val="none"/>
        </w:rPr>
        <w:sectPr>
          <w:headerReference r:id="rId5" w:type="default"/>
          <w:footerReference r:id="rId6" w:type="default"/>
          <w:pgSz w:w="11905" w:h="16837"/>
          <w:pgMar w:top="1440" w:right="1080" w:bottom="1440" w:left="1080" w:header="17" w:footer="640" w:gutter="0"/>
          <w:pgBorders>
            <w:top w:val="none" w:sz="0" w:space="0"/>
            <w:left w:val="none" w:sz="0" w:space="0"/>
            <w:bottom w:val="none" w:sz="0" w:space="0"/>
            <w:right w:val="none" w:sz="0" w:space="0"/>
          </w:pgBorders>
          <w:pgNumType w:fmt="decimal"/>
          <w:cols w:space="720" w:num="1"/>
          <w:rtlGutter w:val="0"/>
        </w:sectPr>
      </w:pPr>
    </w:p>
    <w:p w14:paraId="66969F4E">
      <w:pPr>
        <w:pStyle w:val="2"/>
        <w:bidi w:val="0"/>
        <w:rPr>
          <w:rFonts w:hint="eastAsia"/>
          <w:highlight w:val="none"/>
        </w:rPr>
      </w:pPr>
      <w:bookmarkStart w:id="2" w:name="_Toc168"/>
      <w:r>
        <w:rPr>
          <w:rFonts w:hint="eastAsia"/>
          <w:highlight w:val="none"/>
          <w:lang w:val="en-US" w:eastAsia="en-US"/>
        </w:rPr>
        <w:t>第一章</w:t>
      </w:r>
      <w:r>
        <w:rPr>
          <w:rFonts w:hint="eastAsia"/>
          <w:highlight w:val="none"/>
          <w:lang w:val="en-US" w:eastAsia="zh-CN"/>
        </w:rPr>
        <w:t xml:space="preserve"> </w:t>
      </w:r>
      <w:r>
        <w:rPr>
          <w:rFonts w:hint="eastAsia"/>
          <w:highlight w:val="none"/>
        </w:rPr>
        <w:t>谈判公告</w:t>
      </w:r>
      <w:bookmarkEnd w:id="2"/>
    </w:p>
    <w:p w14:paraId="2800D914">
      <w:pPr>
        <w:keepNext w:val="0"/>
        <w:keepLines w:val="0"/>
        <w:pageBreakBefore w:val="0"/>
        <w:widowControl w:val="0"/>
        <w:numPr>
          <w:ilvl w:val="0"/>
          <w:numId w:val="0"/>
        </w:numPr>
        <w:kinsoku/>
        <w:wordWrap w:val="0"/>
        <w:overflowPunct w:val="0"/>
        <w:topLinePunct/>
        <w:autoSpaceDE/>
        <w:autoSpaceDN/>
        <w:bidi w:val="0"/>
        <w:adjustRightInd/>
        <w:snapToGrid/>
        <w:spacing w:before="0" w:beforeLines="0" w:after="0" w:afterLines="0" w:line="360" w:lineRule="auto"/>
        <w:ind w:right="0" w:rightChars="0"/>
        <w:jc w:val="center"/>
        <w:textAlignment w:val="auto"/>
        <w:outlineLvl w:val="9"/>
        <w:rPr>
          <w:rFonts w:hint="eastAsia" w:ascii="宋体" w:hAnsi="宋体" w:eastAsia="宋体" w:cs="宋体"/>
          <w:b/>
          <w:bCs/>
          <w:color w:val="auto"/>
          <w:spacing w:val="0"/>
          <w:position w:val="0"/>
          <w:sz w:val="24"/>
          <w:szCs w:val="24"/>
          <w:highlight w:val="none"/>
          <w:lang w:val="zh-CN" w:eastAsia="zh-CN"/>
        </w:rPr>
      </w:pPr>
      <w:r>
        <w:rPr>
          <w:rFonts w:hint="eastAsia" w:ascii="宋体" w:hAnsi="宋体" w:eastAsia="宋体" w:cs="宋体"/>
          <w:b/>
          <w:bCs/>
          <w:color w:val="auto"/>
          <w:spacing w:val="0"/>
          <w:position w:val="0"/>
          <w:sz w:val="24"/>
          <w:szCs w:val="24"/>
          <w:highlight w:val="none"/>
          <w:lang w:val="zh-CN"/>
        </w:rPr>
        <w:t>汤阴县农业农村局2026年秋粮防灾减灾项目</w:t>
      </w:r>
      <w:r>
        <w:rPr>
          <w:rFonts w:hint="eastAsia" w:ascii="宋体" w:hAnsi="宋体" w:eastAsia="宋体" w:cs="宋体"/>
          <w:b/>
          <w:bCs/>
          <w:color w:val="auto"/>
          <w:spacing w:val="0"/>
          <w:position w:val="0"/>
          <w:sz w:val="24"/>
          <w:szCs w:val="24"/>
          <w:highlight w:val="none"/>
          <w:lang w:val="en-US" w:eastAsia="zh-CN"/>
        </w:rPr>
        <w:t>三次</w:t>
      </w:r>
    </w:p>
    <w:p w14:paraId="5FA09621">
      <w:pPr>
        <w:keepNext w:val="0"/>
        <w:keepLines w:val="0"/>
        <w:pageBreakBefore w:val="0"/>
        <w:widowControl w:val="0"/>
        <w:numPr>
          <w:ilvl w:val="0"/>
          <w:numId w:val="0"/>
        </w:numPr>
        <w:kinsoku/>
        <w:wordWrap w:val="0"/>
        <w:overflowPunct w:val="0"/>
        <w:topLinePunct/>
        <w:autoSpaceDE/>
        <w:autoSpaceDN/>
        <w:bidi w:val="0"/>
        <w:adjustRightInd/>
        <w:snapToGrid/>
        <w:spacing w:before="0" w:beforeLines="0" w:after="0" w:afterLines="0" w:line="360" w:lineRule="auto"/>
        <w:ind w:right="0" w:rightChars="0"/>
        <w:jc w:val="center"/>
        <w:textAlignment w:val="auto"/>
        <w:outlineLvl w:val="9"/>
        <w:rPr>
          <w:rFonts w:hint="eastAsia" w:ascii="宋体" w:hAnsi="宋体" w:eastAsia="宋体" w:cs="宋体"/>
          <w:b/>
          <w:bCs/>
          <w:color w:val="auto"/>
          <w:spacing w:val="0"/>
          <w:position w:val="0"/>
          <w:sz w:val="24"/>
          <w:szCs w:val="24"/>
          <w:highlight w:val="none"/>
          <w:lang w:val="zh-CN"/>
        </w:rPr>
      </w:pPr>
      <w:r>
        <w:rPr>
          <w:rFonts w:hint="eastAsia" w:ascii="宋体" w:hAnsi="宋体" w:eastAsia="宋体" w:cs="宋体"/>
          <w:b/>
          <w:bCs/>
          <w:sz w:val="24"/>
          <w:szCs w:val="24"/>
          <w:highlight w:val="none"/>
        </w:rPr>
        <w:t>谈判公告</w:t>
      </w:r>
    </w:p>
    <w:p w14:paraId="1197469F">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一、项目基本情况</w:t>
      </w:r>
    </w:p>
    <w:p w14:paraId="34A85FA9">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lang w:val="en-US" w:eastAsia="zh-CN"/>
        </w:rPr>
      </w:pPr>
      <w:r>
        <w:rPr>
          <w:rFonts w:hint="eastAsia" w:asciiTheme="minorEastAsia" w:hAnsiTheme="minorEastAsia" w:eastAsiaTheme="minorEastAsia" w:cstheme="minorEastAsia"/>
          <w:color w:val="auto"/>
          <w:spacing w:val="0"/>
          <w:position w:val="0"/>
          <w:sz w:val="24"/>
          <w:szCs w:val="24"/>
          <w:highlight w:val="none"/>
        </w:rPr>
        <w:t>1</w:t>
      </w:r>
      <w:r>
        <w:rPr>
          <w:rFonts w:hint="eastAsia" w:asciiTheme="minorEastAsia" w:hAnsiTheme="minorEastAsia" w:eastAsiaTheme="minorEastAsia" w:cstheme="minorEastAsia"/>
          <w:color w:val="auto"/>
          <w:spacing w:val="0"/>
          <w:position w:val="0"/>
          <w:sz w:val="24"/>
          <w:szCs w:val="24"/>
          <w:highlight w:val="none"/>
          <w:lang w:eastAsia="zh-CN"/>
        </w:rPr>
        <w:t>、</w:t>
      </w:r>
      <w:r>
        <w:rPr>
          <w:rFonts w:hint="eastAsia" w:asciiTheme="minorEastAsia" w:hAnsiTheme="minorEastAsia" w:eastAsiaTheme="minorEastAsia" w:cstheme="minorEastAsia"/>
          <w:color w:val="auto"/>
          <w:spacing w:val="0"/>
          <w:position w:val="0"/>
          <w:sz w:val="24"/>
          <w:szCs w:val="24"/>
          <w:highlight w:val="none"/>
        </w:rPr>
        <w:t>项目编号：</w:t>
      </w:r>
      <w:r>
        <w:rPr>
          <w:rFonts w:hint="eastAsia" w:asciiTheme="minorEastAsia" w:hAnsiTheme="minorEastAsia" w:eastAsiaTheme="minorEastAsia" w:cstheme="minorEastAsia"/>
          <w:color w:val="auto"/>
          <w:spacing w:val="0"/>
          <w:position w:val="0"/>
          <w:sz w:val="24"/>
          <w:szCs w:val="24"/>
          <w:highlight w:val="none"/>
          <w:lang w:eastAsia="zh-CN"/>
        </w:rPr>
        <w:t>安汤竞谈采购-2026-14</w:t>
      </w:r>
    </w:p>
    <w:p w14:paraId="71746531">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lang w:eastAsia="zh-CN"/>
        </w:rPr>
      </w:pPr>
      <w:r>
        <w:rPr>
          <w:rFonts w:hint="eastAsia" w:asciiTheme="minorEastAsia" w:hAnsiTheme="minorEastAsia" w:eastAsiaTheme="minorEastAsia" w:cstheme="minorEastAsia"/>
          <w:color w:val="auto"/>
          <w:spacing w:val="0"/>
          <w:position w:val="0"/>
          <w:sz w:val="24"/>
          <w:szCs w:val="24"/>
          <w:highlight w:val="none"/>
          <w:lang w:val="en-US" w:eastAsia="zh-CN"/>
        </w:rPr>
        <w:t>2、</w:t>
      </w:r>
      <w:r>
        <w:rPr>
          <w:rFonts w:hint="eastAsia" w:asciiTheme="minorEastAsia" w:hAnsiTheme="minorEastAsia" w:eastAsiaTheme="minorEastAsia" w:cstheme="minorEastAsia"/>
          <w:color w:val="auto"/>
          <w:spacing w:val="0"/>
          <w:position w:val="0"/>
          <w:sz w:val="24"/>
          <w:szCs w:val="24"/>
          <w:highlight w:val="none"/>
        </w:rPr>
        <w:t>项目名称：</w:t>
      </w:r>
      <w:r>
        <w:rPr>
          <w:rFonts w:hint="eastAsia" w:asciiTheme="minorEastAsia" w:hAnsiTheme="minorEastAsia" w:eastAsiaTheme="minorEastAsia" w:cstheme="minorEastAsia"/>
          <w:color w:val="auto"/>
          <w:spacing w:val="0"/>
          <w:position w:val="0"/>
          <w:sz w:val="24"/>
          <w:szCs w:val="24"/>
          <w:highlight w:val="none"/>
          <w:lang w:val="zh-CN"/>
        </w:rPr>
        <w:t>汤阴县农业农村局2026年秋粮防灾减灾项目</w:t>
      </w:r>
      <w:r>
        <w:rPr>
          <w:rFonts w:hint="eastAsia" w:asciiTheme="minorEastAsia" w:hAnsiTheme="minorEastAsia" w:eastAsiaTheme="minorEastAsia" w:cstheme="minorEastAsia"/>
          <w:color w:val="auto"/>
          <w:spacing w:val="0"/>
          <w:position w:val="0"/>
          <w:sz w:val="24"/>
          <w:szCs w:val="24"/>
          <w:highlight w:val="none"/>
          <w:lang w:val="en-US" w:eastAsia="zh-CN"/>
        </w:rPr>
        <w:t>三次</w:t>
      </w:r>
    </w:p>
    <w:p w14:paraId="5CE491B9">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lang w:val="en-US" w:eastAsia="zh-CN"/>
        </w:rPr>
        <w:t>3、</w:t>
      </w:r>
      <w:r>
        <w:rPr>
          <w:rFonts w:hint="eastAsia" w:asciiTheme="minorEastAsia" w:hAnsiTheme="minorEastAsia" w:eastAsiaTheme="minorEastAsia" w:cstheme="minorEastAsia"/>
          <w:color w:val="auto"/>
          <w:spacing w:val="0"/>
          <w:position w:val="0"/>
          <w:sz w:val="24"/>
          <w:szCs w:val="24"/>
          <w:highlight w:val="none"/>
        </w:rPr>
        <w:t>采购方式：竞争性谈判</w:t>
      </w:r>
    </w:p>
    <w:p w14:paraId="2F42D920">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lang w:val="en-US" w:eastAsia="zh-CN"/>
        </w:rPr>
        <w:t>4、</w:t>
      </w:r>
      <w:r>
        <w:rPr>
          <w:rFonts w:hint="eastAsia" w:asciiTheme="minorEastAsia" w:hAnsiTheme="minorEastAsia" w:eastAsiaTheme="minorEastAsia" w:cstheme="minorEastAsia"/>
          <w:color w:val="auto"/>
          <w:spacing w:val="0"/>
          <w:position w:val="0"/>
          <w:sz w:val="24"/>
          <w:szCs w:val="24"/>
          <w:highlight w:val="none"/>
        </w:rPr>
        <w:t>预算金额：</w:t>
      </w:r>
      <w:r>
        <w:rPr>
          <w:rFonts w:hint="eastAsia" w:asciiTheme="minorEastAsia" w:hAnsiTheme="minorEastAsia" w:eastAsiaTheme="minorEastAsia" w:cstheme="minorEastAsia"/>
          <w:color w:val="auto"/>
          <w:spacing w:val="0"/>
          <w:position w:val="0"/>
          <w:sz w:val="24"/>
          <w:szCs w:val="24"/>
          <w:highlight w:val="none"/>
          <w:lang w:val="en-US" w:eastAsia="zh-CN"/>
        </w:rPr>
        <w:t>590000</w:t>
      </w:r>
      <w:r>
        <w:rPr>
          <w:rFonts w:hint="eastAsia" w:asciiTheme="minorEastAsia" w:hAnsiTheme="minorEastAsia" w:eastAsiaTheme="minorEastAsia" w:cstheme="minorEastAsia"/>
          <w:color w:val="auto"/>
          <w:spacing w:val="0"/>
          <w:position w:val="0"/>
          <w:sz w:val="24"/>
          <w:szCs w:val="24"/>
          <w:highlight w:val="none"/>
        </w:rPr>
        <w:t>元</w:t>
      </w:r>
    </w:p>
    <w:p w14:paraId="77CE48CE">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最高限价：</w:t>
      </w:r>
      <w:r>
        <w:rPr>
          <w:rFonts w:hint="eastAsia" w:asciiTheme="minorEastAsia" w:hAnsiTheme="minorEastAsia" w:eastAsiaTheme="minorEastAsia" w:cstheme="minorEastAsia"/>
          <w:color w:val="auto"/>
          <w:spacing w:val="0"/>
          <w:position w:val="0"/>
          <w:sz w:val="24"/>
          <w:szCs w:val="24"/>
          <w:highlight w:val="none"/>
          <w:lang w:val="en-US" w:eastAsia="zh-CN"/>
        </w:rPr>
        <w:t>590000</w:t>
      </w:r>
      <w:r>
        <w:rPr>
          <w:rFonts w:hint="eastAsia" w:asciiTheme="minorEastAsia" w:hAnsiTheme="minorEastAsia" w:eastAsiaTheme="minorEastAsia" w:cstheme="minorEastAsia"/>
          <w:color w:val="auto"/>
          <w:spacing w:val="0"/>
          <w:position w:val="0"/>
          <w:sz w:val="24"/>
          <w:szCs w:val="24"/>
          <w:highlight w:val="none"/>
        </w:rPr>
        <w:t>元</w:t>
      </w:r>
    </w:p>
    <w:tbl>
      <w:tblPr>
        <w:tblStyle w:val="18"/>
        <w:tblW w:w="9678" w:type="dxa"/>
        <w:tblInd w:w="2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624"/>
        <w:gridCol w:w="3625"/>
        <w:gridCol w:w="1675"/>
        <w:gridCol w:w="1957"/>
      </w:tblGrid>
      <w:tr w14:paraId="6746A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797" w:type="dxa"/>
            <w:vAlign w:val="center"/>
          </w:tcPr>
          <w:p w14:paraId="5A24390A">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lang w:val="en-US" w:eastAsia="zh-CN"/>
              </w:rPr>
            </w:pPr>
            <w:r>
              <w:rPr>
                <w:rFonts w:hint="eastAsia" w:asciiTheme="minorEastAsia" w:hAnsiTheme="minorEastAsia" w:eastAsiaTheme="minorEastAsia" w:cstheme="minorEastAsia"/>
                <w:color w:val="auto"/>
                <w:spacing w:val="0"/>
                <w:position w:val="0"/>
                <w:sz w:val="24"/>
                <w:szCs w:val="24"/>
                <w:highlight w:val="none"/>
                <w:lang w:val="en-US" w:eastAsia="zh-CN"/>
              </w:rPr>
              <w:t>序号</w:t>
            </w:r>
          </w:p>
        </w:tc>
        <w:tc>
          <w:tcPr>
            <w:tcW w:w="1624" w:type="dxa"/>
            <w:vAlign w:val="center"/>
          </w:tcPr>
          <w:p w14:paraId="24B52FED">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包号</w:t>
            </w:r>
          </w:p>
        </w:tc>
        <w:tc>
          <w:tcPr>
            <w:tcW w:w="3625" w:type="dxa"/>
            <w:vAlign w:val="center"/>
          </w:tcPr>
          <w:p w14:paraId="6798C747">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包名称</w:t>
            </w:r>
          </w:p>
        </w:tc>
        <w:tc>
          <w:tcPr>
            <w:tcW w:w="1675" w:type="dxa"/>
            <w:vAlign w:val="center"/>
          </w:tcPr>
          <w:p w14:paraId="476B289A">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包预算（元）</w:t>
            </w:r>
          </w:p>
        </w:tc>
        <w:tc>
          <w:tcPr>
            <w:tcW w:w="1957" w:type="dxa"/>
            <w:vAlign w:val="center"/>
          </w:tcPr>
          <w:p w14:paraId="2B2F8A34">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包最高限价（元）</w:t>
            </w:r>
          </w:p>
        </w:tc>
      </w:tr>
      <w:tr w14:paraId="16948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797" w:type="dxa"/>
            <w:vAlign w:val="center"/>
          </w:tcPr>
          <w:p w14:paraId="21CD9278">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1</w:t>
            </w:r>
          </w:p>
        </w:tc>
        <w:tc>
          <w:tcPr>
            <w:tcW w:w="1624" w:type="dxa"/>
            <w:vAlign w:val="center"/>
          </w:tcPr>
          <w:p w14:paraId="4BFA34CC">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default" w:asciiTheme="minorEastAsia" w:hAnsiTheme="minorEastAsia" w:eastAsiaTheme="minorEastAsia" w:cstheme="minorEastAsia"/>
                <w:color w:val="auto"/>
                <w:spacing w:val="0"/>
                <w:position w:val="0"/>
                <w:sz w:val="24"/>
                <w:szCs w:val="24"/>
                <w:highlight w:val="none"/>
                <w:lang w:val="en-US" w:eastAsia="zh-CN"/>
              </w:rPr>
            </w:pPr>
            <w:r>
              <w:rPr>
                <w:rFonts w:hint="eastAsia" w:asciiTheme="minorEastAsia" w:hAnsiTheme="minorEastAsia" w:eastAsiaTheme="minorEastAsia" w:cstheme="minorEastAsia"/>
                <w:color w:val="auto"/>
                <w:spacing w:val="0"/>
                <w:position w:val="0"/>
                <w:sz w:val="24"/>
                <w:szCs w:val="24"/>
                <w:highlight w:val="none"/>
                <w:lang w:eastAsia="zh-CN"/>
              </w:rPr>
              <w:t>安汤竞谈采购-2026-14</w:t>
            </w:r>
            <w:r>
              <w:rPr>
                <w:rFonts w:hint="eastAsia" w:asciiTheme="minorEastAsia" w:hAnsiTheme="minorEastAsia" w:eastAsiaTheme="minorEastAsia" w:cstheme="minorEastAsia"/>
                <w:color w:val="auto"/>
                <w:spacing w:val="0"/>
                <w:position w:val="0"/>
                <w:sz w:val="24"/>
                <w:szCs w:val="24"/>
                <w:highlight w:val="none"/>
                <w:lang w:val="en-US" w:eastAsia="zh-CN"/>
              </w:rPr>
              <w:t>-1</w:t>
            </w:r>
          </w:p>
        </w:tc>
        <w:tc>
          <w:tcPr>
            <w:tcW w:w="3625" w:type="dxa"/>
            <w:vAlign w:val="center"/>
          </w:tcPr>
          <w:p w14:paraId="195A0AC7">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lang w:val="zh-CN"/>
              </w:rPr>
              <w:t>汤阴县农业农村局2026年秋粮防灾减灾项目</w:t>
            </w:r>
            <w:r>
              <w:rPr>
                <w:rFonts w:hint="eastAsia" w:asciiTheme="minorEastAsia" w:hAnsiTheme="minorEastAsia" w:eastAsiaTheme="minorEastAsia" w:cstheme="minorEastAsia"/>
                <w:color w:val="auto"/>
                <w:spacing w:val="0"/>
                <w:position w:val="0"/>
                <w:sz w:val="24"/>
                <w:szCs w:val="24"/>
                <w:highlight w:val="none"/>
                <w:lang w:val="en-US" w:eastAsia="zh-CN"/>
              </w:rPr>
              <w:t>三</w:t>
            </w:r>
            <w:r>
              <w:rPr>
                <w:rFonts w:hint="eastAsia" w:asciiTheme="minorEastAsia" w:hAnsiTheme="minorEastAsia" w:eastAsiaTheme="minorEastAsia" w:cstheme="minorEastAsia"/>
                <w:color w:val="auto"/>
                <w:spacing w:val="0"/>
                <w:position w:val="0"/>
                <w:sz w:val="24"/>
                <w:szCs w:val="24"/>
                <w:highlight w:val="none"/>
                <w:lang w:val="zh-CN"/>
              </w:rPr>
              <w:t>次</w:t>
            </w:r>
          </w:p>
        </w:tc>
        <w:tc>
          <w:tcPr>
            <w:tcW w:w="1675" w:type="dxa"/>
            <w:vAlign w:val="center"/>
          </w:tcPr>
          <w:p w14:paraId="5B449F84">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default" w:asciiTheme="minorEastAsia" w:hAnsiTheme="minorEastAsia" w:eastAsiaTheme="minorEastAsia" w:cstheme="minorEastAsia"/>
                <w:color w:val="auto"/>
                <w:spacing w:val="0"/>
                <w:position w:val="0"/>
                <w:sz w:val="24"/>
                <w:szCs w:val="24"/>
                <w:highlight w:val="none"/>
                <w:lang w:val="en-US" w:eastAsia="zh-CN"/>
              </w:rPr>
            </w:pPr>
            <w:r>
              <w:rPr>
                <w:rFonts w:hint="eastAsia" w:asciiTheme="minorEastAsia" w:hAnsiTheme="minorEastAsia" w:eastAsiaTheme="minorEastAsia" w:cstheme="minorEastAsia"/>
                <w:color w:val="auto"/>
                <w:spacing w:val="0"/>
                <w:position w:val="0"/>
                <w:sz w:val="24"/>
                <w:szCs w:val="24"/>
                <w:highlight w:val="none"/>
                <w:lang w:val="en-US" w:eastAsia="zh-CN"/>
              </w:rPr>
              <w:t>590000</w:t>
            </w:r>
          </w:p>
        </w:tc>
        <w:tc>
          <w:tcPr>
            <w:tcW w:w="1957" w:type="dxa"/>
            <w:vAlign w:val="center"/>
          </w:tcPr>
          <w:p w14:paraId="0DB7306D">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lang w:val="en-US" w:eastAsia="zh-CN"/>
              </w:rPr>
              <w:t>590000</w:t>
            </w:r>
          </w:p>
        </w:tc>
      </w:tr>
    </w:tbl>
    <w:p w14:paraId="076C2F9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lang w:val="en-US" w:eastAsia="zh-CN"/>
        </w:rPr>
        <w:t>5、</w:t>
      </w:r>
      <w:r>
        <w:rPr>
          <w:rFonts w:hint="eastAsia" w:asciiTheme="minorEastAsia" w:hAnsiTheme="minorEastAsia" w:eastAsiaTheme="minorEastAsia" w:cstheme="minorEastAsia"/>
          <w:spacing w:val="0"/>
          <w:position w:val="0"/>
          <w:sz w:val="24"/>
          <w:szCs w:val="24"/>
          <w:highlight w:val="none"/>
        </w:rPr>
        <w:t>采购需求：（包括但不限于标的名称、数量、简要技术需求或服务要求等）</w:t>
      </w:r>
    </w:p>
    <w:p w14:paraId="5382DAC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lang w:val="en-US" w:eastAsia="zh-CN"/>
        </w:rPr>
        <w:t>1</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lang w:val="en-US" w:eastAsia="zh-CN"/>
        </w:rPr>
        <w:t>采购内容：汤阴县五陵镇等约</w:t>
      </w:r>
      <w:r>
        <w:rPr>
          <w:rFonts w:hint="eastAsia" w:ascii="宋体" w:hAnsi="宋体" w:eastAsia="宋体" w:cs="宋体"/>
          <w:color w:val="auto"/>
          <w:spacing w:val="0"/>
          <w:position w:val="0"/>
          <w:sz w:val="24"/>
          <w:szCs w:val="24"/>
          <w:highlight w:val="none"/>
          <w:lang w:val="en-US" w:eastAsia="zh-CN"/>
        </w:rPr>
        <w:t>4.53</w:t>
      </w:r>
      <w:r>
        <w:rPr>
          <w:rFonts w:hint="eastAsia" w:ascii="宋体" w:hAnsi="宋体" w:eastAsia="宋体" w:cs="宋体"/>
          <w:spacing w:val="0"/>
          <w:position w:val="0"/>
          <w:sz w:val="24"/>
          <w:szCs w:val="24"/>
          <w:highlight w:val="none"/>
          <w:lang w:val="en-US" w:eastAsia="zh-CN"/>
        </w:rPr>
        <w:t>万亩玉米喷施工作</w:t>
      </w:r>
      <w:r>
        <w:rPr>
          <w:rFonts w:hint="eastAsia" w:ascii="宋体" w:hAnsi="宋体" w:eastAsia="宋体" w:cs="宋体"/>
          <w:spacing w:val="0"/>
          <w:position w:val="0"/>
          <w:sz w:val="24"/>
          <w:szCs w:val="24"/>
          <w:highlight w:val="none"/>
          <w:lang w:eastAsia="zh-CN"/>
        </w:rPr>
        <w:t>（详见采购文件服务要求）</w:t>
      </w:r>
      <w:r>
        <w:rPr>
          <w:rFonts w:hint="eastAsia" w:ascii="宋体" w:hAnsi="宋体" w:eastAsia="宋体" w:cs="宋体"/>
          <w:spacing w:val="0"/>
          <w:position w:val="0"/>
          <w:sz w:val="24"/>
          <w:szCs w:val="24"/>
          <w:highlight w:val="none"/>
        </w:rPr>
        <w:t>。</w:t>
      </w:r>
    </w:p>
    <w:p w14:paraId="7B72FEA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（2）作业区域</w:t>
      </w:r>
      <w:r>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t>：</w:t>
      </w:r>
      <w:r>
        <w:rPr>
          <w:rFonts w:hint="eastAsia" w:ascii="宋体" w:hAnsi="宋体" w:eastAsia="宋体" w:cs="宋体"/>
          <w:spacing w:val="0"/>
          <w:position w:val="0"/>
          <w:sz w:val="24"/>
          <w:szCs w:val="24"/>
          <w:highlight w:val="none"/>
          <w:lang w:val="en-US" w:eastAsia="zh-CN"/>
        </w:rPr>
        <w:t>汤阴县五陵镇等</w:t>
      </w:r>
      <w:r>
        <w:rPr>
          <w:rFonts w:hint="eastAsia" w:asciiTheme="minorEastAsia" w:hAnsiTheme="minorEastAsia" w:eastAsiaTheme="minorEastAsia" w:cstheme="minorEastAsia"/>
          <w:color w:val="auto"/>
          <w:spacing w:val="0"/>
          <w:position w:val="0"/>
          <w:sz w:val="24"/>
          <w:szCs w:val="24"/>
          <w:highlight w:val="none"/>
          <w:shd w:val="clear" w:color="auto" w:fill="FFFFFF"/>
        </w:rPr>
        <w:t>，采购人指定区域内；</w:t>
      </w:r>
    </w:p>
    <w:p w14:paraId="6CE5D56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pPr>
      <w:r>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t>（3）作业时间：采购人指定时间，以采购人通知为准。</w:t>
      </w:r>
    </w:p>
    <w:p w14:paraId="2AE4E97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pPr>
      <w:r>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t>（4）防控对象：</w:t>
      </w:r>
      <w:r>
        <w:rPr>
          <w:rFonts w:hint="eastAsia" w:asciiTheme="minorEastAsia" w:hAnsiTheme="minorEastAsia" w:eastAsiaTheme="minorEastAsia" w:cstheme="minorEastAsia"/>
          <w:color w:val="auto"/>
          <w:spacing w:val="0"/>
          <w:position w:val="0"/>
          <w:sz w:val="24"/>
          <w:szCs w:val="24"/>
          <w:highlight w:val="none"/>
          <w:shd w:val="clear" w:color="auto" w:fill="FFFFFF"/>
          <w:lang w:val="en-US" w:eastAsia="zh-CN"/>
        </w:rPr>
        <w:t>秋季玉米。</w:t>
      </w:r>
    </w:p>
    <w:p w14:paraId="77B5908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pPr>
      <w:r>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t>（5）质量要求：满足采购人要求，达到国家相关执行标准。</w:t>
      </w:r>
    </w:p>
    <w:p w14:paraId="3D2014E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t>（6）包段划分：本次采购共</w:t>
      </w:r>
      <w:r>
        <w:rPr>
          <w:rFonts w:hint="eastAsia" w:asciiTheme="minorEastAsia" w:hAnsiTheme="minorEastAsia" w:eastAsiaTheme="minorEastAsia" w:cstheme="minorEastAsia"/>
          <w:color w:val="auto"/>
          <w:spacing w:val="0"/>
          <w:position w:val="0"/>
          <w:sz w:val="24"/>
          <w:szCs w:val="24"/>
          <w:highlight w:val="none"/>
          <w:shd w:val="clear" w:color="auto" w:fill="FFFFFF"/>
          <w:lang w:val="en-US" w:eastAsia="zh-CN"/>
        </w:rPr>
        <w:t>1</w:t>
      </w:r>
      <w:r>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t>个包段。</w:t>
      </w:r>
    </w:p>
    <w:p w14:paraId="3BE6858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000000" w:themeColor="text1"/>
          <w:spacing w:val="0"/>
          <w:position w:val="0"/>
          <w:sz w:val="24"/>
          <w:szCs w:val="24"/>
          <w:highlight w:val="none"/>
          <w:shd w:val="clear" w:color="auto" w:fill="FFFFFF"/>
          <w14:textFill>
            <w14:solidFill>
              <w14:schemeClr w14:val="tx1"/>
            </w14:solidFill>
          </w14:textFill>
        </w:rPr>
        <w:t>6</w:t>
      </w:r>
      <w:r>
        <w:rPr>
          <w:rFonts w:hint="eastAsia" w:asciiTheme="minorEastAsia" w:hAnsiTheme="minorEastAsia" w:eastAsiaTheme="minorEastAsia" w:cstheme="minorEastAsia"/>
          <w:color w:val="000000" w:themeColor="text1"/>
          <w:spacing w:val="0"/>
          <w:position w:val="0"/>
          <w:sz w:val="24"/>
          <w:szCs w:val="24"/>
          <w:highlight w:val="none"/>
          <w:shd w:val="clear" w:color="auto" w:fill="FFFFFF"/>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0"/>
          <w:position w:val="0"/>
          <w:sz w:val="24"/>
          <w:szCs w:val="24"/>
          <w:highlight w:val="none"/>
          <w:shd w:val="clear" w:color="auto" w:fill="FFFFFF"/>
          <w14:textFill>
            <w14:solidFill>
              <w14:schemeClr w14:val="tx1"/>
            </w14:solidFill>
          </w14:textFill>
        </w:rPr>
        <w:t>合同履行期限：接采购人通知后7日内完成（若因天气情况等非人为因素无法作业，可适当延长服务期）。</w:t>
      </w:r>
    </w:p>
    <w:p w14:paraId="0E85F55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7、本项目是否接受联合体投标：否</w:t>
      </w:r>
    </w:p>
    <w:p w14:paraId="26F8F25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8、是否接受进口产品：否</w:t>
      </w:r>
    </w:p>
    <w:p w14:paraId="412A86A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pPr>
      <w:r>
        <w:rPr>
          <w:rFonts w:hint="eastAsia" w:asciiTheme="minorEastAsia" w:hAnsiTheme="minorEastAsia" w:eastAsiaTheme="minorEastAsia" w:cstheme="minorEastAsia"/>
          <w:color w:val="auto"/>
          <w:spacing w:val="0"/>
          <w:position w:val="0"/>
          <w:sz w:val="24"/>
          <w:szCs w:val="24"/>
          <w:highlight w:val="none"/>
          <w:shd w:val="clear" w:color="auto" w:fill="FFFFFF"/>
        </w:rPr>
        <w:t>9、是否专门面向中小企业：</w:t>
      </w:r>
      <w:r>
        <w:rPr>
          <w:rFonts w:hint="eastAsia" w:asciiTheme="minorEastAsia" w:hAnsiTheme="minorEastAsia" w:eastAsiaTheme="minorEastAsia" w:cstheme="minorEastAsia"/>
          <w:color w:val="auto"/>
          <w:spacing w:val="0"/>
          <w:position w:val="0"/>
          <w:sz w:val="24"/>
          <w:szCs w:val="24"/>
          <w:highlight w:val="none"/>
          <w:shd w:val="clear" w:color="auto" w:fill="FFFFFF"/>
          <w:lang w:val="en-US" w:eastAsia="zh-CN"/>
        </w:rPr>
        <w:t>是</w:t>
      </w:r>
    </w:p>
    <w:p w14:paraId="4863D52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二、申请人的资格要求：</w:t>
      </w:r>
    </w:p>
    <w:p w14:paraId="1F75109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1、满足《中华人民共和国政府采购法》第二十二条规定；</w:t>
      </w:r>
    </w:p>
    <w:p w14:paraId="7F16B36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b/>
          <w:bCs/>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2、落实政府采购政策需满足的资格要求：</w:t>
      </w:r>
      <w:r>
        <w:rPr>
          <w:rFonts w:hint="eastAsia" w:asciiTheme="minorEastAsia" w:hAnsiTheme="minorEastAsia" w:eastAsiaTheme="minorEastAsia" w:cstheme="minorEastAsia"/>
          <w:b/>
          <w:bCs/>
          <w:color w:val="auto"/>
          <w:spacing w:val="0"/>
          <w:position w:val="0"/>
          <w:sz w:val="24"/>
          <w:szCs w:val="24"/>
          <w:highlight w:val="none"/>
          <w:shd w:val="clear" w:color="auto" w:fill="FFFFFF"/>
        </w:rPr>
        <w:t>本项目专门面向中小企业采购，不再执行价格评审优惠的扶持政策，供应商须在响应文件中提供《中小企业声明函》或《残疾人福利性单位声明函》。</w:t>
      </w:r>
    </w:p>
    <w:p w14:paraId="1BEC4FD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3、本项目的特定资格要求</w:t>
      </w:r>
    </w:p>
    <w:p w14:paraId="332F0C2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3.1 满足《中华人民共和国政府采购法》第二十二条第一款规定的供应商基础性资格要求；■供应商自行承诺并承担后果，承诺</w:t>
      </w:r>
      <w:r>
        <w:rPr>
          <w:rFonts w:hint="eastAsia" w:asciiTheme="minorEastAsia" w:hAnsiTheme="minorEastAsia" w:eastAsiaTheme="minorEastAsia" w:cstheme="minorEastAsia"/>
          <w:color w:val="auto"/>
          <w:spacing w:val="0"/>
          <w:position w:val="0"/>
          <w:sz w:val="24"/>
          <w:szCs w:val="24"/>
          <w:highlight w:val="none"/>
          <w:shd w:val="clear" w:color="auto" w:fill="FFFFFF"/>
          <w:lang w:val="en-US" w:eastAsia="zh-CN"/>
        </w:rPr>
        <w:t>内容</w:t>
      </w:r>
      <w:r>
        <w:rPr>
          <w:rFonts w:hint="eastAsia" w:asciiTheme="minorEastAsia" w:hAnsiTheme="minorEastAsia" w:eastAsiaTheme="minorEastAsia" w:cstheme="minorEastAsia"/>
          <w:color w:val="auto"/>
          <w:spacing w:val="0"/>
          <w:position w:val="0"/>
          <w:sz w:val="24"/>
          <w:szCs w:val="24"/>
          <w:highlight w:val="none"/>
          <w:shd w:val="clear" w:color="auto" w:fill="FFFFFF"/>
        </w:rPr>
        <w:t>不实的，按《政府采购法》有关提供虚假材料的有关规定给予处罚。</w:t>
      </w:r>
    </w:p>
    <w:p w14:paraId="36B281C2">
      <w:pPr>
        <w:pStyle w:val="14"/>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3.2 对供应商的其他规定</w:t>
      </w:r>
    </w:p>
    <w:p w14:paraId="5F5E5286">
      <w:pPr>
        <w:pStyle w:val="14"/>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1）供应商应当无不良信用记录。(在“信用中国”&lt;www.creditchina.gov.cn&gt;网站的“失信被执行人”和“重大税收违法失信主体”及“中国政府采购网”&lt;www.ccgp.gov.cn&gt;网站的“政府采购严重违法失信行为记录名单”均未列入)。供应商递交《响应文件》后，采购人或者采购代理机构将按以上信用信息查询渠道对参加本项目的供应商信用记录进行查询，供应商有上述任一不良信用记录的，其投标将被拒绝、为无效投标。查询的网页内容将以截图或者拍照作为证据留存，供应商可不提供相关证明材料。</w:t>
      </w:r>
    </w:p>
    <w:p w14:paraId="70C584B7">
      <w:pPr>
        <w:pStyle w:val="14"/>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（2）单位负责人为同一人或者存在直接控股、管理关系的不同供应商，不得参加本合同项下的政府采购活动。■供应商自行承诺并承担后果，承诺</w:t>
      </w:r>
      <w:r>
        <w:rPr>
          <w:rFonts w:hint="eastAsia" w:asciiTheme="minorEastAsia" w:hAnsiTheme="minorEastAsia" w:eastAsiaTheme="minorEastAsia" w:cstheme="minorEastAsia"/>
          <w:color w:val="auto"/>
          <w:spacing w:val="0"/>
          <w:position w:val="0"/>
          <w:sz w:val="24"/>
          <w:szCs w:val="24"/>
          <w:highlight w:val="none"/>
          <w:shd w:val="clear" w:color="auto" w:fill="FFFFFF"/>
          <w:lang w:val="en-US" w:eastAsia="zh-CN"/>
        </w:rPr>
        <w:t>内容</w:t>
      </w:r>
      <w:r>
        <w:rPr>
          <w:rFonts w:hint="eastAsia" w:asciiTheme="minorEastAsia" w:hAnsiTheme="minorEastAsia" w:eastAsiaTheme="minorEastAsia" w:cstheme="minorEastAsia"/>
          <w:color w:val="auto"/>
          <w:spacing w:val="0"/>
          <w:position w:val="0"/>
          <w:sz w:val="24"/>
          <w:szCs w:val="24"/>
          <w:highlight w:val="none"/>
          <w:shd w:val="clear" w:color="auto" w:fill="FFFFFF"/>
        </w:rPr>
        <w:t>不实的，按《政府采购法》有关提供虚假材料的有关规定给予处罚。</w:t>
      </w:r>
    </w:p>
    <w:p w14:paraId="2FD51A96">
      <w:pPr>
        <w:pStyle w:val="14"/>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shd w:val="clear" w:color="auto" w:fill="FFFFFF"/>
        </w:rPr>
      </w:pPr>
      <w:r>
        <w:rPr>
          <w:rFonts w:hint="eastAsia" w:asciiTheme="minorEastAsia" w:hAnsiTheme="minorEastAsia" w:eastAsiaTheme="minorEastAsia" w:cstheme="minorEastAsia"/>
          <w:color w:val="auto"/>
          <w:spacing w:val="0"/>
          <w:position w:val="0"/>
          <w:sz w:val="24"/>
          <w:szCs w:val="24"/>
          <w:highlight w:val="none"/>
          <w:shd w:val="clear" w:color="auto" w:fill="FFFFFF"/>
        </w:rPr>
        <w:t>（3）为本采购项目提供整体设计、规范编制或者项目管理、监理、检测等服务的供应商，不得再参加本采购项目。■供应商自行承诺并承担后果，承诺</w:t>
      </w:r>
      <w:r>
        <w:rPr>
          <w:rFonts w:hint="eastAsia" w:asciiTheme="minorEastAsia" w:hAnsiTheme="minorEastAsia" w:eastAsiaTheme="minorEastAsia" w:cstheme="minorEastAsia"/>
          <w:color w:val="auto"/>
          <w:spacing w:val="0"/>
          <w:position w:val="0"/>
          <w:sz w:val="24"/>
          <w:szCs w:val="24"/>
          <w:highlight w:val="none"/>
          <w:shd w:val="clear" w:color="auto" w:fill="FFFFFF"/>
          <w:lang w:val="en-US" w:eastAsia="zh-CN"/>
        </w:rPr>
        <w:t>内容</w:t>
      </w:r>
      <w:r>
        <w:rPr>
          <w:rFonts w:hint="eastAsia" w:asciiTheme="minorEastAsia" w:hAnsiTheme="minorEastAsia" w:eastAsiaTheme="minorEastAsia" w:cstheme="minorEastAsia"/>
          <w:color w:val="auto"/>
          <w:spacing w:val="0"/>
          <w:position w:val="0"/>
          <w:sz w:val="24"/>
          <w:szCs w:val="24"/>
          <w:highlight w:val="none"/>
          <w:shd w:val="clear" w:color="auto" w:fill="FFFFFF"/>
        </w:rPr>
        <w:t>不实的，按《政府采购法》有关提供虚假材料的有关规定给予处罚。</w:t>
      </w:r>
    </w:p>
    <w:p w14:paraId="45F4161A">
      <w:pPr>
        <w:pStyle w:val="14"/>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color w:val="auto"/>
          <w:spacing w:val="0"/>
          <w:position w:val="0"/>
          <w:sz w:val="24"/>
          <w:szCs w:val="24"/>
          <w:highlight w:val="none"/>
          <w:shd w:val="clear" w:color="auto" w:fill="FFFFFF"/>
        </w:rPr>
      </w:pPr>
      <w:r>
        <w:rPr>
          <w:rFonts w:hint="eastAsia" w:asciiTheme="minorEastAsia" w:hAnsiTheme="minorEastAsia" w:eastAsiaTheme="minorEastAsia" w:cstheme="minorEastAsia"/>
          <w:b/>
          <w:bCs/>
          <w:color w:val="auto"/>
          <w:spacing w:val="0"/>
          <w:position w:val="0"/>
          <w:sz w:val="24"/>
          <w:szCs w:val="24"/>
          <w:highlight w:val="none"/>
          <w:shd w:val="clear" w:color="auto" w:fill="FFFFFF"/>
        </w:rPr>
        <w:t>3.3 项目的特定资格要求：</w:t>
      </w:r>
    </w:p>
    <w:p w14:paraId="5C08E5B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宋体" w:hAnsi="宋体" w:eastAsia="宋体" w:cs="宋体"/>
          <w:color w:val="F79646" w:themeColor="accent6"/>
          <w:sz w:val="24"/>
          <w:szCs w:val="24"/>
          <w:highlight w:val="none"/>
          <w:lang w:val="en-US" w:eastAsia="zh-CN"/>
          <w14:textFill>
            <w14:solidFill>
              <w14:schemeClr w14:val="accent6"/>
            </w14:solidFill>
          </w14:textFill>
        </w:rPr>
      </w:pPr>
      <w:r>
        <w:rPr>
          <w:rFonts w:hint="eastAsia" w:ascii="宋体" w:hAnsi="宋体" w:eastAsia="宋体" w:cs="宋体"/>
          <w:b/>
          <w:bCs/>
          <w:sz w:val="24"/>
          <w:szCs w:val="24"/>
          <w:highlight w:val="none"/>
          <w:lang w:val="en-US" w:eastAsia="zh-CN"/>
        </w:rPr>
        <w:t>（1）</w:t>
      </w:r>
      <w:r>
        <w:rPr>
          <w:rFonts w:hint="eastAsia" w:ascii="宋体" w:hAnsi="宋体" w:eastAsia="宋体" w:cs="宋体"/>
          <w:b/>
          <w:bCs/>
          <w:color w:val="auto"/>
          <w:spacing w:val="0"/>
          <w:sz w:val="24"/>
          <w:szCs w:val="24"/>
          <w:highlight w:val="none"/>
        </w:rPr>
        <w:t>投标人</w:t>
      </w:r>
      <w:r>
        <w:rPr>
          <w:rFonts w:hint="eastAsia" w:ascii="宋体" w:hAnsi="宋体" w:eastAsia="宋体" w:cs="宋体"/>
          <w:b/>
          <w:bCs/>
          <w:sz w:val="24"/>
          <w:szCs w:val="24"/>
          <w:highlight w:val="none"/>
          <w:lang w:val="en-US" w:eastAsia="en-US"/>
        </w:rPr>
        <w:t>所用农药产品须“三证”（农药生产许可证或</w:t>
      </w:r>
      <w:r>
        <w:rPr>
          <w:rFonts w:hint="eastAsia" w:ascii="宋体" w:hAnsi="宋体" w:eastAsia="宋体" w:cs="宋体"/>
          <w:b/>
          <w:bCs/>
          <w:color w:val="auto"/>
          <w:sz w:val="24"/>
          <w:szCs w:val="24"/>
          <w:highlight w:val="none"/>
          <w:lang w:val="en-US" w:eastAsia="en-US"/>
        </w:rPr>
        <w:t>批准证</w:t>
      </w:r>
      <w:r>
        <w:rPr>
          <w:rFonts w:hint="eastAsia" w:ascii="宋体" w:hAnsi="宋体" w:eastAsia="宋体" w:cs="宋体"/>
          <w:b/>
          <w:bCs/>
          <w:sz w:val="24"/>
          <w:szCs w:val="24"/>
          <w:highlight w:val="none"/>
          <w:lang w:val="en-US" w:eastAsia="en-US"/>
        </w:rPr>
        <w:t>、农药登记证、产品标准）齐全并在有效期内，</w:t>
      </w:r>
      <w:r>
        <w:rPr>
          <w:rFonts w:hint="eastAsia" w:ascii="宋体" w:hAnsi="宋体" w:eastAsia="宋体" w:cs="宋体"/>
          <w:b/>
          <w:bCs/>
          <w:color w:val="auto"/>
          <w:sz w:val="24"/>
          <w:szCs w:val="24"/>
          <w:highlight w:val="none"/>
          <w:lang w:val="en-US" w:eastAsia="en-US"/>
        </w:rPr>
        <w:t>登记作物须包含</w:t>
      </w:r>
      <w:r>
        <w:rPr>
          <w:rFonts w:hint="eastAsia" w:ascii="宋体" w:hAnsi="宋体" w:eastAsia="宋体" w:cs="宋体"/>
          <w:b/>
          <w:bCs/>
          <w:color w:val="auto"/>
          <w:sz w:val="24"/>
          <w:szCs w:val="24"/>
          <w:highlight w:val="none"/>
          <w:lang w:val="en-US" w:eastAsia="zh-CN"/>
        </w:rPr>
        <w:t>玉米</w:t>
      </w:r>
      <w:r>
        <w:rPr>
          <w:rFonts w:hint="eastAsia" w:ascii="宋体" w:hAnsi="宋体" w:eastAsia="宋体" w:cs="宋体"/>
          <w:b/>
          <w:bCs/>
          <w:color w:val="auto"/>
          <w:sz w:val="24"/>
          <w:szCs w:val="24"/>
          <w:highlight w:val="none"/>
          <w:lang w:val="en-US" w:eastAsia="en-US"/>
        </w:rPr>
        <w:t>，</w:t>
      </w:r>
      <w:r>
        <w:rPr>
          <w:rFonts w:hint="eastAsia" w:ascii="宋体" w:hAnsi="宋体" w:eastAsia="宋体" w:cs="宋体"/>
          <w:b/>
          <w:bCs/>
          <w:sz w:val="24"/>
          <w:szCs w:val="24"/>
          <w:highlight w:val="none"/>
          <w:lang w:val="en-US" w:eastAsia="en-US"/>
        </w:rPr>
        <w:t>提供“三证 ”原件扫描件</w:t>
      </w:r>
      <w:r>
        <w:rPr>
          <w:rFonts w:hint="eastAsia" w:ascii="宋体" w:hAnsi="宋体" w:eastAsia="宋体" w:cs="宋体"/>
          <w:b/>
          <w:bCs/>
          <w:color w:val="auto"/>
          <w:sz w:val="24"/>
          <w:szCs w:val="24"/>
          <w:highlight w:val="none"/>
          <w:lang w:val="en-US" w:eastAsia="zh-CN"/>
        </w:rPr>
        <w:t>或复印件并</w:t>
      </w:r>
      <w:r>
        <w:rPr>
          <w:rFonts w:hint="eastAsia" w:ascii="宋体" w:hAnsi="宋体" w:eastAsia="宋体" w:cs="宋体"/>
          <w:b/>
          <w:bCs/>
          <w:color w:val="auto"/>
          <w:sz w:val="24"/>
          <w:szCs w:val="24"/>
          <w:highlight w:val="none"/>
          <w:lang w:val="en-US" w:eastAsia="en-US"/>
        </w:rPr>
        <w:t>加盖生</w:t>
      </w:r>
      <w:r>
        <w:rPr>
          <w:rFonts w:hint="eastAsia" w:ascii="宋体" w:hAnsi="宋体" w:eastAsia="宋体" w:cs="宋体"/>
          <w:b/>
          <w:bCs/>
          <w:sz w:val="24"/>
          <w:szCs w:val="24"/>
          <w:highlight w:val="none"/>
          <w:lang w:val="en-US" w:eastAsia="en-US"/>
        </w:rPr>
        <w:t>产企业公章</w:t>
      </w:r>
      <w:r>
        <w:rPr>
          <w:rFonts w:hint="eastAsia" w:ascii="宋体" w:hAnsi="宋体" w:eastAsia="宋体" w:cs="宋体"/>
          <w:b/>
          <w:bCs/>
          <w:sz w:val="24"/>
          <w:szCs w:val="24"/>
          <w:highlight w:val="none"/>
          <w:lang w:val="en-US" w:eastAsia="zh-CN"/>
        </w:rPr>
        <w:t>。</w:t>
      </w:r>
      <w:r>
        <w:rPr>
          <w:rFonts w:hint="eastAsia" w:ascii="宋体" w:hAnsi="宋体" w:eastAsia="宋体" w:cs="宋体"/>
          <w:b/>
          <w:bCs/>
          <w:color w:val="auto"/>
          <w:spacing w:val="0"/>
          <w:sz w:val="24"/>
          <w:szCs w:val="24"/>
          <w:highlight w:val="none"/>
        </w:rPr>
        <w:t>投标人</w:t>
      </w:r>
      <w:r>
        <w:rPr>
          <w:rFonts w:hint="eastAsia" w:ascii="宋体" w:hAnsi="宋体" w:eastAsia="宋体" w:cs="宋体"/>
          <w:b/>
          <w:bCs/>
          <w:sz w:val="24"/>
          <w:szCs w:val="24"/>
          <w:highlight w:val="none"/>
          <w:lang w:val="en-US" w:eastAsia="en-US"/>
        </w:rPr>
        <w:t>为经销商须提供农药经营许可证（如</w:t>
      </w:r>
      <w:r>
        <w:rPr>
          <w:rFonts w:hint="eastAsia" w:ascii="宋体" w:hAnsi="宋体" w:eastAsia="宋体" w:cs="宋体"/>
          <w:b/>
          <w:bCs/>
          <w:color w:val="auto"/>
          <w:spacing w:val="0"/>
          <w:sz w:val="24"/>
          <w:szCs w:val="24"/>
          <w:highlight w:val="none"/>
        </w:rPr>
        <w:t>投标人</w:t>
      </w:r>
      <w:r>
        <w:rPr>
          <w:rFonts w:hint="eastAsia" w:ascii="宋体" w:hAnsi="宋体" w:eastAsia="宋体" w:cs="宋体"/>
          <w:b/>
          <w:bCs/>
          <w:sz w:val="24"/>
          <w:szCs w:val="24"/>
          <w:highlight w:val="none"/>
          <w:lang w:val="en-US" w:eastAsia="en-US"/>
        </w:rPr>
        <w:t>为农药生产厂家，提供上述有效的“三证”）</w:t>
      </w:r>
      <w:r>
        <w:rPr>
          <w:rFonts w:hint="eastAsia" w:ascii="宋体" w:hAnsi="宋体" w:eastAsia="宋体" w:cs="宋体"/>
          <w:b/>
          <w:bCs/>
          <w:sz w:val="24"/>
          <w:szCs w:val="24"/>
          <w:highlight w:val="none"/>
          <w:lang w:val="en-US" w:eastAsia="zh-CN"/>
        </w:rPr>
        <w:t>。</w:t>
      </w:r>
    </w:p>
    <w:p w14:paraId="4D9B97B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000000" w:themeColor="text1"/>
          <w:spacing w:val="0"/>
          <w:positio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0"/>
          <w:position w:val="0"/>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0"/>
          <w:positio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0"/>
          <w:position w:val="0"/>
          <w:sz w:val="24"/>
          <w:szCs w:val="24"/>
          <w:highlight w:val="none"/>
          <w14:textFill>
            <w14:solidFill>
              <w14:schemeClr w14:val="tx1"/>
            </w14:solidFill>
          </w14:textFill>
        </w:rPr>
        <w:t>）具备法律、行政法规规定的其他条件。</w:t>
      </w:r>
    </w:p>
    <w:p w14:paraId="106614D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000000" w:themeColor="text1"/>
          <w:spacing w:val="0"/>
          <w:positio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0"/>
          <w:position w:val="0"/>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0"/>
          <w:positio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pacing w:val="0"/>
          <w:position w:val="0"/>
          <w:sz w:val="24"/>
          <w:szCs w:val="24"/>
          <w:highlight w:val="none"/>
          <w14:textFill>
            <w14:solidFill>
              <w14:schemeClr w14:val="tx1"/>
            </w14:solidFill>
          </w14:textFill>
        </w:rPr>
        <w:t>）所有证照均应为有效的证照；文中“近”、“前”指距投标截止时间。</w:t>
      </w:r>
    </w:p>
    <w:p w14:paraId="44F9951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FF0000"/>
          <w:spacing w:val="0"/>
          <w:position w:val="0"/>
          <w:sz w:val="24"/>
          <w:szCs w:val="24"/>
          <w:highlight w:val="none"/>
          <w:lang w:eastAsia="zh-CN"/>
        </w:rPr>
      </w:pPr>
      <w:r>
        <w:rPr>
          <w:rFonts w:hint="eastAsia" w:asciiTheme="minorEastAsia" w:hAnsiTheme="minorEastAsia" w:eastAsiaTheme="minorEastAsia" w:cstheme="minorEastAsia"/>
          <w:color w:val="000000" w:themeColor="text1"/>
          <w:spacing w:val="0"/>
          <w:position w:val="0"/>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0"/>
          <w:position w:val="0"/>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pacing w:val="0"/>
          <w:position w:val="0"/>
          <w:sz w:val="24"/>
          <w:szCs w:val="24"/>
          <w:highlight w:val="none"/>
          <w14:textFill>
            <w14:solidFill>
              <w14:schemeClr w14:val="tx1"/>
            </w14:solidFill>
          </w14:textFill>
        </w:rPr>
        <w:t>）资格后审，开标后，将由谈判小组对供应商的资格证明材料（文件）进行资格审核，未按要求逐一提供、或资格审查不合格的为无效投标，供应商应自负其风险费用</w:t>
      </w:r>
      <w:r>
        <w:rPr>
          <w:rFonts w:hint="eastAsia" w:asciiTheme="minorEastAsia" w:hAnsiTheme="minorEastAsia" w:eastAsiaTheme="minorEastAsia" w:cstheme="minorEastAsia"/>
          <w:color w:val="000000" w:themeColor="text1"/>
          <w:spacing w:val="0"/>
          <w:position w:val="0"/>
          <w:sz w:val="24"/>
          <w:szCs w:val="24"/>
          <w:highlight w:val="none"/>
          <w:lang w:eastAsia="zh-CN"/>
          <w14:textFill>
            <w14:solidFill>
              <w14:schemeClr w14:val="tx1"/>
            </w14:solidFill>
          </w14:textFill>
        </w:rPr>
        <w:t>。</w:t>
      </w:r>
    </w:p>
    <w:p w14:paraId="554E4F2C">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spacing w:val="0"/>
          <w:position w:val="0"/>
          <w:sz w:val="28"/>
          <w:szCs w:val="28"/>
          <w:highlight w:val="none"/>
        </w:rPr>
      </w:pPr>
      <w:r>
        <w:rPr>
          <w:rFonts w:hint="eastAsia" w:asciiTheme="minorEastAsia" w:hAnsiTheme="minorEastAsia" w:eastAsiaTheme="minorEastAsia" w:cstheme="minorEastAsia"/>
          <w:b/>
          <w:bCs/>
          <w:spacing w:val="0"/>
          <w:position w:val="0"/>
          <w:sz w:val="28"/>
          <w:szCs w:val="28"/>
          <w:highlight w:val="none"/>
        </w:rPr>
        <w:t>三、获取谈判文件</w:t>
      </w:r>
    </w:p>
    <w:p w14:paraId="787DDB4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1</w:t>
      </w:r>
      <w:r>
        <w:rPr>
          <w:rFonts w:hint="eastAsia" w:asciiTheme="minorEastAsia" w:hAnsiTheme="minorEastAsia" w:eastAsiaTheme="minorEastAsia" w:cstheme="minorEastAsia"/>
          <w:color w:val="auto"/>
          <w:spacing w:val="0"/>
          <w:position w:val="0"/>
          <w:sz w:val="24"/>
          <w:szCs w:val="24"/>
          <w:highlight w:val="none"/>
          <w:lang w:eastAsia="zh-CN"/>
        </w:rPr>
        <w:t>、</w:t>
      </w:r>
      <w:r>
        <w:rPr>
          <w:rFonts w:hint="eastAsia" w:asciiTheme="minorEastAsia" w:hAnsiTheme="minorEastAsia" w:eastAsiaTheme="minorEastAsia" w:cstheme="minorEastAsia"/>
          <w:color w:val="auto"/>
          <w:spacing w:val="0"/>
          <w:position w:val="0"/>
          <w:sz w:val="24"/>
          <w:szCs w:val="24"/>
          <w:highlight w:val="none"/>
        </w:rPr>
        <w:t>时间：</w:t>
      </w:r>
      <w:r>
        <w:rPr>
          <w:rFonts w:hint="eastAsia" w:asciiTheme="minorEastAsia" w:hAnsiTheme="minorEastAsia" w:eastAsiaTheme="minorEastAsia" w:cstheme="minorEastAsia"/>
          <w:color w:val="auto"/>
          <w:spacing w:val="0"/>
          <w:position w:val="0"/>
          <w:sz w:val="24"/>
          <w:szCs w:val="24"/>
          <w:highlight w:val="none"/>
          <w:lang w:eastAsia="zh-CN"/>
        </w:rPr>
        <w:t>2026</w:t>
      </w:r>
      <w:r>
        <w:rPr>
          <w:rFonts w:hint="eastAsia" w:asciiTheme="minorEastAsia" w:hAnsiTheme="minorEastAsia" w:eastAsiaTheme="minorEastAsia" w:cstheme="minorEastAsia"/>
          <w:color w:val="auto"/>
          <w:spacing w:val="0"/>
          <w:position w:val="0"/>
          <w:sz w:val="24"/>
          <w:szCs w:val="24"/>
          <w:highlight w:val="none"/>
        </w:rPr>
        <w:t>年</w:t>
      </w:r>
      <w:r>
        <w:rPr>
          <w:rFonts w:hint="eastAsia" w:asciiTheme="minorEastAsia" w:hAnsiTheme="minorEastAsia" w:eastAsiaTheme="minorEastAsia" w:cstheme="minorEastAsia"/>
          <w:color w:val="auto"/>
          <w:spacing w:val="0"/>
          <w:position w:val="0"/>
          <w:sz w:val="24"/>
          <w:szCs w:val="24"/>
          <w:highlight w:val="none"/>
          <w:lang w:val="en-US" w:eastAsia="zh-CN"/>
        </w:rPr>
        <w:t>9</w:t>
      </w:r>
      <w:r>
        <w:rPr>
          <w:rFonts w:hint="eastAsia" w:asciiTheme="minorEastAsia" w:hAnsiTheme="minorEastAsia" w:eastAsiaTheme="minorEastAsia" w:cstheme="minorEastAsia"/>
          <w:color w:val="auto"/>
          <w:spacing w:val="0"/>
          <w:position w:val="0"/>
          <w:sz w:val="24"/>
          <w:szCs w:val="24"/>
          <w:highlight w:val="none"/>
        </w:rPr>
        <w:t>月</w:t>
      </w:r>
      <w:r>
        <w:rPr>
          <w:rFonts w:hint="eastAsia" w:asciiTheme="minorEastAsia" w:hAnsiTheme="minorEastAsia" w:eastAsiaTheme="minorEastAsia" w:cstheme="minorEastAsia"/>
          <w:color w:val="auto"/>
          <w:spacing w:val="0"/>
          <w:position w:val="0"/>
          <w:sz w:val="24"/>
          <w:szCs w:val="24"/>
          <w:highlight w:val="none"/>
          <w:lang w:val="en-US" w:eastAsia="zh-CN"/>
        </w:rPr>
        <w:t>9</w:t>
      </w:r>
      <w:r>
        <w:rPr>
          <w:rFonts w:hint="eastAsia" w:asciiTheme="minorEastAsia" w:hAnsiTheme="minorEastAsia" w:eastAsiaTheme="minorEastAsia" w:cstheme="minorEastAsia"/>
          <w:color w:val="auto"/>
          <w:spacing w:val="0"/>
          <w:position w:val="0"/>
          <w:sz w:val="24"/>
          <w:szCs w:val="24"/>
          <w:highlight w:val="none"/>
        </w:rPr>
        <w:t>日至</w:t>
      </w:r>
      <w:r>
        <w:rPr>
          <w:rFonts w:hint="eastAsia" w:asciiTheme="minorEastAsia" w:hAnsiTheme="minorEastAsia" w:eastAsiaTheme="minorEastAsia" w:cstheme="minorEastAsia"/>
          <w:color w:val="auto"/>
          <w:spacing w:val="0"/>
          <w:position w:val="0"/>
          <w:sz w:val="24"/>
          <w:szCs w:val="24"/>
          <w:highlight w:val="none"/>
          <w:lang w:eastAsia="zh-CN"/>
        </w:rPr>
        <w:t>2026</w:t>
      </w:r>
      <w:r>
        <w:rPr>
          <w:rFonts w:hint="eastAsia" w:asciiTheme="minorEastAsia" w:hAnsiTheme="minorEastAsia" w:eastAsiaTheme="minorEastAsia" w:cstheme="minorEastAsia"/>
          <w:color w:val="auto"/>
          <w:spacing w:val="0"/>
          <w:position w:val="0"/>
          <w:sz w:val="24"/>
          <w:szCs w:val="24"/>
          <w:highlight w:val="none"/>
        </w:rPr>
        <w:t>年</w:t>
      </w:r>
      <w:r>
        <w:rPr>
          <w:rFonts w:hint="eastAsia" w:asciiTheme="minorEastAsia" w:hAnsiTheme="minorEastAsia" w:eastAsiaTheme="minorEastAsia" w:cstheme="minorEastAsia"/>
          <w:color w:val="auto"/>
          <w:spacing w:val="0"/>
          <w:position w:val="0"/>
          <w:sz w:val="24"/>
          <w:szCs w:val="24"/>
          <w:highlight w:val="none"/>
          <w:lang w:val="en-US" w:eastAsia="zh-CN"/>
        </w:rPr>
        <w:t>9</w:t>
      </w:r>
      <w:r>
        <w:rPr>
          <w:rFonts w:hint="eastAsia" w:asciiTheme="minorEastAsia" w:hAnsiTheme="minorEastAsia" w:eastAsiaTheme="minorEastAsia" w:cstheme="minorEastAsia"/>
          <w:color w:val="auto"/>
          <w:spacing w:val="0"/>
          <w:position w:val="0"/>
          <w:sz w:val="24"/>
          <w:szCs w:val="24"/>
          <w:highlight w:val="none"/>
        </w:rPr>
        <w:t>月</w:t>
      </w:r>
      <w:r>
        <w:rPr>
          <w:rFonts w:hint="eastAsia" w:asciiTheme="minorEastAsia" w:hAnsiTheme="minorEastAsia" w:eastAsiaTheme="minorEastAsia" w:cstheme="minorEastAsia"/>
          <w:color w:val="auto"/>
          <w:spacing w:val="0"/>
          <w:position w:val="0"/>
          <w:sz w:val="24"/>
          <w:szCs w:val="24"/>
          <w:highlight w:val="none"/>
          <w:lang w:val="en-US" w:eastAsia="zh-CN"/>
        </w:rPr>
        <w:t>11</w:t>
      </w:r>
      <w:r>
        <w:rPr>
          <w:rFonts w:hint="eastAsia" w:asciiTheme="minorEastAsia" w:hAnsiTheme="minorEastAsia" w:eastAsiaTheme="minorEastAsia" w:cstheme="minorEastAsia"/>
          <w:color w:val="auto"/>
          <w:spacing w:val="0"/>
          <w:position w:val="0"/>
          <w:sz w:val="24"/>
          <w:szCs w:val="24"/>
          <w:highlight w:val="none"/>
        </w:rPr>
        <w:t>日，每天上午00:00至12:00，下午12:00至23:59（北京时间，法定节假日除外）。</w:t>
      </w:r>
    </w:p>
    <w:p w14:paraId="7DEDC5B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2</w:t>
      </w:r>
      <w:r>
        <w:rPr>
          <w:rFonts w:hint="eastAsia" w:asciiTheme="minorEastAsia" w:hAnsiTheme="minorEastAsia" w:eastAsiaTheme="minorEastAsia" w:cstheme="minorEastAsia"/>
          <w:color w:val="auto"/>
          <w:spacing w:val="0"/>
          <w:position w:val="0"/>
          <w:sz w:val="24"/>
          <w:szCs w:val="24"/>
          <w:highlight w:val="none"/>
          <w:lang w:eastAsia="zh-CN"/>
        </w:rPr>
        <w:t>、</w:t>
      </w:r>
      <w:r>
        <w:rPr>
          <w:rFonts w:hint="eastAsia" w:asciiTheme="minorEastAsia" w:hAnsiTheme="minorEastAsia" w:eastAsiaTheme="minorEastAsia" w:cstheme="minorEastAsia"/>
          <w:color w:val="auto"/>
          <w:spacing w:val="0"/>
          <w:position w:val="0"/>
          <w:sz w:val="24"/>
          <w:szCs w:val="24"/>
          <w:highlight w:val="none"/>
        </w:rPr>
        <w:t>地点：本次谈判文件在网上获取，请使</w:t>
      </w:r>
      <w:r>
        <w:rPr>
          <w:rFonts w:hint="eastAsia" w:asciiTheme="minorEastAsia" w:hAnsiTheme="minorEastAsia" w:eastAsiaTheme="minorEastAsia" w:cstheme="minorEastAsia"/>
          <w:spacing w:val="0"/>
          <w:position w:val="0"/>
          <w:sz w:val="24"/>
          <w:szCs w:val="24"/>
          <w:highlight w:val="none"/>
        </w:rPr>
        <w:t xml:space="preserve">用 IE 浏览器登录安阳市公共资源交易中心网站（https://ggzy.anyang.gov.cn/）点击“CA 注册”进行用户注册。注册手册详见登录页面的手册下载。注册完成后选择项目填写联系人信息后下载文件。 </w:t>
      </w:r>
    </w:p>
    <w:p w14:paraId="30EBD25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 xml:space="preserve">方式：凡有意参加投标者，登录“安阳市公共资源交易中心网站（https://ggzy.anyang.gov.cn/）”，凭数字证书下载招标文件。获取招标文件后，请到安阳市公共资源交易中心网（https://ggzy.anyang.gov.cn/）下载并安装投标文件制作工具，查看招标文件和制作电子投标文件。如有技术问题请咨询 0372-3387737，13215996193。 </w:t>
      </w:r>
    </w:p>
    <w:p w14:paraId="2A05291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售价：0元</w:t>
      </w:r>
    </w:p>
    <w:p w14:paraId="02B49749">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spacing w:val="0"/>
          <w:position w:val="0"/>
          <w:sz w:val="28"/>
          <w:szCs w:val="28"/>
          <w:highlight w:val="none"/>
        </w:rPr>
      </w:pPr>
      <w:r>
        <w:rPr>
          <w:rFonts w:hint="eastAsia" w:asciiTheme="minorEastAsia" w:hAnsiTheme="minorEastAsia" w:eastAsiaTheme="minorEastAsia" w:cstheme="minorEastAsia"/>
          <w:b/>
          <w:bCs/>
          <w:spacing w:val="0"/>
          <w:position w:val="0"/>
          <w:sz w:val="28"/>
          <w:szCs w:val="28"/>
          <w:highlight w:val="none"/>
        </w:rPr>
        <w:t>四、响应文件提交</w:t>
      </w:r>
    </w:p>
    <w:p w14:paraId="20813A6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1</w:t>
      </w:r>
      <w:r>
        <w:rPr>
          <w:rFonts w:hint="eastAsia" w:asciiTheme="minorEastAsia" w:hAnsiTheme="minorEastAsia" w:eastAsiaTheme="minorEastAsia" w:cstheme="minorEastAsia"/>
          <w:color w:val="auto"/>
          <w:spacing w:val="0"/>
          <w:position w:val="0"/>
          <w:sz w:val="24"/>
          <w:szCs w:val="24"/>
          <w:highlight w:val="none"/>
          <w:lang w:eastAsia="zh-CN"/>
        </w:rPr>
        <w:t>、</w:t>
      </w:r>
      <w:r>
        <w:rPr>
          <w:rFonts w:hint="eastAsia" w:asciiTheme="minorEastAsia" w:hAnsiTheme="minorEastAsia" w:eastAsiaTheme="minorEastAsia" w:cstheme="minorEastAsia"/>
          <w:color w:val="auto"/>
          <w:spacing w:val="0"/>
          <w:position w:val="0"/>
          <w:sz w:val="24"/>
          <w:szCs w:val="24"/>
          <w:highlight w:val="none"/>
        </w:rPr>
        <w:t>时间：</w:t>
      </w:r>
      <w:r>
        <w:rPr>
          <w:rFonts w:hint="eastAsia" w:asciiTheme="minorEastAsia" w:hAnsiTheme="minorEastAsia" w:eastAsiaTheme="minorEastAsia" w:cstheme="minorEastAsia"/>
          <w:color w:val="auto"/>
          <w:spacing w:val="0"/>
          <w:position w:val="0"/>
          <w:sz w:val="24"/>
          <w:szCs w:val="24"/>
          <w:highlight w:val="none"/>
          <w:lang w:eastAsia="zh-CN"/>
        </w:rPr>
        <w:t>2026</w:t>
      </w:r>
      <w:r>
        <w:rPr>
          <w:rFonts w:hint="eastAsia" w:asciiTheme="minorEastAsia" w:hAnsiTheme="minorEastAsia" w:eastAsiaTheme="minorEastAsia" w:cstheme="minorEastAsia"/>
          <w:color w:val="auto"/>
          <w:spacing w:val="0"/>
          <w:position w:val="0"/>
          <w:sz w:val="24"/>
          <w:szCs w:val="24"/>
          <w:highlight w:val="none"/>
        </w:rPr>
        <w:t>年</w:t>
      </w:r>
      <w:r>
        <w:rPr>
          <w:rFonts w:hint="eastAsia" w:asciiTheme="minorEastAsia" w:hAnsiTheme="minorEastAsia" w:eastAsiaTheme="minorEastAsia" w:cstheme="minorEastAsia"/>
          <w:color w:val="auto"/>
          <w:spacing w:val="0"/>
          <w:position w:val="0"/>
          <w:sz w:val="24"/>
          <w:szCs w:val="24"/>
          <w:highlight w:val="none"/>
          <w:lang w:val="en-US" w:eastAsia="zh-CN"/>
        </w:rPr>
        <w:t>9</w:t>
      </w:r>
      <w:r>
        <w:rPr>
          <w:rFonts w:hint="eastAsia" w:asciiTheme="minorEastAsia" w:hAnsiTheme="minorEastAsia" w:eastAsiaTheme="minorEastAsia" w:cstheme="minorEastAsia"/>
          <w:color w:val="auto"/>
          <w:spacing w:val="0"/>
          <w:position w:val="0"/>
          <w:sz w:val="24"/>
          <w:szCs w:val="24"/>
          <w:highlight w:val="none"/>
        </w:rPr>
        <w:t>月</w:t>
      </w:r>
      <w:r>
        <w:rPr>
          <w:rFonts w:hint="eastAsia" w:asciiTheme="minorEastAsia" w:hAnsiTheme="minorEastAsia" w:eastAsiaTheme="minorEastAsia" w:cstheme="minorEastAsia"/>
          <w:color w:val="auto"/>
          <w:spacing w:val="0"/>
          <w:position w:val="0"/>
          <w:sz w:val="24"/>
          <w:szCs w:val="24"/>
          <w:highlight w:val="none"/>
          <w:lang w:val="en-US" w:eastAsia="zh-CN"/>
        </w:rPr>
        <w:t>14</w:t>
      </w:r>
      <w:r>
        <w:rPr>
          <w:rFonts w:hint="eastAsia" w:asciiTheme="minorEastAsia" w:hAnsiTheme="minorEastAsia" w:eastAsiaTheme="minorEastAsia" w:cstheme="minorEastAsia"/>
          <w:color w:val="auto"/>
          <w:spacing w:val="0"/>
          <w:position w:val="0"/>
          <w:sz w:val="24"/>
          <w:szCs w:val="24"/>
          <w:highlight w:val="none"/>
        </w:rPr>
        <w:t>日9时00分（北京时间）</w:t>
      </w:r>
    </w:p>
    <w:p w14:paraId="4CF5BAC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2</w:t>
      </w:r>
      <w:r>
        <w:rPr>
          <w:rFonts w:hint="eastAsia" w:asciiTheme="minorEastAsia" w:hAnsiTheme="minorEastAsia" w:eastAsiaTheme="minorEastAsia" w:cstheme="minorEastAsia"/>
          <w:color w:val="auto"/>
          <w:spacing w:val="0"/>
          <w:position w:val="0"/>
          <w:sz w:val="24"/>
          <w:szCs w:val="24"/>
          <w:highlight w:val="none"/>
          <w:lang w:eastAsia="zh-CN"/>
        </w:rPr>
        <w:t>、</w:t>
      </w:r>
      <w:r>
        <w:rPr>
          <w:rFonts w:hint="eastAsia" w:asciiTheme="minorEastAsia" w:hAnsiTheme="minorEastAsia" w:eastAsiaTheme="minorEastAsia" w:cstheme="minorEastAsia"/>
          <w:color w:val="auto"/>
          <w:spacing w:val="0"/>
          <w:position w:val="0"/>
          <w:sz w:val="24"/>
          <w:szCs w:val="24"/>
          <w:highlight w:val="none"/>
        </w:rPr>
        <w:t>地点：投标人应在投标截止时间前上传加密的电子投标文件到</w:t>
      </w:r>
      <w:r>
        <w:rPr>
          <w:rFonts w:hint="eastAsia" w:asciiTheme="minorEastAsia" w:hAnsiTheme="minorEastAsia" w:eastAsiaTheme="minorEastAsia" w:cstheme="minorEastAsia"/>
          <w:color w:val="auto"/>
          <w:spacing w:val="0"/>
          <w:position w:val="0"/>
          <w:sz w:val="24"/>
          <w:szCs w:val="24"/>
          <w:highlight w:val="none"/>
          <w:lang w:eastAsia="zh-CN"/>
        </w:rPr>
        <w:t>安阳市公共资源交易中心网站（https://ggzy.anyang.gov.cn/）</w:t>
      </w:r>
      <w:r>
        <w:rPr>
          <w:rFonts w:hint="eastAsia" w:asciiTheme="minorEastAsia" w:hAnsiTheme="minorEastAsia" w:eastAsiaTheme="minorEastAsia" w:cstheme="minorEastAsia"/>
          <w:color w:val="auto"/>
          <w:spacing w:val="0"/>
          <w:position w:val="0"/>
          <w:sz w:val="24"/>
          <w:szCs w:val="24"/>
          <w:highlight w:val="none"/>
        </w:rPr>
        <w:t>。上传时投标人须使用制作该投标文件的同一CA锁进行上传操作。请投标人在上传时认真检查上传投标文件是否完整、正确。投标人应充分考虑上传文件时的不可预见因素，未在投标截止时间前完成上传的，视为逾期送达，电子招投标交易平台将拒绝接收。</w:t>
      </w:r>
    </w:p>
    <w:p w14:paraId="26D0480D">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color w:val="auto"/>
          <w:spacing w:val="0"/>
          <w:position w:val="0"/>
          <w:sz w:val="28"/>
          <w:szCs w:val="28"/>
          <w:highlight w:val="none"/>
        </w:rPr>
      </w:pPr>
      <w:r>
        <w:rPr>
          <w:rFonts w:hint="eastAsia" w:asciiTheme="minorEastAsia" w:hAnsiTheme="minorEastAsia" w:eastAsiaTheme="minorEastAsia" w:cstheme="minorEastAsia"/>
          <w:b/>
          <w:bCs/>
          <w:color w:val="auto"/>
          <w:spacing w:val="0"/>
          <w:position w:val="0"/>
          <w:sz w:val="28"/>
          <w:szCs w:val="28"/>
          <w:highlight w:val="none"/>
        </w:rPr>
        <w:t>五、响应文件开启</w:t>
      </w:r>
    </w:p>
    <w:p w14:paraId="0FC3766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1</w:t>
      </w:r>
      <w:r>
        <w:rPr>
          <w:rFonts w:hint="eastAsia" w:asciiTheme="minorEastAsia" w:hAnsiTheme="minorEastAsia" w:eastAsiaTheme="minorEastAsia" w:cstheme="minorEastAsia"/>
          <w:color w:val="auto"/>
          <w:spacing w:val="0"/>
          <w:position w:val="0"/>
          <w:sz w:val="24"/>
          <w:szCs w:val="24"/>
          <w:highlight w:val="none"/>
          <w:lang w:eastAsia="zh-CN"/>
        </w:rPr>
        <w:t>、</w:t>
      </w:r>
      <w:r>
        <w:rPr>
          <w:rFonts w:hint="eastAsia" w:asciiTheme="minorEastAsia" w:hAnsiTheme="minorEastAsia" w:eastAsiaTheme="minorEastAsia" w:cstheme="minorEastAsia"/>
          <w:color w:val="auto"/>
          <w:spacing w:val="0"/>
          <w:position w:val="0"/>
          <w:sz w:val="24"/>
          <w:szCs w:val="24"/>
          <w:highlight w:val="none"/>
        </w:rPr>
        <w:t>时间：</w:t>
      </w:r>
      <w:r>
        <w:rPr>
          <w:rFonts w:hint="eastAsia" w:asciiTheme="minorEastAsia" w:hAnsiTheme="minorEastAsia" w:eastAsiaTheme="minorEastAsia" w:cstheme="minorEastAsia"/>
          <w:color w:val="auto"/>
          <w:spacing w:val="0"/>
          <w:position w:val="0"/>
          <w:sz w:val="24"/>
          <w:szCs w:val="24"/>
          <w:highlight w:val="none"/>
          <w:lang w:eastAsia="zh-CN"/>
        </w:rPr>
        <w:t>2026</w:t>
      </w:r>
      <w:r>
        <w:rPr>
          <w:rFonts w:hint="eastAsia" w:asciiTheme="minorEastAsia" w:hAnsiTheme="minorEastAsia" w:eastAsiaTheme="minorEastAsia" w:cstheme="minorEastAsia"/>
          <w:color w:val="auto"/>
          <w:spacing w:val="0"/>
          <w:position w:val="0"/>
          <w:sz w:val="24"/>
          <w:szCs w:val="24"/>
          <w:highlight w:val="none"/>
        </w:rPr>
        <w:t>年</w:t>
      </w:r>
      <w:r>
        <w:rPr>
          <w:rFonts w:hint="eastAsia" w:asciiTheme="minorEastAsia" w:hAnsiTheme="minorEastAsia" w:eastAsiaTheme="minorEastAsia" w:cstheme="minorEastAsia"/>
          <w:color w:val="auto"/>
          <w:spacing w:val="0"/>
          <w:position w:val="0"/>
          <w:sz w:val="24"/>
          <w:szCs w:val="24"/>
          <w:highlight w:val="none"/>
          <w:lang w:val="en-US" w:eastAsia="zh-CN"/>
        </w:rPr>
        <w:t>9</w:t>
      </w:r>
      <w:r>
        <w:rPr>
          <w:rFonts w:hint="eastAsia" w:asciiTheme="minorEastAsia" w:hAnsiTheme="minorEastAsia" w:eastAsiaTheme="minorEastAsia" w:cstheme="minorEastAsia"/>
          <w:color w:val="auto"/>
          <w:spacing w:val="0"/>
          <w:position w:val="0"/>
          <w:sz w:val="24"/>
          <w:szCs w:val="24"/>
          <w:highlight w:val="none"/>
        </w:rPr>
        <w:t>月</w:t>
      </w:r>
      <w:r>
        <w:rPr>
          <w:rFonts w:hint="eastAsia" w:asciiTheme="minorEastAsia" w:hAnsiTheme="minorEastAsia" w:eastAsiaTheme="minorEastAsia" w:cstheme="minorEastAsia"/>
          <w:color w:val="auto"/>
          <w:spacing w:val="0"/>
          <w:position w:val="0"/>
          <w:sz w:val="24"/>
          <w:szCs w:val="24"/>
          <w:highlight w:val="none"/>
          <w:lang w:val="en-US" w:eastAsia="zh-CN"/>
        </w:rPr>
        <w:t>14</w:t>
      </w:r>
      <w:r>
        <w:rPr>
          <w:rFonts w:hint="eastAsia" w:asciiTheme="minorEastAsia" w:hAnsiTheme="minorEastAsia" w:eastAsiaTheme="minorEastAsia" w:cstheme="minorEastAsia"/>
          <w:color w:val="auto"/>
          <w:spacing w:val="0"/>
          <w:position w:val="0"/>
          <w:sz w:val="24"/>
          <w:szCs w:val="24"/>
          <w:highlight w:val="none"/>
        </w:rPr>
        <w:t>日9时00分（北京时间）</w:t>
      </w:r>
    </w:p>
    <w:p w14:paraId="4C248DC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2</w:t>
      </w:r>
      <w:r>
        <w:rPr>
          <w:rFonts w:hint="eastAsia" w:asciiTheme="minorEastAsia" w:hAnsiTheme="minorEastAsia" w:eastAsiaTheme="minorEastAsia" w:cstheme="minorEastAsia"/>
          <w:color w:val="auto"/>
          <w:spacing w:val="0"/>
          <w:position w:val="0"/>
          <w:sz w:val="24"/>
          <w:szCs w:val="24"/>
          <w:highlight w:val="none"/>
          <w:lang w:eastAsia="zh-CN"/>
        </w:rPr>
        <w:t>、</w:t>
      </w:r>
      <w:r>
        <w:rPr>
          <w:rFonts w:hint="eastAsia" w:asciiTheme="minorEastAsia" w:hAnsiTheme="minorEastAsia" w:eastAsiaTheme="minorEastAsia" w:cstheme="minorEastAsia"/>
          <w:color w:val="auto"/>
          <w:spacing w:val="0"/>
          <w:position w:val="0"/>
          <w:sz w:val="24"/>
          <w:szCs w:val="24"/>
          <w:highlight w:val="none"/>
        </w:rPr>
        <w:t>地点（管理员网上操作地点）：汤阴县公共资源交易中心集中开标大厅</w:t>
      </w:r>
      <w:r>
        <w:rPr>
          <w:rFonts w:hint="eastAsia" w:asciiTheme="minorEastAsia" w:hAnsiTheme="minorEastAsia" w:eastAsiaTheme="minorEastAsia" w:cstheme="minorEastAsia"/>
          <w:color w:val="auto"/>
          <w:spacing w:val="0"/>
          <w:position w:val="0"/>
          <w:sz w:val="24"/>
          <w:szCs w:val="24"/>
          <w:highlight w:val="none"/>
          <w:lang w:val="en-US" w:eastAsia="zh-CN"/>
        </w:rPr>
        <w:t>3</w:t>
      </w:r>
      <w:bookmarkStart w:id="235" w:name="_GoBack"/>
      <w:bookmarkEnd w:id="235"/>
      <w:r>
        <w:rPr>
          <w:rFonts w:hint="eastAsia" w:asciiTheme="minorEastAsia" w:hAnsiTheme="minorEastAsia" w:eastAsiaTheme="minorEastAsia" w:cstheme="minorEastAsia"/>
          <w:color w:val="auto"/>
          <w:spacing w:val="0"/>
          <w:position w:val="0"/>
          <w:sz w:val="24"/>
          <w:szCs w:val="24"/>
          <w:highlight w:val="none"/>
        </w:rPr>
        <w:t>室。本项目采用远程不见面交易的模式，开标当日，投标人无需到开标现场参加开标会议，投标人应当在投标截止时间前，使用IE浏览器登录到汤阴县公共资源交易不见面开标大厅（https://gg</w:t>
      </w:r>
      <w:r>
        <w:rPr>
          <w:rFonts w:hint="eastAsia" w:asciiTheme="minorEastAsia" w:hAnsiTheme="minorEastAsia" w:eastAsiaTheme="minorEastAsia" w:cstheme="minorEastAsia"/>
          <w:spacing w:val="0"/>
          <w:position w:val="0"/>
          <w:sz w:val="24"/>
          <w:szCs w:val="24"/>
          <w:highlight w:val="none"/>
        </w:rPr>
        <w:t>zy.anyang.gov.cn/tyggzy/），点击右上方【登录】按钮进入，在线准时参加开标活动并进行投标文件解密等。因投标人原因未能解密、解密失败或解密超时的将被拒绝。</w:t>
      </w:r>
    </w:p>
    <w:p w14:paraId="7AEA0743">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spacing w:val="0"/>
          <w:position w:val="0"/>
          <w:sz w:val="28"/>
          <w:szCs w:val="28"/>
          <w:highlight w:val="none"/>
        </w:rPr>
      </w:pPr>
      <w:r>
        <w:rPr>
          <w:rFonts w:hint="eastAsia" w:asciiTheme="minorEastAsia" w:hAnsiTheme="minorEastAsia" w:eastAsiaTheme="minorEastAsia" w:cstheme="minorEastAsia"/>
          <w:b/>
          <w:bCs/>
          <w:spacing w:val="0"/>
          <w:position w:val="0"/>
          <w:sz w:val="28"/>
          <w:szCs w:val="28"/>
          <w:highlight w:val="none"/>
        </w:rPr>
        <w:t>六、发布公告的媒介及谈判公告期限</w:t>
      </w:r>
    </w:p>
    <w:p w14:paraId="3156B50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b/>
          <w:bCs/>
          <w:color w:val="auto"/>
          <w:spacing w:val="0"/>
          <w:position w:val="0"/>
          <w:sz w:val="28"/>
          <w:szCs w:val="28"/>
          <w:highlight w:val="none"/>
          <w:lang w:eastAsia="zh-CN"/>
        </w:rPr>
      </w:pPr>
      <w:r>
        <w:rPr>
          <w:rFonts w:hint="eastAsia" w:asciiTheme="minorEastAsia" w:hAnsiTheme="minorEastAsia" w:eastAsiaTheme="minorEastAsia" w:cstheme="minorEastAsia"/>
          <w:spacing w:val="0"/>
          <w:position w:val="0"/>
          <w:sz w:val="24"/>
          <w:szCs w:val="24"/>
          <w:highlight w:val="none"/>
        </w:rPr>
        <w:t>本次谈判公告在《河南省政府采购网》、《安阳市政府</w:t>
      </w:r>
      <w:r>
        <w:rPr>
          <w:rFonts w:hint="eastAsia" w:asciiTheme="minorEastAsia" w:hAnsiTheme="minorEastAsia" w:eastAsiaTheme="minorEastAsia" w:cstheme="minorEastAsia"/>
          <w:color w:val="auto"/>
          <w:spacing w:val="0"/>
          <w:position w:val="0"/>
          <w:sz w:val="24"/>
          <w:szCs w:val="24"/>
          <w:highlight w:val="none"/>
        </w:rPr>
        <w:t>采购网》、《</w:t>
      </w:r>
      <w:r>
        <w:rPr>
          <w:rFonts w:hint="eastAsia" w:asciiTheme="minorEastAsia" w:hAnsiTheme="minorEastAsia" w:eastAsiaTheme="minorEastAsia" w:cstheme="minorEastAsia"/>
          <w:color w:val="auto"/>
          <w:spacing w:val="0"/>
          <w:position w:val="0"/>
          <w:sz w:val="24"/>
          <w:szCs w:val="24"/>
          <w:highlight w:val="none"/>
          <w:lang w:eastAsia="zh-CN"/>
        </w:rPr>
        <w:t>安阳市公共资源交易中心</w:t>
      </w:r>
      <w:r>
        <w:rPr>
          <w:rFonts w:hint="eastAsia" w:asciiTheme="minorEastAsia" w:hAnsiTheme="minorEastAsia" w:eastAsiaTheme="minorEastAsia" w:cstheme="minorEastAsia"/>
          <w:color w:val="auto"/>
          <w:spacing w:val="0"/>
          <w:position w:val="0"/>
          <w:sz w:val="24"/>
          <w:szCs w:val="24"/>
          <w:highlight w:val="none"/>
        </w:rPr>
        <w:t>》上发布。 谈判公告期限为三个工作日。</w:t>
      </w:r>
    </w:p>
    <w:p w14:paraId="1BE9B295">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color w:val="auto"/>
          <w:spacing w:val="0"/>
          <w:position w:val="0"/>
          <w:sz w:val="28"/>
          <w:szCs w:val="28"/>
          <w:highlight w:val="none"/>
        </w:rPr>
      </w:pPr>
      <w:r>
        <w:rPr>
          <w:rFonts w:hint="eastAsia" w:asciiTheme="minorEastAsia" w:hAnsiTheme="minorEastAsia" w:eastAsiaTheme="minorEastAsia" w:cstheme="minorEastAsia"/>
          <w:b/>
          <w:bCs/>
          <w:color w:val="auto"/>
          <w:spacing w:val="0"/>
          <w:position w:val="0"/>
          <w:sz w:val="28"/>
          <w:szCs w:val="28"/>
          <w:highlight w:val="none"/>
        </w:rPr>
        <w:t>七、其他补充事宜</w:t>
      </w:r>
    </w:p>
    <w:p w14:paraId="433D805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 xml:space="preserve">项目落实的政府采购政策：强制节能产品强制采购、节能产品、环境标志产品优先采购、促进中小企业发展扶持政策、进口产品政策、信息安全产品、社会信用体系建设、促进残疾人就业、支持监狱企业发展、支持绿色建筑、绿色建材，支持不发达、少数民族地区的企业，促进自主创新产业发展，支持脱贫攻坚等。 </w:t>
      </w:r>
    </w:p>
    <w:p w14:paraId="3B15FE8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 xml:space="preserve">政府采购合同融资根据豫财购〔2017〕10 号和安财购〔2017〕7 号文要求，参加政府采购项目的中小微企业供应商，持中标（成交）通知书可向金融机构申请合同融资，详情请登录安阳市政府采购网（http://anyang.hngp.gov.cn/anyang），进入网站飘窗或业务指南窗口了解金融机构提供的融资服务内容。 </w:t>
      </w:r>
    </w:p>
    <w:p w14:paraId="2E36C64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 xml:space="preserve">谈判开始时间：时刻关注电子开标室并及时澄清，有效投标人在规定时间进行最后报价，否则将会评定为无效投标。  </w:t>
      </w:r>
    </w:p>
    <w:p w14:paraId="28947BD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 xml:space="preserve">望投标人充分熟悉网上电子交易操作流程、以便有效投标。 </w:t>
      </w:r>
    </w:p>
    <w:p w14:paraId="1E455D5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5</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如遇到网上系统操作等技术问题请咨询 0372-3387739（办公室）</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 xml:space="preserve">13215996193、 4009980000（客服）。 </w:t>
      </w:r>
    </w:p>
    <w:p w14:paraId="0FE3228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 xml:space="preserve">政府采购电子交易中，投标人网上电子交易的系统操作规则应以安阳市公共资源交易平台即时发布的相关规则为准。 </w:t>
      </w:r>
    </w:p>
    <w:p w14:paraId="5CBF702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zh-CN"/>
        </w:rPr>
      </w:pPr>
      <w:r>
        <w:rPr>
          <w:rFonts w:hint="eastAsia" w:asciiTheme="minorEastAsia" w:hAnsiTheme="minorEastAsia" w:eastAsiaTheme="minorEastAsia" w:cstheme="minorEastAsia"/>
          <w:spacing w:val="0"/>
          <w:position w:val="0"/>
          <w:sz w:val="24"/>
          <w:szCs w:val="24"/>
          <w:highlight w:val="none"/>
          <w:lang w:val="en-US" w:eastAsia="zh-CN"/>
        </w:rPr>
        <w:t>7、代理服务费</w:t>
      </w:r>
      <w:r>
        <w:rPr>
          <w:rFonts w:hint="eastAsia" w:asciiTheme="minorEastAsia" w:hAnsiTheme="minorEastAsia" w:eastAsiaTheme="minorEastAsia" w:cstheme="minorEastAsia"/>
          <w:spacing w:val="0"/>
          <w:position w:val="0"/>
          <w:sz w:val="24"/>
          <w:szCs w:val="24"/>
          <w:highlight w:val="none"/>
        </w:rPr>
        <w:t>根据河南省招标投标协会关于印发《河南省招标代理服务收费指导意见》的通知“豫招协[2023]002 号，由中标人向采购代理机构支付代理服务费</w:t>
      </w:r>
      <w:r>
        <w:rPr>
          <w:rFonts w:hint="eastAsia" w:asciiTheme="minorEastAsia" w:hAnsiTheme="minorEastAsia" w:eastAsiaTheme="minorEastAsia" w:cstheme="minorEastAsia"/>
          <w:spacing w:val="0"/>
          <w:position w:val="0"/>
          <w:sz w:val="24"/>
          <w:szCs w:val="24"/>
          <w:highlight w:val="none"/>
          <w:lang w:val="en-US" w:eastAsia="zh-CN"/>
        </w:rPr>
        <w:t>10000</w:t>
      </w:r>
      <w:r>
        <w:rPr>
          <w:rFonts w:hint="eastAsia" w:asciiTheme="minorEastAsia" w:hAnsiTheme="minorEastAsia" w:eastAsiaTheme="minorEastAsia" w:cstheme="minorEastAsia"/>
          <w:spacing w:val="0"/>
          <w:position w:val="0"/>
          <w:sz w:val="24"/>
          <w:szCs w:val="24"/>
          <w:highlight w:val="none"/>
        </w:rPr>
        <w:t>元。</w:t>
      </w:r>
    </w:p>
    <w:p w14:paraId="68159F4B">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spacing w:val="0"/>
          <w:position w:val="0"/>
          <w:sz w:val="28"/>
          <w:szCs w:val="28"/>
          <w:highlight w:val="none"/>
        </w:rPr>
      </w:pPr>
      <w:r>
        <w:rPr>
          <w:rFonts w:hint="eastAsia" w:asciiTheme="minorEastAsia" w:hAnsiTheme="minorEastAsia" w:eastAsiaTheme="minorEastAsia" w:cstheme="minorEastAsia"/>
          <w:b/>
          <w:bCs/>
          <w:spacing w:val="0"/>
          <w:position w:val="0"/>
          <w:sz w:val="28"/>
          <w:szCs w:val="28"/>
          <w:highlight w:val="none"/>
        </w:rPr>
        <w:t>八、凡对本次招标提出询问，请按照以下方式联系</w:t>
      </w:r>
    </w:p>
    <w:p w14:paraId="5990F0E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采购人信息</w:t>
      </w:r>
    </w:p>
    <w:p w14:paraId="10CA167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rPr>
        <w:t>名称：汤阴县农业农村局</w:t>
      </w:r>
    </w:p>
    <w:p w14:paraId="40596F9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地址：安阳市汤阴县光明路与人民路交叉口</w:t>
      </w:r>
    </w:p>
    <w:p w14:paraId="20594C9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rPr>
        <w:t>联系人：</w:t>
      </w:r>
      <w:r>
        <w:rPr>
          <w:rFonts w:hint="eastAsia" w:asciiTheme="minorEastAsia" w:hAnsiTheme="minorEastAsia" w:eastAsiaTheme="minorEastAsia" w:cstheme="minorEastAsia"/>
          <w:spacing w:val="0"/>
          <w:position w:val="0"/>
          <w:sz w:val="24"/>
          <w:szCs w:val="24"/>
          <w:highlight w:val="none"/>
          <w:lang w:val="en-US" w:eastAsia="zh-CN"/>
        </w:rPr>
        <w:t>高瑞平</w:t>
      </w:r>
    </w:p>
    <w:p w14:paraId="601F847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default" w:asciiTheme="minorEastAsia" w:hAnsiTheme="minorEastAsia" w:eastAsiaTheme="minorEastAsia" w:cstheme="minorEastAsia"/>
          <w:color w:val="0000FF"/>
          <w:spacing w:val="0"/>
          <w:position w:val="0"/>
          <w:sz w:val="24"/>
          <w:szCs w:val="24"/>
          <w:highlight w:val="none"/>
          <w:lang w:val="en-US" w:eastAsia="zh-CN"/>
        </w:rPr>
      </w:pPr>
      <w:r>
        <w:rPr>
          <w:rFonts w:hint="eastAsia" w:asciiTheme="minorEastAsia" w:hAnsiTheme="minorEastAsia" w:eastAsiaTheme="minorEastAsia" w:cstheme="minorEastAsia"/>
          <w:spacing w:val="0"/>
          <w:position w:val="0"/>
          <w:sz w:val="24"/>
          <w:szCs w:val="24"/>
          <w:highlight w:val="none"/>
        </w:rPr>
        <w:t>联</w:t>
      </w:r>
      <w:r>
        <w:rPr>
          <w:rFonts w:hint="eastAsia" w:asciiTheme="minorEastAsia" w:hAnsiTheme="minorEastAsia" w:eastAsiaTheme="minorEastAsia" w:cstheme="minorEastAsia"/>
          <w:color w:val="auto"/>
          <w:spacing w:val="0"/>
          <w:position w:val="0"/>
          <w:sz w:val="24"/>
          <w:szCs w:val="24"/>
          <w:highlight w:val="none"/>
        </w:rPr>
        <w:t>系方式：0372-6225502</w:t>
      </w:r>
      <w:r>
        <w:rPr>
          <w:rFonts w:hint="eastAsia" w:asciiTheme="minorEastAsia" w:hAnsiTheme="minorEastAsia" w:eastAsiaTheme="minorEastAsia" w:cstheme="minorEastAsia"/>
          <w:color w:val="auto"/>
          <w:spacing w:val="0"/>
          <w:position w:val="0"/>
          <w:sz w:val="24"/>
          <w:szCs w:val="24"/>
          <w:highlight w:val="none"/>
          <w:lang w:val="en-US" w:eastAsia="zh-CN"/>
        </w:rPr>
        <w:t xml:space="preserve"> </w:t>
      </w:r>
      <w:r>
        <w:rPr>
          <w:rFonts w:hint="eastAsia" w:asciiTheme="minorEastAsia" w:hAnsiTheme="minorEastAsia" w:eastAsiaTheme="minorEastAsia" w:cstheme="minorEastAsia"/>
          <w:color w:val="0000FF"/>
          <w:spacing w:val="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position w:val="0"/>
          <w:sz w:val="24"/>
          <w:szCs w:val="24"/>
          <w:highlight w:val="none"/>
          <w:lang w:val="en-US" w:eastAsia="zh-CN"/>
        </w:rPr>
        <w:t>13937237172</w:t>
      </w:r>
    </w:p>
    <w:p w14:paraId="6E99F9F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lang w:val="en-US" w:eastAsia="zh-CN"/>
        </w:rPr>
        <w:t>2、</w:t>
      </w:r>
      <w:r>
        <w:rPr>
          <w:rFonts w:hint="eastAsia" w:asciiTheme="minorEastAsia" w:hAnsiTheme="minorEastAsia" w:eastAsiaTheme="minorEastAsia" w:cstheme="minorEastAsia"/>
          <w:spacing w:val="0"/>
          <w:position w:val="0"/>
          <w:sz w:val="24"/>
          <w:szCs w:val="24"/>
          <w:highlight w:val="none"/>
        </w:rPr>
        <w:t>采购代理机构信息</w:t>
      </w:r>
    </w:p>
    <w:p w14:paraId="72F1327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lang w:eastAsia="zh-CN"/>
        </w:rPr>
        <w:t>采购</w:t>
      </w:r>
      <w:r>
        <w:rPr>
          <w:rFonts w:hint="eastAsia" w:asciiTheme="minorEastAsia" w:hAnsiTheme="minorEastAsia" w:eastAsiaTheme="minorEastAsia" w:cstheme="minorEastAsia"/>
          <w:spacing w:val="0"/>
          <w:position w:val="0"/>
          <w:sz w:val="24"/>
          <w:szCs w:val="24"/>
          <w:highlight w:val="none"/>
        </w:rPr>
        <w:t>代理机构：</w:t>
      </w:r>
      <w:r>
        <w:rPr>
          <w:rFonts w:hint="eastAsia" w:asciiTheme="minorEastAsia" w:hAnsiTheme="minorEastAsia" w:eastAsiaTheme="minorEastAsia" w:cstheme="minorEastAsia"/>
          <w:spacing w:val="0"/>
          <w:position w:val="0"/>
          <w:sz w:val="24"/>
          <w:szCs w:val="24"/>
          <w:highlight w:val="none"/>
          <w:lang w:eastAsia="zh-CN"/>
        </w:rPr>
        <w:t>河南省仁哲工程管理有限公司</w:t>
      </w:r>
    </w:p>
    <w:p w14:paraId="72661AE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rPr>
        <w:t>地    址：</w:t>
      </w:r>
      <w:r>
        <w:rPr>
          <w:rFonts w:hint="eastAsia" w:asciiTheme="minorEastAsia" w:hAnsiTheme="minorEastAsia" w:eastAsiaTheme="minorEastAsia" w:cstheme="minorEastAsia"/>
          <w:spacing w:val="0"/>
          <w:position w:val="0"/>
          <w:sz w:val="24"/>
          <w:szCs w:val="24"/>
          <w:highlight w:val="none"/>
          <w:lang w:eastAsia="zh-CN"/>
        </w:rPr>
        <w:t>曙光路与长江大道交叉口西南角</w:t>
      </w:r>
    </w:p>
    <w:p w14:paraId="5E25FB7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rPr>
        <w:t>联 系 人：</w:t>
      </w:r>
      <w:r>
        <w:rPr>
          <w:rFonts w:hint="eastAsia" w:asciiTheme="minorEastAsia" w:hAnsiTheme="minorEastAsia" w:eastAsiaTheme="minorEastAsia" w:cstheme="minorEastAsia"/>
          <w:spacing w:val="0"/>
          <w:position w:val="0"/>
          <w:sz w:val="24"/>
          <w:szCs w:val="24"/>
          <w:highlight w:val="none"/>
          <w:lang w:eastAsia="zh-CN"/>
        </w:rPr>
        <w:t>王光宇</w:t>
      </w:r>
    </w:p>
    <w:p w14:paraId="330B23B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rPr>
        <w:t>联系电话：</w:t>
      </w:r>
      <w:r>
        <w:rPr>
          <w:rFonts w:hint="eastAsia" w:asciiTheme="minorEastAsia" w:hAnsiTheme="minorEastAsia" w:eastAsiaTheme="minorEastAsia" w:cstheme="minorEastAsia"/>
          <w:spacing w:val="0"/>
          <w:position w:val="0"/>
          <w:sz w:val="24"/>
          <w:szCs w:val="24"/>
          <w:highlight w:val="none"/>
          <w:lang w:eastAsia="zh-CN"/>
        </w:rPr>
        <w:t>15603726789</w:t>
      </w:r>
    </w:p>
    <w:p w14:paraId="23D8D4E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lang w:val="en-US" w:eastAsia="zh-CN"/>
        </w:rPr>
        <w:t>3、</w:t>
      </w:r>
      <w:r>
        <w:rPr>
          <w:rFonts w:hint="eastAsia" w:asciiTheme="minorEastAsia" w:hAnsiTheme="minorEastAsia" w:eastAsiaTheme="minorEastAsia" w:cstheme="minorEastAsia"/>
          <w:spacing w:val="0"/>
          <w:position w:val="0"/>
          <w:sz w:val="24"/>
          <w:szCs w:val="24"/>
          <w:highlight w:val="none"/>
          <w:lang w:eastAsia="zh-CN"/>
        </w:rPr>
        <w:t>项目联系方式</w:t>
      </w:r>
    </w:p>
    <w:p w14:paraId="0CFD71C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lang w:eastAsia="zh-CN"/>
        </w:rPr>
        <w:t>项目联系人：王光宇</w:t>
      </w:r>
    </w:p>
    <w:p w14:paraId="727FD83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lang w:eastAsia="zh-CN"/>
        </w:rPr>
        <w:t>联系方式：15603726789</w:t>
      </w:r>
    </w:p>
    <w:p w14:paraId="3CE30E0E">
      <w:pPr>
        <w:keepNext w:val="0"/>
        <w:keepLines w:val="0"/>
        <w:pageBreakBefore w:val="0"/>
        <w:widowControl w:val="0"/>
        <w:kinsoku/>
        <w:wordWrap w:val="0"/>
        <w:overflowPunct w:val="0"/>
        <w:topLinePunct/>
        <w:autoSpaceDE/>
        <w:autoSpaceDN/>
        <w:bidi w:val="0"/>
        <w:adjustRightInd/>
        <w:snapToGrid/>
        <w:spacing w:before="0" w:beforeLines="0" w:after="0" w:afterLines="0" w:line="360" w:lineRule="auto"/>
        <w:ind w:left="0" w:right="0" w:firstLine="420" w:firstLineChars="200"/>
        <w:jc w:val="left"/>
        <w:textAlignment w:val="auto"/>
        <w:outlineLvl w:val="9"/>
        <w:rPr>
          <w:rFonts w:hint="eastAsia"/>
          <w:highlight w:val="none"/>
        </w:rPr>
      </w:pPr>
    </w:p>
    <w:p w14:paraId="5786CA30">
      <w:pPr>
        <w:keepNext w:val="0"/>
        <w:keepLines w:val="0"/>
        <w:pageBreakBefore w:val="0"/>
        <w:widowControl w:val="0"/>
        <w:kinsoku/>
        <w:wordWrap w:val="0"/>
        <w:overflowPunct w:val="0"/>
        <w:topLinePunct/>
        <w:autoSpaceDE/>
        <w:autoSpaceDN/>
        <w:bidi w:val="0"/>
        <w:adjustRightInd/>
        <w:snapToGrid/>
        <w:spacing w:before="0" w:beforeLines="0" w:after="0" w:afterLines="0" w:line="360" w:lineRule="auto"/>
        <w:ind w:left="0" w:right="0" w:firstLine="420" w:firstLineChars="200"/>
        <w:jc w:val="left"/>
        <w:textAlignment w:val="auto"/>
        <w:outlineLvl w:val="9"/>
        <w:rPr>
          <w:rFonts w:hint="eastAsia"/>
          <w:highlight w:val="none"/>
        </w:rPr>
      </w:pPr>
    </w:p>
    <w:p w14:paraId="5F016683">
      <w:pPr>
        <w:keepNext w:val="0"/>
        <w:keepLines w:val="0"/>
        <w:pageBreakBefore w:val="0"/>
        <w:widowControl w:val="0"/>
        <w:kinsoku/>
        <w:wordWrap w:val="0"/>
        <w:overflowPunct w:val="0"/>
        <w:topLinePunct/>
        <w:autoSpaceDE/>
        <w:autoSpaceDN/>
        <w:bidi w:val="0"/>
        <w:adjustRightInd/>
        <w:snapToGrid/>
        <w:spacing w:before="0" w:beforeLines="0" w:after="0" w:afterLines="0" w:line="360" w:lineRule="auto"/>
        <w:ind w:left="0" w:right="0" w:firstLine="420" w:firstLineChars="200"/>
        <w:jc w:val="left"/>
        <w:textAlignment w:val="auto"/>
        <w:outlineLvl w:val="9"/>
        <w:rPr>
          <w:rFonts w:hint="eastAsia"/>
          <w:highlight w:val="none"/>
        </w:rPr>
      </w:pPr>
    </w:p>
    <w:p w14:paraId="011C244B">
      <w:pPr>
        <w:pStyle w:val="2"/>
        <w:bidi w:val="0"/>
        <w:rPr>
          <w:rFonts w:hint="eastAsia"/>
          <w:highlight w:val="none"/>
        </w:rPr>
      </w:pPr>
      <w:bookmarkStart w:id="3" w:name="_Toc20344"/>
      <w:r>
        <w:rPr>
          <w:rFonts w:hint="eastAsia"/>
          <w:highlight w:val="none"/>
        </w:rPr>
        <w:t>第二章 采购项目及技术服务要求</w:t>
      </w:r>
      <w:bookmarkEnd w:id="3"/>
    </w:p>
    <w:p w14:paraId="79A98945">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spacing w:val="0"/>
          <w:position w:val="0"/>
          <w:sz w:val="28"/>
          <w:szCs w:val="28"/>
          <w:highlight w:val="none"/>
        </w:rPr>
      </w:pPr>
      <w:bookmarkStart w:id="4" w:name="bookmark5"/>
      <w:bookmarkEnd w:id="4"/>
    </w:p>
    <w:p w14:paraId="2D0D7643">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spacing w:val="0"/>
          <w:position w:val="0"/>
          <w:sz w:val="28"/>
          <w:szCs w:val="28"/>
          <w:highlight w:val="none"/>
        </w:rPr>
      </w:pPr>
      <w:r>
        <w:rPr>
          <w:rFonts w:hint="eastAsia" w:asciiTheme="minorEastAsia" w:hAnsiTheme="minorEastAsia" w:eastAsiaTheme="minorEastAsia" w:cstheme="minorEastAsia"/>
          <w:b/>
          <w:bCs/>
          <w:spacing w:val="0"/>
          <w:position w:val="0"/>
          <w:sz w:val="28"/>
          <w:szCs w:val="28"/>
          <w:highlight w:val="none"/>
        </w:rPr>
        <w:t>1. 采购项目、标段划分、投标报价</w:t>
      </w:r>
    </w:p>
    <w:p w14:paraId="1C5BE08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napToGrid w:val="0"/>
          <w:color w:val="auto"/>
          <w:spacing w:val="0"/>
          <w:kern w:val="0"/>
          <w:position w:val="0"/>
          <w:sz w:val="24"/>
          <w:szCs w:val="24"/>
          <w:highlight w:val="none"/>
          <w:lang w:val="zh-CN" w:eastAsia="zh-CN" w:bidi="ar-SA"/>
        </w:rPr>
      </w:pPr>
      <w:r>
        <w:rPr>
          <w:rFonts w:hint="eastAsia" w:asciiTheme="minorEastAsia" w:hAnsiTheme="minorEastAsia" w:eastAsiaTheme="minorEastAsia" w:cstheme="minorEastAsia"/>
          <w:b/>
          <w:bCs/>
          <w:snapToGrid w:val="0"/>
          <w:color w:val="auto"/>
          <w:spacing w:val="0"/>
          <w:kern w:val="0"/>
          <w:position w:val="0"/>
          <w:sz w:val="24"/>
          <w:szCs w:val="24"/>
          <w:highlight w:val="none"/>
          <w:lang w:val="en-US" w:eastAsia="zh-CN" w:bidi="ar-SA"/>
        </w:rPr>
        <w:t>1.1</w:t>
      </w:r>
      <w:r>
        <w:rPr>
          <w:rFonts w:hint="eastAsia" w:asciiTheme="minorEastAsia" w:hAnsiTheme="minorEastAsia" w:eastAsiaTheme="minorEastAsia" w:cstheme="minorEastAsia"/>
          <w:b/>
          <w:bCs/>
          <w:snapToGrid w:val="0"/>
          <w:color w:val="auto"/>
          <w:spacing w:val="0"/>
          <w:kern w:val="0"/>
          <w:position w:val="0"/>
          <w:sz w:val="24"/>
          <w:szCs w:val="24"/>
          <w:highlight w:val="none"/>
          <w:lang w:val="en-US" w:eastAsia="en-US" w:bidi="ar-SA"/>
        </w:rPr>
        <w:t>采购项目名称</w:t>
      </w:r>
      <w:r>
        <w:rPr>
          <w:rFonts w:hint="eastAsia" w:asciiTheme="minorEastAsia" w:hAnsiTheme="minorEastAsia" w:eastAsiaTheme="minorEastAsia" w:cstheme="minorEastAsia"/>
          <w:snapToGrid w:val="0"/>
          <w:color w:val="auto"/>
          <w:spacing w:val="0"/>
          <w:kern w:val="0"/>
          <w:position w:val="0"/>
          <w:sz w:val="24"/>
          <w:szCs w:val="24"/>
          <w:highlight w:val="none"/>
          <w:lang w:val="en-US" w:eastAsia="en-US" w:bidi="ar-SA"/>
        </w:rPr>
        <w:t>：</w:t>
      </w:r>
      <w:r>
        <w:rPr>
          <w:rFonts w:hint="eastAsia" w:asciiTheme="minorEastAsia" w:hAnsiTheme="minorEastAsia" w:eastAsiaTheme="minorEastAsia" w:cstheme="minorEastAsia"/>
          <w:snapToGrid w:val="0"/>
          <w:color w:val="auto"/>
          <w:spacing w:val="0"/>
          <w:kern w:val="0"/>
          <w:position w:val="0"/>
          <w:sz w:val="24"/>
          <w:szCs w:val="24"/>
          <w:highlight w:val="none"/>
          <w:lang w:val="zh-CN" w:eastAsia="en-US" w:bidi="ar-SA"/>
        </w:rPr>
        <w:t>汤阴县农业农村局2026年秋粮防灾减灾项目</w:t>
      </w:r>
      <w:r>
        <w:rPr>
          <w:rFonts w:hint="eastAsia" w:asciiTheme="minorEastAsia" w:hAnsiTheme="minorEastAsia" w:eastAsiaTheme="minorEastAsia" w:cstheme="minorEastAsia"/>
          <w:snapToGrid w:val="0"/>
          <w:color w:val="auto"/>
          <w:spacing w:val="0"/>
          <w:kern w:val="0"/>
          <w:position w:val="0"/>
          <w:sz w:val="24"/>
          <w:szCs w:val="24"/>
          <w:highlight w:val="none"/>
          <w:lang w:val="en-US" w:eastAsia="zh-CN" w:bidi="ar-SA"/>
        </w:rPr>
        <w:t>三次</w:t>
      </w:r>
    </w:p>
    <w:p w14:paraId="2E4DAC9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napToGrid w:val="0"/>
          <w:color w:val="auto"/>
          <w:spacing w:val="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kern w:val="0"/>
          <w:position w:val="0"/>
          <w:sz w:val="24"/>
          <w:szCs w:val="24"/>
          <w:highlight w:val="none"/>
          <w:lang w:val="en-US" w:eastAsia="en-US" w:bidi="ar-SA"/>
        </w:rPr>
        <w:t>1.2 标段划分</w:t>
      </w:r>
      <w:r>
        <w:rPr>
          <w:rFonts w:hint="eastAsia" w:asciiTheme="minorEastAsia" w:hAnsiTheme="minorEastAsia" w:eastAsiaTheme="minorEastAsia" w:cstheme="minorEastAsia"/>
          <w:snapToGrid w:val="0"/>
          <w:color w:val="auto"/>
          <w:spacing w:val="0"/>
          <w:kern w:val="0"/>
          <w:position w:val="0"/>
          <w:sz w:val="24"/>
          <w:szCs w:val="24"/>
          <w:highlight w:val="none"/>
          <w:lang w:val="en-US" w:eastAsia="en-US" w:bidi="ar-SA"/>
        </w:rPr>
        <w:t>：本次采购项目划分为</w:t>
      </w:r>
      <w:r>
        <w:rPr>
          <w:rFonts w:hint="eastAsia" w:asciiTheme="minorEastAsia" w:hAnsiTheme="minorEastAsia" w:eastAsiaTheme="minorEastAsia" w:cstheme="minorEastAsia"/>
          <w:snapToGrid w:val="0"/>
          <w:color w:val="auto"/>
          <w:spacing w:val="0"/>
          <w:kern w:val="0"/>
          <w:position w:val="0"/>
          <w:sz w:val="24"/>
          <w:szCs w:val="24"/>
          <w:highlight w:val="none"/>
          <w:lang w:val="en-US" w:eastAsia="zh-CN" w:bidi="ar-SA"/>
        </w:rPr>
        <w:t>1</w:t>
      </w:r>
      <w:r>
        <w:rPr>
          <w:rFonts w:hint="eastAsia" w:asciiTheme="minorEastAsia" w:hAnsiTheme="minorEastAsia" w:eastAsiaTheme="minorEastAsia" w:cstheme="minorEastAsia"/>
          <w:snapToGrid w:val="0"/>
          <w:color w:val="auto"/>
          <w:spacing w:val="0"/>
          <w:kern w:val="0"/>
          <w:position w:val="0"/>
          <w:sz w:val="24"/>
          <w:szCs w:val="24"/>
          <w:highlight w:val="none"/>
          <w:lang w:val="en-US" w:eastAsia="en-US" w:bidi="ar-SA"/>
        </w:rPr>
        <w:t>个标段</w:t>
      </w:r>
      <w:r>
        <w:rPr>
          <w:rFonts w:hint="eastAsia" w:asciiTheme="minorEastAsia" w:hAnsiTheme="minorEastAsia" w:eastAsiaTheme="minorEastAsia" w:cstheme="minorEastAsia"/>
          <w:snapToGrid w:val="0"/>
          <w:color w:val="auto"/>
          <w:spacing w:val="0"/>
          <w:kern w:val="0"/>
          <w:position w:val="0"/>
          <w:sz w:val="24"/>
          <w:szCs w:val="24"/>
          <w:highlight w:val="none"/>
          <w:lang w:val="en-US" w:eastAsia="zh-CN" w:bidi="ar-SA"/>
        </w:rPr>
        <w:t>（包段）</w:t>
      </w:r>
    </w:p>
    <w:tbl>
      <w:tblPr>
        <w:tblStyle w:val="15"/>
        <w:tblW w:w="10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2"/>
        <w:gridCol w:w="1730"/>
        <w:gridCol w:w="1967"/>
        <w:gridCol w:w="1756"/>
        <w:gridCol w:w="1253"/>
        <w:gridCol w:w="1652"/>
      </w:tblGrid>
      <w:tr w14:paraId="404D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0100" w:type="dxa"/>
            <w:gridSpan w:val="6"/>
            <w:vAlign w:val="center"/>
          </w:tcPr>
          <w:p w14:paraId="3664233A">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b/>
                <w:color w:val="auto"/>
                <w:spacing w:val="0"/>
                <w:position w:val="0"/>
                <w:sz w:val="24"/>
                <w:szCs w:val="24"/>
                <w:highlight w:val="none"/>
              </w:rPr>
            </w:pPr>
            <w:r>
              <w:rPr>
                <w:rFonts w:hint="eastAsia" w:asciiTheme="minorEastAsia" w:hAnsiTheme="minorEastAsia" w:eastAsiaTheme="minorEastAsia" w:cstheme="minorEastAsia"/>
                <w:b/>
                <w:color w:val="auto"/>
                <w:spacing w:val="0"/>
                <w:position w:val="0"/>
                <w:sz w:val="24"/>
                <w:szCs w:val="24"/>
                <w:highlight w:val="none"/>
              </w:rPr>
              <w:t>标段（包）一览表</w:t>
            </w:r>
          </w:p>
        </w:tc>
      </w:tr>
      <w:tr w14:paraId="5A72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42" w:type="dxa"/>
            <w:vAlign w:val="center"/>
          </w:tcPr>
          <w:p w14:paraId="7A87939D">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b/>
                <w:color w:val="auto"/>
                <w:spacing w:val="0"/>
                <w:position w:val="0"/>
                <w:sz w:val="24"/>
                <w:szCs w:val="24"/>
                <w:highlight w:val="none"/>
              </w:rPr>
            </w:pPr>
            <w:r>
              <w:rPr>
                <w:rFonts w:hint="eastAsia" w:asciiTheme="minorEastAsia" w:hAnsiTheme="minorEastAsia" w:eastAsiaTheme="minorEastAsia" w:cstheme="minorEastAsia"/>
                <w:b/>
                <w:color w:val="auto"/>
                <w:spacing w:val="0"/>
                <w:position w:val="0"/>
                <w:sz w:val="24"/>
                <w:szCs w:val="24"/>
                <w:highlight w:val="none"/>
              </w:rPr>
              <w:t>项目名称</w:t>
            </w:r>
          </w:p>
        </w:tc>
        <w:tc>
          <w:tcPr>
            <w:tcW w:w="1730" w:type="dxa"/>
            <w:vAlign w:val="center"/>
          </w:tcPr>
          <w:p w14:paraId="23BA7F09">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b/>
                <w:color w:val="auto"/>
                <w:spacing w:val="0"/>
                <w:position w:val="0"/>
                <w:sz w:val="24"/>
                <w:szCs w:val="24"/>
                <w:highlight w:val="none"/>
              </w:rPr>
            </w:pPr>
            <w:r>
              <w:rPr>
                <w:rFonts w:hint="eastAsia" w:asciiTheme="minorEastAsia" w:hAnsiTheme="minorEastAsia" w:eastAsiaTheme="minorEastAsia" w:cstheme="minorEastAsia"/>
                <w:b/>
                <w:color w:val="auto"/>
                <w:spacing w:val="0"/>
                <w:position w:val="0"/>
                <w:sz w:val="24"/>
                <w:szCs w:val="24"/>
                <w:highlight w:val="none"/>
              </w:rPr>
              <w:t>标段（包）名称</w:t>
            </w:r>
          </w:p>
        </w:tc>
        <w:tc>
          <w:tcPr>
            <w:tcW w:w="1967" w:type="dxa"/>
            <w:vAlign w:val="center"/>
          </w:tcPr>
          <w:p w14:paraId="7A324820">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b/>
                <w:color w:val="auto"/>
                <w:spacing w:val="0"/>
                <w:position w:val="0"/>
                <w:sz w:val="24"/>
                <w:szCs w:val="24"/>
                <w:highlight w:val="none"/>
              </w:rPr>
            </w:pPr>
            <w:r>
              <w:rPr>
                <w:rFonts w:hint="eastAsia" w:asciiTheme="minorEastAsia" w:hAnsiTheme="minorEastAsia" w:eastAsiaTheme="minorEastAsia" w:cstheme="minorEastAsia"/>
                <w:b/>
                <w:color w:val="auto"/>
                <w:spacing w:val="0"/>
                <w:position w:val="0"/>
                <w:sz w:val="24"/>
                <w:szCs w:val="24"/>
                <w:highlight w:val="none"/>
              </w:rPr>
              <w:t>标段（包）内容（范围）</w:t>
            </w:r>
          </w:p>
        </w:tc>
        <w:tc>
          <w:tcPr>
            <w:tcW w:w="1756" w:type="dxa"/>
            <w:vAlign w:val="center"/>
          </w:tcPr>
          <w:p w14:paraId="38879800">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b/>
                <w:color w:val="auto"/>
                <w:spacing w:val="0"/>
                <w:position w:val="0"/>
                <w:sz w:val="24"/>
                <w:szCs w:val="24"/>
                <w:highlight w:val="none"/>
              </w:rPr>
            </w:pPr>
            <w:r>
              <w:rPr>
                <w:rFonts w:hint="eastAsia" w:asciiTheme="minorEastAsia" w:hAnsiTheme="minorEastAsia" w:eastAsiaTheme="minorEastAsia" w:cstheme="minorEastAsia"/>
                <w:b/>
                <w:color w:val="auto"/>
                <w:spacing w:val="0"/>
                <w:position w:val="0"/>
                <w:sz w:val="24"/>
                <w:szCs w:val="24"/>
                <w:highlight w:val="none"/>
                <w:lang w:val="en-US" w:eastAsia="zh-CN"/>
              </w:rPr>
              <w:t>合同履行期限（服务期）</w:t>
            </w:r>
          </w:p>
        </w:tc>
        <w:tc>
          <w:tcPr>
            <w:tcW w:w="1253" w:type="dxa"/>
            <w:vAlign w:val="center"/>
          </w:tcPr>
          <w:p w14:paraId="0E9323E0">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b/>
                <w:color w:val="auto"/>
                <w:spacing w:val="0"/>
                <w:position w:val="0"/>
                <w:sz w:val="24"/>
                <w:szCs w:val="24"/>
                <w:highlight w:val="none"/>
              </w:rPr>
            </w:pPr>
            <w:r>
              <w:rPr>
                <w:rFonts w:hint="eastAsia" w:asciiTheme="minorEastAsia" w:hAnsiTheme="minorEastAsia" w:eastAsiaTheme="minorEastAsia" w:cstheme="minorEastAsia"/>
                <w:b/>
                <w:color w:val="auto"/>
                <w:spacing w:val="0"/>
                <w:position w:val="0"/>
                <w:sz w:val="24"/>
                <w:szCs w:val="24"/>
                <w:highlight w:val="none"/>
                <w:lang w:val="en-US" w:eastAsia="zh-CN"/>
              </w:rPr>
              <w:t>服务地点</w:t>
            </w:r>
          </w:p>
        </w:tc>
        <w:tc>
          <w:tcPr>
            <w:tcW w:w="1652" w:type="dxa"/>
            <w:vAlign w:val="center"/>
          </w:tcPr>
          <w:p w14:paraId="62AD3763">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b/>
                <w:color w:val="auto"/>
                <w:spacing w:val="0"/>
                <w:position w:val="0"/>
                <w:sz w:val="24"/>
                <w:szCs w:val="24"/>
                <w:highlight w:val="none"/>
                <w:lang w:val="en-US" w:eastAsia="zh-CN"/>
              </w:rPr>
            </w:pPr>
            <w:r>
              <w:rPr>
                <w:rFonts w:hint="eastAsia" w:asciiTheme="minorEastAsia" w:hAnsiTheme="minorEastAsia" w:eastAsiaTheme="minorEastAsia" w:cstheme="minorEastAsia"/>
                <w:b/>
                <w:color w:val="auto"/>
                <w:spacing w:val="0"/>
                <w:position w:val="0"/>
                <w:sz w:val="24"/>
                <w:szCs w:val="24"/>
                <w:highlight w:val="none"/>
                <w:lang w:val="en-US" w:eastAsia="zh-CN"/>
              </w:rPr>
              <w:t>质量要求</w:t>
            </w:r>
          </w:p>
        </w:tc>
      </w:tr>
      <w:tr w14:paraId="4F06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1742" w:type="dxa"/>
            <w:vAlign w:val="center"/>
          </w:tcPr>
          <w:p w14:paraId="073D61AF">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lang w:eastAsia="zh-CN"/>
              </w:rPr>
            </w:pPr>
            <w:r>
              <w:rPr>
                <w:rFonts w:hint="eastAsia" w:asciiTheme="minorEastAsia" w:hAnsiTheme="minorEastAsia" w:eastAsiaTheme="minorEastAsia" w:cstheme="minorEastAsia"/>
                <w:color w:val="auto"/>
                <w:spacing w:val="0"/>
                <w:position w:val="0"/>
                <w:sz w:val="24"/>
                <w:szCs w:val="24"/>
                <w:highlight w:val="none"/>
                <w:lang w:val="zh-CN" w:eastAsia="zh-CN"/>
              </w:rPr>
              <w:t>汤阴县农业农村局2026年秋粮防灾减灾项目</w:t>
            </w:r>
            <w:r>
              <w:rPr>
                <w:rFonts w:hint="eastAsia" w:asciiTheme="minorEastAsia" w:hAnsiTheme="minorEastAsia" w:eastAsiaTheme="minorEastAsia" w:cstheme="minorEastAsia"/>
                <w:color w:val="auto"/>
                <w:spacing w:val="0"/>
                <w:position w:val="0"/>
                <w:sz w:val="24"/>
                <w:szCs w:val="24"/>
                <w:highlight w:val="none"/>
                <w:lang w:val="en-US" w:eastAsia="zh-CN"/>
              </w:rPr>
              <w:t>三</w:t>
            </w:r>
            <w:r>
              <w:rPr>
                <w:rFonts w:hint="eastAsia" w:asciiTheme="minorEastAsia" w:hAnsiTheme="minorEastAsia" w:eastAsiaTheme="minorEastAsia" w:cstheme="minorEastAsia"/>
                <w:color w:val="auto"/>
                <w:spacing w:val="0"/>
                <w:position w:val="0"/>
                <w:sz w:val="24"/>
                <w:szCs w:val="24"/>
                <w:highlight w:val="none"/>
                <w:lang w:val="zh-CN" w:eastAsia="zh-CN"/>
              </w:rPr>
              <w:t>次</w:t>
            </w:r>
          </w:p>
        </w:tc>
        <w:tc>
          <w:tcPr>
            <w:tcW w:w="1730" w:type="dxa"/>
            <w:vAlign w:val="center"/>
          </w:tcPr>
          <w:p w14:paraId="768BAF29">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lang w:val="zh-CN"/>
              </w:rPr>
              <w:t>汤阴县农业农村局2026年秋粮防灾减灾项目</w:t>
            </w:r>
            <w:r>
              <w:rPr>
                <w:rFonts w:hint="eastAsia" w:asciiTheme="minorEastAsia" w:hAnsiTheme="minorEastAsia" w:eastAsiaTheme="minorEastAsia" w:cstheme="minorEastAsia"/>
                <w:spacing w:val="0"/>
                <w:position w:val="0"/>
                <w:sz w:val="24"/>
                <w:szCs w:val="24"/>
                <w:highlight w:val="none"/>
                <w:lang w:val="en-US" w:eastAsia="zh-CN"/>
              </w:rPr>
              <w:t>三</w:t>
            </w:r>
            <w:r>
              <w:rPr>
                <w:rFonts w:hint="eastAsia" w:asciiTheme="minorEastAsia" w:hAnsiTheme="minorEastAsia" w:eastAsiaTheme="minorEastAsia" w:cstheme="minorEastAsia"/>
                <w:spacing w:val="0"/>
                <w:position w:val="0"/>
                <w:sz w:val="24"/>
                <w:szCs w:val="24"/>
                <w:highlight w:val="none"/>
                <w:lang w:val="zh-CN"/>
              </w:rPr>
              <w:t>次</w:t>
            </w:r>
          </w:p>
        </w:tc>
        <w:tc>
          <w:tcPr>
            <w:tcW w:w="1967" w:type="dxa"/>
            <w:vAlign w:val="center"/>
          </w:tcPr>
          <w:p w14:paraId="3ADEA03C">
            <w:pPr>
              <w:pStyle w:val="19"/>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见“第二章第2条：标段（包）内容（范围）及具体采购需求”</w:t>
            </w:r>
          </w:p>
        </w:tc>
        <w:tc>
          <w:tcPr>
            <w:tcW w:w="1756" w:type="dxa"/>
            <w:vAlign w:val="center"/>
          </w:tcPr>
          <w:p w14:paraId="6985AE05">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见</w:t>
            </w:r>
            <w:r>
              <w:rPr>
                <w:rFonts w:hint="eastAsia" w:asciiTheme="minorEastAsia" w:hAnsiTheme="minorEastAsia" w:eastAsiaTheme="minorEastAsia" w:cstheme="minorEastAsia"/>
                <w:color w:val="auto"/>
                <w:spacing w:val="0"/>
                <w:position w:val="0"/>
                <w:sz w:val="24"/>
                <w:szCs w:val="24"/>
                <w:highlight w:val="none"/>
                <w:lang w:val="en-US" w:eastAsia="zh-CN"/>
              </w:rPr>
              <w:t>采购</w:t>
            </w:r>
            <w:r>
              <w:rPr>
                <w:rFonts w:hint="eastAsia" w:asciiTheme="minorEastAsia" w:hAnsiTheme="minorEastAsia" w:eastAsiaTheme="minorEastAsia" w:cstheme="minorEastAsia"/>
                <w:color w:val="auto"/>
                <w:spacing w:val="0"/>
                <w:position w:val="0"/>
                <w:sz w:val="24"/>
                <w:szCs w:val="24"/>
                <w:highlight w:val="none"/>
              </w:rPr>
              <w:t>公告</w:t>
            </w:r>
          </w:p>
        </w:tc>
        <w:tc>
          <w:tcPr>
            <w:tcW w:w="1253" w:type="dxa"/>
            <w:vAlign w:val="center"/>
          </w:tcPr>
          <w:p w14:paraId="5FD9E360">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shd w:val="clear" w:color="auto" w:fill="FFFFFF"/>
              </w:rPr>
              <w:t>采购人指定区域内</w:t>
            </w:r>
          </w:p>
        </w:tc>
        <w:tc>
          <w:tcPr>
            <w:tcW w:w="1652" w:type="dxa"/>
            <w:vAlign w:val="center"/>
          </w:tcPr>
          <w:p w14:paraId="294BBF87">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right="0"/>
              <w:jc w:val="center"/>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t>满足采购人要求，达到国家相关执行标准</w:t>
            </w:r>
          </w:p>
        </w:tc>
      </w:tr>
    </w:tbl>
    <w:p w14:paraId="12A468E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1.3</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投标报价（价格构成）</w:t>
      </w:r>
    </w:p>
    <w:p w14:paraId="22ADBE5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 xml:space="preserve">1.3.1 </w:t>
      </w:r>
      <w:r>
        <w:rPr>
          <w:rFonts w:hint="eastAsia" w:asciiTheme="minorEastAsia" w:hAnsiTheme="minorEastAsia" w:eastAsiaTheme="minorEastAsia" w:cstheme="minorEastAsia"/>
          <w:spacing w:val="0"/>
          <w:position w:val="0"/>
          <w:sz w:val="24"/>
          <w:szCs w:val="24"/>
          <w:highlight w:val="none"/>
          <w:lang w:val="en-US" w:eastAsia="zh-CN"/>
        </w:rPr>
        <w:t>投标人（供应商）的投标报价应为达到采购需求下的服务总报价，包括人工费、设备费、材料费、交通费、外业调查费，数据处理费、成果印刷费、技术服务费、</w:t>
      </w:r>
      <w:r>
        <w:rPr>
          <w:rFonts w:hint="eastAsia" w:asciiTheme="minorEastAsia" w:hAnsiTheme="minorEastAsia" w:eastAsiaTheme="minorEastAsia" w:cstheme="minorEastAsia"/>
          <w:b/>
          <w:bCs/>
          <w:spacing w:val="0"/>
          <w:position w:val="0"/>
          <w:sz w:val="24"/>
          <w:szCs w:val="24"/>
          <w:highlight w:val="none"/>
          <w:lang w:val="en-US" w:eastAsia="zh-CN"/>
        </w:rPr>
        <w:t>代理服务费</w:t>
      </w:r>
      <w:r>
        <w:rPr>
          <w:rFonts w:hint="eastAsia" w:asciiTheme="minorEastAsia" w:hAnsiTheme="minorEastAsia" w:eastAsiaTheme="minorEastAsia" w:cstheme="minorEastAsia"/>
          <w:spacing w:val="0"/>
          <w:position w:val="0"/>
          <w:sz w:val="24"/>
          <w:szCs w:val="24"/>
          <w:highlight w:val="none"/>
          <w:lang w:val="en-US" w:eastAsia="zh-CN"/>
        </w:rPr>
        <w:t>、相关部门论证评审费（如有）、评审验收费（如有）、知识产权（如有）、保险（如需）、所涉货物包装、相关税款等与招标项目相关的、必须的款项及费用（包括未列明而完成交验所必须的所有设备、材料、工具、费用</w:t>
      </w:r>
      <w:r>
        <w:rPr>
          <w:rFonts w:hint="eastAsia" w:asciiTheme="minorEastAsia" w:hAnsiTheme="minorEastAsia" w:eastAsiaTheme="minorEastAsia" w:cstheme="minorEastAsia"/>
          <w:spacing w:val="0"/>
          <w:position w:val="0"/>
          <w:sz w:val="24"/>
          <w:szCs w:val="24"/>
          <w:highlight w:val="none"/>
        </w:rPr>
        <w:t>。</w:t>
      </w:r>
    </w:p>
    <w:p w14:paraId="406729A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1.3.2 本次竞争性谈判共二次报价（含系统中</w:t>
      </w:r>
      <w:r>
        <w:rPr>
          <w:rFonts w:hint="eastAsia" w:asciiTheme="minorEastAsia" w:hAnsiTheme="minorEastAsia" w:eastAsiaTheme="minorEastAsia" w:cstheme="minorEastAsia"/>
          <w:spacing w:val="0"/>
          <w:position w:val="0"/>
          <w:sz w:val="24"/>
          <w:szCs w:val="24"/>
          <w:highlight w:val="none"/>
          <w:lang w:eastAsia="zh-CN"/>
        </w:rPr>
        <w:t>报价一览表</w:t>
      </w:r>
      <w:r>
        <w:rPr>
          <w:rFonts w:hint="eastAsia" w:asciiTheme="minorEastAsia" w:hAnsiTheme="minorEastAsia" w:eastAsiaTheme="minorEastAsia" w:cstheme="minorEastAsia"/>
          <w:spacing w:val="0"/>
          <w:position w:val="0"/>
          <w:sz w:val="24"/>
          <w:szCs w:val="24"/>
          <w:highlight w:val="none"/>
        </w:rPr>
        <w:t>报价共二次价格谈判）。谈判 小组未对谈判文件</w:t>
      </w:r>
      <w:r>
        <w:rPr>
          <w:rFonts w:hint="eastAsia" w:asciiTheme="minorEastAsia" w:hAnsiTheme="minorEastAsia" w:eastAsiaTheme="minorEastAsia" w:cstheme="minorEastAsia"/>
          <w:spacing w:val="0"/>
          <w:position w:val="0"/>
          <w:sz w:val="24"/>
          <w:szCs w:val="24"/>
          <w:highlight w:val="none"/>
          <w:lang w:eastAsia="zh-CN"/>
        </w:rPr>
        <w:t>做</w:t>
      </w:r>
      <w:r>
        <w:rPr>
          <w:rFonts w:hint="eastAsia" w:asciiTheme="minorEastAsia" w:hAnsiTheme="minorEastAsia" w:eastAsiaTheme="minorEastAsia" w:cstheme="minorEastAsia"/>
          <w:spacing w:val="0"/>
          <w:position w:val="0"/>
          <w:sz w:val="24"/>
          <w:szCs w:val="24"/>
          <w:highlight w:val="none"/>
        </w:rPr>
        <w:t>优化变更增加的，谈判中的报价均不应超过前次报价，投标人擅自调高报价的，谈判小组将</w:t>
      </w:r>
      <w:r>
        <w:rPr>
          <w:rFonts w:hint="eastAsia" w:asciiTheme="minorEastAsia" w:hAnsiTheme="minorEastAsia" w:eastAsiaTheme="minorEastAsia" w:cstheme="minorEastAsia"/>
          <w:spacing w:val="0"/>
          <w:position w:val="0"/>
          <w:sz w:val="24"/>
          <w:szCs w:val="24"/>
          <w:highlight w:val="none"/>
          <w:lang w:val="en-US" w:eastAsia="zh-CN"/>
        </w:rPr>
        <w:t>视</w:t>
      </w:r>
      <w:r>
        <w:rPr>
          <w:rFonts w:hint="eastAsia" w:asciiTheme="minorEastAsia" w:hAnsiTheme="minorEastAsia" w:eastAsiaTheme="minorEastAsia" w:cstheme="minorEastAsia"/>
          <w:spacing w:val="0"/>
          <w:position w:val="0"/>
          <w:sz w:val="24"/>
          <w:szCs w:val="24"/>
          <w:highlight w:val="none"/>
        </w:rPr>
        <w:t>为无效投标。</w:t>
      </w:r>
    </w:p>
    <w:p w14:paraId="3A31E0A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价格谈判规则详见第四章“评审办法”第“3.5.7 价格谈判 ”条款。</w:t>
      </w:r>
    </w:p>
    <w:p w14:paraId="6D08743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1.3.3 如投标人的投标报价未超过采购预算（见谈判公告 1.5）的供应商不足三家的， 该标段</w:t>
      </w:r>
      <w:r>
        <w:rPr>
          <w:rFonts w:hint="eastAsia" w:asciiTheme="minorEastAsia" w:hAnsiTheme="minorEastAsia" w:eastAsiaTheme="minorEastAsia" w:cstheme="minorEastAsia"/>
          <w:spacing w:val="0"/>
          <w:position w:val="0"/>
          <w:sz w:val="24"/>
          <w:szCs w:val="24"/>
          <w:highlight w:val="none"/>
          <w:lang w:eastAsia="zh-CN"/>
        </w:rPr>
        <w:t>作废</w:t>
      </w:r>
      <w:r>
        <w:rPr>
          <w:rFonts w:hint="eastAsia" w:asciiTheme="minorEastAsia" w:hAnsiTheme="minorEastAsia" w:eastAsiaTheme="minorEastAsia" w:cstheme="minorEastAsia"/>
          <w:spacing w:val="0"/>
          <w:position w:val="0"/>
          <w:sz w:val="24"/>
          <w:szCs w:val="24"/>
          <w:highlight w:val="none"/>
        </w:rPr>
        <w:t>标处理。</w:t>
      </w:r>
    </w:p>
    <w:p w14:paraId="56EA2D7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1.3.4 遵循第三章投标人须知 3.7.5 项规定。</w:t>
      </w:r>
    </w:p>
    <w:p w14:paraId="74BBC061">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spacing w:val="0"/>
          <w:position w:val="0"/>
          <w:sz w:val="28"/>
          <w:szCs w:val="28"/>
          <w:highlight w:val="none"/>
        </w:rPr>
      </w:pPr>
      <w:r>
        <w:rPr>
          <w:rFonts w:hint="eastAsia" w:asciiTheme="minorEastAsia" w:hAnsiTheme="minorEastAsia" w:eastAsiaTheme="minorEastAsia" w:cstheme="minorEastAsia"/>
          <w:b/>
          <w:bCs/>
          <w:spacing w:val="0"/>
          <w:position w:val="0"/>
          <w:sz w:val="28"/>
          <w:szCs w:val="28"/>
          <w:highlight w:val="none"/>
        </w:rPr>
        <w:t>2. 标段内容（范围）及基本技术服务要求</w:t>
      </w:r>
    </w:p>
    <w:p w14:paraId="0229BA5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b/>
          <w:bCs/>
          <w:spacing w:val="0"/>
          <w:position w:val="0"/>
          <w:sz w:val="24"/>
          <w:szCs w:val="24"/>
          <w:highlight w:val="none"/>
        </w:rPr>
        <w:t>2.1 具体技术要求及标段内容（范围）</w:t>
      </w:r>
      <w:r>
        <w:rPr>
          <w:rFonts w:hint="eastAsia" w:asciiTheme="minorEastAsia" w:hAnsiTheme="minorEastAsia" w:eastAsiaTheme="minorEastAsia" w:cstheme="minorEastAsia"/>
          <w:spacing w:val="0"/>
          <w:position w:val="0"/>
          <w:sz w:val="24"/>
          <w:szCs w:val="24"/>
          <w:highlight w:val="none"/>
          <w:lang w:eastAsia="zh-CN"/>
        </w:rPr>
        <w:t>：</w:t>
      </w:r>
    </w:p>
    <w:p w14:paraId="4B8D377D">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2.1.1项目概况：</w:t>
      </w:r>
    </w:p>
    <w:p w14:paraId="06985FC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仿宋_GB2312" w:hAnsi="Times New Roman" w:eastAsia="仿宋_GB2312" w:cs="Times New Roman"/>
          <w:color w:val="auto"/>
          <w:sz w:val="28"/>
          <w:szCs w:val="28"/>
          <w:highlight w:val="none"/>
          <w:lang w:val="en-US" w:eastAsia="zh-CN"/>
        </w:rPr>
      </w:pPr>
      <w:r>
        <w:rPr>
          <w:rFonts w:hint="eastAsia" w:asciiTheme="minorEastAsia" w:hAnsiTheme="minorEastAsia" w:eastAsiaTheme="minorEastAsia" w:cstheme="minorEastAsia"/>
          <w:b/>
          <w:bCs/>
          <w:color w:val="auto"/>
          <w:spacing w:val="0"/>
          <w:position w:val="0"/>
          <w:sz w:val="24"/>
          <w:szCs w:val="24"/>
          <w:highlight w:val="none"/>
          <w:lang w:val="en-US" w:eastAsia="zh-CN"/>
        </w:rPr>
        <w:t>当前全市秋粮处于灌浆关键期,受前期台风降雨影响,部分农田土壤饱和,雨后玉米易出现根系缺氧、叶片黄化、早衰等生理性损伤。为减轻渍涝危害,抢抓田管窗口期,恢复作物长势,保障秋粮丰产丰收,根据全国农技中心相关技术意见及省厅2026年秋粮抗逆防灾工作的通知要求,结合我县生产实际,实施区域为五陵镇等约4.53万亩玉米。</w:t>
      </w:r>
    </w:p>
    <w:p w14:paraId="590B338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2.1.2喷施配方：</w:t>
      </w:r>
    </w:p>
    <w:p w14:paraId="6436FFDE">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ajorEastAsia" w:hAnsiTheme="majorEastAsia" w:eastAsiaTheme="majorEastAsia" w:cstheme="majorEastAsia"/>
          <w:b/>
          <w:bCs/>
          <w:snapToGrid w:val="0"/>
          <w:color w:val="auto"/>
          <w:kern w:val="0"/>
          <w:sz w:val="24"/>
          <w:szCs w:val="22"/>
          <w:highlight w:val="none"/>
          <w:u w:color="000000"/>
          <w:lang w:val="en-US" w:eastAsia="zh-CN" w:bidi="ar-SA"/>
        </w:rPr>
      </w:pPr>
      <w:r>
        <w:rPr>
          <w:rFonts w:hint="eastAsia" w:asciiTheme="majorEastAsia" w:hAnsiTheme="majorEastAsia" w:eastAsiaTheme="majorEastAsia" w:cstheme="majorEastAsia"/>
          <w:b/>
          <w:bCs/>
          <w:snapToGrid w:val="0"/>
          <w:color w:val="auto"/>
          <w:kern w:val="0"/>
          <w:sz w:val="24"/>
          <w:szCs w:val="22"/>
          <w:highlight w:val="none"/>
          <w:u w:color="000000"/>
          <w:lang w:val="en-US" w:eastAsia="zh-CN" w:bidi="ar-SA"/>
        </w:rPr>
        <w:t>1.0.01%24-表芸·三表芸可溶液剂(24-表芸苔素内酯0.0034%,22,23,24-表芸苔素内酯0.0066%)，亩用量10mL(g)。</w:t>
      </w:r>
    </w:p>
    <w:p w14:paraId="6FB05211">
      <w:pPr>
        <w:pStyle w:val="14"/>
        <w:keepNext w:val="0"/>
        <w:keepLines w:val="0"/>
        <w:pageBreakBefore w:val="0"/>
        <w:widowControl w:val="0"/>
        <w:kinsoku/>
        <w:wordWrap w:val="0"/>
        <w:overflowPunct w:val="0"/>
        <w:topLinePunct/>
        <w:autoSpaceDE/>
        <w:autoSpaceDN/>
        <w:bidi w:val="0"/>
        <w:adjustRightInd/>
        <w:snapToGrid/>
        <w:spacing w:line="360" w:lineRule="auto"/>
        <w:ind w:left="0" w:leftChars="0" w:right="0" w:firstLine="482" w:firstLineChars="200"/>
        <w:jc w:val="left"/>
        <w:textAlignment w:val="auto"/>
        <w:outlineLvl w:val="9"/>
        <w:rPr>
          <w:rFonts w:hint="default" w:asciiTheme="majorEastAsia" w:hAnsiTheme="majorEastAsia" w:eastAsiaTheme="majorEastAsia" w:cstheme="majorEastAsia"/>
          <w:b/>
          <w:bCs/>
          <w:snapToGrid w:val="0"/>
          <w:color w:val="auto"/>
          <w:kern w:val="0"/>
          <w:sz w:val="24"/>
          <w:szCs w:val="22"/>
          <w:highlight w:val="none"/>
          <w:u w:color="000000"/>
          <w:lang w:val="en-US" w:eastAsia="zh-CN" w:bidi="ar-SA"/>
        </w:rPr>
      </w:pPr>
      <w:r>
        <w:rPr>
          <w:rFonts w:hint="eastAsia" w:asciiTheme="majorEastAsia" w:hAnsiTheme="majorEastAsia" w:eastAsiaTheme="majorEastAsia" w:cstheme="majorEastAsia"/>
          <w:b/>
          <w:bCs/>
          <w:snapToGrid w:val="0"/>
          <w:color w:val="auto"/>
          <w:kern w:val="0"/>
          <w:sz w:val="24"/>
          <w:szCs w:val="22"/>
          <w:highlight w:val="none"/>
          <w:u w:color="000000"/>
          <w:lang w:val="en-US" w:eastAsia="zh-CN" w:bidi="ar-SA"/>
        </w:rPr>
        <w:t>2．大量元素水溶肥（粉剂，N+ P₂O₅+K₂O≥ 5 0 % )（含有免疫激活蛋白≥2 6 0 m g / k g )，亩用量40g.</w:t>
      </w:r>
    </w:p>
    <w:p w14:paraId="5BB9FC99">
      <w:pPr>
        <w:pStyle w:val="14"/>
        <w:keepNext w:val="0"/>
        <w:keepLines w:val="0"/>
        <w:pageBreakBefore w:val="0"/>
        <w:widowControl w:val="0"/>
        <w:kinsoku/>
        <w:wordWrap w:val="0"/>
        <w:overflowPunct w:val="0"/>
        <w:topLinePunct/>
        <w:autoSpaceDE/>
        <w:autoSpaceDN/>
        <w:bidi w:val="0"/>
        <w:adjustRightInd/>
        <w:snapToGrid/>
        <w:spacing w:line="360" w:lineRule="auto"/>
        <w:ind w:left="0" w:leftChars="0" w:right="0" w:firstLine="482" w:firstLineChars="200"/>
        <w:jc w:val="left"/>
        <w:textAlignment w:val="auto"/>
        <w:outlineLvl w:val="9"/>
        <w:rPr>
          <w:rFonts w:hint="eastAsia" w:asciiTheme="majorEastAsia" w:hAnsiTheme="majorEastAsia" w:eastAsiaTheme="majorEastAsia" w:cstheme="majorEastAsia"/>
          <w:b/>
          <w:bCs/>
          <w:snapToGrid w:val="0"/>
          <w:color w:val="auto"/>
          <w:kern w:val="0"/>
          <w:sz w:val="24"/>
          <w:szCs w:val="22"/>
          <w:highlight w:val="none"/>
          <w:u w:color="000000"/>
          <w:lang w:val="en-US" w:eastAsia="zh-CN" w:bidi="ar-SA"/>
        </w:rPr>
      </w:pPr>
      <w:r>
        <w:rPr>
          <w:rFonts w:hint="eastAsia" w:asciiTheme="majorEastAsia" w:hAnsiTheme="majorEastAsia" w:eastAsiaTheme="majorEastAsia" w:cstheme="majorEastAsia"/>
          <w:b/>
          <w:bCs/>
          <w:snapToGrid w:val="0"/>
          <w:color w:val="auto"/>
          <w:kern w:val="0"/>
          <w:sz w:val="24"/>
          <w:szCs w:val="22"/>
          <w:highlight w:val="none"/>
          <w:u w:color="000000"/>
          <w:lang w:val="en-US" w:eastAsia="zh-CN" w:bidi="ar-SA"/>
        </w:rPr>
        <w:t>3．含氨基酸水溶肥料（氨基酸≥1 2 0 g /L  Mg≥3 0 g / L )，亩用量50g。</w:t>
      </w:r>
    </w:p>
    <w:p w14:paraId="5F943558">
      <w:pPr>
        <w:pStyle w:val="14"/>
        <w:keepNext w:val="0"/>
        <w:keepLines w:val="0"/>
        <w:pageBreakBefore w:val="0"/>
        <w:widowControl w:val="0"/>
        <w:kinsoku/>
        <w:wordWrap w:val="0"/>
        <w:overflowPunct w:val="0"/>
        <w:topLinePunct/>
        <w:autoSpaceDE/>
        <w:autoSpaceDN/>
        <w:bidi w:val="0"/>
        <w:adjustRightInd/>
        <w:snapToGrid/>
        <w:spacing w:line="360" w:lineRule="auto"/>
        <w:ind w:left="0" w:leftChars="0" w:right="0" w:firstLine="482" w:firstLineChars="200"/>
        <w:jc w:val="left"/>
        <w:textAlignment w:val="auto"/>
        <w:outlineLvl w:val="9"/>
        <w:rPr>
          <w:rFonts w:hint="eastAsia" w:asciiTheme="majorEastAsia" w:hAnsiTheme="majorEastAsia" w:eastAsiaTheme="majorEastAsia" w:cstheme="majorEastAsia"/>
          <w:b/>
          <w:bCs/>
          <w:snapToGrid w:val="0"/>
          <w:color w:val="auto"/>
          <w:kern w:val="0"/>
          <w:sz w:val="24"/>
          <w:szCs w:val="22"/>
          <w:highlight w:val="none"/>
          <w:u w:color="000000"/>
          <w:lang w:val="en-US" w:eastAsia="zh-CN" w:bidi="ar-SA"/>
        </w:rPr>
      </w:pPr>
      <w:r>
        <w:rPr>
          <w:rFonts w:hint="eastAsia" w:asciiTheme="majorEastAsia" w:hAnsiTheme="majorEastAsia" w:eastAsiaTheme="majorEastAsia" w:cstheme="majorEastAsia"/>
          <w:b/>
          <w:bCs/>
          <w:snapToGrid w:val="0"/>
          <w:color w:val="auto"/>
          <w:kern w:val="0"/>
          <w:sz w:val="24"/>
          <w:szCs w:val="22"/>
          <w:highlight w:val="none"/>
          <w:u w:color="000000"/>
          <w:lang w:val="en-US" w:eastAsia="zh-CN" w:bidi="ar-SA"/>
        </w:rPr>
        <w:t>4．磷酸二氢钾（粉剂，纯度≥99％），亩用量50g。</w:t>
      </w:r>
    </w:p>
    <w:p w14:paraId="7D9D249C">
      <w:pPr>
        <w:pStyle w:val="14"/>
        <w:keepNext w:val="0"/>
        <w:keepLines w:val="0"/>
        <w:pageBreakBefore w:val="0"/>
        <w:widowControl w:val="0"/>
        <w:kinsoku/>
        <w:wordWrap w:val="0"/>
        <w:overflowPunct w:val="0"/>
        <w:topLinePunct/>
        <w:autoSpaceDE/>
        <w:autoSpaceDN/>
        <w:bidi w:val="0"/>
        <w:adjustRightInd/>
        <w:snapToGrid/>
        <w:spacing w:line="360" w:lineRule="auto"/>
        <w:ind w:left="0" w:leftChars="0" w:right="0" w:firstLine="482" w:firstLineChars="200"/>
        <w:jc w:val="left"/>
        <w:textAlignment w:val="auto"/>
        <w:outlineLvl w:val="9"/>
        <w:rPr>
          <w:rFonts w:hint="eastAsia" w:asciiTheme="majorEastAsia" w:hAnsiTheme="majorEastAsia" w:eastAsiaTheme="majorEastAsia" w:cstheme="majorEastAsia"/>
          <w:b/>
          <w:bCs/>
          <w:snapToGrid w:val="0"/>
          <w:color w:val="auto"/>
          <w:kern w:val="0"/>
          <w:sz w:val="24"/>
          <w:szCs w:val="22"/>
          <w:highlight w:val="none"/>
          <w:u w:color="000000"/>
          <w:lang w:val="en-US" w:eastAsia="zh-CN" w:bidi="ar-SA"/>
        </w:rPr>
      </w:pPr>
      <w:r>
        <w:rPr>
          <w:rFonts w:hint="eastAsia" w:asciiTheme="majorEastAsia" w:hAnsiTheme="majorEastAsia" w:eastAsiaTheme="majorEastAsia" w:cstheme="majorEastAsia"/>
          <w:b/>
          <w:bCs/>
          <w:snapToGrid w:val="0"/>
          <w:color w:val="auto"/>
          <w:kern w:val="0"/>
          <w:sz w:val="24"/>
          <w:szCs w:val="22"/>
          <w:highlight w:val="none"/>
          <w:u w:color="000000"/>
          <w:lang w:val="en-US" w:eastAsia="zh-CN" w:bidi="ar-SA"/>
        </w:rPr>
        <w:t>5．沉降型磺酸盐飞防助剂，亩用量10ml(g)。</w:t>
      </w:r>
    </w:p>
    <w:p w14:paraId="384711DC">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color w:val="auto"/>
          <w:sz w:val="24"/>
          <w:szCs w:val="24"/>
          <w:highlight w:val="none"/>
          <w:lang w:val="en-US" w:eastAsia="en-US"/>
        </w:rPr>
      </w:pPr>
      <w:r>
        <w:rPr>
          <w:rFonts w:hint="eastAsia" w:ascii="宋体" w:hAnsi="宋体" w:eastAsia="宋体" w:cs="宋体"/>
          <w:b/>
          <w:bCs/>
          <w:color w:val="auto"/>
          <w:sz w:val="24"/>
          <w:szCs w:val="24"/>
          <w:highlight w:val="none"/>
          <w:lang w:val="en-US" w:eastAsia="zh-CN"/>
        </w:rPr>
        <w:t>2.1.3作业</w:t>
      </w:r>
      <w:r>
        <w:rPr>
          <w:rFonts w:hint="eastAsia" w:ascii="宋体" w:hAnsi="宋体" w:eastAsia="宋体" w:cs="宋体"/>
          <w:b/>
          <w:bCs/>
          <w:color w:val="auto"/>
          <w:sz w:val="24"/>
          <w:szCs w:val="24"/>
          <w:highlight w:val="none"/>
          <w:lang w:val="en-US" w:eastAsia="en-US"/>
        </w:rPr>
        <w:t>要求：</w:t>
      </w:r>
    </w:p>
    <w:p w14:paraId="60B8571B">
      <w:pPr>
        <w:keepNext w:val="0"/>
        <w:keepLines w:val="0"/>
        <w:pageBreakBefore w:val="0"/>
        <w:widowControl w:val="0"/>
        <w:numPr>
          <w:ilvl w:val="0"/>
          <w:numId w:val="1"/>
        </w:numPr>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shd w:val="clear" w:color="auto" w:fill="FFFFFF"/>
        </w:rPr>
        <w:t>采购的药剂必须符合国家有关规定，农药产品必须在相应作物上取得登记，</w:t>
      </w:r>
      <w:r>
        <w:rPr>
          <w:rFonts w:hint="eastAsia" w:ascii="宋体" w:hAnsi="宋体" w:eastAsia="宋体" w:cs="宋体"/>
          <w:b/>
          <w:bCs/>
          <w:color w:val="auto"/>
          <w:sz w:val="24"/>
          <w:szCs w:val="24"/>
          <w:highlight w:val="none"/>
          <w:lang w:val="en-US" w:eastAsia="en-US"/>
        </w:rPr>
        <w:t>投标人所用农药产品须“三证” （农药生产许可证或批准证、农药登记证、产品标准）齐全并在有效期内，登记作物须包含</w:t>
      </w:r>
      <w:r>
        <w:rPr>
          <w:rFonts w:hint="eastAsia" w:ascii="宋体" w:hAnsi="宋体" w:eastAsia="宋体" w:cs="宋体"/>
          <w:b/>
          <w:bCs/>
          <w:color w:val="auto"/>
          <w:sz w:val="24"/>
          <w:szCs w:val="24"/>
          <w:highlight w:val="none"/>
          <w:lang w:val="en-US" w:eastAsia="zh-CN"/>
        </w:rPr>
        <w:t>玉米</w:t>
      </w:r>
      <w:r>
        <w:rPr>
          <w:rFonts w:hint="eastAsia" w:ascii="宋体" w:hAnsi="宋体" w:eastAsia="宋体" w:cs="宋体"/>
          <w:b/>
          <w:bCs/>
          <w:color w:val="auto"/>
          <w:sz w:val="24"/>
          <w:szCs w:val="24"/>
          <w:highlight w:val="none"/>
          <w:lang w:val="en-US" w:eastAsia="en-US"/>
        </w:rPr>
        <w:t>，提供“三证 ”原件扫描件</w:t>
      </w:r>
      <w:r>
        <w:rPr>
          <w:rFonts w:hint="eastAsia" w:ascii="宋体" w:hAnsi="宋体" w:eastAsia="宋体" w:cs="宋体"/>
          <w:b/>
          <w:bCs/>
          <w:color w:val="auto"/>
          <w:sz w:val="24"/>
          <w:szCs w:val="24"/>
          <w:highlight w:val="none"/>
          <w:lang w:val="en-US" w:eastAsia="zh-CN"/>
        </w:rPr>
        <w:t>或复印件并</w:t>
      </w:r>
      <w:r>
        <w:rPr>
          <w:rFonts w:hint="eastAsia" w:ascii="宋体" w:hAnsi="宋体" w:eastAsia="宋体" w:cs="宋体"/>
          <w:b/>
          <w:bCs/>
          <w:color w:val="auto"/>
          <w:sz w:val="24"/>
          <w:szCs w:val="24"/>
          <w:highlight w:val="none"/>
          <w:lang w:val="en-US" w:eastAsia="en-US"/>
        </w:rPr>
        <w:t>加盖生产企业公章</w:t>
      </w:r>
      <w:r>
        <w:rPr>
          <w:rFonts w:hint="eastAsia" w:ascii="宋体" w:hAnsi="宋体" w:eastAsia="宋体" w:cs="宋体"/>
          <w:b/>
          <w:bCs/>
          <w:color w:val="auto"/>
          <w:sz w:val="24"/>
          <w:szCs w:val="24"/>
          <w:highlight w:val="none"/>
          <w:lang w:val="en-US" w:eastAsia="zh-CN"/>
        </w:rPr>
        <w:t>。肥料产品须具备营业执照、产品标准，证明材料齐全且在有效期内，适用作物须含玉米；</w:t>
      </w:r>
      <w:r>
        <w:rPr>
          <w:rFonts w:hint="eastAsia" w:ascii="宋体" w:hAnsi="宋体" w:eastAsia="宋体" w:cs="宋体"/>
          <w:b/>
          <w:bCs/>
          <w:color w:val="auto"/>
          <w:sz w:val="24"/>
          <w:szCs w:val="24"/>
          <w:highlight w:val="none"/>
          <w:lang w:val="en-US" w:eastAsia="en-US"/>
        </w:rPr>
        <w:t>磷酸二氢钾免登记，需提供生产企业营业执照和产品标准</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en-US"/>
        </w:rPr>
        <w:t>飞防助剂不属于农药和叶面肥。投标人为经销商须提供农药经营许可证（如投标人为农药生产厂家，提供上述有效的“三证”）</w:t>
      </w:r>
      <w:r>
        <w:rPr>
          <w:rFonts w:hint="eastAsia" w:ascii="宋体" w:hAnsi="宋体" w:eastAsia="宋体" w:cs="宋体"/>
          <w:b/>
          <w:bCs/>
          <w:color w:val="auto"/>
          <w:sz w:val="24"/>
          <w:szCs w:val="24"/>
          <w:highlight w:val="none"/>
          <w:lang w:val="en-US" w:eastAsia="zh-CN"/>
        </w:rPr>
        <w:t>。</w:t>
      </w:r>
    </w:p>
    <w:p w14:paraId="405EF0C5">
      <w:pPr>
        <w:keepNext w:val="0"/>
        <w:keepLines w:val="0"/>
        <w:pageBreakBefore w:val="0"/>
        <w:widowControl w:val="0"/>
        <w:numPr>
          <w:ilvl w:val="0"/>
          <w:numId w:val="0"/>
        </w:numPr>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val="en-US" w:eastAsia="en-US"/>
        </w:rPr>
        <w:t>（2）</w:t>
      </w:r>
      <w:r>
        <w:rPr>
          <w:rFonts w:hint="eastAsia" w:ascii="宋体" w:hAnsi="宋体" w:eastAsia="宋体" w:cs="宋体"/>
          <w:b/>
          <w:bCs/>
          <w:color w:val="auto"/>
          <w:spacing w:val="0"/>
          <w:sz w:val="24"/>
          <w:szCs w:val="24"/>
          <w:highlight w:val="none"/>
          <w:lang w:val="en-US" w:eastAsia="zh-CN"/>
        </w:rPr>
        <w:t>提供2人及以上植保专业技术人员参与飞防作业全过程，严格按照农药使用相关规定进行飞防服务。（须提供2人及以上植保专业或植保相关专业的职称证书和劳务合同）</w:t>
      </w:r>
    </w:p>
    <w:p w14:paraId="2739B41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color w:val="auto"/>
          <w:spacing w:val="0"/>
          <w:sz w:val="24"/>
          <w:szCs w:val="24"/>
          <w:highlight w:val="none"/>
          <w:lang w:eastAsia="zh-CN"/>
        </w:rPr>
      </w:pPr>
      <w:r>
        <w:rPr>
          <w:rFonts w:hint="eastAsia" w:ascii="宋体" w:hAnsi="宋体" w:eastAsia="宋体" w:cs="宋体"/>
          <w:b/>
          <w:bCs/>
          <w:color w:val="auto"/>
          <w:spacing w:val="0"/>
          <w:sz w:val="24"/>
          <w:szCs w:val="24"/>
          <w:highlight w:val="none"/>
          <w:lang w:val="en-US" w:eastAsia="zh-CN"/>
        </w:rPr>
        <w:t>（3）</w:t>
      </w:r>
      <w:r>
        <w:rPr>
          <w:rFonts w:hint="eastAsia" w:ascii="宋体" w:hAnsi="宋体" w:eastAsia="宋体" w:cs="宋体"/>
          <w:b/>
          <w:bCs/>
          <w:color w:val="auto"/>
          <w:spacing w:val="0"/>
          <w:sz w:val="24"/>
          <w:szCs w:val="24"/>
          <w:highlight w:val="none"/>
        </w:rPr>
        <w:t>投标人</w:t>
      </w:r>
      <w:r>
        <w:rPr>
          <w:rFonts w:hint="eastAsia" w:ascii="宋体" w:hAnsi="宋体" w:eastAsia="宋体" w:cs="宋体"/>
          <w:b/>
          <w:bCs/>
          <w:color w:val="auto"/>
          <w:spacing w:val="0"/>
          <w:sz w:val="24"/>
          <w:szCs w:val="24"/>
          <w:highlight w:val="none"/>
          <w:lang w:val="en-US" w:eastAsia="zh-CN"/>
        </w:rPr>
        <w:t>须</w:t>
      </w:r>
      <w:r>
        <w:rPr>
          <w:rFonts w:hint="eastAsia" w:ascii="宋体" w:hAnsi="宋体" w:eastAsia="宋体" w:cs="宋体"/>
          <w:b/>
          <w:bCs/>
          <w:color w:val="auto"/>
          <w:spacing w:val="0"/>
          <w:sz w:val="24"/>
          <w:szCs w:val="24"/>
          <w:highlight w:val="none"/>
        </w:rPr>
        <w:t>具备</w:t>
      </w:r>
      <w:r>
        <w:rPr>
          <w:rFonts w:hint="eastAsia" w:ascii="宋体" w:hAnsi="宋体" w:eastAsia="宋体" w:cs="宋体"/>
          <w:b/>
          <w:bCs/>
          <w:color w:val="auto"/>
          <w:spacing w:val="0"/>
          <w:sz w:val="24"/>
          <w:szCs w:val="24"/>
          <w:highlight w:val="none"/>
          <w:lang w:val="en-US" w:eastAsia="zh-CN"/>
        </w:rPr>
        <w:t>20</w:t>
      </w:r>
      <w:r>
        <w:rPr>
          <w:rFonts w:hint="eastAsia" w:ascii="宋体" w:hAnsi="宋体" w:eastAsia="宋体" w:cs="宋体"/>
          <w:b/>
          <w:bCs/>
          <w:color w:val="auto"/>
          <w:spacing w:val="0"/>
          <w:sz w:val="24"/>
          <w:szCs w:val="24"/>
          <w:highlight w:val="none"/>
        </w:rPr>
        <w:t>架以上（含</w:t>
      </w:r>
      <w:r>
        <w:rPr>
          <w:rFonts w:hint="eastAsia" w:ascii="宋体" w:hAnsi="宋体" w:eastAsia="宋体" w:cs="宋体"/>
          <w:b/>
          <w:bCs/>
          <w:color w:val="auto"/>
          <w:spacing w:val="0"/>
          <w:sz w:val="24"/>
          <w:szCs w:val="24"/>
          <w:highlight w:val="none"/>
          <w:lang w:val="en-US" w:eastAsia="zh-CN"/>
        </w:rPr>
        <w:t>20</w:t>
      </w:r>
      <w:r>
        <w:rPr>
          <w:rFonts w:hint="eastAsia" w:ascii="宋体" w:hAnsi="宋体" w:eastAsia="宋体" w:cs="宋体"/>
          <w:b/>
          <w:bCs/>
          <w:color w:val="auto"/>
          <w:spacing w:val="0"/>
          <w:sz w:val="24"/>
          <w:szCs w:val="24"/>
          <w:highlight w:val="none"/>
        </w:rPr>
        <w:t>架）载重量</w:t>
      </w:r>
      <w:r>
        <w:rPr>
          <w:rFonts w:hint="eastAsia" w:ascii="宋体" w:hAnsi="宋体" w:eastAsia="宋体" w:cs="宋体"/>
          <w:b/>
          <w:bCs/>
          <w:color w:val="auto"/>
          <w:spacing w:val="0"/>
          <w:sz w:val="24"/>
          <w:szCs w:val="24"/>
          <w:highlight w:val="none"/>
          <w:lang w:val="en-US" w:eastAsia="zh-CN"/>
        </w:rPr>
        <w:t>20</w:t>
      </w:r>
      <w:r>
        <w:rPr>
          <w:rFonts w:hint="eastAsia" w:ascii="宋体" w:hAnsi="宋体" w:eastAsia="宋体" w:cs="宋体"/>
          <w:b/>
          <w:bCs/>
          <w:color w:val="auto"/>
          <w:spacing w:val="0"/>
          <w:sz w:val="24"/>
          <w:szCs w:val="24"/>
          <w:highlight w:val="none"/>
        </w:rPr>
        <w:t>升以上（含</w:t>
      </w:r>
      <w:r>
        <w:rPr>
          <w:rFonts w:hint="eastAsia" w:ascii="宋体" w:hAnsi="宋体" w:eastAsia="宋体" w:cs="宋体"/>
          <w:b/>
          <w:bCs/>
          <w:color w:val="auto"/>
          <w:spacing w:val="0"/>
          <w:sz w:val="24"/>
          <w:szCs w:val="24"/>
          <w:highlight w:val="none"/>
          <w:lang w:val="en-US" w:eastAsia="zh-CN"/>
        </w:rPr>
        <w:t>20</w:t>
      </w:r>
      <w:r>
        <w:rPr>
          <w:rFonts w:hint="eastAsia" w:ascii="宋体" w:hAnsi="宋体" w:eastAsia="宋体" w:cs="宋体"/>
          <w:b/>
          <w:bCs/>
          <w:color w:val="auto"/>
          <w:spacing w:val="0"/>
          <w:sz w:val="24"/>
          <w:szCs w:val="24"/>
          <w:highlight w:val="none"/>
        </w:rPr>
        <w:t>升）的植保无人机，投入本项目作业的飞防设备操作员不少于</w:t>
      </w:r>
      <w:r>
        <w:rPr>
          <w:rFonts w:hint="eastAsia" w:ascii="宋体" w:hAnsi="宋体" w:eastAsia="宋体" w:cs="宋体"/>
          <w:b/>
          <w:bCs/>
          <w:color w:val="auto"/>
          <w:spacing w:val="0"/>
          <w:sz w:val="24"/>
          <w:szCs w:val="24"/>
          <w:highlight w:val="none"/>
          <w:lang w:val="en-US" w:eastAsia="zh-CN"/>
        </w:rPr>
        <w:t>20</w:t>
      </w:r>
      <w:r>
        <w:rPr>
          <w:rFonts w:hint="eastAsia" w:ascii="宋体" w:hAnsi="宋体" w:eastAsia="宋体" w:cs="宋体"/>
          <w:b/>
          <w:bCs/>
          <w:color w:val="auto"/>
          <w:spacing w:val="0"/>
          <w:sz w:val="24"/>
          <w:szCs w:val="24"/>
          <w:highlight w:val="none"/>
        </w:rPr>
        <w:t>人，且须持有</w:t>
      </w:r>
      <w:r>
        <w:rPr>
          <w:rFonts w:hint="eastAsia" w:ascii="宋体" w:hAnsi="宋体" w:eastAsia="宋体" w:cs="宋体"/>
          <w:b/>
          <w:bCs/>
          <w:color w:val="auto"/>
          <w:spacing w:val="0"/>
          <w:sz w:val="24"/>
          <w:szCs w:val="24"/>
          <w:highlight w:val="none"/>
          <w:lang w:eastAsia="zh-CN"/>
        </w:rPr>
        <w:t>省级</w:t>
      </w:r>
      <w:r>
        <w:rPr>
          <w:rFonts w:hint="eastAsia" w:ascii="宋体" w:hAnsi="宋体" w:eastAsia="宋体" w:cs="宋体"/>
          <w:b/>
          <w:bCs/>
          <w:color w:val="auto"/>
          <w:spacing w:val="0"/>
          <w:sz w:val="24"/>
          <w:szCs w:val="24"/>
          <w:highlight w:val="none"/>
          <w:lang w:val="en-US" w:eastAsia="zh-CN"/>
        </w:rPr>
        <w:t>及以上</w:t>
      </w:r>
      <w:r>
        <w:rPr>
          <w:rFonts w:hint="eastAsia" w:ascii="宋体" w:hAnsi="宋体" w:eastAsia="宋体" w:cs="宋体"/>
          <w:b/>
          <w:bCs/>
          <w:color w:val="auto"/>
          <w:spacing w:val="0"/>
          <w:sz w:val="24"/>
          <w:szCs w:val="24"/>
          <w:highlight w:val="none"/>
          <w:lang w:eastAsia="zh-CN"/>
        </w:rPr>
        <w:t>（含省级）人社部门统一印制并由办学许可单位颁发的航空器地面设备操作员证或植保无人机系统操作手合格证等证书。</w:t>
      </w:r>
    </w:p>
    <w:p w14:paraId="5DBBC856">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color w:val="auto"/>
          <w:spacing w:val="0"/>
          <w:sz w:val="24"/>
          <w:szCs w:val="24"/>
          <w:highlight w:val="none"/>
          <w:lang w:eastAsia="zh-CN"/>
        </w:rPr>
      </w:pPr>
      <w:r>
        <w:rPr>
          <w:rFonts w:hint="eastAsia" w:ascii="宋体" w:hAnsi="宋体" w:eastAsia="宋体" w:cs="宋体"/>
          <w:b/>
          <w:bCs/>
          <w:color w:val="auto"/>
          <w:spacing w:val="0"/>
          <w:sz w:val="24"/>
          <w:szCs w:val="24"/>
          <w:highlight w:val="none"/>
          <w:lang w:val="en-US" w:eastAsia="zh-CN"/>
        </w:rPr>
        <w:t>（4）</w:t>
      </w:r>
      <w:r>
        <w:rPr>
          <w:rFonts w:hint="eastAsia" w:ascii="宋体" w:hAnsi="宋体" w:eastAsia="宋体" w:cs="宋体"/>
          <w:b w:val="0"/>
          <w:bCs w:val="0"/>
          <w:color w:val="auto"/>
          <w:spacing w:val="0"/>
          <w:sz w:val="24"/>
          <w:szCs w:val="24"/>
          <w:highlight w:val="none"/>
          <w:lang w:val="en-US" w:eastAsia="zh-CN"/>
        </w:rPr>
        <w:t>中标人须确保</w:t>
      </w:r>
      <w:r>
        <w:rPr>
          <w:rFonts w:hint="eastAsia" w:ascii="宋体" w:hAnsi="宋体" w:eastAsia="宋体" w:cs="宋体"/>
          <w:b w:val="0"/>
          <w:bCs w:val="0"/>
          <w:color w:val="auto"/>
          <w:spacing w:val="0"/>
          <w:sz w:val="24"/>
          <w:szCs w:val="24"/>
          <w:highlight w:val="none"/>
          <w:lang w:eastAsia="zh-CN"/>
        </w:rPr>
        <w:t>日作业面积不低于</w:t>
      </w:r>
      <w:r>
        <w:rPr>
          <w:rFonts w:hint="eastAsia" w:ascii="宋体" w:hAnsi="宋体" w:eastAsia="宋体" w:cs="宋体"/>
          <w:b w:val="0"/>
          <w:bCs w:val="0"/>
          <w:color w:val="auto"/>
          <w:spacing w:val="0"/>
          <w:sz w:val="24"/>
          <w:szCs w:val="24"/>
          <w:highlight w:val="none"/>
          <w:lang w:val="en-US" w:eastAsia="zh-CN"/>
        </w:rPr>
        <w:t>20000亩，保证在规定服务期内完成全部作业任务</w:t>
      </w:r>
      <w:r>
        <w:rPr>
          <w:rFonts w:hint="eastAsia" w:ascii="宋体" w:hAnsi="宋体" w:eastAsia="宋体" w:cs="宋体"/>
          <w:b/>
          <w:bCs/>
          <w:color w:val="auto"/>
          <w:spacing w:val="0"/>
          <w:sz w:val="24"/>
          <w:szCs w:val="24"/>
          <w:highlight w:val="none"/>
          <w:lang w:val="en-US" w:eastAsia="zh-CN"/>
        </w:rPr>
        <w:t>（须提供承诺函）。</w:t>
      </w:r>
    </w:p>
    <w:p w14:paraId="4AED9FBD">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color w:val="auto"/>
          <w:sz w:val="24"/>
          <w:szCs w:val="24"/>
          <w:highlight w:val="none"/>
          <w:shd w:val="clear" w:color="auto" w:fill="FFFFFF"/>
        </w:rPr>
      </w:pPr>
      <w:r>
        <w:rPr>
          <w:rFonts w:hint="eastAsia" w:ascii="宋体" w:hAnsi="宋体" w:eastAsia="宋体" w:cs="宋体"/>
          <w:b/>
          <w:bCs/>
          <w:color w:val="auto"/>
          <w:sz w:val="24"/>
          <w:szCs w:val="24"/>
          <w:highlight w:val="none"/>
          <w:lang w:val="en-US" w:eastAsia="en-US"/>
        </w:rPr>
        <w:t>（</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en-US"/>
        </w:rPr>
        <w:t>）</w:t>
      </w:r>
      <w:r>
        <w:rPr>
          <w:rFonts w:hint="eastAsia" w:ascii="宋体" w:hAnsi="宋体" w:eastAsia="宋体" w:cs="宋体"/>
          <w:color w:val="auto"/>
          <w:sz w:val="24"/>
          <w:szCs w:val="24"/>
          <w:highlight w:val="none"/>
          <w:lang w:val="en-US" w:eastAsia="en-US"/>
        </w:rPr>
        <w:t>中标人开展防治作业后，农药包装必须回收，不得污染农田环境</w:t>
      </w:r>
      <w:r>
        <w:rPr>
          <w:rFonts w:hint="eastAsia" w:ascii="宋体" w:hAnsi="宋体" w:eastAsia="宋体" w:cs="宋体"/>
          <w:color w:val="auto"/>
          <w:sz w:val="24"/>
          <w:szCs w:val="24"/>
          <w:highlight w:val="none"/>
          <w:lang w:val="en-US" w:eastAsia="zh-CN"/>
        </w:rPr>
        <w:t>；提供农药生产企业针对本项目农药废弃物回收的承诺书</w:t>
      </w:r>
      <w:r>
        <w:rPr>
          <w:rFonts w:hint="eastAsia" w:ascii="宋体" w:hAnsi="宋体" w:eastAsia="宋体" w:cs="宋体"/>
          <w:color w:val="auto"/>
          <w:sz w:val="24"/>
          <w:szCs w:val="24"/>
          <w:highlight w:val="none"/>
          <w:lang w:val="en-US" w:eastAsia="en-US"/>
        </w:rPr>
        <w:t>。</w:t>
      </w:r>
    </w:p>
    <w:p w14:paraId="0B90C742">
      <w:pPr>
        <w:keepNext w:val="0"/>
        <w:keepLines w:val="0"/>
        <w:pageBreakBefore w:val="0"/>
        <w:widowControl w:val="0"/>
        <w:kinsoku/>
        <w:wordWrap w:val="0"/>
        <w:overflowPunct w:val="0"/>
        <w:topLinePunct/>
        <w:autoSpaceDE/>
        <w:autoSpaceDN/>
        <w:bidi w:val="0"/>
        <w:adjustRightInd/>
        <w:snapToGrid/>
        <w:spacing w:line="360" w:lineRule="auto"/>
        <w:ind w:left="0" w:right="0" w:firstLine="466" w:firstLineChars="200"/>
        <w:jc w:val="left"/>
        <w:textAlignment w:val="auto"/>
        <w:outlineLvl w:val="9"/>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lang w:val="en-US" w:eastAsia="zh-CN"/>
        </w:rPr>
        <w:t>6</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color w:val="auto"/>
          <w:sz w:val="24"/>
          <w:szCs w:val="24"/>
          <w:highlight w:val="none"/>
          <w:lang w:val="en-US" w:eastAsia="en-US"/>
        </w:rPr>
        <w:t>中标人在防治作业结束后，需向采购人提供作业轨迹图片等资料</w:t>
      </w:r>
      <w:r>
        <w:rPr>
          <w:rFonts w:hint="eastAsia" w:ascii="宋体" w:hAnsi="宋体" w:eastAsia="宋体" w:cs="宋体"/>
          <w:color w:val="auto"/>
          <w:sz w:val="24"/>
          <w:szCs w:val="24"/>
          <w:highlight w:val="none"/>
          <w:lang w:val="en-US" w:eastAsia="zh-CN"/>
        </w:rPr>
        <w:t>，并提供签字确认单、配药时和作业时的影像资料，拍照时使用水印相机，显示时间、地点</w:t>
      </w:r>
      <w:r>
        <w:rPr>
          <w:rFonts w:hint="eastAsia" w:ascii="宋体" w:hAnsi="宋体" w:eastAsia="宋体" w:cs="宋体"/>
          <w:color w:val="auto"/>
          <w:sz w:val="24"/>
          <w:szCs w:val="24"/>
          <w:highlight w:val="none"/>
          <w:lang w:val="en-US" w:eastAsia="en-US"/>
        </w:rPr>
        <w:t>。</w:t>
      </w:r>
    </w:p>
    <w:p w14:paraId="39DB96F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bCs/>
          <w:color w:val="auto"/>
          <w:spacing w:val="-1"/>
          <w:sz w:val="24"/>
          <w:szCs w:val="24"/>
          <w:highlight w:val="none"/>
          <w:lang w:val="en-US" w:eastAsia="zh-CN"/>
        </w:rPr>
      </w:pPr>
      <w:r>
        <w:rPr>
          <w:rFonts w:hint="eastAsia" w:ascii="宋体" w:hAnsi="宋体" w:eastAsia="宋体" w:cs="宋体"/>
          <w:color w:val="auto"/>
          <w:sz w:val="24"/>
          <w:szCs w:val="24"/>
          <w:highlight w:val="none"/>
          <w:lang w:val="en-US" w:eastAsia="zh-CN"/>
        </w:rPr>
        <w:t>（7）作业机械要求（植保无人机提供具有检测资质的机构出具的检测报告或检验报告）。</w:t>
      </w:r>
    </w:p>
    <w:p w14:paraId="435E577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作业参数为施药液量≧ </w:t>
      </w:r>
      <w:r>
        <w:rPr>
          <w:rFonts w:hint="default" w:ascii="宋体" w:hAnsi="宋体" w:eastAsia="宋体" w:cs="宋体"/>
          <w:color w:val="auto"/>
          <w:sz w:val="24"/>
          <w:szCs w:val="24"/>
          <w:highlight w:val="none"/>
          <w:lang w:val="en-US" w:eastAsia="zh-CN"/>
        </w:rPr>
        <w:t>2.5L/</w:t>
      </w:r>
      <w:r>
        <w:rPr>
          <w:rFonts w:hint="eastAsia" w:ascii="宋体" w:hAnsi="宋体" w:eastAsia="宋体" w:cs="宋体"/>
          <w:color w:val="auto"/>
          <w:sz w:val="24"/>
          <w:szCs w:val="24"/>
          <w:highlight w:val="none"/>
          <w:lang w:val="en-US" w:eastAsia="zh-CN"/>
        </w:rPr>
        <w:t>亩，飞行高度</w:t>
      </w:r>
      <w:r>
        <w:rPr>
          <w:rFonts w:hint="default" w:ascii="宋体" w:hAnsi="宋体" w:eastAsia="宋体" w:cs="宋体"/>
          <w:color w:val="auto"/>
          <w:sz w:val="24"/>
          <w:szCs w:val="24"/>
          <w:highlight w:val="none"/>
          <w:lang w:val="en-US" w:eastAsia="zh-CN"/>
        </w:rPr>
        <w:t>3.5m-4m</w:t>
      </w:r>
      <w:r>
        <w:rPr>
          <w:rFonts w:hint="eastAsia" w:ascii="宋体" w:hAnsi="宋体" w:eastAsia="宋体" w:cs="宋体"/>
          <w:color w:val="auto"/>
          <w:sz w:val="24"/>
          <w:szCs w:val="24"/>
          <w:highlight w:val="none"/>
          <w:lang w:val="en-US" w:eastAsia="zh-CN"/>
        </w:rPr>
        <w:t xml:space="preserve">，飞行速度 </w:t>
      </w:r>
      <w:r>
        <w:rPr>
          <w:rFonts w:hint="default" w:ascii="宋体" w:hAnsi="宋体" w:eastAsia="宋体" w:cs="宋体"/>
          <w:color w:val="auto"/>
          <w:sz w:val="24"/>
          <w:szCs w:val="24"/>
          <w:highlight w:val="none"/>
          <w:lang w:val="en-US" w:eastAsia="zh-CN"/>
        </w:rPr>
        <w:t>3m/s-5m/s</w:t>
      </w:r>
      <w:r>
        <w:rPr>
          <w:rFonts w:hint="eastAsia" w:ascii="宋体" w:hAnsi="宋体" w:eastAsia="宋体" w:cs="宋体"/>
          <w:color w:val="auto"/>
          <w:sz w:val="24"/>
          <w:szCs w:val="24"/>
          <w:highlight w:val="none"/>
          <w:lang w:val="en-US" w:eastAsia="zh-CN"/>
        </w:rPr>
        <w:t>；为保证作业质量和防治效果，建议雾滴密度≥30个/平方厘米，尽量喷到地边，忌漏喷重喷。</w:t>
      </w:r>
    </w:p>
    <w:p w14:paraId="6B04365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（8）飞防作业时保证工作安全，发生飞防事故等相关责任均由中标人（成交人）承担，采购人不承担任何责任。</w:t>
      </w:r>
    </w:p>
    <w:p w14:paraId="6283B3BB">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2.2其他要求</w:t>
      </w:r>
    </w:p>
    <w:p w14:paraId="6F390DF4">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（1）按照项目要求，区域内按采购人要求印发技术资料等，费用由中标人（成交人）承担。</w:t>
      </w:r>
    </w:p>
    <w:p w14:paraId="0DE2F17D">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left="0" w:leftChars="0" w:right="0" w:firstLine="482" w:firstLineChars="200"/>
        <w:jc w:val="left"/>
        <w:textAlignment w:val="auto"/>
        <w:outlineLvl w:val="9"/>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（2）项目实施结束验收合格后，按采购合同支付。</w:t>
      </w:r>
    </w:p>
    <w:p w14:paraId="4AE02714">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color w:val="auto"/>
          <w:spacing w:val="0"/>
          <w:position w:val="0"/>
          <w:sz w:val="24"/>
          <w:szCs w:val="24"/>
          <w:highlight w:val="none"/>
          <w:lang w:val="en-US" w:eastAsia="en-US"/>
        </w:rPr>
      </w:pPr>
      <w:r>
        <w:rPr>
          <w:rFonts w:hint="eastAsia" w:asciiTheme="minorEastAsia" w:hAnsiTheme="minorEastAsia" w:eastAsiaTheme="minorEastAsia" w:cstheme="minorEastAsia"/>
          <w:b/>
          <w:bCs/>
          <w:color w:val="auto"/>
          <w:spacing w:val="0"/>
          <w:position w:val="0"/>
          <w:sz w:val="24"/>
          <w:szCs w:val="24"/>
          <w:highlight w:val="none"/>
          <w:lang w:val="en-US" w:eastAsia="en-US"/>
        </w:rPr>
        <w:t>2.3 安全</w:t>
      </w:r>
    </w:p>
    <w:p w14:paraId="4265209C">
      <w:pPr>
        <w:keepNext w:val="0"/>
        <w:keepLines w:val="0"/>
        <w:pageBreakBefore w:val="0"/>
        <w:widowControl w:val="0"/>
        <w:kinsoku/>
        <w:wordWrap w:val="0"/>
        <w:overflowPunct w:val="0"/>
        <w:topLinePunct/>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napToGrid w:val="0"/>
          <w:color w:val="auto"/>
          <w:kern w:val="0"/>
          <w:sz w:val="24"/>
          <w:szCs w:val="24"/>
          <w:highlight w:val="none"/>
          <w:lang w:val="en-US" w:eastAsia="en-US" w:bidi="ar-SA"/>
        </w:rPr>
      </w:pPr>
      <w:r>
        <w:rPr>
          <w:rFonts w:hint="eastAsia" w:ascii="宋体" w:hAnsi="宋体" w:eastAsia="宋体" w:cs="宋体"/>
          <w:b w:val="0"/>
          <w:bCs w:val="0"/>
          <w:snapToGrid w:val="0"/>
          <w:color w:val="auto"/>
          <w:kern w:val="0"/>
          <w:sz w:val="24"/>
          <w:szCs w:val="24"/>
          <w:highlight w:val="none"/>
          <w:lang w:val="en-US" w:eastAsia="en-US" w:bidi="ar-SA"/>
        </w:rPr>
        <w:t>投标</w:t>
      </w:r>
      <w:r>
        <w:rPr>
          <w:rFonts w:hint="eastAsia" w:ascii="宋体" w:hAnsi="宋体" w:eastAsia="宋体" w:cs="宋体"/>
          <w:b w:val="0"/>
          <w:bCs w:val="0"/>
          <w:snapToGrid w:val="0"/>
          <w:color w:val="auto"/>
          <w:kern w:val="0"/>
          <w:sz w:val="24"/>
          <w:szCs w:val="24"/>
          <w:highlight w:val="none"/>
          <w:lang w:val="en-US" w:eastAsia="zh-CN" w:bidi="ar-SA"/>
        </w:rPr>
        <w:t>服务</w:t>
      </w:r>
      <w:r>
        <w:rPr>
          <w:rFonts w:hint="eastAsia" w:ascii="宋体" w:hAnsi="宋体" w:eastAsia="宋体" w:cs="宋体"/>
          <w:b w:val="0"/>
          <w:bCs w:val="0"/>
          <w:snapToGrid w:val="0"/>
          <w:color w:val="auto"/>
          <w:kern w:val="0"/>
          <w:sz w:val="24"/>
          <w:szCs w:val="24"/>
          <w:highlight w:val="none"/>
          <w:lang w:val="en-US" w:eastAsia="en-US" w:bidi="ar-SA"/>
        </w:rPr>
        <w:t>应符合国家、行业的各项安全标准，投标人对所投产品的安全性承担全部责 任。服务期内不符合保障人身、财产安全的国家标准、行业标准的产品，将依法承担民事及相应刑事责任。合同履行中的安全责任由成交供应商承担全部责任。</w:t>
      </w:r>
    </w:p>
    <w:p w14:paraId="67846847">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en-US"/>
        </w:rPr>
      </w:pPr>
      <w:r>
        <w:rPr>
          <w:rFonts w:hint="eastAsia" w:asciiTheme="minorEastAsia" w:hAnsiTheme="minorEastAsia" w:eastAsiaTheme="minorEastAsia" w:cstheme="minorEastAsia"/>
          <w:b/>
          <w:bCs/>
          <w:spacing w:val="0"/>
          <w:position w:val="0"/>
          <w:sz w:val="24"/>
          <w:szCs w:val="24"/>
          <w:highlight w:val="none"/>
          <w:lang w:val="en-US" w:eastAsia="en-US"/>
        </w:rPr>
        <w:t>2.4 投标</w:t>
      </w:r>
      <w:r>
        <w:rPr>
          <w:rFonts w:hint="eastAsia" w:asciiTheme="minorEastAsia" w:hAnsiTheme="minorEastAsia" w:eastAsiaTheme="minorEastAsia" w:cstheme="minorEastAsia"/>
          <w:b/>
          <w:bCs/>
          <w:spacing w:val="0"/>
          <w:position w:val="0"/>
          <w:sz w:val="24"/>
          <w:szCs w:val="24"/>
          <w:highlight w:val="none"/>
          <w:lang w:val="en-US" w:eastAsia="zh-CN"/>
        </w:rPr>
        <w:t>服务</w:t>
      </w:r>
      <w:r>
        <w:rPr>
          <w:rFonts w:hint="eastAsia" w:asciiTheme="minorEastAsia" w:hAnsiTheme="minorEastAsia" w:eastAsiaTheme="minorEastAsia" w:cstheme="minorEastAsia"/>
          <w:b/>
          <w:bCs/>
          <w:spacing w:val="0"/>
          <w:position w:val="0"/>
          <w:sz w:val="24"/>
          <w:szCs w:val="24"/>
          <w:highlight w:val="none"/>
          <w:lang w:val="en-US" w:eastAsia="en-US"/>
        </w:rPr>
        <w:t>质量要求</w:t>
      </w:r>
    </w:p>
    <w:p w14:paraId="3790AC4D">
      <w:pPr>
        <w:keepNext w:val="0"/>
        <w:keepLines w:val="0"/>
        <w:pageBreakBefore w:val="0"/>
        <w:widowControl w:val="0"/>
        <w:kinsoku/>
        <w:wordWrap w:val="0"/>
        <w:overflowPunct w:val="0"/>
        <w:topLinePunct/>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投标人所投</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服务</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应符合国家质量标准、部颁标准及行业规范的要求，符合国家各项强制性规范及安全标准，</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投标服务</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不应与第三方存在知识产权权属问题；投标人应本着服务客户、为客户着想的宗旨，来完善产品及技术要求未尽事宜，不得以《谈判文件》未列明 事项为由，来降低响应投标</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服务</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的质量。</w:t>
      </w:r>
    </w:p>
    <w:p w14:paraId="433BDEFB">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en-US"/>
        </w:rPr>
      </w:pPr>
      <w:r>
        <w:rPr>
          <w:rFonts w:hint="eastAsia" w:asciiTheme="minorEastAsia" w:hAnsiTheme="minorEastAsia" w:eastAsiaTheme="minorEastAsia" w:cstheme="minorEastAsia"/>
          <w:b/>
          <w:bCs/>
          <w:spacing w:val="0"/>
          <w:position w:val="0"/>
          <w:sz w:val="24"/>
          <w:szCs w:val="24"/>
          <w:highlight w:val="none"/>
          <w:lang w:val="en-US" w:eastAsia="en-US"/>
        </w:rPr>
        <w:t>2.5 投标文件对“基本技术要求”的响应</w:t>
      </w:r>
    </w:p>
    <w:p w14:paraId="68DBDE9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both"/>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“基本技术要求”为采购需求的基础性要求，</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应当明确，投标技术参数应最终指向具体明确的产品。投标文件技术参数抄袭谈判文件“基本技术要求”，</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不明确的、或与</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不一致的，谈判小组有权按照实质性判断原则评定其为无效投标。</w:t>
      </w:r>
    </w:p>
    <w:p w14:paraId="4FD2025C">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en-US"/>
        </w:rPr>
      </w:pPr>
      <w:r>
        <w:rPr>
          <w:rFonts w:hint="eastAsia" w:asciiTheme="minorEastAsia" w:hAnsiTheme="minorEastAsia" w:eastAsiaTheme="minorEastAsia" w:cstheme="minorEastAsia"/>
          <w:b/>
          <w:bCs/>
          <w:spacing w:val="0"/>
          <w:position w:val="0"/>
          <w:sz w:val="24"/>
          <w:szCs w:val="24"/>
          <w:highlight w:val="none"/>
          <w:lang w:val="en-US" w:eastAsia="en-US"/>
        </w:rPr>
        <w:t>2.6 技术偏离</w:t>
      </w:r>
    </w:p>
    <w:p w14:paraId="3AB39A6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2.6.1 “基本技术要求”列示的参数、规格为基础性要求，投标人可提供质量性能参数相等或优于的其他产品；</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的规格参数与“基本技术要求”不同、且投标人认为</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的规格参数等于或优于“基本技术要求”的，投标人应提供相关证明材料（如权威评测资料、及印刷品产品说明书或印刷品图册等）以供谈判小组评审</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是否等于或优于“基本技术要求”、从而评定</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是否满足“基本技术要求”。</w:t>
      </w:r>
    </w:p>
    <w:p w14:paraId="000E740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“基本技术要求”列示的参数、规格为区间性描述的，</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参数规格在此区间内 的、则显见的为符合“基本技术要求”。</w:t>
      </w:r>
    </w:p>
    <w:p w14:paraId="4F07398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如“基本技术要求”中列示有品牌、型号、生产供应商名称、专利、商标的，</w:t>
      </w:r>
      <w:r>
        <w:rPr>
          <w:rFonts w:hint="eastAsia" w:asciiTheme="minorEastAsia" w:hAnsiTheme="minorEastAsia" w:eastAsiaTheme="minorEastAsia" w:cstheme="minorEastAsia"/>
          <w:spacing w:val="0"/>
          <w:position w:val="0"/>
          <w:sz w:val="24"/>
          <w:szCs w:val="24"/>
          <w:highlight w:val="none"/>
          <w:lang w:val="en-US" w:eastAsia="zh-CN"/>
        </w:rPr>
        <w:t>均为</w:t>
      </w:r>
      <w:r>
        <w:rPr>
          <w:rFonts w:hint="eastAsia" w:asciiTheme="minorEastAsia" w:hAnsiTheme="minorEastAsia" w:eastAsiaTheme="minorEastAsia" w:cstheme="minorEastAsia"/>
          <w:spacing w:val="0"/>
          <w:position w:val="0"/>
          <w:sz w:val="24"/>
          <w:szCs w:val="24"/>
          <w:highlight w:val="none"/>
          <w:lang w:val="en-US" w:eastAsia="en-US"/>
        </w:rPr>
        <w:t>“参照或相当于”的技术标准，投标人可提供等于或优于的其他产品（其他的品牌、型号、生产供应商、专利、商标）；投标人应提供相关证明材料（如权威评测资料、及印刷品产 品说明书或印刷品图册等）以供谈判小组评审</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是否等于或优于“基本技术要求”、 从而评定</w:t>
      </w:r>
      <w:r>
        <w:rPr>
          <w:rFonts w:hint="eastAsia" w:asciiTheme="minorEastAsia" w:hAnsiTheme="minorEastAsia" w:eastAsiaTheme="minorEastAsia" w:cstheme="minorEastAsia"/>
          <w:spacing w:val="0"/>
          <w:position w:val="0"/>
          <w:sz w:val="24"/>
          <w:szCs w:val="24"/>
          <w:highlight w:val="none"/>
          <w:lang w:val="en-US" w:eastAsia="zh-CN"/>
        </w:rPr>
        <w:t>投标服务</w:t>
      </w:r>
      <w:r>
        <w:rPr>
          <w:rFonts w:hint="eastAsia" w:asciiTheme="minorEastAsia" w:hAnsiTheme="minorEastAsia" w:eastAsiaTheme="minorEastAsia" w:cstheme="minorEastAsia"/>
          <w:spacing w:val="0"/>
          <w:position w:val="0"/>
          <w:sz w:val="24"/>
          <w:szCs w:val="24"/>
          <w:highlight w:val="none"/>
          <w:lang w:val="en-US" w:eastAsia="en-US"/>
        </w:rPr>
        <w:t>是否满足“基本技术要求”。</w:t>
      </w:r>
    </w:p>
    <w:p w14:paraId="0F0AEFA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b w:val="0"/>
          <w:bCs w:val="0"/>
          <w:spacing w:val="0"/>
          <w:position w:val="0"/>
          <w:sz w:val="24"/>
          <w:szCs w:val="24"/>
          <w:highlight w:val="none"/>
          <w:lang w:val="en-US" w:eastAsia="en-US"/>
        </w:rPr>
      </w:pPr>
      <w:r>
        <w:rPr>
          <w:rFonts w:hint="eastAsia" w:asciiTheme="minorEastAsia" w:hAnsiTheme="minorEastAsia" w:eastAsiaTheme="minorEastAsia" w:cstheme="minorEastAsia"/>
          <w:b w:val="0"/>
          <w:bCs w:val="0"/>
          <w:spacing w:val="0"/>
          <w:position w:val="0"/>
          <w:sz w:val="24"/>
          <w:szCs w:val="24"/>
          <w:highlight w:val="none"/>
          <w:lang w:val="en-US" w:eastAsia="en-US"/>
        </w:rPr>
        <w:t>2.6.2 不接受负偏差，低于“基本技术要求”的为无效投标。</w:t>
      </w:r>
    </w:p>
    <w:p w14:paraId="3048C41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2.6.3 除谈判文件“基本技术要求 ”有明确说明外，投标人所投标的各项产品均应为 该产品的标准配置、不应改变或调换厂家的出厂标准配置；如确因市场因素无法按上述规 格产品进行投标，应提供优于“基本技术要求 ”的同类产品进行投标，投标人应提供印刷品产品说明书或印刷品图册等予以佐证（电子档）。</w:t>
      </w:r>
    </w:p>
    <w:p w14:paraId="132A9B3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2.6.4 投标文件对技术偏差的描述要求：见第三章投标人须知 3.7.3 项。</w:t>
      </w:r>
    </w:p>
    <w:p w14:paraId="6FE4E5B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2.7 售后服务的基本条款（采购标的需满足的服务标准、期限、效率等要求）</w:t>
      </w:r>
    </w:p>
    <w:p w14:paraId="0021A30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2.7.1  货物的保修除按国家有关规定、各产品生产厂家规定及项目特殊要求处理外，还 应满足下述条款：</w:t>
      </w:r>
    </w:p>
    <w:p w14:paraId="78AB877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（1）谈判文件中未明确列明保修条款的产品，均需提供至少一年的免费保修；国家规定或产品生产厂家规定大于一年的，按国家规定与厂家规定最有利于采购人原则执行； 谈判文件已明确列明大于一年保修的，按该条款及其响应执行，并终身维护；</w:t>
      </w:r>
    </w:p>
    <w:p w14:paraId="431271B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（2）保修期内货物发生故障系货物出现质量问题，必须无偿更换；</w:t>
      </w:r>
    </w:p>
    <w:p w14:paraId="1B8496E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sz w:val="24"/>
          <w:szCs w:val="24"/>
          <w:highlight w:val="none"/>
          <w:lang w:val="en-US" w:eastAsia="en-US"/>
        </w:rPr>
        <w:t>（3）货物超过保修期发生故障，采购人可自由选择维修单位，如委托给成交供应商， 成交供应商不得借故推诿，且维修费优于市场价格；</w:t>
      </w:r>
    </w:p>
    <w:p w14:paraId="15F2C2C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（4）如货物发生故障，接到通知后需尽快做出响应，并在 24 小时内及时赶到现场， 负责故障原因的诊断，尽快排除故障。</w:t>
      </w:r>
    </w:p>
    <w:p w14:paraId="09FB5EB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2.7.2 在成交供应商未按照合同规定的地点交验前，货物毁坏或灭失，由成交供应商承 担责任。</w:t>
      </w:r>
    </w:p>
    <w:p w14:paraId="1CDC806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2.7.3 投标人需提供详尽的售后服务承诺；如由产品生产厂家提供相关售后服务的，投 标人负有连带售后服务责任。</w:t>
      </w:r>
    </w:p>
    <w:p w14:paraId="26455DB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2.8</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保险、货物包装</w:t>
      </w:r>
    </w:p>
    <w:p w14:paraId="2A84A71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2.8.1  保险（如需）：</w:t>
      </w:r>
    </w:p>
    <w:p w14:paraId="66D38AD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投标人应遵循国家相关保险的规定，依法办理采购需求范围内的相关法定保险，相关保险费用及相应责任由成交供应商承担。在成交供应商未按照合同规定的地点交验前，货物毁坏或灭失，人身安全责任，均由成交供应商承担责任。投标人可以按照最有利于项目风险控制的原则，为项目办理货物、人身及第三方公众责任险。</w:t>
      </w:r>
    </w:p>
    <w:p w14:paraId="3B76644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2.8.2  货物包装：</w:t>
      </w:r>
    </w:p>
    <w:p w14:paraId="18561C7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成交供应商负责按国家相关标准进行货物包装，设备的包装均应有良好的防湿、防锈、 防潮、防雨、防腐及防碰撞的措施，凡由于包装不良造成的损失和由此产生的费用均由成  交供应商承担</w:t>
      </w:r>
    </w:p>
    <w:p w14:paraId="0C3BD2F4">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2.9</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项目落实的政府采购政策（法规标准条款）</w:t>
      </w:r>
    </w:p>
    <w:p w14:paraId="5B2394D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2.9.1 政府采购节能产品、环境标志产品实施品目清单管理后，对本次采购产品属于 “节能产品政府采购品目清单”中强制采购品目的，响应产品应当具有相应的认证证书（认 证证书应当为国家确定的认证机构出具、且应处于有效期之内），响应文件中应当提供相 应的认证证书（认证证书应当为国家确定的认证机构出具、且应处于有效期之内）。</w:t>
      </w:r>
    </w:p>
    <w:p w14:paraId="0F9279A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属于政府强制采购品目、而未按要求提供相应资料的，为无效投标。</w:t>
      </w:r>
    </w:p>
    <w:p w14:paraId="078E721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2.9.2 同等条件下，获得节能产品认证证书或环境标志产品认证证书的产品或贫困地区产品优先采购。认证证书应当为国家确定的认证机构出具、且应处于有效期之内。</w:t>
      </w:r>
    </w:p>
    <w:p w14:paraId="3A4CE1F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2.9.3  本次采购不允许进口产品参加。</w:t>
      </w:r>
    </w:p>
    <w:p w14:paraId="5B8597F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lang w:val="en-US" w:eastAsia="en-US"/>
        </w:rPr>
      </w:pPr>
      <w:r>
        <w:rPr>
          <w:rFonts w:hint="eastAsia" w:asciiTheme="minorEastAsia" w:hAnsiTheme="minorEastAsia" w:eastAsiaTheme="minorEastAsia" w:cstheme="minorEastAsia"/>
          <w:spacing w:val="0"/>
          <w:position w:val="0"/>
          <w:sz w:val="24"/>
          <w:szCs w:val="24"/>
          <w:highlight w:val="none"/>
          <w:lang w:val="en-US" w:eastAsia="en-US"/>
        </w:rPr>
        <w:t xml:space="preserve">2.9.4 信息安全产品须通过国家信息安全认证中心认证，计算机产品须预装正版操作系 </w:t>
      </w:r>
      <w:r>
        <w:rPr>
          <w:rFonts w:hint="eastAsia" w:asciiTheme="minorEastAsia" w:hAnsiTheme="minorEastAsia" w:eastAsiaTheme="minorEastAsia" w:cstheme="minorEastAsia"/>
          <w:color w:val="auto"/>
          <w:spacing w:val="0"/>
          <w:position w:val="0"/>
          <w:sz w:val="24"/>
          <w:szCs w:val="24"/>
          <w:highlight w:val="none"/>
          <w:lang w:val="en-US" w:eastAsia="en-US"/>
        </w:rPr>
        <w:t>统软件。</w:t>
      </w:r>
    </w:p>
    <w:p w14:paraId="4778230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lang w:val="en-US" w:eastAsia="en-US"/>
        </w:rPr>
      </w:pPr>
      <w:r>
        <w:rPr>
          <w:rFonts w:hint="eastAsia" w:asciiTheme="minorEastAsia" w:hAnsiTheme="minorEastAsia" w:eastAsiaTheme="minorEastAsia" w:cstheme="minorEastAsia"/>
          <w:color w:val="auto"/>
          <w:spacing w:val="0"/>
          <w:position w:val="0"/>
          <w:sz w:val="24"/>
          <w:szCs w:val="24"/>
          <w:highlight w:val="none"/>
          <w:lang w:val="en-US" w:eastAsia="en-US"/>
        </w:rPr>
        <w:t>2.9.5  促进中小企业发展扶持政策：见第四章“评审办法”第4条。</w:t>
      </w:r>
    </w:p>
    <w:p w14:paraId="6E06567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lang w:val="en-US" w:eastAsia="en-US"/>
        </w:rPr>
      </w:pPr>
      <w:r>
        <w:rPr>
          <w:rFonts w:hint="eastAsia" w:asciiTheme="minorEastAsia" w:hAnsiTheme="minorEastAsia" w:eastAsiaTheme="minorEastAsia" w:cstheme="minorEastAsia"/>
          <w:color w:val="auto"/>
          <w:spacing w:val="0"/>
          <w:position w:val="0"/>
          <w:sz w:val="24"/>
          <w:szCs w:val="24"/>
          <w:highlight w:val="none"/>
          <w:lang w:val="en-US" w:eastAsia="en-US"/>
        </w:rPr>
        <w:t>2.9.6  政府采购支持监狱企业发展</w:t>
      </w:r>
    </w:p>
    <w:p w14:paraId="39DEAE5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sz w:val="24"/>
          <w:szCs w:val="24"/>
          <w:highlight w:val="none"/>
          <w:lang w:val="en-US" w:eastAsia="en-US"/>
        </w:rPr>
      </w:pPr>
      <w:r>
        <w:rPr>
          <w:rFonts w:hint="eastAsia" w:asciiTheme="minorEastAsia" w:hAnsiTheme="minorEastAsia" w:eastAsiaTheme="minorEastAsia" w:cstheme="minorEastAsia"/>
          <w:color w:val="auto"/>
          <w:spacing w:val="0"/>
          <w:position w:val="0"/>
          <w:sz w:val="24"/>
          <w:szCs w:val="24"/>
          <w:highlight w:val="none"/>
          <w:lang w:val="en-US" w:eastAsia="en-US"/>
        </w:rPr>
        <w:t>2.9.7 促进残疾人就业：见第四章“评标办法”第</w:t>
      </w:r>
      <w:r>
        <w:rPr>
          <w:rFonts w:hint="eastAsia" w:asciiTheme="minorEastAsia" w:hAnsiTheme="minorEastAsia" w:eastAsiaTheme="minorEastAsia" w:cstheme="minorEastAsia"/>
          <w:color w:val="auto"/>
          <w:spacing w:val="0"/>
          <w:position w:val="0"/>
          <w:sz w:val="24"/>
          <w:szCs w:val="24"/>
          <w:highlight w:val="none"/>
          <w:lang w:val="en-US" w:eastAsia="zh-CN"/>
        </w:rPr>
        <w:t>4条。</w:t>
      </w:r>
      <w:r>
        <w:rPr>
          <w:rFonts w:hint="eastAsia" w:asciiTheme="minorEastAsia" w:hAnsiTheme="minorEastAsia" w:eastAsiaTheme="minorEastAsia" w:cstheme="minorEastAsia"/>
          <w:color w:val="auto"/>
          <w:spacing w:val="0"/>
          <w:position w:val="0"/>
          <w:sz w:val="24"/>
          <w:szCs w:val="24"/>
          <w:highlight w:val="none"/>
          <w:lang w:val="en-US" w:eastAsia="en-US"/>
        </w:rPr>
        <w:t xml:space="preserve"> </w:t>
      </w:r>
    </w:p>
    <w:p w14:paraId="7E25DCB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color w:val="auto"/>
          <w:spacing w:val="0"/>
          <w:position w:val="0"/>
          <w:sz w:val="24"/>
          <w:szCs w:val="24"/>
          <w:highlight w:val="none"/>
          <w:lang w:val="en-US" w:eastAsia="zh-CN"/>
        </w:rPr>
      </w:pPr>
      <w:r>
        <w:rPr>
          <w:rFonts w:hint="eastAsia" w:asciiTheme="minorEastAsia" w:hAnsiTheme="minorEastAsia" w:eastAsiaTheme="minorEastAsia" w:cstheme="minorEastAsia"/>
          <w:b/>
          <w:bCs/>
          <w:color w:val="auto"/>
          <w:spacing w:val="0"/>
          <w:position w:val="0"/>
          <w:sz w:val="24"/>
          <w:szCs w:val="24"/>
          <w:highlight w:val="none"/>
          <w:lang w:val="en-US" w:eastAsia="zh-CN"/>
        </w:rPr>
        <w:t>2.10</w:t>
      </w:r>
      <w:r>
        <w:rPr>
          <w:rFonts w:hint="eastAsia" w:asciiTheme="minorEastAsia" w:hAnsiTheme="minorEastAsia" w:eastAsiaTheme="minorEastAsia" w:cstheme="minorEastAsia"/>
          <w:b/>
          <w:bCs/>
          <w:color w:val="auto"/>
          <w:spacing w:val="0"/>
          <w:position w:val="0"/>
          <w:sz w:val="24"/>
          <w:szCs w:val="24"/>
          <w:highlight w:val="none"/>
          <w:lang w:val="en-US" w:eastAsia="en-US"/>
        </w:rPr>
        <w:t>本项目采购标的属性</w:t>
      </w:r>
      <w:r>
        <w:rPr>
          <w:rFonts w:hint="eastAsia" w:asciiTheme="minorEastAsia" w:hAnsiTheme="minorEastAsia" w:eastAsiaTheme="minorEastAsia" w:cstheme="minorEastAsia"/>
          <w:b/>
          <w:bCs/>
          <w:color w:val="auto"/>
          <w:spacing w:val="0"/>
          <w:position w:val="0"/>
          <w:sz w:val="24"/>
          <w:szCs w:val="24"/>
          <w:highlight w:val="none"/>
          <w:lang w:val="en-US" w:eastAsia="zh-CN"/>
        </w:rPr>
        <w:t>：服务</w:t>
      </w:r>
    </w:p>
    <w:p w14:paraId="79095A1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default" w:asciiTheme="minorEastAsia" w:hAnsiTheme="minorEastAsia" w:eastAsiaTheme="minorEastAsia" w:cstheme="minorEastAsia"/>
          <w:color w:val="auto"/>
          <w:spacing w:val="0"/>
          <w:position w:val="0"/>
          <w:sz w:val="24"/>
          <w:szCs w:val="24"/>
          <w:highlight w:val="none"/>
          <w:lang w:val="en-US" w:eastAsia="zh-CN"/>
        </w:rPr>
        <w:sectPr>
          <w:footerReference r:id="rId7" w:type="default"/>
          <w:pgSz w:w="11905" w:h="16837"/>
          <w:pgMar w:top="1440" w:right="1080" w:bottom="1440" w:left="1080" w:header="17" w:footer="640" w:gutter="0"/>
          <w:pgBorders>
            <w:top w:val="none" w:sz="0" w:space="0"/>
            <w:left w:val="none" w:sz="0" w:space="0"/>
            <w:bottom w:val="none" w:sz="0" w:space="0"/>
            <w:right w:val="none" w:sz="0" w:space="0"/>
          </w:pgBorders>
          <w:pgNumType w:fmt="decimal" w:start="1"/>
          <w:cols w:space="720" w:num="1"/>
          <w:rtlGutter w:val="0"/>
        </w:sectPr>
      </w:pPr>
      <w:r>
        <w:rPr>
          <w:rFonts w:hint="eastAsia" w:asciiTheme="minorEastAsia" w:hAnsiTheme="minorEastAsia" w:eastAsiaTheme="minorEastAsia" w:cstheme="minorEastAsia"/>
          <w:color w:val="auto"/>
          <w:spacing w:val="0"/>
          <w:position w:val="0"/>
          <w:sz w:val="24"/>
          <w:szCs w:val="24"/>
          <w:highlight w:val="none"/>
          <w:lang w:val="en-US" w:eastAsia="zh-CN"/>
        </w:rPr>
        <w:t xml:space="preserve">2.11 </w:t>
      </w:r>
      <w:r>
        <w:rPr>
          <w:rFonts w:hint="eastAsia" w:ascii="宋体" w:hAnsi="宋体" w:eastAsia="宋体" w:cs="宋体"/>
          <w:b/>
          <w:bCs/>
          <w:snapToGrid w:val="0"/>
          <w:color w:val="auto"/>
          <w:kern w:val="0"/>
          <w:sz w:val="24"/>
          <w:szCs w:val="24"/>
          <w:highlight w:val="none"/>
          <w:lang w:val="en-US" w:eastAsia="en-US" w:bidi="ar-SA"/>
        </w:rPr>
        <w:t>本采购项目所属行业：</w:t>
      </w:r>
      <w:r>
        <w:rPr>
          <w:rFonts w:hint="eastAsia" w:ascii="宋体" w:hAnsi="宋体" w:eastAsia="宋体" w:cs="宋体"/>
          <w:b/>
          <w:bCs/>
          <w:snapToGrid w:val="0"/>
          <w:color w:val="auto"/>
          <w:kern w:val="0"/>
          <w:sz w:val="24"/>
          <w:szCs w:val="24"/>
          <w:highlight w:val="none"/>
          <w:lang w:val="en-US" w:eastAsia="zh-CN" w:bidi="ar-SA"/>
        </w:rPr>
        <w:t>农、林、牧、渔业</w:t>
      </w:r>
    </w:p>
    <w:p w14:paraId="14866012">
      <w:pPr>
        <w:pStyle w:val="2"/>
        <w:bidi w:val="0"/>
        <w:spacing w:before="0" w:after="0" w:line="240" w:lineRule="auto"/>
        <w:jc w:val="center"/>
        <w:rPr>
          <w:rFonts w:hint="eastAsia"/>
          <w:highlight w:val="none"/>
        </w:rPr>
      </w:pPr>
      <w:bookmarkStart w:id="5" w:name="bookmark9"/>
      <w:bookmarkEnd w:id="5"/>
      <w:bookmarkStart w:id="6" w:name="_Toc15679"/>
      <w:r>
        <w:rPr>
          <w:rFonts w:hint="eastAsia"/>
          <w:highlight w:val="none"/>
        </w:rPr>
        <w:t>第三章 投标人须知</w:t>
      </w:r>
      <w:bookmarkEnd w:id="6"/>
    </w:p>
    <w:p w14:paraId="39391D84">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highlight w:val="none"/>
        </w:rPr>
      </w:pPr>
      <w:bookmarkStart w:id="7" w:name="bookmark11"/>
      <w:bookmarkEnd w:id="7"/>
      <w:r>
        <w:rPr>
          <w:rFonts w:hint="eastAsia" w:asciiTheme="minorEastAsia" w:hAnsiTheme="minorEastAsia" w:eastAsiaTheme="minorEastAsia" w:cstheme="minorEastAsia"/>
          <w:b/>
          <w:bCs/>
          <w:spacing w:val="0"/>
          <w:position w:val="0"/>
          <w:sz w:val="28"/>
          <w:szCs w:val="28"/>
          <w:highlight w:val="none"/>
        </w:rPr>
        <w:t>投标人须知前附表</w:t>
      </w:r>
    </w:p>
    <w:tbl>
      <w:tblPr>
        <w:tblStyle w:val="18"/>
        <w:tblW w:w="961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1"/>
        <w:gridCol w:w="2232"/>
        <w:gridCol w:w="6600"/>
      </w:tblGrid>
      <w:tr w14:paraId="49CDA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top w:val="single" w:color="000000" w:sz="10" w:space="0"/>
              <w:left w:val="single" w:color="000000" w:sz="10" w:space="0"/>
            </w:tcBorders>
            <w:vAlign w:val="center"/>
          </w:tcPr>
          <w:p w14:paraId="5D30DB30">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eastAsia="宋体"/>
                <w:b/>
                <w:bCs/>
                <w:spacing w:val="0"/>
                <w:position w:val="0"/>
                <w:sz w:val="24"/>
                <w:szCs w:val="24"/>
                <w:highlight w:val="none"/>
                <w:lang w:eastAsia="zh-CN"/>
              </w:rPr>
            </w:pPr>
            <w:r>
              <w:rPr>
                <w:rFonts w:hint="eastAsia" w:eastAsia="宋体"/>
                <w:b/>
                <w:bCs/>
                <w:spacing w:val="0"/>
                <w:position w:val="0"/>
                <w:sz w:val="24"/>
                <w:szCs w:val="24"/>
                <w:highlight w:val="none"/>
                <w:lang w:val="en-US" w:eastAsia="zh-CN"/>
              </w:rPr>
              <w:t>序号</w:t>
            </w:r>
          </w:p>
        </w:tc>
        <w:tc>
          <w:tcPr>
            <w:tcW w:w="2232" w:type="dxa"/>
            <w:tcBorders>
              <w:top w:val="single" w:color="000000" w:sz="10" w:space="0"/>
            </w:tcBorders>
            <w:vAlign w:val="center"/>
          </w:tcPr>
          <w:p w14:paraId="641BC6F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b/>
                <w:bCs/>
                <w:spacing w:val="0"/>
                <w:position w:val="0"/>
                <w:sz w:val="24"/>
                <w:szCs w:val="24"/>
                <w:highlight w:val="none"/>
              </w:rPr>
            </w:pPr>
            <w:r>
              <w:rPr>
                <w:rFonts w:hint="eastAsia"/>
                <w:b/>
                <w:bCs/>
                <w:spacing w:val="0"/>
                <w:position w:val="0"/>
                <w:sz w:val="24"/>
                <w:szCs w:val="24"/>
                <w:highlight w:val="none"/>
              </w:rPr>
              <w:t>名称</w:t>
            </w:r>
          </w:p>
        </w:tc>
        <w:tc>
          <w:tcPr>
            <w:tcW w:w="6600" w:type="dxa"/>
            <w:tcBorders>
              <w:top w:val="single" w:color="000000" w:sz="10" w:space="0"/>
              <w:right w:val="single" w:color="000000" w:sz="10" w:space="0"/>
            </w:tcBorders>
            <w:vAlign w:val="top"/>
          </w:tcPr>
          <w:p w14:paraId="045585C3">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内容</w:t>
            </w:r>
          </w:p>
        </w:tc>
      </w:tr>
      <w:tr w14:paraId="0B376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2776653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w:t>
            </w:r>
          </w:p>
        </w:tc>
        <w:tc>
          <w:tcPr>
            <w:tcW w:w="2232" w:type="dxa"/>
            <w:vAlign w:val="center"/>
          </w:tcPr>
          <w:p w14:paraId="156DEE52">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color w:val="auto"/>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rPr>
              <w:t>采购项目名称</w:t>
            </w:r>
          </w:p>
        </w:tc>
        <w:tc>
          <w:tcPr>
            <w:tcW w:w="6600" w:type="dxa"/>
            <w:tcBorders>
              <w:right w:val="single" w:color="000000" w:sz="10" w:space="0"/>
            </w:tcBorders>
            <w:vAlign w:val="center"/>
          </w:tcPr>
          <w:p w14:paraId="13852170">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lang w:val="zh-CN"/>
              </w:rPr>
              <w:t>汤阴县农业农村局2026年秋粮防灾减灾项目</w:t>
            </w:r>
            <w:r>
              <w:rPr>
                <w:rFonts w:hint="eastAsia" w:asciiTheme="minorEastAsia" w:hAnsiTheme="minorEastAsia" w:eastAsiaTheme="minorEastAsia" w:cstheme="minorEastAsia"/>
                <w:color w:val="auto"/>
                <w:spacing w:val="0"/>
                <w:position w:val="0"/>
                <w:sz w:val="24"/>
                <w:szCs w:val="24"/>
                <w:highlight w:val="none"/>
                <w:lang w:val="en-US" w:eastAsia="zh-CN"/>
              </w:rPr>
              <w:t>三</w:t>
            </w:r>
            <w:r>
              <w:rPr>
                <w:rFonts w:hint="eastAsia" w:asciiTheme="minorEastAsia" w:hAnsiTheme="minorEastAsia" w:eastAsiaTheme="minorEastAsia" w:cstheme="minorEastAsia"/>
                <w:color w:val="auto"/>
                <w:spacing w:val="0"/>
                <w:position w:val="0"/>
                <w:sz w:val="24"/>
                <w:szCs w:val="24"/>
                <w:highlight w:val="none"/>
                <w:lang w:val="zh-CN"/>
              </w:rPr>
              <w:t>次</w:t>
            </w:r>
          </w:p>
        </w:tc>
      </w:tr>
      <w:tr w14:paraId="6FEEE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3B94B04D">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w:t>
            </w:r>
          </w:p>
        </w:tc>
        <w:tc>
          <w:tcPr>
            <w:tcW w:w="2232" w:type="dxa"/>
            <w:vAlign w:val="center"/>
          </w:tcPr>
          <w:p w14:paraId="5CD37E12">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color w:val="auto"/>
                <w:spacing w:val="0"/>
                <w:position w:val="0"/>
                <w:sz w:val="24"/>
                <w:szCs w:val="24"/>
                <w:highlight w:val="none"/>
                <w:lang w:eastAsia="zh-CN"/>
              </w:rPr>
            </w:pPr>
            <w:r>
              <w:rPr>
                <w:rFonts w:hint="eastAsia" w:asciiTheme="minorEastAsia" w:hAnsiTheme="minorEastAsia" w:eastAsiaTheme="minorEastAsia" w:cstheme="minorEastAsia"/>
                <w:b/>
                <w:bCs/>
                <w:color w:val="auto"/>
                <w:spacing w:val="0"/>
                <w:position w:val="0"/>
                <w:sz w:val="24"/>
                <w:szCs w:val="24"/>
                <w:highlight w:val="none"/>
                <w:lang w:eastAsia="zh-CN"/>
              </w:rPr>
              <w:t>项目编号</w:t>
            </w:r>
          </w:p>
        </w:tc>
        <w:tc>
          <w:tcPr>
            <w:tcW w:w="6600" w:type="dxa"/>
            <w:tcBorders>
              <w:right w:val="single" w:color="000000" w:sz="10" w:space="0"/>
            </w:tcBorders>
            <w:vAlign w:val="center"/>
          </w:tcPr>
          <w:p w14:paraId="65D03A50">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lang w:val="en-US" w:eastAsia="zh-CN"/>
              </w:rPr>
            </w:pPr>
            <w:r>
              <w:rPr>
                <w:rFonts w:hint="eastAsia" w:asciiTheme="minorEastAsia" w:hAnsiTheme="minorEastAsia" w:eastAsiaTheme="minorEastAsia" w:cstheme="minorEastAsia"/>
                <w:color w:val="auto"/>
                <w:spacing w:val="0"/>
                <w:position w:val="0"/>
                <w:sz w:val="24"/>
                <w:szCs w:val="24"/>
                <w:highlight w:val="none"/>
                <w:lang w:eastAsia="zh-CN"/>
              </w:rPr>
              <w:t>安汤竞谈采购-2026-14</w:t>
            </w:r>
          </w:p>
        </w:tc>
      </w:tr>
      <w:tr w14:paraId="5F65C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38837A9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3</w:t>
            </w:r>
          </w:p>
        </w:tc>
        <w:tc>
          <w:tcPr>
            <w:tcW w:w="2232" w:type="dxa"/>
            <w:vAlign w:val="center"/>
          </w:tcPr>
          <w:p w14:paraId="49599818">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color w:val="auto"/>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rPr>
              <w:t>采购方式</w:t>
            </w:r>
          </w:p>
        </w:tc>
        <w:tc>
          <w:tcPr>
            <w:tcW w:w="6600" w:type="dxa"/>
            <w:tcBorders>
              <w:right w:val="single" w:color="000000" w:sz="10" w:space="0"/>
            </w:tcBorders>
            <w:vAlign w:val="center"/>
          </w:tcPr>
          <w:p w14:paraId="3B4E5A46">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竞争性谈判</w:t>
            </w:r>
          </w:p>
        </w:tc>
      </w:tr>
      <w:tr w14:paraId="26ED1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6F5E332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4</w:t>
            </w:r>
          </w:p>
        </w:tc>
        <w:tc>
          <w:tcPr>
            <w:tcW w:w="2232" w:type="dxa"/>
            <w:shd w:val="clear" w:color="auto" w:fill="auto"/>
            <w:vAlign w:val="center"/>
          </w:tcPr>
          <w:p w14:paraId="2D279FA3">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投标人资格要求及相关证明材料要求</w:t>
            </w:r>
          </w:p>
        </w:tc>
        <w:tc>
          <w:tcPr>
            <w:tcW w:w="6600" w:type="dxa"/>
            <w:tcBorders>
              <w:right w:val="single" w:color="000000" w:sz="10" w:space="0"/>
            </w:tcBorders>
            <w:shd w:val="clear" w:color="auto" w:fill="auto"/>
            <w:vAlign w:val="center"/>
          </w:tcPr>
          <w:p w14:paraId="169083A2">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见“第一章谈判公告 ”相应条款</w:t>
            </w:r>
          </w:p>
        </w:tc>
      </w:tr>
      <w:tr w14:paraId="5F777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2E1CBA36">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5</w:t>
            </w:r>
          </w:p>
        </w:tc>
        <w:tc>
          <w:tcPr>
            <w:tcW w:w="2232" w:type="dxa"/>
            <w:shd w:val="clear" w:color="auto" w:fill="auto"/>
            <w:vAlign w:val="center"/>
          </w:tcPr>
          <w:p w14:paraId="68B97467">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采购人</w:t>
            </w:r>
          </w:p>
        </w:tc>
        <w:tc>
          <w:tcPr>
            <w:tcW w:w="6600" w:type="dxa"/>
            <w:tcBorders>
              <w:right w:val="single" w:color="000000" w:sz="10" w:space="0"/>
            </w:tcBorders>
            <w:shd w:val="clear" w:color="auto" w:fill="auto"/>
            <w:vAlign w:val="center"/>
          </w:tcPr>
          <w:p w14:paraId="07B81117">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color w:val="000000" w:themeColor="text1"/>
                <w:spacing w:val="0"/>
                <w:position w:val="0"/>
                <w:sz w:val="24"/>
                <w:szCs w:val="24"/>
                <w:highlight w:val="none"/>
                <w:lang w:val="zh-CN"/>
                <w14:textFill>
                  <w14:solidFill>
                    <w14:schemeClr w14:val="tx1"/>
                  </w14:solidFill>
                </w14:textFill>
              </w:rPr>
              <w:t>汤阴县农业农村局</w:t>
            </w:r>
          </w:p>
        </w:tc>
      </w:tr>
      <w:tr w14:paraId="45275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2E20B68E">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6</w:t>
            </w:r>
          </w:p>
        </w:tc>
        <w:tc>
          <w:tcPr>
            <w:tcW w:w="2232" w:type="dxa"/>
            <w:shd w:val="clear" w:color="auto" w:fill="auto"/>
            <w:vAlign w:val="center"/>
          </w:tcPr>
          <w:p w14:paraId="1B601D72">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采购代理机构</w:t>
            </w:r>
          </w:p>
        </w:tc>
        <w:tc>
          <w:tcPr>
            <w:tcW w:w="6600" w:type="dxa"/>
            <w:tcBorders>
              <w:right w:val="single" w:color="000000" w:sz="10" w:space="0"/>
            </w:tcBorders>
            <w:shd w:val="clear" w:color="auto" w:fill="auto"/>
            <w:vAlign w:val="center"/>
          </w:tcPr>
          <w:p w14:paraId="673C6681">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pacing w:val="0"/>
                <w:position w:val="0"/>
                <w:sz w:val="24"/>
                <w:szCs w:val="24"/>
                <w:highlight w:val="none"/>
                <w:lang w:eastAsia="zh-CN"/>
              </w:rPr>
              <w:t>河南省仁哲工程管理有限公司</w:t>
            </w:r>
          </w:p>
        </w:tc>
      </w:tr>
      <w:tr w14:paraId="78BB4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32D6167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7</w:t>
            </w:r>
          </w:p>
        </w:tc>
        <w:tc>
          <w:tcPr>
            <w:tcW w:w="2232" w:type="dxa"/>
            <w:shd w:val="clear" w:color="auto" w:fill="auto"/>
            <w:vAlign w:val="center"/>
          </w:tcPr>
          <w:p w14:paraId="77470EEF">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标段</w:t>
            </w:r>
            <w:r>
              <w:rPr>
                <w:rFonts w:hint="eastAsia" w:asciiTheme="minorEastAsia" w:hAnsiTheme="minorEastAsia" w:eastAsiaTheme="minorEastAsia" w:cstheme="minorEastAsia"/>
                <w:b/>
                <w:bCs/>
                <w:spacing w:val="0"/>
                <w:position w:val="0"/>
                <w:sz w:val="24"/>
                <w:szCs w:val="24"/>
                <w:highlight w:val="none"/>
                <w:lang w:eastAsia="zh-CN"/>
              </w:rPr>
              <w:t>（</w:t>
            </w:r>
            <w:r>
              <w:rPr>
                <w:rFonts w:hint="eastAsia" w:asciiTheme="minorEastAsia" w:hAnsiTheme="minorEastAsia" w:eastAsiaTheme="minorEastAsia" w:cstheme="minorEastAsia"/>
                <w:b/>
                <w:bCs/>
                <w:spacing w:val="0"/>
                <w:position w:val="0"/>
                <w:sz w:val="24"/>
                <w:szCs w:val="24"/>
                <w:highlight w:val="none"/>
                <w:lang w:val="en-US" w:eastAsia="zh-CN"/>
              </w:rPr>
              <w:t>包段</w:t>
            </w:r>
            <w:r>
              <w:rPr>
                <w:rFonts w:hint="eastAsia" w:asciiTheme="minorEastAsia" w:hAnsiTheme="minorEastAsia" w:eastAsiaTheme="minorEastAsia" w:cstheme="minorEastAsia"/>
                <w:b/>
                <w:bCs/>
                <w:spacing w:val="0"/>
                <w:position w:val="0"/>
                <w:sz w:val="24"/>
                <w:szCs w:val="24"/>
                <w:highlight w:val="none"/>
                <w:lang w:eastAsia="zh-CN"/>
              </w:rPr>
              <w:t>）</w:t>
            </w:r>
            <w:r>
              <w:rPr>
                <w:rFonts w:hint="eastAsia" w:asciiTheme="minorEastAsia" w:hAnsiTheme="minorEastAsia" w:eastAsiaTheme="minorEastAsia" w:cstheme="minorEastAsia"/>
                <w:b/>
                <w:bCs/>
                <w:spacing w:val="0"/>
                <w:position w:val="0"/>
                <w:sz w:val="24"/>
                <w:szCs w:val="24"/>
                <w:highlight w:val="none"/>
              </w:rPr>
              <w:t>划分</w:t>
            </w:r>
          </w:p>
        </w:tc>
        <w:tc>
          <w:tcPr>
            <w:tcW w:w="6600" w:type="dxa"/>
            <w:tcBorders>
              <w:right w:val="single" w:color="000000" w:sz="10" w:space="0"/>
            </w:tcBorders>
            <w:shd w:val="clear" w:color="auto" w:fill="auto"/>
            <w:vAlign w:val="center"/>
          </w:tcPr>
          <w:p w14:paraId="1F76C82A">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t>本次采购共</w:t>
            </w:r>
            <w:r>
              <w:rPr>
                <w:rFonts w:hint="eastAsia" w:asciiTheme="minorEastAsia" w:hAnsiTheme="minorEastAsia" w:eastAsiaTheme="minorEastAsia" w:cstheme="minorEastAsia"/>
                <w:color w:val="auto"/>
                <w:spacing w:val="0"/>
                <w:position w:val="0"/>
                <w:sz w:val="24"/>
                <w:szCs w:val="24"/>
                <w:highlight w:val="none"/>
                <w:shd w:val="clear" w:color="auto" w:fill="FFFFFF"/>
                <w:lang w:val="en-US" w:eastAsia="zh-CN"/>
              </w:rPr>
              <w:t>1</w:t>
            </w:r>
            <w:r>
              <w:rPr>
                <w:rFonts w:hint="eastAsia" w:asciiTheme="minorEastAsia" w:hAnsiTheme="minorEastAsia" w:eastAsiaTheme="minorEastAsia" w:cstheme="minorEastAsia"/>
                <w:color w:val="auto"/>
                <w:spacing w:val="0"/>
                <w:position w:val="0"/>
                <w:sz w:val="24"/>
                <w:szCs w:val="24"/>
                <w:highlight w:val="none"/>
                <w:shd w:val="clear" w:color="auto" w:fill="FFFFFF"/>
                <w:lang w:eastAsia="zh-CN"/>
              </w:rPr>
              <w:t>个包段</w:t>
            </w:r>
          </w:p>
        </w:tc>
      </w:tr>
      <w:tr w14:paraId="05FA4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0823F20C">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8</w:t>
            </w:r>
          </w:p>
        </w:tc>
        <w:tc>
          <w:tcPr>
            <w:tcW w:w="2232" w:type="dxa"/>
            <w:shd w:val="clear" w:color="auto" w:fill="auto"/>
            <w:vAlign w:val="center"/>
          </w:tcPr>
          <w:p w14:paraId="4D01E357">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b/>
                <w:bCs/>
                <w:spacing w:val="0"/>
                <w:position w:val="0"/>
                <w:sz w:val="24"/>
                <w:szCs w:val="24"/>
                <w:highlight w:val="none"/>
                <w:lang w:eastAsia="zh-CN"/>
              </w:rPr>
              <w:t>合同履约期限</w:t>
            </w:r>
          </w:p>
        </w:tc>
        <w:tc>
          <w:tcPr>
            <w:tcW w:w="6600" w:type="dxa"/>
            <w:tcBorders>
              <w:right w:val="single" w:color="000000" w:sz="10" w:space="0"/>
            </w:tcBorders>
            <w:shd w:val="clear" w:color="auto" w:fill="auto"/>
            <w:vAlign w:val="center"/>
          </w:tcPr>
          <w:p w14:paraId="1CFC0786">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接采购人通知后7日内完成（若因天气情况等非人为因素无法作业，可适当延长服务期）</w:t>
            </w:r>
          </w:p>
        </w:tc>
      </w:tr>
      <w:tr w14:paraId="71F5E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2222726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9</w:t>
            </w:r>
          </w:p>
        </w:tc>
        <w:tc>
          <w:tcPr>
            <w:tcW w:w="2232" w:type="dxa"/>
            <w:shd w:val="clear" w:color="auto" w:fill="auto"/>
            <w:vAlign w:val="center"/>
          </w:tcPr>
          <w:p w14:paraId="4F694CCC">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b/>
                <w:bCs/>
                <w:spacing w:val="0"/>
                <w:position w:val="0"/>
                <w:sz w:val="24"/>
                <w:szCs w:val="24"/>
                <w:highlight w:val="none"/>
                <w:lang w:eastAsia="zh-CN"/>
              </w:rPr>
              <w:t>服务地点</w:t>
            </w:r>
          </w:p>
        </w:tc>
        <w:tc>
          <w:tcPr>
            <w:tcW w:w="6600" w:type="dxa"/>
            <w:tcBorders>
              <w:right w:val="single" w:color="000000" w:sz="10" w:space="0"/>
            </w:tcBorders>
            <w:shd w:val="clear" w:color="auto" w:fill="auto"/>
            <w:vAlign w:val="center"/>
          </w:tcPr>
          <w:p w14:paraId="657D5E65">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color w:val="auto"/>
                <w:spacing w:val="0"/>
                <w:position w:val="0"/>
                <w:sz w:val="24"/>
                <w:szCs w:val="24"/>
                <w:highlight w:val="none"/>
                <w:shd w:val="clear" w:color="auto" w:fill="FFFFFF"/>
              </w:rPr>
              <w:t>采购人指定区域内</w:t>
            </w:r>
          </w:p>
        </w:tc>
      </w:tr>
      <w:tr w14:paraId="0BB41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6F8FFF97">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10</w:t>
            </w:r>
          </w:p>
        </w:tc>
        <w:tc>
          <w:tcPr>
            <w:tcW w:w="2232" w:type="dxa"/>
            <w:shd w:val="clear" w:color="auto" w:fill="auto"/>
            <w:vAlign w:val="center"/>
          </w:tcPr>
          <w:p w14:paraId="3BC7ED0C">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b/>
                <w:bCs/>
                <w:spacing w:val="0"/>
                <w:position w:val="0"/>
                <w:sz w:val="24"/>
                <w:szCs w:val="24"/>
                <w:highlight w:val="none"/>
              </w:rPr>
              <w:t>投标报价</w:t>
            </w:r>
          </w:p>
        </w:tc>
        <w:tc>
          <w:tcPr>
            <w:tcW w:w="6600" w:type="dxa"/>
            <w:tcBorders>
              <w:right w:val="single" w:color="000000" w:sz="10" w:space="0"/>
            </w:tcBorders>
            <w:shd w:val="clear" w:color="auto" w:fill="auto"/>
            <w:vAlign w:val="center"/>
          </w:tcPr>
          <w:p w14:paraId="499BEF3E">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见“第二章采购项目及技术服务要求 ”相应条款</w:t>
            </w:r>
          </w:p>
        </w:tc>
      </w:tr>
      <w:tr w14:paraId="356CE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3CE8D69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11</w:t>
            </w:r>
          </w:p>
        </w:tc>
        <w:tc>
          <w:tcPr>
            <w:tcW w:w="2232" w:type="dxa"/>
            <w:shd w:val="clear" w:color="auto" w:fill="auto"/>
            <w:vAlign w:val="center"/>
          </w:tcPr>
          <w:p w14:paraId="078A7AF8">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标段内容（范围）及要求</w:t>
            </w:r>
          </w:p>
        </w:tc>
        <w:tc>
          <w:tcPr>
            <w:tcW w:w="6600" w:type="dxa"/>
            <w:tcBorders>
              <w:right w:val="single" w:color="000000" w:sz="10" w:space="0"/>
            </w:tcBorders>
            <w:shd w:val="clear" w:color="auto" w:fill="auto"/>
            <w:vAlign w:val="center"/>
          </w:tcPr>
          <w:p w14:paraId="4EA99EA1">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见“第二章采购项目及技术服务要求 ”相应条款</w:t>
            </w:r>
          </w:p>
        </w:tc>
      </w:tr>
      <w:tr w14:paraId="66C63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4E9F8585">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12</w:t>
            </w:r>
          </w:p>
        </w:tc>
        <w:tc>
          <w:tcPr>
            <w:tcW w:w="2232" w:type="dxa"/>
            <w:shd w:val="clear" w:color="auto" w:fill="auto"/>
            <w:vAlign w:val="center"/>
          </w:tcPr>
          <w:p w14:paraId="72A61A59">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联合体投标</w:t>
            </w:r>
          </w:p>
        </w:tc>
        <w:tc>
          <w:tcPr>
            <w:tcW w:w="6600" w:type="dxa"/>
            <w:tcBorders>
              <w:right w:val="single" w:color="000000" w:sz="10" w:space="0"/>
            </w:tcBorders>
            <w:shd w:val="clear" w:color="auto" w:fill="auto"/>
            <w:vAlign w:val="center"/>
          </w:tcPr>
          <w:p w14:paraId="56C6AF57">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不接受</w:t>
            </w:r>
          </w:p>
        </w:tc>
      </w:tr>
      <w:tr w14:paraId="21408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4E720257">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13</w:t>
            </w:r>
          </w:p>
        </w:tc>
        <w:tc>
          <w:tcPr>
            <w:tcW w:w="2232" w:type="dxa"/>
            <w:shd w:val="clear" w:color="auto" w:fill="auto"/>
            <w:vAlign w:val="center"/>
          </w:tcPr>
          <w:p w14:paraId="5F7B36F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踏勘现场</w:t>
            </w:r>
          </w:p>
        </w:tc>
        <w:tc>
          <w:tcPr>
            <w:tcW w:w="6600" w:type="dxa"/>
            <w:tcBorders>
              <w:right w:val="single" w:color="000000" w:sz="10" w:space="0"/>
            </w:tcBorders>
            <w:shd w:val="clear" w:color="auto" w:fill="auto"/>
            <w:vAlign w:val="center"/>
          </w:tcPr>
          <w:p w14:paraId="27BDC475">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不组织</w:t>
            </w:r>
          </w:p>
        </w:tc>
      </w:tr>
      <w:tr w14:paraId="0980E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70066A1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14</w:t>
            </w:r>
          </w:p>
        </w:tc>
        <w:tc>
          <w:tcPr>
            <w:tcW w:w="2232" w:type="dxa"/>
            <w:shd w:val="clear" w:color="auto" w:fill="auto"/>
            <w:vAlign w:val="center"/>
          </w:tcPr>
          <w:p w14:paraId="56744029">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投标预备会</w:t>
            </w:r>
          </w:p>
        </w:tc>
        <w:tc>
          <w:tcPr>
            <w:tcW w:w="6600" w:type="dxa"/>
            <w:tcBorders>
              <w:right w:val="single" w:color="000000" w:sz="10" w:space="0"/>
            </w:tcBorders>
            <w:shd w:val="clear" w:color="auto" w:fill="auto"/>
            <w:vAlign w:val="center"/>
          </w:tcPr>
          <w:p w14:paraId="0927A803">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不召开</w:t>
            </w:r>
          </w:p>
        </w:tc>
      </w:tr>
      <w:tr w14:paraId="47F5D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37F1C42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15</w:t>
            </w:r>
          </w:p>
        </w:tc>
        <w:tc>
          <w:tcPr>
            <w:tcW w:w="2232" w:type="dxa"/>
            <w:shd w:val="clear" w:color="auto" w:fill="auto"/>
            <w:vAlign w:val="center"/>
          </w:tcPr>
          <w:p w14:paraId="340194F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分包</w:t>
            </w:r>
          </w:p>
        </w:tc>
        <w:tc>
          <w:tcPr>
            <w:tcW w:w="6600" w:type="dxa"/>
            <w:tcBorders>
              <w:right w:val="single" w:color="000000" w:sz="10" w:space="0"/>
            </w:tcBorders>
            <w:shd w:val="clear" w:color="auto" w:fill="auto"/>
            <w:vAlign w:val="center"/>
          </w:tcPr>
          <w:p w14:paraId="55E26B8B">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不允许</w:t>
            </w:r>
          </w:p>
        </w:tc>
      </w:tr>
      <w:tr w14:paraId="156E3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6660159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16</w:t>
            </w:r>
          </w:p>
        </w:tc>
        <w:tc>
          <w:tcPr>
            <w:tcW w:w="2232" w:type="dxa"/>
            <w:shd w:val="clear" w:color="auto" w:fill="auto"/>
            <w:vAlign w:val="center"/>
          </w:tcPr>
          <w:p w14:paraId="089DF131">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构成谈判文件的其他材料</w:t>
            </w:r>
          </w:p>
        </w:tc>
        <w:tc>
          <w:tcPr>
            <w:tcW w:w="6600" w:type="dxa"/>
            <w:tcBorders>
              <w:right w:val="single" w:color="000000" w:sz="10" w:space="0"/>
            </w:tcBorders>
            <w:shd w:val="clear" w:color="auto" w:fill="auto"/>
            <w:vAlign w:val="center"/>
          </w:tcPr>
          <w:p w14:paraId="15EF4D85">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见“第三章投标人须知 ”相应条款</w:t>
            </w:r>
          </w:p>
        </w:tc>
      </w:tr>
      <w:tr w14:paraId="48DBC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vMerge w:val="restart"/>
            <w:tcBorders>
              <w:left w:val="single" w:color="000000" w:sz="10" w:space="0"/>
            </w:tcBorders>
            <w:vAlign w:val="center"/>
          </w:tcPr>
          <w:p w14:paraId="47F3091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17</w:t>
            </w:r>
          </w:p>
        </w:tc>
        <w:tc>
          <w:tcPr>
            <w:tcW w:w="2232" w:type="dxa"/>
            <w:vMerge w:val="restart"/>
            <w:vAlign w:val="center"/>
          </w:tcPr>
          <w:p w14:paraId="368B02EF">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投标人提出问题的截止时间</w:t>
            </w:r>
          </w:p>
        </w:tc>
        <w:tc>
          <w:tcPr>
            <w:tcW w:w="6600" w:type="dxa"/>
            <w:vMerge w:val="restart"/>
            <w:tcBorders>
              <w:right w:val="single" w:color="000000" w:sz="10" w:space="0"/>
            </w:tcBorders>
            <w:vAlign w:val="center"/>
          </w:tcPr>
          <w:p w14:paraId="604C98DF">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投标截止时间 2 日前</w:t>
            </w:r>
          </w:p>
        </w:tc>
      </w:tr>
      <w:tr w14:paraId="6F2BA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vMerge w:val="continue"/>
            <w:tcBorders>
              <w:left w:val="single" w:color="000000" w:sz="10" w:space="0"/>
            </w:tcBorders>
            <w:vAlign w:val="center"/>
          </w:tcPr>
          <w:p w14:paraId="468E8956">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rPr>
            </w:pPr>
          </w:p>
        </w:tc>
        <w:tc>
          <w:tcPr>
            <w:tcW w:w="2232" w:type="dxa"/>
            <w:vMerge w:val="continue"/>
            <w:shd w:val="clear" w:color="auto" w:fill="auto"/>
            <w:vAlign w:val="center"/>
          </w:tcPr>
          <w:p w14:paraId="1E2F86FB">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p>
        </w:tc>
        <w:tc>
          <w:tcPr>
            <w:tcW w:w="6600" w:type="dxa"/>
            <w:vMerge w:val="continue"/>
            <w:tcBorders>
              <w:right w:val="single" w:color="000000" w:sz="10" w:space="0"/>
            </w:tcBorders>
            <w:shd w:val="clear" w:color="auto" w:fill="auto"/>
            <w:vAlign w:val="center"/>
          </w:tcPr>
          <w:p w14:paraId="7431DBCC">
            <w:pPr>
              <w:pStyle w:val="19"/>
              <w:keepNext w:val="0"/>
              <w:keepLines w:val="0"/>
              <w:pageBreakBefore w:val="0"/>
              <w:widowControl w:val="0"/>
              <w:kinsoku/>
              <w:wordWrap w:val="0"/>
              <w:overflowPunct w:val="0"/>
              <w:topLinePunct/>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r>
      <w:tr w14:paraId="192B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781" w:type="dxa"/>
            <w:tcBorders>
              <w:left w:val="single" w:color="000000" w:sz="10" w:space="0"/>
            </w:tcBorders>
            <w:vAlign w:val="center"/>
          </w:tcPr>
          <w:p w14:paraId="717B40D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18</w:t>
            </w:r>
          </w:p>
        </w:tc>
        <w:tc>
          <w:tcPr>
            <w:tcW w:w="2232" w:type="dxa"/>
            <w:shd w:val="clear" w:color="auto" w:fill="auto"/>
            <w:vAlign w:val="center"/>
          </w:tcPr>
          <w:p w14:paraId="4ACEFC7F">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谈判文件澄清修改补充时间</w:t>
            </w:r>
          </w:p>
        </w:tc>
        <w:tc>
          <w:tcPr>
            <w:tcW w:w="6600" w:type="dxa"/>
            <w:tcBorders>
              <w:right w:val="single" w:color="000000" w:sz="10" w:space="0"/>
            </w:tcBorders>
            <w:shd w:val="clear" w:color="auto" w:fill="auto"/>
            <w:vAlign w:val="center"/>
          </w:tcPr>
          <w:p w14:paraId="54C07F64">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投标截止时间 3 个工作日前</w:t>
            </w:r>
          </w:p>
        </w:tc>
      </w:tr>
      <w:tr w14:paraId="25BC3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6BEAECB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19</w:t>
            </w:r>
          </w:p>
        </w:tc>
        <w:tc>
          <w:tcPr>
            <w:tcW w:w="2232" w:type="dxa"/>
            <w:shd w:val="clear" w:color="auto" w:fill="auto"/>
            <w:vAlign w:val="center"/>
          </w:tcPr>
          <w:p w14:paraId="65398142">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谈判文件的澄清修 改补充告知方式</w:t>
            </w:r>
          </w:p>
        </w:tc>
        <w:tc>
          <w:tcPr>
            <w:tcW w:w="6600" w:type="dxa"/>
            <w:tcBorders>
              <w:right w:val="single" w:color="000000" w:sz="10" w:space="0"/>
            </w:tcBorders>
            <w:shd w:val="clear" w:color="auto" w:fill="auto"/>
            <w:vAlign w:val="center"/>
          </w:tcPr>
          <w:p w14:paraId="5A4A4AEE">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见“第三章投标人须知 ”相应条款</w:t>
            </w:r>
          </w:p>
        </w:tc>
      </w:tr>
      <w:tr w14:paraId="2F32A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0C37372C">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20</w:t>
            </w:r>
          </w:p>
        </w:tc>
        <w:tc>
          <w:tcPr>
            <w:tcW w:w="2232" w:type="dxa"/>
            <w:shd w:val="clear" w:color="auto" w:fill="auto"/>
            <w:vAlign w:val="center"/>
          </w:tcPr>
          <w:p w14:paraId="6C2627CD">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投标文件的组成</w:t>
            </w:r>
          </w:p>
        </w:tc>
        <w:tc>
          <w:tcPr>
            <w:tcW w:w="6600" w:type="dxa"/>
            <w:tcBorders>
              <w:right w:val="single" w:color="000000" w:sz="10" w:space="0"/>
            </w:tcBorders>
            <w:shd w:val="clear" w:color="auto" w:fill="auto"/>
            <w:vAlign w:val="center"/>
          </w:tcPr>
          <w:p w14:paraId="5A161BB4">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见“第三章投标人须知 ”相应条款</w:t>
            </w:r>
          </w:p>
        </w:tc>
      </w:tr>
      <w:tr w14:paraId="5AEAE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7B352A7E">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21</w:t>
            </w:r>
          </w:p>
        </w:tc>
        <w:tc>
          <w:tcPr>
            <w:tcW w:w="2232" w:type="dxa"/>
            <w:shd w:val="clear" w:color="auto" w:fill="auto"/>
            <w:vAlign w:val="center"/>
          </w:tcPr>
          <w:p w14:paraId="618093AF">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投标有效期</w:t>
            </w:r>
          </w:p>
        </w:tc>
        <w:tc>
          <w:tcPr>
            <w:tcW w:w="6600" w:type="dxa"/>
            <w:tcBorders>
              <w:right w:val="single" w:color="000000" w:sz="10" w:space="0"/>
            </w:tcBorders>
            <w:shd w:val="clear" w:color="auto" w:fill="auto"/>
            <w:vAlign w:val="center"/>
          </w:tcPr>
          <w:p w14:paraId="66481CA2">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从开标之日起，投标有效期为90日历天</w:t>
            </w:r>
          </w:p>
        </w:tc>
      </w:tr>
      <w:tr w14:paraId="70525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5424561B">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22</w:t>
            </w:r>
          </w:p>
        </w:tc>
        <w:tc>
          <w:tcPr>
            <w:tcW w:w="2232" w:type="dxa"/>
            <w:shd w:val="clear" w:color="auto" w:fill="auto"/>
            <w:vAlign w:val="center"/>
          </w:tcPr>
          <w:p w14:paraId="05B0AC0C">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投标承诺函</w:t>
            </w:r>
          </w:p>
          <w:p w14:paraId="258631F2">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（替代投标保证金）</w:t>
            </w:r>
          </w:p>
        </w:tc>
        <w:tc>
          <w:tcPr>
            <w:tcW w:w="6600" w:type="dxa"/>
            <w:tcBorders>
              <w:right w:val="single" w:color="000000" w:sz="10" w:space="0"/>
            </w:tcBorders>
            <w:shd w:val="clear" w:color="auto" w:fill="auto"/>
            <w:vAlign w:val="center"/>
          </w:tcPr>
          <w:p w14:paraId="3CF192BA">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以投标承诺函形式替代投标保证金。</w:t>
            </w:r>
          </w:p>
          <w:p w14:paraId="323B95C4">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供应商应按附件格式进行投标承诺、违背承诺的责任追究。</w:t>
            </w:r>
          </w:p>
        </w:tc>
      </w:tr>
      <w:tr w14:paraId="5E0B3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bottom w:val="single" w:color="000000" w:sz="2" w:space="0"/>
            </w:tcBorders>
            <w:vAlign w:val="center"/>
          </w:tcPr>
          <w:p w14:paraId="64390E28">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23</w:t>
            </w:r>
          </w:p>
        </w:tc>
        <w:tc>
          <w:tcPr>
            <w:tcW w:w="2232" w:type="dxa"/>
            <w:tcBorders>
              <w:bottom w:val="single" w:color="000000" w:sz="2" w:space="0"/>
            </w:tcBorders>
            <w:shd w:val="clear" w:color="auto" w:fill="auto"/>
            <w:vAlign w:val="center"/>
          </w:tcPr>
          <w:p w14:paraId="64542E01">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偏差描述</w:t>
            </w:r>
          </w:p>
        </w:tc>
        <w:tc>
          <w:tcPr>
            <w:tcW w:w="6600" w:type="dxa"/>
            <w:tcBorders>
              <w:bottom w:val="single" w:color="000000" w:sz="2" w:space="0"/>
              <w:right w:val="single" w:color="000000" w:sz="10" w:space="0"/>
            </w:tcBorders>
            <w:shd w:val="clear" w:color="auto" w:fill="auto"/>
            <w:vAlign w:val="center"/>
          </w:tcPr>
          <w:p w14:paraId="20B7517A">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见“第三章投标人须知 ”相应条款</w:t>
            </w:r>
          </w:p>
        </w:tc>
      </w:tr>
      <w:tr w14:paraId="02DA7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top w:val="single" w:color="000000" w:sz="2" w:space="0"/>
              <w:left w:val="single" w:color="000000" w:sz="10" w:space="0"/>
            </w:tcBorders>
            <w:vAlign w:val="center"/>
          </w:tcPr>
          <w:p w14:paraId="449832A0">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24</w:t>
            </w:r>
          </w:p>
        </w:tc>
        <w:tc>
          <w:tcPr>
            <w:tcW w:w="2232" w:type="dxa"/>
            <w:tcBorders>
              <w:top w:val="single" w:color="000000" w:sz="2" w:space="0"/>
            </w:tcBorders>
            <w:shd w:val="clear" w:color="auto" w:fill="auto"/>
            <w:vAlign w:val="center"/>
          </w:tcPr>
          <w:p w14:paraId="5E325F4D">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签字或盖章要求</w:t>
            </w:r>
          </w:p>
        </w:tc>
        <w:tc>
          <w:tcPr>
            <w:tcW w:w="6600" w:type="dxa"/>
            <w:tcBorders>
              <w:top w:val="single" w:color="000000" w:sz="2" w:space="0"/>
              <w:right w:val="single" w:color="000000" w:sz="10" w:space="0"/>
            </w:tcBorders>
            <w:shd w:val="clear" w:color="auto" w:fill="auto"/>
            <w:vAlign w:val="center"/>
          </w:tcPr>
          <w:p w14:paraId="46BF6D5A">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宋体" w:hAnsi="宋体" w:eastAsia="宋体" w:cs="宋体"/>
                <w:color w:val="000000" w:themeColor="text1"/>
                <w:sz w:val="24"/>
                <w:szCs w:val="24"/>
                <w:highlight w:val="none"/>
                <w14:textFill>
                  <w14:solidFill>
                    <w14:schemeClr w14:val="tx1"/>
                  </w14:solidFill>
                </w14:textFill>
              </w:rPr>
              <w:t>响应文件应按采购文件第六章“</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文件格式”的要求进行签字或者盖章</w:t>
            </w:r>
          </w:p>
        </w:tc>
      </w:tr>
      <w:tr w14:paraId="566B3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35096DF7">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25</w:t>
            </w:r>
          </w:p>
        </w:tc>
        <w:tc>
          <w:tcPr>
            <w:tcW w:w="2232" w:type="dxa"/>
            <w:shd w:val="clear" w:color="auto" w:fill="auto"/>
            <w:vAlign w:val="center"/>
          </w:tcPr>
          <w:p w14:paraId="2001B92B">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是否退还投标文件</w:t>
            </w:r>
          </w:p>
        </w:tc>
        <w:tc>
          <w:tcPr>
            <w:tcW w:w="6600" w:type="dxa"/>
            <w:tcBorders>
              <w:right w:val="single" w:color="000000" w:sz="10" w:space="0"/>
            </w:tcBorders>
            <w:shd w:val="clear" w:color="auto" w:fill="auto"/>
            <w:vAlign w:val="center"/>
          </w:tcPr>
          <w:p w14:paraId="787322C0">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否</w:t>
            </w:r>
          </w:p>
        </w:tc>
      </w:tr>
      <w:tr w14:paraId="18905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0E32E199">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26</w:t>
            </w:r>
          </w:p>
        </w:tc>
        <w:tc>
          <w:tcPr>
            <w:tcW w:w="2232" w:type="dxa"/>
            <w:shd w:val="clear" w:color="auto" w:fill="auto"/>
            <w:vAlign w:val="center"/>
          </w:tcPr>
          <w:p w14:paraId="4F2CA7C2">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谈判小组的组建</w:t>
            </w:r>
          </w:p>
        </w:tc>
        <w:tc>
          <w:tcPr>
            <w:tcW w:w="6600" w:type="dxa"/>
            <w:tcBorders>
              <w:right w:val="single" w:color="000000" w:sz="10" w:space="0"/>
            </w:tcBorders>
            <w:shd w:val="clear" w:color="auto" w:fill="auto"/>
            <w:vAlign w:val="center"/>
          </w:tcPr>
          <w:p w14:paraId="294DF091">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谈判小组构成：谈判小组由评审专家共3人组成；</w:t>
            </w:r>
          </w:p>
          <w:p w14:paraId="3E9EE027">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谈判评审专家确定方式：</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河南省政府采购专家库中</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随机抽取。</w:t>
            </w:r>
          </w:p>
        </w:tc>
      </w:tr>
      <w:tr w14:paraId="15144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6053D622">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27</w:t>
            </w:r>
          </w:p>
        </w:tc>
        <w:tc>
          <w:tcPr>
            <w:tcW w:w="2232" w:type="dxa"/>
            <w:shd w:val="clear" w:color="auto" w:fill="auto"/>
            <w:vAlign w:val="center"/>
          </w:tcPr>
          <w:p w14:paraId="03F400E7">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是否授权谈判小组确定成交供应商</w:t>
            </w:r>
          </w:p>
        </w:tc>
        <w:tc>
          <w:tcPr>
            <w:tcW w:w="6600" w:type="dxa"/>
            <w:tcBorders>
              <w:right w:val="single" w:color="000000" w:sz="10" w:space="0"/>
            </w:tcBorders>
            <w:shd w:val="clear" w:color="auto" w:fill="auto"/>
            <w:vAlign w:val="center"/>
          </w:tcPr>
          <w:p w14:paraId="7528F81A">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是。谈判小组按照最后报价由低到高的顺序提出3名成交候选人，并确定排名第一的成交候选人为成交供应商。</w:t>
            </w:r>
          </w:p>
        </w:tc>
      </w:tr>
      <w:tr w14:paraId="16892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6" w:hRule="atLeast"/>
        </w:trPr>
        <w:tc>
          <w:tcPr>
            <w:tcW w:w="781" w:type="dxa"/>
            <w:tcBorders>
              <w:left w:val="single" w:color="000000" w:sz="10" w:space="0"/>
            </w:tcBorders>
            <w:vAlign w:val="center"/>
          </w:tcPr>
          <w:p w14:paraId="115F7DF1">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28</w:t>
            </w:r>
          </w:p>
        </w:tc>
        <w:tc>
          <w:tcPr>
            <w:tcW w:w="2232" w:type="dxa"/>
            <w:shd w:val="clear" w:color="auto" w:fill="auto"/>
            <w:vAlign w:val="center"/>
          </w:tcPr>
          <w:p w14:paraId="7FE20374">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成交结果公告</w:t>
            </w:r>
          </w:p>
        </w:tc>
        <w:tc>
          <w:tcPr>
            <w:tcW w:w="6600" w:type="dxa"/>
            <w:tcBorders>
              <w:right w:val="single" w:color="000000" w:sz="10" w:space="0"/>
            </w:tcBorders>
            <w:shd w:val="clear" w:color="auto" w:fill="auto"/>
            <w:vAlign w:val="center"/>
          </w:tcPr>
          <w:p w14:paraId="41CB1D44">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本次竞争性谈判的成交结果将在成交供应商确定之日起1个工作日内，在谈判公告所述媒介公告1个工作日。</w:t>
            </w:r>
          </w:p>
        </w:tc>
      </w:tr>
      <w:tr w14:paraId="07174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17F4D18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29</w:t>
            </w:r>
          </w:p>
        </w:tc>
        <w:tc>
          <w:tcPr>
            <w:tcW w:w="2232" w:type="dxa"/>
            <w:shd w:val="clear" w:color="auto" w:fill="auto"/>
            <w:vAlign w:val="center"/>
          </w:tcPr>
          <w:p w14:paraId="018217D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rPr>
            </w:pPr>
          </w:p>
          <w:p w14:paraId="050B475F">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质疑</w:t>
            </w:r>
          </w:p>
        </w:tc>
        <w:tc>
          <w:tcPr>
            <w:tcW w:w="6600" w:type="dxa"/>
            <w:tcBorders>
              <w:right w:val="single" w:color="000000" w:sz="10" w:space="0"/>
            </w:tcBorders>
            <w:shd w:val="clear" w:color="auto" w:fill="auto"/>
            <w:vAlign w:val="center"/>
          </w:tcPr>
          <w:p w14:paraId="1C57296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一、供应商认为自己的权益受到损害的，可以在知道或者应知其权益受到损害之日起七个工作日内，向采购代理机构提出质疑。</w:t>
            </w:r>
          </w:p>
          <w:p w14:paraId="4E8308A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1.接收质疑函的方式：书面形式</w:t>
            </w:r>
          </w:p>
          <w:p w14:paraId="1145C1D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代理机构名称：河南省仁哲工程管理有限公司</w:t>
            </w:r>
          </w:p>
          <w:p w14:paraId="5A32C99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地址：安阳市长江大道与曙光路交叉口西南角</w:t>
            </w:r>
          </w:p>
          <w:p w14:paraId="6056B1E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 xml:space="preserve">联系人：王光宇 </w:t>
            </w:r>
          </w:p>
          <w:p w14:paraId="45D28AB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联系电话：15603726789</w:t>
            </w:r>
          </w:p>
          <w:p w14:paraId="6AB2105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2.质疑函的内容、格式：按照政府采购质疑和投诉办法（中华人民共和国财政部令94号）以书面形式向采购人或采购代理机构提出质疑，逾期不再接收。根据委托代理协议约定，对采购文件的质疑由采购人负责答复；对采购过程的质疑由采购代理机构负责答复；对采购结果的质疑由采购代理机构负责答复。质疑格式、内容应符合相关规定和在省级以上政府采购网站上发布的《政府采购质疑函范本》格式上下载的格式填写书写质疑函，并提供证明材料及程序进行质疑。</w:t>
            </w:r>
          </w:p>
          <w:p w14:paraId="0E0C53C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二、 在法定质疑期内供应商针对同一采购程序环节的质疑应当一次性提出，逾期依法不予接收。</w:t>
            </w:r>
          </w:p>
          <w:p w14:paraId="0DF24DB3">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（采购程序环节分为：采购文件、采购过程、成交结果）</w:t>
            </w:r>
          </w:p>
        </w:tc>
      </w:tr>
      <w:tr w14:paraId="2A3F8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109595B4">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rPr>
            </w:pPr>
          </w:p>
          <w:p w14:paraId="012B859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30</w:t>
            </w:r>
          </w:p>
        </w:tc>
        <w:tc>
          <w:tcPr>
            <w:tcW w:w="2232" w:type="dxa"/>
            <w:shd w:val="clear" w:color="auto" w:fill="auto"/>
            <w:vAlign w:val="center"/>
          </w:tcPr>
          <w:p w14:paraId="6DF790F5">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成交通知书</w:t>
            </w:r>
          </w:p>
        </w:tc>
        <w:tc>
          <w:tcPr>
            <w:tcW w:w="6600" w:type="dxa"/>
            <w:tcBorders>
              <w:right w:val="single" w:color="000000" w:sz="10" w:space="0"/>
            </w:tcBorders>
            <w:shd w:val="clear" w:color="auto" w:fill="auto"/>
            <w:vAlign w:val="center"/>
          </w:tcPr>
          <w:p w14:paraId="039B6F1A">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采购代理机构在成交供应商确定后 1 个工作日内，向成交供应商发出成交通知书。</w:t>
            </w:r>
          </w:p>
        </w:tc>
      </w:tr>
      <w:tr w14:paraId="43299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4931D815">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31</w:t>
            </w:r>
          </w:p>
        </w:tc>
        <w:tc>
          <w:tcPr>
            <w:tcW w:w="2232" w:type="dxa"/>
            <w:shd w:val="clear" w:color="auto" w:fill="auto"/>
            <w:vAlign w:val="center"/>
          </w:tcPr>
          <w:p w14:paraId="35678C86">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履约保证金</w:t>
            </w:r>
          </w:p>
        </w:tc>
        <w:tc>
          <w:tcPr>
            <w:tcW w:w="6600" w:type="dxa"/>
            <w:tcBorders>
              <w:right w:val="single" w:color="000000" w:sz="10" w:space="0"/>
            </w:tcBorders>
            <w:shd w:val="clear" w:color="auto" w:fill="auto"/>
            <w:vAlign w:val="center"/>
          </w:tcPr>
          <w:p w14:paraId="3024DEB9">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lang w:val="en-US" w:eastAsia="zh-CN"/>
              </w:rPr>
              <w:t>无需交</w:t>
            </w:r>
            <w:r>
              <w:rPr>
                <w:rFonts w:hint="eastAsia" w:asciiTheme="minorEastAsia" w:hAnsiTheme="minorEastAsia" w:eastAsiaTheme="minorEastAsia" w:cstheme="minorEastAsia"/>
                <w:spacing w:val="0"/>
                <w:position w:val="0"/>
                <w:sz w:val="24"/>
                <w:szCs w:val="24"/>
                <w:highlight w:val="none"/>
              </w:rPr>
              <w:t>纳。</w:t>
            </w:r>
          </w:p>
        </w:tc>
      </w:tr>
      <w:tr w14:paraId="3F8F0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3E78D96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32</w:t>
            </w:r>
          </w:p>
        </w:tc>
        <w:tc>
          <w:tcPr>
            <w:tcW w:w="2232" w:type="dxa"/>
            <w:shd w:val="clear" w:color="auto" w:fill="auto"/>
            <w:vAlign w:val="center"/>
          </w:tcPr>
          <w:p w14:paraId="1559027D">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rPr>
              <w:t>验收</w:t>
            </w:r>
          </w:p>
        </w:tc>
        <w:tc>
          <w:tcPr>
            <w:tcW w:w="6600" w:type="dxa"/>
            <w:tcBorders>
              <w:right w:val="single" w:color="000000" w:sz="10" w:space="0"/>
            </w:tcBorders>
            <w:shd w:val="clear" w:color="auto" w:fill="auto"/>
            <w:vAlign w:val="center"/>
          </w:tcPr>
          <w:p w14:paraId="70AF52D5">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见“第三章投标人须知 ”相应条款</w:t>
            </w:r>
          </w:p>
        </w:tc>
      </w:tr>
      <w:tr w14:paraId="5D782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62612C4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33</w:t>
            </w:r>
          </w:p>
        </w:tc>
        <w:tc>
          <w:tcPr>
            <w:tcW w:w="2232" w:type="dxa"/>
            <w:shd w:val="clear" w:color="auto" w:fill="auto"/>
            <w:vAlign w:val="center"/>
          </w:tcPr>
          <w:p w14:paraId="291733C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lang w:val="en-US" w:eastAsia="en-US"/>
              </w:rPr>
              <w:t>付款</w:t>
            </w:r>
          </w:p>
        </w:tc>
        <w:tc>
          <w:tcPr>
            <w:tcW w:w="6600" w:type="dxa"/>
            <w:tcBorders>
              <w:right w:val="single" w:color="000000" w:sz="10" w:space="0"/>
            </w:tcBorders>
            <w:shd w:val="clear" w:color="auto" w:fill="auto"/>
            <w:vAlign w:val="center"/>
          </w:tcPr>
          <w:p w14:paraId="5EBDC876">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6"/>
                <w:sz w:val="24"/>
                <w:szCs w:val="24"/>
                <w:highlight w:val="none"/>
                <w:lang w:val="en-US" w:eastAsia="zh-CN"/>
              </w:rPr>
              <w:t>项目验收合格后一次性付清。</w:t>
            </w:r>
          </w:p>
        </w:tc>
      </w:tr>
      <w:tr w14:paraId="0F486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2E76A635">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34</w:t>
            </w:r>
          </w:p>
        </w:tc>
        <w:tc>
          <w:tcPr>
            <w:tcW w:w="2232" w:type="dxa"/>
            <w:shd w:val="clear" w:color="auto" w:fill="auto"/>
            <w:vAlign w:val="center"/>
          </w:tcPr>
          <w:p w14:paraId="34246B28">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b/>
                <w:bCs/>
                <w:spacing w:val="0"/>
                <w:position w:val="0"/>
                <w:sz w:val="24"/>
                <w:szCs w:val="24"/>
                <w:highlight w:val="none"/>
                <w:lang w:val="en-US" w:eastAsia="zh-CN"/>
              </w:rPr>
              <w:t>代理服务费</w:t>
            </w:r>
          </w:p>
        </w:tc>
        <w:tc>
          <w:tcPr>
            <w:tcW w:w="6600" w:type="dxa"/>
            <w:tcBorders>
              <w:right w:val="single" w:color="000000" w:sz="10" w:space="0"/>
            </w:tcBorders>
            <w:shd w:val="clear" w:color="auto" w:fill="auto"/>
            <w:vAlign w:val="center"/>
          </w:tcPr>
          <w:p w14:paraId="156564C9">
            <w:pPr>
              <w:pStyle w:val="19"/>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参照《河南省招标代理服务收费指导意见》豫招协[2023]002号文件向中标（成交）供应商收取代理服务费10000元。</w:t>
            </w:r>
          </w:p>
        </w:tc>
      </w:tr>
      <w:tr w14:paraId="7D98D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5" w:hRule="atLeast"/>
        </w:trPr>
        <w:tc>
          <w:tcPr>
            <w:tcW w:w="781" w:type="dxa"/>
            <w:tcBorders>
              <w:left w:val="single" w:color="000000" w:sz="10" w:space="0"/>
            </w:tcBorders>
            <w:vAlign w:val="center"/>
          </w:tcPr>
          <w:p w14:paraId="46177B88">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35</w:t>
            </w:r>
          </w:p>
        </w:tc>
        <w:tc>
          <w:tcPr>
            <w:tcW w:w="2232" w:type="dxa"/>
            <w:shd w:val="clear" w:color="auto" w:fill="auto"/>
            <w:vAlign w:val="center"/>
          </w:tcPr>
          <w:p w14:paraId="1DE3DBE0">
            <w:pPr>
              <w:pStyle w:val="19"/>
              <w:keepNext w:val="0"/>
              <w:keepLines w:val="0"/>
              <w:pageBreakBefore w:val="0"/>
              <w:widowControl w:val="0"/>
              <w:kinsoku/>
              <w:wordWrap w:val="0"/>
              <w:overflowPunct w:val="0"/>
              <w:topLinePunct/>
              <w:autoSpaceDE/>
              <w:autoSpaceDN/>
              <w:bidi w:val="0"/>
              <w:adjustRightInd/>
              <w:snapToGrid/>
              <w:spacing w:line="360" w:lineRule="auto"/>
              <w:ind w:left="0" w:leftChars="0" w:right="0" w:rightChars="0" w:firstLine="482" w:firstLineChars="200"/>
              <w:jc w:val="left"/>
              <w:textAlignment w:val="auto"/>
              <w:outlineLvl w:val="9"/>
              <w:rPr>
                <w:rFonts w:hint="eastAsia" w:asciiTheme="minorEastAsia" w:hAnsiTheme="minorEastAsia" w:eastAsiaTheme="minorEastAsia" w:cstheme="minorEastAsia"/>
                <w:snapToGrid w:val="0"/>
                <w:color w:val="auto"/>
                <w:spacing w:val="0"/>
                <w:kern w:val="0"/>
                <w:position w:val="0"/>
                <w:sz w:val="24"/>
                <w:szCs w:val="24"/>
                <w:highlight w:val="none"/>
                <w:lang w:val="en-US" w:eastAsia="zh-CN" w:bidi="ar-SA"/>
              </w:rPr>
            </w:pPr>
            <w:r>
              <w:rPr>
                <w:rFonts w:hint="eastAsia" w:asciiTheme="minorEastAsia" w:hAnsiTheme="minorEastAsia" w:eastAsiaTheme="minorEastAsia" w:cstheme="minorEastAsia"/>
                <w:b/>
                <w:bCs/>
                <w:color w:val="auto"/>
                <w:spacing w:val="0"/>
                <w:position w:val="0"/>
                <w:sz w:val="24"/>
                <w:szCs w:val="24"/>
                <w:highlight w:val="none"/>
              </w:rPr>
              <w:t>采购预算</w:t>
            </w:r>
            <w:r>
              <w:rPr>
                <w:rFonts w:hint="eastAsia" w:asciiTheme="minorEastAsia" w:hAnsiTheme="minorEastAsia" w:eastAsiaTheme="minorEastAsia" w:cstheme="minorEastAsia"/>
                <w:b/>
                <w:bCs/>
                <w:color w:val="auto"/>
                <w:spacing w:val="0"/>
                <w:position w:val="0"/>
                <w:sz w:val="24"/>
                <w:szCs w:val="24"/>
                <w:highlight w:val="none"/>
                <w:lang w:val="en-US" w:eastAsia="zh-CN"/>
              </w:rPr>
              <w:t>价</w:t>
            </w:r>
          </w:p>
        </w:tc>
        <w:tc>
          <w:tcPr>
            <w:tcW w:w="6600" w:type="dxa"/>
            <w:tcBorders>
              <w:right w:val="single" w:color="000000" w:sz="10" w:space="0"/>
            </w:tcBorders>
            <w:shd w:val="clear" w:color="auto" w:fill="auto"/>
            <w:vAlign w:val="center"/>
          </w:tcPr>
          <w:p w14:paraId="1832F190">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color w:val="auto"/>
                <w:spacing w:val="0"/>
                <w:position w:val="0"/>
                <w:sz w:val="24"/>
                <w:szCs w:val="24"/>
                <w:highlight w:val="none"/>
              </w:rPr>
            </w:pPr>
            <w:r>
              <w:rPr>
                <w:rFonts w:hint="eastAsia" w:asciiTheme="minorEastAsia" w:hAnsiTheme="minorEastAsia" w:eastAsiaTheme="minorEastAsia" w:cstheme="minorEastAsia"/>
                <w:color w:val="auto"/>
                <w:spacing w:val="0"/>
                <w:position w:val="0"/>
                <w:sz w:val="24"/>
                <w:szCs w:val="24"/>
                <w:highlight w:val="none"/>
              </w:rPr>
              <w:t>本项目</w:t>
            </w:r>
            <w:r>
              <w:rPr>
                <w:rFonts w:hint="eastAsia" w:asciiTheme="minorEastAsia" w:hAnsiTheme="minorEastAsia" w:eastAsiaTheme="minorEastAsia" w:cstheme="minorEastAsia"/>
                <w:color w:val="auto"/>
                <w:spacing w:val="0"/>
                <w:position w:val="0"/>
                <w:sz w:val="24"/>
                <w:szCs w:val="24"/>
                <w:highlight w:val="none"/>
                <w:lang w:val="en-US" w:eastAsia="zh-CN"/>
              </w:rPr>
              <w:t>采购预算价</w:t>
            </w:r>
            <w:r>
              <w:rPr>
                <w:rFonts w:hint="eastAsia" w:asciiTheme="minorEastAsia" w:hAnsiTheme="minorEastAsia" w:eastAsiaTheme="minorEastAsia" w:cstheme="minorEastAsia"/>
                <w:color w:val="auto"/>
                <w:spacing w:val="0"/>
                <w:position w:val="0"/>
                <w:sz w:val="24"/>
                <w:szCs w:val="24"/>
                <w:highlight w:val="none"/>
              </w:rPr>
              <w:t>：</w:t>
            </w:r>
          </w:p>
          <w:p w14:paraId="52EC82F1">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default" w:asciiTheme="minorEastAsia" w:hAnsiTheme="minorEastAsia" w:eastAsiaTheme="minorEastAsia" w:cstheme="minorEastAsia"/>
                <w:color w:val="auto"/>
                <w:spacing w:val="0"/>
                <w:position w:val="0"/>
                <w:sz w:val="24"/>
                <w:szCs w:val="24"/>
                <w:highlight w:val="none"/>
                <w:lang w:val="en-US" w:eastAsia="zh-CN"/>
              </w:rPr>
            </w:pPr>
            <w:r>
              <w:rPr>
                <w:rFonts w:hint="eastAsia" w:asciiTheme="minorEastAsia" w:hAnsiTheme="minorEastAsia" w:eastAsiaTheme="minorEastAsia" w:cstheme="minorEastAsia"/>
                <w:color w:val="auto"/>
                <w:spacing w:val="0"/>
                <w:position w:val="0"/>
                <w:sz w:val="24"/>
                <w:szCs w:val="24"/>
                <w:highlight w:val="none"/>
                <w:lang w:val="en-US" w:eastAsia="zh-CN"/>
              </w:rPr>
              <w:t>大写：伍拾玖万元整</w:t>
            </w:r>
          </w:p>
          <w:p w14:paraId="2D414C01">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napToGrid w:val="0"/>
                <w:color w:val="auto"/>
                <w:spacing w:val="0"/>
                <w:kern w:val="0"/>
                <w:position w:val="0"/>
                <w:sz w:val="24"/>
                <w:szCs w:val="24"/>
                <w:highlight w:val="none"/>
                <w:lang w:val="en-US" w:eastAsia="en-US" w:bidi="ar-SA"/>
              </w:rPr>
            </w:pPr>
            <w:r>
              <w:rPr>
                <w:rFonts w:hint="eastAsia" w:asciiTheme="minorEastAsia" w:hAnsiTheme="minorEastAsia" w:eastAsiaTheme="minorEastAsia" w:cstheme="minorEastAsia"/>
                <w:color w:val="auto"/>
                <w:spacing w:val="0"/>
                <w:position w:val="0"/>
                <w:sz w:val="24"/>
                <w:szCs w:val="24"/>
                <w:highlight w:val="none"/>
                <w:lang w:val="en-US" w:eastAsia="zh-CN"/>
              </w:rPr>
              <w:t>小写：590000</w:t>
            </w:r>
            <w:r>
              <w:rPr>
                <w:rFonts w:hint="eastAsia" w:asciiTheme="minorEastAsia" w:hAnsiTheme="minorEastAsia" w:eastAsiaTheme="minorEastAsia" w:cstheme="minorEastAsia"/>
                <w:color w:val="auto"/>
                <w:spacing w:val="0"/>
                <w:position w:val="0"/>
                <w:sz w:val="24"/>
                <w:szCs w:val="24"/>
                <w:highlight w:val="none"/>
              </w:rPr>
              <w:t>元</w:t>
            </w:r>
          </w:p>
        </w:tc>
      </w:tr>
      <w:tr w14:paraId="19F1B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81" w:type="dxa"/>
            <w:tcBorders>
              <w:left w:val="single" w:color="000000" w:sz="10" w:space="0"/>
            </w:tcBorders>
            <w:vAlign w:val="center"/>
          </w:tcPr>
          <w:p w14:paraId="6D022ACC">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default" w:asciiTheme="minorEastAsia" w:hAnsiTheme="minorEastAsia" w:eastAsiaTheme="minorEastAsia" w:cstheme="minorEastAsia"/>
                <w:b/>
                <w:bCs/>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36</w:t>
            </w:r>
          </w:p>
        </w:tc>
        <w:tc>
          <w:tcPr>
            <w:tcW w:w="2232" w:type="dxa"/>
            <w:vAlign w:val="center"/>
          </w:tcPr>
          <w:p w14:paraId="111A6B6E">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spacing w:val="0"/>
                <w:position w:val="0"/>
                <w:sz w:val="24"/>
                <w:szCs w:val="24"/>
                <w:highlight w:val="none"/>
              </w:rPr>
              <w:t>特别提示</w:t>
            </w:r>
          </w:p>
        </w:tc>
        <w:tc>
          <w:tcPr>
            <w:tcW w:w="6600" w:type="dxa"/>
            <w:tcBorders>
              <w:right w:val="single" w:color="000000" w:sz="10" w:space="0"/>
            </w:tcBorders>
            <w:vAlign w:val="center"/>
          </w:tcPr>
          <w:p w14:paraId="233CFF6F">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0" w:firstLineChars="20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1.中标后除不可抗拒力或招标文件认可的情形外，供应商应及时领取成交通知书，在成交通知书规定时间、地点与采购人签订合同。</w:t>
            </w:r>
          </w:p>
          <w:p w14:paraId="3D60F3AC">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0" w:firstLineChars="20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2.投标人在政府采购活动中应提供真实、准确、有效、合法的材料，不提供虚假材料；项目评标结束后代理公司对所有竞标供应商提供的资质证明材料的真实性进行核对，核查结果3个工作日报政府采购监督部门，发现造假失信行为的，依据政府采购法严肃从重处罚。</w:t>
            </w:r>
          </w:p>
          <w:p w14:paraId="1D8DE96D">
            <w:pPr>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供应商如违背上述条款事项，应无条件接受以下责任追究：</w:t>
            </w:r>
          </w:p>
          <w:p w14:paraId="2720516A">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0" w:firstLineChars="20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1.法定责任：</w:t>
            </w:r>
          </w:p>
          <w:p w14:paraId="5016B5FE">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0" w:firstLineChars="20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按照《政府采购货物和服务招标投标管理办法》（财政部第18号令）第七十五条、《政府采购法实施条例》第七十二条及其他政府采购相关法规，处以罚款，列入不良行为记录名单，在一至三年内禁止参加政府采购活动，有违法所得的，并处没收违法所得，情节严重的，由工商行政管理机关（市场监督机关）吊销营业执照；构成犯罪的，依法追究刑事责任。</w:t>
            </w:r>
          </w:p>
          <w:p w14:paraId="6F1E9553">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0" w:firstLineChars="20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给采购人及他人造成损失的，应承担相应的赔偿责任。</w:t>
            </w:r>
          </w:p>
          <w:p w14:paraId="0B781EED">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0" w:firstLineChars="20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2.违约责任：</w:t>
            </w:r>
          </w:p>
          <w:p w14:paraId="54915A60">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0" w:firstLineChars="20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（1）已中标的，中标（成交）无效；</w:t>
            </w:r>
          </w:p>
          <w:p w14:paraId="26E826CC">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0" w:firstLineChars="20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（2）支付采购人违约标的预算金额2%的违约金。</w:t>
            </w:r>
          </w:p>
          <w:p w14:paraId="04810338">
            <w:pPr>
              <w:keepNext w:val="0"/>
              <w:keepLines w:val="0"/>
              <w:pageBreakBefore w:val="0"/>
              <w:widowControl w:val="0"/>
              <w:kinsoku/>
              <w:wordWrap w:val="0"/>
              <w:overflowPunct w:val="0"/>
              <w:topLinePunct/>
              <w:autoSpaceDE/>
              <w:autoSpaceDN/>
              <w:bidi w:val="0"/>
              <w:adjustRightInd/>
              <w:snapToGrid/>
              <w:spacing w:line="360" w:lineRule="auto"/>
              <w:ind w:right="0" w:rightChars="0"/>
              <w:jc w:val="left"/>
              <w:textAlignment w:val="auto"/>
              <w:outlineLvl w:val="9"/>
              <w:rPr>
                <w:rFonts w:hint="eastAsia" w:asciiTheme="minorEastAsia" w:hAnsiTheme="minorEastAsia" w:eastAsiaTheme="minorEastAsia" w:cstheme="minorEastAsia"/>
                <w:b w:val="0"/>
                <w:bCs/>
                <w:color w:val="auto"/>
                <w:spacing w:val="0"/>
                <w:position w:val="0"/>
                <w:sz w:val="24"/>
                <w:szCs w:val="24"/>
                <w:highlight w:val="none"/>
                <w:lang w:val="zh-CN"/>
              </w:rPr>
            </w:pPr>
            <w:r>
              <w:rPr>
                <w:rFonts w:hint="eastAsia" w:asciiTheme="minorEastAsia" w:hAnsiTheme="minorEastAsia" w:eastAsiaTheme="minorEastAsia" w:cstheme="minorEastAsia"/>
                <w:b w:val="0"/>
                <w:bCs/>
                <w:color w:val="auto"/>
                <w:spacing w:val="0"/>
                <w:position w:val="0"/>
                <w:sz w:val="24"/>
                <w:szCs w:val="24"/>
                <w:highlight w:val="none"/>
                <w:lang w:val="zh-CN"/>
              </w:rPr>
              <w:t>其他事项：</w:t>
            </w:r>
          </w:p>
          <w:p w14:paraId="63FEDFEF">
            <w:pPr>
              <w:keepNext w:val="0"/>
              <w:keepLines w:val="0"/>
              <w:pageBreakBefore w:val="0"/>
              <w:widowControl w:val="0"/>
              <w:kinsoku/>
              <w:wordWrap w:val="0"/>
              <w:overflowPunct w:val="0"/>
              <w:topLinePunct/>
              <w:autoSpaceDE/>
              <w:autoSpaceDN/>
              <w:bidi w:val="0"/>
              <w:adjustRightInd/>
              <w:snapToGrid/>
              <w:spacing w:line="360" w:lineRule="auto"/>
              <w:ind w:left="0" w:right="0" w:rightChars="0" w:firstLine="480" w:firstLineChars="200"/>
              <w:jc w:val="left"/>
              <w:textAlignment w:val="auto"/>
              <w:outlineLvl w:val="9"/>
              <w:rPr>
                <w:rFonts w:hint="eastAsia" w:asciiTheme="minorEastAsia" w:hAnsiTheme="minorEastAsia" w:eastAsiaTheme="minorEastAsia" w:cstheme="minorEastAsia"/>
                <w:b/>
                <w:bCs/>
                <w:color w:val="FF0000"/>
                <w:spacing w:val="0"/>
                <w:position w:val="0"/>
                <w:sz w:val="24"/>
                <w:szCs w:val="24"/>
                <w:highlight w:val="none"/>
              </w:rPr>
            </w:pPr>
            <w:r>
              <w:rPr>
                <w:rFonts w:hint="eastAsia" w:asciiTheme="minorEastAsia" w:hAnsiTheme="minorEastAsia" w:eastAsiaTheme="minorEastAsia" w:cstheme="minorEastAsia"/>
                <w:b w:val="0"/>
                <w:bCs/>
                <w:color w:val="auto"/>
                <w:spacing w:val="0"/>
                <w:position w:val="0"/>
                <w:sz w:val="24"/>
                <w:szCs w:val="24"/>
                <w:highlight w:val="none"/>
                <w:lang w:val="zh-CN"/>
              </w:rPr>
              <w:t>中标供应商应保证项目的质量要求达到招标文件中规定的标准，若项目质量验收不合格，采购人有权拒绝支付合同金额，已经支付预付款的，采购人有权追回相关款项，同时采购人可以要求成交人承担违约责任。</w:t>
            </w:r>
          </w:p>
        </w:tc>
      </w:tr>
    </w:tbl>
    <w:p w14:paraId="783817F4">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8" w:name="bookmark13"/>
      <w:bookmarkEnd w:id="8"/>
      <w:r>
        <w:rPr>
          <w:rFonts w:hint="eastAsia" w:asciiTheme="minorEastAsia" w:hAnsiTheme="minorEastAsia" w:eastAsiaTheme="minorEastAsia" w:cstheme="minorEastAsia"/>
          <w:b/>
          <w:bCs/>
          <w:spacing w:val="0"/>
          <w:position w:val="0"/>
          <w:sz w:val="28"/>
          <w:szCs w:val="28"/>
          <w:highlight w:val="none"/>
        </w:rPr>
        <w:t>1.</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总则</w:t>
      </w:r>
    </w:p>
    <w:p w14:paraId="63B1D56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1.1</w:t>
      </w:r>
      <w:r>
        <w:rPr>
          <w:rFonts w:hint="eastAsia" w:asciiTheme="minorEastAsia" w:hAnsiTheme="minorEastAsia" w:eastAsiaTheme="minorEastAsia" w:cstheme="minorEastAsia"/>
          <w:spacing w:val="0"/>
          <w:position w:val="0"/>
          <w:sz w:val="24"/>
          <w:szCs w:val="24"/>
          <w:highlight w:val="none"/>
        </w:rPr>
        <w:t xml:space="preserve"> 根据《中华人民共和国政府采购法》、《中华人民共和国政府采购法实施条例》、 《政府采购非招标采购方式管理办法》及相关政府采购法律法规等制定本文件。</w:t>
      </w:r>
    </w:p>
    <w:p w14:paraId="1A60720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1.2</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谈判文件的法律适用及法律效力</w:t>
      </w:r>
    </w:p>
    <w:p w14:paraId="70C2DF3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1.2.1 本谈判文件所述内容，仅适用于本次项目采购。</w:t>
      </w:r>
    </w:p>
    <w:p w14:paraId="1E26E51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1.2.2 谈判文件的修改性文件、补充文件、澄清文件或说明具有同等法律效力。</w:t>
      </w:r>
    </w:p>
    <w:p w14:paraId="75DD6AC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1.2.3 本谈判文件适用于并执行《政府采购法》和其它相关的法律、法规。</w:t>
      </w:r>
    </w:p>
    <w:p w14:paraId="770FA2E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1.2.4 本谈判文件的解释权属采购人及代理机构。</w:t>
      </w:r>
    </w:p>
    <w:p w14:paraId="47474F8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1.3</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合格的投标人</w:t>
      </w:r>
    </w:p>
    <w:p w14:paraId="62C6869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1.3.1 凡符合谈判文件规定，承认本谈判文件所有内容的投标人为合格的投标人。</w:t>
      </w:r>
    </w:p>
    <w:p w14:paraId="075DB69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1.3.2 单位负责人为同一人或者存在直接控股、管理关系的不同供应商</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不得参加同 一合同项下的政府采购活动。</w:t>
      </w:r>
    </w:p>
    <w:p w14:paraId="50F73CD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1.3.3 为采购项目提供整体设计、规范编制或者项目管理、监理、检测等服务的供应 商，不得再参加该采购项目的其他采购活动。</w:t>
      </w:r>
    </w:p>
    <w:p w14:paraId="08AF242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1.3.4 投标人应遵守国家法律、法规和谈判文件的规定。</w:t>
      </w:r>
    </w:p>
    <w:p w14:paraId="000CEDBD">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1.4</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联合体</w:t>
      </w:r>
    </w:p>
    <w:p w14:paraId="0D1417C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如投标人须知前附表规定接受联合体投标的，应遵守以下规定：</w:t>
      </w:r>
    </w:p>
    <w:p w14:paraId="5377651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（1）两个以上的自然人、法人或者其他组织组成一个联合体，以一个供应商的身份共 同参加政府采购活动的，应当对所有的联合体成员进行信用记录查询，联合体成员存在不 良信用记录的，视同联合体存在不良信用记录。</w:t>
      </w:r>
    </w:p>
    <w:p w14:paraId="56A0143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（2）两个以上供应商可以组成一个投标联合体，以一个投标人的身份投标，但必须确 定其中一个单位为投标的全权代表参加投标活动，并承担投标及履约中应承担的全部责任 和义务。</w:t>
      </w:r>
    </w:p>
    <w:p w14:paraId="7A99025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（3）以联合体形式参加投标的，应符投标人须知前附表的要求，联合体各方均应当符 合政府采购法第二十二条第一款规定的条件，联合体各方均应当具备承担采购项目（标段） 的相应能力、具备规定的相应资格条件。</w:t>
      </w:r>
    </w:p>
    <w:p w14:paraId="4080C7F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（4）联合体中有同类资质的供应商按照联合体分工承担相同工作的，应当按照资质等 级较低的供应商确定资质等级。</w:t>
      </w:r>
    </w:p>
    <w:p w14:paraId="2E46631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（5）联合体各方之间应当签订联合投标协议，明确约定联合体各方承担的工作和相应 的责任，并将联合投标协议连同投标文件一并提交采购代理机构。</w:t>
      </w:r>
    </w:p>
    <w:p w14:paraId="03FF7BE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（6）联合体各方签订联合投标协议后，不得再以自己名义单独在同一项目中投标，也 不得组成新的联合体参加同一项目投标。</w:t>
      </w:r>
    </w:p>
    <w:p w14:paraId="18B087C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（7）联合体中标（成交）的，联合体各方应当共同与采购人签订合同，就中标（成交） 项目（标段）向采购人承担连带责任。</w:t>
      </w:r>
    </w:p>
    <w:p w14:paraId="47DEA688">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1.5</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知识产权</w:t>
      </w:r>
    </w:p>
    <w:p w14:paraId="2FEF6DE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1.5.1 供应商须保证采购人在中华人民共和国境内使用投标货物、资料、技术、服务 或其任何一部分时，享有不受限制的无偿使用权，不会产生因第三方提出侵犯其专利权、 商标权或其它知识产权而引起的法律或经济纠纷。如供应商不拥有响应的知识产权，则在 投标报价中必须包括合法获取该知识产权的一切相关费用。如因此导致采购人损失的，供 应商须承担全部赔偿责任。</w:t>
      </w:r>
    </w:p>
    <w:p w14:paraId="30FDC41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1.5.2 供应商如欲在项目实施过程中采用自有知识成果，须在投标文件中声明，并提 供相关知识产权证明文件。使用该知识成果后，供应商须提供开发接口和开发手册等技术 文档。</w:t>
      </w:r>
    </w:p>
    <w:p w14:paraId="19DAC15E">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1.6投标费用</w:t>
      </w:r>
    </w:p>
    <w:p w14:paraId="021DABA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无论投标过程中的做法和结果如何，无论何种原因的谈判失败废标或终止，投标人应 自行承担所有与准备和参加投标有关的全部费用（类比商业采购中的客户洽谈费用），采 购代理机构在任何情况下均无义务和责任承担投标人的任何费用。</w:t>
      </w:r>
    </w:p>
    <w:p w14:paraId="412CAF0E">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1.7保密</w:t>
      </w:r>
    </w:p>
    <w:p w14:paraId="351114E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1.7.1 参与竞争性谈判活动的各方应对谈判文件和投标文件中的商业和技术等秘密保 密，投标人应在投标文件中对需保密事项予以书面声明，否则视为非保密事项。</w:t>
      </w:r>
    </w:p>
    <w:p w14:paraId="2D121DB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1.7.2 依据政府采购成交结果及合同公告规定，成交（合同）标的名称、规格型号、 单价及成交（合同）金额等内容不得作为商业秘密。</w:t>
      </w:r>
    </w:p>
    <w:p w14:paraId="65732C3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1.8语言文字</w:t>
      </w:r>
    </w:p>
    <w:p w14:paraId="2332101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除专用术语外，与竞争性谈判有关的语言均使用中文。必要时专用术语应附有中文注 释。如果投标文件或与投标有关的其它文件、信件及来往函电以其它语言书写，投标人应将其译成中文，并对中文译稿的真实、准确、完整承担责任。</w:t>
      </w:r>
    </w:p>
    <w:p w14:paraId="01D6A0E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1.9计量单位</w:t>
      </w:r>
    </w:p>
    <w:p w14:paraId="28D9F0E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所有计量均采用中华人民共和国法定计量单位。</w:t>
      </w:r>
    </w:p>
    <w:p w14:paraId="15F30D55">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1.10踏勘现场</w:t>
      </w:r>
    </w:p>
    <w:p w14:paraId="2DC0C09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1.10.1投标人踏勘现场发生的费用自理，投标人自行负责在踏勘现场中所发生的人员 伤亡和财产损失。</w:t>
      </w:r>
    </w:p>
    <w:p w14:paraId="0EF3CE9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1.10.2投标人须知前附表规定组织踏勘现场的，采购人及代理机构按投标人须知前附 表规定的时间、地点组织投标人踏勘项目现场。采购人及代理机构在踏勘现场中介绍的交验安装条件和相关的周边环境情况，供投标人在编制投标文件时参考，采购人及代理机构不对投标人据此作出的判断和决策负责。</w:t>
      </w:r>
    </w:p>
    <w:p w14:paraId="6A85ABE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1.10.3  投标人须知前附表规定不组织踏勘现场的，谈判文件不单独提供</w:t>
      </w:r>
      <w:r>
        <w:rPr>
          <w:rFonts w:hint="eastAsia" w:asciiTheme="minorEastAsia" w:hAnsiTheme="minorEastAsia" w:eastAsiaTheme="minorEastAsia" w:cstheme="minorEastAsia"/>
          <w:spacing w:val="0"/>
          <w:position w:val="0"/>
          <w:sz w:val="24"/>
          <w:szCs w:val="24"/>
          <w:highlight w:val="none"/>
          <w:lang w:eastAsia="zh-CN"/>
        </w:rPr>
        <w:t>服务地点</w:t>
      </w:r>
      <w:r>
        <w:rPr>
          <w:rFonts w:hint="eastAsia" w:asciiTheme="minorEastAsia" w:hAnsiTheme="minorEastAsia" w:eastAsiaTheme="minorEastAsia" w:cstheme="minorEastAsia"/>
          <w:spacing w:val="0"/>
          <w:position w:val="0"/>
          <w:sz w:val="24"/>
          <w:szCs w:val="24"/>
          <w:highlight w:val="none"/>
        </w:rPr>
        <w:t>自然 环境、气候条件、交验安装条件等情况说明，投标人被视为熟悉前述与履行合同有关的一切情况，投标人可自行踏勘现场并自行了解相关情况。</w:t>
      </w:r>
    </w:p>
    <w:p w14:paraId="75DABB07">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1.11投标预备会</w:t>
      </w:r>
    </w:p>
    <w:p w14:paraId="571DAF1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1.11.1 投标人须知前附表规定召开投标预备会的，采购人及代理机构按投标人须知前 附表规定的时间和地点召开投标预备会，澄清投标人提出的问题。</w:t>
      </w:r>
    </w:p>
    <w:p w14:paraId="79C1FFC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1.11.2 投标人应在投标人须知前附表规定的时间前，以书面形式将提出的问题送达采 购人及代理机构，以便采购人及代理机构在会议期间澄清。</w:t>
      </w:r>
    </w:p>
    <w:p w14:paraId="017269E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1.11.3 投标预备会后，采购人及代理机构在投标人须知前附表规定的时间内，将对投 标人所提问题的澄清，以本章2.3.2项方式通告潜在投标人。该澄清内容为谈判文件的组成</w:t>
      </w:r>
    </w:p>
    <w:p w14:paraId="544FD28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部分。</w:t>
      </w:r>
    </w:p>
    <w:p w14:paraId="30839235">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1.12</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分包</w:t>
      </w:r>
    </w:p>
    <w:p w14:paraId="5511AC0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投标人拟在成交后将成交项目(标段)的部分非主体、非关键性工作进行分包的，应符合投标人须知前附表规定的分包内容、分包金额和接受分包的第三人资质要求等限制性条件。</w:t>
      </w:r>
    </w:p>
    <w:p w14:paraId="7EAB66B8">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1.13</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偏离</w:t>
      </w:r>
    </w:p>
    <w:p w14:paraId="195326F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谈判文件允许投标文件偏离谈判文件某些要求的，偏离应当符合谈判文件规定的偏离范围和幅度。</w:t>
      </w:r>
    </w:p>
    <w:p w14:paraId="05D9D139">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9" w:name="bookmark15"/>
      <w:bookmarkEnd w:id="9"/>
      <w:r>
        <w:rPr>
          <w:rFonts w:hint="eastAsia" w:asciiTheme="minorEastAsia" w:hAnsiTheme="minorEastAsia" w:eastAsiaTheme="minorEastAsia" w:cstheme="minorEastAsia"/>
          <w:b/>
          <w:bCs/>
          <w:spacing w:val="0"/>
          <w:position w:val="0"/>
          <w:sz w:val="28"/>
          <w:szCs w:val="28"/>
          <w:highlight w:val="none"/>
        </w:rPr>
        <w:t>2.</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谈判文件</w:t>
      </w:r>
    </w:p>
    <w:p w14:paraId="3481E01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2.1谈判文件的组成</w:t>
      </w:r>
      <w:r>
        <w:rPr>
          <w:rFonts w:hint="eastAsia" w:asciiTheme="minorEastAsia" w:hAnsiTheme="minorEastAsia" w:eastAsiaTheme="minorEastAsia" w:cstheme="minorEastAsia"/>
          <w:spacing w:val="0"/>
          <w:position w:val="0"/>
          <w:sz w:val="24"/>
          <w:szCs w:val="24"/>
          <w:highlight w:val="none"/>
        </w:rPr>
        <w:t>：</w:t>
      </w:r>
    </w:p>
    <w:p w14:paraId="209945B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2.1.1 谈判文件用以阐明采购项目的内容、程序和合同主要条款。谈判文件由下述部分组成：</w:t>
      </w:r>
    </w:p>
    <w:p w14:paraId="6B353E2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（1）谈判公告</w:t>
      </w:r>
    </w:p>
    <w:p w14:paraId="5FCA932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（2）采购项目及技术、服务要求</w:t>
      </w:r>
    </w:p>
    <w:p w14:paraId="38533A7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（3）投标人须知</w:t>
      </w:r>
    </w:p>
    <w:p w14:paraId="6879A2E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（4）评审办法</w:t>
      </w:r>
    </w:p>
    <w:p w14:paraId="5EC1D70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（5）合同主要条款</w:t>
      </w:r>
    </w:p>
    <w:p w14:paraId="5D20D1F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（6）投标文件格式</w:t>
      </w:r>
    </w:p>
    <w:p w14:paraId="75BB9F4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2.1.2 根据本章第1.11款、第2.2款和第2.3款、对谈判文件的澄清、修改、补充书构 成谈判文件的组成部分，并取代谈判文件中被澄清、修改处，对所有投标人均有约束力。</w:t>
      </w:r>
    </w:p>
    <w:p w14:paraId="1255D99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2.1.3 当谈判文件、谈判文件的澄清、修改、补充等在同一内容的表述上不一致时，以最后发出（发布）的文件为准。</w:t>
      </w:r>
    </w:p>
    <w:p w14:paraId="5503CF4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2.1.4 投标人与任何人的口头协议不影响《谈判文件》的任何条款和内容。</w:t>
      </w:r>
    </w:p>
    <w:p w14:paraId="1D7162D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2.1.5 投标人应仔细阅读和检查谈判文件的全部内容是否齐全，如发现缺页或附件不全等遗漏，应及时向采购代理机构提出并索取补齐，否则责任及风险自负。</w:t>
      </w:r>
    </w:p>
    <w:p w14:paraId="65DFB074">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2.2</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谈判文件的澄清</w:t>
      </w:r>
    </w:p>
    <w:p w14:paraId="50AFFF0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2.2.1 合规获取《</w:t>
      </w:r>
      <w:r>
        <w:rPr>
          <w:rFonts w:hint="eastAsia" w:asciiTheme="minorEastAsia" w:hAnsiTheme="minorEastAsia" w:eastAsiaTheme="minorEastAsia" w:cstheme="minorEastAsia"/>
          <w:spacing w:val="0"/>
          <w:position w:val="0"/>
          <w:sz w:val="24"/>
          <w:szCs w:val="24"/>
          <w:highlight w:val="none"/>
          <w:lang w:eastAsia="zh-CN"/>
        </w:rPr>
        <w:t>竞争性谈判文件</w:t>
      </w:r>
      <w:r>
        <w:rPr>
          <w:rFonts w:hint="eastAsia" w:asciiTheme="minorEastAsia" w:hAnsiTheme="minorEastAsia" w:eastAsiaTheme="minorEastAsia" w:cstheme="minorEastAsia"/>
          <w:spacing w:val="0"/>
          <w:position w:val="0"/>
          <w:sz w:val="24"/>
          <w:szCs w:val="24"/>
          <w:highlight w:val="none"/>
        </w:rPr>
        <w:t>》的所有潜在供应商对《</w:t>
      </w:r>
      <w:r>
        <w:rPr>
          <w:rFonts w:hint="eastAsia" w:asciiTheme="minorEastAsia" w:hAnsiTheme="minorEastAsia" w:eastAsiaTheme="minorEastAsia" w:cstheme="minorEastAsia"/>
          <w:spacing w:val="0"/>
          <w:position w:val="0"/>
          <w:sz w:val="24"/>
          <w:szCs w:val="24"/>
          <w:highlight w:val="none"/>
          <w:lang w:eastAsia="zh-CN"/>
        </w:rPr>
        <w:t>竞争性谈判文件</w:t>
      </w:r>
      <w:r>
        <w:rPr>
          <w:rFonts w:hint="eastAsia" w:asciiTheme="minorEastAsia" w:hAnsiTheme="minorEastAsia" w:eastAsiaTheme="minorEastAsia" w:cstheme="minorEastAsia"/>
          <w:spacing w:val="0"/>
          <w:position w:val="0"/>
          <w:sz w:val="24"/>
          <w:szCs w:val="24"/>
          <w:highlight w:val="none"/>
        </w:rPr>
        <w:t>》如有需澄清的疑问，应在供应商须知前附表规定的时间内按竞争性</w:t>
      </w:r>
      <w:r>
        <w:rPr>
          <w:rFonts w:hint="eastAsia" w:asciiTheme="minorEastAsia" w:hAnsiTheme="minorEastAsia" w:eastAsiaTheme="minorEastAsia" w:cstheme="minorEastAsia"/>
          <w:spacing w:val="0"/>
          <w:position w:val="0"/>
          <w:sz w:val="24"/>
          <w:szCs w:val="24"/>
          <w:highlight w:val="none"/>
          <w:lang w:val="en-US" w:eastAsia="zh-CN"/>
        </w:rPr>
        <w:t>谈判</w:t>
      </w:r>
      <w:r>
        <w:rPr>
          <w:rFonts w:hint="eastAsia" w:asciiTheme="minorEastAsia" w:hAnsiTheme="minorEastAsia" w:eastAsiaTheme="minorEastAsia" w:cstheme="minorEastAsia"/>
          <w:spacing w:val="0"/>
          <w:position w:val="0"/>
          <w:sz w:val="24"/>
          <w:szCs w:val="24"/>
          <w:highlight w:val="none"/>
        </w:rPr>
        <w:t>公告中载明的地址以纸质书面形式通知到采购代理机构。在规定的时间内未提出疑问的，将视为对《</w:t>
      </w:r>
      <w:r>
        <w:rPr>
          <w:rFonts w:hint="eastAsia" w:asciiTheme="minorEastAsia" w:hAnsiTheme="minorEastAsia" w:eastAsiaTheme="minorEastAsia" w:cstheme="minorEastAsia"/>
          <w:spacing w:val="0"/>
          <w:position w:val="0"/>
          <w:sz w:val="24"/>
          <w:szCs w:val="24"/>
          <w:highlight w:val="none"/>
          <w:lang w:eastAsia="zh-CN"/>
        </w:rPr>
        <w:t>竞争性谈判文件</w:t>
      </w:r>
      <w:r>
        <w:rPr>
          <w:rFonts w:hint="eastAsia" w:asciiTheme="minorEastAsia" w:hAnsiTheme="minorEastAsia" w:eastAsiaTheme="minorEastAsia" w:cstheme="minorEastAsia"/>
          <w:spacing w:val="0"/>
          <w:position w:val="0"/>
          <w:sz w:val="24"/>
          <w:szCs w:val="24"/>
          <w:highlight w:val="none"/>
        </w:rPr>
        <w:t>》的完全认可。</w:t>
      </w:r>
    </w:p>
    <w:p w14:paraId="60C1A57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2.2.2 采购代理机构对潜在供应商在规定的时间内提出的疑问，将视情况以书面形式予以答复，并在其认为必要时，将不标明查询来源的书面答复，在“竞争性</w:t>
      </w:r>
      <w:r>
        <w:rPr>
          <w:rFonts w:hint="eastAsia" w:asciiTheme="minorEastAsia" w:hAnsiTheme="minorEastAsia" w:eastAsiaTheme="minorEastAsia" w:cstheme="minorEastAsia"/>
          <w:spacing w:val="0"/>
          <w:position w:val="0"/>
          <w:sz w:val="24"/>
          <w:szCs w:val="24"/>
          <w:highlight w:val="none"/>
          <w:lang w:val="en-US" w:eastAsia="zh-CN"/>
        </w:rPr>
        <w:t>谈判</w:t>
      </w:r>
      <w:r>
        <w:rPr>
          <w:rFonts w:hint="eastAsia" w:asciiTheme="minorEastAsia" w:hAnsiTheme="minorEastAsia" w:eastAsiaTheme="minorEastAsia" w:cstheme="minorEastAsia"/>
          <w:spacing w:val="0"/>
          <w:position w:val="0"/>
          <w:sz w:val="24"/>
          <w:szCs w:val="24"/>
          <w:highlight w:val="none"/>
        </w:rPr>
        <w:t>公告”所述媒体通告所有潜在供应商。</w:t>
      </w:r>
    </w:p>
    <w:p w14:paraId="4F043EE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2.2.3 《</w:t>
      </w:r>
      <w:r>
        <w:rPr>
          <w:rFonts w:hint="eastAsia" w:asciiTheme="minorEastAsia" w:hAnsiTheme="minorEastAsia" w:eastAsiaTheme="minorEastAsia" w:cstheme="minorEastAsia"/>
          <w:spacing w:val="0"/>
          <w:position w:val="0"/>
          <w:sz w:val="24"/>
          <w:szCs w:val="24"/>
          <w:highlight w:val="none"/>
          <w:lang w:eastAsia="zh-CN"/>
        </w:rPr>
        <w:t>竞争性谈判文件</w:t>
      </w:r>
      <w:r>
        <w:rPr>
          <w:rFonts w:hint="eastAsia" w:asciiTheme="minorEastAsia" w:hAnsiTheme="minorEastAsia" w:eastAsiaTheme="minorEastAsia" w:cstheme="minorEastAsia"/>
          <w:spacing w:val="0"/>
          <w:position w:val="0"/>
          <w:sz w:val="24"/>
          <w:szCs w:val="24"/>
          <w:highlight w:val="none"/>
        </w:rPr>
        <w:t>》中如有不符合国家有关强制性规定、不符合国家标准及行业标准的，供应商应在投标阶段或成交实施阶段予以纠正或尽提醒义务。如作为有经验的供应商 （成交供应商）应当知道而未尽提醒义务的，执行指令而造成的损失及风险由供应商（成 交供应商）承担。</w:t>
      </w:r>
    </w:p>
    <w:p w14:paraId="0EE3791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2.2.4 采购代理机构可视情况在投标截止前答疑。</w:t>
      </w:r>
    </w:p>
    <w:p w14:paraId="4A9FCE08">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2.3</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谈判文件的澄清、修改、补充</w:t>
      </w:r>
    </w:p>
    <w:p w14:paraId="4E6C3DC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2.3.1 采购人、代理机构在投标截止时间前有权澄清修改、补充已发售的谈判文件。</w:t>
      </w:r>
    </w:p>
    <w:p w14:paraId="09A0953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2.3.2 谈判过程中对谈判文件的变动见第四章评审办法3.5款谈判规则。</w:t>
      </w:r>
    </w:p>
    <w:p w14:paraId="6099AB17">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2.4</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谈判文件的澄清、修改、补充的通知，及相应时间变更</w:t>
      </w:r>
    </w:p>
    <w:p w14:paraId="1D68FC3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2.4.1 谈判文件在投标截止时间前的所有澄清、修改（包括时间变更等）、补充事项， 均在“谈判公告”所述媒体予以公告。</w:t>
      </w:r>
      <w:r>
        <w:rPr>
          <w:rFonts w:hint="eastAsia" w:asciiTheme="minorEastAsia" w:hAnsiTheme="minorEastAsia" w:eastAsiaTheme="minorEastAsia" w:cstheme="minorEastAsia"/>
          <w:b/>
          <w:bCs/>
          <w:spacing w:val="0"/>
          <w:position w:val="0"/>
          <w:sz w:val="24"/>
          <w:szCs w:val="24"/>
          <w:highlight w:val="none"/>
        </w:rPr>
        <w:t>澄清或修改公告一经在法定网站以公告形式发布，依法视为书面通知，不再另行通知。</w:t>
      </w:r>
    </w:p>
    <w:p w14:paraId="552C61D5">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基于网上电子交易的特点—-无权限获知或通知潜在投标人，潜在投标人应随时关注</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“谈判公告”所述媒体相关项目信息（为免各部门网站出现维护等情况，潜在投标人应对</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“谈判公告”所述媒体逐一查阅），如有遗漏，后果自负。</w:t>
      </w:r>
    </w:p>
    <w:p w14:paraId="6961C19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2.4.2谈判文件的澄清、修改、补充书构成谈判文件的组成部分，并取代谈判文件中被 澄清、修改处，对所有投标人均有约束力。</w:t>
      </w:r>
    </w:p>
    <w:p w14:paraId="627008F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2.4.3 如果投标截止时间前的澄清修改补充发出的时间不满足投标人须知前附表规定时间，并且澄清修改补充内容影响投标文件编制的，代理机构可视采购具体情况延长投标截止时间和开标时间，并将在“谈判公告”所述媒体予以公告。</w:t>
      </w:r>
    </w:p>
    <w:p w14:paraId="7B222B65">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10" w:name="bookmark17"/>
      <w:bookmarkEnd w:id="10"/>
      <w:r>
        <w:rPr>
          <w:rFonts w:hint="eastAsia" w:asciiTheme="minorEastAsia" w:hAnsiTheme="minorEastAsia" w:eastAsiaTheme="minorEastAsia" w:cstheme="minorEastAsia"/>
          <w:b/>
          <w:bCs/>
          <w:spacing w:val="0"/>
          <w:position w:val="0"/>
          <w:sz w:val="28"/>
          <w:szCs w:val="28"/>
          <w:highlight w:val="none"/>
        </w:rPr>
        <w:t>3.</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投标文件（响应文件）</w:t>
      </w:r>
    </w:p>
    <w:p w14:paraId="103BF417">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3.1</w:t>
      </w:r>
      <w:r>
        <w:rPr>
          <w:rFonts w:hint="eastAsia" w:asciiTheme="minorEastAsia" w:hAnsiTheme="minorEastAsia" w:eastAsiaTheme="minorEastAsia" w:cstheme="minorEastAsia"/>
          <w:spacing w:val="0"/>
          <w:position w:val="0"/>
          <w:sz w:val="24"/>
          <w:szCs w:val="24"/>
          <w:highlight w:val="none"/>
        </w:rPr>
        <w:t xml:space="preserve"> 投标人应仔细阅读谈判文件的所有内容，按谈判文件的要求提供投标文件（响应文件），并保证所提供全部资料的真实性。投标文件（响应文件）应对谈判文件实质性要求作出实质性响应。谈判小组对投标文件（响应文件）的有效性、完整性和响应程度进行审查，不满足实质性要求的为</w:t>
      </w:r>
      <w:r>
        <w:rPr>
          <w:rFonts w:hint="eastAsia" w:asciiTheme="minorEastAsia" w:hAnsiTheme="minorEastAsia" w:eastAsiaTheme="minorEastAsia" w:cstheme="minorEastAsia"/>
          <w:b/>
          <w:bCs/>
          <w:spacing w:val="0"/>
          <w:position w:val="0"/>
          <w:sz w:val="24"/>
          <w:szCs w:val="24"/>
          <w:highlight w:val="none"/>
        </w:rPr>
        <w:t>无效投标</w:t>
      </w:r>
      <w:r>
        <w:rPr>
          <w:rFonts w:hint="eastAsia" w:asciiTheme="minorEastAsia" w:hAnsiTheme="minorEastAsia" w:eastAsiaTheme="minorEastAsia" w:cstheme="minorEastAsia"/>
          <w:spacing w:val="0"/>
          <w:position w:val="0"/>
          <w:sz w:val="24"/>
          <w:szCs w:val="24"/>
          <w:highlight w:val="none"/>
        </w:rPr>
        <w:t>。</w:t>
      </w:r>
    </w:p>
    <w:p w14:paraId="30654C86">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3.2</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投标文件（响应文件）的组成</w:t>
      </w:r>
    </w:p>
    <w:p w14:paraId="5C1FF32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3.2.1 投标文件（响应文件）组成如有缺项，谈判小组按照实质性判断原则（实质性要求和实质性响应两因素）、有权视情况将其作无效投标处理，投标人自负此项风险；投标文件组成内容未对谈判文件实质性要求作出实质性响应，谈判小组按照实质性判断原则、视情况将其作无效投标处理，投标人自负此项风险</w:t>
      </w:r>
    </w:p>
    <w:p w14:paraId="2F21C0E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3.2.2 投标文件（响应文件）应包括下列内容：</w:t>
      </w:r>
    </w:p>
    <w:p w14:paraId="47C47E0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（1）投标函</w:t>
      </w:r>
    </w:p>
    <w:p w14:paraId="438E14F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rPr>
        <w:t>（2）</w:t>
      </w:r>
      <w:r>
        <w:rPr>
          <w:rFonts w:hint="eastAsia" w:asciiTheme="minorEastAsia" w:hAnsiTheme="minorEastAsia" w:eastAsiaTheme="minorEastAsia" w:cstheme="minorEastAsia"/>
          <w:spacing w:val="0"/>
          <w:position w:val="0"/>
          <w:sz w:val="24"/>
          <w:szCs w:val="24"/>
          <w:highlight w:val="none"/>
          <w:lang w:eastAsia="zh-CN"/>
        </w:rPr>
        <w:t>报价一览表</w:t>
      </w:r>
    </w:p>
    <w:p w14:paraId="4D4388D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（3）法定代表人身份证明、授权委托书</w:t>
      </w:r>
    </w:p>
    <w:p w14:paraId="491A67C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（4）采购项目方案及服务质量承诺</w:t>
      </w:r>
    </w:p>
    <w:p w14:paraId="089B0AA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（5）服务拟投入设备清单及其技术参数</w:t>
      </w:r>
    </w:p>
    <w:p w14:paraId="5B8186B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（6）采购项目拟投入的人员情况表</w:t>
      </w:r>
    </w:p>
    <w:p w14:paraId="2494B67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（7）偏差表</w:t>
      </w:r>
    </w:p>
    <w:p w14:paraId="223AD8E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（8）关于资格的声明函</w:t>
      </w:r>
    </w:p>
    <w:p w14:paraId="612558C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（9）反商业贿赂承诺书</w:t>
      </w:r>
    </w:p>
    <w:p w14:paraId="5F3426E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（10）履约承诺书</w:t>
      </w:r>
    </w:p>
    <w:p w14:paraId="4250F05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（11）资格要求相关证件材料及证明材料</w:t>
      </w:r>
    </w:p>
    <w:p w14:paraId="4A643C2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（12）采购项目及服务要求所需的其他材料</w:t>
      </w:r>
    </w:p>
    <w:p w14:paraId="59D8CDE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w:t>
      </w:r>
      <w:r>
        <w:rPr>
          <w:rFonts w:hint="eastAsia" w:asciiTheme="minorEastAsia" w:hAnsiTheme="minorEastAsia" w:eastAsiaTheme="minorEastAsia" w:cstheme="minorEastAsia"/>
          <w:spacing w:val="0"/>
          <w:position w:val="0"/>
          <w:sz w:val="24"/>
          <w:szCs w:val="24"/>
          <w:highlight w:val="none"/>
          <w:lang w:val="en-US" w:eastAsia="zh-CN"/>
        </w:rPr>
        <w:t>3</w:t>
      </w:r>
      <w:r>
        <w:rPr>
          <w:rFonts w:hint="eastAsia" w:asciiTheme="minorEastAsia" w:hAnsiTheme="minorEastAsia" w:eastAsiaTheme="minorEastAsia" w:cstheme="minorEastAsia"/>
          <w:spacing w:val="0"/>
          <w:position w:val="0"/>
          <w:sz w:val="24"/>
          <w:szCs w:val="24"/>
          <w:highlight w:val="none"/>
        </w:rPr>
        <w:t>）供应商认为有必要提交的其它材料</w:t>
      </w:r>
    </w:p>
    <w:p w14:paraId="3AD58EC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3.2.3 按照本章第 4.3 款、第四章第 3.4 款规定，对投标文件（响应文件）的补充、 修改、澄清、说明或者更正构成投标文件（响应文件）的组成部分，</w:t>
      </w:r>
    </w:p>
    <w:p w14:paraId="326A53A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3.3</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投标报价</w:t>
      </w:r>
      <w:r>
        <w:rPr>
          <w:rFonts w:hint="eastAsia" w:asciiTheme="minorEastAsia" w:hAnsiTheme="minorEastAsia" w:eastAsiaTheme="minorEastAsia" w:cstheme="minorEastAsia"/>
          <w:spacing w:val="0"/>
          <w:position w:val="0"/>
          <w:sz w:val="24"/>
          <w:szCs w:val="24"/>
          <w:highlight w:val="none"/>
        </w:rPr>
        <w:t>（价格构成）：见第二章 1.3 款。</w:t>
      </w:r>
    </w:p>
    <w:p w14:paraId="68F1C6DA">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3.4</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投标有效期</w:t>
      </w:r>
    </w:p>
    <w:p w14:paraId="4B0E673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3.4.1 投标有效期见投标人须知前附表。投标文件（响应文件）在投标有效期内保持不变（包括价格等投标文件各项条款）。</w:t>
      </w:r>
    </w:p>
    <w:p w14:paraId="1982D56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3.4.2 在投标有效期内，投标人撤销或修改其投标文件（响应文件）的，应承担谈判文件和法律规定的责任。</w:t>
      </w:r>
    </w:p>
    <w:p w14:paraId="3741C416">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color w:val="auto"/>
          <w:spacing w:val="0"/>
          <w:position w:val="0"/>
          <w:highlight w:val="none"/>
        </w:rPr>
      </w:pPr>
      <w:r>
        <w:rPr>
          <w:rFonts w:hint="eastAsia" w:asciiTheme="minorEastAsia" w:hAnsiTheme="minorEastAsia" w:eastAsiaTheme="minorEastAsia" w:cstheme="minorEastAsia"/>
          <w:b/>
          <w:bCs/>
          <w:color w:val="auto"/>
          <w:spacing w:val="0"/>
          <w:position w:val="0"/>
          <w:sz w:val="24"/>
          <w:szCs w:val="24"/>
          <w:highlight w:val="none"/>
        </w:rPr>
        <w:t>3.5</w:t>
      </w:r>
      <w:r>
        <w:rPr>
          <w:rFonts w:hint="eastAsia" w:asciiTheme="minorEastAsia" w:hAnsiTheme="minorEastAsia" w:eastAsiaTheme="minorEastAsia" w:cstheme="minorEastAsia"/>
          <w:color w:val="auto"/>
          <w:spacing w:val="0"/>
          <w:position w:val="0"/>
          <w:sz w:val="24"/>
          <w:szCs w:val="24"/>
          <w:highlight w:val="none"/>
        </w:rPr>
        <w:t xml:space="preserve"> </w:t>
      </w:r>
      <w:r>
        <w:rPr>
          <w:rFonts w:hint="eastAsia" w:asciiTheme="minorEastAsia" w:hAnsiTheme="minorEastAsia" w:eastAsiaTheme="minorEastAsia" w:cstheme="minorEastAsia"/>
          <w:b/>
          <w:bCs/>
          <w:color w:val="auto"/>
          <w:spacing w:val="0"/>
          <w:position w:val="0"/>
          <w:sz w:val="24"/>
          <w:szCs w:val="24"/>
          <w:highlight w:val="none"/>
        </w:rPr>
        <w:t>投标承诺函（替代投标保证金）：</w:t>
      </w:r>
    </w:p>
    <w:p w14:paraId="6398D8A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highlight w:val="none"/>
        </w:rPr>
      </w:pPr>
      <w:r>
        <w:rPr>
          <w:rFonts w:hint="eastAsia" w:asciiTheme="minorEastAsia" w:hAnsiTheme="minorEastAsia" w:eastAsiaTheme="minorEastAsia" w:cstheme="minorEastAsia"/>
          <w:color w:val="auto"/>
          <w:spacing w:val="0"/>
          <w:position w:val="0"/>
          <w:sz w:val="24"/>
          <w:szCs w:val="24"/>
          <w:highlight w:val="none"/>
        </w:rPr>
        <w:t>3.5.1 按照豫财购〔2019〕4 号文件规定，本项目以投标承诺函的形式替代投标保证金， 供应商应按附件格式进行投标承诺，违背承诺的将承担相应的法律责任及违约责任。</w:t>
      </w:r>
    </w:p>
    <w:p w14:paraId="2B097BE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color w:val="auto"/>
          <w:spacing w:val="0"/>
          <w:position w:val="0"/>
          <w:highlight w:val="none"/>
        </w:rPr>
      </w:pPr>
      <w:r>
        <w:rPr>
          <w:rFonts w:hint="eastAsia" w:asciiTheme="minorEastAsia" w:hAnsiTheme="minorEastAsia" w:eastAsiaTheme="minorEastAsia" w:cstheme="minorEastAsia"/>
          <w:color w:val="auto"/>
          <w:spacing w:val="0"/>
          <w:position w:val="0"/>
          <w:sz w:val="24"/>
          <w:szCs w:val="24"/>
          <w:highlight w:val="none"/>
        </w:rPr>
        <w:t>3.5.2 未提供投标承诺函的为</w:t>
      </w:r>
      <w:r>
        <w:rPr>
          <w:rFonts w:hint="eastAsia" w:asciiTheme="minorEastAsia" w:hAnsiTheme="minorEastAsia" w:eastAsiaTheme="minorEastAsia" w:cstheme="minorEastAsia"/>
          <w:b/>
          <w:bCs/>
          <w:color w:val="auto"/>
          <w:spacing w:val="0"/>
          <w:position w:val="0"/>
          <w:sz w:val="24"/>
          <w:szCs w:val="24"/>
          <w:highlight w:val="none"/>
        </w:rPr>
        <w:t>无效投标</w:t>
      </w:r>
      <w:r>
        <w:rPr>
          <w:rFonts w:hint="eastAsia" w:asciiTheme="minorEastAsia" w:hAnsiTheme="minorEastAsia" w:eastAsiaTheme="minorEastAsia" w:cstheme="minorEastAsia"/>
          <w:color w:val="auto"/>
          <w:spacing w:val="0"/>
          <w:position w:val="0"/>
          <w:sz w:val="24"/>
          <w:szCs w:val="24"/>
          <w:highlight w:val="none"/>
        </w:rPr>
        <w:t>。</w:t>
      </w:r>
    </w:p>
    <w:p w14:paraId="2370911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sz w:val="24"/>
          <w:szCs w:val="24"/>
          <w:highlight w:val="none"/>
        </w:rPr>
        <w:t>3.5.3 投标人的投标承诺函包含投标人承诺的事项及违背承诺的责任追究措施。</w:t>
      </w:r>
    </w:p>
    <w:p w14:paraId="2BE63B0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3.5.4 承诺事项：</w:t>
      </w:r>
    </w:p>
    <w:p w14:paraId="2400A152">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"3.5.4.1"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3.5.4.1</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、投标人应遵循公开、公平、</w:t>
      </w: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"http://www.so.com/s?q=%E8%AF%9A%E5%AE%9E%E4%BF%A1%E7%94%A8&amp;ie=utf-8&amp;src=internal_wenda_recommend_textn"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公正和诚实信用</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的原则自愿参加项目的投标；</w:t>
      </w:r>
    </w:p>
    <w:p w14:paraId="2CAA2357">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"3.5.4.2"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3.5.4.2</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、投标人在政府采购活动中应提供真实、准确、有效、合法的材料，不提供虚假材料；</w:t>
      </w:r>
    </w:p>
    <w:p w14:paraId="098377B1">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"3.5.4.3"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3.5.4.3</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、投标人按照谈判文件规定，在提交投标文件截止时间后，在谈判文件规定的 投标有效期限内不应撤回投标文件；</w:t>
      </w:r>
    </w:p>
    <w:p w14:paraId="2DA97D94">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"3.5.4.4"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3.5.4.4</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、不应与其他投标人、采购人或采购代理机构串通或恶意串通。</w:t>
      </w:r>
    </w:p>
    <w:p w14:paraId="33A226F2">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"3.5.4.5"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3.5.4.5</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、中标后除不可抗拒力或谈判文件认可的情形外，投标人应及时领取中标通知 书，在成交通知书规定时间、地点与采购人签订合同；</w:t>
      </w:r>
    </w:p>
    <w:p w14:paraId="36A87497">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"3.5.4.6"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3.5.4.6</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、投标人应遵守法律法规及谈判文件规定的其他情况；</w:t>
      </w:r>
    </w:p>
    <w:p w14:paraId="42CBCAC9">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"3.5.4.7"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3.5.4.7</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、投标人应按谈判文件规定及时缴纳中标服务费。</w:t>
      </w:r>
    </w:p>
    <w:p w14:paraId="2371FF9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sz w:val="24"/>
          <w:szCs w:val="24"/>
          <w:highlight w:val="none"/>
        </w:rPr>
        <w:t>3.5.5 违背承诺的责任追究措施</w:t>
      </w:r>
    </w:p>
    <w:p w14:paraId="26F0DBE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sz w:val="24"/>
          <w:szCs w:val="24"/>
          <w:highlight w:val="none"/>
        </w:rPr>
        <w:t>投标人如违背上述承诺事项，应无条件接受以下责任追究：</w:t>
      </w:r>
    </w:p>
    <w:p w14:paraId="6D72F650">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"3.5.5.1"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3.5.5.1</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 xml:space="preserve"> 法定责任：按照政府采购相关法规，处以罚款，列入不良行为记录名单，在一 至三年内禁止参加政府采购活动，有违法所得的，并处没收违法所得，情节严重的，由工商行政管理机关（市场监督机关）吊销营业执照；构成犯罪的，依法追究刑事责任。</w:t>
      </w:r>
    </w:p>
    <w:p w14:paraId="456C7ED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sz w:val="24"/>
          <w:szCs w:val="24"/>
          <w:highlight w:val="none"/>
        </w:rPr>
        <w:t>给采购人及他人造成损失的，应承担相应的赔偿责任。</w:t>
      </w:r>
    </w:p>
    <w:p w14:paraId="41A3A752">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"3.5.5.2"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3.5.5.2</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 xml:space="preserve"> 违约责任：</w:t>
      </w:r>
    </w:p>
    <w:p w14:paraId="3EDD028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sz w:val="24"/>
          <w:szCs w:val="24"/>
          <w:highlight w:val="none"/>
        </w:rPr>
        <w:t>3.5.5.2.1 已中标的，中标（成交）无效；</w:t>
      </w:r>
    </w:p>
    <w:p w14:paraId="57E3931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3.5.5.2.2 支付采购人违约标的预算金额 2%的违约金；</w:t>
      </w:r>
    </w:p>
    <w:p w14:paraId="7204E3B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3.5.5.2.3 中标后未缴中标服务费的，</w:t>
      </w:r>
      <w:r>
        <w:rPr>
          <w:rFonts w:hint="eastAsia" w:asciiTheme="minorEastAsia" w:hAnsiTheme="minorEastAsia" w:eastAsiaTheme="minorEastAsia" w:cstheme="minorEastAsia"/>
          <w:spacing w:val="0"/>
          <w:position w:val="0"/>
          <w:highlight w:val="none"/>
        </w:rPr>
        <w:fldChar w:fldCharType="begin"/>
      </w:r>
      <w:r>
        <w:rPr>
          <w:rFonts w:hint="eastAsia" w:asciiTheme="minorEastAsia" w:hAnsiTheme="minorEastAsia" w:eastAsiaTheme="minorEastAsia" w:cstheme="minorEastAsia"/>
          <w:spacing w:val="0"/>
          <w:position w:val="0"/>
          <w:highlight w:val="none"/>
        </w:rPr>
        <w:instrText xml:space="preserve"> HYPERLINK "http://www.so.com/s?q=%E8%AF%9A%E5%AE%9E%E4%BF%A1%E7%94%A8&amp;ie=utf-8&amp;src=internal_wenda_recommend_textn" </w:instrText>
      </w:r>
      <w:r>
        <w:rPr>
          <w:rFonts w:hint="eastAsia" w:asciiTheme="minorEastAsia" w:hAnsiTheme="minorEastAsia" w:eastAsiaTheme="minorEastAsia" w:cstheme="minorEastAsia"/>
          <w:spacing w:val="0"/>
          <w:position w:val="0"/>
          <w:highlight w:val="none"/>
        </w:rPr>
        <w:fldChar w:fldCharType="separate"/>
      </w:r>
      <w:r>
        <w:rPr>
          <w:rFonts w:hint="eastAsia" w:asciiTheme="minorEastAsia" w:hAnsiTheme="minorEastAsia" w:eastAsiaTheme="minorEastAsia" w:cstheme="minorEastAsia"/>
          <w:spacing w:val="0"/>
          <w:position w:val="0"/>
          <w:sz w:val="24"/>
          <w:szCs w:val="24"/>
          <w:highlight w:val="none"/>
        </w:rPr>
        <w:t>作为违约及违背诚实信用</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原则，在履行承诺前， 代理机构将视该单位为失信企业、不予办理其后相关业务。</w:t>
      </w:r>
    </w:p>
    <w:p w14:paraId="47F48336">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b/>
          <w:bCs/>
          <w:spacing w:val="0"/>
          <w:position w:val="0"/>
          <w:sz w:val="24"/>
          <w:szCs w:val="24"/>
          <w:highlight w:val="none"/>
        </w:rPr>
        <w:t>3.6</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投标资格文件：</w:t>
      </w:r>
      <w:r>
        <w:rPr>
          <w:rFonts w:hint="eastAsia" w:asciiTheme="minorEastAsia" w:hAnsiTheme="minorEastAsia" w:eastAsiaTheme="minorEastAsia" w:cstheme="minorEastAsia"/>
          <w:spacing w:val="0"/>
          <w:position w:val="0"/>
          <w:sz w:val="24"/>
          <w:szCs w:val="24"/>
          <w:highlight w:val="none"/>
        </w:rPr>
        <w:t>要求见谈判公告</w:t>
      </w:r>
    </w:p>
    <w:p w14:paraId="354D16D8">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3.7</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投标文件的编制</w:t>
      </w:r>
    </w:p>
    <w:p w14:paraId="2371A5D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3.7.1 投标文件（响应文件）应按第六章“投标文件格式”进行编写，如有必要，可以增加附页，作为投标文件（响应文件）的组成部分。谈判文件中未列明格式的，由投标人按一般通用格式自行设计编写。</w:t>
      </w:r>
    </w:p>
    <w:p w14:paraId="10E54DE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投标文件编制后，需录入导入谈判公告所述</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“安阳市政府采购投标文件编制系统”，</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经电子签名并加密后、在响应文件提交截止时间前，上传至谈判公告所述网上电子交易系</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统。</w:t>
      </w:r>
    </w:p>
    <w:p w14:paraId="4CD0074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3.7.2 “投标文件格式 ”仅为对投标文件（响应文件）部分内容的格式化规范，并非 投标文件所应具备的全部内容。投标人应按本章“3.2 投标文件的组成 ”列示内容编制投标 文件（响应文件）。</w:t>
      </w:r>
    </w:p>
    <w:p w14:paraId="5606370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3.7.3 投标文件（响应文件）应当对谈判文件有关标段内容（范围）、技术要求、售后 服务、服务期、投标有效期等实质性内容作出响应。在满足谈判文件实质性要求的基础上， 可以提出比谈判文件要求更有利于采购人的承诺。</w:t>
      </w:r>
    </w:p>
    <w:p w14:paraId="2630687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投标文件（响应文件）的所有条款与谈判文件要求有任何不同之处，应按《技术偏差 表》、《其他偏差表》格式逐一填列。投标文件（响应文件）与谈判文件所有要求存在偏 差而未填列的，谈判小组有权按照实质性判断原则（实质性要求和实质性响应两因素）评 定其为</w:t>
      </w:r>
      <w:r>
        <w:rPr>
          <w:rFonts w:hint="eastAsia" w:asciiTheme="minorEastAsia" w:hAnsiTheme="minorEastAsia" w:eastAsiaTheme="minorEastAsia" w:cstheme="minorEastAsia"/>
          <w:b/>
          <w:bCs/>
          <w:spacing w:val="0"/>
          <w:position w:val="0"/>
          <w:sz w:val="24"/>
          <w:szCs w:val="24"/>
          <w:highlight w:val="none"/>
        </w:rPr>
        <w:t>无效投标</w:t>
      </w:r>
      <w:r>
        <w:rPr>
          <w:rFonts w:hint="eastAsia" w:asciiTheme="minorEastAsia" w:hAnsiTheme="minorEastAsia" w:eastAsiaTheme="minorEastAsia" w:cstheme="minorEastAsia"/>
          <w:spacing w:val="0"/>
          <w:position w:val="0"/>
          <w:sz w:val="24"/>
          <w:szCs w:val="24"/>
          <w:highlight w:val="none"/>
        </w:rPr>
        <w:t>。投标人应认真编制投标文件（响应文件）并自负此项风险。</w:t>
      </w:r>
    </w:p>
    <w:p w14:paraId="49AB7999">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3.7.4投标文件（响应文件）应按谈判文件相关要求（含格式上标注的要求）、使用供应商企业数字证书进行电子签章和供应商法定代表人数字证书进行电子签名，没有使用供应商企业数字证书和供应商法定代表人数字证书进行电子签名并加密的响应文件，属于未按照谈判文件要求进行签署。</w:t>
      </w:r>
    </w:p>
    <w:p w14:paraId="6C628B6D">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根据《中华人民共和国电子签名法》规定，可靠的电子签名与手写签名或者盖章具有</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同等的法律效力。本次采购活动中，供应商使用有效的企业数字证书对响应文件进行电子</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签章与加盖投标人公章具有同等法律效力；供应商法定代表人使用有效的个人数字证书对</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响应文件进行签名与法人签章具有同等法律效力。</w:t>
      </w:r>
    </w:p>
    <w:p w14:paraId="6FF4D78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3.7.5 投标文件（响应文件）因字迹或表述不清所引起的后果由投标人自行负责。</w:t>
      </w:r>
    </w:p>
    <w:p w14:paraId="37E8BD8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3.7.6未按上述要求提供的投标文件（响应文件）将视为</w:t>
      </w:r>
      <w:r>
        <w:rPr>
          <w:rFonts w:hint="eastAsia" w:asciiTheme="minorEastAsia" w:hAnsiTheme="minorEastAsia" w:eastAsiaTheme="minorEastAsia" w:cstheme="minorEastAsia"/>
          <w:b/>
          <w:bCs/>
          <w:spacing w:val="0"/>
          <w:position w:val="0"/>
          <w:sz w:val="24"/>
          <w:szCs w:val="24"/>
          <w:highlight w:val="none"/>
        </w:rPr>
        <w:t>无效投标。</w:t>
      </w:r>
    </w:p>
    <w:p w14:paraId="3AB05464">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11" w:name="bookmark19"/>
      <w:bookmarkEnd w:id="11"/>
      <w:r>
        <w:rPr>
          <w:rFonts w:hint="eastAsia" w:asciiTheme="minorEastAsia" w:hAnsiTheme="minorEastAsia" w:eastAsiaTheme="minorEastAsia" w:cstheme="minorEastAsia"/>
          <w:b/>
          <w:bCs/>
          <w:spacing w:val="0"/>
          <w:position w:val="0"/>
          <w:sz w:val="28"/>
          <w:szCs w:val="28"/>
          <w:highlight w:val="none"/>
        </w:rPr>
        <w:t>4.</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投标（响应文件的递交）</w:t>
      </w:r>
    </w:p>
    <w:p w14:paraId="54DA0C5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4.1</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投标文件（响应文件）的加密和标记：</w:t>
      </w:r>
    </w:p>
    <w:p w14:paraId="6CF4600D">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4.1.1</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投标文件（响应文件）应当按网上电子交易系统要求进行加密和标记，在投标</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文件（响应文件）提交截止时间前，将加密的投标文件（响应文件）上传至谈判公告所述</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网上电子交易系统。</w:t>
      </w:r>
    </w:p>
    <w:p w14:paraId="7539A4C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4.1.2</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投标文件（响应文件）没有按照上述要求进行加密和标记的、网上电子交易系</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统将据系统设定拒收其投标文件（响应文件），投标人应自负该项风险，采购代理机构对</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可能产生的误投或提前启封概不负责。</w:t>
      </w:r>
    </w:p>
    <w:p w14:paraId="4FB6AC9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4.2</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投标文件的递交</w:t>
      </w:r>
    </w:p>
    <w:p w14:paraId="45E4CE05">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4.2.1</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投标人须在投标文件（响应文件）提交截止时间前，将加密的投标文件（响应</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文件）上传至谈判公告所述网上电子交易系统（在网上电子交易系统，凭企业数字证书登</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录投标用户入口的“政府采购”系统上传）。投标人应在上传时认真检查上传投标文件是</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否完整、正确。</w:t>
      </w:r>
    </w:p>
    <w:p w14:paraId="5B66EF6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4.2.2</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据网上电子交易系统设定，投标文件（响应文件）提交截止时间后，系统将自</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动锁定已经提交的电子投标文件（响应文件），拒绝再次提交。投标人将无法通过网上电子交易系统进行上传，采购代理机构将无法接受并拒绝接受投标截止时间以后提交的投标文件（响应文件）</w:t>
      </w:r>
    </w:p>
    <w:p w14:paraId="6624B26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4.2.3 由于不可抗拒的原因，代理机构对投标文件（响应文件）的遗失和损坏不负任何责任。</w:t>
      </w:r>
    </w:p>
    <w:p w14:paraId="573613D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4.2.4 除投标人须知前附表另有规定外，投标人所递交的投标文件（响应文件）不予退还。</w:t>
      </w:r>
    </w:p>
    <w:p w14:paraId="2AB616FE">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4.2.5</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基于网上电子交易的系统要求及特点，只接受基于符合网上电子交易系统要求</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的投标，其他如纸制、送达、电报、电话、电子邮件等形式的投标概不接受。</w:t>
      </w:r>
    </w:p>
    <w:p w14:paraId="3F785739">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4.3</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投标文件（响应文件）的修改与撤回</w:t>
      </w:r>
      <w:r>
        <w:rPr>
          <w:rFonts w:hint="eastAsia" w:asciiTheme="minorEastAsia" w:hAnsiTheme="minorEastAsia" w:eastAsiaTheme="minorEastAsia" w:cstheme="minorEastAsia"/>
          <w:spacing w:val="0"/>
          <w:position w:val="0"/>
          <w:sz w:val="24"/>
          <w:szCs w:val="24"/>
          <w:highlight w:val="none"/>
        </w:rPr>
        <w:t>：</w:t>
      </w:r>
    </w:p>
    <w:p w14:paraId="5651C966">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4.3.1</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投标人于提交投标文件（响应文件）截止时间前如对投标文件进行补充、修改，</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可以上传新的投标文件进行覆盖。投标人如撤回投标文件，应及时书面通知采购代理机构</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进行办理。</w:t>
      </w:r>
    </w:p>
    <w:p w14:paraId="020C2158">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4.3.2</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投标人在投标文件（响应文件）提交截止时间后不得自行修改或撤回其投标，</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否则</w:t>
      </w:r>
      <w:r>
        <w:rPr>
          <w:rFonts w:hint="eastAsia" w:asciiTheme="minorEastAsia" w:hAnsiTheme="minorEastAsia" w:eastAsiaTheme="minorEastAsia" w:cstheme="minorEastAsia"/>
          <w:spacing w:val="0"/>
          <w:position w:val="0"/>
          <w:sz w:val="24"/>
          <w:szCs w:val="24"/>
          <w:highlight w:val="none"/>
        </w:rPr>
        <w:t>依据谈判文件“第三章3.5.5 违背承诺的责任追究措施”，投标人承担相应法律责任 及违约责任。</w:t>
      </w:r>
    </w:p>
    <w:p w14:paraId="1F23995A">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12" w:name="bookmark21"/>
      <w:bookmarkEnd w:id="12"/>
      <w:r>
        <w:rPr>
          <w:rFonts w:hint="eastAsia" w:asciiTheme="minorEastAsia" w:hAnsiTheme="minorEastAsia" w:eastAsiaTheme="minorEastAsia" w:cstheme="minorEastAsia"/>
          <w:b/>
          <w:bCs/>
          <w:spacing w:val="0"/>
          <w:position w:val="0"/>
          <w:sz w:val="28"/>
          <w:szCs w:val="28"/>
          <w:highlight w:val="none"/>
        </w:rPr>
        <w:t>5.</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开标（响应文件的开启）</w:t>
      </w:r>
    </w:p>
    <w:p w14:paraId="4DA327E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5.1</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开标时间和地点</w:t>
      </w:r>
    </w:p>
    <w:p w14:paraId="7933AEE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5.1.1开标时间和地点：采购人和采购代理机构按采购公告规定的时间和地点于网上</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（采购公告所述网上电子交易系统）公开开标。</w:t>
      </w:r>
    </w:p>
    <w:p w14:paraId="41800B4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5.1.2投标截止时间止，将要求供应商在规定时间内自行完成对本单位的加密投标文件解密。由于供应商的自身原因，在规定时间内解密不成功的，作为无效处理。</w:t>
      </w:r>
    </w:p>
    <w:p w14:paraId="750D9E7B">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5.1.3</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投标人对开标过程和开标记录有疑义，以及认为采购人、采购代理机构相关工</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作人员有需要回避的情形的，应在系统中提出询问或者回避申请，否则，视为对开标无异</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议。</w:t>
      </w:r>
    </w:p>
    <w:p w14:paraId="095881E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5.1.4 在开标或评审过程中，有效投标应在三家以上（包括三家）；有效投标不足三家的应予终止（废标）。</w:t>
      </w:r>
    </w:p>
    <w:p w14:paraId="688390D4">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13" w:name="bookmark23"/>
      <w:bookmarkEnd w:id="13"/>
      <w:r>
        <w:rPr>
          <w:rFonts w:hint="eastAsia" w:asciiTheme="minorEastAsia" w:hAnsiTheme="minorEastAsia" w:eastAsiaTheme="minorEastAsia" w:cstheme="minorEastAsia"/>
          <w:b/>
          <w:bCs/>
          <w:spacing w:val="0"/>
          <w:position w:val="0"/>
          <w:sz w:val="28"/>
          <w:szCs w:val="28"/>
          <w:highlight w:val="none"/>
        </w:rPr>
        <w:t>6.</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评审</w:t>
      </w:r>
    </w:p>
    <w:p w14:paraId="1D8FE1B2">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6.1</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谈判小组</w:t>
      </w:r>
    </w:p>
    <w:p w14:paraId="7F7D669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highlight w:val="none"/>
        </w:rPr>
      </w:pPr>
      <w:r>
        <w:rPr>
          <w:rFonts w:hint="eastAsia" w:asciiTheme="minorEastAsia" w:hAnsiTheme="minorEastAsia" w:eastAsiaTheme="minorEastAsia" w:cstheme="minorEastAsia"/>
          <w:b/>
          <w:bCs/>
          <w:spacing w:val="0"/>
          <w:position w:val="0"/>
          <w:sz w:val="24"/>
          <w:szCs w:val="24"/>
          <w:highlight w:val="none"/>
        </w:rPr>
        <w:t>评审工作由依法组建的</w:t>
      </w:r>
      <w:r>
        <w:rPr>
          <w:rFonts w:hint="eastAsia" w:asciiTheme="minorEastAsia" w:hAnsiTheme="minorEastAsia" w:eastAsiaTheme="minorEastAsia" w:cstheme="minorEastAsia"/>
          <w:b/>
          <w:bCs/>
          <w:spacing w:val="0"/>
          <w:position w:val="0"/>
          <w:sz w:val="24"/>
          <w:szCs w:val="24"/>
          <w:highlight w:val="none"/>
          <w:lang w:eastAsia="zh-CN"/>
        </w:rPr>
        <w:t>谈判小组</w:t>
      </w:r>
      <w:r>
        <w:rPr>
          <w:rFonts w:hint="eastAsia" w:asciiTheme="minorEastAsia" w:hAnsiTheme="minorEastAsia" w:eastAsiaTheme="minorEastAsia" w:cstheme="minorEastAsia"/>
          <w:b/>
          <w:bCs/>
          <w:spacing w:val="0"/>
          <w:position w:val="0"/>
          <w:sz w:val="24"/>
          <w:szCs w:val="24"/>
          <w:highlight w:val="none"/>
        </w:rPr>
        <w:t>负责。</w:t>
      </w:r>
      <w:r>
        <w:rPr>
          <w:rFonts w:hint="eastAsia" w:asciiTheme="minorEastAsia" w:hAnsiTheme="minorEastAsia" w:eastAsiaTheme="minorEastAsia" w:cstheme="minorEastAsia"/>
          <w:b/>
          <w:bCs/>
          <w:spacing w:val="0"/>
          <w:position w:val="0"/>
          <w:sz w:val="24"/>
          <w:szCs w:val="24"/>
          <w:highlight w:val="none"/>
          <w:lang w:eastAsia="zh-CN"/>
        </w:rPr>
        <w:t>谈判小组</w:t>
      </w:r>
      <w:r>
        <w:rPr>
          <w:rFonts w:hint="eastAsia" w:asciiTheme="minorEastAsia" w:hAnsiTheme="minorEastAsia" w:eastAsiaTheme="minorEastAsia" w:cstheme="minorEastAsia"/>
          <w:b/>
          <w:bCs/>
          <w:spacing w:val="0"/>
          <w:position w:val="0"/>
          <w:sz w:val="24"/>
          <w:szCs w:val="24"/>
          <w:highlight w:val="none"/>
        </w:rPr>
        <w:t>由评审专家</w:t>
      </w:r>
      <w:r>
        <w:rPr>
          <w:rFonts w:hint="eastAsia" w:asciiTheme="minorEastAsia" w:hAnsiTheme="minorEastAsia" w:eastAsiaTheme="minorEastAsia" w:cstheme="minorEastAsia"/>
          <w:b/>
          <w:bCs/>
          <w:spacing w:val="0"/>
          <w:position w:val="0"/>
          <w:sz w:val="24"/>
          <w:szCs w:val="24"/>
          <w:highlight w:val="none"/>
          <w:lang w:val="en-US" w:eastAsia="zh-CN"/>
        </w:rPr>
        <w:t>共</w:t>
      </w:r>
      <w:r>
        <w:rPr>
          <w:rFonts w:hint="eastAsia" w:asciiTheme="minorEastAsia" w:hAnsiTheme="minorEastAsia" w:eastAsiaTheme="minorEastAsia" w:cstheme="minorEastAsia"/>
          <w:b/>
          <w:bCs/>
          <w:spacing w:val="0"/>
          <w:position w:val="0"/>
          <w:sz w:val="24"/>
          <w:szCs w:val="24"/>
          <w:highlight w:val="none"/>
        </w:rPr>
        <w:t>3人组成，评审专家是在监督部门监督下从政府采购专家库中随机抽取产生。</w:t>
      </w:r>
    </w:p>
    <w:p w14:paraId="07C4160F">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6.2 评审原则</w:t>
      </w:r>
    </w:p>
    <w:p w14:paraId="2161C1D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6.2.1 坚持公开、公平、公正地对待所有投标人。</w:t>
      </w:r>
    </w:p>
    <w:p w14:paraId="532DFD9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6.2.2 按照同一评审程序及方法审查所有投标人的投标文件。</w:t>
      </w:r>
    </w:p>
    <w:p w14:paraId="6259C23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6.2.3 反对不正当竞争</w:t>
      </w:r>
    </w:p>
    <w:p w14:paraId="78E69848">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6.3</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评审</w:t>
      </w:r>
    </w:p>
    <w:p w14:paraId="4ED07B0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6.3.1 评审工作在谈判小组内独立进行。谈判小组按照第四章“评审办法 ”规定的方 法、评审因素、标准和程序对投标文件进行评审。第四章“评审办法 ”没有规定的方法、 评审因素和标准，不作为评审依据。</w:t>
      </w:r>
    </w:p>
    <w:p w14:paraId="33993B8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6.3.2 在开标、评审期间，投标人不得向谈判小组成员询问情况，不得进行旨在影响评审结果的活动。</w:t>
      </w:r>
    </w:p>
    <w:p w14:paraId="78DA656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6.4</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谈判：</w:t>
      </w:r>
      <w:r>
        <w:rPr>
          <w:rFonts w:hint="eastAsia" w:asciiTheme="minorEastAsia" w:hAnsiTheme="minorEastAsia" w:eastAsiaTheme="minorEastAsia" w:cstheme="minorEastAsia"/>
          <w:spacing w:val="0"/>
          <w:position w:val="0"/>
          <w:sz w:val="24"/>
          <w:szCs w:val="24"/>
          <w:highlight w:val="none"/>
        </w:rPr>
        <w:t>见第四章评审办法3.5款谈判规则。</w:t>
      </w:r>
    </w:p>
    <w:p w14:paraId="199C6B08">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14" w:name="bookmark25"/>
      <w:bookmarkEnd w:id="14"/>
      <w:r>
        <w:rPr>
          <w:rFonts w:hint="eastAsia" w:asciiTheme="minorEastAsia" w:hAnsiTheme="minorEastAsia" w:eastAsiaTheme="minorEastAsia" w:cstheme="minorEastAsia"/>
          <w:b/>
          <w:bCs/>
          <w:spacing w:val="0"/>
          <w:position w:val="0"/>
          <w:sz w:val="28"/>
          <w:szCs w:val="28"/>
          <w:highlight w:val="none"/>
        </w:rPr>
        <w:t>7.</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授予合同</w:t>
      </w:r>
    </w:p>
    <w:p w14:paraId="6AC2131E">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7.1</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确定成交供应商方式</w:t>
      </w:r>
    </w:p>
    <w:p w14:paraId="08B5763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除投标人须知前附表规定授权谈判小组直接确定成交供应商外，采购人应当自收到评审报告之日起5个工作日内在评审报告推荐的成交候选人中按顺序确定成交供应商。若排名第一的成交候选人放弃中标（成交），或者因不可抗力不能履行合同，或者被查实存在影响成交结果的违法行为等情形、不符合成交条件的，采购人可以按照谈判小组提出的成交候选人名单排序依次确定其他成交候选人为成交供应商，也可以重新采购。</w:t>
      </w:r>
    </w:p>
    <w:p w14:paraId="5544659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7.2</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成交结果公告</w:t>
      </w:r>
    </w:p>
    <w:p w14:paraId="450FF48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采购代理机构在成交供应商确定后2个工作日内，在谈判公告所述媒体公告成交结果。 同时向成交供应商发出成交通知书。成交结果公告期限为1个工作日。</w:t>
      </w:r>
    </w:p>
    <w:p w14:paraId="028D4C10">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7.3</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质疑、投诉：</w:t>
      </w:r>
    </w:p>
    <w:p w14:paraId="1855B08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7.3.1见投标人须知前附表</w:t>
      </w:r>
    </w:p>
    <w:p w14:paraId="58CCB68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7.3.2 询问或者质疑事项可能影响成交结果的，采购人应当暂停签订合同，已经签订合同的，应当中止履行合同。</w:t>
      </w:r>
    </w:p>
    <w:p w14:paraId="3CB9D11C">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7.4</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成交通知：</w:t>
      </w:r>
      <w:r>
        <w:rPr>
          <w:rFonts w:hint="eastAsia" w:asciiTheme="minorEastAsia" w:hAnsiTheme="minorEastAsia" w:eastAsiaTheme="minorEastAsia" w:cstheme="minorEastAsia"/>
          <w:spacing w:val="0"/>
          <w:position w:val="0"/>
          <w:sz w:val="24"/>
          <w:szCs w:val="24"/>
          <w:highlight w:val="none"/>
        </w:rPr>
        <w:t>见投标人须知前附表</w:t>
      </w:r>
    </w:p>
    <w:p w14:paraId="744E08C8">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7.5</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履约保证金</w:t>
      </w:r>
    </w:p>
    <w:p w14:paraId="1C662E1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7.5.1 在签订合同前，成交供应商应按投标人须知前附表规定向采购人提交履约保证 金。</w:t>
      </w:r>
    </w:p>
    <w:p w14:paraId="78CACF0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7.5.2 成交供应商不能按本章第7.5.1项要求提交履约保证金的，视为放弃成交资格， 依据谈判文件“第三章3.5.5 违背承诺的责任追究措施”，投标人承担相应法律责任及违 约责任。给采购人及采购代理机构造成损失的，成交供应商应当予以赔偿。</w:t>
      </w:r>
    </w:p>
    <w:p w14:paraId="73CAA1AE">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7.6</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签订合同</w:t>
      </w:r>
    </w:p>
    <w:p w14:paraId="1A08CBF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7.6.1</w:t>
      </w:r>
      <w:r>
        <w:rPr>
          <w:rFonts w:hint="eastAsia" w:asciiTheme="minorEastAsia" w:hAnsiTheme="minorEastAsia" w:eastAsiaTheme="minorEastAsia" w:cstheme="minorEastAsia"/>
          <w:color w:val="auto"/>
          <w:spacing w:val="0"/>
          <w:position w:val="0"/>
          <w:sz w:val="24"/>
          <w:szCs w:val="24"/>
          <w:highlight w:val="none"/>
        </w:rPr>
        <w:t xml:space="preserve"> 成交供应商应在《成交通知书》发出之日起</w:t>
      </w:r>
      <w:r>
        <w:rPr>
          <w:rFonts w:hint="eastAsia" w:asciiTheme="minorEastAsia" w:hAnsiTheme="minorEastAsia" w:eastAsiaTheme="minorEastAsia" w:cstheme="minorEastAsia"/>
          <w:color w:val="auto"/>
          <w:spacing w:val="0"/>
          <w:position w:val="0"/>
          <w:sz w:val="24"/>
          <w:szCs w:val="24"/>
          <w:highlight w:val="none"/>
          <w:lang w:val="en-US" w:eastAsia="zh-CN"/>
        </w:rPr>
        <w:t>15</w:t>
      </w:r>
      <w:r>
        <w:rPr>
          <w:rFonts w:hint="eastAsia" w:asciiTheme="minorEastAsia" w:hAnsiTheme="minorEastAsia" w:eastAsiaTheme="minorEastAsia" w:cstheme="minorEastAsia"/>
          <w:color w:val="auto"/>
          <w:spacing w:val="0"/>
          <w:position w:val="0"/>
          <w:sz w:val="24"/>
          <w:szCs w:val="24"/>
          <w:highlight w:val="none"/>
        </w:rPr>
        <w:t>日内，按照谈判文件确定</w:t>
      </w:r>
      <w:r>
        <w:rPr>
          <w:rFonts w:hint="eastAsia" w:asciiTheme="minorEastAsia" w:hAnsiTheme="minorEastAsia" w:eastAsiaTheme="minorEastAsia" w:cstheme="minorEastAsia"/>
          <w:spacing w:val="0"/>
          <w:position w:val="0"/>
          <w:sz w:val="24"/>
          <w:szCs w:val="24"/>
          <w:highlight w:val="none"/>
        </w:rPr>
        <w:t>的合同文本以及成交标的、技术和服务等事项与采购人签订书面政府采购合同。</w:t>
      </w:r>
    </w:p>
    <w:p w14:paraId="0A577B8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7.6.2 如成交供应商不按时签订合同、拒签合同的，取消其成交资格，依据谈判文件 “第三章3.5.5 违背承诺的责任追究措施”，投标人承担相应法律责任及违约责任。给采购人造成损失的，成交供应商应当予以赔偿。</w:t>
      </w:r>
    </w:p>
    <w:p w14:paraId="0B278F6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7.6.3 合同生效：成交供应商与采购人签订的合同，双方签字后盖章生效；采购人须在合同签订之日起2个工作日以内公告，并在</w:t>
      </w:r>
      <w:r>
        <w:rPr>
          <w:rFonts w:hint="eastAsia" w:asciiTheme="minorEastAsia" w:hAnsiTheme="minorEastAsia" w:eastAsiaTheme="minorEastAsia" w:cstheme="minorEastAsia"/>
          <w:spacing w:val="0"/>
          <w:position w:val="0"/>
          <w:sz w:val="24"/>
          <w:szCs w:val="24"/>
          <w:highlight w:val="none"/>
          <w:lang w:val="en-US" w:eastAsia="zh-CN"/>
        </w:rPr>
        <w:t>2</w:t>
      </w:r>
      <w:r>
        <w:rPr>
          <w:rFonts w:hint="eastAsia" w:asciiTheme="minorEastAsia" w:hAnsiTheme="minorEastAsia" w:eastAsiaTheme="minorEastAsia" w:cstheme="minorEastAsia"/>
          <w:spacing w:val="0"/>
          <w:position w:val="0"/>
          <w:sz w:val="24"/>
          <w:szCs w:val="24"/>
          <w:highlight w:val="none"/>
        </w:rPr>
        <w:t>个工作日内报同级政府采购监管部门备案。</w:t>
      </w:r>
    </w:p>
    <w:p w14:paraId="521A1EE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7.6.4《成交通知书》、谈判文件及其修改补充澄清 、成交供应商的投标文件及及其修改补充澄清等，均为签订合同的依据。所定合同不得对谈判文件和成交供应商的投标文件作实质性修改，采购人和成交供应商不得私下订立背离合同实质性内容的协议。</w:t>
      </w:r>
    </w:p>
    <w:p w14:paraId="0189C42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7.6.5 评审会后，成交供应商、采购人之间擅自私下谈判、变更中标（成交）标的、 价格及谈判标文件实质性内容的，有关部门将按《中华人民共和国政府采购法》及相关法规的规定处理。</w:t>
      </w:r>
    </w:p>
    <w:p w14:paraId="2A65ABD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7.6.6 采购人与成交供应商签订《政府采购合同》后，合同履行中产生的纠纷、争议， 由采购人与成交供应商按合同条款及《中华人民共和国</w:t>
      </w:r>
      <w:r>
        <w:rPr>
          <w:rFonts w:hint="eastAsia" w:asciiTheme="minorEastAsia" w:hAnsiTheme="minorEastAsia" w:eastAsiaTheme="minorEastAsia" w:cstheme="minorEastAsia"/>
          <w:spacing w:val="0"/>
          <w:position w:val="0"/>
          <w:sz w:val="24"/>
          <w:szCs w:val="24"/>
          <w:highlight w:val="none"/>
          <w:lang w:val="en-US" w:eastAsia="zh-CN"/>
        </w:rPr>
        <w:t>民法典</w:t>
      </w:r>
      <w:r>
        <w:rPr>
          <w:rFonts w:hint="eastAsia" w:asciiTheme="minorEastAsia" w:hAnsiTheme="minorEastAsia" w:eastAsiaTheme="minorEastAsia" w:cstheme="minorEastAsia"/>
          <w:spacing w:val="0"/>
          <w:position w:val="0"/>
          <w:sz w:val="24"/>
          <w:szCs w:val="24"/>
          <w:highlight w:val="none"/>
        </w:rPr>
        <w:t>》处理。</w:t>
      </w:r>
    </w:p>
    <w:p w14:paraId="048B813C">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7.7</w:t>
      </w:r>
      <w:r>
        <w:rPr>
          <w:rFonts w:hint="eastAsia" w:asciiTheme="minorEastAsia" w:hAnsiTheme="minorEastAsia" w:eastAsiaTheme="minorEastAsia" w:cstheme="minorEastAsia"/>
          <w:spacing w:val="0"/>
          <w:position w:val="0"/>
          <w:sz w:val="24"/>
          <w:szCs w:val="24"/>
          <w:highlight w:val="none"/>
        </w:rPr>
        <w:t xml:space="preserve"> </w:t>
      </w:r>
      <w:r>
        <w:rPr>
          <w:rFonts w:hint="eastAsia" w:asciiTheme="minorEastAsia" w:hAnsiTheme="minorEastAsia" w:eastAsiaTheme="minorEastAsia" w:cstheme="minorEastAsia"/>
          <w:b/>
          <w:bCs/>
          <w:spacing w:val="0"/>
          <w:position w:val="0"/>
          <w:sz w:val="24"/>
          <w:szCs w:val="24"/>
          <w:highlight w:val="none"/>
        </w:rPr>
        <w:t>合同补充变更</w:t>
      </w:r>
    </w:p>
    <w:p w14:paraId="412D095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7.7.1 政府采购合同履行中，采购人需追加或减少与合同标的相同的货物和服务的（即 追加或减少原合同标的数量），在不改变合同条款（包括原合同单价）的前提下，双方可以协商签订补充合同，但所有补充合同总金额不得超过原合同采购金额的10%，不得调增原合同单价，不得超出项目预算，超过原合同采购金额的10%，应重新组织采购活动。</w:t>
      </w:r>
    </w:p>
    <w:p w14:paraId="1DC97F84">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7.7.2</w:t>
      </w:r>
      <w:r>
        <w:rPr>
          <w:rFonts w:hint="eastAsia" w:asciiTheme="minorEastAsia" w:hAnsiTheme="minorEastAsia" w:eastAsiaTheme="minorEastAsia" w:cstheme="minorEastAsia"/>
          <w:spacing w:val="0"/>
          <w:position w:val="0"/>
          <w:sz w:val="24"/>
          <w:szCs w:val="24"/>
          <w:highlight w:val="none"/>
        </w:rPr>
        <w:t xml:space="preserve"> 采购人需追加或减少的货物和服务金额达到50万元以上（含50万元）、且超过中标（成交）价 3%的，采购人应当自确定变更之日起5个工作日内将变更情况及事由报送同级监察机关。</w:t>
      </w:r>
    </w:p>
    <w:p w14:paraId="66A9AC8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采购项目在中标（成交）后经有关行政机关批准变更的，批准的行政机关应当自批准之日起3个工作日内将批准文件抄送同级监察机关备案。</w:t>
      </w:r>
    </w:p>
    <w:p w14:paraId="29F3D46D">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15" w:name="bookmark27"/>
      <w:bookmarkEnd w:id="15"/>
      <w:r>
        <w:rPr>
          <w:rFonts w:hint="eastAsia" w:asciiTheme="minorEastAsia" w:hAnsiTheme="minorEastAsia" w:eastAsiaTheme="minorEastAsia" w:cstheme="minorEastAsia"/>
          <w:b/>
          <w:bCs/>
          <w:spacing w:val="0"/>
          <w:position w:val="0"/>
          <w:sz w:val="28"/>
          <w:szCs w:val="28"/>
          <w:highlight w:val="none"/>
        </w:rPr>
        <w:t>8.</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验收</w:t>
      </w:r>
    </w:p>
    <w:p w14:paraId="423A94B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8.1 验收时间：项目具备正常使用及验收条件时，由采购人成立验收工作组负责验收。</w:t>
      </w:r>
    </w:p>
    <w:p w14:paraId="0595639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技术复杂、社会影响较大的货物类项目，可以根据需要设置出厂检验、到货检验、安装调试检验、配套服务检验等多重验收环节；服务类项目，可根据项目特点对服务期内的服务实施情况进行分期考核，结合考核情况和服务效果进行验收。</w:t>
      </w:r>
    </w:p>
    <w:p w14:paraId="0264BC4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8.2 验收工作组：合同履约验收工作应成立验收工作组专门负责。直接参与该项目政府采购活动的主要负责人不得作为验收工作的主要负责人。对于采购人和使用人分离的采购项目，应当邀请实际使用人参与验收；政府向社会公众提供的公共服务项目，验收时应当邀请服务对象参与并出具意见，验收结果应当向社会公告。</w:t>
      </w:r>
    </w:p>
    <w:p w14:paraId="32C44DC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8.2.1 政府采购合同金额在10万元以下（含10万元）的项目，原则上可以不邀请评审专家参加，组织方成立验收小组自行验收。 自行验收时，验收小组应仔细对照采购文件及合同，对标的物的数量、质量、规格、型号等参数逐一核对，并编制验收报告。组织方认为不能独立完成验收任务的，可以邀请评审专家参与验收。</w:t>
      </w:r>
    </w:p>
    <w:p w14:paraId="3EB0AEA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8.2.2 政府采购合同金额50万元以下的（含50万元）的项目，验收工作组应不少于三人；政府采购合同金额50万元以上的项目，验收工作组应由采购人领导牵头，</w:t>
      </w:r>
      <w:r>
        <w:rPr>
          <w:rFonts w:hint="eastAsia" w:asciiTheme="minorEastAsia" w:hAnsiTheme="minorEastAsia" w:eastAsiaTheme="minorEastAsia" w:cstheme="minorEastAsia"/>
          <w:spacing w:val="0"/>
          <w:position w:val="0"/>
          <w:sz w:val="24"/>
          <w:szCs w:val="24"/>
          <w:highlight w:val="none"/>
          <w:lang w:val="en-US" w:eastAsia="zh-CN"/>
        </w:rPr>
        <w:t>验收</w:t>
      </w:r>
      <w:r>
        <w:rPr>
          <w:rFonts w:hint="eastAsia" w:asciiTheme="minorEastAsia" w:hAnsiTheme="minorEastAsia" w:eastAsiaTheme="minorEastAsia" w:cstheme="minorEastAsia"/>
          <w:spacing w:val="0"/>
          <w:position w:val="0"/>
          <w:sz w:val="24"/>
          <w:szCs w:val="24"/>
          <w:highlight w:val="none"/>
        </w:rPr>
        <w:t>成员不少于五人。</w:t>
      </w:r>
    </w:p>
    <w:p w14:paraId="38FC83F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8.3 验收时，验收小组按照采购合同的约定对每一项技术、服务、安全标准的履约情况进行确认。验收时需要进行破坏性试验的，供应商应进行充分的配合并提供备品备件。</w:t>
      </w:r>
    </w:p>
    <w:p w14:paraId="79A621B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8.4 验收报告：验收后，由采购人及专家等出具验收报告（自行验收的，由采购人出具），国家规定强制性检测的采购项目应附国家认可的专业检测机构出具的验收报告。</w:t>
      </w:r>
    </w:p>
    <w:p w14:paraId="229476B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both"/>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8.5 验收中发现成交供应商未按合同约定的时间、地点或方式履约，提供的货物或服务的数量、质量、性能、功能达不到合同约定的，或者提供假冒伪劣产品等违反合同约定的，验收人员应在验收报告中注明违约情形和事项，并应及时通知财政部门。属假冒伪劣产品的，同时向工商管理、质量监督等行政执法部门举报。</w:t>
      </w:r>
    </w:p>
    <w:p w14:paraId="5793EB8C">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16" w:name="bookmark29"/>
      <w:bookmarkEnd w:id="16"/>
      <w:r>
        <w:rPr>
          <w:rFonts w:hint="eastAsia" w:asciiTheme="minorEastAsia" w:hAnsiTheme="minorEastAsia" w:eastAsiaTheme="minorEastAsia" w:cstheme="minorEastAsia"/>
          <w:b/>
          <w:bCs/>
          <w:spacing w:val="0"/>
          <w:position w:val="0"/>
          <w:sz w:val="28"/>
          <w:szCs w:val="28"/>
          <w:highlight w:val="none"/>
        </w:rPr>
        <w:t>9.付款</w:t>
      </w:r>
    </w:p>
    <w:p w14:paraId="1322DF5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见投标人须知前附表</w:t>
      </w:r>
    </w:p>
    <w:p w14:paraId="7C102093">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17" w:name="bookmark31"/>
      <w:bookmarkEnd w:id="17"/>
      <w:r>
        <w:rPr>
          <w:rFonts w:hint="eastAsia" w:asciiTheme="minorEastAsia" w:hAnsiTheme="minorEastAsia" w:eastAsiaTheme="minorEastAsia" w:cstheme="minorEastAsia"/>
          <w:b/>
          <w:bCs/>
          <w:spacing w:val="0"/>
          <w:position w:val="0"/>
          <w:sz w:val="28"/>
          <w:szCs w:val="28"/>
          <w:highlight w:val="none"/>
        </w:rPr>
        <w:t>10.</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其他</w:t>
      </w:r>
    </w:p>
    <w:p w14:paraId="3AECF8C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10.1 中标服务费等：见投标人须知前附表</w:t>
      </w:r>
    </w:p>
    <w:p w14:paraId="0B53A8A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10.2 同义解释。谈判文件中：“投标”同义“提交响应文件”</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“投标人”同义“提交响应文件的供应商”，“投标文件”同义“响应文件”，“开标”同义“响应文件的开启 ”，“中标”同义“成交”，“中标供应商”同义“成交供应商”。</w:t>
      </w:r>
    </w:p>
    <w:p w14:paraId="5986449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10.3 投标人资格条件中包含非法人单位的，谈判文件中法定代表人一词相应包含表示 证照标示的负责人；投标人资格条件中包含自然人的，谈判文件中法定代表人一词相应包含表示自然人，自然人应由其本人签署投标文件、参加投标，不应再授权他人。</w:t>
      </w:r>
    </w:p>
    <w:p w14:paraId="793DB96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8" w:type="default"/>
          <w:footerReference r:id="rId9" w:type="default"/>
          <w:pgSz w:w="11905" w:h="16837"/>
          <w:pgMar w:top="1440" w:right="1080" w:bottom="1440" w:left="1080" w:header="17" w:footer="640"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spacing w:val="0"/>
          <w:position w:val="0"/>
          <w:sz w:val="24"/>
          <w:szCs w:val="24"/>
          <w:highlight w:val="none"/>
        </w:rPr>
        <w:t>10.4  谈判文件第一章至第四章各章中，用序号标示条、款、项、目，例如：1为第1 条，1.1为第1条第1款（简称1.1款），1.1.1为第1条第1款第1项（简称1.1.1项）。“条”包含款、项、目；“款”包含项、目；“项”包含目。</w:t>
      </w:r>
    </w:p>
    <w:p w14:paraId="2D248A4C">
      <w:pPr>
        <w:pStyle w:val="2"/>
        <w:bidi w:val="0"/>
        <w:spacing w:before="0" w:after="0" w:line="240" w:lineRule="auto"/>
        <w:jc w:val="center"/>
        <w:rPr>
          <w:rFonts w:hint="eastAsia"/>
          <w:highlight w:val="none"/>
        </w:rPr>
      </w:pPr>
      <w:bookmarkStart w:id="18" w:name="bookmark33"/>
      <w:bookmarkEnd w:id="18"/>
      <w:bookmarkStart w:id="19" w:name="_Toc2998"/>
      <w:r>
        <w:rPr>
          <w:rFonts w:hint="eastAsia"/>
          <w:highlight w:val="none"/>
        </w:rPr>
        <w:t>第四章 评审办法</w:t>
      </w:r>
      <w:bookmarkEnd w:id="19"/>
    </w:p>
    <w:p w14:paraId="46806EE0">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highlight w:val="none"/>
        </w:rPr>
      </w:pPr>
      <w:bookmarkStart w:id="20" w:name="bookmark35"/>
      <w:bookmarkEnd w:id="20"/>
      <w:r>
        <w:rPr>
          <w:rFonts w:hint="eastAsia" w:asciiTheme="minorEastAsia" w:hAnsiTheme="minorEastAsia" w:eastAsiaTheme="minorEastAsia" w:cstheme="minorEastAsia"/>
          <w:b/>
          <w:bCs/>
          <w:spacing w:val="0"/>
          <w:position w:val="0"/>
          <w:sz w:val="28"/>
          <w:szCs w:val="28"/>
          <w:highlight w:val="none"/>
        </w:rPr>
        <w:t>评审办法前附表</w:t>
      </w:r>
    </w:p>
    <w:tbl>
      <w:tblPr>
        <w:tblStyle w:val="18"/>
        <w:tblW w:w="10399" w:type="dxa"/>
        <w:tblInd w:w="-3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7"/>
        <w:gridCol w:w="655"/>
        <w:gridCol w:w="958"/>
        <w:gridCol w:w="2215"/>
        <w:gridCol w:w="5734"/>
      </w:tblGrid>
      <w:tr w14:paraId="0779B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1492" w:type="dxa"/>
            <w:gridSpan w:val="2"/>
            <w:vAlign w:val="top"/>
          </w:tcPr>
          <w:p w14:paraId="1F450B99">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b/>
                <w:bCs/>
                <w:spacing w:val="0"/>
                <w:position w:val="0"/>
                <w:highlight w:val="none"/>
              </w:rPr>
              <w:t>条款号</w:t>
            </w:r>
          </w:p>
        </w:tc>
        <w:tc>
          <w:tcPr>
            <w:tcW w:w="3173" w:type="dxa"/>
            <w:gridSpan w:val="2"/>
            <w:vAlign w:val="top"/>
          </w:tcPr>
          <w:p w14:paraId="0BADB2DB">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b/>
                <w:bCs/>
                <w:spacing w:val="0"/>
                <w:position w:val="0"/>
                <w:highlight w:val="none"/>
              </w:rPr>
              <w:t>评审因素</w:t>
            </w:r>
          </w:p>
        </w:tc>
        <w:tc>
          <w:tcPr>
            <w:tcW w:w="5734" w:type="dxa"/>
            <w:vAlign w:val="top"/>
          </w:tcPr>
          <w:p w14:paraId="45FE6D82">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b/>
                <w:bCs/>
                <w:spacing w:val="0"/>
                <w:position w:val="0"/>
                <w:highlight w:val="none"/>
              </w:rPr>
              <w:t>评审标准</w:t>
            </w:r>
          </w:p>
        </w:tc>
      </w:tr>
      <w:tr w14:paraId="7F729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trPr>
        <w:tc>
          <w:tcPr>
            <w:tcW w:w="837" w:type="dxa"/>
            <w:vMerge w:val="restart"/>
            <w:tcBorders>
              <w:bottom w:val="nil"/>
            </w:tcBorders>
            <w:vAlign w:val="top"/>
          </w:tcPr>
          <w:p w14:paraId="44842CEB">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sz w:val="21"/>
                <w:highlight w:val="none"/>
              </w:rPr>
            </w:pPr>
          </w:p>
          <w:p w14:paraId="32965B60">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2.1 .1</w:t>
            </w:r>
          </w:p>
        </w:tc>
        <w:tc>
          <w:tcPr>
            <w:tcW w:w="655" w:type="dxa"/>
            <w:vMerge w:val="restart"/>
            <w:tcBorders>
              <w:bottom w:val="nil"/>
            </w:tcBorders>
            <w:textDirection w:val="tbRlV"/>
            <w:vAlign w:val="top"/>
          </w:tcPr>
          <w:p w14:paraId="6D4E5B90">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资  格  性  审  查</w:t>
            </w:r>
          </w:p>
        </w:tc>
        <w:tc>
          <w:tcPr>
            <w:tcW w:w="3173" w:type="dxa"/>
            <w:gridSpan w:val="2"/>
            <w:vAlign w:val="top"/>
          </w:tcPr>
          <w:p w14:paraId="203922F6">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第一章“谈判公告”第2条 各项资格要求</w:t>
            </w:r>
          </w:p>
        </w:tc>
        <w:tc>
          <w:tcPr>
            <w:tcW w:w="5734" w:type="dxa"/>
            <w:vAlign w:val="top"/>
          </w:tcPr>
          <w:p w14:paraId="5B8A6854">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符合第一章“谈判公告”第2条各项资格要求所需证件材料及证明材料</w:t>
            </w:r>
          </w:p>
        </w:tc>
      </w:tr>
      <w:tr w14:paraId="13DC3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 w:hRule="atLeast"/>
        </w:trPr>
        <w:tc>
          <w:tcPr>
            <w:tcW w:w="837" w:type="dxa"/>
            <w:vMerge w:val="continue"/>
            <w:tcBorders>
              <w:top w:val="nil"/>
              <w:bottom w:val="nil"/>
            </w:tcBorders>
            <w:vAlign w:val="top"/>
          </w:tcPr>
          <w:p w14:paraId="1CCAFB9F">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44350414">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3173" w:type="dxa"/>
            <w:gridSpan w:val="2"/>
            <w:vAlign w:val="top"/>
          </w:tcPr>
          <w:p w14:paraId="37CFE3EA">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投标承诺函</w:t>
            </w:r>
          </w:p>
          <w:p w14:paraId="26724F99">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(替代投标保证金)</w:t>
            </w:r>
          </w:p>
        </w:tc>
        <w:tc>
          <w:tcPr>
            <w:tcW w:w="5734" w:type="dxa"/>
            <w:vAlign w:val="top"/>
          </w:tcPr>
          <w:p w14:paraId="667E6BBD">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符合第三章“投标人须知”3.5 款规定</w:t>
            </w:r>
          </w:p>
        </w:tc>
      </w:tr>
      <w:tr w14:paraId="104CB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837" w:type="dxa"/>
            <w:vMerge w:val="continue"/>
            <w:tcBorders>
              <w:top w:val="nil"/>
            </w:tcBorders>
            <w:vAlign w:val="top"/>
          </w:tcPr>
          <w:p w14:paraId="49A80094">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tcBorders>
            <w:textDirection w:val="tbRlV"/>
            <w:vAlign w:val="top"/>
          </w:tcPr>
          <w:p w14:paraId="07741DD4">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3173" w:type="dxa"/>
            <w:gridSpan w:val="2"/>
            <w:vAlign w:val="top"/>
          </w:tcPr>
          <w:p w14:paraId="5E4B1A19">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联合体（如有）</w:t>
            </w:r>
          </w:p>
        </w:tc>
        <w:tc>
          <w:tcPr>
            <w:tcW w:w="5734" w:type="dxa"/>
            <w:vAlign w:val="top"/>
          </w:tcPr>
          <w:p w14:paraId="2842623C">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符合第三章“投标人须知”1.4 款规定</w:t>
            </w:r>
          </w:p>
        </w:tc>
      </w:tr>
      <w:tr w14:paraId="1CD91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37" w:type="dxa"/>
            <w:vMerge w:val="restart"/>
            <w:tcBorders>
              <w:bottom w:val="nil"/>
            </w:tcBorders>
            <w:vAlign w:val="top"/>
          </w:tcPr>
          <w:p w14:paraId="3F01B96B">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03A4E65C">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7D240F9A">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398782FD">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1B751A14">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7D6B999D">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19AAB783">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4F984666">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6027E302">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63400C7C">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6088C8EF">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2.1. 2</w:t>
            </w:r>
          </w:p>
        </w:tc>
        <w:tc>
          <w:tcPr>
            <w:tcW w:w="655" w:type="dxa"/>
            <w:vMerge w:val="restart"/>
            <w:tcBorders>
              <w:bottom w:val="nil"/>
            </w:tcBorders>
            <w:textDirection w:val="tbRlV"/>
            <w:vAlign w:val="top"/>
          </w:tcPr>
          <w:p w14:paraId="3CEDE7DC">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   合   性   审   查</w:t>
            </w:r>
          </w:p>
        </w:tc>
        <w:tc>
          <w:tcPr>
            <w:tcW w:w="958" w:type="dxa"/>
            <w:vMerge w:val="restart"/>
            <w:tcBorders>
              <w:bottom w:val="nil"/>
            </w:tcBorders>
            <w:vAlign w:val="center"/>
          </w:tcPr>
          <w:p w14:paraId="4C7DA529">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有效性</w:t>
            </w:r>
          </w:p>
        </w:tc>
        <w:tc>
          <w:tcPr>
            <w:tcW w:w="2215" w:type="dxa"/>
            <w:vAlign w:val="top"/>
          </w:tcPr>
          <w:p w14:paraId="24A9C1B8">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投标人名称</w:t>
            </w:r>
          </w:p>
        </w:tc>
        <w:tc>
          <w:tcPr>
            <w:tcW w:w="5734" w:type="dxa"/>
            <w:vAlign w:val="top"/>
          </w:tcPr>
          <w:p w14:paraId="49E91079">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与营业执照证等证照及签章一致</w:t>
            </w:r>
          </w:p>
        </w:tc>
      </w:tr>
      <w:tr w14:paraId="7D533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37" w:type="dxa"/>
            <w:vMerge w:val="continue"/>
            <w:tcBorders>
              <w:top w:val="nil"/>
              <w:bottom w:val="nil"/>
            </w:tcBorders>
            <w:vAlign w:val="top"/>
          </w:tcPr>
          <w:p w14:paraId="350488A7">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4DDED3F8">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Merge w:val="continue"/>
            <w:tcBorders>
              <w:top w:val="nil"/>
            </w:tcBorders>
            <w:vAlign w:val="center"/>
          </w:tcPr>
          <w:p w14:paraId="2D2E0E40">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2215" w:type="dxa"/>
            <w:vAlign w:val="top"/>
          </w:tcPr>
          <w:p w14:paraId="202750BA">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签字或盖章</w:t>
            </w:r>
          </w:p>
        </w:tc>
        <w:tc>
          <w:tcPr>
            <w:tcW w:w="5734" w:type="dxa"/>
            <w:vAlign w:val="top"/>
          </w:tcPr>
          <w:p w14:paraId="4B843B6F">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符合第三章“投标人须知”3.7.4项规定</w:t>
            </w:r>
          </w:p>
        </w:tc>
      </w:tr>
      <w:tr w14:paraId="7CAEA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37" w:type="dxa"/>
            <w:vMerge w:val="continue"/>
            <w:tcBorders>
              <w:top w:val="nil"/>
              <w:bottom w:val="nil"/>
            </w:tcBorders>
            <w:vAlign w:val="top"/>
          </w:tcPr>
          <w:p w14:paraId="1BA9D72F">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135F7B95">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Align w:val="center"/>
          </w:tcPr>
          <w:p w14:paraId="7DA3D2B0">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完整性</w:t>
            </w:r>
          </w:p>
        </w:tc>
        <w:tc>
          <w:tcPr>
            <w:tcW w:w="2215" w:type="dxa"/>
            <w:vAlign w:val="top"/>
          </w:tcPr>
          <w:p w14:paraId="0348BEE9">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投标文件组成</w:t>
            </w:r>
          </w:p>
        </w:tc>
        <w:tc>
          <w:tcPr>
            <w:tcW w:w="5734" w:type="dxa"/>
            <w:vAlign w:val="top"/>
          </w:tcPr>
          <w:p w14:paraId="106506CC">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符合第三章“投标人须知”3.2款规定</w:t>
            </w:r>
          </w:p>
        </w:tc>
      </w:tr>
      <w:tr w14:paraId="2A028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837" w:type="dxa"/>
            <w:vMerge w:val="continue"/>
            <w:tcBorders>
              <w:top w:val="nil"/>
              <w:bottom w:val="nil"/>
            </w:tcBorders>
            <w:vAlign w:val="top"/>
          </w:tcPr>
          <w:p w14:paraId="4A3F0474">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47169F1C">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Merge w:val="restart"/>
            <w:tcBorders>
              <w:bottom w:val="nil"/>
            </w:tcBorders>
            <w:vAlign w:val="top"/>
          </w:tcPr>
          <w:p w14:paraId="7D012C55">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4A52ED48">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5739F5E5">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5B34C8CB">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1827B84C">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17411615">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2F146D86">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p w14:paraId="1E29A365">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响应</w:t>
            </w:r>
          </w:p>
          <w:p w14:paraId="75D9FE92">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程度</w:t>
            </w:r>
          </w:p>
        </w:tc>
        <w:tc>
          <w:tcPr>
            <w:tcW w:w="2215" w:type="dxa"/>
            <w:vAlign w:val="top"/>
          </w:tcPr>
          <w:p w14:paraId="4A6EEFDF">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投标报价</w:t>
            </w:r>
          </w:p>
        </w:tc>
        <w:tc>
          <w:tcPr>
            <w:tcW w:w="5734" w:type="dxa"/>
            <w:vAlign w:val="top"/>
          </w:tcPr>
          <w:p w14:paraId="0BACA90B">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符合第二章“采购项目及技术服务要求”1.3款规定</w:t>
            </w:r>
          </w:p>
        </w:tc>
      </w:tr>
      <w:tr w14:paraId="29DB5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37" w:type="dxa"/>
            <w:vMerge w:val="continue"/>
            <w:tcBorders>
              <w:top w:val="nil"/>
              <w:bottom w:val="nil"/>
            </w:tcBorders>
            <w:vAlign w:val="top"/>
          </w:tcPr>
          <w:p w14:paraId="4DD263E8">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7BDBD5BF">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Merge w:val="continue"/>
            <w:tcBorders>
              <w:top w:val="nil"/>
              <w:bottom w:val="nil"/>
            </w:tcBorders>
            <w:vAlign w:val="top"/>
          </w:tcPr>
          <w:p w14:paraId="6686FE74">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2215" w:type="dxa"/>
            <w:vAlign w:val="top"/>
          </w:tcPr>
          <w:p w14:paraId="2D26960D">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投标内容</w:t>
            </w:r>
          </w:p>
        </w:tc>
        <w:tc>
          <w:tcPr>
            <w:tcW w:w="5734" w:type="dxa"/>
            <w:vAlign w:val="top"/>
          </w:tcPr>
          <w:p w14:paraId="0B1F1455">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符合第二章“采购项目及技术服务要求”2条规定</w:t>
            </w:r>
          </w:p>
        </w:tc>
      </w:tr>
      <w:tr w14:paraId="6B86C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37" w:type="dxa"/>
            <w:vMerge w:val="continue"/>
            <w:tcBorders>
              <w:top w:val="nil"/>
              <w:bottom w:val="nil"/>
            </w:tcBorders>
            <w:vAlign w:val="top"/>
          </w:tcPr>
          <w:p w14:paraId="0136B474">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3EE12618">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Merge w:val="continue"/>
            <w:tcBorders>
              <w:top w:val="nil"/>
              <w:bottom w:val="nil"/>
            </w:tcBorders>
            <w:vAlign w:val="top"/>
          </w:tcPr>
          <w:p w14:paraId="7315C431">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2215" w:type="dxa"/>
            <w:vAlign w:val="top"/>
          </w:tcPr>
          <w:p w14:paraId="17EE2A45">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lang w:eastAsia="zh-CN"/>
              </w:rPr>
            </w:pPr>
            <w:r>
              <w:rPr>
                <w:rFonts w:hint="eastAsia" w:asciiTheme="minorEastAsia" w:hAnsiTheme="minorEastAsia" w:eastAsiaTheme="minorEastAsia" w:cstheme="minorEastAsia"/>
                <w:spacing w:val="0"/>
                <w:position w:val="0"/>
                <w:highlight w:val="none"/>
                <w:lang w:eastAsia="zh-CN"/>
              </w:rPr>
              <w:t>合同履约期限</w:t>
            </w:r>
          </w:p>
        </w:tc>
        <w:tc>
          <w:tcPr>
            <w:tcW w:w="5734" w:type="dxa"/>
            <w:vAlign w:val="top"/>
          </w:tcPr>
          <w:p w14:paraId="0F8B9B36">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符合第二章“采购项目及技术服务要求”1.2款规定</w:t>
            </w:r>
          </w:p>
        </w:tc>
      </w:tr>
      <w:tr w14:paraId="65EC4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37" w:type="dxa"/>
            <w:vMerge w:val="continue"/>
            <w:tcBorders>
              <w:top w:val="nil"/>
              <w:bottom w:val="nil"/>
            </w:tcBorders>
            <w:vAlign w:val="top"/>
          </w:tcPr>
          <w:p w14:paraId="2B7DA1CC">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4F97CDDF">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Merge w:val="continue"/>
            <w:tcBorders>
              <w:top w:val="nil"/>
              <w:bottom w:val="nil"/>
            </w:tcBorders>
            <w:vAlign w:val="top"/>
          </w:tcPr>
          <w:p w14:paraId="59EBBAAD">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2215" w:type="dxa"/>
            <w:vAlign w:val="top"/>
          </w:tcPr>
          <w:p w14:paraId="34E7612B">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技术服务要求</w:t>
            </w:r>
          </w:p>
        </w:tc>
        <w:tc>
          <w:tcPr>
            <w:tcW w:w="5734" w:type="dxa"/>
            <w:vAlign w:val="top"/>
          </w:tcPr>
          <w:p w14:paraId="5891FD22">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符合第二章“采购项目及技术服务要求”第2条规定</w:t>
            </w:r>
          </w:p>
        </w:tc>
      </w:tr>
      <w:tr w14:paraId="2EC50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37" w:type="dxa"/>
            <w:vMerge w:val="continue"/>
            <w:tcBorders>
              <w:top w:val="nil"/>
              <w:bottom w:val="nil"/>
            </w:tcBorders>
            <w:vAlign w:val="top"/>
          </w:tcPr>
          <w:p w14:paraId="605DEDF1">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495029D4">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Merge w:val="continue"/>
            <w:tcBorders>
              <w:top w:val="nil"/>
              <w:bottom w:val="nil"/>
            </w:tcBorders>
            <w:vAlign w:val="top"/>
          </w:tcPr>
          <w:p w14:paraId="3CA4844D">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2215" w:type="dxa"/>
            <w:vAlign w:val="top"/>
          </w:tcPr>
          <w:p w14:paraId="499F2FE5">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投标有效期</w:t>
            </w:r>
          </w:p>
        </w:tc>
        <w:tc>
          <w:tcPr>
            <w:tcW w:w="5734" w:type="dxa"/>
            <w:vAlign w:val="top"/>
          </w:tcPr>
          <w:p w14:paraId="257104CD">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w:t>
            </w:r>
            <w:r>
              <w:rPr>
                <w:rFonts w:hint="eastAsia" w:asciiTheme="minorEastAsia" w:hAnsiTheme="minorEastAsia" w:eastAsiaTheme="minorEastAsia" w:cstheme="minorEastAsia"/>
                <w:spacing w:val="0"/>
                <w:position w:val="0"/>
                <w:highlight w:val="none"/>
                <w:lang w:val="en-US" w:eastAsia="zh-CN"/>
              </w:rPr>
              <w:t>三</w:t>
            </w:r>
            <w:r>
              <w:rPr>
                <w:rFonts w:hint="eastAsia" w:asciiTheme="minorEastAsia" w:hAnsiTheme="minorEastAsia" w:eastAsiaTheme="minorEastAsia" w:cstheme="minorEastAsia"/>
                <w:spacing w:val="0"/>
                <w:position w:val="0"/>
                <w:highlight w:val="none"/>
              </w:rPr>
              <w:t>章“投标人须知”规定</w:t>
            </w:r>
          </w:p>
        </w:tc>
      </w:tr>
      <w:tr w14:paraId="2CFB4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37" w:type="dxa"/>
            <w:vMerge w:val="continue"/>
            <w:tcBorders>
              <w:top w:val="nil"/>
              <w:bottom w:val="nil"/>
            </w:tcBorders>
            <w:vAlign w:val="top"/>
          </w:tcPr>
          <w:p w14:paraId="5578E2FF">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642E1C85">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Merge w:val="continue"/>
            <w:tcBorders>
              <w:top w:val="nil"/>
              <w:bottom w:val="nil"/>
            </w:tcBorders>
            <w:vAlign w:val="top"/>
          </w:tcPr>
          <w:p w14:paraId="5A98B136">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2215" w:type="dxa"/>
            <w:vAlign w:val="top"/>
          </w:tcPr>
          <w:p w14:paraId="47FCDF45">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投标文件格式</w:t>
            </w:r>
          </w:p>
        </w:tc>
        <w:tc>
          <w:tcPr>
            <w:tcW w:w="5734" w:type="dxa"/>
            <w:vAlign w:val="top"/>
          </w:tcPr>
          <w:p w14:paraId="60BCC35A">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符合第六章“投标文件格式”规定</w:t>
            </w:r>
          </w:p>
        </w:tc>
      </w:tr>
      <w:tr w14:paraId="63FA2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37" w:type="dxa"/>
            <w:vMerge w:val="continue"/>
            <w:tcBorders>
              <w:top w:val="nil"/>
              <w:bottom w:val="nil"/>
            </w:tcBorders>
            <w:vAlign w:val="top"/>
          </w:tcPr>
          <w:p w14:paraId="62488CBA">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bottom w:val="nil"/>
            </w:tcBorders>
            <w:textDirection w:val="tbRlV"/>
            <w:vAlign w:val="top"/>
          </w:tcPr>
          <w:p w14:paraId="4E779178">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Merge w:val="continue"/>
            <w:tcBorders>
              <w:top w:val="nil"/>
              <w:bottom w:val="nil"/>
            </w:tcBorders>
            <w:vAlign w:val="top"/>
          </w:tcPr>
          <w:p w14:paraId="3A0AE2D5">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2215" w:type="dxa"/>
            <w:vAlign w:val="top"/>
          </w:tcPr>
          <w:p w14:paraId="27B5A0DB">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付款</w:t>
            </w:r>
          </w:p>
        </w:tc>
        <w:tc>
          <w:tcPr>
            <w:tcW w:w="5734" w:type="dxa"/>
            <w:vAlign w:val="top"/>
          </w:tcPr>
          <w:p w14:paraId="5D417DF9">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符合第三章“投标人须知”规定</w:t>
            </w:r>
          </w:p>
        </w:tc>
      </w:tr>
      <w:tr w14:paraId="47118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837" w:type="dxa"/>
            <w:vMerge w:val="continue"/>
            <w:tcBorders>
              <w:top w:val="nil"/>
            </w:tcBorders>
            <w:vAlign w:val="top"/>
          </w:tcPr>
          <w:p w14:paraId="0013D7F7">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655" w:type="dxa"/>
            <w:vMerge w:val="continue"/>
            <w:tcBorders>
              <w:top w:val="nil"/>
            </w:tcBorders>
            <w:textDirection w:val="tbRlV"/>
            <w:vAlign w:val="top"/>
          </w:tcPr>
          <w:p w14:paraId="2D05D3C3">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958" w:type="dxa"/>
            <w:vMerge w:val="continue"/>
            <w:tcBorders>
              <w:top w:val="nil"/>
            </w:tcBorders>
            <w:vAlign w:val="top"/>
          </w:tcPr>
          <w:p w14:paraId="52A13B8F">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sz w:val="21"/>
                <w:highlight w:val="none"/>
              </w:rPr>
            </w:pPr>
          </w:p>
        </w:tc>
        <w:tc>
          <w:tcPr>
            <w:tcW w:w="2215" w:type="dxa"/>
            <w:vAlign w:val="top"/>
          </w:tcPr>
          <w:p w14:paraId="6084BDD0">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偏差描述</w:t>
            </w:r>
          </w:p>
        </w:tc>
        <w:tc>
          <w:tcPr>
            <w:tcW w:w="5734" w:type="dxa"/>
            <w:vAlign w:val="top"/>
          </w:tcPr>
          <w:p w14:paraId="57D32096">
            <w:pPr>
              <w:pStyle w:val="19"/>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spacing w:val="0"/>
                <w:position w:val="0"/>
                <w:highlight w:val="none"/>
              </w:rPr>
              <w:t>符合第三章“投标人须知”规定</w:t>
            </w:r>
          </w:p>
        </w:tc>
      </w:tr>
    </w:tbl>
    <w:p w14:paraId="12A1EFE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2961C9E1">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sectPr>
          <w:headerReference r:id="rId10" w:type="default"/>
          <w:footerReference r:id="rId11" w:type="default"/>
          <w:pgSz w:w="11905" w:h="16837"/>
          <w:pgMar w:top="1440" w:right="1080" w:bottom="1440" w:left="1080" w:header="17" w:footer="640" w:gutter="0"/>
          <w:pgBorders>
            <w:top w:val="none" w:sz="0" w:space="0"/>
            <w:left w:val="none" w:sz="0" w:space="0"/>
            <w:bottom w:val="none" w:sz="0" w:space="0"/>
            <w:right w:val="none" w:sz="0" w:space="0"/>
          </w:pgBorders>
          <w:pgNumType w:fmt="decimal"/>
          <w:cols w:space="720" w:num="1"/>
          <w:rtlGutter w:val="0"/>
        </w:sectPr>
      </w:pPr>
    </w:p>
    <w:p w14:paraId="691B10D2">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sz w:val="28"/>
          <w:szCs w:val="28"/>
          <w:highlight w:val="none"/>
        </w:rPr>
      </w:pPr>
      <w:bookmarkStart w:id="21" w:name="bookmark37"/>
      <w:bookmarkEnd w:id="21"/>
      <w:r>
        <w:rPr>
          <w:rFonts w:hint="eastAsia" w:asciiTheme="minorEastAsia" w:hAnsiTheme="minorEastAsia" w:eastAsiaTheme="minorEastAsia" w:cstheme="minorEastAsia"/>
          <w:b/>
          <w:bCs/>
          <w:spacing w:val="0"/>
          <w:position w:val="0"/>
          <w:sz w:val="28"/>
          <w:szCs w:val="28"/>
          <w:highlight w:val="none"/>
        </w:rPr>
        <w:t>1.</w:t>
      </w:r>
      <w:r>
        <w:rPr>
          <w:rFonts w:hint="eastAsia" w:asciiTheme="minorEastAsia" w:hAnsiTheme="minorEastAsia" w:eastAsiaTheme="minorEastAsia" w:cstheme="minorEastAsia"/>
          <w:spacing w:val="0"/>
          <w:position w:val="0"/>
          <w:sz w:val="28"/>
          <w:szCs w:val="28"/>
          <w:highlight w:val="none"/>
        </w:rPr>
        <w:t xml:space="preserve"> </w:t>
      </w:r>
      <w:r>
        <w:rPr>
          <w:rFonts w:hint="eastAsia" w:asciiTheme="minorEastAsia" w:hAnsiTheme="minorEastAsia" w:eastAsiaTheme="minorEastAsia" w:cstheme="minorEastAsia"/>
          <w:b/>
          <w:bCs/>
          <w:spacing w:val="0"/>
          <w:position w:val="0"/>
          <w:sz w:val="28"/>
          <w:szCs w:val="28"/>
          <w:highlight w:val="none"/>
        </w:rPr>
        <w:t>评审方法（评定成交的标准）</w:t>
      </w:r>
    </w:p>
    <w:p w14:paraId="0D3CC7E1">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本次政府采购项目按照最低评标价法确定成交供应商，即在符合采购需求、提供的产品质量和服务均能满足采购文件规定的实质性要求且最后报价最低的原则确定成交供应商。</w:t>
      </w:r>
    </w:p>
    <w:p w14:paraId="357D920C">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bookmarkStart w:id="22" w:name="bookmark39"/>
      <w:bookmarkEnd w:id="22"/>
      <w:r>
        <w:rPr>
          <w:rFonts w:hint="eastAsia" w:asciiTheme="minorEastAsia" w:hAnsiTheme="minorEastAsia" w:eastAsiaTheme="minorEastAsia" w:cstheme="minorEastAsia"/>
          <w:b/>
          <w:bCs/>
          <w:spacing w:val="0"/>
          <w:position w:val="0"/>
          <w:sz w:val="28"/>
          <w:szCs w:val="28"/>
          <w:highlight w:val="none"/>
        </w:rPr>
        <w:t>2. 评审标准</w:t>
      </w:r>
    </w:p>
    <w:p w14:paraId="0E77CA4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2.1 初步评审标准</w:t>
      </w:r>
    </w:p>
    <w:p w14:paraId="4AADA62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2.1.1 资格性审查标准：见评审办法前附表。</w:t>
      </w:r>
    </w:p>
    <w:p w14:paraId="5FC169E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2.1.2 符合性审查标准：见评审办法前附表。</w:t>
      </w:r>
    </w:p>
    <w:p w14:paraId="3A01C1FE">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b/>
          <w:bCs/>
          <w:spacing w:val="0"/>
          <w:position w:val="0"/>
          <w:sz w:val="28"/>
          <w:szCs w:val="28"/>
          <w:highlight w:val="none"/>
        </w:rPr>
      </w:pPr>
      <w:bookmarkStart w:id="23" w:name="bookmark41"/>
      <w:bookmarkEnd w:id="23"/>
      <w:r>
        <w:rPr>
          <w:rFonts w:hint="eastAsia" w:asciiTheme="minorEastAsia" w:hAnsiTheme="minorEastAsia" w:eastAsiaTheme="minorEastAsia" w:cstheme="minorEastAsia"/>
          <w:b/>
          <w:bCs/>
          <w:spacing w:val="0"/>
          <w:position w:val="0"/>
          <w:sz w:val="28"/>
          <w:szCs w:val="28"/>
          <w:highlight w:val="none"/>
        </w:rPr>
        <w:t>3. 评审程序</w:t>
      </w:r>
    </w:p>
    <w:p w14:paraId="7D72237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谈判小组进行评审</w:t>
      </w:r>
    </w:p>
    <w:p w14:paraId="5B256A7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3.1 确认谈判文件</w:t>
      </w:r>
    </w:p>
    <w:p w14:paraId="525C4A0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3.1.1 谈判小组确认谈判文件，谈判文件内容违反国家有关强制性规定的，谈判小组应当停止评审并向采购人或者采购代理机构书面说明情况。</w:t>
      </w:r>
    </w:p>
    <w:p w14:paraId="1D973A3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3.1.2  谈判小组要求解释谈判文件的，书面提出需解释的相关谈判文件的具体内容后、 由采购代理机构或者采购人进行书面解释。</w:t>
      </w:r>
    </w:p>
    <w:p w14:paraId="18971A8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3.2初步评审</w:t>
      </w:r>
    </w:p>
    <w:p w14:paraId="5ACCF15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3.2.1谈判小组依据本章第1.1、1.2 款规定的标准对投标文件进行资格性、符合性评审。有一项不符合评审标准的，作无效投标处理。</w:t>
      </w:r>
    </w:p>
    <w:p w14:paraId="0AD19C6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3.2.2 投标人有以下情形之一的，其投标作无效投标处理：</w:t>
      </w:r>
    </w:p>
    <w:p w14:paraId="45972CB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（1）投标人不符合国家或者谈判文件规定的资格条件；</w:t>
      </w:r>
    </w:p>
    <w:p w14:paraId="0AF08F1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（2）投标人没有按照谈判文件要求提供投标承诺函；</w:t>
      </w:r>
    </w:p>
    <w:p w14:paraId="743823E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（3）投标联合体不符合谈判文件规定；</w:t>
      </w:r>
    </w:p>
    <w:p w14:paraId="68A3A5E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（4）投标文件的签字盖章不符合谈判文件规定；</w:t>
      </w:r>
    </w:p>
    <w:p w14:paraId="391450F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（5）投标报价高于谈判公告公布的采购预算；</w:t>
      </w:r>
    </w:p>
    <w:p w14:paraId="3E44989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（6）同一投标人提交两个以上不同的投标文件（响应文件）或者投标报价，投标文件（响应文件）的每种报价有两个报价或其他选择性报价的。</w:t>
      </w:r>
    </w:p>
    <w:p w14:paraId="2CDD3A4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（7）投标文件（响应文件）没有对谈判文件的实质性要求和条件作出实质性响应，或不符合谈判文件的实质性要求和条件；</w:t>
      </w:r>
    </w:p>
    <w:p w14:paraId="0710F21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（8）投标文件（响应文件）附有采购项目不能接受的条件或不符合国家强制性规定的；</w:t>
      </w:r>
    </w:p>
    <w:p w14:paraId="7795C8C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（9）单位负责人为同一人或者存在控股、管理关系的不同单位，参加同一项目（标段）投标的；</w:t>
      </w:r>
    </w:p>
    <w:p w14:paraId="3D9E70D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（10）为采购项目提供整体设计、规范编制或者项目管理、监理、检测等服务的供应商，不得再参加该采购项目的其他采购活动。</w:t>
      </w:r>
    </w:p>
    <w:p w14:paraId="1A36E72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（11）提供虚假材料谋取中标（成交）的；</w:t>
      </w:r>
    </w:p>
    <w:p w14:paraId="27934FD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（12）投标人有串通投标、行贿等违法行为。其中，有下列情形之一的，视为投标人相互串通投标：</w:t>
      </w:r>
    </w:p>
    <w:p w14:paraId="73F3961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◆不同投标人的投标文件由同一单位或者个人编制；</w:t>
      </w:r>
    </w:p>
    <w:p w14:paraId="224500C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◆不同投标人委托同一单位或者个人办理投标事宜；</w:t>
      </w:r>
    </w:p>
    <w:p w14:paraId="5833795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◆不同投标人的投标文件载明的项目管理成员为同一人；</w:t>
      </w:r>
    </w:p>
    <w:p w14:paraId="3A13A92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◆不同投标人的投标文件异常一致或者投标报价呈规律性差异；</w:t>
      </w:r>
    </w:p>
    <w:p w14:paraId="36157D9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◆不同投标人的投标文件相互混装。</w:t>
      </w:r>
    </w:p>
    <w:p w14:paraId="2E88D8B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3.2.3未实质性响应谈判文件的响应文件按无效处理，谈判小组应当告知有关供应商。</w:t>
      </w:r>
    </w:p>
    <w:p w14:paraId="407D41A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 xml:space="preserve">3.2.4 </w:t>
      </w:r>
      <w:r>
        <w:rPr>
          <w:rFonts w:hint="eastAsia" w:asciiTheme="minorEastAsia" w:hAnsiTheme="minorEastAsia" w:eastAsiaTheme="minorEastAsia" w:cstheme="minorEastAsia"/>
          <w:spacing w:val="0"/>
          <w:position w:val="0"/>
          <w:sz w:val="24"/>
          <w:szCs w:val="24"/>
          <w:highlight w:val="none"/>
          <w:lang w:eastAsia="zh-CN"/>
        </w:rPr>
        <w:t>报价一览表</w:t>
      </w:r>
      <w:r>
        <w:rPr>
          <w:rFonts w:hint="eastAsia" w:asciiTheme="minorEastAsia" w:hAnsiTheme="minorEastAsia" w:eastAsiaTheme="minorEastAsia" w:cstheme="minorEastAsia"/>
          <w:spacing w:val="0"/>
          <w:position w:val="0"/>
          <w:sz w:val="24"/>
          <w:szCs w:val="24"/>
          <w:highlight w:val="none"/>
        </w:rPr>
        <w:t>与分项报价或报价明细表有差别时，以</w:t>
      </w:r>
      <w:r>
        <w:rPr>
          <w:rFonts w:hint="eastAsia" w:asciiTheme="minorEastAsia" w:hAnsiTheme="minorEastAsia" w:eastAsiaTheme="minorEastAsia" w:cstheme="minorEastAsia"/>
          <w:spacing w:val="0"/>
          <w:position w:val="0"/>
          <w:sz w:val="24"/>
          <w:szCs w:val="24"/>
          <w:highlight w:val="none"/>
          <w:lang w:eastAsia="zh-CN"/>
        </w:rPr>
        <w:t>报价一览表</w:t>
      </w:r>
      <w:r>
        <w:rPr>
          <w:rFonts w:hint="eastAsia" w:asciiTheme="minorEastAsia" w:hAnsiTheme="minorEastAsia" w:eastAsiaTheme="minorEastAsia" w:cstheme="minorEastAsia"/>
          <w:spacing w:val="0"/>
          <w:position w:val="0"/>
          <w:sz w:val="24"/>
          <w:szCs w:val="24"/>
          <w:highlight w:val="none"/>
        </w:rPr>
        <w:t>为准；大写文字表示的数据与小写数字表示的有差别时，以大写文字表示的数据为准；单价与</w:t>
      </w:r>
      <w:r>
        <w:rPr>
          <w:rFonts w:hint="eastAsia" w:asciiTheme="minorEastAsia" w:hAnsiTheme="minorEastAsia" w:eastAsiaTheme="minorEastAsia" w:cstheme="minorEastAsia"/>
          <w:spacing w:val="0"/>
          <w:position w:val="0"/>
          <w:sz w:val="24"/>
          <w:szCs w:val="24"/>
          <w:highlight w:val="none"/>
          <w:lang w:eastAsia="zh-CN"/>
        </w:rPr>
        <w:t>报价一览表</w:t>
      </w:r>
      <w:r>
        <w:rPr>
          <w:rFonts w:hint="eastAsia" w:asciiTheme="minorEastAsia" w:hAnsiTheme="minorEastAsia" w:eastAsiaTheme="minorEastAsia" w:cstheme="minorEastAsia"/>
          <w:spacing w:val="0"/>
          <w:position w:val="0"/>
          <w:sz w:val="24"/>
          <w:szCs w:val="24"/>
          <w:highlight w:val="none"/>
        </w:rPr>
        <w:t>总价不符时，以</w:t>
      </w:r>
      <w:r>
        <w:rPr>
          <w:rFonts w:hint="eastAsia" w:asciiTheme="minorEastAsia" w:hAnsiTheme="minorEastAsia" w:eastAsiaTheme="minorEastAsia" w:cstheme="minorEastAsia"/>
          <w:spacing w:val="0"/>
          <w:position w:val="0"/>
          <w:sz w:val="24"/>
          <w:szCs w:val="24"/>
          <w:highlight w:val="none"/>
          <w:lang w:eastAsia="zh-CN"/>
        </w:rPr>
        <w:t>报价一览表</w:t>
      </w:r>
      <w:r>
        <w:rPr>
          <w:rFonts w:hint="eastAsia" w:asciiTheme="minorEastAsia" w:hAnsiTheme="minorEastAsia" w:eastAsiaTheme="minorEastAsia" w:cstheme="minorEastAsia"/>
          <w:spacing w:val="0"/>
          <w:position w:val="0"/>
          <w:sz w:val="24"/>
          <w:szCs w:val="24"/>
          <w:highlight w:val="none"/>
        </w:rPr>
        <w:t>总价为准。如投标人拒绝接受上述意见，其投标将被拒绝。</w:t>
      </w:r>
    </w:p>
    <w:p w14:paraId="5711118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3.2.5 谈判小组负责审查确定每一投标项目是否对谈判文件的实质性要求作出了实质性的响应，而没有重大偏离和保留。实质性响应的投标是指投标符合谈判文件的所有条款、条件和规定且没有重大偏离和保留（重大偏离和保留是指影响到谈判文件和投标人的义务的规定，而纠正这些偏离将影响到其他提交实质性响应投标人的公平竞争地位）。</w:t>
      </w:r>
    </w:p>
    <w:p w14:paraId="20DB2AD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3.2.6 谈判小组判断投标文件（响应文件）的响应性仅基于投标文件（响应文件）本身而不靠外部证据。</w:t>
      </w:r>
    </w:p>
    <w:p w14:paraId="565F12C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3.2.7 谈判小组拒绝被确定为非实质性响应的投标人，投标人不得通过修正或撤销不符之处而使其投标成为实质性响应的投标。</w:t>
      </w:r>
    </w:p>
    <w:p w14:paraId="6F457D0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3.2.8 允许投标人修改投标中不构成重大偏离的、微小的、非正规、不一致或不规则的地方。</w:t>
      </w:r>
    </w:p>
    <w:p w14:paraId="613C87D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3.3 详细评审</w:t>
      </w:r>
    </w:p>
    <w:p w14:paraId="07E73D7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3.3.1 按本章第4条规定执行促进中小企业发展扶持政策，用扣除后的价格参与评审。</w:t>
      </w:r>
    </w:p>
    <w:p w14:paraId="6862D543">
      <w:pPr>
        <w:autoSpaceDE w:val="0"/>
        <w:autoSpaceDN w:val="0"/>
        <w:adjustRightInd w:val="0"/>
        <w:spacing w:before="40" w:line="360" w:lineRule="auto"/>
        <w:ind w:left="100" w:right="140" w:firstLine="420"/>
        <w:rPr>
          <w:rFonts w:hint="eastAsia" w:ascii="宋体" w:hAnsi="宋体" w:eastAsia="宋体" w:cs="宋体"/>
          <w:color w:val="auto"/>
          <w:kern w:val="0"/>
          <w:sz w:val="24"/>
          <w:szCs w:val="24"/>
          <w:highlight w:val="none"/>
        </w:rPr>
      </w:pPr>
      <w:r>
        <w:rPr>
          <w:rFonts w:hint="eastAsia" w:asciiTheme="minorEastAsia" w:hAnsiTheme="minorEastAsia" w:eastAsiaTheme="minorEastAsia" w:cstheme="minorEastAsia"/>
          <w:spacing w:val="0"/>
          <w:position w:val="0"/>
          <w:sz w:val="24"/>
          <w:szCs w:val="24"/>
          <w:highlight w:val="none"/>
        </w:rPr>
        <w:t>3.3.2 如谈判小组</w:t>
      </w:r>
      <w:r>
        <w:rPr>
          <w:rFonts w:hint="eastAsia" w:ascii="宋体" w:hAnsi="宋体" w:eastAsia="宋体" w:cs="宋体"/>
          <w:color w:val="auto"/>
          <w:kern w:val="0"/>
          <w:sz w:val="24"/>
          <w:szCs w:val="24"/>
          <w:highlight w:val="none"/>
        </w:rPr>
        <w:t>认为</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的报价明显低于其他通过符合性审查</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的报价，有可能影响</w:t>
      </w:r>
      <w:r>
        <w:rPr>
          <w:rFonts w:hint="eastAsia" w:ascii="宋体" w:hAnsi="宋体" w:eastAsia="宋体" w:cs="宋体"/>
          <w:color w:val="auto"/>
          <w:kern w:val="0"/>
          <w:sz w:val="24"/>
          <w:szCs w:val="24"/>
          <w:highlight w:val="none"/>
          <w:lang w:val="en-US" w:eastAsia="zh-CN"/>
        </w:rPr>
        <w:t>服务</w:t>
      </w:r>
      <w:r>
        <w:rPr>
          <w:rFonts w:hint="eastAsia" w:ascii="宋体" w:hAnsi="宋体" w:eastAsia="宋体" w:cs="宋体"/>
          <w:color w:val="auto"/>
          <w:kern w:val="0"/>
          <w:sz w:val="24"/>
          <w:szCs w:val="24"/>
          <w:highlight w:val="none"/>
        </w:rPr>
        <w:t>质量或者不能诚信履约的，应当要求其在评标现场合理的时间内提供书面说明，必要时提交相关证明材料；</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不能证明其报价合理性的，</w:t>
      </w:r>
      <w:r>
        <w:rPr>
          <w:rFonts w:hint="eastAsia" w:ascii="宋体" w:hAnsi="宋体" w:eastAsia="宋体" w:cs="宋体"/>
          <w:color w:val="auto"/>
          <w:kern w:val="0"/>
          <w:sz w:val="24"/>
          <w:szCs w:val="24"/>
          <w:highlight w:val="none"/>
          <w:lang w:val="en-US" w:eastAsia="zh-CN"/>
        </w:rPr>
        <w:t>谈判小组</w:t>
      </w:r>
      <w:r>
        <w:rPr>
          <w:rFonts w:hint="eastAsia" w:ascii="宋体" w:hAnsi="宋体" w:eastAsia="宋体" w:cs="宋体"/>
          <w:color w:val="auto"/>
          <w:kern w:val="0"/>
          <w:sz w:val="24"/>
          <w:szCs w:val="24"/>
          <w:highlight w:val="none"/>
        </w:rPr>
        <w:t>应当将其作为</w:t>
      </w:r>
      <w:r>
        <w:rPr>
          <w:rFonts w:hint="eastAsia" w:ascii="宋体" w:hAnsi="宋体" w:eastAsia="宋体" w:cs="宋体"/>
          <w:b/>
          <w:bCs/>
          <w:color w:val="auto"/>
          <w:kern w:val="0"/>
          <w:sz w:val="24"/>
          <w:szCs w:val="24"/>
          <w:highlight w:val="none"/>
        </w:rPr>
        <w:t>无效投标</w:t>
      </w:r>
      <w:r>
        <w:rPr>
          <w:rFonts w:hint="eastAsia" w:ascii="宋体" w:hAnsi="宋体" w:eastAsia="宋体" w:cs="宋体"/>
          <w:color w:val="auto"/>
          <w:kern w:val="0"/>
          <w:sz w:val="24"/>
          <w:szCs w:val="24"/>
          <w:highlight w:val="none"/>
        </w:rPr>
        <w:t>处理。</w:t>
      </w:r>
    </w:p>
    <w:p w14:paraId="76249113">
      <w:pPr>
        <w:snapToGrid w:val="0"/>
        <w:spacing w:after="0" w:line="360" w:lineRule="auto"/>
        <w:ind w:firstLine="555"/>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根据财政部财库〔2026〕2号文件规定，政府采购评审中出现下列情形之一的，谈判小组应当启动异常低价投标（响应）审查程序：</w:t>
      </w:r>
    </w:p>
    <w:p w14:paraId="747CECEE">
      <w:pPr>
        <w:snapToGrid w:val="0"/>
        <w:spacing w:after="0" w:line="360" w:lineRule="auto"/>
        <w:ind w:firstLine="555"/>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1.投标（响应）报价低于全部通过符合性审查供应商投标（响应）报价平均值65%的，即投标（响应）报价&lt;全部通过符合性审查供应商投标（响应）报价平均值×65%；</w:t>
      </w:r>
    </w:p>
    <w:p w14:paraId="09149B8E">
      <w:pPr>
        <w:snapToGrid w:val="0"/>
        <w:spacing w:after="0" w:line="360" w:lineRule="auto"/>
        <w:ind w:firstLine="555"/>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2.投标（响应）报价低于通过符合性审查的次低报价供应商投标（响应）报价65%的，即投标（响应）报价&lt;通过符合性审查的次低报价供应商投标（响应）报价×65%；</w:t>
      </w:r>
    </w:p>
    <w:p w14:paraId="5B0381D0">
      <w:pPr>
        <w:snapToGrid w:val="0"/>
        <w:spacing w:after="0" w:line="360" w:lineRule="auto"/>
        <w:ind w:firstLine="555"/>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3.投标（响应）报价低于采购项目最高限价65%的，即投标（响应）报价&lt;采购项目最高限价×65%；</w:t>
      </w:r>
    </w:p>
    <w:p w14:paraId="0D7B8F5A">
      <w:pPr>
        <w:snapToGrid w:val="0"/>
        <w:spacing w:after="0" w:line="360" w:lineRule="auto"/>
        <w:ind w:firstLine="555"/>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4.谈判小组基于专业判断，认为供应商报价过低，有可能影响产品质量或者不能诚信履约的其他情形。</w:t>
      </w:r>
    </w:p>
    <w:p w14:paraId="6F484882">
      <w:pPr>
        <w:snapToGrid w:val="0"/>
        <w:spacing w:after="0" w:line="360" w:lineRule="auto"/>
        <w:ind w:firstLine="55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D51C4AE">
      <w:pPr>
        <w:snapToGrid w:val="0"/>
        <w:spacing w:after="0" w:line="360" w:lineRule="auto"/>
        <w:ind w:firstLine="55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谈判小组应当将其作为无效投标（响应）处理。</w:t>
      </w:r>
    </w:p>
    <w:p w14:paraId="3C4FCE68">
      <w:pPr>
        <w:snapToGrid w:val="0"/>
        <w:spacing w:after="0" w:line="360" w:lineRule="auto"/>
        <w:ind w:firstLine="55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416C4518">
      <w:pPr>
        <w:snapToGrid w:val="0"/>
        <w:spacing w:after="0" w:line="360" w:lineRule="auto"/>
        <w:ind w:firstLine="55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异常低价投标（响应）审查的启动原因、审查意见和审查结果应当在评审报告中记录，并随供应商提供的相关书面说明及证明材料，以及谈判小组有关互联网浏览、查询历史一并归档。</w:t>
      </w:r>
    </w:p>
    <w:p w14:paraId="2AC1242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3.4 投标文件（响应文件）的澄清</w:t>
      </w:r>
    </w:p>
    <w:p w14:paraId="6B9686C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投标文件（响应文件）的澄清在谈判公告所述网上电子交易系统进行。</w:t>
      </w:r>
    </w:p>
    <w:p w14:paraId="7332A8E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3.4.1 评审期间，投标人法定代表人须时刻关注电子开标室并保持通讯畅通。如因通讯不畅导致投标人无法及时澄清而被认定为无效响应等后果的，由投标人自行承担。</w:t>
      </w:r>
    </w:p>
    <w:p w14:paraId="7C4C2F4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3.4.2  为有助于对投标文件（响应文件）进行审查、评估和比较，谈判小组有权个别的向投标人提出质疑，请投标人澄清其投标内容。</w:t>
      </w:r>
    </w:p>
    <w:p w14:paraId="07BE850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3.4.3  谈判小组可以要求投标人对投标文件（响应文件）中含义不明确、同类问题表述不一致或者有明显文字和计算错误的内容等作出必要的澄清、说明或者更正。投标人的澄清、说明或者更正不得超出投标文件（响应文件）的范围或者改变投标文件（响应文件） 的实质性内容。</w:t>
      </w:r>
    </w:p>
    <w:p w14:paraId="12E76CF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3.4.4  投标人的澄清、说明或者更正应当采用书面形式，应加盖投标人电子签章或其法定代表人电子签名。并将澄清等内容作为附件上传至系统中。</w:t>
      </w:r>
    </w:p>
    <w:p w14:paraId="22353E8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3.4.5  投标人的澄清文件是投标文件（响应文件）的组成部分，并取代投标文件（响应文件）中被澄清的部分。</w:t>
      </w:r>
    </w:p>
    <w:p w14:paraId="09F58CD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3.4.6  澄清文件应按谈判小组规定的时间提交。</w:t>
      </w:r>
    </w:p>
    <w:p w14:paraId="0F01D7F5">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b w:val="0"/>
          <w:bCs w:val="0"/>
          <w:spacing w:val="0"/>
          <w:position w:val="0"/>
          <w:sz w:val="28"/>
          <w:szCs w:val="28"/>
          <w:highlight w:val="none"/>
        </w:rPr>
      </w:pPr>
      <w:r>
        <w:rPr>
          <w:rFonts w:hint="eastAsia" w:asciiTheme="minorEastAsia" w:hAnsiTheme="minorEastAsia" w:eastAsiaTheme="minorEastAsia" w:cstheme="minorEastAsia"/>
          <w:b w:val="0"/>
          <w:bCs w:val="0"/>
          <w:spacing w:val="0"/>
          <w:position w:val="0"/>
          <w:sz w:val="28"/>
          <w:szCs w:val="28"/>
          <w:highlight w:val="none"/>
        </w:rPr>
        <w:t>3.5 谈判规则</w:t>
      </w:r>
    </w:p>
    <w:p w14:paraId="4F3C65F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val="0"/>
          <w:bCs w:val="0"/>
          <w:spacing w:val="0"/>
          <w:position w:val="0"/>
          <w:sz w:val="24"/>
          <w:szCs w:val="24"/>
          <w:highlight w:val="none"/>
        </w:rPr>
        <w:t>评审谈判在谈判公</w:t>
      </w:r>
      <w:r>
        <w:rPr>
          <w:rFonts w:hint="eastAsia" w:asciiTheme="minorEastAsia" w:hAnsiTheme="minorEastAsia" w:eastAsiaTheme="minorEastAsia" w:cstheme="minorEastAsia"/>
          <w:spacing w:val="0"/>
          <w:position w:val="0"/>
          <w:sz w:val="24"/>
          <w:szCs w:val="24"/>
          <w:highlight w:val="none"/>
        </w:rPr>
        <w:t>告所述网上电子交易系统进行。</w:t>
      </w:r>
    </w:p>
    <w:p w14:paraId="6E7B3EC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3.5.1 本次政府采购采取竞争性谈判方式。谈判小组将据评审情况就所投货物的技术、服务、价格等事项与有关投标人分别进行谈判。谈判的任何一方不得将与谈判有关的技术资料、价格和其他信息透露给其他供应商。</w:t>
      </w:r>
    </w:p>
    <w:p w14:paraId="0D5B88E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3.5.2 谈判小组根据谈判文件规定的程序、评定成交的标准等事项与实质性响应谈判文件要求的投标人进行谈判。</w:t>
      </w:r>
    </w:p>
    <w:p w14:paraId="6EA41E9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3.5.3 谈判小组所有成员集中与单一投标人分别进行谈判，并给予所有参加谈判的投标人平等的谈判机会。</w:t>
      </w:r>
    </w:p>
    <w:p w14:paraId="2A919B2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3.5.4 在谈判过程中，谈判小组可以根据谈判文件和谈判情况实质性变动采购需求中的技术、服务要求以及合同草案条款，谈判文件中的其他内容将不再变动。实质性变动的内容，经采购人代表确认后，谈判小组将在评审界面的对话框及时通知所有参加谈判的供应商。评审期间，供应商可通过评审界面的对话框接受询问。谈判结束后，未实质性响应谈判文件的响应文件按无效处理，谈判小组应当告知有关供应商。</w:t>
      </w:r>
    </w:p>
    <w:p w14:paraId="3E16409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3.5.5 对谈判文件作出的实质性变动是谈判文件的有效组成部分，。</w:t>
      </w:r>
    </w:p>
    <w:p w14:paraId="0A19008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3.5.6 投标人应当按照谈判文件的变动情况和谈判小组的要求重新提交投标文件（响应文件）或修订投标文件相应条款，并应加盖投标人或其法定代表人的电子签名。</w:t>
      </w:r>
    </w:p>
    <w:p w14:paraId="74227A9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3.5.7 价格谈判</w:t>
      </w:r>
    </w:p>
    <w:p w14:paraId="5325538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fldChar w:fldCharType="begin"/>
      </w:r>
      <w:r>
        <w:rPr>
          <w:rFonts w:hint="eastAsia" w:asciiTheme="minorEastAsia" w:hAnsiTheme="minorEastAsia" w:eastAsiaTheme="minorEastAsia" w:cstheme="minorEastAsia"/>
          <w:spacing w:val="0"/>
          <w:position w:val="0"/>
          <w:sz w:val="24"/>
          <w:szCs w:val="24"/>
          <w:highlight w:val="none"/>
        </w:rPr>
        <w:instrText xml:space="preserve"> HYPERLINK "3.5.7.1" </w:instrText>
      </w:r>
      <w:r>
        <w:rPr>
          <w:rFonts w:hint="eastAsia" w:asciiTheme="minorEastAsia" w:hAnsiTheme="minorEastAsia" w:eastAsiaTheme="minorEastAsia" w:cstheme="minorEastAsia"/>
          <w:spacing w:val="0"/>
          <w:position w:val="0"/>
          <w:sz w:val="24"/>
          <w:szCs w:val="24"/>
          <w:highlight w:val="none"/>
        </w:rPr>
        <w:fldChar w:fldCharType="separate"/>
      </w:r>
      <w:r>
        <w:rPr>
          <w:rFonts w:hint="eastAsia" w:asciiTheme="minorEastAsia" w:hAnsiTheme="minorEastAsia" w:eastAsiaTheme="minorEastAsia" w:cstheme="minorEastAsia"/>
          <w:spacing w:val="0"/>
          <w:position w:val="0"/>
          <w:sz w:val="24"/>
          <w:szCs w:val="24"/>
          <w:highlight w:val="none"/>
        </w:rPr>
        <w:t>3.5.7.1</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 xml:space="preserve"> 见第二章“采购项目及技术服务要求 ”1.3.2项规定</w:t>
      </w:r>
    </w:p>
    <w:p w14:paraId="3B65BD1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fldChar w:fldCharType="begin"/>
      </w:r>
      <w:r>
        <w:rPr>
          <w:rFonts w:hint="eastAsia" w:asciiTheme="minorEastAsia" w:hAnsiTheme="minorEastAsia" w:eastAsiaTheme="minorEastAsia" w:cstheme="minorEastAsia"/>
          <w:spacing w:val="0"/>
          <w:position w:val="0"/>
          <w:sz w:val="24"/>
          <w:szCs w:val="24"/>
          <w:highlight w:val="none"/>
        </w:rPr>
        <w:instrText xml:space="preserve"> HYPERLINK "3.5.7.2" </w:instrText>
      </w:r>
      <w:r>
        <w:rPr>
          <w:rFonts w:hint="eastAsia" w:asciiTheme="minorEastAsia" w:hAnsiTheme="minorEastAsia" w:eastAsiaTheme="minorEastAsia" w:cstheme="minorEastAsia"/>
          <w:spacing w:val="0"/>
          <w:position w:val="0"/>
          <w:sz w:val="24"/>
          <w:szCs w:val="24"/>
          <w:highlight w:val="none"/>
        </w:rPr>
        <w:fldChar w:fldCharType="separate"/>
      </w:r>
      <w:r>
        <w:rPr>
          <w:rFonts w:hint="eastAsia" w:asciiTheme="minorEastAsia" w:hAnsiTheme="minorEastAsia" w:eastAsiaTheme="minorEastAsia" w:cstheme="minorEastAsia"/>
          <w:spacing w:val="0"/>
          <w:position w:val="0"/>
          <w:sz w:val="24"/>
          <w:szCs w:val="24"/>
          <w:highlight w:val="none"/>
        </w:rPr>
        <w:t>3.5.7.2</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 xml:space="preserve"> 谈判小组应当要求所有继续参加谈判的供应商在规定时间内提交最后报价，提交最后报价的供应商不得少于3家。最后报价是投标文件（响应文件）的有效组成部分。</w:t>
      </w:r>
    </w:p>
    <w:p w14:paraId="38C2CE7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3.5.8 谈判文件的实质性变动影响到投标人因此无法继续参加谈判的，投标人可以在提交最后报价之前退出谈判。其响应文件按无效处理的投标人，所提交的最后报价也按无效处理。</w:t>
      </w:r>
    </w:p>
    <w:p w14:paraId="11A95DF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3.5.9 投标人提交最后报价应在系统中填列。</w:t>
      </w:r>
    </w:p>
    <w:p w14:paraId="110238AE">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3.5.10本项目在开标后只进行一轮报价，即最后报价。网上交易系统中管理员发起最后报价后，如投标人未在指定时限内提交最后报价，视为该供应商根据谈判情况退出谈判。</w:t>
      </w:r>
    </w:p>
    <w:p w14:paraId="22EF00D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3.5.11 投标人在网上报价过程中，如遇到网上投标系统的操作问题，可通过网上预留的咨询电话进行咨询。投标人因未按照要求进行操作、投标人办理的数字证书失效等其他自身原因导致响应文件错误或无效的，谈判小组将认定其为无效投标。</w:t>
      </w:r>
    </w:p>
    <w:p w14:paraId="6B5B9CF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3.6 复核：谈判小组对排名第一的、报价最低的、投标或相应文件被认定为无效的情 形进行按谈判文件实质性要求重点复核。</w:t>
      </w:r>
    </w:p>
    <w:p w14:paraId="38FF6D6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3.7 评审结果</w:t>
      </w:r>
    </w:p>
    <w:p w14:paraId="59390B7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3.7 .1 谈判小组从质量和服务均能满足谈判文件实质性响应要求的投标人中，按照报价由低到高的顺序提出3名以上成交候选人，并编写书面评审报告。</w:t>
      </w:r>
    </w:p>
    <w:p w14:paraId="636B855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3.7.2 确定成交供应商：按第三章“投标人须知前 ”7.1款规定及本章第1条规定。</w:t>
      </w:r>
    </w:p>
    <w:p w14:paraId="6F4CB62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3.8 谈判终止</w:t>
      </w:r>
    </w:p>
    <w:p w14:paraId="21E5BC9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3.8.1 出现下列情形之一的，终止竞争性谈判活动：</w:t>
      </w:r>
    </w:p>
    <w:p w14:paraId="67EF6BA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（1）因情况变化，不再符合规定的竞争性谈判方式适用情形的；</w:t>
      </w:r>
    </w:p>
    <w:p w14:paraId="7780DEF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（2）出现影响采购公正的违法、违规行为的；</w:t>
      </w:r>
    </w:p>
    <w:p w14:paraId="58E16AB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（3）在采购过程中符合竞争要求的供应商或者报价未超过采购预算的供应商不足3家的。</w:t>
      </w:r>
    </w:p>
    <w:p w14:paraId="0C9EB07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（4）在采购活动中因重大变故，采购任务取消的.</w:t>
      </w:r>
    </w:p>
    <w:p w14:paraId="26ADE75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3.8.2 谈判小组要在采购项目（标段）谈判失败时，出具谈判文件是否存在不合理条款的论证意见，要协助采购人、采购代理机构、财政部门答复质疑或处理投诉事项。</w:t>
      </w:r>
    </w:p>
    <w:p w14:paraId="74828226">
      <w:pPr>
        <w:keepNext w:val="0"/>
        <w:keepLines w:val="0"/>
        <w:pageBreakBefore w:val="0"/>
        <w:widowControl w:val="0"/>
        <w:kinsoku/>
        <w:wordWrap w:val="0"/>
        <w:overflowPunct w:val="0"/>
        <w:topLinePunct/>
        <w:autoSpaceDE/>
        <w:autoSpaceDN/>
        <w:bidi w:val="0"/>
        <w:adjustRightInd/>
        <w:snapToGrid/>
        <w:spacing w:line="360" w:lineRule="auto"/>
        <w:ind w:left="0" w:right="0" w:firstLine="56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bookmarkStart w:id="24" w:name="bookmark43"/>
      <w:bookmarkEnd w:id="24"/>
      <w:r>
        <w:rPr>
          <w:rFonts w:hint="eastAsia" w:asciiTheme="minorEastAsia" w:hAnsiTheme="minorEastAsia" w:eastAsiaTheme="minorEastAsia" w:cstheme="minorEastAsia"/>
          <w:b/>
          <w:bCs/>
          <w:spacing w:val="0"/>
          <w:position w:val="0"/>
          <w:sz w:val="28"/>
          <w:szCs w:val="28"/>
          <w:highlight w:val="none"/>
        </w:rPr>
        <w:t>4. 政府采购促进中小企业发展扶持政策</w:t>
      </w:r>
    </w:p>
    <w:p w14:paraId="07BEAB33">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4.1本次政府采购项目专门面向中小企业，专门面向中小企业的采购项目无价格扣除。</w:t>
      </w:r>
    </w:p>
    <w:p w14:paraId="15E1732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供应商无需在“投标文件编制系统 ”分项报价表中选择“是否享受价格折扣、折扣率（%） ”。</w:t>
      </w:r>
    </w:p>
    <w:p w14:paraId="4AABB79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4.2专门面向中小企业的服务采购项目中，服务由中小企业承接，即提供服务的人员为中小企业依照《中华人民共和国劳动</w:t>
      </w:r>
      <w:r>
        <w:rPr>
          <w:rFonts w:hint="eastAsia" w:asciiTheme="minorEastAsia" w:hAnsiTheme="minorEastAsia" w:eastAsiaTheme="minorEastAsia" w:cstheme="minorEastAsia"/>
          <w:spacing w:val="0"/>
          <w:position w:val="0"/>
          <w:sz w:val="24"/>
          <w:szCs w:val="24"/>
          <w:highlight w:val="none"/>
          <w:lang w:eastAsia="zh-CN"/>
        </w:rPr>
        <w:t>民法典</w:t>
      </w:r>
      <w:r>
        <w:rPr>
          <w:rFonts w:hint="eastAsia" w:asciiTheme="minorEastAsia" w:hAnsiTheme="minorEastAsia" w:eastAsiaTheme="minorEastAsia" w:cstheme="minorEastAsia"/>
          <w:spacing w:val="0"/>
          <w:position w:val="0"/>
          <w:sz w:val="24"/>
          <w:szCs w:val="24"/>
          <w:highlight w:val="none"/>
        </w:rPr>
        <w:t>》订立劳动合同的</w:t>
      </w:r>
      <w:r>
        <w:rPr>
          <w:rFonts w:hint="eastAsia" w:asciiTheme="minorEastAsia" w:hAnsiTheme="minorEastAsia" w:eastAsiaTheme="minorEastAsia" w:cstheme="minorEastAsia"/>
          <w:spacing w:val="0"/>
          <w:position w:val="0"/>
          <w:sz w:val="24"/>
          <w:szCs w:val="24"/>
          <w:highlight w:val="none"/>
          <w:lang w:val="en-US" w:eastAsia="zh-CN"/>
        </w:rPr>
        <w:t>从</w:t>
      </w:r>
      <w:r>
        <w:rPr>
          <w:rFonts w:hint="eastAsia" w:asciiTheme="minorEastAsia" w:hAnsiTheme="minorEastAsia" w:eastAsiaTheme="minorEastAsia" w:cstheme="minorEastAsia"/>
          <w:spacing w:val="0"/>
          <w:position w:val="0"/>
          <w:sz w:val="24"/>
          <w:szCs w:val="24"/>
          <w:highlight w:val="none"/>
        </w:rPr>
        <w:t>业人员。</w:t>
      </w:r>
    </w:p>
    <w:p w14:paraId="1811DF8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如招标文件接受以联合体形式参加投标的，联合体各方均为中小企业的， 联合体视同中小企业。其中，联合体各方均为小微企业的，联合体视同小微企 业。联合体各方均应按附件格式提供《中小企业声明函》。</w:t>
      </w:r>
    </w:p>
    <w:p w14:paraId="18EE769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4.3符合中小企业划分标准的个体工商户，在政府采购活动中视同中小企业。</w:t>
      </w:r>
    </w:p>
    <w:p w14:paraId="4CC5AB3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4.4依法享受扶持政策获得政府采购合同的，小微企业不得将合同分包给大中型企业，中型企业不得将合同分包给大型企业。</w:t>
      </w:r>
    </w:p>
    <w:p w14:paraId="3E1F861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4.5监狱企业、符合法定条件的残疾人福利性单位视同小型、微型企业，</w:t>
      </w:r>
    </w:p>
    <w:p w14:paraId="28AC416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享受预留份额、评审中价格扣除等政府采购促进中小企业发展的政府采购政策。符合法定条件的残疾人福利性单位提供财库〔2017〕141号规定的《残疾人福利性单位声明函》，残疾人福利性单位属于小型、微型企业的，不重复享受政策。</w:t>
      </w:r>
    </w:p>
    <w:p w14:paraId="55BCE75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4.5.1 享受政府采购支持政策的残疾人福利性单位应当同时满足以下条件：</w:t>
      </w:r>
    </w:p>
    <w:p w14:paraId="0D497A1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（1）安置的残疾人占本单位在职职工人数的比例不低于25%（含25%）</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并且安置的残疾人人数不少于10人（含10人）；</w:t>
      </w:r>
    </w:p>
    <w:p w14:paraId="52A6568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（2）依法与安置的每位残疾人签订了一年以上（含一年）的劳动合同或服务协议；</w:t>
      </w:r>
    </w:p>
    <w:p w14:paraId="4AE8199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（3）为安置的每位残疾人按月足额缴纳了基本养老保险、基本医疗保险、失业保险、工伤保险和生育保险等社会保险费；</w:t>
      </w:r>
    </w:p>
    <w:p w14:paraId="77E438C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（4）通过银行等金融机构向安置的每位残疾人，按月支付了不低于单位所在区县适用的经省级人民政府批准的月最低工资标准的工资；</w:t>
      </w:r>
    </w:p>
    <w:p w14:paraId="5D96640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（5）提供本单位制造的货物、承担的工程或者服务（以下简称产品）， 或者提供其他残疾人福利性单位制造的货物（不包括使用非残疾人福利性单位 注册商标的货物）。</w:t>
      </w:r>
    </w:p>
    <w:p w14:paraId="7043901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71CE5C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4.6根据财政部、工业和信息化部有关负责人就印发《政府采购促进中小 企业发展管理办法》答记者问，为方便广大中小企业、政府部门和社会公众识 别企业规模类型，工业和信息化部组织开发了中小企业规模类型自测小程序， 并于2020年2月27日上线运行，在国务院客户端和工业和信息化部网站上均有链接，广大中小企业和各类社会机构填写企业所属的行业和指标数据自动生成 企业规模类型测试结果。</w:t>
      </w:r>
    </w:p>
    <w:p w14:paraId="340F23C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4.7中标、成交供应商享受中小企业扶持政策的，中标、成交供应商的《中小企业声明函》将随中标、成交结果公开。</w:t>
      </w:r>
    </w:p>
    <w:p w14:paraId="37CA77B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4.8政府采购监督检查、投诉处理及政府采购行政处罚中对中小企业的认定，由货物制造商或者工程、服务供应商注册登记所在地的县级以上人民政府中小企业主管部门负责。</w:t>
      </w:r>
    </w:p>
    <w:p w14:paraId="570B719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4.9供应商按照财库〔2020〕46号规定及</w:t>
      </w:r>
      <w:r>
        <w:rPr>
          <w:rFonts w:hint="eastAsia" w:asciiTheme="minorEastAsia" w:hAnsiTheme="minorEastAsia" w:eastAsiaTheme="minorEastAsia" w:cstheme="minorEastAsia"/>
          <w:spacing w:val="0"/>
          <w:position w:val="0"/>
          <w:sz w:val="24"/>
          <w:szCs w:val="24"/>
          <w:highlight w:val="none"/>
          <w:lang w:eastAsia="zh-CN"/>
        </w:rPr>
        <w:t>竞争性谈判文件</w:t>
      </w:r>
      <w:r>
        <w:rPr>
          <w:rFonts w:hint="eastAsia" w:asciiTheme="minorEastAsia" w:hAnsiTheme="minorEastAsia" w:eastAsiaTheme="minorEastAsia" w:cstheme="minorEastAsia"/>
          <w:spacing w:val="0"/>
          <w:position w:val="0"/>
          <w:sz w:val="24"/>
          <w:szCs w:val="24"/>
          <w:highlight w:val="none"/>
        </w:rPr>
        <w:t>要求提供声明函内容不实的，属于提供虚假材料谋取中标、成交，依照《中华人民共和国政府采购法》等国家有关规定追究相应责任。</w:t>
      </w:r>
    </w:p>
    <w:p w14:paraId="78A9CCD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12" w:type="default"/>
          <w:footerReference r:id="rId13" w:type="default"/>
          <w:pgSz w:w="11905" w:h="16837"/>
          <w:pgMar w:top="1440" w:right="1080" w:bottom="1440" w:left="1080" w:header="17" w:footer="640" w:gutter="0"/>
          <w:pgBorders>
            <w:top w:val="none" w:sz="0" w:space="0"/>
            <w:left w:val="none" w:sz="0" w:space="0"/>
            <w:bottom w:val="none" w:sz="0" w:space="0"/>
            <w:right w:val="none" w:sz="0" w:space="0"/>
          </w:pgBorders>
          <w:pgNumType w:fmt="decimal"/>
          <w:cols w:space="720" w:num="1"/>
          <w:rtlGutter w:val="0"/>
        </w:sectPr>
      </w:pPr>
    </w:p>
    <w:p w14:paraId="1A279667">
      <w:pPr>
        <w:pStyle w:val="2"/>
        <w:bidi w:val="0"/>
        <w:spacing w:before="0" w:after="0" w:line="240" w:lineRule="auto"/>
        <w:jc w:val="center"/>
        <w:rPr>
          <w:rFonts w:hint="eastAsia"/>
          <w:highlight w:val="none"/>
        </w:rPr>
      </w:pPr>
      <w:bookmarkStart w:id="25" w:name="bookmark47"/>
      <w:bookmarkEnd w:id="25"/>
      <w:bookmarkStart w:id="26" w:name="bookmark45"/>
      <w:bookmarkEnd w:id="26"/>
      <w:bookmarkStart w:id="27" w:name="_Toc491702292"/>
      <w:bookmarkStart w:id="28" w:name="_Toc4194"/>
      <w:bookmarkStart w:id="29" w:name="_Toc9630"/>
      <w:r>
        <w:rPr>
          <w:rFonts w:hint="eastAsia"/>
          <w:highlight w:val="none"/>
        </w:rPr>
        <w:t>第</w:t>
      </w:r>
      <w:r>
        <w:rPr>
          <w:rFonts w:hint="eastAsia"/>
          <w:highlight w:val="none"/>
          <w:lang w:val="en-US" w:eastAsia="zh-CN"/>
        </w:rPr>
        <w:t>五</w:t>
      </w:r>
      <w:r>
        <w:rPr>
          <w:rFonts w:hint="eastAsia"/>
          <w:highlight w:val="none"/>
        </w:rPr>
        <w:t>章    合同（格式）</w:t>
      </w:r>
      <w:bookmarkEnd w:id="27"/>
      <w:bookmarkEnd w:id="28"/>
      <w:bookmarkEnd w:id="29"/>
    </w:p>
    <w:p w14:paraId="38949801">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highlight w:val="none"/>
        </w:rPr>
      </w:pPr>
    </w:p>
    <w:p w14:paraId="0968F06F">
      <w:pPr>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合同编号：</w:t>
      </w:r>
      <w:r>
        <w:rPr>
          <w:rFonts w:hint="eastAsia" w:ascii="宋体" w:hAnsi="宋体" w:eastAsia="宋体" w:cs="宋体"/>
          <w:sz w:val="24"/>
          <w:szCs w:val="24"/>
          <w:highlight w:val="none"/>
          <w:u w:val="single"/>
        </w:rPr>
        <w:t xml:space="preserve">           </w:t>
      </w:r>
    </w:p>
    <w:p w14:paraId="31216DC2">
      <w:pPr>
        <w:spacing w:line="480" w:lineRule="auto"/>
        <w:jc w:val="center"/>
        <w:rPr>
          <w:rFonts w:hint="eastAsia" w:ascii="宋体" w:hAnsi="宋体" w:eastAsia="宋体" w:cs="宋体"/>
          <w:b/>
          <w:sz w:val="24"/>
          <w:szCs w:val="24"/>
          <w:highlight w:val="none"/>
        </w:rPr>
      </w:pPr>
    </w:p>
    <w:p w14:paraId="03F3C0C0">
      <w:pPr>
        <w:spacing w:line="480" w:lineRule="auto"/>
        <w:jc w:val="center"/>
        <w:rPr>
          <w:rFonts w:hint="eastAsia" w:ascii="宋体" w:hAnsi="宋体" w:eastAsia="宋体" w:cs="宋体"/>
          <w:b/>
          <w:sz w:val="24"/>
          <w:szCs w:val="24"/>
          <w:highlight w:val="none"/>
        </w:rPr>
      </w:pPr>
    </w:p>
    <w:p w14:paraId="2C5C446C">
      <w:pPr>
        <w:spacing w:line="480" w:lineRule="auto"/>
        <w:jc w:val="center"/>
        <w:rPr>
          <w:rFonts w:hint="eastAsia" w:ascii="宋体" w:hAnsi="宋体" w:eastAsia="宋体" w:cs="宋体"/>
          <w:b/>
          <w:sz w:val="24"/>
          <w:szCs w:val="24"/>
          <w:highlight w:val="none"/>
        </w:rPr>
      </w:pPr>
    </w:p>
    <w:p w14:paraId="67C0F4FC">
      <w:pPr>
        <w:spacing w:line="48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政府采购合同参考范本</w:t>
      </w:r>
    </w:p>
    <w:p w14:paraId="46E1283E">
      <w:pPr>
        <w:spacing w:line="48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（服务类）</w:t>
      </w:r>
    </w:p>
    <w:p w14:paraId="0EB8A97D">
      <w:pPr>
        <w:pStyle w:val="27"/>
        <w:ind w:firstLine="0"/>
        <w:rPr>
          <w:rFonts w:hint="eastAsia" w:ascii="宋体" w:hAnsi="宋体" w:eastAsia="宋体" w:cs="宋体"/>
          <w:sz w:val="24"/>
          <w:szCs w:val="24"/>
          <w:highlight w:val="none"/>
        </w:rPr>
      </w:pPr>
    </w:p>
    <w:p w14:paraId="182F302A">
      <w:pPr>
        <w:pStyle w:val="27"/>
        <w:ind w:firstLine="0"/>
        <w:rPr>
          <w:rFonts w:hint="eastAsia" w:ascii="宋体" w:hAnsi="宋体" w:eastAsia="宋体" w:cs="宋体"/>
          <w:sz w:val="24"/>
          <w:szCs w:val="24"/>
          <w:highlight w:val="none"/>
        </w:rPr>
      </w:pPr>
    </w:p>
    <w:p w14:paraId="0C17F099">
      <w:pPr>
        <w:pStyle w:val="27"/>
        <w:ind w:firstLine="0"/>
        <w:rPr>
          <w:rFonts w:hint="eastAsia" w:ascii="宋体" w:hAnsi="宋体" w:eastAsia="宋体" w:cs="宋体"/>
          <w:sz w:val="24"/>
          <w:szCs w:val="24"/>
          <w:highlight w:val="none"/>
        </w:rPr>
      </w:pPr>
    </w:p>
    <w:p w14:paraId="43769FF6">
      <w:pPr>
        <w:pStyle w:val="27"/>
        <w:ind w:firstLine="0"/>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第一部分 合同书</w:t>
      </w:r>
    </w:p>
    <w:p w14:paraId="3D6AC284">
      <w:pPr>
        <w:pStyle w:val="27"/>
        <w:ind w:firstLine="0"/>
        <w:rPr>
          <w:rFonts w:hint="eastAsia" w:ascii="宋体" w:hAnsi="宋体" w:eastAsia="宋体" w:cs="宋体"/>
          <w:sz w:val="24"/>
          <w:szCs w:val="24"/>
          <w:highlight w:val="none"/>
        </w:rPr>
      </w:pPr>
    </w:p>
    <w:p w14:paraId="2E7990CB">
      <w:pPr>
        <w:pStyle w:val="27"/>
        <w:ind w:firstLine="0"/>
        <w:rPr>
          <w:rFonts w:hint="eastAsia" w:ascii="宋体" w:hAnsi="宋体" w:eastAsia="宋体" w:cs="宋体"/>
          <w:sz w:val="24"/>
          <w:szCs w:val="24"/>
          <w:highlight w:val="none"/>
        </w:rPr>
      </w:pPr>
    </w:p>
    <w:p w14:paraId="39E5AF75">
      <w:pPr>
        <w:spacing w:before="120" w:line="22" w:lineRule="atLeast"/>
        <w:rPr>
          <w:rFonts w:hint="eastAsia" w:ascii="宋体" w:hAnsi="宋体" w:eastAsia="宋体" w:cs="宋体"/>
          <w:sz w:val="24"/>
          <w:szCs w:val="24"/>
          <w:highlight w:val="none"/>
        </w:rPr>
      </w:pPr>
    </w:p>
    <w:p w14:paraId="6DE9DFAE">
      <w:pPr>
        <w:spacing w:before="120" w:line="22" w:lineRule="atLeast"/>
        <w:ind w:left="960"/>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 xml:space="preserve">                                   </w:t>
      </w:r>
    </w:p>
    <w:p w14:paraId="44D5BF9A">
      <w:pPr>
        <w:pStyle w:val="28"/>
        <w:spacing w:before="120" w:line="22" w:lineRule="atLeast"/>
        <w:rPr>
          <w:rFonts w:hint="eastAsia" w:ascii="宋体" w:hAnsi="宋体" w:eastAsia="宋体" w:cs="宋体"/>
          <w:sz w:val="24"/>
          <w:szCs w:val="24"/>
          <w:highlight w:val="none"/>
        </w:rPr>
      </w:pPr>
    </w:p>
    <w:p w14:paraId="0646A5E9">
      <w:pPr>
        <w:pStyle w:val="28"/>
        <w:spacing w:before="120" w:line="22" w:lineRule="atLeast"/>
        <w:rPr>
          <w:rFonts w:hint="eastAsia" w:ascii="宋体" w:hAnsi="宋体" w:eastAsia="宋体" w:cs="宋体"/>
          <w:sz w:val="24"/>
          <w:szCs w:val="24"/>
          <w:highlight w:val="none"/>
        </w:rPr>
      </w:pPr>
    </w:p>
    <w:p w14:paraId="4D0F55E3">
      <w:pPr>
        <w:rPr>
          <w:rFonts w:hint="eastAsia" w:ascii="宋体" w:hAnsi="宋体" w:eastAsia="宋体" w:cs="宋体"/>
          <w:sz w:val="24"/>
          <w:szCs w:val="24"/>
          <w:highlight w:val="none"/>
        </w:rPr>
      </w:pPr>
    </w:p>
    <w:p w14:paraId="20BF58DD">
      <w:pPr>
        <w:spacing w:before="120" w:line="22" w:lineRule="atLeast"/>
        <w:ind w:left="96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甲方：</w:t>
      </w:r>
      <w:r>
        <w:rPr>
          <w:rFonts w:hint="eastAsia" w:ascii="宋体" w:hAnsi="宋体" w:eastAsia="宋体" w:cs="宋体"/>
          <w:sz w:val="24"/>
          <w:szCs w:val="24"/>
          <w:highlight w:val="none"/>
          <w:u w:val="single"/>
        </w:rPr>
        <w:t xml:space="preserve">                                       </w:t>
      </w:r>
    </w:p>
    <w:p w14:paraId="1FA8FF6D">
      <w:pPr>
        <w:spacing w:before="120" w:line="22" w:lineRule="atLeast"/>
        <w:rPr>
          <w:rFonts w:hint="eastAsia" w:ascii="宋体" w:hAnsi="宋体" w:eastAsia="宋体" w:cs="宋体"/>
          <w:sz w:val="24"/>
          <w:szCs w:val="24"/>
          <w:highlight w:val="none"/>
        </w:rPr>
      </w:pPr>
    </w:p>
    <w:p w14:paraId="3D6DD850">
      <w:pPr>
        <w:spacing w:before="120" w:line="22" w:lineRule="atLeast"/>
        <w:ind w:left="96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乙方：</w:t>
      </w:r>
      <w:r>
        <w:rPr>
          <w:rFonts w:hint="eastAsia" w:ascii="宋体" w:hAnsi="宋体" w:eastAsia="宋体" w:cs="宋体"/>
          <w:sz w:val="24"/>
          <w:szCs w:val="24"/>
          <w:highlight w:val="none"/>
          <w:u w:val="single"/>
        </w:rPr>
        <w:t xml:space="preserve">                                       </w:t>
      </w:r>
    </w:p>
    <w:p w14:paraId="27A829FB">
      <w:pPr>
        <w:spacing w:before="120" w:line="22" w:lineRule="atLeast"/>
        <w:rPr>
          <w:rFonts w:hint="eastAsia" w:ascii="宋体" w:hAnsi="宋体" w:eastAsia="宋体" w:cs="宋体"/>
          <w:sz w:val="24"/>
          <w:szCs w:val="24"/>
          <w:highlight w:val="none"/>
        </w:rPr>
      </w:pPr>
    </w:p>
    <w:p w14:paraId="17AB9A74">
      <w:pPr>
        <w:spacing w:before="120" w:line="22" w:lineRule="atLeast"/>
        <w:ind w:firstLine="960" w:firstLineChars="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签订地：</w:t>
      </w:r>
      <w:r>
        <w:rPr>
          <w:rFonts w:hint="eastAsia" w:ascii="宋体" w:hAnsi="宋体" w:eastAsia="宋体" w:cs="宋体"/>
          <w:sz w:val="24"/>
          <w:szCs w:val="24"/>
          <w:highlight w:val="none"/>
          <w:u w:val="single"/>
        </w:rPr>
        <w:t xml:space="preserve">                                     </w:t>
      </w:r>
    </w:p>
    <w:p w14:paraId="34153835">
      <w:pPr>
        <w:spacing w:before="120" w:line="22" w:lineRule="atLeast"/>
        <w:rPr>
          <w:rFonts w:hint="eastAsia" w:ascii="宋体" w:hAnsi="宋体" w:eastAsia="宋体" w:cs="宋体"/>
          <w:sz w:val="24"/>
          <w:szCs w:val="24"/>
          <w:highlight w:val="none"/>
        </w:rPr>
      </w:pPr>
    </w:p>
    <w:p w14:paraId="0B5A4038">
      <w:pPr>
        <w:spacing w:before="120" w:line="22" w:lineRule="atLeast"/>
        <w:ind w:firstLine="960" w:firstLineChars="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签订日期：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5A825255">
      <w:pPr>
        <w:autoSpaceDE w:val="0"/>
        <w:autoSpaceDN w:val="0"/>
        <w:adjustRightInd w:val="0"/>
        <w:spacing w:line="600" w:lineRule="exact"/>
        <w:ind w:firstLine="640"/>
        <w:jc w:val="center"/>
        <w:rPr>
          <w:rFonts w:hint="eastAsia" w:ascii="宋体" w:hAnsi="宋体" w:eastAsia="宋体" w:cs="宋体"/>
          <w:sz w:val="24"/>
          <w:szCs w:val="24"/>
          <w:highlight w:val="none"/>
        </w:rPr>
        <w:sectPr>
          <w:headerReference r:id="rId14" w:type="default"/>
          <w:footerReference r:id="rId15" w:type="default"/>
          <w:pgSz w:w="11907" w:h="16840"/>
          <w:pgMar w:top="1440" w:right="1080" w:bottom="1440" w:left="1080" w:header="851" w:footer="851" w:gutter="0"/>
          <w:pgNumType w:fmt="decimal"/>
          <w:cols w:space="720" w:num="1"/>
          <w:docGrid w:linePitch="462" w:charSpace="0"/>
        </w:sectPr>
      </w:pPr>
    </w:p>
    <w:p w14:paraId="5A35E136">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年</w:t>
      </w:r>
      <w:r>
        <w:rPr>
          <w:rFonts w:hint="eastAsia"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月</w:t>
      </w:r>
      <w:r>
        <w:rPr>
          <w:rFonts w:hint="eastAsia"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日</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（采购人名称）   </w:t>
      </w:r>
      <w:r>
        <w:rPr>
          <w:rFonts w:hint="eastAsia" w:ascii="宋体" w:hAnsi="宋体" w:eastAsia="宋体" w:cs="宋体"/>
          <w:sz w:val="24"/>
          <w:szCs w:val="24"/>
          <w:highlight w:val="none"/>
        </w:rPr>
        <w:t>以</w:t>
      </w:r>
      <w:r>
        <w:rPr>
          <w:rFonts w:hint="eastAsia" w:ascii="宋体" w:hAnsi="宋体" w:eastAsia="宋体" w:cs="宋体"/>
          <w:sz w:val="24"/>
          <w:szCs w:val="24"/>
          <w:highlight w:val="none"/>
          <w:u w:val="single"/>
        </w:rPr>
        <w:t xml:space="preserve">   （政府采购方式）  </w:t>
      </w:r>
      <w:r>
        <w:rPr>
          <w:rFonts w:hint="eastAsia" w:ascii="宋体" w:hAnsi="宋体" w:eastAsia="宋体" w:cs="宋体"/>
          <w:sz w:val="24"/>
          <w:szCs w:val="24"/>
          <w:highlight w:val="none"/>
        </w:rPr>
        <w:t>对</w:t>
      </w:r>
      <w:r>
        <w:rPr>
          <w:rFonts w:hint="eastAsia" w:ascii="宋体" w:hAnsi="宋体" w:eastAsia="宋体" w:cs="宋体"/>
          <w:sz w:val="24"/>
          <w:szCs w:val="24"/>
          <w:highlight w:val="none"/>
          <w:u w:val="single"/>
        </w:rPr>
        <w:t xml:space="preserve">   （同前页项目名称）   </w:t>
      </w:r>
      <w:r>
        <w:rPr>
          <w:rFonts w:hint="eastAsia" w:ascii="宋体" w:hAnsi="宋体" w:eastAsia="宋体" w:cs="宋体"/>
          <w:sz w:val="24"/>
          <w:szCs w:val="24"/>
          <w:highlight w:val="none"/>
        </w:rPr>
        <w:t>项目进行了采购。经</w:t>
      </w:r>
      <w:r>
        <w:rPr>
          <w:rFonts w:hint="eastAsia" w:ascii="宋体" w:hAnsi="宋体" w:eastAsia="宋体" w:cs="宋体"/>
          <w:sz w:val="24"/>
          <w:szCs w:val="24"/>
          <w:highlight w:val="none"/>
          <w:u w:val="single"/>
        </w:rPr>
        <w:t xml:space="preserve">   （相关评定主体名称）   </w:t>
      </w:r>
      <w:r>
        <w:rPr>
          <w:rFonts w:hint="eastAsia" w:ascii="宋体" w:hAnsi="宋体" w:eastAsia="宋体" w:cs="宋体"/>
          <w:sz w:val="24"/>
          <w:szCs w:val="24"/>
          <w:highlight w:val="none"/>
        </w:rPr>
        <w:t>评定，</w:t>
      </w:r>
      <w:r>
        <w:rPr>
          <w:rFonts w:hint="eastAsia" w:ascii="宋体" w:hAnsi="宋体" w:eastAsia="宋体" w:cs="宋体"/>
          <w:sz w:val="24"/>
          <w:szCs w:val="24"/>
          <w:highlight w:val="none"/>
          <w:u w:val="single"/>
        </w:rPr>
        <w:t xml:space="preserve">   （中标供应商名称） </w:t>
      </w:r>
      <w:r>
        <w:rPr>
          <w:rFonts w:hint="eastAsia" w:ascii="宋体" w:hAnsi="宋体" w:eastAsia="宋体" w:cs="宋体"/>
          <w:sz w:val="24"/>
          <w:szCs w:val="24"/>
          <w:highlight w:val="none"/>
        </w:rPr>
        <w:t>为该项目中标供应商。</w:t>
      </w:r>
      <w:r>
        <w:rPr>
          <w:rFonts w:hint="eastAsia" w:ascii="宋体" w:hAnsi="宋体" w:eastAsia="宋体" w:cs="宋体"/>
          <w:sz w:val="24"/>
          <w:szCs w:val="24"/>
          <w:highlight w:val="none"/>
          <w:lang w:val="en-US" w:eastAsia="zh-CN"/>
        </w:rPr>
        <w:t>限于</w:t>
      </w:r>
      <w:r>
        <w:rPr>
          <w:rFonts w:hint="eastAsia" w:ascii="宋体" w:hAnsi="宋体" w:eastAsia="宋体" w:cs="宋体"/>
          <w:sz w:val="24"/>
          <w:szCs w:val="24"/>
          <w:highlight w:val="none"/>
        </w:rPr>
        <w:t>中标通知书发出之日起</w:t>
      </w:r>
      <w:r>
        <w:rPr>
          <w:rFonts w:hint="eastAsia" w:ascii="宋体" w:hAnsi="宋体" w:eastAsia="宋体" w:cs="宋体"/>
          <w:sz w:val="24"/>
          <w:szCs w:val="24"/>
          <w:highlight w:val="none"/>
          <w:lang w:val="en-US" w:eastAsia="zh-CN"/>
        </w:rPr>
        <w:t>十五日</w:t>
      </w:r>
      <w:r>
        <w:rPr>
          <w:rFonts w:hint="eastAsia" w:ascii="宋体" w:hAnsi="宋体" w:eastAsia="宋体" w:cs="宋体"/>
          <w:sz w:val="24"/>
          <w:szCs w:val="24"/>
          <w:highlight w:val="none"/>
        </w:rPr>
        <w:t>内，按照采购文件确定的事项签订本合同。</w:t>
      </w:r>
    </w:p>
    <w:p w14:paraId="66D28AE9">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根据《中华人民共和国民法典》、《中华人民共和国政府采购法》等相关法律法规之规定，按照平等、自愿、公平和诚实信用的原则，经</w:t>
      </w:r>
      <w:r>
        <w:rPr>
          <w:rFonts w:hint="eastAsia" w:ascii="宋体" w:hAnsi="宋体" w:eastAsia="宋体" w:cs="宋体"/>
          <w:sz w:val="24"/>
          <w:szCs w:val="24"/>
          <w:highlight w:val="none"/>
          <w:u w:val="single"/>
        </w:rPr>
        <w:t xml:space="preserve">   （采购人名称）   </w:t>
      </w:r>
      <w:r>
        <w:rPr>
          <w:rFonts w:hint="eastAsia" w:ascii="宋体" w:hAnsi="宋体" w:eastAsia="宋体" w:cs="宋体"/>
          <w:sz w:val="24"/>
          <w:szCs w:val="24"/>
          <w:highlight w:val="none"/>
          <w:lang w:val="zh-CN"/>
        </w:rPr>
        <w:t>(以下简称：甲方)和</w:t>
      </w:r>
      <w:r>
        <w:rPr>
          <w:rFonts w:hint="eastAsia" w:ascii="宋体" w:hAnsi="宋体" w:eastAsia="宋体" w:cs="宋体"/>
          <w:sz w:val="24"/>
          <w:szCs w:val="24"/>
          <w:highlight w:val="none"/>
          <w:u w:val="single"/>
        </w:rPr>
        <w:t xml:space="preserve">   （中标供应商名称）   </w:t>
      </w:r>
      <w:r>
        <w:rPr>
          <w:rFonts w:hint="eastAsia" w:ascii="宋体" w:hAnsi="宋体" w:eastAsia="宋体" w:cs="宋体"/>
          <w:sz w:val="24"/>
          <w:szCs w:val="24"/>
          <w:highlight w:val="none"/>
          <w:lang w:val="zh-CN"/>
        </w:rPr>
        <w:t>(以下简称：乙方)协商一致，约定以下合同</w:t>
      </w:r>
      <w:r>
        <w:rPr>
          <w:rFonts w:hint="eastAsia" w:ascii="宋体" w:hAnsi="宋体" w:eastAsia="宋体" w:cs="宋体"/>
          <w:sz w:val="24"/>
          <w:szCs w:val="24"/>
          <w:highlight w:val="none"/>
        </w:rPr>
        <w:t>条款，以兹共同遵守、全面履行。</w:t>
      </w:r>
    </w:p>
    <w:p w14:paraId="45476A3A">
      <w:pPr>
        <w:spacing w:line="560" w:lineRule="exact"/>
        <w:ind w:firstLine="482" w:firstLineChars="200"/>
        <w:outlineLvl w:val="0"/>
        <w:rPr>
          <w:rFonts w:hint="eastAsia" w:ascii="宋体" w:hAnsi="宋体" w:eastAsia="宋体" w:cs="宋体"/>
          <w:sz w:val="24"/>
          <w:szCs w:val="24"/>
          <w:highlight w:val="none"/>
        </w:rPr>
      </w:pPr>
      <w:bookmarkStart w:id="30" w:name="_Toc28855"/>
      <w:bookmarkStart w:id="31" w:name="_Toc20421"/>
      <w:bookmarkStart w:id="32" w:name="_Toc19273"/>
      <w:bookmarkStart w:id="33" w:name="_Toc15367"/>
      <w:bookmarkStart w:id="34" w:name="_Toc22967"/>
      <w:bookmarkStart w:id="35" w:name="_Toc8684"/>
      <w:r>
        <w:rPr>
          <w:rFonts w:hint="eastAsia" w:ascii="宋体" w:hAnsi="宋体" w:eastAsia="宋体" w:cs="宋体"/>
          <w:b/>
          <w:sz w:val="24"/>
          <w:szCs w:val="24"/>
          <w:highlight w:val="none"/>
        </w:rPr>
        <w:t>1.1 合同组成部分</w:t>
      </w:r>
      <w:bookmarkEnd w:id="30"/>
      <w:bookmarkEnd w:id="31"/>
      <w:bookmarkEnd w:id="32"/>
      <w:bookmarkEnd w:id="33"/>
      <w:bookmarkEnd w:id="34"/>
      <w:bookmarkEnd w:id="35"/>
    </w:p>
    <w:p w14:paraId="5AA9C5C9">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1D3FCA39">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1.1.1 本合同及其补充合同、变更协议；</w:t>
      </w:r>
    </w:p>
    <w:p w14:paraId="4A88FA3A">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1.1.2 中标通知书；</w:t>
      </w:r>
    </w:p>
    <w:p w14:paraId="0D7586B9">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1.1.3 投标文件（含澄清或者说明文件）；</w:t>
      </w:r>
    </w:p>
    <w:p w14:paraId="7E119A53">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1.1.4 招标文件（含澄清或者修改文件）；</w:t>
      </w:r>
    </w:p>
    <w:p w14:paraId="6BA3A8D5">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1.1.5 其他相关采购文件。</w:t>
      </w:r>
    </w:p>
    <w:p w14:paraId="14BB0F45">
      <w:pPr>
        <w:spacing w:line="560" w:lineRule="exact"/>
        <w:ind w:firstLine="482" w:firstLineChars="200"/>
        <w:outlineLvl w:val="0"/>
        <w:rPr>
          <w:rFonts w:hint="eastAsia" w:ascii="宋体" w:hAnsi="宋体" w:eastAsia="宋体" w:cs="宋体"/>
          <w:b/>
          <w:sz w:val="24"/>
          <w:szCs w:val="24"/>
          <w:highlight w:val="none"/>
        </w:rPr>
      </w:pPr>
      <w:bookmarkStart w:id="36" w:name="_Toc286"/>
      <w:bookmarkStart w:id="37" w:name="_Toc6773"/>
      <w:bookmarkStart w:id="38" w:name="_Toc2918"/>
      <w:bookmarkStart w:id="39" w:name="_Toc18585"/>
      <w:bookmarkStart w:id="40" w:name="_Toc22185"/>
      <w:bookmarkStart w:id="41" w:name="_Toc6311"/>
      <w:r>
        <w:rPr>
          <w:rFonts w:hint="eastAsia" w:ascii="宋体" w:hAnsi="宋体" w:eastAsia="宋体" w:cs="宋体"/>
          <w:b/>
          <w:sz w:val="24"/>
          <w:szCs w:val="24"/>
          <w:highlight w:val="none"/>
        </w:rPr>
        <w:t>1.2 标的</w:t>
      </w:r>
      <w:bookmarkEnd w:id="36"/>
      <w:bookmarkEnd w:id="37"/>
      <w:bookmarkEnd w:id="38"/>
      <w:bookmarkEnd w:id="39"/>
      <w:bookmarkEnd w:id="40"/>
      <w:bookmarkEnd w:id="41"/>
    </w:p>
    <w:p w14:paraId="7B1C3E69">
      <w:pPr>
        <w:spacing w:line="56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1.2.1 标的名称：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523F1FEB">
      <w:pPr>
        <w:spacing w:line="56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1.2.2 标的数量：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49E9AB2D">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1.2.3 标的质量：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509FF773">
      <w:pPr>
        <w:spacing w:line="560" w:lineRule="exact"/>
        <w:ind w:firstLine="482" w:firstLineChars="200"/>
        <w:outlineLvl w:val="0"/>
        <w:rPr>
          <w:rFonts w:hint="eastAsia" w:ascii="宋体" w:hAnsi="宋体" w:eastAsia="宋体" w:cs="宋体"/>
          <w:b/>
          <w:sz w:val="24"/>
          <w:szCs w:val="24"/>
          <w:highlight w:val="none"/>
        </w:rPr>
      </w:pPr>
      <w:bookmarkStart w:id="42" w:name="_Toc4260"/>
      <w:bookmarkStart w:id="43" w:name="_Toc4929"/>
      <w:bookmarkStart w:id="44" w:name="_Toc13918"/>
      <w:bookmarkStart w:id="45" w:name="_Toc1386"/>
      <w:bookmarkStart w:id="46" w:name="_Toc21124"/>
      <w:bookmarkStart w:id="47" w:name="_Toc5635"/>
      <w:r>
        <w:rPr>
          <w:rFonts w:hint="eastAsia" w:ascii="宋体" w:hAnsi="宋体" w:eastAsia="宋体" w:cs="宋体"/>
          <w:b/>
          <w:sz w:val="24"/>
          <w:szCs w:val="24"/>
          <w:highlight w:val="none"/>
        </w:rPr>
        <w:t>1.3 价款</w:t>
      </w:r>
      <w:bookmarkEnd w:id="42"/>
      <w:bookmarkEnd w:id="43"/>
      <w:bookmarkEnd w:id="44"/>
      <w:bookmarkEnd w:id="45"/>
      <w:bookmarkEnd w:id="46"/>
      <w:bookmarkEnd w:id="47"/>
    </w:p>
    <w:p w14:paraId="5EBAE7DC">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本合同总价为：</w:t>
      </w:r>
      <w:r>
        <w:rPr>
          <w:rFonts w:hint="eastAsia" w:ascii="宋体" w:hAnsi="宋体" w:cs="宋体"/>
          <w:sz w:val="24"/>
          <w:szCs w:val="24"/>
          <w:highlight w:val="none"/>
          <w:lang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元人民币）。</w:t>
      </w:r>
    </w:p>
    <w:p w14:paraId="35FD08B1">
      <w:pPr>
        <w:spacing w:line="56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分项价格：</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3870"/>
        <w:gridCol w:w="2903"/>
      </w:tblGrid>
      <w:tr w14:paraId="587A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366" w:type="dxa"/>
            <w:noWrap w:val="0"/>
            <w:vAlign w:val="center"/>
          </w:tcPr>
          <w:p w14:paraId="58329582">
            <w:pPr>
              <w:pStyle w:val="29"/>
              <w:spacing w:line="56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3870" w:type="dxa"/>
            <w:noWrap w:val="0"/>
            <w:vAlign w:val="center"/>
          </w:tcPr>
          <w:p w14:paraId="5D467F61">
            <w:pPr>
              <w:pStyle w:val="29"/>
              <w:spacing w:line="560" w:lineRule="exact"/>
              <w:ind w:firstLine="200"/>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分项名称</w:t>
            </w:r>
          </w:p>
        </w:tc>
        <w:tc>
          <w:tcPr>
            <w:tcW w:w="2903" w:type="dxa"/>
            <w:noWrap w:val="0"/>
            <w:vAlign w:val="center"/>
          </w:tcPr>
          <w:p w14:paraId="47F940D7">
            <w:pPr>
              <w:pStyle w:val="29"/>
              <w:spacing w:line="56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分项价格</w:t>
            </w:r>
          </w:p>
        </w:tc>
      </w:tr>
      <w:tr w14:paraId="0FD9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366" w:type="dxa"/>
            <w:noWrap w:val="0"/>
            <w:vAlign w:val="center"/>
          </w:tcPr>
          <w:p w14:paraId="3BD4D372">
            <w:pPr>
              <w:pStyle w:val="29"/>
              <w:spacing w:line="560" w:lineRule="exact"/>
              <w:ind w:firstLine="200"/>
              <w:jc w:val="center"/>
              <w:rPr>
                <w:rFonts w:hint="eastAsia" w:ascii="宋体" w:hAnsi="宋体" w:eastAsia="宋体" w:cs="宋体"/>
                <w:color w:val="000000"/>
                <w:sz w:val="24"/>
                <w:szCs w:val="24"/>
                <w:highlight w:val="none"/>
              </w:rPr>
            </w:pPr>
          </w:p>
        </w:tc>
        <w:tc>
          <w:tcPr>
            <w:tcW w:w="3870" w:type="dxa"/>
            <w:noWrap w:val="0"/>
            <w:vAlign w:val="center"/>
          </w:tcPr>
          <w:p w14:paraId="7D5A9C4A">
            <w:pPr>
              <w:pStyle w:val="29"/>
              <w:spacing w:line="560" w:lineRule="exact"/>
              <w:ind w:firstLine="200"/>
              <w:jc w:val="center"/>
              <w:rPr>
                <w:rFonts w:hint="eastAsia" w:ascii="宋体" w:hAnsi="宋体" w:eastAsia="宋体" w:cs="宋体"/>
                <w:color w:val="000000"/>
                <w:sz w:val="24"/>
                <w:szCs w:val="24"/>
                <w:highlight w:val="none"/>
              </w:rPr>
            </w:pPr>
          </w:p>
        </w:tc>
        <w:tc>
          <w:tcPr>
            <w:tcW w:w="2903" w:type="dxa"/>
            <w:noWrap w:val="0"/>
            <w:vAlign w:val="center"/>
          </w:tcPr>
          <w:p w14:paraId="4C680A31">
            <w:pPr>
              <w:pStyle w:val="29"/>
              <w:spacing w:line="560" w:lineRule="exact"/>
              <w:ind w:firstLine="200"/>
              <w:jc w:val="center"/>
              <w:rPr>
                <w:rFonts w:hint="eastAsia" w:ascii="宋体" w:hAnsi="宋体" w:eastAsia="宋体" w:cs="宋体"/>
                <w:color w:val="000000"/>
                <w:sz w:val="24"/>
                <w:szCs w:val="24"/>
                <w:highlight w:val="none"/>
              </w:rPr>
            </w:pPr>
          </w:p>
        </w:tc>
      </w:tr>
      <w:tr w14:paraId="02A7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366" w:type="dxa"/>
            <w:noWrap w:val="0"/>
            <w:vAlign w:val="center"/>
          </w:tcPr>
          <w:p w14:paraId="10764D80">
            <w:pPr>
              <w:pStyle w:val="29"/>
              <w:spacing w:line="560" w:lineRule="exact"/>
              <w:ind w:firstLine="200"/>
              <w:jc w:val="center"/>
              <w:rPr>
                <w:rFonts w:hint="eastAsia" w:ascii="宋体" w:hAnsi="宋体" w:eastAsia="宋体" w:cs="宋体"/>
                <w:color w:val="000000"/>
                <w:sz w:val="24"/>
                <w:szCs w:val="24"/>
                <w:highlight w:val="none"/>
              </w:rPr>
            </w:pPr>
          </w:p>
        </w:tc>
        <w:tc>
          <w:tcPr>
            <w:tcW w:w="3870" w:type="dxa"/>
            <w:noWrap w:val="0"/>
            <w:vAlign w:val="center"/>
          </w:tcPr>
          <w:p w14:paraId="76F6DC95">
            <w:pPr>
              <w:pStyle w:val="29"/>
              <w:spacing w:line="560" w:lineRule="exact"/>
              <w:ind w:firstLine="200"/>
              <w:jc w:val="center"/>
              <w:rPr>
                <w:rFonts w:hint="eastAsia" w:ascii="宋体" w:hAnsi="宋体" w:eastAsia="宋体" w:cs="宋体"/>
                <w:color w:val="000000"/>
                <w:sz w:val="24"/>
                <w:szCs w:val="24"/>
                <w:highlight w:val="none"/>
              </w:rPr>
            </w:pPr>
          </w:p>
        </w:tc>
        <w:tc>
          <w:tcPr>
            <w:tcW w:w="2903" w:type="dxa"/>
            <w:noWrap w:val="0"/>
            <w:vAlign w:val="center"/>
          </w:tcPr>
          <w:p w14:paraId="3784D576">
            <w:pPr>
              <w:pStyle w:val="29"/>
              <w:spacing w:line="560" w:lineRule="exact"/>
              <w:ind w:firstLine="200"/>
              <w:jc w:val="center"/>
              <w:rPr>
                <w:rFonts w:hint="eastAsia" w:ascii="宋体" w:hAnsi="宋体" w:eastAsia="宋体" w:cs="宋体"/>
                <w:color w:val="000000"/>
                <w:sz w:val="24"/>
                <w:szCs w:val="24"/>
                <w:highlight w:val="none"/>
              </w:rPr>
            </w:pPr>
          </w:p>
        </w:tc>
      </w:tr>
      <w:tr w14:paraId="29F2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366" w:type="dxa"/>
            <w:noWrap w:val="0"/>
            <w:vAlign w:val="center"/>
          </w:tcPr>
          <w:p w14:paraId="371B9F0D">
            <w:pPr>
              <w:pStyle w:val="29"/>
              <w:spacing w:line="560" w:lineRule="exact"/>
              <w:ind w:firstLine="200"/>
              <w:jc w:val="center"/>
              <w:rPr>
                <w:rFonts w:hint="eastAsia" w:ascii="宋体" w:hAnsi="宋体" w:eastAsia="宋体" w:cs="宋体"/>
                <w:color w:val="000000"/>
                <w:sz w:val="24"/>
                <w:szCs w:val="24"/>
                <w:highlight w:val="none"/>
              </w:rPr>
            </w:pPr>
          </w:p>
        </w:tc>
        <w:tc>
          <w:tcPr>
            <w:tcW w:w="3870" w:type="dxa"/>
            <w:noWrap w:val="0"/>
            <w:vAlign w:val="center"/>
          </w:tcPr>
          <w:p w14:paraId="7ABE9E12">
            <w:pPr>
              <w:pStyle w:val="29"/>
              <w:spacing w:line="560" w:lineRule="exact"/>
              <w:ind w:firstLine="200"/>
              <w:jc w:val="center"/>
              <w:rPr>
                <w:rFonts w:hint="eastAsia" w:ascii="宋体" w:hAnsi="宋体" w:eastAsia="宋体" w:cs="宋体"/>
                <w:color w:val="000000"/>
                <w:sz w:val="24"/>
                <w:szCs w:val="24"/>
                <w:highlight w:val="none"/>
              </w:rPr>
            </w:pPr>
          </w:p>
        </w:tc>
        <w:tc>
          <w:tcPr>
            <w:tcW w:w="2903" w:type="dxa"/>
            <w:noWrap w:val="0"/>
            <w:vAlign w:val="center"/>
          </w:tcPr>
          <w:p w14:paraId="41DF6D30">
            <w:pPr>
              <w:pStyle w:val="29"/>
              <w:spacing w:line="560" w:lineRule="exact"/>
              <w:ind w:firstLine="200"/>
              <w:jc w:val="center"/>
              <w:rPr>
                <w:rFonts w:hint="eastAsia" w:ascii="宋体" w:hAnsi="宋体" w:eastAsia="宋体" w:cs="宋体"/>
                <w:color w:val="000000"/>
                <w:sz w:val="24"/>
                <w:szCs w:val="24"/>
                <w:highlight w:val="none"/>
              </w:rPr>
            </w:pPr>
          </w:p>
        </w:tc>
      </w:tr>
      <w:tr w14:paraId="76E1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366" w:type="dxa"/>
            <w:noWrap w:val="0"/>
            <w:vAlign w:val="center"/>
          </w:tcPr>
          <w:p w14:paraId="69DF46D5">
            <w:pPr>
              <w:pStyle w:val="29"/>
              <w:spacing w:line="560" w:lineRule="exact"/>
              <w:ind w:firstLine="200"/>
              <w:jc w:val="center"/>
              <w:rPr>
                <w:rFonts w:hint="eastAsia" w:ascii="宋体" w:hAnsi="宋体" w:eastAsia="宋体" w:cs="宋体"/>
                <w:color w:val="000000"/>
                <w:sz w:val="24"/>
                <w:szCs w:val="24"/>
                <w:highlight w:val="none"/>
              </w:rPr>
            </w:pPr>
          </w:p>
        </w:tc>
        <w:tc>
          <w:tcPr>
            <w:tcW w:w="3870" w:type="dxa"/>
            <w:noWrap w:val="0"/>
            <w:vAlign w:val="center"/>
          </w:tcPr>
          <w:p w14:paraId="20739C2D">
            <w:pPr>
              <w:pStyle w:val="29"/>
              <w:spacing w:line="560" w:lineRule="exact"/>
              <w:ind w:firstLine="200"/>
              <w:jc w:val="center"/>
              <w:rPr>
                <w:rFonts w:hint="eastAsia" w:ascii="宋体" w:hAnsi="宋体" w:eastAsia="宋体" w:cs="宋体"/>
                <w:color w:val="000000"/>
                <w:sz w:val="24"/>
                <w:szCs w:val="24"/>
                <w:highlight w:val="none"/>
              </w:rPr>
            </w:pPr>
          </w:p>
        </w:tc>
        <w:tc>
          <w:tcPr>
            <w:tcW w:w="2903" w:type="dxa"/>
            <w:noWrap w:val="0"/>
            <w:vAlign w:val="center"/>
          </w:tcPr>
          <w:p w14:paraId="02E60B72">
            <w:pPr>
              <w:pStyle w:val="29"/>
              <w:spacing w:line="560" w:lineRule="exact"/>
              <w:ind w:firstLine="200"/>
              <w:jc w:val="center"/>
              <w:rPr>
                <w:rFonts w:hint="eastAsia" w:ascii="宋体" w:hAnsi="宋体" w:eastAsia="宋体" w:cs="宋体"/>
                <w:color w:val="000000"/>
                <w:sz w:val="24"/>
                <w:szCs w:val="24"/>
                <w:highlight w:val="none"/>
              </w:rPr>
            </w:pPr>
          </w:p>
        </w:tc>
      </w:tr>
      <w:tr w14:paraId="1CED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236" w:type="dxa"/>
            <w:gridSpan w:val="2"/>
            <w:noWrap w:val="0"/>
            <w:vAlign w:val="center"/>
          </w:tcPr>
          <w:p w14:paraId="783D0040">
            <w:pPr>
              <w:pStyle w:val="29"/>
              <w:spacing w:line="560" w:lineRule="exact"/>
              <w:ind w:firstLine="200"/>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总价</w:t>
            </w:r>
          </w:p>
        </w:tc>
        <w:tc>
          <w:tcPr>
            <w:tcW w:w="2903" w:type="dxa"/>
            <w:noWrap w:val="0"/>
            <w:vAlign w:val="center"/>
          </w:tcPr>
          <w:p w14:paraId="795AE500">
            <w:pPr>
              <w:pStyle w:val="29"/>
              <w:spacing w:line="560" w:lineRule="exact"/>
              <w:ind w:firstLine="200"/>
              <w:jc w:val="center"/>
              <w:rPr>
                <w:rFonts w:hint="eastAsia" w:ascii="宋体" w:hAnsi="宋体" w:eastAsia="宋体" w:cs="宋体"/>
                <w:color w:val="000000"/>
                <w:sz w:val="24"/>
                <w:szCs w:val="24"/>
                <w:highlight w:val="none"/>
              </w:rPr>
            </w:pPr>
          </w:p>
        </w:tc>
      </w:tr>
    </w:tbl>
    <w:p w14:paraId="2274706F">
      <w:pPr>
        <w:spacing w:line="560" w:lineRule="exact"/>
        <w:ind w:firstLine="482" w:firstLineChars="200"/>
        <w:outlineLvl w:val="0"/>
        <w:rPr>
          <w:rFonts w:hint="eastAsia" w:ascii="宋体" w:hAnsi="宋体" w:eastAsia="宋体" w:cs="宋体"/>
          <w:b/>
          <w:sz w:val="24"/>
          <w:szCs w:val="24"/>
          <w:highlight w:val="none"/>
        </w:rPr>
      </w:pPr>
      <w:bookmarkStart w:id="48" w:name="_Toc3654"/>
      <w:bookmarkStart w:id="49" w:name="_Toc30506"/>
      <w:bookmarkStart w:id="50" w:name="_Toc30158"/>
      <w:bookmarkStart w:id="51" w:name="_Toc26916"/>
      <w:bookmarkStart w:id="52" w:name="_Toc7787"/>
      <w:bookmarkStart w:id="53" w:name="_Toc14993"/>
      <w:r>
        <w:rPr>
          <w:rFonts w:hint="eastAsia" w:ascii="宋体" w:hAnsi="宋体" w:eastAsia="宋体" w:cs="宋体"/>
          <w:b/>
          <w:sz w:val="24"/>
          <w:szCs w:val="24"/>
          <w:highlight w:val="none"/>
        </w:rPr>
        <w:t>1.4 付款方式和发票开具方式</w:t>
      </w:r>
      <w:bookmarkEnd w:id="48"/>
      <w:bookmarkEnd w:id="49"/>
      <w:bookmarkEnd w:id="50"/>
      <w:bookmarkEnd w:id="51"/>
      <w:bookmarkEnd w:id="52"/>
      <w:bookmarkEnd w:id="53"/>
    </w:p>
    <w:p w14:paraId="4526D217">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1.4.1付款方式：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32A525AD">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1.4.2 发票开具方式：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4A4A2D9B">
      <w:pPr>
        <w:spacing w:line="560" w:lineRule="exact"/>
        <w:ind w:firstLine="482" w:firstLineChars="200"/>
        <w:outlineLvl w:val="0"/>
        <w:rPr>
          <w:rFonts w:hint="eastAsia" w:ascii="宋体" w:hAnsi="宋体" w:eastAsia="宋体" w:cs="宋体"/>
          <w:b/>
          <w:sz w:val="24"/>
          <w:szCs w:val="24"/>
          <w:highlight w:val="none"/>
        </w:rPr>
      </w:pPr>
      <w:bookmarkStart w:id="54" w:name="_Toc4760"/>
      <w:bookmarkStart w:id="55" w:name="_Toc13565"/>
      <w:bookmarkStart w:id="56" w:name="_Toc31421"/>
      <w:bookmarkStart w:id="57" w:name="_Toc11108"/>
      <w:bookmarkStart w:id="58" w:name="_Toc8772"/>
      <w:bookmarkStart w:id="59" w:name="_Toc3625"/>
      <w:r>
        <w:rPr>
          <w:rFonts w:hint="eastAsia" w:ascii="宋体" w:hAnsi="宋体" w:eastAsia="宋体" w:cs="宋体"/>
          <w:b/>
          <w:sz w:val="24"/>
          <w:szCs w:val="24"/>
          <w:highlight w:val="none"/>
        </w:rPr>
        <w:t>1.5 履行期限、地点和方式</w:t>
      </w:r>
      <w:bookmarkEnd w:id="54"/>
      <w:bookmarkEnd w:id="55"/>
      <w:bookmarkEnd w:id="56"/>
      <w:bookmarkEnd w:id="57"/>
      <w:bookmarkEnd w:id="58"/>
      <w:bookmarkEnd w:id="59"/>
    </w:p>
    <w:p w14:paraId="6832EEB9">
      <w:pPr>
        <w:spacing w:line="56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1.5.1 履行期限：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74318B94">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1.5.2 履行地点：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6A455E20">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1.5.3 履行方式：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1E0EF125">
      <w:pPr>
        <w:spacing w:line="560" w:lineRule="exact"/>
        <w:ind w:firstLine="482" w:firstLineChars="200"/>
        <w:outlineLvl w:val="0"/>
        <w:rPr>
          <w:rFonts w:hint="eastAsia" w:ascii="宋体" w:hAnsi="宋体" w:eastAsia="宋体" w:cs="宋体"/>
          <w:sz w:val="24"/>
          <w:szCs w:val="24"/>
          <w:highlight w:val="none"/>
          <w:u w:val="single"/>
        </w:rPr>
      </w:pPr>
      <w:bookmarkStart w:id="60" w:name="_Toc2375"/>
      <w:bookmarkStart w:id="61" w:name="_Toc24662"/>
      <w:bookmarkStart w:id="62" w:name="_Toc5698"/>
      <w:bookmarkStart w:id="63" w:name="_Toc8586"/>
      <w:bookmarkStart w:id="64" w:name="_Toc3079"/>
      <w:bookmarkStart w:id="65" w:name="_Toc4803"/>
      <w:r>
        <w:rPr>
          <w:rFonts w:hint="eastAsia" w:ascii="宋体" w:hAnsi="宋体" w:eastAsia="宋体" w:cs="宋体"/>
          <w:b/>
          <w:sz w:val="24"/>
          <w:szCs w:val="24"/>
          <w:highlight w:val="none"/>
        </w:rPr>
        <w:t>1.6 违约责任</w:t>
      </w:r>
      <w:bookmarkEnd w:id="60"/>
      <w:bookmarkEnd w:id="61"/>
      <w:bookmarkEnd w:id="62"/>
      <w:bookmarkEnd w:id="63"/>
      <w:bookmarkEnd w:id="64"/>
      <w:bookmarkEnd w:id="65"/>
    </w:p>
    <w:p w14:paraId="7E3BE43B">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1.6.1 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%计算，最高限额为本合同总价的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%；迟延履行的违约金计算数额达到前述最高限额之日起，甲方有权在要求乙方支付违约金的同时，书面通知乙方解除本合同；</w:t>
      </w:r>
    </w:p>
    <w:p w14:paraId="55653690">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1.6.2 除不可抗力外，如果甲方没有按照本合同约定的付款方式付款，那么乙方可要求甲方支付违约金，违约金按每迟延付款一日的应付而未付款的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%计算，最高限额为本合同总价的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%；迟延付款的违约金计算数额达到前述最高限额之日起，乙方有权在要求甲方支付违约金的同时，书面通知甲方解除本合同；</w:t>
      </w:r>
    </w:p>
    <w:p w14:paraId="0764CB21">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来影响对方当事人在合同签订、履行过程中的行为）或者欺诈行为（即：以谎报事实或隐瞒真相的方法来影响对方当事人在合同签订、履行过程中的行为）的，对方当事人可以书面通知违约方解除本合同；</w:t>
      </w:r>
    </w:p>
    <w:p w14:paraId="0C89F721">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B87287E">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623552F">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1.6.6 如果出现政府采购监督管理部门在处理投诉事项期间，书面通知甲方暂停采购活动的情形，或者询问或质疑事项可能影响中标结果的，导致甲方中止履行合同的情形，均不视为甲方违约。</w:t>
      </w:r>
    </w:p>
    <w:p w14:paraId="7FB07652">
      <w:pPr>
        <w:spacing w:line="560" w:lineRule="exact"/>
        <w:ind w:firstLine="482" w:firstLineChars="200"/>
        <w:outlineLvl w:val="0"/>
        <w:rPr>
          <w:rFonts w:hint="eastAsia" w:ascii="宋体" w:hAnsi="宋体" w:eastAsia="宋体" w:cs="宋体"/>
          <w:b/>
          <w:sz w:val="24"/>
          <w:szCs w:val="24"/>
          <w:highlight w:val="none"/>
        </w:rPr>
      </w:pPr>
      <w:bookmarkStart w:id="66" w:name="_Toc30329"/>
      <w:bookmarkStart w:id="67" w:name="_Toc32454"/>
      <w:bookmarkStart w:id="68" w:name="_Toc12652"/>
      <w:bookmarkStart w:id="69" w:name="_Toc18683"/>
      <w:bookmarkStart w:id="70" w:name="_Toc9497"/>
      <w:bookmarkStart w:id="71" w:name="_Toc26807"/>
      <w:r>
        <w:rPr>
          <w:rFonts w:hint="eastAsia" w:ascii="宋体" w:hAnsi="宋体" w:eastAsia="宋体" w:cs="宋体"/>
          <w:b/>
          <w:sz w:val="24"/>
          <w:szCs w:val="24"/>
          <w:highlight w:val="none"/>
        </w:rPr>
        <w:t>1.7 合同争议的解决</w:t>
      </w:r>
      <w:bookmarkEnd w:id="66"/>
      <w:bookmarkEnd w:id="67"/>
      <w:bookmarkEnd w:id="68"/>
      <w:bookmarkEnd w:id="69"/>
      <w:bookmarkEnd w:id="70"/>
      <w:bookmarkEnd w:id="71"/>
    </w:p>
    <w:p w14:paraId="32DF083E">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本合同履行过程中发生的任何争议，双方当事人均可通过和解或者调解解决；不愿和解、调解或者和解、调解不成的，可以选择下列第</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种方式解决：</w:t>
      </w:r>
    </w:p>
    <w:p w14:paraId="06EF53E1">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1.7.1 将争议提交</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仲裁委员会依申请仲裁时其现行有效的仲裁规则裁决；</w:t>
      </w:r>
    </w:p>
    <w:p w14:paraId="22FC8A15">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1.7.2 向</w:t>
      </w:r>
      <w:r>
        <w:rPr>
          <w:rFonts w:hint="eastAsia" w:ascii="宋体" w:hAnsi="宋体" w:eastAsia="宋体" w:cs="宋体"/>
          <w:sz w:val="24"/>
          <w:szCs w:val="24"/>
          <w:highlight w:val="none"/>
          <w:u w:val="single"/>
        </w:rPr>
        <w:t xml:space="preserve">   （被告住所地、合同履行地、合同签订地、原告住所地、标的物所在地等与争议有实际联系的地点中选出的人民法院名称）    </w:t>
      </w:r>
      <w:r>
        <w:rPr>
          <w:rFonts w:hint="eastAsia" w:ascii="宋体" w:hAnsi="宋体" w:eastAsia="宋体" w:cs="宋体"/>
          <w:sz w:val="24"/>
          <w:szCs w:val="24"/>
          <w:highlight w:val="none"/>
        </w:rPr>
        <w:t>人民法院起诉。</w:t>
      </w:r>
    </w:p>
    <w:p w14:paraId="10F1786B">
      <w:pPr>
        <w:spacing w:line="560" w:lineRule="exact"/>
        <w:ind w:firstLine="482" w:firstLineChars="200"/>
        <w:outlineLvl w:val="0"/>
        <w:rPr>
          <w:rFonts w:hint="eastAsia" w:ascii="宋体" w:hAnsi="宋体" w:eastAsia="宋体" w:cs="宋体"/>
          <w:b/>
          <w:sz w:val="24"/>
          <w:szCs w:val="24"/>
          <w:highlight w:val="none"/>
        </w:rPr>
      </w:pPr>
      <w:bookmarkStart w:id="72" w:name="_Toc6193"/>
      <w:bookmarkStart w:id="73" w:name="_Toc16417"/>
      <w:bookmarkStart w:id="74" w:name="_Toc15827"/>
      <w:bookmarkStart w:id="75" w:name="_Toc23784"/>
      <w:bookmarkStart w:id="76" w:name="_Toc26227"/>
      <w:bookmarkStart w:id="77" w:name="_Toc12273"/>
      <w:r>
        <w:rPr>
          <w:rFonts w:hint="eastAsia" w:ascii="宋体" w:hAnsi="宋体" w:eastAsia="宋体" w:cs="宋体"/>
          <w:b/>
          <w:sz w:val="24"/>
          <w:szCs w:val="24"/>
          <w:highlight w:val="none"/>
        </w:rPr>
        <w:t>1.8 合同生效</w:t>
      </w:r>
      <w:bookmarkEnd w:id="72"/>
      <w:bookmarkEnd w:id="73"/>
      <w:bookmarkEnd w:id="74"/>
      <w:bookmarkEnd w:id="75"/>
      <w:bookmarkEnd w:id="76"/>
      <w:bookmarkEnd w:id="77"/>
    </w:p>
    <w:p w14:paraId="0E5086B3">
      <w:pPr>
        <w:spacing w:line="560" w:lineRule="exact"/>
        <w:ind w:firstLine="480" w:firstLineChars="200"/>
        <w:rPr>
          <w:rFonts w:hint="eastAsia" w:ascii="宋体" w:hAnsi="宋体" w:eastAsia="宋体" w:cs="宋体"/>
          <w:b/>
          <w:sz w:val="24"/>
          <w:szCs w:val="24"/>
          <w:highlight w:val="none"/>
        </w:rPr>
      </w:pPr>
      <w:r>
        <w:rPr>
          <w:rFonts w:hint="eastAsia" w:ascii="宋体" w:hAnsi="宋体" w:eastAsia="宋体" w:cs="宋体"/>
          <w:sz w:val="24"/>
          <w:szCs w:val="24"/>
          <w:highlight w:val="none"/>
        </w:rPr>
        <w:t>本合同自双方当事人盖章或者签字时生效。</w:t>
      </w:r>
    </w:p>
    <w:p w14:paraId="0D6056EA">
      <w:pPr>
        <w:autoSpaceDE w:val="0"/>
        <w:autoSpaceDN w:val="0"/>
        <w:adjustRightInd w:val="0"/>
        <w:spacing w:line="560" w:lineRule="exact"/>
        <w:rPr>
          <w:rFonts w:hint="eastAsia" w:ascii="宋体" w:hAnsi="宋体" w:eastAsia="宋体" w:cs="宋体"/>
          <w:sz w:val="24"/>
          <w:szCs w:val="24"/>
          <w:highlight w:val="none"/>
          <w:lang w:val="zh-CN"/>
        </w:rPr>
      </w:pPr>
    </w:p>
    <w:p w14:paraId="6A43253C">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b/>
          <w:sz w:val="24"/>
          <w:szCs w:val="24"/>
          <w:highlight w:val="none"/>
          <w:lang w:val="zh-CN"/>
        </w:rPr>
        <w:t>甲方</w:t>
      </w:r>
      <w:r>
        <w:rPr>
          <w:rFonts w:hint="eastAsia" w:ascii="宋体" w:hAnsi="宋体" w:eastAsia="宋体" w:cs="宋体"/>
          <w:sz w:val="24"/>
          <w:szCs w:val="24"/>
          <w:highlight w:val="none"/>
          <w:lang w:val="zh-CN"/>
        </w:rPr>
        <w:t xml:space="preserve">：                             </w:t>
      </w:r>
      <w:r>
        <w:rPr>
          <w:rFonts w:hint="eastAsia" w:ascii="宋体" w:hAnsi="宋体" w:eastAsia="宋体" w:cs="宋体"/>
          <w:b/>
          <w:sz w:val="24"/>
          <w:szCs w:val="24"/>
          <w:highlight w:val="none"/>
          <w:lang w:val="zh-CN"/>
        </w:rPr>
        <w:t xml:space="preserve">      乙方</w:t>
      </w:r>
      <w:r>
        <w:rPr>
          <w:rFonts w:hint="eastAsia" w:ascii="宋体" w:hAnsi="宋体" w:eastAsia="宋体" w:cs="宋体"/>
          <w:sz w:val="24"/>
          <w:szCs w:val="24"/>
          <w:highlight w:val="none"/>
          <w:lang w:val="zh-CN"/>
        </w:rPr>
        <w:t>：</w:t>
      </w:r>
    </w:p>
    <w:p w14:paraId="0D3E69B1">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统一社会信用代码：                        统一社会信用代码或身份证号码：</w:t>
      </w:r>
    </w:p>
    <w:p w14:paraId="0B8032C5">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住所：                                   住所：</w:t>
      </w:r>
    </w:p>
    <w:p w14:paraId="21397DF7">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法定代表人或                             法定代表人</w:t>
      </w:r>
    </w:p>
    <w:p w14:paraId="33DEB3FB">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xml:space="preserve">授权代表（签字）：                        或授权代表（签字）: </w:t>
      </w:r>
    </w:p>
    <w:p w14:paraId="115F8672">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联系人：                                 联系人：</w:t>
      </w:r>
    </w:p>
    <w:p w14:paraId="3BD14957">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约定送达地址：                           约定送达地址：</w:t>
      </w:r>
    </w:p>
    <w:p w14:paraId="4B9AD635">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邮政编码：                               邮政编码：</w:t>
      </w:r>
    </w:p>
    <w:p w14:paraId="2139E043">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xml:space="preserve">电话:                                    电话: </w:t>
      </w:r>
    </w:p>
    <w:p w14:paraId="4537A312">
      <w:pPr>
        <w:autoSpaceDE w:val="0"/>
        <w:autoSpaceDN w:val="0"/>
        <w:adjustRightInd w:val="0"/>
        <w:spacing w:line="560" w:lineRule="exac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传真:                                    传真:</w:t>
      </w:r>
    </w:p>
    <w:p w14:paraId="138738C5">
      <w:pPr>
        <w:autoSpaceDE w:val="0"/>
        <w:autoSpaceDN w:val="0"/>
        <w:adjustRightInd w:val="0"/>
        <w:spacing w:line="560" w:lineRule="exact"/>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电子邮箱：                               电子邮箱：</w:t>
      </w:r>
    </w:p>
    <w:p w14:paraId="027627EE">
      <w:pPr>
        <w:autoSpaceDE w:val="0"/>
        <w:autoSpaceDN w:val="0"/>
        <w:adjustRightInd w:val="0"/>
        <w:spacing w:line="5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开户银行：                               开户银行： </w:t>
      </w:r>
    </w:p>
    <w:p w14:paraId="348BD06E">
      <w:pPr>
        <w:autoSpaceDE w:val="0"/>
        <w:autoSpaceDN w:val="0"/>
        <w:adjustRightInd w:val="0"/>
        <w:spacing w:line="5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开户名称：                               开户名称： </w:t>
      </w:r>
    </w:p>
    <w:p w14:paraId="2BB10C42">
      <w:pPr>
        <w:autoSpaceDE w:val="0"/>
        <w:autoSpaceDN w:val="0"/>
        <w:adjustRightInd w:val="0"/>
        <w:spacing w:line="5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开户账号：</w:t>
      </w:r>
      <w:r>
        <w:rPr>
          <w:rFonts w:hint="eastAsia" w:ascii="宋体" w:hAnsi="宋体" w:eastAsia="宋体" w:cs="宋体"/>
          <w:sz w:val="24"/>
          <w:szCs w:val="24"/>
          <w:highlight w:val="none"/>
          <w:lang w:val="zh-CN"/>
        </w:rPr>
        <w:t xml:space="preserve">                               </w:t>
      </w:r>
      <w:r>
        <w:rPr>
          <w:rFonts w:hint="eastAsia" w:ascii="宋体" w:hAnsi="宋体" w:eastAsia="宋体" w:cs="宋体"/>
          <w:sz w:val="24"/>
          <w:szCs w:val="24"/>
          <w:highlight w:val="none"/>
        </w:rPr>
        <w:t>开户账号：</w:t>
      </w:r>
    </w:p>
    <w:p w14:paraId="42C0DC60">
      <w:pPr>
        <w:widowControl/>
        <w:spacing w:line="560" w:lineRule="exact"/>
        <w:jc w:val="left"/>
        <w:rPr>
          <w:rFonts w:hint="eastAsia" w:ascii="宋体" w:hAnsi="宋体" w:eastAsia="宋体" w:cs="宋体"/>
          <w:b/>
          <w:sz w:val="24"/>
          <w:szCs w:val="24"/>
          <w:highlight w:val="none"/>
        </w:rPr>
      </w:pPr>
      <w:bookmarkStart w:id="78" w:name="_Toc331685783"/>
    </w:p>
    <w:p w14:paraId="3A3A1FA0">
      <w:pPr>
        <w:widowControl/>
        <w:spacing w:line="560" w:lineRule="exact"/>
        <w:jc w:val="left"/>
        <w:rPr>
          <w:rFonts w:hint="eastAsia" w:ascii="宋体" w:hAnsi="宋体" w:eastAsia="宋体" w:cs="宋体"/>
          <w:b/>
          <w:sz w:val="24"/>
          <w:szCs w:val="24"/>
          <w:highlight w:val="none"/>
        </w:rPr>
      </w:pPr>
    </w:p>
    <w:p w14:paraId="0BAFD261">
      <w:pPr>
        <w:widowControl/>
        <w:spacing w:line="560" w:lineRule="exact"/>
        <w:jc w:val="left"/>
        <w:rPr>
          <w:rFonts w:hint="eastAsia" w:ascii="宋体" w:hAnsi="宋体" w:eastAsia="宋体" w:cs="宋体"/>
          <w:b/>
          <w:kern w:val="0"/>
          <w:sz w:val="24"/>
          <w:szCs w:val="24"/>
          <w:highlight w:val="none"/>
        </w:rPr>
      </w:pPr>
    </w:p>
    <w:p w14:paraId="19C368DF">
      <w:pPr>
        <w:widowControl/>
        <w:spacing w:line="560" w:lineRule="exact"/>
        <w:jc w:val="left"/>
        <w:rPr>
          <w:rFonts w:hint="eastAsia" w:ascii="宋体" w:hAnsi="宋体" w:eastAsia="宋体" w:cs="宋体"/>
          <w:b/>
          <w:kern w:val="0"/>
          <w:sz w:val="24"/>
          <w:szCs w:val="24"/>
          <w:highlight w:val="none"/>
        </w:rPr>
      </w:pPr>
    </w:p>
    <w:p w14:paraId="682C628D">
      <w:pPr>
        <w:widowControl/>
        <w:spacing w:line="560" w:lineRule="exact"/>
        <w:jc w:val="left"/>
        <w:rPr>
          <w:rFonts w:hint="eastAsia" w:ascii="宋体" w:hAnsi="宋体" w:eastAsia="宋体" w:cs="宋体"/>
          <w:b/>
          <w:kern w:val="0"/>
          <w:sz w:val="24"/>
          <w:szCs w:val="24"/>
          <w:highlight w:val="none"/>
        </w:rPr>
      </w:pPr>
    </w:p>
    <w:p w14:paraId="512DA06E">
      <w:pPr>
        <w:widowControl/>
        <w:spacing w:line="560" w:lineRule="exact"/>
        <w:jc w:val="center"/>
        <w:rPr>
          <w:rFonts w:hint="eastAsia" w:ascii="宋体" w:hAnsi="宋体" w:eastAsia="宋体" w:cs="宋体"/>
          <w:b/>
          <w:sz w:val="24"/>
          <w:szCs w:val="24"/>
          <w:highlight w:val="none"/>
        </w:rPr>
      </w:pPr>
      <w:r>
        <w:rPr>
          <w:rFonts w:hint="eastAsia" w:ascii="宋体" w:hAnsi="宋体" w:eastAsia="宋体" w:cs="宋体"/>
          <w:b/>
          <w:kern w:val="0"/>
          <w:sz w:val="24"/>
          <w:szCs w:val="24"/>
          <w:highlight w:val="none"/>
        </w:rPr>
        <w:br w:type="page"/>
      </w:r>
      <w:r>
        <w:rPr>
          <w:rFonts w:hint="eastAsia" w:ascii="宋体" w:hAnsi="宋体" w:eastAsia="宋体" w:cs="宋体"/>
          <w:b/>
          <w:sz w:val="24"/>
          <w:szCs w:val="24"/>
          <w:highlight w:val="none"/>
        </w:rPr>
        <w:t>第二部分 合同一般条款</w:t>
      </w:r>
      <w:bookmarkEnd w:id="78"/>
    </w:p>
    <w:p w14:paraId="31645AB0">
      <w:pPr>
        <w:spacing w:line="560" w:lineRule="exact"/>
        <w:ind w:firstLine="482" w:firstLineChars="200"/>
        <w:outlineLvl w:val="0"/>
        <w:rPr>
          <w:rFonts w:hint="eastAsia" w:ascii="宋体" w:hAnsi="宋体" w:eastAsia="宋体" w:cs="宋体"/>
          <w:b/>
          <w:sz w:val="24"/>
          <w:szCs w:val="24"/>
          <w:highlight w:val="none"/>
        </w:rPr>
      </w:pPr>
      <w:bookmarkStart w:id="79" w:name="_Toc259093669"/>
      <w:bookmarkStart w:id="80" w:name="_Toc31297"/>
      <w:bookmarkStart w:id="81" w:name="_Toc487900349"/>
      <w:bookmarkStart w:id="82" w:name="_Ref467378404"/>
      <w:bookmarkStart w:id="83" w:name="_Ref467379214"/>
      <w:bookmarkStart w:id="84" w:name="_Toc25079"/>
      <w:bookmarkStart w:id="85" w:name="_Toc5228"/>
      <w:bookmarkStart w:id="86" w:name="_Ref467378463"/>
      <w:bookmarkStart w:id="87" w:name="_Toc7061"/>
      <w:bookmarkStart w:id="88" w:name="_Toc14021"/>
      <w:bookmarkStart w:id="89" w:name="_Ref467379205"/>
      <w:bookmarkStart w:id="90" w:name="_Ref467379094"/>
      <w:bookmarkStart w:id="91" w:name="_Ref467379109"/>
      <w:bookmarkStart w:id="92" w:name="_Toc19680"/>
      <w:bookmarkStart w:id="93" w:name="_Ref467379225"/>
      <w:bookmarkStart w:id="94" w:name="_Ref467379195"/>
      <w:bookmarkStart w:id="95" w:name="_Ref467379101"/>
      <w:bookmarkStart w:id="96" w:name="_Toc279701240"/>
      <w:bookmarkStart w:id="97" w:name="_Ref467378499"/>
      <w:r>
        <w:rPr>
          <w:rFonts w:hint="eastAsia" w:ascii="宋体" w:hAnsi="宋体" w:eastAsia="宋体" w:cs="宋体"/>
          <w:b/>
          <w:sz w:val="24"/>
          <w:szCs w:val="24"/>
          <w:highlight w:val="none"/>
        </w:rPr>
        <w:t>2.1 定义</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19459743">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本合同中的下列词语应按以下内容进行解释：</w:t>
      </w:r>
    </w:p>
    <w:p w14:paraId="7E9F196E">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2.1.1 “合同”系指采购人和中标供应商签订的载明双方当事人所达成的协议，并包括所有的附件、附录和构成合同的其他文件。</w:t>
      </w:r>
    </w:p>
    <w:p w14:paraId="1905EFEA">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2.1.2 “合同价”系指根据合同约定，中标供应商在完全履行合同义务后，采购人应支付给中标供应商的价格。</w:t>
      </w:r>
    </w:p>
    <w:p w14:paraId="6A4975E3">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2.1.3 “服务”系指中标供应商根据合同约定应向采购人履行的除货物和工程以外的其他政府采购对象，包括采购人自身需要的服务和向社会公众提供的公共服务。</w:t>
      </w:r>
    </w:p>
    <w:p w14:paraId="539DFA8F">
      <w:pPr>
        <w:spacing w:line="560" w:lineRule="exact"/>
        <w:ind w:firstLine="480" w:firstLineChars="200"/>
        <w:rPr>
          <w:rFonts w:hint="eastAsia" w:ascii="宋体" w:hAnsi="宋体" w:eastAsia="宋体" w:cs="宋体"/>
          <w:sz w:val="24"/>
          <w:szCs w:val="24"/>
          <w:highlight w:val="none"/>
        </w:rPr>
      </w:pPr>
      <w:bookmarkStart w:id="98" w:name="_Ref467378840"/>
      <w:r>
        <w:rPr>
          <w:rFonts w:hint="eastAsia" w:ascii="宋体" w:hAnsi="宋体" w:eastAsia="宋体" w:cs="宋体"/>
          <w:sz w:val="24"/>
          <w:szCs w:val="24"/>
          <w:highlight w:val="none"/>
        </w:rPr>
        <w:t>2.1.4 “甲方”系指与中标供应商签署合同的采购人</w:t>
      </w:r>
      <w:bookmarkEnd w:id="98"/>
      <w:r>
        <w:rPr>
          <w:rFonts w:hint="eastAsia" w:ascii="宋体" w:hAnsi="宋体" w:eastAsia="宋体" w:cs="宋体"/>
          <w:sz w:val="24"/>
          <w:szCs w:val="24"/>
          <w:highlight w:val="none"/>
        </w:rPr>
        <w:t>；采购人委托采购代理机构代表其与乙方签订合同的，采购人的授权委托书作为合同附件。</w:t>
      </w:r>
    </w:p>
    <w:p w14:paraId="504E0585">
      <w:pPr>
        <w:spacing w:line="560" w:lineRule="exact"/>
        <w:ind w:firstLine="480" w:firstLineChars="200"/>
        <w:rPr>
          <w:rFonts w:hint="eastAsia" w:ascii="宋体" w:hAnsi="宋体" w:eastAsia="宋体" w:cs="宋体"/>
          <w:sz w:val="24"/>
          <w:szCs w:val="24"/>
          <w:highlight w:val="none"/>
        </w:rPr>
      </w:pPr>
      <w:bookmarkStart w:id="99" w:name="_Ref467379400"/>
      <w:r>
        <w:rPr>
          <w:rFonts w:hint="eastAsia" w:ascii="宋体" w:hAnsi="宋体" w:eastAsia="宋体" w:cs="宋体"/>
          <w:sz w:val="24"/>
          <w:szCs w:val="24"/>
          <w:highlight w:val="none"/>
        </w:rPr>
        <w:t>2.1.5 “乙方”系指根据合同约定提供服务的中标供应商</w:t>
      </w:r>
      <w:bookmarkEnd w:id="99"/>
      <w:r>
        <w:rPr>
          <w:rFonts w:hint="eastAsia" w:ascii="宋体" w:hAnsi="宋体" w:eastAsia="宋体" w:cs="宋体"/>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2FEE6EA">
      <w:pPr>
        <w:spacing w:line="560" w:lineRule="exact"/>
        <w:ind w:firstLine="480" w:firstLineChars="200"/>
        <w:rPr>
          <w:rFonts w:hint="eastAsia" w:ascii="宋体" w:hAnsi="宋体" w:eastAsia="宋体" w:cs="宋体"/>
          <w:sz w:val="24"/>
          <w:szCs w:val="24"/>
          <w:highlight w:val="none"/>
        </w:rPr>
      </w:pPr>
      <w:bookmarkStart w:id="100" w:name="_Ref467379436"/>
      <w:r>
        <w:rPr>
          <w:rFonts w:hint="eastAsia" w:ascii="宋体" w:hAnsi="宋体" w:eastAsia="宋体" w:cs="宋体"/>
          <w:sz w:val="24"/>
          <w:szCs w:val="24"/>
          <w:highlight w:val="none"/>
        </w:rPr>
        <w:t>2.1.6 “现场”系指合同约定提供服务的地点。</w:t>
      </w:r>
      <w:bookmarkEnd w:id="100"/>
    </w:p>
    <w:p w14:paraId="06F8537E">
      <w:pPr>
        <w:spacing w:line="560" w:lineRule="exact"/>
        <w:ind w:firstLine="482" w:firstLineChars="200"/>
        <w:outlineLvl w:val="0"/>
        <w:rPr>
          <w:rFonts w:hint="eastAsia" w:ascii="宋体" w:hAnsi="宋体" w:eastAsia="宋体" w:cs="宋体"/>
          <w:b/>
          <w:sz w:val="24"/>
          <w:szCs w:val="24"/>
          <w:highlight w:val="none"/>
        </w:rPr>
      </w:pPr>
      <w:bookmarkStart w:id="101" w:name="_Toc487900350"/>
      <w:bookmarkStart w:id="102" w:name="_Toc259093670"/>
      <w:bookmarkStart w:id="103" w:name="_Toc23289"/>
      <w:bookmarkStart w:id="104" w:name="_Toc279701241"/>
      <w:bookmarkStart w:id="105" w:name="_Toc3769"/>
      <w:bookmarkStart w:id="106" w:name="_Toc16752"/>
      <w:bookmarkStart w:id="107" w:name="_Toc31402"/>
      <w:bookmarkStart w:id="108" w:name="_Toc19539"/>
      <w:bookmarkStart w:id="109" w:name="_Toc10882"/>
      <w:r>
        <w:rPr>
          <w:rFonts w:hint="eastAsia" w:ascii="宋体" w:hAnsi="宋体" w:eastAsia="宋体" w:cs="宋体"/>
          <w:b/>
          <w:sz w:val="24"/>
          <w:szCs w:val="24"/>
          <w:highlight w:val="none"/>
        </w:rPr>
        <w:t>2.2 技术规范</w:t>
      </w:r>
      <w:bookmarkEnd w:id="101"/>
      <w:bookmarkEnd w:id="102"/>
      <w:bookmarkEnd w:id="103"/>
      <w:bookmarkEnd w:id="104"/>
      <w:bookmarkEnd w:id="105"/>
      <w:bookmarkEnd w:id="106"/>
      <w:bookmarkEnd w:id="107"/>
      <w:bookmarkEnd w:id="108"/>
      <w:bookmarkEnd w:id="109"/>
    </w:p>
    <w:p w14:paraId="2429E025">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48CE8BF">
      <w:pPr>
        <w:spacing w:line="560" w:lineRule="exact"/>
        <w:ind w:firstLine="482" w:firstLineChars="200"/>
        <w:outlineLvl w:val="0"/>
        <w:rPr>
          <w:rFonts w:hint="eastAsia" w:ascii="宋体" w:hAnsi="宋体" w:eastAsia="宋体" w:cs="宋体"/>
          <w:b/>
          <w:sz w:val="24"/>
          <w:szCs w:val="24"/>
          <w:highlight w:val="none"/>
        </w:rPr>
      </w:pPr>
      <w:bookmarkStart w:id="110" w:name="_Toc4133"/>
      <w:bookmarkStart w:id="111" w:name="_Toc9161"/>
      <w:bookmarkStart w:id="112" w:name="_Toc487900351"/>
      <w:bookmarkStart w:id="113" w:name="_Toc12766"/>
      <w:bookmarkStart w:id="114" w:name="_Toc13673"/>
      <w:bookmarkStart w:id="115" w:name="_Toc27945"/>
      <w:bookmarkStart w:id="116" w:name="_Toc12412"/>
      <w:bookmarkStart w:id="117" w:name="_Toc259093671"/>
      <w:bookmarkStart w:id="118" w:name="_Toc279701242"/>
      <w:r>
        <w:rPr>
          <w:rFonts w:hint="eastAsia" w:ascii="宋体" w:hAnsi="宋体" w:eastAsia="宋体" w:cs="宋体"/>
          <w:b/>
          <w:sz w:val="24"/>
          <w:szCs w:val="24"/>
          <w:highlight w:val="none"/>
        </w:rPr>
        <w:t>2.3 知识产权</w:t>
      </w:r>
      <w:bookmarkEnd w:id="110"/>
      <w:bookmarkEnd w:id="111"/>
      <w:bookmarkEnd w:id="112"/>
      <w:bookmarkEnd w:id="113"/>
      <w:bookmarkEnd w:id="114"/>
      <w:bookmarkEnd w:id="115"/>
      <w:bookmarkEnd w:id="116"/>
      <w:bookmarkEnd w:id="117"/>
      <w:bookmarkEnd w:id="118"/>
    </w:p>
    <w:p w14:paraId="17960DA5">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w:t>
      </w:r>
    </w:p>
    <w:p w14:paraId="2470EC77">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2.3.2 合同涉及技术成果的归属和收益的分成办法的，详见</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w:t>
      </w:r>
    </w:p>
    <w:p w14:paraId="42137338">
      <w:pPr>
        <w:spacing w:line="560" w:lineRule="exact"/>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2.4 履约检查和问题反馈</w:t>
      </w:r>
    </w:p>
    <w:p w14:paraId="2A6123A5">
      <w:pPr>
        <w:spacing w:line="560" w:lineRule="exact"/>
        <w:ind w:firstLine="480" w:firstLineChars="200"/>
        <w:rPr>
          <w:rFonts w:hint="eastAsia" w:ascii="宋体" w:hAnsi="宋体" w:eastAsia="宋体" w:cs="宋体"/>
          <w:sz w:val="24"/>
          <w:szCs w:val="24"/>
          <w:highlight w:val="none"/>
        </w:rPr>
      </w:pPr>
      <w:bookmarkStart w:id="119" w:name="_Ref467379657"/>
      <w:r>
        <w:rPr>
          <w:rFonts w:hint="eastAsia" w:ascii="宋体" w:hAnsi="宋体" w:eastAsia="宋体" w:cs="宋体"/>
          <w:sz w:val="24"/>
          <w:szCs w:val="24"/>
          <w:highlight w:val="none"/>
        </w:rPr>
        <w:t>2.4.1</w:t>
      </w:r>
      <w:bookmarkEnd w:id="119"/>
      <w:bookmarkStart w:id="120" w:name="_Toc186431854"/>
      <w:bookmarkStart w:id="121" w:name="_Toc487900357"/>
      <w:bookmarkStart w:id="122" w:name="_Ref467379807"/>
      <w:bookmarkStart w:id="123" w:name="_Ref467379793"/>
      <w:bookmarkStart w:id="124" w:name="_Toc279701247"/>
      <w:bookmarkStart w:id="125" w:name="_Toc259093676"/>
      <w:r>
        <w:rPr>
          <w:rFonts w:hint="eastAsia" w:ascii="宋体" w:hAnsi="宋体" w:eastAsia="宋体" w:cs="宋体"/>
          <w:sz w:val="24"/>
          <w:szCs w:val="24"/>
          <w:highlight w:val="none"/>
        </w:rPr>
        <w:t>甲方有权在其认为必要时，对乙方是否能够按照合同约定提供服务进行履约检查，以确保乙方所提供的服务能够依约满足甲方之项目需求，但不得因履约检查妨碍乙方的正常工作，乙方应予积极配合；</w:t>
      </w:r>
    </w:p>
    <w:p w14:paraId="4C473495">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2.4.2 合同履行期间，甲方有权将履行过程中出现的问题反馈给乙方，双方当事人应以书面形式约定需要完善和改进的内容</w:t>
      </w:r>
      <w:bookmarkEnd w:id="120"/>
      <w:bookmarkStart w:id="126" w:name="_Toc186431855"/>
      <w:r>
        <w:rPr>
          <w:rFonts w:hint="eastAsia" w:ascii="宋体" w:hAnsi="宋体" w:eastAsia="宋体" w:cs="宋体"/>
          <w:sz w:val="24"/>
          <w:szCs w:val="24"/>
          <w:highlight w:val="none"/>
        </w:rPr>
        <w:t>。</w:t>
      </w:r>
    </w:p>
    <w:bookmarkEnd w:id="126"/>
    <w:p w14:paraId="4BDA04B7">
      <w:pPr>
        <w:spacing w:line="560" w:lineRule="exact"/>
        <w:ind w:firstLine="482" w:firstLineChars="200"/>
        <w:outlineLvl w:val="0"/>
        <w:rPr>
          <w:rFonts w:hint="eastAsia" w:ascii="宋体" w:hAnsi="宋体" w:eastAsia="宋体" w:cs="宋体"/>
          <w:b/>
          <w:sz w:val="24"/>
          <w:szCs w:val="24"/>
          <w:highlight w:val="none"/>
        </w:rPr>
      </w:pPr>
      <w:bookmarkStart w:id="127" w:name="_Toc16652"/>
      <w:bookmarkStart w:id="128" w:name="_Toc31233"/>
      <w:bookmarkStart w:id="129" w:name="_Toc26555"/>
      <w:bookmarkStart w:id="130" w:name="_Toc15447"/>
      <w:bookmarkStart w:id="131" w:name="_Toc22011"/>
      <w:bookmarkStart w:id="132" w:name="_Toc32670"/>
      <w:r>
        <w:rPr>
          <w:rFonts w:hint="eastAsia" w:ascii="宋体" w:hAnsi="宋体" w:eastAsia="宋体" w:cs="宋体"/>
          <w:b/>
          <w:sz w:val="24"/>
          <w:szCs w:val="24"/>
          <w:highlight w:val="none"/>
        </w:rPr>
        <w:t>2.5 结算方式和付款条件</w:t>
      </w:r>
      <w:bookmarkEnd w:id="121"/>
      <w:bookmarkEnd w:id="122"/>
      <w:bookmarkEnd w:id="123"/>
      <w:bookmarkEnd w:id="124"/>
      <w:bookmarkEnd w:id="125"/>
      <w:bookmarkEnd w:id="127"/>
      <w:bookmarkEnd w:id="128"/>
      <w:bookmarkEnd w:id="129"/>
      <w:bookmarkEnd w:id="130"/>
      <w:bookmarkEnd w:id="131"/>
      <w:bookmarkEnd w:id="132"/>
    </w:p>
    <w:p w14:paraId="0343D3DC">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详见</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w:t>
      </w:r>
    </w:p>
    <w:p w14:paraId="526FF8A7">
      <w:pPr>
        <w:spacing w:line="560" w:lineRule="exact"/>
        <w:ind w:firstLine="482" w:firstLineChars="200"/>
        <w:outlineLvl w:val="0"/>
        <w:rPr>
          <w:rFonts w:hint="eastAsia" w:ascii="宋体" w:hAnsi="宋体" w:eastAsia="宋体" w:cs="宋体"/>
          <w:b/>
          <w:sz w:val="24"/>
          <w:szCs w:val="24"/>
          <w:highlight w:val="none"/>
        </w:rPr>
      </w:pPr>
      <w:bookmarkStart w:id="133" w:name="_Ref467379863"/>
      <w:bookmarkStart w:id="134" w:name="_Toc487900358"/>
      <w:bookmarkStart w:id="135" w:name="_Ref467379852"/>
      <w:bookmarkStart w:id="136" w:name="_Toc259093677"/>
      <w:bookmarkStart w:id="137" w:name="_Toc279701248"/>
      <w:bookmarkStart w:id="138" w:name="_Ref467379923"/>
      <w:bookmarkStart w:id="139" w:name="_Toc7853"/>
      <w:bookmarkStart w:id="140" w:name="_Toc30507"/>
      <w:bookmarkStart w:id="141" w:name="_Toc13467"/>
      <w:bookmarkStart w:id="142" w:name="_Toc16163"/>
      <w:bookmarkStart w:id="143" w:name="_Toc18990"/>
      <w:bookmarkStart w:id="144" w:name="_Toc13154"/>
      <w:r>
        <w:rPr>
          <w:rFonts w:hint="eastAsia" w:ascii="宋体" w:hAnsi="宋体" w:eastAsia="宋体" w:cs="宋体"/>
          <w:b/>
          <w:sz w:val="24"/>
          <w:szCs w:val="24"/>
          <w:highlight w:val="none"/>
        </w:rPr>
        <w:t>2.6 技术资料</w:t>
      </w:r>
      <w:bookmarkEnd w:id="133"/>
      <w:bookmarkEnd w:id="134"/>
      <w:bookmarkEnd w:id="135"/>
      <w:bookmarkEnd w:id="136"/>
      <w:bookmarkEnd w:id="137"/>
      <w:bookmarkEnd w:id="138"/>
      <w:r>
        <w:rPr>
          <w:rFonts w:hint="eastAsia" w:ascii="宋体" w:hAnsi="宋体" w:eastAsia="宋体" w:cs="宋体"/>
          <w:b/>
          <w:sz w:val="24"/>
          <w:szCs w:val="24"/>
          <w:highlight w:val="none"/>
        </w:rPr>
        <w:t>和保密义务</w:t>
      </w:r>
      <w:bookmarkEnd w:id="139"/>
      <w:bookmarkEnd w:id="140"/>
      <w:bookmarkEnd w:id="141"/>
      <w:bookmarkEnd w:id="142"/>
      <w:bookmarkEnd w:id="143"/>
      <w:bookmarkEnd w:id="144"/>
    </w:p>
    <w:p w14:paraId="51953A62">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2.6.1 乙方有权依据合同约定和项目需要，向甲方了解有关情况，调阅有关资料等，甲方应予积极配合；</w:t>
      </w:r>
    </w:p>
    <w:p w14:paraId="7CBD42B6">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2.6.2 乙方有义务妥善保管和保护由甲方提供的前款信息和资料等；</w:t>
      </w:r>
    </w:p>
    <w:p w14:paraId="0AAC69A2">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8F5864F">
      <w:pPr>
        <w:spacing w:line="560" w:lineRule="exact"/>
        <w:ind w:firstLine="482" w:firstLineChars="200"/>
        <w:outlineLvl w:val="0"/>
        <w:rPr>
          <w:rFonts w:hint="eastAsia" w:ascii="宋体" w:hAnsi="宋体" w:eastAsia="宋体" w:cs="宋体"/>
          <w:b/>
          <w:sz w:val="24"/>
          <w:szCs w:val="24"/>
          <w:highlight w:val="none"/>
        </w:rPr>
      </w:pPr>
      <w:bookmarkStart w:id="145" w:name="_Toc13181"/>
      <w:bookmarkStart w:id="146" w:name="_Toc19069"/>
      <w:bookmarkStart w:id="147" w:name="_Toc279701252"/>
      <w:bookmarkStart w:id="148" w:name="_Toc487900362"/>
      <w:bookmarkStart w:id="149" w:name="_Toc259093681"/>
      <w:r>
        <w:rPr>
          <w:rFonts w:hint="eastAsia" w:ascii="宋体" w:hAnsi="宋体" w:eastAsia="宋体" w:cs="宋体"/>
          <w:b/>
          <w:sz w:val="24"/>
          <w:szCs w:val="24"/>
          <w:highlight w:val="none"/>
        </w:rPr>
        <w:t>2.7 质量保证</w:t>
      </w:r>
      <w:bookmarkEnd w:id="145"/>
      <w:bookmarkEnd w:id="146"/>
    </w:p>
    <w:p w14:paraId="0B13BF3C">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2.7.1 乙方应建立和完善履行合同的内部质量保证体系，并提供相关内部规章制度给甲方，以便甲方进行监督检查；</w:t>
      </w:r>
    </w:p>
    <w:p w14:paraId="610A628A">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2.7.2 乙方应保证履行合同的人员数量和素质、软件和硬件设备的配置、场地、环境和设施等满足全面履行合同的要求，并应接受甲方的监督检查。</w:t>
      </w:r>
    </w:p>
    <w:p w14:paraId="7DA9CB72">
      <w:pPr>
        <w:spacing w:line="560" w:lineRule="exact"/>
        <w:ind w:firstLine="482" w:firstLineChars="200"/>
        <w:outlineLvl w:val="0"/>
        <w:rPr>
          <w:rFonts w:hint="eastAsia" w:ascii="宋体" w:hAnsi="宋体" w:eastAsia="宋体" w:cs="宋体"/>
          <w:b/>
          <w:sz w:val="24"/>
          <w:szCs w:val="24"/>
          <w:highlight w:val="none"/>
        </w:rPr>
      </w:pPr>
      <w:bookmarkStart w:id="150" w:name="_Toc15976"/>
      <w:bookmarkStart w:id="151" w:name="_Toc22267"/>
      <w:r>
        <w:rPr>
          <w:rFonts w:hint="eastAsia" w:ascii="宋体" w:hAnsi="宋体" w:eastAsia="宋体" w:cs="宋体"/>
          <w:b/>
          <w:sz w:val="24"/>
          <w:szCs w:val="24"/>
          <w:highlight w:val="none"/>
        </w:rPr>
        <w:t>2.8 延迟</w:t>
      </w:r>
      <w:bookmarkEnd w:id="147"/>
      <w:bookmarkEnd w:id="148"/>
      <w:bookmarkEnd w:id="149"/>
      <w:r>
        <w:rPr>
          <w:rFonts w:hint="eastAsia" w:ascii="宋体" w:hAnsi="宋体" w:eastAsia="宋体" w:cs="宋体"/>
          <w:b/>
          <w:sz w:val="24"/>
          <w:szCs w:val="24"/>
          <w:highlight w:val="none"/>
        </w:rPr>
        <w:t>履行</w:t>
      </w:r>
      <w:bookmarkEnd w:id="150"/>
      <w:bookmarkEnd w:id="151"/>
    </w:p>
    <w:p w14:paraId="00A068D3">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2C4FDBFA">
      <w:pPr>
        <w:spacing w:line="560" w:lineRule="exact"/>
        <w:ind w:firstLine="482" w:firstLineChars="200"/>
        <w:outlineLvl w:val="0"/>
        <w:rPr>
          <w:rFonts w:hint="eastAsia" w:ascii="宋体" w:hAnsi="宋体" w:eastAsia="宋体" w:cs="宋体"/>
          <w:b/>
          <w:sz w:val="24"/>
          <w:szCs w:val="24"/>
          <w:highlight w:val="none"/>
        </w:rPr>
      </w:pPr>
      <w:bookmarkStart w:id="152" w:name="_Toc10611"/>
      <w:bookmarkStart w:id="153" w:name="_Toc2632"/>
      <w:bookmarkStart w:id="154" w:name="_Toc487900364"/>
      <w:bookmarkStart w:id="155" w:name="_Toc259093683"/>
      <w:bookmarkStart w:id="156" w:name="_Toc279701254"/>
      <w:bookmarkStart w:id="157" w:name="_Ref467378121"/>
      <w:r>
        <w:rPr>
          <w:rFonts w:hint="eastAsia" w:ascii="宋体" w:hAnsi="宋体" w:eastAsia="宋体" w:cs="宋体"/>
          <w:b/>
          <w:sz w:val="24"/>
          <w:szCs w:val="24"/>
          <w:highlight w:val="none"/>
        </w:rPr>
        <w:t>2.9 合同变更</w:t>
      </w:r>
      <w:bookmarkEnd w:id="152"/>
      <w:bookmarkEnd w:id="153"/>
    </w:p>
    <w:p w14:paraId="4F08DD0F">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2.9.1 双方当事人协商一致，可以签订书面补充合同的形式变更合同，但不得违背采购文件确定的事项，且如果系追加与合同标的相同的服务的，那么所有补充合同的采购金额不得超过原合同价的10%；</w:t>
      </w:r>
    </w:p>
    <w:p w14:paraId="7F772AA4">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2.9.2 合同继续履行将损害国家利益和社会公共利益的，双方当事人应当以书面形式变更合同。有过错的一方应当承担赔偿责任，双方当事人都有过错的，各自承担相应的责任。</w:t>
      </w:r>
      <w:bookmarkStart w:id="158" w:name="_Toc259093688"/>
      <w:bookmarkStart w:id="159" w:name="_Toc279701259"/>
      <w:bookmarkStart w:id="160" w:name="_Toc487900369"/>
    </w:p>
    <w:p w14:paraId="717195DE">
      <w:pPr>
        <w:spacing w:line="560" w:lineRule="exact"/>
        <w:ind w:firstLine="482" w:firstLineChars="200"/>
        <w:outlineLvl w:val="0"/>
        <w:rPr>
          <w:rFonts w:hint="eastAsia" w:ascii="宋体" w:hAnsi="宋体" w:eastAsia="宋体" w:cs="宋体"/>
          <w:b/>
          <w:sz w:val="24"/>
          <w:szCs w:val="24"/>
          <w:highlight w:val="none"/>
        </w:rPr>
      </w:pPr>
      <w:bookmarkStart w:id="161" w:name="_Toc23368"/>
      <w:bookmarkStart w:id="162" w:name="_Toc26689"/>
      <w:bookmarkStart w:id="163" w:name="_Toc18101"/>
      <w:bookmarkStart w:id="164" w:name="_Toc21830"/>
      <w:bookmarkStart w:id="165" w:name="_Toc10663"/>
      <w:bookmarkStart w:id="166" w:name="_Toc42"/>
      <w:r>
        <w:rPr>
          <w:rFonts w:hint="eastAsia" w:ascii="宋体" w:hAnsi="宋体" w:eastAsia="宋体" w:cs="宋体"/>
          <w:b/>
          <w:sz w:val="24"/>
          <w:szCs w:val="24"/>
          <w:highlight w:val="none"/>
        </w:rPr>
        <w:t>2.10 合同转让</w:t>
      </w:r>
      <w:bookmarkEnd w:id="158"/>
      <w:bookmarkEnd w:id="159"/>
      <w:bookmarkEnd w:id="160"/>
      <w:r>
        <w:rPr>
          <w:rFonts w:hint="eastAsia" w:ascii="宋体" w:hAnsi="宋体" w:eastAsia="宋体" w:cs="宋体"/>
          <w:b/>
          <w:sz w:val="24"/>
          <w:szCs w:val="24"/>
          <w:highlight w:val="none"/>
        </w:rPr>
        <w:t>和分包</w:t>
      </w:r>
      <w:bookmarkEnd w:id="161"/>
      <w:bookmarkEnd w:id="162"/>
      <w:bookmarkEnd w:id="163"/>
      <w:bookmarkEnd w:id="164"/>
      <w:bookmarkEnd w:id="165"/>
      <w:bookmarkEnd w:id="166"/>
    </w:p>
    <w:p w14:paraId="603610F7">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CCBBA8C">
      <w:pPr>
        <w:spacing w:line="560" w:lineRule="exact"/>
        <w:ind w:firstLine="482" w:firstLineChars="200"/>
        <w:outlineLvl w:val="0"/>
        <w:rPr>
          <w:rFonts w:hint="eastAsia" w:ascii="宋体" w:hAnsi="宋体" w:eastAsia="宋体" w:cs="宋体"/>
          <w:b/>
          <w:sz w:val="24"/>
          <w:szCs w:val="24"/>
          <w:highlight w:val="none"/>
        </w:rPr>
      </w:pPr>
      <w:bookmarkStart w:id="167" w:name="_Toc32494"/>
      <w:bookmarkStart w:id="168" w:name="_Toc14371"/>
      <w:bookmarkStart w:id="169" w:name="_Toc16244"/>
      <w:bookmarkStart w:id="170" w:name="_Toc26633"/>
      <w:bookmarkStart w:id="171" w:name="_Toc25571"/>
      <w:bookmarkStart w:id="172" w:name="_Toc4720"/>
      <w:r>
        <w:rPr>
          <w:rFonts w:hint="eastAsia" w:ascii="宋体" w:hAnsi="宋体" w:eastAsia="宋体" w:cs="宋体"/>
          <w:b/>
          <w:sz w:val="24"/>
          <w:szCs w:val="24"/>
          <w:highlight w:val="none"/>
        </w:rPr>
        <w:t>2.11 不可抗力</w:t>
      </w:r>
      <w:bookmarkEnd w:id="167"/>
      <w:bookmarkEnd w:id="168"/>
      <w:bookmarkEnd w:id="169"/>
      <w:bookmarkEnd w:id="170"/>
      <w:bookmarkEnd w:id="171"/>
      <w:bookmarkEnd w:id="172"/>
    </w:p>
    <w:p w14:paraId="39A8EECE">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2.11.1如果任何一方遭遇法律规定的不可抗力，致使合同履行受阻时，履行合同的期限应予延长，延长的期限应相当于不可抗力所影响的时间；</w:t>
      </w:r>
    </w:p>
    <w:p w14:paraId="40CACAAE">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2.11.2 因不可抗力致使不能实现合同目的的，当事人可以解除合同；</w:t>
      </w:r>
    </w:p>
    <w:p w14:paraId="5073847A">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2.11.3 因不可抗力致使合同有变更必要的，双方当事人应在</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约定时间内以书面形式变更合同；</w:t>
      </w:r>
    </w:p>
    <w:p w14:paraId="3BD4CC0D">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2.11.4受不可抗力影响的一方在不可抗力发生后，应在</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约定时间内以书面形式通知对方当事人，并在</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约定时间内，将有关部门出具的证明文件送达对方当事人。</w:t>
      </w:r>
    </w:p>
    <w:p w14:paraId="718E6CA9">
      <w:pPr>
        <w:spacing w:line="560" w:lineRule="exact"/>
        <w:ind w:firstLine="482" w:firstLineChars="200"/>
        <w:outlineLvl w:val="0"/>
        <w:rPr>
          <w:rFonts w:hint="eastAsia" w:ascii="宋体" w:hAnsi="宋体" w:eastAsia="宋体" w:cs="宋体"/>
          <w:b/>
          <w:sz w:val="24"/>
          <w:szCs w:val="24"/>
          <w:highlight w:val="none"/>
        </w:rPr>
      </w:pPr>
      <w:bookmarkStart w:id="173" w:name="_Toc3638"/>
      <w:bookmarkStart w:id="174" w:name="_Toc279701255"/>
      <w:bookmarkStart w:id="175" w:name="_Toc14115"/>
      <w:bookmarkStart w:id="176" w:name="_Toc24465"/>
      <w:bookmarkStart w:id="177" w:name="_Toc24723"/>
      <w:bookmarkStart w:id="178" w:name="_Toc23854"/>
      <w:bookmarkStart w:id="179" w:name="_Toc487900365"/>
      <w:bookmarkStart w:id="180" w:name="_Toc25783"/>
      <w:bookmarkStart w:id="181" w:name="_Toc259093684"/>
      <w:r>
        <w:rPr>
          <w:rFonts w:hint="eastAsia" w:ascii="宋体" w:hAnsi="宋体" w:eastAsia="宋体" w:cs="宋体"/>
          <w:b/>
          <w:sz w:val="24"/>
          <w:szCs w:val="24"/>
          <w:highlight w:val="none"/>
        </w:rPr>
        <w:t>2.12 税费</w:t>
      </w:r>
      <w:bookmarkEnd w:id="173"/>
      <w:bookmarkEnd w:id="174"/>
      <w:bookmarkEnd w:id="175"/>
      <w:bookmarkEnd w:id="176"/>
      <w:bookmarkEnd w:id="177"/>
      <w:bookmarkEnd w:id="178"/>
      <w:bookmarkEnd w:id="179"/>
      <w:bookmarkEnd w:id="180"/>
      <w:bookmarkEnd w:id="181"/>
    </w:p>
    <w:p w14:paraId="21348469">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与合同有关的一切税费，均按照中华人民共和国法律的相关规定缴纳。</w:t>
      </w:r>
    </w:p>
    <w:p w14:paraId="396CB96B">
      <w:pPr>
        <w:spacing w:line="560" w:lineRule="exact"/>
        <w:ind w:firstLine="482" w:firstLineChars="200"/>
        <w:outlineLvl w:val="0"/>
        <w:rPr>
          <w:rFonts w:hint="eastAsia" w:ascii="宋体" w:hAnsi="宋体" w:eastAsia="宋体" w:cs="宋体"/>
          <w:b/>
          <w:sz w:val="24"/>
          <w:szCs w:val="24"/>
          <w:highlight w:val="none"/>
        </w:rPr>
      </w:pPr>
      <w:bookmarkStart w:id="182" w:name="_Toc26883"/>
      <w:bookmarkStart w:id="183" w:name="_Toc14814"/>
      <w:bookmarkStart w:id="184" w:name="_Toc23249"/>
      <w:bookmarkStart w:id="185" w:name="_Toc25525"/>
      <w:bookmarkStart w:id="186" w:name="_Toc7315"/>
      <w:bookmarkStart w:id="187" w:name="_Toc259093687"/>
      <w:bookmarkStart w:id="188" w:name="_Toc30105"/>
      <w:bookmarkStart w:id="189" w:name="_Toc487900368"/>
      <w:bookmarkStart w:id="190" w:name="_Toc279701258"/>
      <w:r>
        <w:rPr>
          <w:rFonts w:hint="eastAsia" w:ascii="宋体" w:hAnsi="宋体" w:eastAsia="宋体" w:cs="宋体"/>
          <w:b/>
          <w:sz w:val="24"/>
          <w:szCs w:val="24"/>
          <w:highlight w:val="none"/>
        </w:rPr>
        <w:t>2.13 乙方破产</w:t>
      </w:r>
      <w:bookmarkEnd w:id="182"/>
      <w:bookmarkEnd w:id="183"/>
      <w:bookmarkEnd w:id="184"/>
      <w:bookmarkEnd w:id="185"/>
      <w:bookmarkEnd w:id="186"/>
      <w:bookmarkEnd w:id="187"/>
      <w:bookmarkEnd w:id="188"/>
      <w:bookmarkEnd w:id="189"/>
      <w:bookmarkEnd w:id="190"/>
    </w:p>
    <w:p w14:paraId="3C44D8D1">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5F4363F">
      <w:pPr>
        <w:spacing w:line="560" w:lineRule="exact"/>
        <w:ind w:firstLine="482" w:firstLineChars="200"/>
        <w:outlineLvl w:val="0"/>
        <w:rPr>
          <w:rFonts w:hint="eastAsia" w:ascii="宋体" w:hAnsi="宋体" w:eastAsia="宋体" w:cs="宋体"/>
          <w:b/>
          <w:sz w:val="24"/>
          <w:szCs w:val="24"/>
          <w:highlight w:val="none"/>
        </w:rPr>
      </w:pPr>
      <w:bookmarkStart w:id="191" w:name="_Toc1123"/>
      <w:bookmarkStart w:id="192" w:name="_Toc5174"/>
      <w:bookmarkStart w:id="193" w:name="_Toc2016"/>
      <w:bookmarkStart w:id="194" w:name="_Toc23323"/>
      <w:r>
        <w:rPr>
          <w:rFonts w:hint="eastAsia" w:ascii="宋体" w:hAnsi="宋体" w:eastAsia="宋体" w:cs="宋体"/>
          <w:b/>
          <w:sz w:val="24"/>
          <w:szCs w:val="24"/>
          <w:highlight w:val="none"/>
        </w:rPr>
        <w:t>2.14 合同中止、终止</w:t>
      </w:r>
      <w:bookmarkEnd w:id="191"/>
      <w:bookmarkEnd w:id="192"/>
      <w:bookmarkEnd w:id="193"/>
      <w:bookmarkEnd w:id="194"/>
    </w:p>
    <w:p w14:paraId="6D3EB4A3">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2.14.1 双方当事人不得擅自中止或者终止合同；</w:t>
      </w:r>
    </w:p>
    <w:p w14:paraId="0E5773C5">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7052BE8E">
      <w:pPr>
        <w:spacing w:line="560" w:lineRule="exact"/>
        <w:ind w:firstLine="482" w:firstLineChars="200"/>
        <w:outlineLvl w:val="0"/>
        <w:rPr>
          <w:rFonts w:hint="eastAsia" w:ascii="宋体" w:hAnsi="宋体" w:eastAsia="宋体" w:cs="宋体"/>
          <w:b/>
          <w:sz w:val="24"/>
          <w:szCs w:val="24"/>
          <w:highlight w:val="none"/>
        </w:rPr>
      </w:pPr>
      <w:bookmarkStart w:id="195" w:name="_Toc14525"/>
      <w:bookmarkStart w:id="196" w:name="_Toc17363"/>
      <w:bookmarkStart w:id="197" w:name="_Toc27870"/>
      <w:bookmarkStart w:id="198" w:name="_Toc1969"/>
      <w:r>
        <w:rPr>
          <w:rFonts w:hint="eastAsia" w:ascii="宋体" w:hAnsi="宋体" w:eastAsia="宋体" w:cs="宋体"/>
          <w:b/>
          <w:sz w:val="24"/>
          <w:szCs w:val="24"/>
          <w:highlight w:val="none"/>
        </w:rPr>
        <w:t>2.15 检验和验收</w:t>
      </w:r>
      <w:bookmarkEnd w:id="195"/>
      <w:bookmarkEnd w:id="196"/>
      <w:bookmarkEnd w:id="197"/>
      <w:bookmarkEnd w:id="198"/>
    </w:p>
    <w:p w14:paraId="48654FDD">
      <w:pPr>
        <w:tabs>
          <w:tab w:val="left" w:pos="360"/>
          <w:tab w:val="left" w:pos="540"/>
          <w:tab w:val="left" w:pos="1080"/>
        </w:tabs>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2.15.1 乙方按照</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的约定，定期提交服务报告，甲方按照</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的约定进行定期验收；</w:t>
      </w:r>
    </w:p>
    <w:p w14:paraId="50B12AEF">
      <w:pPr>
        <w:tabs>
          <w:tab w:val="left" w:pos="360"/>
          <w:tab w:val="left" w:pos="540"/>
          <w:tab w:val="left" w:pos="1080"/>
        </w:tabs>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4C2E00D">
      <w:pPr>
        <w:tabs>
          <w:tab w:val="left" w:pos="360"/>
          <w:tab w:val="left" w:pos="540"/>
          <w:tab w:val="left" w:pos="1080"/>
        </w:tabs>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2.15.3 检验和验收标准、程序等具体内容以及前述验收书的效力详见</w:t>
      </w:r>
      <w:r>
        <w:rPr>
          <w:rFonts w:hint="eastAsia" w:ascii="宋体" w:hAnsi="宋体" w:eastAsia="宋体" w:cs="宋体"/>
          <w:b/>
          <w:i/>
          <w:sz w:val="24"/>
          <w:szCs w:val="24"/>
          <w:highlight w:val="none"/>
          <w:u w:val="single"/>
        </w:rPr>
        <w:t>合同专用条款</w:t>
      </w:r>
      <w:r>
        <w:rPr>
          <w:rFonts w:hint="eastAsia" w:ascii="宋体" w:hAnsi="宋体" w:eastAsia="宋体" w:cs="宋体"/>
          <w:i/>
          <w:sz w:val="24"/>
          <w:szCs w:val="24"/>
          <w:highlight w:val="none"/>
        </w:rPr>
        <w:t>。</w:t>
      </w:r>
    </w:p>
    <w:bookmarkEnd w:id="154"/>
    <w:bookmarkEnd w:id="155"/>
    <w:bookmarkEnd w:id="156"/>
    <w:bookmarkEnd w:id="157"/>
    <w:p w14:paraId="08D1DB12">
      <w:pPr>
        <w:spacing w:line="560" w:lineRule="exact"/>
        <w:ind w:firstLine="482" w:firstLineChars="200"/>
        <w:outlineLvl w:val="0"/>
        <w:rPr>
          <w:rFonts w:hint="eastAsia" w:ascii="宋体" w:hAnsi="宋体" w:eastAsia="宋体" w:cs="宋体"/>
          <w:b/>
          <w:sz w:val="24"/>
          <w:szCs w:val="24"/>
          <w:highlight w:val="none"/>
        </w:rPr>
      </w:pPr>
      <w:bookmarkStart w:id="199" w:name="_Toc259093690"/>
      <w:bookmarkStart w:id="200" w:name="_Toc279701261"/>
      <w:bookmarkStart w:id="201" w:name="_Toc487900371"/>
      <w:bookmarkStart w:id="202" w:name="_Toc2308"/>
      <w:bookmarkStart w:id="203" w:name="_Toc31892"/>
      <w:bookmarkStart w:id="204" w:name="_Toc7376"/>
      <w:bookmarkStart w:id="205" w:name="_Toc12666"/>
      <w:bookmarkStart w:id="206" w:name="_Toc9808"/>
      <w:bookmarkStart w:id="207" w:name="_Toc25198"/>
      <w:r>
        <w:rPr>
          <w:rFonts w:hint="eastAsia" w:ascii="宋体" w:hAnsi="宋体" w:eastAsia="宋体" w:cs="宋体"/>
          <w:b/>
          <w:sz w:val="24"/>
          <w:szCs w:val="24"/>
          <w:highlight w:val="none"/>
        </w:rPr>
        <w:t>2.16 通知</w:t>
      </w:r>
      <w:bookmarkEnd w:id="199"/>
      <w:bookmarkEnd w:id="200"/>
      <w:bookmarkEnd w:id="201"/>
      <w:r>
        <w:rPr>
          <w:rFonts w:hint="eastAsia" w:ascii="宋体" w:hAnsi="宋体" w:eastAsia="宋体" w:cs="宋体"/>
          <w:b/>
          <w:sz w:val="24"/>
          <w:szCs w:val="24"/>
          <w:highlight w:val="none"/>
        </w:rPr>
        <w:t>和送达</w:t>
      </w:r>
      <w:bookmarkEnd w:id="202"/>
      <w:bookmarkEnd w:id="203"/>
      <w:bookmarkEnd w:id="204"/>
      <w:bookmarkEnd w:id="205"/>
      <w:bookmarkEnd w:id="206"/>
      <w:bookmarkEnd w:id="207"/>
    </w:p>
    <w:p w14:paraId="7F6C2D0E">
      <w:pPr>
        <w:spacing w:line="560" w:lineRule="exact"/>
        <w:ind w:firstLine="480" w:firstLineChars="200"/>
        <w:rPr>
          <w:rFonts w:hint="eastAsia" w:ascii="宋体" w:hAnsi="宋体" w:eastAsia="宋体" w:cs="宋体"/>
          <w:sz w:val="24"/>
          <w:szCs w:val="24"/>
          <w:highlight w:val="none"/>
        </w:rPr>
      </w:pPr>
      <w:bookmarkStart w:id="208" w:name="_Toc7073"/>
      <w:bookmarkStart w:id="209" w:name="_Toc29220"/>
      <w:bookmarkStart w:id="210" w:name="_Toc259093691"/>
      <w:bookmarkStart w:id="211" w:name="_Toc487900372"/>
      <w:bookmarkStart w:id="212" w:name="_Toc279701262"/>
      <w:r>
        <w:rPr>
          <w:rFonts w:hint="eastAsia" w:ascii="宋体" w:hAnsi="宋体" w:eastAsia="宋体" w:cs="宋体"/>
          <w:sz w:val="24"/>
          <w:szCs w:val="24"/>
          <w:highlight w:val="none"/>
        </w:rPr>
        <w:t>2.16.1 任何一方因履行合同而以合同第一部分尾部所列明的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发出的所有通知、文件、材料，均视为已向对方当事人送达；任何一方变更上述送达方式或者地址的，应于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个工作日内书面通知对方当事人，在对方当事人收到有关变更通知之前，变更前的约定送达方式或者地址仍视为有效。</w:t>
      </w:r>
      <w:bookmarkEnd w:id="208"/>
      <w:bookmarkEnd w:id="209"/>
    </w:p>
    <w:p w14:paraId="476BAA64">
      <w:pPr>
        <w:spacing w:line="560" w:lineRule="exact"/>
        <w:ind w:firstLine="480" w:firstLineChars="200"/>
        <w:rPr>
          <w:rFonts w:hint="eastAsia" w:ascii="宋体" w:hAnsi="宋体" w:eastAsia="宋体" w:cs="宋体"/>
          <w:sz w:val="24"/>
          <w:szCs w:val="24"/>
          <w:highlight w:val="none"/>
        </w:rPr>
      </w:pPr>
      <w:bookmarkStart w:id="213" w:name="_Toc27674"/>
      <w:bookmarkStart w:id="214" w:name="_Toc18401"/>
      <w:r>
        <w:rPr>
          <w:rFonts w:hint="eastAsia" w:ascii="宋体" w:hAnsi="宋体" w:eastAsia="宋体" w:cs="宋体"/>
          <w:sz w:val="24"/>
          <w:szCs w:val="24"/>
          <w:highlight w:val="none"/>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213"/>
      <w:bookmarkEnd w:id="214"/>
    </w:p>
    <w:bookmarkEnd w:id="210"/>
    <w:bookmarkEnd w:id="211"/>
    <w:bookmarkEnd w:id="212"/>
    <w:p w14:paraId="3A0A4767">
      <w:pPr>
        <w:spacing w:line="560" w:lineRule="exact"/>
        <w:ind w:firstLine="482" w:firstLineChars="200"/>
        <w:outlineLvl w:val="0"/>
        <w:rPr>
          <w:rFonts w:hint="eastAsia" w:ascii="宋体" w:hAnsi="宋体" w:eastAsia="宋体" w:cs="宋体"/>
          <w:b/>
          <w:sz w:val="24"/>
          <w:szCs w:val="24"/>
          <w:highlight w:val="none"/>
        </w:rPr>
      </w:pPr>
      <w:bookmarkStart w:id="215" w:name="_Toc279701263"/>
      <w:bookmarkStart w:id="216" w:name="_Toc259093692"/>
      <w:bookmarkStart w:id="217" w:name="_Toc20808"/>
      <w:bookmarkStart w:id="218" w:name="_Toc28906"/>
      <w:bookmarkStart w:id="219" w:name="_Toc487900373"/>
      <w:bookmarkStart w:id="220" w:name="_Toc27644"/>
      <w:bookmarkStart w:id="221" w:name="_Toc5063"/>
      <w:bookmarkStart w:id="222" w:name="_Toc17898"/>
      <w:bookmarkStart w:id="223" w:name="_Toc12254"/>
      <w:r>
        <w:rPr>
          <w:rFonts w:hint="eastAsia" w:ascii="宋体" w:hAnsi="宋体" w:eastAsia="宋体" w:cs="宋体"/>
          <w:b/>
          <w:sz w:val="24"/>
          <w:szCs w:val="24"/>
          <w:highlight w:val="none"/>
        </w:rPr>
        <w:t>2.17 合同使用的文字和适用的法律</w:t>
      </w:r>
      <w:bookmarkEnd w:id="215"/>
      <w:bookmarkEnd w:id="216"/>
      <w:bookmarkEnd w:id="217"/>
      <w:bookmarkEnd w:id="218"/>
      <w:bookmarkEnd w:id="219"/>
      <w:bookmarkEnd w:id="220"/>
      <w:bookmarkEnd w:id="221"/>
      <w:bookmarkEnd w:id="222"/>
      <w:bookmarkEnd w:id="223"/>
    </w:p>
    <w:p w14:paraId="5C405ACF">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2.17.1 合同使用汉语书就、变更和解释；</w:t>
      </w:r>
    </w:p>
    <w:p w14:paraId="4F2EE410">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2.17.2 合同适用中华人民共和国法律。</w:t>
      </w:r>
    </w:p>
    <w:p w14:paraId="7CABB797">
      <w:pPr>
        <w:spacing w:line="560" w:lineRule="exact"/>
        <w:ind w:firstLine="482" w:firstLineChars="200"/>
        <w:outlineLvl w:val="0"/>
        <w:rPr>
          <w:rFonts w:hint="eastAsia" w:ascii="宋体" w:hAnsi="宋体" w:eastAsia="宋体" w:cs="宋体"/>
          <w:b/>
          <w:sz w:val="24"/>
          <w:szCs w:val="24"/>
          <w:highlight w:val="none"/>
        </w:rPr>
      </w:pPr>
      <w:bookmarkStart w:id="224" w:name="_Toc30096"/>
      <w:bookmarkStart w:id="225" w:name="_Toc27403"/>
      <w:bookmarkStart w:id="226" w:name="_Toc27127"/>
      <w:bookmarkStart w:id="227" w:name="_Toc259093693"/>
      <w:bookmarkStart w:id="228" w:name="_Toc1492"/>
      <w:bookmarkStart w:id="229" w:name="_Toc279701264"/>
      <w:bookmarkStart w:id="230" w:name="_Toc22266"/>
      <w:bookmarkStart w:id="231" w:name="_Toc11190"/>
      <w:bookmarkStart w:id="232" w:name="_Toc487900374"/>
      <w:r>
        <w:rPr>
          <w:rFonts w:hint="eastAsia" w:ascii="宋体" w:hAnsi="宋体" w:eastAsia="宋体" w:cs="宋体"/>
          <w:b/>
          <w:sz w:val="24"/>
          <w:szCs w:val="24"/>
          <w:highlight w:val="none"/>
        </w:rPr>
        <w:t>2.18 履约保证金</w:t>
      </w:r>
      <w:bookmarkEnd w:id="224"/>
      <w:bookmarkEnd w:id="225"/>
      <w:bookmarkEnd w:id="226"/>
      <w:bookmarkEnd w:id="227"/>
      <w:bookmarkEnd w:id="228"/>
      <w:bookmarkEnd w:id="229"/>
      <w:bookmarkEnd w:id="230"/>
      <w:bookmarkEnd w:id="231"/>
    </w:p>
    <w:p w14:paraId="1FB4E440">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2.18.1 采购文件要求乙方提交履约保证金的，乙方应按</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约定的方式，以支票、汇票、本票或者金融机构、担保机构出具的保函等非现金形式，提交不超过合同价10%的履约保证金；</w:t>
      </w:r>
    </w:p>
    <w:p w14:paraId="499325BB">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2.18.2 履约保证金在</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约定期间内不予退还或者应完全有效，前述约定期间届满之日起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个工作日内，甲方应将履约保证金退还乙方；</w:t>
      </w:r>
    </w:p>
    <w:p w14:paraId="6BEA5BF3">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2.18.3 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32"/>
    <w:p w14:paraId="4C9512D1">
      <w:pPr>
        <w:spacing w:line="560" w:lineRule="exact"/>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2.19 合同份数</w:t>
      </w:r>
    </w:p>
    <w:p w14:paraId="12CE1110">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合同份数按</w:t>
      </w:r>
      <w:r>
        <w:rPr>
          <w:rFonts w:hint="eastAsia" w:ascii="宋体" w:hAnsi="宋体" w:eastAsia="宋体" w:cs="宋体"/>
          <w:b/>
          <w:i/>
          <w:sz w:val="24"/>
          <w:szCs w:val="24"/>
          <w:highlight w:val="none"/>
          <w:u w:val="single"/>
        </w:rPr>
        <w:t>合同专用条款</w:t>
      </w:r>
      <w:r>
        <w:rPr>
          <w:rFonts w:hint="eastAsia" w:ascii="宋体" w:hAnsi="宋体" w:eastAsia="宋体" w:cs="宋体"/>
          <w:sz w:val="24"/>
          <w:szCs w:val="24"/>
          <w:highlight w:val="none"/>
        </w:rPr>
        <w:t>规定，每份均具有同等法律效力。</w:t>
      </w:r>
    </w:p>
    <w:p w14:paraId="42F66879">
      <w:pPr>
        <w:pStyle w:val="27"/>
        <w:spacing w:line="560" w:lineRule="exact"/>
        <w:ind w:firstLine="0"/>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br w:type="page"/>
      </w:r>
      <w:bookmarkStart w:id="233" w:name="_Toc331685784"/>
      <w:r>
        <w:rPr>
          <w:rFonts w:hint="eastAsia" w:ascii="宋体" w:hAnsi="宋体" w:eastAsia="宋体" w:cs="宋体"/>
          <w:b/>
          <w:sz w:val="24"/>
          <w:szCs w:val="24"/>
          <w:highlight w:val="none"/>
        </w:rPr>
        <w:t>第三部分  合同专用条款</w:t>
      </w:r>
      <w:bookmarkEnd w:id="233"/>
    </w:p>
    <w:p w14:paraId="30FF881E">
      <w:pPr>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1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01"/>
        <w:gridCol w:w="7633"/>
      </w:tblGrid>
      <w:tr w14:paraId="438BDA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801" w:type="dxa"/>
            <w:tcBorders>
              <w:left w:val="single" w:color="auto" w:sz="4" w:space="0"/>
            </w:tcBorders>
            <w:noWrap w:val="0"/>
            <w:vAlign w:val="center"/>
          </w:tcPr>
          <w:p w14:paraId="0FA193C3">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条款号</w:t>
            </w:r>
          </w:p>
        </w:tc>
        <w:tc>
          <w:tcPr>
            <w:tcW w:w="7633" w:type="dxa"/>
            <w:noWrap w:val="0"/>
            <w:vAlign w:val="center"/>
          </w:tcPr>
          <w:p w14:paraId="2FEB6318">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约定内容</w:t>
            </w:r>
          </w:p>
        </w:tc>
      </w:tr>
      <w:tr w14:paraId="7A23A9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801" w:type="dxa"/>
            <w:tcBorders>
              <w:left w:val="single" w:color="auto" w:sz="4" w:space="0"/>
            </w:tcBorders>
            <w:noWrap w:val="0"/>
            <w:vAlign w:val="center"/>
          </w:tcPr>
          <w:p w14:paraId="169C7E7A">
            <w:pPr>
              <w:spacing w:line="560" w:lineRule="exact"/>
              <w:rPr>
                <w:rFonts w:hint="eastAsia" w:ascii="宋体" w:hAnsi="宋体" w:eastAsia="宋体" w:cs="宋体"/>
                <w:sz w:val="24"/>
                <w:szCs w:val="24"/>
                <w:highlight w:val="none"/>
              </w:rPr>
            </w:pPr>
          </w:p>
        </w:tc>
        <w:tc>
          <w:tcPr>
            <w:tcW w:w="7633" w:type="dxa"/>
            <w:noWrap w:val="0"/>
            <w:vAlign w:val="center"/>
          </w:tcPr>
          <w:p w14:paraId="7EF84965">
            <w:pPr>
              <w:spacing w:line="560" w:lineRule="exact"/>
              <w:rPr>
                <w:rFonts w:hint="eastAsia" w:ascii="宋体" w:hAnsi="宋体" w:eastAsia="宋体" w:cs="宋体"/>
                <w:sz w:val="24"/>
                <w:szCs w:val="24"/>
                <w:highlight w:val="none"/>
              </w:rPr>
            </w:pPr>
          </w:p>
        </w:tc>
      </w:tr>
      <w:tr w14:paraId="7848B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1" w:type="dxa"/>
            <w:tcBorders>
              <w:left w:val="single" w:color="auto" w:sz="4" w:space="0"/>
            </w:tcBorders>
            <w:noWrap w:val="0"/>
            <w:vAlign w:val="center"/>
          </w:tcPr>
          <w:p w14:paraId="66AF8F5D">
            <w:pPr>
              <w:spacing w:line="560" w:lineRule="exact"/>
              <w:rPr>
                <w:rFonts w:hint="eastAsia" w:ascii="宋体" w:hAnsi="宋体" w:eastAsia="宋体" w:cs="宋体"/>
                <w:sz w:val="24"/>
                <w:szCs w:val="24"/>
                <w:highlight w:val="none"/>
              </w:rPr>
            </w:pPr>
          </w:p>
        </w:tc>
        <w:tc>
          <w:tcPr>
            <w:tcW w:w="7633" w:type="dxa"/>
            <w:noWrap w:val="0"/>
            <w:vAlign w:val="center"/>
          </w:tcPr>
          <w:p w14:paraId="4EEF9036">
            <w:pPr>
              <w:spacing w:line="560" w:lineRule="exact"/>
              <w:rPr>
                <w:rFonts w:hint="eastAsia" w:ascii="宋体" w:hAnsi="宋体" w:eastAsia="宋体" w:cs="宋体"/>
                <w:sz w:val="24"/>
                <w:szCs w:val="24"/>
                <w:highlight w:val="none"/>
              </w:rPr>
            </w:pPr>
          </w:p>
        </w:tc>
      </w:tr>
      <w:tr w14:paraId="46155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1" w:type="dxa"/>
            <w:tcBorders>
              <w:left w:val="single" w:color="auto" w:sz="4" w:space="0"/>
            </w:tcBorders>
            <w:noWrap w:val="0"/>
            <w:vAlign w:val="center"/>
          </w:tcPr>
          <w:p w14:paraId="748D1400">
            <w:pPr>
              <w:spacing w:line="560" w:lineRule="exact"/>
              <w:rPr>
                <w:rFonts w:hint="eastAsia" w:ascii="宋体" w:hAnsi="宋体" w:eastAsia="宋体" w:cs="宋体"/>
                <w:sz w:val="24"/>
                <w:szCs w:val="24"/>
                <w:highlight w:val="none"/>
              </w:rPr>
            </w:pPr>
          </w:p>
        </w:tc>
        <w:tc>
          <w:tcPr>
            <w:tcW w:w="7633" w:type="dxa"/>
            <w:noWrap w:val="0"/>
            <w:vAlign w:val="center"/>
          </w:tcPr>
          <w:p w14:paraId="6155A54C">
            <w:pPr>
              <w:spacing w:line="560" w:lineRule="exact"/>
              <w:rPr>
                <w:rFonts w:hint="eastAsia" w:ascii="宋体" w:hAnsi="宋体" w:eastAsia="宋体" w:cs="宋体"/>
                <w:sz w:val="24"/>
                <w:szCs w:val="24"/>
                <w:highlight w:val="none"/>
              </w:rPr>
            </w:pPr>
          </w:p>
        </w:tc>
      </w:tr>
      <w:tr w14:paraId="3D4CA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1" w:type="dxa"/>
            <w:tcBorders>
              <w:left w:val="single" w:color="auto" w:sz="4" w:space="0"/>
            </w:tcBorders>
            <w:noWrap w:val="0"/>
            <w:vAlign w:val="center"/>
          </w:tcPr>
          <w:p w14:paraId="3C2AC0D3">
            <w:pPr>
              <w:spacing w:line="560" w:lineRule="exact"/>
              <w:rPr>
                <w:rFonts w:hint="eastAsia" w:ascii="宋体" w:hAnsi="宋体" w:eastAsia="宋体" w:cs="宋体"/>
                <w:sz w:val="24"/>
                <w:szCs w:val="24"/>
                <w:highlight w:val="none"/>
              </w:rPr>
            </w:pPr>
          </w:p>
        </w:tc>
        <w:tc>
          <w:tcPr>
            <w:tcW w:w="7633" w:type="dxa"/>
            <w:noWrap w:val="0"/>
            <w:vAlign w:val="center"/>
          </w:tcPr>
          <w:p w14:paraId="3BC7DD44">
            <w:pPr>
              <w:spacing w:line="560" w:lineRule="exact"/>
              <w:rPr>
                <w:rFonts w:hint="eastAsia" w:ascii="宋体" w:hAnsi="宋体" w:eastAsia="宋体" w:cs="宋体"/>
                <w:sz w:val="24"/>
                <w:szCs w:val="24"/>
                <w:highlight w:val="none"/>
              </w:rPr>
            </w:pPr>
          </w:p>
        </w:tc>
      </w:tr>
      <w:tr w14:paraId="1EEC4D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noWrap w:val="0"/>
            <w:vAlign w:val="center"/>
          </w:tcPr>
          <w:p w14:paraId="5D781F57">
            <w:pPr>
              <w:spacing w:line="560" w:lineRule="exact"/>
              <w:rPr>
                <w:rFonts w:hint="eastAsia" w:ascii="宋体" w:hAnsi="宋体" w:eastAsia="宋体" w:cs="宋体"/>
                <w:sz w:val="24"/>
                <w:szCs w:val="24"/>
                <w:highlight w:val="none"/>
              </w:rPr>
            </w:pPr>
          </w:p>
        </w:tc>
        <w:tc>
          <w:tcPr>
            <w:tcW w:w="7633" w:type="dxa"/>
            <w:noWrap w:val="0"/>
            <w:vAlign w:val="center"/>
          </w:tcPr>
          <w:p w14:paraId="12E5304B">
            <w:pPr>
              <w:spacing w:line="560" w:lineRule="exact"/>
              <w:rPr>
                <w:rFonts w:hint="eastAsia" w:ascii="宋体" w:hAnsi="宋体" w:eastAsia="宋体" w:cs="宋体"/>
                <w:sz w:val="24"/>
                <w:szCs w:val="24"/>
                <w:highlight w:val="none"/>
                <w:u w:val="single"/>
              </w:rPr>
            </w:pPr>
          </w:p>
        </w:tc>
      </w:tr>
      <w:tr w14:paraId="50D6A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noWrap w:val="0"/>
            <w:vAlign w:val="center"/>
          </w:tcPr>
          <w:p w14:paraId="021F5214">
            <w:pPr>
              <w:spacing w:line="560" w:lineRule="exact"/>
              <w:rPr>
                <w:rFonts w:hint="eastAsia" w:ascii="宋体" w:hAnsi="宋体" w:eastAsia="宋体" w:cs="宋体"/>
                <w:sz w:val="24"/>
                <w:szCs w:val="24"/>
                <w:highlight w:val="none"/>
              </w:rPr>
            </w:pPr>
          </w:p>
        </w:tc>
        <w:tc>
          <w:tcPr>
            <w:tcW w:w="7633" w:type="dxa"/>
            <w:noWrap w:val="0"/>
            <w:vAlign w:val="center"/>
          </w:tcPr>
          <w:p w14:paraId="5490979F">
            <w:pPr>
              <w:spacing w:line="560" w:lineRule="exact"/>
              <w:rPr>
                <w:rFonts w:hint="eastAsia" w:ascii="宋体" w:hAnsi="宋体" w:eastAsia="宋体" w:cs="宋体"/>
                <w:sz w:val="24"/>
                <w:szCs w:val="24"/>
                <w:highlight w:val="none"/>
              </w:rPr>
            </w:pPr>
          </w:p>
        </w:tc>
      </w:tr>
      <w:tr w14:paraId="768C81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1" w:type="dxa"/>
            <w:tcBorders>
              <w:left w:val="single" w:color="auto" w:sz="4" w:space="0"/>
            </w:tcBorders>
            <w:noWrap w:val="0"/>
            <w:vAlign w:val="center"/>
          </w:tcPr>
          <w:p w14:paraId="4780FC76">
            <w:pPr>
              <w:spacing w:line="560" w:lineRule="exact"/>
              <w:rPr>
                <w:rFonts w:hint="eastAsia" w:ascii="宋体" w:hAnsi="宋体" w:eastAsia="宋体" w:cs="宋体"/>
                <w:sz w:val="24"/>
                <w:szCs w:val="24"/>
                <w:highlight w:val="none"/>
              </w:rPr>
            </w:pPr>
          </w:p>
        </w:tc>
        <w:tc>
          <w:tcPr>
            <w:tcW w:w="7633" w:type="dxa"/>
            <w:noWrap w:val="0"/>
            <w:vAlign w:val="center"/>
          </w:tcPr>
          <w:p w14:paraId="4FA7063D">
            <w:pPr>
              <w:spacing w:line="560" w:lineRule="exact"/>
              <w:rPr>
                <w:rFonts w:hint="eastAsia" w:ascii="宋体" w:hAnsi="宋体" w:eastAsia="宋体" w:cs="宋体"/>
                <w:sz w:val="24"/>
                <w:szCs w:val="24"/>
                <w:highlight w:val="none"/>
                <w:u w:val="single"/>
              </w:rPr>
            </w:pPr>
          </w:p>
        </w:tc>
      </w:tr>
      <w:tr w14:paraId="1A6EB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noWrap w:val="0"/>
            <w:vAlign w:val="center"/>
          </w:tcPr>
          <w:p w14:paraId="53769349">
            <w:pPr>
              <w:spacing w:line="560" w:lineRule="exact"/>
              <w:rPr>
                <w:rFonts w:hint="eastAsia" w:ascii="宋体" w:hAnsi="宋体" w:eastAsia="宋体" w:cs="宋体"/>
                <w:sz w:val="24"/>
                <w:szCs w:val="24"/>
                <w:highlight w:val="none"/>
              </w:rPr>
            </w:pPr>
          </w:p>
        </w:tc>
        <w:tc>
          <w:tcPr>
            <w:tcW w:w="7633" w:type="dxa"/>
            <w:noWrap w:val="0"/>
            <w:vAlign w:val="center"/>
          </w:tcPr>
          <w:p w14:paraId="2CD3CF5D">
            <w:pPr>
              <w:spacing w:line="560" w:lineRule="exact"/>
              <w:rPr>
                <w:rFonts w:hint="eastAsia" w:ascii="宋体" w:hAnsi="宋体" w:eastAsia="宋体" w:cs="宋体"/>
                <w:sz w:val="24"/>
                <w:szCs w:val="24"/>
                <w:highlight w:val="none"/>
              </w:rPr>
            </w:pPr>
          </w:p>
        </w:tc>
      </w:tr>
      <w:tr w14:paraId="4D2F71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noWrap w:val="0"/>
            <w:vAlign w:val="center"/>
          </w:tcPr>
          <w:p w14:paraId="21416D6E">
            <w:pPr>
              <w:spacing w:line="560" w:lineRule="exact"/>
              <w:rPr>
                <w:rFonts w:hint="eastAsia" w:ascii="宋体" w:hAnsi="宋体" w:eastAsia="宋体" w:cs="宋体"/>
                <w:sz w:val="24"/>
                <w:szCs w:val="24"/>
                <w:highlight w:val="none"/>
              </w:rPr>
            </w:pPr>
          </w:p>
        </w:tc>
        <w:tc>
          <w:tcPr>
            <w:tcW w:w="7633" w:type="dxa"/>
            <w:noWrap w:val="0"/>
            <w:vAlign w:val="center"/>
          </w:tcPr>
          <w:p w14:paraId="43CD41F1">
            <w:pPr>
              <w:spacing w:line="560" w:lineRule="exact"/>
              <w:rPr>
                <w:rFonts w:hint="eastAsia" w:ascii="宋体" w:hAnsi="宋体" w:eastAsia="宋体" w:cs="宋体"/>
                <w:sz w:val="24"/>
                <w:szCs w:val="24"/>
                <w:highlight w:val="none"/>
              </w:rPr>
            </w:pPr>
          </w:p>
        </w:tc>
      </w:tr>
      <w:tr w14:paraId="5A9C83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noWrap w:val="0"/>
            <w:vAlign w:val="center"/>
          </w:tcPr>
          <w:p w14:paraId="77E94E6B">
            <w:pPr>
              <w:spacing w:line="560" w:lineRule="exact"/>
              <w:rPr>
                <w:rFonts w:hint="eastAsia" w:ascii="宋体" w:hAnsi="宋体" w:eastAsia="宋体" w:cs="宋体"/>
                <w:sz w:val="24"/>
                <w:szCs w:val="24"/>
                <w:highlight w:val="none"/>
              </w:rPr>
            </w:pPr>
          </w:p>
        </w:tc>
        <w:tc>
          <w:tcPr>
            <w:tcW w:w="7633" w:type="dxa"/>
            <w:noWrap w:val="0"/>
            <w:vAlign w:val="center"/>
          </w:tcPr>
          <w:p w14:paraId="29648F93">
            <w:pPr>
              <w:spacing w:line="560" w:lineRule="exact"/>
              <w:rPr>
                <w:rFonts w:hint="eastAsia" w:ascii="宋体" w:hAnsi="宋体" w:eastAsia="宋体" w:cs="宋体"/>
                <w:sz w:val="24"/>
                <w:szCs w:val="24"/>
                <w:highlight w:val="none"/>
              </w:rPr>
            </w:pPr>
          </w:p>
        </w:tc>
      </w:tr>
      <w:tr w14:paraId="0E3128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top w:val="single" w:color="auto" w:sz="6" w:space="0"/>
              <w:left w:val="single" w:color="auto" w:sz="4" w:space="0"/>
              <w:bottom w:val="single" w:color="auto" w:sz="6" w:space="0"/>
              <w:right w:val="single" w:color="auto" w:sz="6" w:space="0"/>
            </w:tcBorders>
            <w:noWrap w:val="0"/>
            <w:vAlign w:val="center"/>
          </w:tcPr>
          <w:p w14:paraId="604FEFB9">
            <w:pPr>
              <w:spacing w:line="560" w:lineRule="exact"/>
              <w:rPr>
                <w:rFonts w:hint="eastAsia" w:ascii="宋体" w:hAnsi="宋体" w:eastAsia="宋体" w:cs="宋体"/>
                <w:sz w:val="24"/>
                <w:szCs w:val="24"/>
                <w:highlight w:val="none"/>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14:paraId="7FF11762">
            <w:pPr>
              <w:spacing w:line="560" w:lineRule="exact"/>
              <w:rPr>
                <w:rFonts w:hint="eastAsia" w:ascii="宋体" w:hAnsi="宋体" w:eastAsia="宋体" w:cs="宋体"/>
                <w:sz w:val="24"/>
                <w:szCs w:val="24"/>
                <w:highlight w:val="none"/>
              </w:rPr>
            </w:pPr>
          </w:p>
        </w:tc>
      </w:tr>
      <w:tr w14:paraId="48159C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top w:val="single" w:color="auto" w:sz="6" w:space="0"/>
              <w:left w:val="single" w:color="auto" w:sz="4" w:space="0"/>
              <w:bottom w:val="single" w:color="auto" w:sz="6" w:space="0"/>
              <w:right w:val="single" w:color="auto" w:sz="6" w:space="0"/>
            </w:tcBorders>
            <w:noWrap w:val="0"/>
            <w:vAlign w:val="center"/>
          </w:tcPr>
          <w:p w14:paraId="54704E63">
            <w:pPr>
              <w:spacing w:line="560" w:lineRule="exact"/>
              <w:rPr>
                <w:rFonts w:hint="eastAsia" w:ascii="宋体" w:hAnsi="宋体" w:eastAsia="宋体" w:cs="宋体"/>
                <w:sz w:val="24"/>
                <w:szCs w:val="24"/>
                <w:highlight w:val="none"/>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14:paraId="629683E0">
            <w:pPr>
              <w:spacing w:line="560" w:lineRule="exact"/>
              <w:rPr>
                <w:rFonts w:hint="eastAsia" w:ascii="宋体" w:hAnsi="宋体" w:eastAsia="宋体" w:cs="宋体"/>
                <w:sz w:val="24"/>
                <w:szCs w:val="24"/>
                <w:highlight w:val="none"/>
              </w:rPr>
            </w:pPr>
          </w:p>
        </w:tc>
      </w:tr>
    </w:tbl>
    <w:p w14:paraId="58314947">
      <w:pPr>
        <w:spacing w:after="156" w:line="560" w:lineRule="exact"/>
        <w:ind w:firstLine="480"/>
        <w:rPr>
          <w:rFonts w:hint="eastAsia" w:ascii="宋体" w:hAnsi="宋体" w:eastAsia="宋体" w:cs="宋体"/>
          <w:sz w:val="24"/>
          <w:szCs w:val="24"/>
          <w:highlight w:val="none"/>
        </w:rPr>
      </w:pPr>
    </w:p>
    <w:p w14:paraId="414D0488">
      <w:pPr>
        <w:pStyle w:val="3"/>
        <w:spacing w:before="0" w:line="240" w:lineRule="atLeast"/>
        <w:ind w:left="1080" w:leftChars="257" w:hanging="540"/>
        <w:rPr>
          <w:rFonts w:hint="eastAsia" w:ascii="宋体" w:hAnsi="宋体" w:eastAsia="宋体" w:cs="宋体"/>
          <w:sz w:val="24"/>
          <w:szCs w:val="24"/>
          <w:highlight w:val="none"/>
        </w:rPr>
      </w:pPr>
    </w:p>
    <w:p w14:paraId="7FE95221">
      <w:pPr>
        <w:rPr>
          <w:rFonts w:hint="eastAsia" w:ascii="宋体" w:hAnsi="宋体" w:eastAsia="宋体" w:cs="宋体"/>
          <w:sz w:val="24"/>
          <w:szCs w:val="24"/>
          <w:highlight w:val="none"/>
        </w:rPr>
      </w:pPr>
    </w:p>
    <w:p w14:paraId="28230C0D">
      <w:pPr>
        <w:rPr>
          <w:rFonts w:hint="eastAsia"/>
          <w:b/>
          <w:bCs/>
          <w:sz w:val="28"/>
          <w:szCs w:val="28"/>
          <w:highlight w:val="none"/>
        </w:rPr>
      </w:pPr>
      <w:r>
        <w:rPr>
          <w:rFonts w:hint="eastAsia"/>
          <w:b/>
          <w:bCs/>
          <w:sz w:val="28"/>
          <w:szCs w:val="28"/>
          <w:highlight w:val="none"/>
        </w:rPr>
        <w:br w:type="page"/>
      </w:r>
    </w:p>
    <w:p w14:paraId="61B4A074">
      <w:pPr>
        <w:pStyle w:val="2"/>
        <w:bidi w:val="0"/>
        <w:spacing w:before="0" w:after="0" w:line="240" w:lineRule="auto"/>
        <w:jc w:val="center"/>
        <w:rPr>
          <w:rFonts w:hint="eastAsia" w:asciiTheme="minorEastAsia" w:hAnsiTheme="minorEastAsia" w:eastAsiaTheme="minorEastAsia" w:cstheme="minorEastAsia"/>
          <w:b/>
          <w:bCs/>
          <w:spacing w:val="0"/>
          <w:position w:val="0"/>
          <w:szCs w:val="28"/>
          <w:highlight w:val="none"/>
        </w:rPr>
      </w:pPr>
      <w:bookmarkStart w:id="234" w:name="_Toc29496"/>
      <w:r>
        <w:rPr>
          <w:rFonts w:hint="eastAsia"/>
          <w:highlight w:val="none"/>
        </w:rPr>
        <w:t>第六章 投标文件格式</w:t>
      </w:r>
      <w:bookmarkEnd w:id="234"/>
    </w:p>
    <w:p w14:paraId="561E957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投标人应按“投标人须知--投标文件的组成 ”列示内容编制投标文件，本章“投标文件格式 ”仅为 对投标文件部分内容的格式化规范，并非投标文件所应具备的全部内容 。</w:t>
      </w:r>
    </w:p>
    <w:p w14:paraId="480BEDD9">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C14BBF6">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5529BA08">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2193AC16">
      <w:pPr>
        <w:keepNext w:val="0"/>
        <w:keepLines w:val="0"/>
        <w:pageBreakBefore w:val="0"/>
        <w:widowControl w:val="0"/>
        <w:kinsoku/>
        <w:wordWrap w:val="0"/>
        <w:overflowPunct w:val="0"/>
        <w:topLinePunct/>
        <w:autoSpaceDE/>
        <w:autoSpaceDN/>
        <w:bidi w:val="0"/>
        <w:adjustRightInd/>
        <w:snapToGrid/>
        <w:spacing w:line="360" w:lineRule="auto"/>
        <w:ind w:left="0" w:right="0" w:firstLine="860" w:firstLineChars="200"/>
        <w:jc w:val="left"/>
        <w:textAlignment w:val="auto"/>
        <w:outlineLvl w:val="9"/>
        <w:rPr>
          <w:rFonts w:hint="eastAsia" w:asciiTheme="minorEastAsia" w:hAnsiTheme="minorEastAsia" w:eastAsiaTheme="minorEastAsia" w:cstheme="minorEastAsia"/>
          <w:spacing w:val="0"/>
          <w:position w:val="0"/>
          <w:sz w:val="43"/>
          <w:szCs w:val="43"/>
          <w:highlight w:val="none"/>
        </w:rPr>
      </w:pPr>
      <w:r>
        <w:rPr>
          <w:rFonts w:hint="eastAsia" w:asciiTheme="minorEastAsia" w:hAnsiTheme="minorEastAsia" w:eastAsiaTheme="minorEastAsia" w:cstheme="minorEastAsia"/>
          <w:spacing w:val="0"/>
          <w:position w:val="0"/>
          <w:sz w:val="43"/>
          <w:szCs w:val="43"/>
          <w:highlight w:val="none"/>
        </w:rPr>
        <w:t>项目名称：</w:t>
      </w:r>
      <w:r>
        <w:rPr>
          <w:rFonts w:hint="eastAsia" w:asciiTheme="minorEastAsia" w:hAnsiTheme="minorEastAsia" w:eastAsiaTheme="minorEastAsia" w:cstheme="minorEastAsia"/>
          <w:spacing w:val="0"/>
          <w:position w:val="0"/>
          <w:sz w:val="43"/>
          <w:szCs w:val="43"/>
          <w:highlight w:val="none"/>
          <w:u w:val="single" w:color="auto"/>
        </w:rPr>
        <w:t xml:space="preserve">                               </w:t>
      </w:r>
    </w:p>
    <w:p w14:paraId="4B3DFC4D">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7F50FAE">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0C8BB5DD">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372014F">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082AC32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0CD69CC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8F7D5AD">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83"/>
          <w:szCs w:val="83"/>
          <w:highlight w:val="none"/>
        </w:rPr>
      </w:pPr>
      <w:r>
        <w:rPr>
          <w:rFonts w:hint="eastAsia" w:asciiTheme="minorEastAsia" w:hAnsiTheme="minorEastAsia" w:eastAsiaTheme="minorEastAsia" w:cstheme="minorEastAsia"/>
          <w:b/>
          <w:bCs/>
          <w:spacing w:val="0"/>
          <w:position w:val="0"/>
          <w:sz w:val="83"/>
          <w:szCs w:val="83"/>
          <w:highlight w:val="none"/>
          <w:lang w:val="en-US" w:eastAsia="zh-CN"/>
        </w:rPr>
        <w:t>响 应</w:t>
      </w:r>
      <w:r>
        <w:rPr>
          <w:rFonts w:hint="eastAsia" w:asciiTheme="minorEastAsia" w:hAnsiTheme="minorEastAsia" w:eastAsiaTheme="minorEastAsia" w:cstheme="minorEastAsia"/>
          <w:spacing w:val="0"/>
          <w:position w:val="0"/>
          <w:sz w:val="83"/>
          <w:szCs w:val="83"/>
          <w:highlight w:val="none"/>
        </w:rPr>
        <w:t xml:space="preserve"> </w:t>
      </w:r>
      <w:r>
        <w:rPr>
          <w:rFonts w:hint="eastAsia" w:asciiTheme="minorEastAsia" w:hAnsiTheme="minorEastAsia" w:eastAsiaTheme="minorEastAsia" w:cstheme="minorEastAsia"/>
          <w:b/>
          <w:bCs/>
          <w:spacing w:val="0"/>
          <w:position w:val="0"/>
          <w:sz w:val="83"/>
          <w:szCs w:val="83"/>
          <w:highlight w:val="none"/>
        </w:rPr>
        <w:t>文</w:t>
      </w:r>
      <w:r>
        <w:rPr>
          <w:rFonts w:hint="eastAsia" w:asciiTheme="minorEastAsia" w:hAnsiTheme="minorEastAsia" w:eastAsiaTheme="minorEastAsia" w:cstheme="minorEastAsia"/>
          <w:spacing w:val="0"/>
          <w:position w:val="0"/>
          <w:sz w:val="83"/>
          <w:szCs w:val="83"/>
          <w:highlight w:val="none"/>
        </w:rPr>
        <w:t xml:space="preserve"> </w:t>
      </w:r>
      <w:r>
        <w:rPr>
          <w:rFonts w:hint="eastAsia" w:asciiTheme="minorEastAsia" w:hAnsiTheme="minorEastAsia" w:eastAsiaTheme="minorEastAsia" w:cstheme="minorEastAsia"/>
          <w:b/>
          <w:bCs/>
          <w:spacing w:val="0"/>
          <w:position w:val="0"/>
          <w:sz w:val="83"/>
          <w:szCs w:val="83"/>
          <w:highlight w:val="none"/>
        </w:rPr>
        <w:t>件</w:t>
      </w:r>
    </w:p>
    <w:p w14:paraId="566828FC">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40FFEC9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A741A15">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1AB017E">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61AF18C">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584DD8CE">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u w:val="single" w:color="auto"/>
        </w:rPr>
      </w:pPr>
      <w:r>
        <w:rPr>
          <w:rFonts w:hint="eastAsia" w:asciiTheme="minorEastAsia" w:hAnsiTheme="minorEastAsia" w:eastAsiaTheme="minorEastAsia" w:cstheme="minorEastAsia"/>
          <w:spacing w:val="0"/>
          <w:position w:val="0"/>
          <w:sz w:val="28"/>
          <w:szCs w:val="28"/>
          <w:highlight w:val="none"/>
        </w:rPr>
        <w:t>供应商（盖单位电子章）：</w:t>
      </w:r>
      <w:r>
        <w:rPr>
          <w:rFonts w:hint="eastAsia" w:asciiTheme="minorEastAsia" w:hAnsiTheme="minorEastAsia" w:eastAsiaTheme="minorEastAsia" w:cstheme="minorEastAsia"/>
          <w:spacing w:val="0"/>
          <w:position w:val="0"/>
          <w:sz w:val="28"/>
          <w:szCs w:val="28"/>
          <w:highlight w:val="none"/>
          <w:u w:val="single" w:color="auto"/>
        </w:rPr>
        <w:t xml:space="preserve">                                    </w:t>
      </w:r>
    </w:p>
    <w:p w14:paraId="3A2C2F06">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r>
        <w:rPr>
          <w:rFonts w:hint="eastAsia" w:asciiTheme="minorEastAsia" w:hAnsiTheme="minorEastAsia" w:eastAsiaTheme="minorEastAsia" w:cstheme="minorEastAsia"/>
          <w:spacing w:val="0"/>
          <w:position w:val="0"/>
          <w:sz w:val="28"/>
          <w:szCs w:val="28"/>
          <w:highlight w:val="none"/>
        </w:rPr>
        <w:t xml:space="preserve">法定代表人或委托代理人(签字或盖章)：  </w:t>
      </w:r>
      <w:r>
        <w:rPr>
          <w:rFonts w:hint="eastAsia" w:asciiTheme="minorEastAsia" w:hAnsiTheme="minorEastAsia" w:eastAsiaTheme="minorEastAsia" w:cstheme="minorEastAsia"/>
          <w:spacing w:val="0"/>
          <w:position w:val="0"/>
          <w:sz w:val="28"/>
          <w:szCs w:val="28"/>
          <w:highlight w:val="none"/>
          <w:u w:val="single" w:color="auto"/>
        </w:rPr>
        <w:t xml:space="preserve">                      </w:t>
      </w:r>
    </w:p>
    <w:p w14:paraId="56EE371E">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default" w:eastAsiaTheme="minorEastAsia"/>
          <w:spacing w:val="0"/>
          <w:position w:val="0"/>
          <w:highlight w:val="none"/>
          <w:u w:val="none" w:color="auto"/>
          <w:lang w:val="en-US" w:eastAsia="zh-CN"/>
        </w:rPr>
        <w:sectPr>
          <w:headerReference r:id="rId16" w:type="default"/>
          <w:footerReference r:id="rId17" w:type="default"/>
          <w:pgSz w:w="11905" w:h="16837"/>
          <w:pgMar w:top="1440" w:right="1080" w:bottom="1440" w:left="1080" w:header="17" w:footer="673"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spacing w:val="0"/>
          <w:position w:val="0"/>
          <w:sz w:val="28"/>
          <w:szCs w:val="28"/>
          <w:highlight w:val="none"/>
          <w:lang w:val="en-US" w:eastAsia="zh-CN"/>
        </w:rPr>
        <w:t>日       期：</w:t>
      </w:r>
      <w:r>
        <w:rPr>
          <w:rFonts w:hint="eastAsia" w:asciiTheme="minorEastAsia" w:hAnsiTheme="minorEastAsia" w:eastAsiaTheme="minorEastAsia" w:cstheme="minorEastAsia"/>
          <w:spacing w:val="0"/>
          <w:position w:val="0"/>
          <w:sz w:val="28"/>
          <w:szCs w:val="28"/>
          <w:highlight w:val="none"/>
          <w:u w:val="single" w:color="auto"/>
        </w:rPr>
        <w:t xml:space="preserve">     </w:t>
      </w:r>
      <w:r>
        <w:rPr>
          <w:rFonts w:hint="eastAsia" w:asciiTheme="minorEastAsia" w:hAnsiTheme="minorEastAsia" w:eastAsiaTheme="minorEastAsia" w:cstheme="minorEastAsia"/>
          <w:spacing w:val="0"/>
          <w:position w:val="0"/>
          <w:sz w:val="28"/>
          <w:szCs w:val="28"/>
          <w:highlight w:val="none"/>
          <w:u w:val="none" w:color="auto"/>
        </w:rPr>
        <w:t xml:space="preserve"> </w:t>
      </w:r>
      <w:r>
        <w:rPr>
          <w:rFonts w:hint="eastAsia" w:asciiTheme="minorEastAsia" w:hAnsiTheme="minorEastAsia" w:eastAsiaTheme="minorEastAsia" w:cstheme="minorEastAsia"/>
          <w:spacing w:val="0"/>
          <w:position w:val="0"/>
          <w:sz w:val="28"/>
          <w:szCs w:val="28"/>
          <w:highlight w:val="none"/>
          <w:u w:val="none" w:color="auto"/>
          <w:lang w:val="en-US" w:eastAsia="zh-CN"/>
        </w:rPr>
        <w:t xml:space="preserve">年 </w:t>
      </w:r>
      <w:r>
        <w:rPr>
          <w:rFonts w:hint="eastAsia" w:asciiTheme="minorEastAsia" w:hAnsiTheme="minorEastAsia" w:eastAsiaTheme="minorEastAsia" w:cstheme="minorEastAsia"/>
          <w:spacing w:val="0"/>
          <w:position w:val="0"/>
          <w:sz w:val="28"/>
          <w:szCs w:val="28"/>
          <w:highlight w:val="none"/>
          <w:u w:val="single" w:color="auto"/>
          <w:lang w:val="en-US" w:eastAsia="zh-CN"/>
        </w:rPr>
        <w:t xml:space="preserve">    </w:t>
      </w:r>
      <w:r>
        <w:rPr>
          <w:rFonts w:hint="eastAsia" w:asciiTheme="minorEastAsia" w:hAnsiTheme="minorEastAsia" w:eastAsiaTheme="minorEastAsia" w:cstheme="minorEastAsia"/>
          <w:spacing w:val="0"/>
          <w:position w:val="0"/>
          <w:sz w:val="28"/>
          <w:szCs w:val="28"/>
          <w:highlight w:val="none"/>
          <w:u w:val="none" w:color="auto"/>
          <w:lang w:val="en-US" w:eastAsia="zh-CN"/>
        </w:rPr>
        <w:t xml:space="preserve">月 </w:t>
      </w:r>
      <w:r>
        <w:rPr>
          <w:rFonts w:hint="eastAsia" w:asciiTheme="minorEastAsia" w:hAnsiTheme="minorEastAsia" w:eastAsiaTheme="minorEastAsia" w:cstheme="minorEastAsia"/>
          <w:spacing w:val="0"/>
          <w:position w:val="0"/>
          <w:sz w:val="28"/>
          <w:szCs w:val="28"/>
          <w:highlight w:val="none"/>
          <w:u w:val="single" w:color="auto"/>
          <w:lang w:val="en-US" w:eastAsia="zh-CN"/>
        </w:rPr>
        <w:t xml:space="preserve">   </w:t>
      </w:r>
      <w:r>
        <w:rPr>
          <w:rFonts w:hint="eastAsia" w:asciiTheme="minorEastAsia" w:hAnsiTheme="minorEastAsia" w:eastAsiaTheme="minorEastAsia" w:cstheme="minorEastAsia"/>
          <w:spacing w:val="0"/>
          <w:position w:val="0"/>
          <w:sz w:val="28"/>
          <w:szCs w:val="28"/>
          <w:highlight w:val="none"/>
          <w:u w:val="none" w:color="auto"/>
          <w:lang w:val="en-US" w:eastAsia="zh-CN"/>
        </w:rPr>
        <w:t>日</w:t>
      </w:r>
    </w:p>
    <w:p w14:paraId="3E7E158E">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一</w:t>
      </w:r>
      <w:r>
        <w:rPr>
          <w:rFonts w:hint="eastAsia" w:asciiTheme="minorEastAsia" w:hAnsiTheme="minorEastAsia" w:eastAsiaTheme="minorEastAsia" w:cstheme="minorEastAsia"/>
          <w:spacing w:val="0"/>
          <w:position w:val="0"/>
          <w:sz w:val="30"/>
          <w:szCs w:val="30"/>
          <w:highlight w:val="none"/>
        </w:rPr>
        <w:t xml:space="preserve"> </w:t>
      </w:r>
      <w:r>
        <w:rPr>
          <w:rFonts w:hint="eastAsia" w:asciiTheme="minorEastAsia" w:hAnsiTheme="minorEastAsia" w:eastAsiaTheme="minorEastAsia" w:cstheme="minorEastAsia"/>
          <w:b/>
          <w:bCs/>
          <w:spacing w:val="0"/>
          <w:position w:val="0"/>
          <w:sz w:val="30"/>
          <w:szCs w:val="30"/>
          <w:highlight w:val="none"/>
        </w:rPr>
        <w:t>、</w:t>
      </w:r>
      <w:r>
        <w:rPr>
          <w:rFonts w:hint="eastAsia" w:asciiTheme="minorEastAsia" w:hAnsiTheme="minorEastAsia" w:eastAsiaTheme="minorEastAsia" w:cstheme="minorEastAsia"/>
          <w:spacing w:val="0"/>
          <w:position w:val="0"/>
          <w:sz w:val="30"/>
          <w:szCs w:val="30"/>
          <w:highlight w:val="none"/>
        </w:rPr>
        <w:t xml:space="preserve"> </w:t>
      </w:r>
      <w:r>
        <w:rPr>
          <w:rFonts w:hint="eastAsia" w:asciiTheme="minorEastAsia" w:hAnsiTheme="minorEastAsia" w:eastAsiaTheme="minorEastAsia" w:cstheme="minorEastAsia"/>
          <w:b/>
          <w:bCs/>
          <w:spacing w:val="0"/>
          <w:position w:val="0"/>
          <w:sz w:val="30"/>
          <w:szCs w:val="30"/>
          <w:highlight w:val="none"/>
        </w:rPr>
        <w:t>投</w:t>
      </w:r>
      <w:r>
        <w:rPr>
          <w:rFonts w:hint="eastAsia" w:asciiTheme="minorEastAsia" w:hAnsiTheme="minorEastAsia" w:eastAsiaTheme="minorEastAsia" w:cstheme="minorEastAsia"/>
          <w:spacing w:val="0"/>
          <w:position w:val="0"/>
          <w:sz w:val="30"/>
          <w:szCs w:val="30"/>
          <w:highlight w:val="none"/>
        </w:rPr>
        <w:t xml:space="preserve"> </w:t>
      </w:r>
      <w:r>
        <w:rPr>
          <w:rFonts w:hint="eastAsia" w:asciiTheme="minorEastAsia" w:hAnsiTheme="minorEastAsia" w:eastAsiaTheme="minorEastAsia" w:cstheme="minorEastAsia"/>
          <w:b/>
          <w:bCs/>
          <w:spacing w:val="0"/>
          <w:position w:val="0"/>
          <w:sz w:val="30"/>
          <w:szCs w:val="30"/>
          <w:highlight w:val="none"/>
        </w:rPr>
        <w:t>标</w:t>
      </w:r>
      <w:r>
        <w:rPr>
          <w:rFonts w:hint="eastAsia" w:asciiTheme="minorEastAsia" w:hAnsiTheme="minorEastAsia" w:eastAsiaTheme="minorEastAsia" w:cstheme="minorEastAsia"/>
          <w:spacing w:val="0"/>
          <w:position w:val="0"/>
          <w:sz w:val="30"/>
          <w:szCs w:val="30"/>
          <w:highlight w:val="none"/>
        </w:rPr>
        <w:t xml:space="preserve"> </w:t>
      </w:r>
      <w:r>
        <w:rPr>
          <w:rFonts w:hint="eastAsia" w:asciiTheme="minorEastAsia" w:hAnsiTheme="minorEastAsia" w:eastAsiaTheme="minorEastAsia" w:cstheme="minorEastAsia"/>
          <w:b/>
          <w:bCs/>
          <w:spacing w:val="0"/>
          <w:position w:val="0"/>
          <w:sz w:val="30"/>
          <w:szCs w:val="30"/>
          <w:highlight w:val="none"/>
        </w:rPr>
        <w:t>函</w:t>
      </w:r>
    </w:p>
    <w:p w14:paraId="0DDA86D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致：</w:t>
      </w:r>
      <w:r>
        <w:rPr>
          <w:rFonts w:hint="eastAsia" w:asciiTheme="minorEastAsia" w:hAnsiTheme="minorEastAsia" w:eastAsiaTheme="minorEastAsia" w:cstheme="minorEastAsia"/>
          <w:spacing w:val="0"/>
          <w:position w:val="0"/>
          <w:sz w:val="24"/>
          <w:szCs w:val="24"/>
          <w:highlight w:val="none"/>
          <w:u w:val="single" w:color="auto"/>
        </w:rPr>
        <w:t xml:space="preserve">    (采购人名称）   </w:t>
      </w:r>
    </w:p>
    <w:p w14:paraId="1413D45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根据贵方竞争性谈判采购（项目名称）</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的谈判文件（项目编号：</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 xml:space="preserve">     ），经详细研究，我们决定参加该项目的采购活动并按要求提交响应文件。我们郑重声明对我单位提交的所有投标资料的真实准确完整承担完全责任、并对之负法律责任。</w:t>
      </w:r>
    </w:p>
    <w:p w14:paraId="17C5500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（1）投标函</w:t>
      </w:r>
    </w:p>
    <w:p w14:paraId="043E599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（2）</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报价一览表</w:t>
      </w:r>
    </w:p>
    <w:p w14:paraId="2290E55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（3）法定代表人身份证明、授权委托书</w:t>
      </w:r>
    </w:p>
    <w:p w14:paraId="4646548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（4）采购项目方案及服务质量承诺</w:t>
      </w:r>
    </w:p>
    <w:p w14:paraId="228A60A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（5）</w:t>
      </w:r>
      <w:r>
        <w:rPr>
          <w:rFonts w:hint="eastAsia" w:asciiTheme="minorEastAsia" w:hAnsiTheme="minorEastAsia" w:eastAsiaTheme="minorEastAsia" w:cstheme="minorEastAsia"/>
          <w:spacing w:val="0"/>
          <w:position w:val="0"/>
          <w:sz w:val="24"/>
          <w:szCs w:val="24"/>
          <w:highlight w:val="none"/>
        </w:rPr>
        <w:t>服务拟投入设备清单及其技术参数</w:t>
      </w:r>
    </w:p>
    <w:p w14:paraId="1BA03A3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（6）采购项目拟投入的人员情况表</w:t>
      </w:r>
    </w:p>
    <w:p w14:paraId="4229BAB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（7）偏差表</w:t>
      </w:r>
    </w:p>
    <w:p w14:paraId="32A2877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（8）关于资格的声明函</w:t>
      </w:r>
    </w:p>
    <w:p w14:paraId="4DFED04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（9）反商业贿赂承诺书</w:t>
      </w:r>
    </w:p>
    <w:p w14:paraId="2A8EA1F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（10）履约承诺书</w:t>
      </w:r>
    </w:p>
    <w:p w14:paraId="17ACC80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（11）资格要求相关证件材料及证明材料</w:t>
      </w:r>
    </w:p>
    <w:p w14:paraId="2E6CE06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（12）采购项目及服务要求所需的其他材料</w:t>
      </w:r>
    </w:p>
    <w:p w14:paraId="6790B3F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（1</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3</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）供应商认为有必要提交的其它材料</w:t>
      </w:r>
    </w:p>
    <w:p w14:paraId="1978217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drawing>
          <wp:inline distT="0" distB="0" distL="0" distR="0">
            <wp:extent cx="628650" cy="1778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4"/>
                    <a:stretch>
                      <a:fillRect/>
                    </a:stretch>
                  </pic:blipFill>
                  <pic:spPr>
                    <a:xfrm>
                      <a:off x="0" y="0"/>
                      <a:ext cx="628815" cy="17983"/>
                    </a:xfrm>
                    <a:prstGeom prst="rect">
                      <a:avLst/>
                    </a:prstGeom>
                  </pic:spPr>
                </pic:pic>
              </a:graphicData>
            </a:graphic>
          </wp:inline>
        </w:drawing>
      </w:r>
    </w:p>
    <w:p w14:paraId="7AA63EAB">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3ADEE51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据此函，签字代表宣布同意如下：</w:t>
      </w:r>
    </w:p>
    <w:p w14:paraId="58DA63B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1.所附“</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报价一览表</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 xml:space="preserve"> ”中规定的应提供和交付的投标报价为：</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大写：</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u w:val="none"/>
          <w:lang w:val="en-US" w:eastAsia="en-US"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u w:val="none"/>
          <w:lang w:val="en-US" w:eastAsia="zh-CN" w:bidi="ar-SA"/>
        </w:rPr>
        <w:t>，小写：</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；合同履行期限</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（服务期）</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w:t>
      </w:r>
      <w:r>
        <w:rPr>
          <w:rFonts w:hint="eastAsia" w:asciiTheme="minorEastAsia" w:hAnsiTheme="minorEastAsia" w:eastAsiaTheme="minorEastAsia" w:cstheme="minorEastAsia"/>
          <w:snapToGrid w:val="0"/>
          <w:color w:val="000000"/>
          <w:spacing w:val="0"/>
          <w:kern w:val="0"/>
          <w:position w:val="0"/>
          <w:sz w:val="24"/>
          <w:szCs w:val="24"/>
          <w:highlight w:val="none"/>
          <w:u w:val="none"/>
          <w:lang w:val="en-US" w:eastAsia="zh-CN" w:bidi="ar-SA"/>
        </w:rPr>
        <w:t>作业时间：</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u w:val="none"/>
          <w:lang w:val="en-US" w:eastAsia="zh-CN" w:bidi="ar-SA"/>
        </w:rPr>
        <w:t>；防控对象：</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u w:val="none"/>
          <w:lang w:val="en-US" w:eastAsia="zh-CN" w:bidi="ar-SA"/>
        </w:rPr>
        <w:t>；质量要求：</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u w:val="none"/>
          <w:lang w:val="en-US" w:eastAsia="zh-CN"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服务地点</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w:t>
      </w:r>
      <w:r>
        <w:rPr>
          <w:rFonts w:hint="eastAsia" w:asciiTheme="minorEastAsia" w:hAnsiTheme="minorEastAsia" w:eastAsiaTheme="minorEastAsia" w:cstheme="minorEastAsia"/>
          <w:snapToGrid w:val="0"/>
          <w:color w:val="000000"/>
          <w:spacing w:val="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w:t>
      </w:r>
    </w:p>
    <w:p w14:paraId="49D9D1A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2.如果我单位的投标函被接受，我单位将履行谈判文件中规定的每一项要求，按期、按质、按量履行合同。</w:t>
      </w:r>
    </w:p>
    <w:p w14:paraId="7C62711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3. 我单位愿按《中华人民共和国民法典》履行我单位的全部责任。</w:t>
      </w:r>
    </w:p>
    <w:p w14:paraId="2CD993F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4. 我单位已详细阅读并完全理解、同意谈判文件的全部内容，包括澄清、修改、补充文件（谈判公告所述媒体公布）以及全部参考资料和有关附件；除我单位在谈判文件规定期间内书面提出的疑问外，我单位放弃对这方面 有不明及误解的</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权利</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w:t>
      </w:r>
    </w:p>
    <w:p w14:paraId="53A0A53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5.本投标自开标日起有效期为 90 日历天。</w:t>
      </w:r>
    </w:p>
    <w:p w14:paraId="727B10D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6.我单位承诺按照《谈判文件》规定的付款方式执行。</w:t>
      </w:r>
    </w:p>
    <w:p w14:paraId="005C845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7.如果在规定的开标时间后，我单位在投标有效期内撤回投标的，依据谈判文件“第三章 3.5.5  违背承诺的责任追究措施 ”，我单位承担相应法律责任及违约责任。</w:t>
      </w:r>
    </w:p>
    <w:p w14:paraId="5FA1A72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8. 我单位同意提供按照贵方可能要求的与投标有关的一切数据或资料，理解贵方不一定要接受最低价的投标或收到的任何投标。</w:t>
      </w:r>
    </w:p>
    <w:p w14:paraId="337EB15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9.与本投标有关的一切正式往来请寄：</w:t>
      </w:r>
    </w:p>
    <w:p w14:paraId="4056813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 xml:space="preserve">地址：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 xml:space="preserve"> 邮政编码：</w:t>
      </w:r>
    </w:p>
    <w:p w14:paraId="4DA1851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 xml:space="preserve">电话：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t xml:space="preserve">                  </w:t>
      </w: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传真：</w:t>
      </w:r>
    </w:p>
    <w:p w14:paraId="76627642">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0AB8027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供应商（盖单位电子章）：</w:t>
      </w:r>
    </w:p>
    <w:p w14:paraId="1098F63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法定代表人或委托代理人（签字或盖章）：</w:t>
      </w:r>
    </w:p>
    <w:p w14:paraId="3565FB3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sectPr>
          <w:headerReference r:id="rId18" w:type="default"/>
          <w:footerReference r:id="rId19" w:type="default"/>
          <w:pgSz w:w="11905" w:h="16837"/>
          <w:pgMar w:top="1440" w:right="1080" w:bottom="1440" w:left="1080" w:header="17" w:footer="673"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 xml:space="preserve"> 日期：   年   月   日</w:t>
      </w:r>
    </w:p>
    <w:p w14:paraId="77CF47F6">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color w:val="auto"/>
          <w:spacing w:val="0"/>
          <w:position w:val="0"/>
          <w:sz w:val="28"/>
          <w:szCs w:val="28"/>
          <w:highlight w:val="none"/>
          <w:lang w:eastAsia="zh-CN"/>
        </w:rPr>
      </w:pPr>
      <w:r>
        <w:rPr>
          <w:rFonts w:hint="eastAsia" w:asciiTheme="minorEastAsia" w:hAnsiTheme="minorEastAsia" w:eastAsiaTheme="minorEastAsia" w:cstheme="minorEastAsia"/>
          <w:b/>
          <w:bCs/>
          <w:color w:val="auto"/>
          <w:spacing w:val="0"/>
          <w:position w:val="0"/>
          <w:sz w:val="28"/>
          <w:szCs w:val="28"/>
          <w:highlight w:val="none"/>
        </w:rPr>
        <w:t>二、</w:t>
      </w:r>
      <w:r>
        <w:rPr>
          <w:rFonts w:hint="eastAsia" w:asciiTheme="minorEastAsia" w:hAnsiTheme="minorEastAsia" w:eastAsiaTheme="minorEastAsia" w:cstheme="minorEastAsia"/>
          <w:b/>
          <w:bCs/>
          <w:color w:val="auto"/>
          <w:spacing w:val="0"/>
          <w:position w:val="0"/>
          <w:sz w:val="28"/>
          <w:szCs w:val="28"/>
          <w:highlight w:val="none"/>
          <w:lang w:eastAsia="zh-CN"/>
        </w:rPr>
        <w:t>报价一览表</w:t>
      </w:r>
    </w:p>
    <w:tbl>
      <w:tblPr>
        <w:tblStyle w:val="18"/>
        <w:tblpPr w:leftFromText="180" w:rightFromText="180" w:vertAnchor="text" w:horzAnchor="page" w:tblpX="1150" w:tblpY="393"/>
        <w:tblOverlap w:val="never"/>
        <w:tblW w:w="90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9"/>
        <w:gridCol w:w="7060"/>
      </w:tblGrid>
      <w:tr w14:paraId="6CF16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979" w:type="dxa"/>
            <w:vAlign w:val="center"/>
          </w:tcPr>
          <w:p w14:paraId="44971FBF">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zh-CN"/>
              </w:rPr>
            </w:pPr>
            <w:r>
              <w:rPr>
                <w:rFonts w:hint="eastAsia" w:asciiTheme="minorEastAsia" w:hAnsiTheme="minorEastAsia" w:eastAsiaTheme="minorEastAsia" w:cstheme="minorEastAsia"/>
                <w:spacing w:val="0"/>
                <w:position w:val="0"/>
                <w:sz w:val="24"/>
                <w:szCs w:val="24"/>
                <w:highlight w:val="none"/>
              </w:rPr>
              <w:t>项目名称</w:t>
            </w:r>
          </w:p>
        </w:tc>
        <w:tc>
          <w:tcPr>
            <w:tcW w:w="7060" w:type="dxa"/>
            <w:vAlign w:val="center"/>
          </w:tcPr>
          <w:p w14:paraId="44EA4031">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tc>
      </w:tr>
      <w:tr w14:paraId="3EB06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1979" w:type="dxa"/>
            <w:vAlign w:val="center"/>
          </w:tcPr>
          <w:p w14:paraId="6062E799">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w:t>
            </w:r>
          </w:p>
        </w:tc>
        <w:tc>
          <w:tcPr>
            <w:tcW w:w="7060" w:type="dxa"/>
            <w:vAlign w:val="center"/>
          </w:tcPr>
          <w:p w14:paraId="3E7CDD58">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tc>
      </w:tr>
      <w:tr w14:paraId="3C9F5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6" w:hRule="atLeast"/>
        </w:trPr>
        <w:tc>
          <w:tcPr>
            <w:tcW w:w="1979" w:type="dxa"/>
            <w:vAlign w:val="center"/>
          </w:tcPr>
          <w:p w14:paraId="6DC9160A">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投标总报价</w:t>
            </w:r>
          </w:p>
          <w:p w14:paraId="66B09D40">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lang w:val="en-US" w:eastAsia="zh-CN"/>
              </w:rPr>
              <w:t>元</w:t>
            </w:r>
            <w:r>
              <w:rPr>
                <w:rFonts w:hint="eastAsia" w:asciiTheme="minorEastAsia" w:hAnsiTheme="minorEastAsia" w:eastAsiaTheme="minorEastAsia" w:cstheme="minorEastAsia"/>
                <w:spacing w:val="0"/>
                <w:position w:val="0"/>
                <w:sz w:val="24"/>
                <w:szCs w:val="24"/>
                <w:highlight w:val="none"/>
                <w:lang w:eastAsia="zh-CN"/>
              </w:rPr>
              <w:t>）</w:t>
            </w:r>
          </w:p>
        </w:tc>
        <w:tc>
          <w:tcPr>
            <w:tcW w:w="7060" w:type="dxa"/>
            <w:vAlign w:val="center"/>
          </w:tcPr>
          <w:p w14:paraId="670EDAEE">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p w14:paraId="5EBB8708">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大写 :</w:t>
            </w:r>
          </w:p>
          <w:p w14:paraId="1A6F2DBC">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r>
              <w:rPr>
                <w:rFonts w:hint="eastAsia" w:asciiTheme="minorEastAsia" w:hAnsiTheme="minorEastAsia" w:eastAsiaTheme="minorEastAsia" w:cstheme="minorEastAsia"/>
                <w:spacing w:val="0"/>
                <w:position w:val="0"/>
                <w:sz w:val="24"/>
                <w:szCs w:val="24"/>
                <w:highlight w:val="none"/>
              </w:rPr>
              <w:t>小写：</w:t>
            </w:r>
          </w:p>
          <w:p w14:paraId="3C088B31">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r w14:paraId="06276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979" w:type="dxa"/>
            <w:vAlign w:val="center"/>
          </w:tcPr>
          <w:p w14:paraId="4450E9B9">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合同履行期限</w:t>
            </w:r>
          </w:p>
        </w:tc>
        <w:tc>
          <w:tcPr>
            <w:tcW w:w="7060" w:type="dxa"/>
            <w:vAlign w:val="center"/>
          </w:tcPr>
          <w:p w14:paraId="11331104">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tc>
      </w:tr>
      <w:tr w14:paraId="3199C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979" w:type="dxa"/>
            <w:vAlign w:val="center"/>
          </w:tcPr>
          <w:p w14:paraId="2CF07E5D">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napToGrid w:val="0"/>
                <w:color w:val="000000"/>
                <w:spacing w:val="0"/>
                <w:kern w:val="0"/>
                <w:position w:val="0"/>
                <w:sz w:val="24"/>
                <w:szCs w:val="24"/>
                <w:highlight w:val="none"/>
                <w:u w:val="none"/>
                <w:lang w:val="en-US" w:eastAsia="zh-CN" w:bidi="ar-SA"/>
              </w:rPr>
              <w:t>作业时间</w:t>
            </w:r>
          </w:p>
        </w:tc>
        <w:tc>
          <w:tcPr>
            <w:tcW w:w="7060" w:type="dxa"/>
            <w:vAlign w:val="center"/>
          </w:tcPr>
          <w:p w14:paraId="5BEDB55B">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tc>
      </w:tr>
      <w:tr w14:paraId="0867A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979" w:type="dxa"/>
            <w:vAlign w:val="center"/>
          </w:tcPr>
          <w:p w14:paraId="504FA480">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napToGrid w:val="0"/>
                <w:color w:val="000000"/>
                <w:spacing w:val="0"/>
                <w:kern w:val="0"/>
                <w:position w:val="0"/>
                <w:sz w:val="24"/>
                <w:szCs w:val="24"/>
                <w:highlight w:val="none"/>
                <w:u w:val="none"/>
                <w:lang w:val="en-US" w:eastAsia="zh-CN" w:bidi="ar-SA"/>
              </w:rPr>
              <w:t>防控对象</w:t>
            </w:r>
          </w:p>
        </w:tc>
        <w:tc>
          <w:tcPr>
            <w:tcW w:w="7060" w:type="dxa"/>
            <w:vAlign w:val="center"/>
          </w:tcPr>
          <w:p w14:paraId="525115C9">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tc>
      </w:tr>
      <w:tr w14:paraId="6C81E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979" w:type="dxa"/>
            <w:vAlign w:val="center"/>
          </w:tcPr>
          <w:p w14:paraId="08770801">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napToGrid w:val="0"/>
                <w:color w:val="000000"/>
                <w:spacing w:val="0"/>
                <w:kern w:val="0"/>
                <w:position w:val="0"/>
                <w:sz w:val="24"/>
                <w:szCs w:val="24"/>
                <w:highlight w:val="none"/>
                <w:u w:val="none"/>
                <w:lang w:val="en-US" w:eastAsia="zh-CN" w:bidi="ar-SA"/>
              </w:rPr>
              <w:t>质量要求</w:t>
            </w:r>
          </w:p>
        </w:tc>
        <w:tc>
          <w:tcPr>
            <w:tcW w:w="7060" w:type="dxa"/>
            <w:vAlign w:val="center"/>
          </w:tcPr>
          <w:p w14:paraId="5B2D6A73">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tc>
      </w:tr>
      <w:tr w14:paraId="63471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979" w:type="dxa"/>
            <w:vAlign w:val="center"/>
          </w:tcPr>
          <w:p w14:paraId="7B7BD074">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lang w:val="en-US" w:eastAsia="zh-CN"/>
              </w:rPr>
              <w:t>服务地点</w:t>
            </w:r>
          </w:p>
        </w:tc>
        <w:tc>
          <w:tcPr>
            <w:tcW w:w="7060" w:type="dxa"/>
            <w:vAlign w:val="center"/>
          </w:tcPr>
          <w:p w14:paraId="5D41C23E">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tc>
      </w:tr>
      <w:tr w14:paraId="287CE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1979" w:type="dxa"/>
            <w:vAlign w:val="center"/>
          </w:tcPr>
          <w:p w14:paraId="795D5707">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投标有效期</w:t>
            </w:r>
          </w:p>
        </w:tc>
        <w:tc>
          <w:tcPr>
            <w:tcW w:w="7060" w:type="dxa"/>
            <w:vAlign w:val="center"/>
          </w:tcPr>
          <w:p w14:paraId="6283C489">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tc>
      </w:tr>
      <w:tr w14:paraId="48A5C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1979" w:type="dxa"/>
            <w:vAlign w:val="center"/>
          </w:tcPr>
          <w:p w14:paraId="2AE02C8C">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备注</w:t>
            </w:r>
          </w:p>
        </w:tc>
        <w:tc>
          <w:tcPr>
            <w:tcW w:w="7060" w:type="dxa"/>
            <w:vAlign w:val="center"/>
          </w:tcPr>
          <w:p w14:paraId="1C42690E">
            <w:pPr>
              <w:keepNext w:val="0"/>
              <w:keepLines w:val="0"/>
              <w:pageBreakBefore w:val="0"/>
              <w:widowControl w:val="0"/>
              <w:kinsoku/>
              <w:wordWrap w:val="0"/>
              <w:overflowPunct w:val="0"/>
              <w:topLinePunct/>
              <w:autoSpaceDE/>
              <w:autoSpaceDN/>
              <w:bidi w:val="0"/>
              <w:adjustRightInd/>
              <w:snapToGrid/>
              <w:spacing w:line="360" w:lineRule="auto"/>
              <w:ind w:left="0" w:right="0" w:firstLine="560" w:firstLineChars="200"/>
              <w:jc w:val="left"/>
              <w:textAlignment w:val="auto"/>
              <w:outlineLvl w:val="9"/>
              <w:rPr>
                <w:rFonts w:hint="eastAsia" w:asciiTheme="minorEastAsia" w:hAnsiTheme="minorEastAsia" w:eastAsiaTheme="minorEastAsia" w:cstheme="minorEastAsia"/>
                <w:spacing w:val="0"/>
                <w:position w:val="0"/>
                <w:sz w:val="28"/>
                <w:szCs w:val="28"/>
                <w:highlight w:val="none"/>
              </w:rPr>
            </w:pPr>
          </w:p>
        </w:tc>
      </w:tr>
    </w:tbl>
    <w:p w14:paraId="52C63B01">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789FB2C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7F403FE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203D708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283ADB0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5439CA1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028819D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0A0A97F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56A30D4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3053FBE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0022E06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71C92AE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32CC2A6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6386976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02A4B73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7A8F9DD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5745904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1768250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7A3783C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2B788F1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1B3BD01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782CEB2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0679686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p>
    <w:p w14:paraId="106D93A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highlight w:val="none"/>
        </w:rPr>
      </w:pPr>
      <w:r>
        <w:rPr>
          <w:rFonts w:hint="eastAsia" w:asciiTheme="minorEastAsia" w:hAnsiTheme="minorEastAsia" w:eastAsiaTheme="minorEastAsia" w:cstheme="minorEastAsia"/>
          <w:i w:val="0"/>
          <w:iCs w:val="0"/>
          <w:spacing w:val="0"/>
          <w:position w:val="0"/>
          <w:sz w:val="24"/>
          <w:szCs w:val="24"/>
          <w:highlight w:val="none"/>
        </w:rPr>
        <w:t>供应商（盖单位电子章）：</w:t>
      </w:r>
    </w:p>
    <w:p w14:paraId="760ED30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r>
        <w:rPr>
          <w:rFonts w:hint="eastAsia" w:asciiTheme="minorEastAsia" w:hAnsiTheme="minorEastAsia" w:eastAsiaTheme="minorEastAsia" w:cstheme="minorEastAsia"/>
          <w:i w:val="0"/>
          <w:iCs w:val="0"/>
          <w:spacing w:val="0"/>
          <w:position w:val="0"/>
          <w:sz w:val="24"/>
          <w:szCs w:val="24"/>
          <w:highlight w:val="none"/>
        </w:rPr>
        <w:t>法定代表人或委托代理人 （签字或盖章）：</w:t>
      </w:r>
    </w:p>
    <w:p w14:paraId="2DB49CF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zh-CN"/>
        </w:rPr>
        <w:sectPr>
          <w:headerReference r:id="rId20" w:type="default"/>
          <w:footerReference r:id="rId21" w:type="default"/>
          <w:pgSz w:w="11905" w:h="16837"/>
          <w:pgMar w:top="1440" w:right="1080" w:bottom="1440" w:left="1080" w:header="17" w:footer="674"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i w:val="0"/>
          <w:iCs w:val="0"/>
          <w:spacing w:val="0"/>
          <w:position w:val="0"/>
          <w:sz w:val="24"/>
          <w:szCs w:val="24"/>
          <w:highlight w:val="none"/>
        </w:rPr>
        <w:t xml:space="preserve">日 期：   年   月 </w:t>
      </w:r>
      <w:r>
        <w:rPr>
          <w:rFonts w:hint="eastAsia" w:asciiTheme="minorEastAsia" w:hAnsiTheme="minorEastAsia" w:eastAsiaTheme="minorEastAsia" w:cstheme="minorEastAsia"/>
          <w:i w:val="0"/>
          <w:iCs w:val="0"/>
          <w:spacing w:val="0"/>
          <w:position w:val="0"/>
          <w:sz w:val="24"/>
          <w:szCs w:val="24"/>
          <w:highlight w:val="none"/>
          <w:lang w:val="en-US" w:eastAsia="zh-CN"/>
        </w:rPr>
        <w:t xml:space="preserve">  日</w:t>
      </w:r>
      <w:r>
        <w:rPr>
          <w:rFonts w:hint="eastAsia" w:asciiTheme="minorEastAsia" w:hAnsiTheme="minorEastAsia" w:eastAsiaTheme="minorEastAsia" w:cstheme="minorEastAsia"/>
          <w:i w:val="0"/>
          <w:iCs w:val="0"/>
          <w:spacing w:val="0"/>
          <w:position w:val="0"/>
          <w:sz w:val="24"/>
          <w:szCs w:val="24"/>
          <w:highlight w:val="none"/>
        </w:rPr>
        <w:t xml:space="preserve">  </w:t>
      </w:r>
    </w:p>
    <w:p w14:paraId="22C31CAF">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28"/>
          <w:szCs w:val="28"/>
          <w:highlight w:val="none"/>
        </w:rPr>
      </w:pPr>
      <w:r>
        <w:rPr>
          <w:rFonts w:hint="eastAsia" w:asciiTheme="minorEastAsia" w:hAnsiTheme="minorEastAsia" w:eastAsiaTheme="minorEastAsia" w:cstheme="minorEastAsia"/>
          <w:b/>
          <w:bCs/>
          <w:spacing w:val="0"/>
          <w:position w:val="0"/>
          <w:sz w:val="28"/>
          <w:szCs w:val="28"/>
          <w:highlight w:val="none"/>
        </w:rPr>
        <w:t>三、法定代表人身份证明</w:t>
      </w:r>
    </w:p>
    <w:p w14:paraId="5CA87AFC">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lang w:val="en-US" w:eastAsia="zh-CN"/>
        </w:rPr>
        <w:t>格式自拟</w:t>
      </w:r>
      <w:r>
        <w:rPr>
          <w:rFonts w:hint="eastAsia" w:asciiTheme="minorEastAsia" w:hAnsiTheme="minorEastAsia" w:eastAsiaTheme="minorEastAsia" w:cstheme="minorEastAsia"/>
          <w:spacing w:val="0"/>
          <w:position w:val="0"/>
          <w:sz w:val="24"/>
          <w:szCs w:val="24"/>
          <w:highlight w:val="none"/>
          <w:lang w:eastAsia="zh-CN"/>
        </w:rPr>
        <w:t>）</w:t>
      </w:r>
    </w:p>
    <w:p w14:paraId="3C241EBC">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829D21B">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143FFC2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4D697E8E">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zh-CN" w:bidi="ar-SA"/>
        </w:rPr>
      </w:pPr>
    </w:p>
    <w:p w14:paraId="5156EB4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4DC73B5">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1CF89A32">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0489168">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68936F1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4805A305">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FF31A80">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0500CA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0FAEF85F">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60F1F1F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13ADB5C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6502C0F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A184C4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5267747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highlight w:val="none"/>
        </w:rPr>
      </w:pPr>
      <w:r>
        <w:rPr>
          <w:rFonts w:hint="eastAsia" w:asciiTheme="minorEastAsia" w:hAnsiTheme="minorEastAsia" w:eastAsiaTheme="minorEastAsia" w:cstheme="minorEastAsia"/>
          <w:i w:val="0"/>
          <w:iCs w:val="0"/>
          <w:spacing w:val="0"/>
          <w:position w:val="0"/>
          <w:sz w:val="24"/>
          <w:szCs w:val="24"/>
          <w:highlight w:val="none"/>
        </w:rPr>
        <w:t>供应商（盖单位电子章）：</w:t>
      </w:r>
    </w:p>
    <w:p w14:paraId="0CC3EF9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i w:val="0"/>
          <w:iCs w:val="0"/>
          <w:spacing w:val="0"/>
          <w:position w:val="0"/>
          <w:sz w:val="24"/>
          <w:szCs w:val="24"/>
          <w:highlight w:val="none"/>
        </w:rPr>
      </w:pPr>
      <w:r>
        <w:rPr>
          <w:rFonts w:hint="eastAsia" w:asciiTheme="minorEastAsia" w:hAnsiTheme="minorEastAsia" w:eastAsiaTheme="minorEastAsia" w:cstheme="minorEastAsia"/>
          <w:i w:val="0"/>
          <w:iCs w:val="0"/>
          <w:spacing w:val="0"/>
          <w:position w:val="0"/>
          <w:sz w:val="24"/>
          <w:szCs w:val="24"/>
          <w:highlight w:val="none"/>
        </w:rPr>
        <w:t>法定代表人或委托代理人 （签字或盖章）：</w:t>
      </w:r>
    </w:p>
    <w:p w14:paraId="05C97BF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i w:val="0"/>
          <w:iCs w:val="0"/>
          <w:spacing w:val="0"/>
          <w:position w:val="0"/>
          <w:sz w:val="24"/>
          <w:szCs w:val="24"/>
          <w:highlight w:val="none"/>
        </w:rPr>
        <w:t xml:space="preserve">日 期：   年   月   </w:t>
      </w:r>
      <w:r>
        <w:rPr>
          <w:rFonts w:hint="eastAsia" w:asciiTheme="minorEastAsia" w:hAnsiTheme="minorEastAsia" w:eastAsiaTheme="minorEastAsia" w:cstheme="minorEastAsia"/>
          <w:i w:val="0"/>
          <w:iCs w:val="0"/>
          <w:spacing w:val="0"/>
          <w:position w:val="0"/>
          <w:sz w:val="24"/>
          <w:szCs w:val="24"/>
          <w:highlight w:val="none"/>
          <w:lang w:val="en-US" w:eastAsia="zh-CN"/>
        </w:rPr>
        <w:t>日</w:t>
      </w:r>
    </w:p>
    <w:p w14:paraId="72D013C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22" w:type="default"/>
          <w:footerReference r:id="rId23"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p>
    <w:p w14:paraId="206B30E3">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highlight w:val="none"/>
        </w:rPr>
      </w:pPr>
      <w:r>
        <w:rPr>
          <w:rFonts w:hint="eastAsia" w:asciiTheme="minorEastAsia" w:hAnsiTheme="minorEastAsia" w:eastAsiaTheme="minorEastAsia" w:cstheme="minorEastAsia"/>
          <w:b/>
          <w:bCs/>
          <w:spacing w:val="0"/>
          <w:position w:val="0"/>
          <w:sz w:val="31"/>
          <w:szCs w:val="31"/>
          <w:highlight w:val="none"/>
        </w:rPr>
        <w:t>授权委托书</w:t>
      </w:r>
    </w:p>
    <w:p w14:paraId="03565671">
      <w:pPr>
        <w:pStyle w:val="7"/>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24"/>
          <w:szCs w:val="24"/>
          <w:highlight w:val="none"/>
          <w:lang w:eastAsia="zh-CN"/>
        </w:rPr>
      </w:pP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lang w:val="en-US" w:eastAsia="zh-CN"/>
        </w:rPr>
        <w:t>格式自拟</w:t>
      </w:r>
      <w:r>
        <w:rPr>
          <w:rFonts w:hint="eastAsia" w:asciiTheme="minorEastAsia" w:hAnsiTheme="minorEastAsia" w:eastAsiaTheme="minorEastAsia" w:cstheme="minorEastAsia"/>
          <w:spacing w:val="0"/>
          <w:position w:val="0"/>
          <w:sz w:val="24"/>
          <w:szCs w:val="24"/>
          <w:highlight w:val="none"/>
          <w:lang w:eastAsia="zh-CN"/>
        </w:rPr>
        <w:t>）</w:t>
      </w:r>
    </w:p>
    <w:p w14:paraId="7D36B006">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3A02F06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7F81FFD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107CC7E3">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750E5B9B">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23D2835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0D7103F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37076FF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741E300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37687BF5">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val="en-US" w:eastAsia="en-US"/>
        </w:rPr>
      </w:pPr>
    </w:p>
    <w:p w14:paraId="698CA326">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78E610C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3BBEBEA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326ABE7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766C817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6DA8DA4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02BA8CD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3E6665E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5813675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51DE926F">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lang w:val="en-US" w:eastAsia="en-US"/>
        </w:rPr>
      </w:pPr>
    </w:p>
    <w:p w14:paraId="33E43D3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128D82C3">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p w14:paraId="268247B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3C65E6C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 xml:space="preserve">法定代表人或委托代理人(签字或盖章)： </w:t>
      </w:r>
    </w:p>
    <w:p w14:paraId="4A672DC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pacing w:val="0"/>
          <w:position w:val="0"/>
          <w:sz w:val="24"/>
          <w:szCs w:val="24"/>
          <w:highlight w:val="none"/>
        </w:rPr>
        <w:t>日</w:t>
      </w:r>
      <w:r>
        <w:rPr>
          <w:rFonts w:hint="eastAsia" w:asciiTheme="minorEastAsia" w:hAnsiTheme="minorEastAsia" w:eastAsiaTheme="minorEastAsia" w:cstheme="minorEastAsia"/>
          <w:spacing w:val="0"/>
          <w:position w:val="0"/>
          <w:sz w:val="24"/>
          <w:szCs w:val="24"/>
          <w:highlight w:val="none"/>
          <w:lang w:val="en-US" w:eastAsia="zh-CN"/>
        </w:rPr>
        <w:t xml:space="preserve">    </w:t>
      </w:r>
      <w:r>
        <w:rPr>
          <w:rFonts w:hint="eastAsia" w:asciiTheme="minorEastAsia" w:hAnsiTheme="minorEastAsia" w:eastAsiaTheme="minorEastAsia" w:cstheme="minorEastAsia"/>
          <w:spacing w:val="0"/>
          <w:position w:val="0"/>
          <w:sz w:val="24"/>
          <w:szCs w:val="24"/>
          <w:highlight w:val="none"/>
        </w:rPr>
        <w:t>期：   年   月   日</w:t>
      </w:r>
    </w:p>
    <w:p w14:paraId="2DA55D8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sectPr>
          <w:footerReference r:id="rId24"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p>
    <w:p w14:paraId="17D1AE7E">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四、采购项目方案及服务质量承诺</w:t>
      </w:r>
    </w:p>
    <w:p w14:paraId="12A2C723">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7B3EA14">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（格式自定）</w:t>
      </w:r>
    </w:p>
    <w:p w14:paraId="4135F64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项目名称：</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rPr>
        <w:t xml:space="preserve"> 项目编号：</w:t>
      </w:r>
      <w:r>
        <w:rPr>
          <w:rFonts w:hint="eastAsia" w:asciiTheme="minorEastAsia" w:hAnsiTheme="minorEastAsia" w:eastAsiaTheme="minorEastAsia" w:cstheme="minorEastAsia"/>
          <w:spacing w:val="0"/>
          <w:position w:val="0"/>
          <w:sz w:val="24"/>
          <w:szCs w:val="24"/>
          <w:highlight w:val="none"/>
          <w:u w:val="single" w:color="auto"/>
        </w:rPr>
        <w:t xml:space="preserve">           </w:t>
      </w:r>
    </w:p>
    <w:p w14:paraId="79F78CC3">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CC67FCB">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B2FED4B">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5E20753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277F21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5D55583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2BB7BF5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77BA74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BB3457B">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510C8E3A">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58C5E22">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4ACE6AD">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7A2BABBE">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8DB3F38">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0D9F8EAA">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66BC1C7B">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66342AB">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A9497CB">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398C8E79">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 xml:space="preserve">法定代表人或委托代理人(签字或盖章)： </w:t>
      </w:r>
    </w:p>
    <w:p w14:paraId="41F0D846">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日期：   年   月   日</w:t>
      </w:r>
    </w:p>
    <w:p w14:paraId="4C59EC4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footerReference r:id="rId25"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p>
    <w:p w14:paraId="7D05F948">
      <w:pPr>
        <w:pStyle w:val="7"/>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28"/>
          <w:szCs w:val="28"/>
          <w:highlight w:val="none"/>
        </w:rPr>
      </w:pPr>
      <w:r>
        <w:rPr>
          <w:rFonts w:hint="eastAsia" w:asciiTheme="minorEastAsia" w:hAnsiTheme="minorEastAsia" w:eastAsiaTheme="minorEastAsia" w:cstheme="minorEastAsia"/>
          <w:b/>
          <w:bCs/>
          <w:spacing w:val="0"/>
          <w:position w:val="0"/>
          <w:sz w:val="28"/>
          <w:szCs w:val="28"/>
          <w:highlight w:val="none"/>
        </w:rPr>
        <w:t>五、</w:t>
      </w:r>
      <w:r>
        <w:rPr>
          <w:rFonts w:hint="eastAsia" w:asciiTheme="minorEastAsia" w:hAnsiTheme="minorEastAsia" w:eastAsiaTheme="minorEastAsia" w:cstheme="minorEastAsia"/>
          <w:b/>
          <w:bCs/>
          <w:spacing w:val="0"/>
          <w:position w:val="0"/>
          <w:sz w:val="28"/>
          <w:szCs w:val="28"/>
          <w:highlight w:val="none"/>
          <w:lang w:val="en-US" w:eastAsia="zh-CN"/>
        </w:rPr>
        <w:t>服务拟投入设备清单及其技术参数</w:t>
      </w:r>
    </w:p>
    <w:p w14:paraId="6F03EFD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53520A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项目名称：</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rPr>
        <w:t xml:space="preserve"> </w:t>
      </w:r>
    </w:p>
    <w:p w14:paraId="029F385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项目编号：</w:t>
      </w:r>
      <w:r>
        <w:rPr>
          <w:rFonts w:hint="eastAsia" w:asciiTheme="minorEastAsia" w:hAnsiTheme="minorEastAsia" w:eastAsiaTheme="minorEastAsia" w:cstheme="minorEastAsia"/>
          <w:spacing w:val="0"/>
          <w:position w:val="0"/>
          <w:sz w:val="24"/>
          <w:szCs w:val="24"/>
          <w:highlight w:val="none"/>
          <w:u w:val="single" w:color="auto"/>
        </w:rPr>
        <w:t xml:space="preserve">           </w:t>
      </w:r>
    </w:p>
    <w:tbl>
      <w:tblPr>
        <w:tblStyle w:val="15"/>
        <w:tblpPr w:leftFromText="180" w:rightFromText="180" w:vertAnchor="text" w:horzAnchor="page" w:tblpX="1234" w:tblpY="681"/>
        <w:tblOverlap w:val="never"/>
        <w:tblW w:w="999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30"/>
        <w:gridCol w:w="2622"/>
        <w:gridCol w:w="712"/>
        <w:gridCol w:w="777"/>
        <w:gridCol w:w="1879"/>
        <w:gridCol w:w="3178"/>
      </w:tblGrid>
      <w:tr w14:paraId="68E902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34" w:hRule="atLeast"/>
        </w:trPr>
        <w:tc>
          <w:tcPr>
            <w:tcW w:w="830" w:type="dxa"/>
            <w:tcBorders>
              <w:left w:val="single" w:color="000000" w:sz="4" w:space="0"/>
              <w:bottom w:val="single" w:color="000000" w:sz="4" w:space="0"/>
              <w:right w:val="single" w:color="000000" w:sz="4" w:space="0"/>
            </w:tcBorders>
            <w:vAlign w:val="center"/>
          </w:tcPr>
          <w:p w14:paraId="06C43A38">
            <w:pPr>
              <w:pStyle w:val="23"/>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序号</w:t>
            </w:r>
          </w:p>
        </w:tc>
        <w:tc>
          <w:tcPr>
            <w:tcW w:w="2622" w:type="dxa"/>
            <w:tcBorders>
              <w:left w:val="single" w:color="000000" w:sz="4" w:space="0"/>
              <w:bottom w:val="single" w:color="000000" w:sz="4" w:space="0"/>
              <w:right w:val="single" w:color="000000" w:sz="4" w:space="0"/>
            </w:tcBorders>
            <w:vAlign w:val="center"/>
          </w:tcPr>
          <w:p w14:paraId="3673155A">
            <w:pPr>
              <w:pStyle w:val="23"/>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设备名称</w:t>
            </w:r>
          </w:p>
        </w:tc>
        <w:tc>
          <w:tcPr>
            <w:tcW w:w="712" w:type="dxa"/>
            <w:tcBorders>
              <w:left w:val="single" w:color="000000" w:sz="4" w:space="0"/>
              <w:bottom w:val="single" w:color="000000" w:sz="4" w:space="0"/>
              <w:right w:val="single" w:color="000000" w:sz="4" w:space="0"/>
            </w:tcBorders>
            <w:vAlign w:val="center"/>
          </w:tcPr>
          <w:p w14:paraId="0C538EEF">
            <w:pPr>
              <w:pStyle w:val="23"/>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单位</w:t>
            </w:r>
          </w:p>
        </w:tc>
        <w:tc>
          <w:tcPr>
            <w:tcW w:w="777" w:type="dxa"/>
            <w:tcBorders>
              <w:left w:val="single" w:color="000000" w:sz="4" w:space="0"/>
              <w:bottom w:val="single" w:color="000000" w:sz="4" w:space="0"/>
              <w:right w:val="single" w:color="000000" w:sz="4" w:space="0"/>
            </w:tcBorders>
            <w:vAlign w:val="center"/>
          </w:tcPr>
          <w:p w14:paraId="164440EE">
            <w:pPr>
              <w:pStyle w:val="23"/>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数量</w:t>
            </w:r>
          </w:p>
        </w:tc>
        <w:tc>
          <w:tcPr>
            <w:tcW w:w="1879" w:type="dxa"/>
            <w:tcBorders>
              <w:left w:val="single" w:color="000000" w:sz="4" w:space="0"/>
              <w:bottom w:val="single" w:color="000000" w:sz="4" w:space="0"/>
              <w:right w:val="single" w:color="000000" w:sz="4" w:space="0"/>
            </w:tcBorders>
            <w:vAlign w:val="center"/>
          </w:tcPr>
          <w:p w14:paraId="31189B53">
            <w:pPr>
              <w:pStyle w:val="23"/>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品牌型号</w:t>
            </w:r>
          </w:p>
        </w:tc>
        <w:tc>
          <w:tcPr>
            <w:tcW w:w="3178" w:type="dxa"/>
            <w:tcBorders>
              <w:left w:val="single" w:color="000000" w:sz="4" w:space="0"/>
              <w:bottom w:val="single" w:color="000000" w:sz="4" w:space="0"/>
              <w:right w:val="single" w:color="000000" w:sz="4" w:space="0"/>
            </w:tcBorders>
            <w:vAlign w:val="center"/>
          </w:tcPr>
          <w:p w14:paraId="769A90AE">
            <w:pPr>
              <w:pStyle w:val="23"/>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技术参数</w:t>
            </w:r>
          </w:p>
        </w:tc>
      </w:tr>
      <w:tr w14:paraId="2F3388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4" w:hRule="atLeast"/>
        </w:trPr>
        <w:tc>
          <w:tcPr>
            <w:tcW w:w="830" w:type="dxa"/>
            <w:tcBorders>
              <w:top w:val="single" w:color="000000" w:sz="4" w:space="0"/>
              <w:left w:val="single" w:color="000000" w:sz="4" w:space="0"/>
              <w:bottom w:val="single" w:color="000000" w:sz="4" w:space="0"/>
              <w:right w:val="single" w:color="000000" w:sz="4" w:space="0"/>
            </w:tcBorders>
            <w:vAlign w:val="center"/>
          </w:tcPr>
          <w:p w14:paraId="04EBE0A9">
            <w:pPr>
              <w:pStyle w:val="23"/>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1</w:t>
            </w:r>
          </w:p>
        </w:tc>
        <w:tc>
          <w:tcPr>
            <w:tcW w:w="2622" w:type="dxa"/>
            <w:tcBorders>
              <w:top w:val="single" w:color="000000" w:sz="4" w:space="0"/>
              <w:left w:val="single" w:color="000000" w:sz="4" w:space="0"/>
              <w:bottom w:val="single" w:color="000000" w:sz="4" w:space="0"/>
              <w:right w:val="single" w:color="000000" w:sz="4" w:space="0"/>
            </w:tcBorders>
            <w:vAlign w:val="center"/>
          </w:tcPr>
          <w:p w14:paraId="637FBDAD">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581EAFB6">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2A5C940C">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1879" w:type="dxa"/>
            <w:tcBorders>
              <w:top w:val="single" w:color="000000" w:sz="4" w:space="0"/>
              <w:left w:val="single" w:color="000000" w:sz="4" w:space="0"/>
              <w:bottom w:val="single" w:color="000000" w:sz="4" w:space="0"/>
              <w:right w:val="single" w:color="000000" w:sz="4" w:space="0"/>
            </w:tcBorders>
            <w:vAlign w:val="center"/>
          </w:tcPr>
          <w:p w14:paraId="4D3FA679">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3178" w:type="dxa"/>
            <w:tcBorders>
              <w:top w:val="single" w:color="000000" w:sz="4" w:space="0"/>
              <w:left w:val="single" w:color="000000" w:sz="4" w:space="0"/>
              <w:bottom w:val="single" w:color="000000" w:sz="4" w:space="0"/>
              <w:right w:val="single" w:color="000000" w:sz="4" w:space="0"/>
            </w:tcBorders>
            <w:vAlign w:val="center"/>
          </w:tcPr>
          <w:p w14:paraId="7C40E786">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r>
      <w:tr w14:paraId="5C3A1C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3" w:hRule="atLeast"/>
        </w:trPr>
        <w:tc>
          <w:tcPr>
            <w:tcW w:w="830" w:type="dxa"/>
            <w:tcBorders>
              <w:top w:val="single" w:color="000000" w:sz="4" w:space="0"/>
              <w:left w:val="single" w:color="000000" w:sz="4" w:space="0"/>
              <w:bottom w:val="single" w:color="000000" w:sz="4" w:space="0"/>
              <w:right w:val="single" w:color="000000" w:sz="4" w:space="0"/>
            </w:tcBorders>
            <w:vAlign w:val="center"/>
          </w:tcPr>
          <w:p w14:paraId="6C10D08F">
            <w:pPr>
              <w:pStyle w:val="23"/>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2</w:t>
            </w:r>
          </w:p>
        </w:tc>
        <w:tc>
          <w:tcPr>
            <w:tcW w:w="2622" w:type="dxa"/>
            <w:tcBorders>
              <w:top w:val="single" w:color="000000" w:sz="4" w:space="0"/>
              <w:left w:val="single" w:color="000000" w:sz="4" w:space="0"/>
              <w:bottom w:val="single" w:color="000000" w:sz="4" w:space="0"/>
              <w:right w:val="single" w:color="000000" w:sz="4" w:space="0"/>
            </w:tcBorders>
            <w:vAlign w:val="center"/>
          </w:tcPr>
          <w:p w14:paraId="052040A2">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35AA1EC">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7A462DD2">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1879" w:type="dxa"/>
            <w:tcBorders>
              <w:top w:val="single" w:color="000000" w:sz="4" w:space="0"/>
              <w:left w:val="single" w:color="000000" w:sz="4" w:space="0"/>
              <w:bottom w:val="single" w:color="000000" w:sz="4" w:space="0"/>
              <w:right w:val="single" w:color="000000" w:sz="4" w:space="0"/>
            </w:tcBorders>
            <w:vAlign w:val="center"/>
          </w:tcPr>
          <w:p w14:paraId="3D645176">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3178" w:type="dxa"/>
            <w:tcBorders>
              <w:top w:val="single" w:color="000000" w:sz="4" w:space="0"/>
              <w:left w:val="single" w:color="000000" w:sz="4" w:space="0"/>
              <w:bottom w:val="single" w:color="000000" w:sz="4" w:space="0"/>
              <w:right w:val="single" w:color="000000" w:sz="4" w:space="0"/>
            </w:tcBorders>
            <w:vAlign w:val="center"/>
          </w:tcPr>
          <w:p w14:paraId="64F68CC8">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r>
      <w:tr w14:paraId="72B8F2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4" w:hRule="atLeast"/>
        </w:trPr>
        <w:tc>
          <w:tcPr>
            <w:tcW w:w="830" w:type="dxa"/>
            <w:tcBorders>
              <w:top w:val="single" w:color="000000" w:sz="4" w:space="0"/>
              <w:left w:val="single" w:color="000000" w:sz="4" w:space="0"/>
              <w:bottom w:val="single" w:color="000000" w:sz="4" w:space="0"/>
              <w:right w:val="single" w:color="000000" w:sz="4" w:space="0"/>
            </w:tcBorders>
            <w:vAlign w:val="center"/>
          </w:tcPr>
          <w:p w14:paraId="64E67100">
            <w:pPr>
              <w:pStyle w:val="23"/>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t>3</w:t>
            </w:r>
          </w:p>
        </w:tc>
        <w:tc>
          <w:tcPr>
            <w:tcW w:w="2622" w:type="dxa"/>
            <w:tcBorders>
              <w:top w:val="single" w:color="000000" w:sz="4" w:space="0"/>
              <w:left w:val="single" w:color="000000" w:sz="4" w:space="0"/>
              <w:bottom w:val="single" w:color="000000" w:sz="4" w:space="0"/>
              <w:right w:val="single" w:color="000000" w:sz="4" w:space="0"/>
            </w:tcBorders>
            <w:vAlign w:val="center"/>
          </w:tcPr>
          <w:p w14:paraId="64B257B1">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72B2B1F">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5D853346">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1879" w:type="dxa"/>
            <w:tcBorders>
              <w:top w:val="single" w:color="000000" w:sz="4" w:space="0"/>
              <w:left w:val="single" w:color="000000" w:sz="4" w:space="0"/>
              <w:bottom w:val="single" w:color="000000" w:sz="4" w:space="0"/>
              <w:right w:val="single" w:color="000000" w:sz="4" w:space="0"/>
            </w:tcBorders>
            <w:vAlign w:val="center"/>
          </w:tcPr>
          <w:p w14:paraId="59D8E098">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c>
          <w:tcPr>
            <w:tcW w:w="3178" w:type="dxa"/>
            <w:tcBorders>
              <w:top w:val="single" w:color="000000" w:sz="4" w:space="0"/>
              <w:left w:val="single" w:color="000000" w:sz="4" w:space="0"/>
              <w:bottom w:val="single" w:color="000000" w:sz="4" w:space="0"/>
              <w:right w:val="single" w:color="000000" w:sz="4" w:space="0"/>
            </w:tcBorders>
            <w:vAlign w:val="center"/>
          </w:tcPr>
          <w:p w14:paraId="25E11F6E">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center"/>
              <w:textAlignment w:val="auto"/>
              <w:outlineLvl w:val="9"/>
              <w:rPr>
                <w:rFonts w:hint="eastAsia" w:asciiTheme="minorEastAsia" w:hAnsiTheme="minorEastAsia" w:eastAsiaTheme="minorEastAsia" w:cstheme="minorEastAsia"/>
                <w:snapToGrid w:val="0"/>
                <w:color w:val="000000"/>
                <w:spacing w:val="0"/>
                <w:kern w:val="0"/>
                <w:position w:val="0"/>
                <w:sz w:val="24"/>
                <w:szCs w:val="24"/>
                <w:highlight w:val="none"/>
                <w:lang w:val="en-US" w:eastAsia="en-US" w:bidi="ar-SA"/>
              </w:rPr>
            </w:pPr>
          </w:p>
        </w:tc>
      </w:tr>
      <w:tr w14:paraId="28408A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62" w:hRule="atLeast"/>
        </w:trPr>
        <w:tc>
          <w:tcPr>
            <w:tcW w:w="830" w:type="dxa"/>
            <w:tcBorders>
              <w:top w:val="single" w:color="000000" w:sz="4" w:space="0"/>
              <w:left w:val="single" w:color="000000" w:sz="4" w:space="0"/>
              <w:bottom w:val="single" w:color="000000" w:sz="4" w:space="0"/>
              <w:right w:val="single" w:color="000000" w:sz="4" w:space="0"/>
            </w:tcBorders>
            <w:vAlign w:val="center"/>
          </w:tcPr>
          <w:p w14:paraId="71F12685">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center"/>
              <w:textAlignment w:val="auto"/>
              <w:outlineLvl w:val="9"/>
              <w:rPr>
                <w:rFonts w:hint="eastAsia" w:ascii="微软雅黑 Light" w:hAnsi="微软雅黑 Light" w:eastAsia="微软雅黑 Light" w:cs="微软雅黑 Light"/>
                <w:sz w:val="21"/>
                <w:highlight w:val="none"/>
              </w:rPr>
            </w:pPr>
            <w:r>
              <w:rPr>
                <w:rFonts w:hint="eastAsia" w:ascii="微软雅黑 Light" w:hAnsi="微软雅黑 Light" w:eastAsia="微软雅黑 Light" w:cs="微软雅黑 Light"/>
                <w:sz w:val="21"/>
                <w:highlight w:val="none"/>
              </w:rPr>
              <w:t>……</w:t>
            </w:r>
          </w:p>
        </w:tc>
        <w:tc>
          <w:tcPr>
            <w:tcW w:w="2622" w:type="dxa"/>
            <w:tcBorders>
              <w:top w:val="single" w:color="000000" w:sz="4" w:space="0"/>
              <w:left w:val="single" w:color="000000" w:sz="4" w:space="0"/>
              <w:bottom w:val="single" w:color="000000" w:sz="4" w:space="0"/>
              <w:right w:val="single" w:color="000000" w:sz="4" w:space="0"/>
            </w:tcBorders>
            <w:vAlign w:val="center"/>
          </w:tcPr>
          <w:p w14:paraId="3A16FE64">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40" w:firstLineChars="200"/>
              <w:jc w:val="center"/>
              <w:textAlignment w:val="auto"/>
              <w:outlineLvl w:val="9"/>
              <w:rPr>
                <w:rFonts w:hint="eastAsia" w:ascii="微软雅黑 Light" w:hAnsi="微软雅黑 Light" w:eastAsia="微软雅黑 Light" w:cs="微软雅黑 Light"/>
                <w:sz w:val="22"/>
                <w:highlight w:val="none"/>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7674AA3">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40" w:firstLineChars="200"/>
              <w:jc w:val="center"/>
              <w:textAlignment w:val="auto"/>
              <w:outlineLvl w:val="9"/>
              <w:rPr>
                <w:rFonts w:hint="eastAsia" w:ascii="微软雅黑 Light" w:hAnsi="微软雅黑 Light" w:eastAsia="微软雅黑 Light" w:cs="微软雅黑 Light"/>
                <w:sz w:val="22"/>
                <w:highlight w:val="none"/>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525F9503">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40" w:firstLineChars="200"/>
              <w:jc w:val="center"/>
              <w:textAlignment w:val="auto"/>
              <w:outlineLvl w:val="9"/>
              <w:rPr>
                <w:rFonts w:hint="eastAsia" w:ascii="微软雅黑 Light" w:hAnsi="微软雅黑 Light" w:eastAsia="微软雅黑 Light" w:cs="微软雅黑 Light"/>
                <w:sz w:val="22"/>
                <w:highlight w:val="none"/>
              </w:rPr>
            </w:pPr>
          </w:p>
        </w:tc>
        <w:tc>
          <w:tcPr>
            <w:tcW w:w="1879" w:type="dxa"/>
            <w:tcBorders>
              <w:top w:val="single" w:color="000000" w:sz="4" w:space="0"/>
              <w:left w:val="single" w:color="000000" w:sz="4" w:space="0"/>
              <w:bottom w:val="single" w:color="000000" w:sz="4" w:space="0"/>
              <w:right w:val="single" w:color="000000" w:sz="4" w:space="0"/>
            </w:tcBorders>
            <w:vAlign w:val="center"/>
          </w:tcPr>
          <w:p w14:paraId="259FD313">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40" w:firstLineChars="200"/>
              <w:jc w:val="center"/>
              <w:textAlignment w:val="auto"/>
              <w:outlineLvl w:val="9"/>
              <w:rPr>
                <w:rFonts w:hint="eastAsia" w:ascii="微软雅黑 Light" w:hAnsi="微软雅黑 Light" w:eastAsia="微软雅黑 Light" w:cs="微软雅黑 Light"/>
                <w:sz w:val="22"/>
                <w:highlight w:val="none"/>
              </w:rPr>
            </w:pPr>
          </w:p>
        </w:tc>
        <w:tc>
          <w:tcPr>
            <w:tcW w:w="3178" w:type="dxa"/>
            <w:tcBorders>
              <w:top w:val="single" w:color="000000" w:sz="4" w:space="0"/>
              <w:left w:val="single" w:color="000000" w:sz="4" w:space="0"/>
              <w:bottom w:val="single" w:color="000000" w:sz="4" w:space="0"/>
              <w:right w:val="single" w:color="000000" w:sz="4" w:space="0"/>
            </w:tcBorders>
            <w:vAlign w:val="center"/>
          </w:tcPr>
          <w:p w14:paraId="79965AD1">
            <w:pPr>
              <w:pStyle w:val="23"/>
              <w:keepNext w:val="0"/>
              <w:keepLines w:val="0"/>
              <w:pageBreakBefore w:val="0"/>
              <w:widowControl w:val="0"/>
              <w:kinsoku/>
              <w:wordWrap w:val="0"/>
              <w:overflowPunct w:val="0"/>
              <w:topLinePunct/>
              <w:autoSpaceDE/>
              <w:autoSpaceDN/>
              <w:bidi w:val="0"/>
              <w:adjustRightInd/>
              <w:snapToGrid/>
              <w:spacing w:line="360" w:lineRule="auto"/>
              <w:ind w:left="0" w:right="0" w:firstLine="440" w:firstLineChars="200"/>
              <w:jc w:val="center"/>
              <w:textAlignment w:val="auto"/>
              <w:outlineLvl w:val="9"/>
              <w:rPr>
                <w:rFonts w:hint="eastAsia" w:ascii="微软雅黑 Light" w:hAnsi="微软雅黑 Light" w:eastAsia="微软雅黑 Light" w:cs="微软雅黑 Light"/>
                <w:sz w:val="22"/>
                <w:highlight w:val="none"/>
              </w:rPr>
            </w:pPr>
          </w:p>
        </w:tc>
      </w:tr>
    </w:tbl>
    <w:p w14:paraId="777BDB1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0A2ABE7C">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6295FC9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F21C602">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DD91F53">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690E062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31C0D71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 xml:space="preserve">法定代表人或委托代理人(签字或盖章)： </w:t>
      </w:r>
    </w:p>
    <w:p w14:paraId="2C6AE99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r>
        <w:rPr>
          <w:rFonts w:hint="eastAsia" w:asciiTheme="minorEastAsia" w:hAnsiTheme="minorEastAsia" w:eastAsiaTheme="minorEastAsia" w:cstheme="minorEastAsia"/>
          <w:spacing w:val="0"/>
          <w:position w:val="0"/>
          <w:sz w:val="24"/>
          <w:szCs w:val="24"/>
          <w:highlight w:val="none"/>
        </w:rPr>
        <w:t>日期：   年   月   日</w:t>
      </w:r>
    </w:p>
    <w:p w14:paraId="059AD8F8">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2214DCA9">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06ABC1CD">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0D46127B">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5702F2E5">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12D8C3CA">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799B7898">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28"/>
          <w:szCs w:val="28"/>
          <w:highlight w:val="none"/>
        </w:rPr>
      </w:pPr>
      <w:r>
        <w:rPr>
          <w:rFonts w:hint="eastAsia" w:asciiTheme="minorEastAsia" w:hAnsiTheme="minorEastAsia" w:eastAsiaTheme="minorEastAsia" w:cstheme="minorEastAsia"/>
          <w:b/>
          <w:bCs/>
          <w:spacing w:val="0"/>
          <w:position w:val="0"/>
          <w:sz w:val="28"/>
          <w:szCs w:val="28"/>
          <w:highlight w:val="none"/>
        </w:rPr>
        <w:t>六、采购项目拟投入的人员情况表</w:t>
      </w:r>
    </w:p>
    <w:p w14:paraId="56210AD9">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72E0626C">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（格式自定）</w:t>
      </w:r>
    </w:p>
    <w:p w14:paraId="48DDEBD6">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47C0051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27144746">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05566F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项目名称：</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rPr>
        <w:t xml:space="preserve"> </w:t>
      </w:r>
    </w:p>
    <w:p w14:paraId="7A60406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项目编号：</w:t>
      </w:r>
      <w:r>
        <w:rPr>
          <w:rFonts w:hint="eastAsia" w:asciiTheme="minorEastAsia" w:hAnsiTheme="minorEastAsia" w:eastAsiaTheme="minorEastAsia" w:cstheme="minorEastAsia"/>
          <w:spacing w:val="0"/>
          <w:position w:val="0"/>
          <w:sz w:val="24"/>
          <w:szCs w:val="24"/>
          <w:highlight w:val="none"/>
          <w:u w:val="single" w:color="auto"/>
        </w:rPr>
        <w:t xml:space="preserve">           </w:t>
      </w:r>
    </w:p>
    <w:p w14:paraId="52422269">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6949BEE8">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8F68B26">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1E30527A">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1646A2C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EF622CD">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4A3E708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DC63405">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630604E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55002CE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法定代表人或委托代理人(签字或盖章)：</w:t>
      </w:r>
    </w:p>
    <w:p w14:paraId="16325F5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26" w:type="default"/>
          <w:footerReference r:id="rId27"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spacing w:val="0"/>
          <w:position w:val="0"/>
          <w:sz w:val="24"/>
          <w:szCs w:val="24"/>
          <w:highlight w:val="none"/>
        </w:rPr>
        <w:t>日期 ：   年   月   日</w:t>
      </w:r>
    </w:p>
    <w:p w14:paraId="52550070">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b/>
          <w:bCs/>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七、偏差表</w:t>
      </w:r>
    </w:p>
    <w:p w14:paraId="6236571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项目名称：</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rPr>
        <w:t xml:space="preserve"> </w:t>
      </w:r>
    </w:p>
    <w:p w14:paraId="7C96A70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项目编号：</w:t>
      </w:r>
      <w:r>
        <w:rPr>
          <w:rFonts w:hint="eastAsia" w:asciiTheme="minorEastAsia" w:hAnsiTheme="minorEastAsia" w:eastAsiaTheme="minorEastAsia" w:cstheme="minorEastAsia"/>
          <w:spacing w:val="0"/>
          <w:position w:val="0"/>
          <w:sz w:val="24"/>
          <w:szCs w:val="24"/>
          <w:highlight w:val="none"/>
          <w:u w:val="single" w:color="auto"/>
        </w:rPr>
        <w:t xml:space="preserve">           </w:t>
      </w:r>
    </w:p>
    <w:tbl>
      <w:tblPr>
        <w:tblStyle w:val="18"/>
        <w:tblW w:w="93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3005"/>
        <w:gridCol w:w="2942"/>
        <w:gridCol w:w="2643"/>
      </w:tblGrid>
      <w:tr w14:paraId="422F6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9" w:hRule="atLeast"/>
        </w:trPr>
        <w:tc>
          <w:tcPr>
            <w:tcW w:w="734" w:type="dxa"/>
            <w:tcBorders>
              <w:top w:val="single" w:color="000000" w:sz="6" w:space="0"/>
              <w:left w:val="single" w:color="000000" w:sz="6" w:space="0"/>
            </w:tcBorders>
            <w:vAlign w:val="center"/>
          </w:tcPr>
          <w:p w14:paraId="20B64A29">
            <w:pPr>
              <w:keepNext w:val="0"/>
              <w:keepLines w:val="0"/>
              <w:pageBreakBefore w:val="0"/>
              <w:widowControl w:val="0"/>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sz w:val="24"/>
                <w:szCs w:val="24"/>
                <w:highlight w:val="none"/>
                <w:lang w:val="en-US" w:eastAsia="zh-CN"/>
              </w:rPr>
            </w:pPr>
            <w:r>
              <w:rPr>
                <w:rFonts w:hint="eastAsia" w:asciiTheme="minorEastAsia" w:hAnsiTheme="minorEastAsia" w:eastAsiaTheme="minorEastAsia" w:cstheme="minorEastAsia"/>
                <w:b/>
                <w:bCs/>
                <w:spacing w:val="0"/>
                <w:position w:val="0"/>
                <w:sz w:val="24"/>
                <w:szCs w:val="24"/>
                <w:highlight w:val="none"/>
                <w:lang w:val="en-US" w:eastAsia="zh-CN"/>
              </w:rPr>
              <w:t>序号</w:t>
            </w:r>
          </w:p>
        </w:tc>
        <w:tc>
          <w:tcPr>
            <w:tcW w:w="3005" w:type="dxa"/>
            <w:tcBorders>
              <w:top w:val="single" w:color="000000" w:sz="6" w:space="0"/>
            </w:tcBorders>
            <w:vAlign w:val="center"/>
          </w:tcPr>
          <w:p w14:paraId="2A7E1609">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谈判文件要求</w:t>
            </w:r>
          </w:p>
        </w:tc>
        <w:tc>
          <w:tcPr>
            <w:tcW w:w="2942" w:type="dxa"/>
            <w:tcBorders>
              <w:top w:val="single" w:color="000000" w:sz="6" w:space="0"/>
            </w:tcBorders>
            <w:vAlign w:val="center"/>
          </w:tcPr>
          <w:p w14:paraId="42C1F5F8">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投标文件响应</w:t>
            </w:r>
          </w:p>
        </w:tc>
        <w:tc>
          <w:tcPr>
            <w:tcW w:w="2643" w:type="dxa"/>
            <w:tcBorders>
              <w:top w:val="single" w:color="000000" w:sz="6" w:space="0"/>
              <w:right w:val="single" w:color="000000" w:sz="6" w:space="0"/>
            </w:tcBorders>
            <w:vAlign w:val="center"/>
          </w:tcPr>
          <w:p w14:paraId="20C16AE1">
            <w:pPr>
              <w:pStyle w:val="19"/>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偏差描述</w:t>
            </w:r>
          </w:p>
        </w:tc>
      </w:tr>
      <w:tr w14:paraId="2DCEC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734" w:type="dxa"/>
            <w:tcBorders>
              <w:left w:val="single" w:color="000000" w:sz="6" w:space="0"/>
            </w:tcBorders>
            <w:vAlign w:val="center"/>
          </w:tcPr>
          <w:p w14:paraId="3FADCED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3005" w:type="dxa"/>
            <w:vAlign w:val="center"/>
          </w:tcPr>
          <w:p w14:paraId="43B6433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942" w:type="dxa"/>
            <w:vAlign w:val="center"/>
          </w:tcPr>
          <w:p w14:paraId="46FD668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643" w:type="dxa"/>
            <w:tcBorders>
              <w:right w:val="single" w:color="000000" w:sz="6" w:space="0"/>
            </w:tcBorders>
            <w:vAlign w:val="center"/>
          </w:tcPr>
          <w:p w14:paraId="04926E6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r w14:paraId="32495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734" w:type="dxa"/>
            <w:tcBorders>
              <w:left w:val="single" w:color="000000" w:sz="6" w:space="0"/>
            </w:tcBorders>
            <w:vAlign w:val="center"/>
          </w:tcPr>
          <w:p w14:paraId="29F616D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3005" w:type="dxa"/>
            <w:vAlign w:val="center"/>
          </w:tcPr>
          <w:p w14:paraId="72207BE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942" w:type="dxa"/>
            <w:vAlign w:val="center"/>
          </w:tcPr>
          <w:p w14:paraId="7658BB0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643" w:type="dxa"/>
            <w:tcBorders>
              <w:right w:val="single" w:color="000000" w:sz="6" w:space="0"/>
            </w:tcBorders>
            <w:vAlign w:val="center"/>
          </w:tcPr>
          <w:p w14:paraId="22363D3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r w14:paraId="5E235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734" w:type="dxa"/>
            <w:tcBorders>
              <w:left w:val="single" w:color="000000" w:sz="6" w:space="0"/>
            </w:tcBorders>
            <w:vAlign w:val="center"/>
          </w:tcPr>
          <w:p w14:paraId="0E0D4B3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3005" w:type="dxa"/>
            <w:vAlign w:val="center"/>
          </w:tcPr>
          <w:p w14:paraId="62F2EAF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942" w:type="dxa"/>
            <w:vAlign w:val="center"/>
          </w:tcPr>
          <w:p w14:paraId="4E01D8D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643" w:type="dxa"/>
            <w:tcBorders>
              <w:right w:val="single" w:color="000000" w:sz="6" w:space="0"/>
            </w:tcBorders>
            <w:vAlign w:val="center"/>
          </w:tcPr>
          <w:p w14:paraId="2485B7A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r w14:paraId="2F697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734" w:type="dxa"/>
            <w:tcBorders>
              <w:left w:val="single" w:color="000000" w:sz="6" w:space="0"/>
            </w:tcBorders>
            <w:vAlign w:val="center"/>
          </w:tcPr>
          <w:p w14:paraId="036C289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3005" w:type="dxa"/>
            <w:vAlign w:val="center"/>
          </w:tcPr>
          <w:p w14:paraId="00C4B93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942" w:type="dxa"/>
            <w:vAlign w:val="center"/>
          </w:tcPr>
          <w:p w14:paraId="30F9754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643" w:type="dxa"/>
            <w:tcBorders>
              <w:right w:val="single" w:color="000000" w:sz="6" w:space="0"/>
            </w:tcBorders>
            <w:vAlign w:val="center"/>
          </w:tcPr>
          <w:p w14:paraId="5615157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r w14:paraId="755F4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34" w:type="dxa"/>
            <w:tcBorders>
              <w:left w:val="single" w:color="000000" w:sz="6" w:space="0"/>
            </w:tcBorders>
            <w:vAlign w:val="center"/>
          </w:tcPr>
          <w:p w14:paraId="20E22FC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3005" w:type="dxa"/>
            <w:vAlign w:val="center"/>
          </w:tcPr>
          <w:p w14:paraId="286D84C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942" w:type="dxa"/>
            <w:vAlign w:val="center"/>
          </w:tcPr>
          <w:p w14:paraId="733721F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643" w:type="dxa"/>
            <w:tcBorders>
              <w:right w:val="single" w:color="000000" w:sz="6" w:space="0"/>
            </w:tcBorders>
            <w:vAlign w:val="center"/>
          </w:tcPr>
          <w:p w14:paraId="6E512B1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r w14:paraId="6F70E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34" w:type="dxa"/>
            <w:tcBorders>
              <w:left w:val="single" w:color="000000" w:sz="6" w:space="0"/>
            </w:tcBorders>
            <w:vAlign w:val="center"/>
          </w:tcPr>
          <w:p w14:paraId="15D6080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3005" w:type="dxa"/>
            <w:vAlign w:val="center"/>
          </w:tcPr>
          <w:p w14:paraId="00A3C83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942" w:type="dxa"/>
            <w:vAlign w:val="center"/>
          </w:tcPr>
          <w:p w14:paraId="748F90B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643" w:type="dxa"/>
            <w:tcBorders>
              <w:right w:val="single" w:color="000000" w:sz="6" w:space="0"/>
            </w:tcBorders>
            <w:vAlign w:val="center"/>
          </w:tcPr>
          <w:p w14:paraId="2EC59B4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r w14:paraId="18368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34" w:type="dxa"/>
            <w:tcBorders>
              <w:left w:val="single" w:color="000000" w:sz="6" w:space="0"/>
            </w:tcBorders>
            <w:vAlign w:val="center"/>
          </w:tcPr>
          <w:p w14:paraId="6835D94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3005" w:type="dxa"/>
            <w:vAlign w:val="center"/>
          </w:tcPr>
          <w:p w14:paraId="5E946FC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942" w:type="dxa"/>
            <w:vAlign w:val="center"/>
          </w:tcPr>
          <w:p w14:paraId="3A93247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643" w:type="dxa"/>
            <w:tcBorders>
              <w:right w:val="single" w:color="000000" w:sz="6" w:space="0"/>
            </w:tcBorders>
            <w:vAlign w:val="center"/>
          </w:tcPr>
          <w:p w14:paraId="456AAB4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r w14:paraId="7B652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34" w:type="dxa"/>
            <w:tcBorders>
              <w:left w:val="single" w:color="000000" w:sz="6" w:space="0"/>
            </w:tcBorders>
            <w:vAlign w:val="center"/>
          </w:tcPr>
          <w:p w14:paraId="4EC544C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3005" w:type="dxa"/>
            <w:vAlign w:val="center"/>
          </w:tcPr>
          <w:p w14:paraId="1912E6E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942" w:type="dxa"/>
            <w:vAlign w:val="center"/>
          </w:tcPr>
          <w:p w14:paraId="6BE3BF1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643" w:type="dxa"/>
            <w:tcBorders>
              <w:right w:val="single" w:color="000000" w:sz="6" w:space="0"/>
            </w:tcBorders>
            <w:vAlign w:val="center"/>
          </w:tcPr>
          <w:p w14:paraId="2EC6209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r w14:paraId="76651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734" w:type="dxa"/>
            <w:tcBorders>
              <w:left w:val="single" w:color="000000" w:sz="6" w:space="0"/>
            </w:tcBorders>
            <w:vAlign w:val="center"/>
          </w:tcPr>
          <w:p w14:paraId="06DE67D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3005" w:type="dxa"/>
            <w:vAlign w:val="center"/>
          </w:tcPr>
          <w:p w14:paraId="6F3F2D9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942" w:type="dxa"/>
            <w:vAlign w:val="center"/>
          </w:tcPr>
          <w:p w14:paraId="2907F3D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c>
          <w:tcPr>
            <w:tcW w:w="2643" w:type="dxa"/>
            <w:tcBorders>
              <w:right w:val="single" w:color="000000" w:sz="6" w:space="0"/>
            </w:tcBorders>
            <w:vAlign w:val="center"/>
          </w:tcPr>
          <w:p w14:paraId="08513D9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tc>
      </w:tr>
    </w:tbl>
    <w:p w14:paraId="7171B32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注 ： 1、 “偏差表”应详细注明与《谈判文件》中各项要求有何不同</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并说明其符合性（优于、或低于《谈判文件》要求） 。</w:t>
      </w:r>
    </w:p>
    <w:p w14:paraId="232705B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 、如投标条款与《谈判文件》要求一致 ，仍需在本表填列 “与《谈判文件》所有条款要求一致</w:t>
      </w:r>
      <w:r>
        <w:rPr>
          <w:rFonts w:hint="eastAsia" w:asciiTheme="minorEastAsia" w:hAnsiTheme="minorEastAsia" w:eastAsiaTheme="minorEastAsia" w:cstheme="minorEastAsia"/>
          <w:spacing w:val="0"/>
          <w:position w:val="0"/>
          <w:sz w:val="24"/>
          <w:szCs w:val="24"/>
          <w:highlight w:val="none"/>
          <w:lang w:eastAsia="zh-CN"/>
        </w:rPr>
        <w:t>，</w:t>
      </w:r>
      <w:r>
        <w:rPr>
          <w:rFonts w:hint="eastAsia" w:asciiTheme="minorEastAsia" w:hAnsiTheme="minorEastAsia" w:eastAsiaTheme="minorEastAsia" w:cstheme="minorEastAsia"/>
          <w:spacing w:val="0"/>
          <w:position w:val="0"/>
          <w:sz w:val="24"/>
          <w:szCs w:val="24"/>
          <w:highlight w:val="none"/>
        </w:rPr>
        <w:t>无偏差”字样。</w:t>
      </w:r>
    </w:p>
    <w:p w14:paraId="280E9358">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01921F2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584B7F5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法定代表人或委托代理人(签字或盖章)：</w:t>
      </w:r>
    </w:p>
    <w:p w14:paraId="31019B9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28" w:type="default"/>
          <w:footerReference r:id="rId29"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spacing w:val="0"/>
          <w:position w:val="0"/>
          <w:sz w:val="24"/>
          <w:szCs w:val="24"/>
          <w:highlight w:val="none"/>
        </w:rPr>
        <w:t>日期 ：   年   月   日</w:t>
      </w:r>
    </w:p>
    <w:p w14:paraId="3A9511A1">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八、关于资格的声明函</w:t>
      </w:r>
    </w:p>
    <w:p w14:paraId="7AED5F5F">
      <w:pPr>
        <w:keepNext w:val="0"/>
        <w:keepLines w:val="0"/>
        <w:pageBreakBefore w:val="0"/>
        <w:widowControl w:val="0"/>
        <w:tabs>
          <w:tab w:val="left" w:pos="1840"/>
        </w:tabs>
        <w:kinsoku/>
        <w:wordWrap w:val="0"/>
        <w:overflowPunct w:val="0"/>
        <w:topLinePunct/>
        <w:autoSpaceDE/>
        <w:autoSpaceDN/>
        <w:bidi w:val="0"/>
        <w:adjustRightInd/>
        <w:snapToGrid/>
        <w:spacing w:line="360" w:lineRule="auto"/>
        <w:ind w:right="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u w:val="single" w:color="auto"/>
        </w:rPr>
        <w:tab/>
      </w:r>
      <w:r>
        <w:rPr>
          <w:rFonts w:hint="eastAsia" w:asciiTheme="minorEastAsia" w:hAnsiTheme="minorEastAsia" w:eastAsiaTheme="minorEastAsia" w:cstheme="minorEastAsia"/>
          <w:spacing w:val="0"/>
          <w:position w:val="0"/>
          <w:sz w:val="24"/>
          <w:szCs w:val="24"/>
          <w:highlight w:val="none"/>
          <w:u w:val="single" w:color="auto"/>
        </w:rPr>
        <w:t xml:space="preserve">(采购人名称）          </w:t>
      </w:r>
      <w:r>
        <w:rPr>
          <w:rFonts w:hint="eastAsia" w:asciiTheme="minorEastAsia" w:hAnsiTheme="minorEastAsia" w:eastAsiaTheme="minorEastAsia" w:cstheme="minorEastAsia"/>
          <w:spacing w:val="0"/>
          <w:position w:val="0"/>
          <w:sz w:val="24"/>
          <w:szCs w:val="24"/>
          <w:highlight w:val="none"/>
        </w:rPr>
        <w:t>：</w:t>
      </w:r>
    </w:p>
    <w:p w14:paraId="4694CD3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4892887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关于贵方项目编号为</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u w:val="single" w:color="auto"/>
          <w:lang w:val="en-US" w:eastAsia="zh-CN"/>
        </w:rPr>
        <w:t xml:space="preserve">    </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rPr>
        <w:t xml:space="preserve"> 的谈判公告，本签字人愿意参加投标，提供谈判文件中规定的 产品及服务，并声明提交下列文件是准确的、真实的和有效的。</w:t>
      </w:r>
    </w:p>
    <w:p w14:paraId="15F92BC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 由</w:t>
      </w:r>
      <w:r>
        <w:rPr>
          <w:rFonts w:hint="eastAsia" w:asciiTheme="minorEastAsia" w:hAnsiTheme="minorEastAsia" w:eastAsiaTheme="minorEastAsia" w:cstheme="minorEastAsia"/>
          <w:spacing w:val="0"/>
          <w:position w:val="0"/>
          <w:sz w:val="24"/>
          <w:szCs w:val="24"/>
          <w:highlight w:val="none"/>
          <w:lang w:val="en-US" w:eastAsia="zh-CN"/>
        </w:rPr>
        <w:t>市场监督管理局</w:t>
      </w:r>
      <w:r>
        <w:rPr>
          <w:rFonts w:hint="eastAsia" w:asciiTheme="minorEastAsia" w:hAnsiTheme="minorEastAsia" w:eastAsiaTheme="minorEastAsia" w:cstheme="minorEastAsia"/>
          <w:spacing w:val="0"/>
          <w:position w:val="0"/>
          <w:sz w:val="24"/>
          <w:szCs w:val="24"/>
          <w:highlight w:val="none"/>
        </w:rPr>
        <w:t>签发的我方营业执照；或事业单位等登记管理部门签发的证照。</w:t>
      </w:r>
    </w:p>
    <w:p w14:paraId="488DCDE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lang w:val="en-US" w:eastAsia="zh-CN"/>
        </w:rPr>
        <w:t>2</w:t>
      </w:r>
      <w:r>
        <w:rPr>
          <w:rFonts w:hint="eastAsia" w:asciiTheme="minorEastAsia" w:hAnsiTheme="minorEastAsia" w:eastAsiaTheme="minorEastAsia" w:cstheme="minorEastAsia"/>
          <w:spacing w:val="0"/>
          <w:position w:val="0"/>
          <w:sz w:val="24"/>
          <w:szCs w:val="24"/>
          <w:highlight w:val="none"/>
        </w:rPr>
        <w:t>. 符合《中华人民共和国政府采购法》第二十二条规定的其他证件材料或证明材料。</w:t>
      </w:r>
    </w:p>
    <w:p w14:paraId="7FF84AA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lang w:val="en-US" w:eastAsia="zh-CN"/>
        </w:rPr>
        <w:t>3</w:t>
      </w:r>
      <w:r>
        <w:rPr>
          <w:rFonts w:hint="eastAsia" w:asciiTheme="minorEastAsia" w:hAnsiTheme="minorEastAsia" w:eastAsiaTheme="minorEastAsia" w:cstheme="minorEastAsia"/>
          <w:spacing w:val="0"/>
          <w:position w:val="0"/>
          <w:sz w:val="24"/>
          <w:szCs w:val="24"/>
          <w:highlight w:val="none"/>
        </w:rPr>
        <w:t>. 采购项目中必须的其他证件。</w:t>
      </w:r>
    </w:p>
    <w:p w14:paraId="78CC8AA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lang w:val="en-US" w:eastAsia="zh-CN"/>
        </w:rPr>
        <w:t>4</w:t>
      </w:r>
      <w:r>
        <w:rPr>
          <w:rFonts w:hint="eastAsia" w:asciiTheme="minorEastAsia" w:hAnsiTheme="minorEastAsia" w:eastAsiaTheme="minorEastAsia" w:cstheme="minorEastAsia"/>
          <w:spacing w:val="0"/>
          <w:position w:val="0"/>
          <w:sz w:val="24"/>
          <w:szCs w:val="24"/>
          <w:highlight w:val="none"/>
        </w:rPr>
        <w:t>. 本签字人确认资格文件中的说明是真实的、准确的。</w:t>
      </w:r>
    </w:p>
    <w:p w14:paraId="741D642B">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120AD5AD">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4B3AFC7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6C919E5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法定代表人或委托代理人(签字或盖章)：</w:t>
      </w:r>
    </w:p>
    <w:p w14:paraId="2FAB124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30" w:type="default"/>
          <w:footerReference r:id="rId31"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spacing w:val="0"/>
          <w:position w:val="0"/>
          <w:sz w:val="24"/>
          <w:szCs w:val="24"/>
          <w:highlight w:val="none"/>
          <w:lang w:val="en-US" w:eastAsia="zh-CN"/>
        </w:rPr>
        <w:t xml:space="preserve">   </w:t>
      </w:r>
      <w:r>
        <w:rPr>
          <w:rFonts w:hint="eastAsia" w:asciiTheme="minorEastAsia" w:hAnsiTheme="minorEastAsia" w:eastAsiaTheme="minorEastAsia" w:cstheme="minorEastAsia"/>
          <w:spacing w:val="0"/>
          <w:position w:val="0"/>
          <w:sz w:val="24"/>
          <w:szCs w:val="24"/>
          <w:highlight w:val="none"/>
        </w:rPr>
        <w:t>日期 ：   年   月   日</w:t>
      </w:r>
    </w:p>
    <w:p w14:paraId="7862FD59">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九、反商业贿赂承诺书</w:t>
      </w:r>
    </w:p>
    <w:p w14:paraId="7CFC0BF9">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2CBF498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我公司承诺：</w:t>
      </w:r>
    </w:p>
    <w:p w14:paraId="05A6D33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在采购活动中，我公司保证做到：</w:t>
      </w:r>
    </w:p>
    <w:p w14:paraId="0311D8D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一、公平竞争参加本次采购活动。</w:t>
      </w:r>
    </w:p>
    <w:p w14:paraId="5990B11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二、杜绝任何形式的商业贿赂行为。不向国家工作人员、政府采购代理机构工作人员、评审专家及其亲属提供礼品礼金、有价证券、购物券、回扣、佣金、咨询费、劳务费、赞 助费、宣传费、宴请；不为其报销各种消费凭证，不支付其旅游、娱乐等费用。</w:t>
      </w:r>
    </w:p>
    <w:p w14:paraId="7C8DD44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三、若出现上述行为，我公司及其参与投标的工作人员愿意接受按照国家法律法规等有关 规定给予的处罚。</w:t>
      </w:r>
    </w:p>
    <w:p w14:paraId="5DA4CE9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E80D96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054D9E42">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83C04D9">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7261A1BD">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63FD836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1BB9B3A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法定代表人或委托代理人(签字或盖章)：</w:t>
      </w:r>
    </w:p>
    <w:p w14:paraId="66DE769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32" w:type="default"/>
          <w:footerReference r:id="rId33"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spacing w:val="0"/>
          <w:position w:val="0"/>
          <w:sz w:val="24"/>
          <w:szCs w:val="24"/>
          <w:highlight w:val="none"/>
          <w:lang w:val="en-US" w:eastAsia="zh-CN"/>
        </w:rPr>
        <w:t xml:space="preserve">   </w:t>
      </w:r>
      <w:r>
        <w:rPr>
          <w:rFonts w:hint="eastAsia" w:asciiTheme="minorEastAsia" w:hAnsiTheme="minorEastAsia" w:eastAsiaTheme="minorEastAsia" w:cstheme="minorEastAsia"/>
          <w:spacing w:val="0"/>
          <w:position w:val="0"/>
          <w:sz w:val="24"/>
          <w:szCs w:val="24"/>
          <w:highlight w:val="none"/>
        </w:rPr>
        <w:t>日期 ：   年   月   日</w:t>
      </w:r>
    </w:p>
    <w:p w14:paraId="1E30B3D7">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十、履约承诺书</w:t>
      </w:r>
    </w:p>
    <w:p w14:paraId="773A7B0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一、我单位承诺：</w:t>
      </w:r>
    </w:p>
    <w:p w14:paraId="434B82D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（一）我单位已详细阅读并完全理解、同意谈判文件的全部内容，包括修改补充文件以及 全部参考资料和有关附件；除我单位在谈判文件规定期间内书面提出的疑问外，我单位 放弃对这方面不明及误解的</w:t>
      </w:r>
      <w:r>
        <w:rPr>
          <w:rFonts w:hint="eastAsia" w:asciiTheme="minorEastAsia" w:hAnsiTheme="minorEastAsia" w:eastAsiaTheme="minorEastAsia" w:cstheme="minorEastAsia"/>
          <w:spacing w:val="0"/>
          <w:position w:val="0"/>
          <w:sz w:val="24"/>
          <w:szCs w:val="24"/>
          <w:highlight w:val="none"/>
          <w:lang w:eastAsia="zh-CN"/>
        </w:rPr>
        <w:t>权利</w:t>
      </w:r>
      <w:r>
        <w:rPr>
          <w:rFonts w:hint="eastAsia" w:asciiTheme="minorEastAsia" w:hAnsiTheme="minorEastAsia" w:eastAsiaTheme="minorEastAsia" w:cstheme="minorEastAsia"/>
          <w:spacing w:val="0"/>
          <w:position w:val="0"/>
          <w:sz w:val="24"/>
          <w:szCs w:val="24"/>
          <w:highlight w:val="none"/>
        </w:rPr>
        <w:t>，并严格按采购人确定的技术及商务要求等履行。</w:t>
      </w:r>
    </w:p>
    <w:p w14:paraId="5A5A77F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（二）我单位开标前已详细勘察现场，并按采购人现场条件及采购要求编制投标报价； 我单位的投标报价包括谈判文件所述报价组成的所有内容、并包括谈判文件未列明而与采 购项目相关的、必须的所有款项及费用等达到交付使用及验收条件的所有一切风险、责任 和义务的费用。</w:t>
      </w:r>
    </w:p>
    <w:p w14:paraId="4DF186F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我单位保证按谈判文件要求及投标承诺的质量诚信履约。</w:t>
      </w:r>
    </w:p>
    <w:p w14:paraId="0C77746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（三）我单位保证在谈判文件要求的时间内按期、保质完成中标项目。我单位在推荐 中标结果公示后，将积极、主动的与采购人联系合同签订事宜，合同签订中如有任何的问 题，我单位保证及时书面反映情况，否则视为我单位责任、按违约处理。</w:t>
      </w:r>
    </w:p>
    <w:p w14:paraId="0A30014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二、我单位承诺：</w:t>
      </w:r>
    </w:p>
    <w:p w14:paraId="10BE13D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除法律规定的不可抗力因素外，我单位中标后以任何理由（包括违背上述承诺的事项） 提出不能满足谈判文件技术、</w:t>
      </w:r>
      <w:r>
        <w:rPr>
          <w:rFonts w:hint="eastAsia" w:asciiTheme="minorEastAsia" w:hAnsiTheme="minorEastAsia" w:eastAsiaTheme="minorEastAsia" w:cstheme="minorEastAsia"/>
          <w:spacing w:val="0"/>
          <w:position w:val="0"/>
          <w:sz w:val="24"/>
          <w:szCs w:val="24"/>
          <w:highlight w:val="none"/>
          <w:lang w:val="en-US" w:eastAsia="zh-CN"/>
        </w:rPr>
        <w:t>合同履约期限</w:t>
      </w:r>
      <w:r>
        <w:rPr>
          <w:rFonts w:hint="eastAsia" w:asciiTheme="minorEastAsia" w:hAnsiTheme="minorEastAsia" w:eastAsiaTheme="minorEastAsia" w:cstheme="minorEastAsia"/>
          <w:spacing w:val="0"/>
          <w:position w:val="0"/>
          <w:sz w:val="24"/>
          <w:szCs w:val="24"/>
          <w:highlight w:val="none"/>
        </w:rPr>
        <w:t>等要求或不能实现投标承诺的或提出变更的，我单位  将无条件接受违约处理、并放弃我单位中标资格。我单位知悉违约责任及其处理，并无条  件接受：依据谈判文件“第三章 3.5.5 违背承诺的责任追究措施 ”承担相应法律责任及违  约责任。情节严重的，由财政部门列入不良行为记录名单，在一至三年内禁止参加政府采  购活动，并予以通报，处以罚金，给采购人及他人造成损失的，承担相应的赔偿责任。</w:t>
      </w:r>
    </w:p>
    <w:p w14:paraId="0DBEF7A1">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20EBF1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B467CE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1FD0867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法定代表人或委托代理人(签字或盖章)：</w:t>
      </w:r>
    </w:p>
    <w:p w14:paraId="6DC40A8A">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34" w:type="default"/>
          <w:footerReference r:id="rId35"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spacing w:val="0"/>
          <w:position w:val="0"/>
          <w:sz w:val="24"/>
          <w:szCs w:val="24"/>
          <w:highlight w:val="none"/>
          <w:lang w:val="en-US" w:eastAsia="zh-CN"/>
        </w:rPr>
        <w:t xml:space="preserve">  </w:t>
      </w:r>
      <w:r>
        <w:rPr>
          <w:rFonts w:hint="eastAsia" w:asciiTheme="minorEastAsia" w:hAnsiTheme="minorEastAsia" w:eastAsiaTheme="minorEastAsia" w:cstheme="minorEastAsia"/>
          <w:spacing w:val="0"/>
          <w:position w:val="0"/>
          <w:sz w:val="24"/>
          <w:szCs w:val="24"/>
          <w:highlight w:val="none"/>
        </w:rPr>
        <w:t>日期 ：   年   月   日</w:t>
      </w:r>
    </w:p>
    <w:p w14:paraId="480C3E32">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十一、资格要求相关证明材料（文件）</w:t>
      </w:r>
    </w:p>
    <w:p w14:paraId="40E8FB8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5A26085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2AE4FE2F">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F892E50">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25075B0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w:t>
      </w:r>
      <w:r>
        <w:rPr>
          <w:rFonts w:hint="eastAsia" w:asciiTheme="minorEastAsia" w:hAnsiTheme="minorEastAsia" w:eastAsiaTheme="minorEastAsia" w:cstheme="minorEastAsia"/>
          <w:b/>
          <w:bCs/>
          <w:spacing w:val="0"/>
          <w:position w:val="0"/>
          <w:sz w:val="24"/>
          <w:szCs w:val="24"/>
          <w:highlight w:val="none"/>
        </w:rPr>
        <w:t>请注意：未按公告要求逐一提交资格证明资料的将导致无效投标，为近期常见的因不仔细而缺少某一资格证明资料、导致无效，特此提醒】</w:t>
      </w:r>
    </w:p>
    <w:p w14:paraId="58138F6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144261F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54D73613">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7341967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w:t>
      </w:r>
      <w:r>
        <w:rPr>
          <w:rFonts w:hint="eastAsia" w:asciiTheme="minorEastAsia" w:hAnsiTheme="minorEastAsia" w:eastAsiaTheme="minorEastAsia" w:cstheme="minorEastAsia"/>
          <w:b/>
          <w:bCs/>
          <w:spacing w:val="0"/>
          <w:position w:val="0"/>
          <w:sz w:val="24"/>
          <w:szCs w:val="24"/>
          <w:highlight w:val="none"/>
        </w:rPr>
        <w:t>请注意：未按谈判公告要求签字或加盖公章的将导致无效投标，特此提醒】</w:t>
      </w:r>
    </w:p>
    <w:p w14:paraId="24258EF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36" w:type="default"/>
          <w:footerReference r:id="rId37"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p>
    <w:p w14:paraId="3CE7B14B">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中小企业声明函</w:t>
      </w:r>
    </w:p>
    <w:p w14:paraId="4E2B4649">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EAF3F46">
      <w:pPr>
        <w:pStyle w:val="24"/>
        <w:keepNext w:val="0"/>
        <w:keepLines w:val="0"/>
        <w:pageBreakBefore w:val="0"/>
        <w:widowControl w:val="0"/>
        <w:shd w:val="clear" w:color="auto" w:fill="auto"/>
        <w:kinsoku/>
        <w:wordWrap w:val="0"/>
        <w:overflowPunct w:val="0"/>
        <w:topLinePunct/>
        <w:autoSpaceDE/>
        <w:autoSpaceDN/>
        <w:bidi w:val="0"/>
        <w:adjustRightInd/>
        <w:snapToGrid/>
        <w:spacing w:beforeAutospacing="0" w:after="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本公司（联合体）郑重声明，根据《政府采购促进中小企业发展管理办法》（财库〔2020〕46号）的规定，本公司 (联合体</w:t>
      </w:r>
      <w:r>
        <w:rPr>
          <w:rFonts w:hint="eastAsia" w:ascii="宋体" w:hAnsi="宋体" w:eastAsia="宋体" w:cs="宋体"/>
          <w:i/>
          <w:color w:val="auto"/>
          <w:spacing w:val="0"/>
          <w:sz w:val="24"/>
          <w:szCs w:val="24"/>
          <w:highlight w:val="none"/>
        </w:rPr>
        <w:t>）</w:t>
      </w:r>
      <w:r>
        <w:rPr>
          <w:rStyle w:val="25"/>
          <w:rFonts w:hint="eastAsia" w:ascii="宋体" w:hAnsi="宋体" w:eastAsia="宋体" w:cs="宋体"/>
          <w:i w:val="0"/>
          <w:color w:val="auto"/>
          <w:spacing w:val="0"/>
          <w:sz w:val="24"/>
          <w:szCs w:val="24"/>
          <w:highlight w:val="none"/>
        </w:rPr>
        <w:t>参加</w:t>
      </w:r>
      <w:r>
        <w:rPr>
          <w:rStyle w:val="25"/>
          <w:rFonts w:hint="eastAsia" w:ascii="宋体" w:hAnsi="宋体" w:eastAsia="宋体" w:cs="宋体"/>
          <w:i w:val="0"/>
          <w:color w:val="auto"/>
          <w:spacing w:val="0"/>
          <w:sz w:val="24"/>
          <w:szCs w:val="24"/>
          <w:highlight w:val="none"/>
          <w:u w:val="single"/>
        </w:rPr>
        <w:t>（单位名称）</w:t>
      </w:r>
      <w:r>
        <w:rPr>
          <w:rStyle w:val="25"/>
          <w:rFonts w:hint="eastAsia" w:ascii="宋体" w:hAnsi="宋体" w:eastAsia="宋体" w:cs="宋体"/>
          <w:i w:val="0"/>
          <w:color w:val="auto"/>
          <w:spacing w:val="0"/>
          <w:sz w:val="24"/>
          <w:szCs w:val="24"/>
          <w:highlight w:val="none"/>
        </w:rPr>
        <w:t>的</w:t>
      </w:r>
      <w:r>
        <w:rPr>
          <w:rStyle w:val="25"/>
          <w:rFonts w:hint="eastAsia" w:ascii="宋体" w:hAnsi="宋体" w:eastAsia="宋体" w:cs="宋体"/>
          <w:i w:val="0"/>
          <w:color w:val="auto"/>
          <w:spacing w:val="0"/>
          <w:sz w:val="24"/>
          <w:szCs w:val="24"/>
          <w:highlight w:val="none"/>
          <w:u w:val="single"/>
        </w:rPr>
        <w:t>（项目名称）</w:t>
      </w:r>
      <w:r>
        <w:rPr>
          <w:rStyle w:val="25"/>
          <w:rFonts w:hint="eastAsia" w:ascii="宋体" w:hAnsi="宋体" w:eastAsia="宋体" w:cs="宋体"/>
          <w:i w:val="0"/>
          <w:color w:val="auto"/>
          <w:spacing w:val="0"/>
          <w:sz w:val="24"/>
          <w:szCs w:val="24"/>
          <w:highlight w:val="none"/>
        </w:rPr>
        <w:t>采购活动</w:t>
      </w:r>
      <w:r>
        <w:rPr>
          <w:rStyle w:val="25"/>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rPr>
        <w:t>服务全部由符合政策要求的中小企业承接。相关企业</w:t>
      </w:r>
      <w:r>
        <w:rPr>
          <w:rFonts w:hint="eastAsia" w:ascii="宋体" w:hAnsi="宋体" w:eastAsia="宋体" w:cs="宋体"/>
          <w:color w:val="auto"/>
          <w:spacing w:val="0"/>
          <w:sz w:val="24"/>
          <w:szCs w:val="24"/>
          <w:highlight w:val="none"/>
          <w:lang w:bidi="en-US"/>
        </w:rPr>
        <w:t>（</w:t>
      </w:r>
      <w:r>
        <w:rPr>
          <w:rFonts w:hint="eastAsia" w:ascii="宋体" w:hAnsi="宋体" w:eastAsia="宋体" w:cs="宋体"/>
          <w:color w:val="auto"/>
          <w:spacing w:val="0"/>
          <w:sz w:val="24"/>
          <w:szCs w:val="24"/>
          <w:highlight w:val="none"/>
        </w:rPr>
        <w:t>含联合体中的中小企业、签订分包意向协议的中小企业）的具体情况如下：</w:t>
      </w:r>
    </w:p>
    <w:p w14:paraId="1F1A0891">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iCs/>
          <w:color w:val="auto"/>
          <w:spacing w:val="0"/>
          <w:sz w:val="24"/>
          <w:szCs w:val="24"/>
          <w:highlight w:val="none"/>
          <w:u w:val="single"/>
        </w:rPr>
        <w:t>(标的名称)</w:t>
      </w:r>
      <w:r>
        <w:rPr>
          <w:rFonts w:hint="eastAsia" w:ascii="宋体" w:hAnsi="宋体" w:eastAsia="宋体" w:cs="宋体"/>
          <w:iCs/>
          <w:color w:val="auto"/>
          <w:spacing w:val="0"/>
          <w:sz w:val="24"/>
          <w:szCs w:val="24"/>
          <w:highlight w:val="none"/>
        </w:rPr>
        <w:t>，</w:t>
      </w:r>
      <w:r>
        <w:rPr>
          <w:rFonts w:hint="eastAsia" w:ascii="宋体" w:hAnsi="宋体" w:eastAsia="宋体" w:cs="宋体"/>
          <w:color w:val="auto"/>
          <w:spacing w:val="0"/>
          <w:sz w:val="24"/>
          <w:szCs w:val="24"/>
          <w:highlight w:val="none"/>
        </w:rPr>
        <w:t>属于</w:t>
      </w:r>
      <w:r>
        <w:rPr>
          <w:rFonts w:hint="eastAsia" w:ascii="宋体" w:hAnsi="宋体" w:eastAsia="宋体" w:cs="宋体"/>
          <w:iCs/>
          <w:color w:val="auto"/>
          <w:spacing w:val="0"/>
          <w:sz w:val="24"/>
          <w:szCs w:val="24"/>
          <w:highlight w:val="none"/>
          <w:u w:val="single"/>
        </w:rPr>
        <w:t>（采购文件中明确的所属行业)</w:t>
      </w:r>
      <w:r>
        <w:rPr>
          <w:rFonts w:hint="eastAsia" w:ascii="宋体" w:hAnsi="宋体" w:eastAsia="宋体" w:cs="宋体"/>
          <w:iCs/>
          <w:color w:val="auto"/>
          <w:spacing w:val="0"/>
          <w:sz w:val="24"/>
          <w:szCs w:val="24"/>
          <w:highlight w:val="none"/>
        </w:rPr>
        <w:t>，</w:t>
      </w:r>
      <w:r>
        <w:rPr>
          <w:rFonts w:hint="eastAsia" w:ascii="宋体" w:hAnsi="宋体" w:eastAsia="宋体" w:cs="宋体"/>
          <w:color w:val="auto"/>
          <w:spacing w:val="0"/>
          <w:sz w:val="24"/>
          <w:szCs w:val="24"/>
          <w:highlight w:val="none"/>
        </w:rPr>
        <w:t>承接</w:t>
      </w:r>
      <w:r>
        <w:rPr>
          <w:rFonts w:hint="eastAsia" w:ascii="宋体" w:hAnsi="宋体" w:eastAsia="宋体" w:cs="宋体"/>
          <w:iCs/>
          <w:color w:val="auto"/>
          <w:spacing w:val="0"/>
          <w:sz w:val="24"/>
          <w:szCs w:val="24"/>
          <w:highlight w:val="none"/>
        </w:rPr>
        <w:t>企业为</w:t>
      </w:r>
      <w:r>
        <w:rPr>
          <w:rFonts w:hint="eastAsia" w:ascii="宋体" w:hAnsi="宋体" w:eastAsia="宋体" w:cs="宋体"/>
          <w:color w:val="auto"/>
          <w:spacing w:val="0"/>
          <w:sz w:val="24"/>
          <w:szCs w:val="24"/>
          <w:highlight w:val="none"/>
          <w:u w:val="single"/>
        </w:rPr>
        <w:t>（企业名称)</w:t>
      </w:r>
      <w:r>
        <w:rPr>
          <w:rFonts w:hint="eastAsia" w:ascii="宋体" w:hAnsi="宋体" w:eastAsia="宋体" w:cs="宋体"/>
          <w:color w:val="auto"/>
          <w:spacing w:val="0"/>
          <w:sz w:val="24"/>
          <w:szCs w:val="24"/>
          <w:highlight w:val="none"/>
        </w:rPr>
        <w:t>，从业人员</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人，营业收</w:t>
      </w:r>
      <w:r>
        <w:rPr>
          <w:rFonts w:hint="eastAsia" w:ascii="宋体" w:hAnsi="宋体" w:eastAsia="宋体" w:cs="宋体"/>
          <w:iCs/>
          <w:color w:val="auto"/>
          <w:spacing w:val="0"/>
          <w:sz w:val="24"/>
          <w:szCs w:val="24"/>
          <w:highlight w:val="none"/>
        </w:rPr>
        <w:t>入为</w:t>
      </w:r>
      <w:r>
        <w:rPr>
          <w:rFonts w:hint="eastAsia" w:ascii="宋体" w:hAnsi="宋体" w:eastAsia="宋体" w:cs="宋体"/>
          <w:iCs/>
          <w:color w:val="auto"/>
          <w:spacing w:val="0"/>
          <w:sz w:val="24"/>
          <w:szCs w:val="24"/>
          <w:highlight w:val="none"/>
          <w:u w:val="single"/>
        </w:rPr>
        <w:t xml:space="preserve">_    </w:t>
      </w:r>
      <w:r>
        <w:rPr>
          <w:rFonts w:hint="eastAsia" w:ascii="宋体" w:hAnsi="宋体" w:eastAsia="宋体" w:cs="宋体"/>
          <w:iCs/>
          <w:color w:val="auto"/>
          <w:spacing w:val="0"/>
          <w:sz w:val="24"/>
          <w:szCs w:val="24"/>
          <w:highlight w:val="none"/>
        </w:rPr>
        <w:t>万元，资产总额为</w:t>
      </w:r>
      <w:r>
        <w:rPr>
          <w:rFonts w:hint="eastAsia" w:ascii="宋体" w:hAnsi="宋体" w:eastAsia="宋体" w:cs="宋体"/>
          <w:iCs/>
          <w:color w:val="auto"/>
          <w:spacing w:val="0"/>
          <w:sz w:val="24"/>
          <w:szCs w:val="24"/>
          <w:highlight w:val="none"/>
          <w:u w:val="single"/>
        </w:rPr>
        <w:t xml:space="preserve">    _</w:t>
      </w:r>
      <w:r>
        <w:rPr>
          <w:rFonts w:hint="eastAsia" w:ascii="宋体" w:hAnsi="宋体" w:eastAsia="宋体" w:cs="宋体"/>
          <w:iCs/>
          <w:color w:val="auto"/>
          <w:spacing w:val="0"/>
          <w:sz w:val="24"/>
          <w:szCs w:val="24"/>
          <w:highlight w:val="none"/>
        </w:rPr>
        <w:t>万元</w:t>
      </w:r>
      <w:r>
        <w:rPr>
          <w:rFonts w:hint="eastAsia" w:ascii="宋体" w:hAnsi="宋体" w:eastAsia="宋体" w:cs="宋体"/>
          <w:iCs/>
          <w:color w:val="auto"/>
          <w:spacing w:val="0"/>
          <w:sz w:val="24"/>
          <w:szCs w:val="24"/>
          <w:highlight w:val="none"/>
          <w:vertAlign w:val="superscript"/>
        </w:rPr>
        <w:t>1</w:t>
      </w:r>
      <w:r>
        <w:rPr>
          <w:rFonts w:hint="eastAsia" w:ascii="宋体" w:hAnsi="宋体" w:eastAsia="宋体" w:cs="宋体"/>
          <w:iCs/>
          <w:color w:val="auto"/>
          <w:spacing w:val="0"/>
          <w:sz w:val="24"/>
          <w:szCs w:val="24"/>
          <w:highlight w:val="none"/>
        </w:rPr>
        <w:t>，</w:t>
      </w:r>
      <w:r>
        <w:rPr>
          <w:rFonts w:hint="eastAsia" w:ascii="宋体" w:hAnsi="宋体" w:eastAsia="宋体" w:cs="宋体"/>
          <w:color w:val="auto"/>
          <w:spacing w:val="0"/>
          <w:sz w:val="24"/>
          <w:szCs w:val="24"/>
          <w:highlight w:val="none"/>
        </w:rPr>
        <w:t>属于</w:t>
      </w:r>
      <w:r>
        <w:rPr>
          <w:rFonts w:hint="eastAsia" w:ascii="宋体" w:hAnsi="宋体" w:eastAsia="宋体" w:cs="宋体"/>
          <w:iCs/>
          <w:color w:val="auto"/>
          <w:spacing w:val="0"/>
          <w:sz w:val="24"/>
          <w:szCs w:val="24"/>
          <w:highlight w:val="none"/>
          <w:u w:val="single"/>
        </w:rPr>
        <w:t>（中型企业、小型企业、微型企业）</w:t>
      </w:r>
      <w:r>
        <w:rPr>
          <w:rFonts w:hint="eastAsia" w:ascii="宋体" w:hAnsi="宋体" w:eastAsia="宋体" w:cs="宋体"/>
          <w:color w:val="auto"/>
          <w:spacing w:val="0"/>
          <w:sz w:val="24"/>
          <w:szCs w:val="24"/>
          <w:highlight w:val="none"/>
        </w:rPr>
        <w:t>；</w:t>
      </w:r>
    </w:p>
    <w:p w14:paraId="26F6DF2C">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r>
        <w:rPr>
          <w:rFonts w:hint="eastAsia" w:ascii="宋体" w:hAnsi="宋体" w:eastAsia="宋体" w:cs="宋体"/>
          <w:iCs/>
          <w:color w:val="auto"/>
          <w:spacing w:val="0"/>
          <w:sz w:val="24"/>
          <w:szCs w:val="24"/>
          <w:highlight w:val="none"/>
          <w:u w:val="single"/>
        </w:rPr>
        <w:t>(标的名称)</w:t>
      </w:r>
      <w:r>
        <w:rPr>
          <w:rFonts w:hint="eastAsia" w:ascii="宋体" w:hAnsi="宋体" w:eastAsia="宋体" w:cs="宋体"/>
          <w:iCs/>
          <w:color w:val="auto"/>
          <w:spacing w:val="0"/>
          <w:sz w:val="24"/>
          <w:szCs w:val="24"/>
          <w:highlight w:val="none"/>
        </w:rPr>
        <w:t>，</w:t>
      </w:r>
      <w:r>
        <w:rPr>
          <w:rFonts w:hint="eastAsia" w:ascii="宋体" w:hAnsi="宋体" w:eastAsia="宋体" w:cs="宋体"/>
          <w:color w:val="auto"/>
          <w:spacing w:val="0"/>
          <w:sz w:val="24"/>
          <w:szCs w:val="24"/>
          <w:highlight w:val="none"/>
        </w:rPr>
        <w:t>属于</w:t>
      </w:r>
      <w:r>
        <w:rPr>
          <w:rFonts w:hint="eastAsia" w:ascii="宋体" w:hAnsi="宋体" w:eastAsia="宋体" w:cs="宋体"/>
          <w:iCs/>
          <w:color w:val="auto"/>
          <w:spacing w:val="0"/>
          <w:sz w:val="24"/>
          <w:szCs w:val="24"/>
          <w:highlight w:val="none"/>
          <w:u w:val="single"/>
        </w:rPr>
        <w:t>（采购文件中明确的所属行业)</w:t>
      </w:r>
      <w:r>
        <w:rPr>
          <w:rFonts w:hint="eastAsia" w:ascii="宋体" w:hAnsi="宋体" w:eastAsia="宋体" w:cs="宋体"/>
          <w:iCs/>
          <w:color w:val="auto"/>
          <w:spacing w:val="0"/>
          <w:sz w:val="24"/>
          <w:szCs w:val="24"/>
          <w:highlight w:val="none"/>
        </w:rPr>
        <w:t>，</w:t>
      </w:r>
      <w:r>
        <w:rPr>
          <w:rFonts w:hint="eastAsia" w:ascii="宋体" w:hAnsi="宋体" w:eastAsia="宋体" w:cs="宋体"/>
          <w:color w:val="auto"/>
          <w:spacing w:val="0"/>
          <w:sz w:val="24"/>
          <w:szCs w:val="24"/>
          <w:highlight w:val="none"/>
        </w:rPr>
        <w:t>承接</w:t>
      </w:r>
      <w:r>
        <w:rPr>
          <w:rFonts w:hint="eastAsia" w:ascii="宋体" w:hAnsi="宋体" w:eastAsia="宋体" w:cs="宋体"/>
          <w:iCs/>
          <w:color w:val="auto"/>
          <w:spacing w:val="0"/>
          <w:sz w:val="24"/>
          <w:szCs w:val="24"/>
          <w:highlight w:val="none"/>
        </w:rPr>
        <w:t>企业为</w:t>
      </w:r>
      <w:r>
        <w:rPr>
          <w:rFonts w:hint="eastAsia" w:ascii="宋体" w:hAnsi="宋体" w:eastAsia="宋体" w:cs="宋体"/>
          <w:color w:val="auto"/>
          <w:spacing w:val="0"/>
          <w:sz w:val="24"/>
          <w:szCs w:val="24"/>
          <w:highlight w:val="none"/>
          <w:u w:val="single"/>
        </w:rPr>
        <w:t>（企业名称)</w:t>
      </w:r>
      <w:r>
        <w:rPr>
          <w:rFonts w:hint="eastAsia" w:ascii="宋体" w:hAnsi="宋体" w:eastAsia="宋体" w:cs="宋体"/>
          <w:color w:val="auto"/>
          <w:spacing w:val="0"/>
          <w:sz w:val="24"/>
          <w:szCs w:val="24"/>
          <w:highlight w:val="none"/>
        </w:rPr>
        <w:t>，从业人员</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人，营业收</w:t>
      </w:r>
      <w:r>
        <w:rPr>
          <w:rFonts w:hint="eastAsia" w:ascii="宋体" w:hAnsi="宋体" w:eastAsia="宋体" w:cs="宋体"/>
          <w:iCs/>
          <w:color w:val="auto"/>
          <w:spacing w:val="0"/>
          <w:sz w:val="24"/>
          <w:szCs w:val="24"/>
          <w:highlight w:val="none"/>
        </w:rPr>
        <w:t>入为</w:t>
      </w:r>
      <w:r>
        <w:rPr>
          <w:rFonts w:hint="eastAsia" w:ascii="宋体" w:hAnsi="宋体" w:eastAsia="宋体" w:cs="宋体"/>
          <w:iCs/>
          <w:color w:val="auto"/>
          <w:spacing w:val="0"/>
          <w:sz w:val="24"/>
          <w:szCs w:val="24"/>
          <w:highlight w:val="none"/>
          <w:u w:val="single"/>
        </w:rPr>
        <w:t xml:space="preserve">    </w:t>
      </w:r>
      <w:r>
        <w:rPr>
          <w:rFonts w:hint="eastAsia" w:ascii="宋体" w:hAnsi="宋体" w:eastAsia="宋体" w:cs="宋体"/>
          <w:iCs/>
          <w:color w:val="auto"/>
          <w:spacing w:val="0"/>
          <w:sz w:val="24"/>
          <w:szCs w:val="24"/>
          <w:highlight w:val="none"/>
        </w:rPr>
        <w:t>万元，资产总额为</w:t>
      </w:r>
      <w:r>
        <w:rPr>
          <w:rFonts w:hint="eastAsia" w:ascii="宋体" w:hAnsi="宋体" w:eastAsia="宋体" w:cs="宋体"/>
          <w:iCs/>
          <w:color w:val="auto"/>
          <w:spacing w:val="0"/>
          <w:sz w:val="24"/>
          <w:szCs w:val="24"/>
          <w:highlight w:val="none"/>
          <w:u w:val="single"/>
        </w:rPr>
        <w:t xml:space="preserve">    </w:t>
      </w:r>
      <w:r>
        <w:rPr>
          <w:rFonts w:hint="eastAsia" w:ascii="宋体" w:hAnsi="宋体" w:eastAsia="宋体" w:cs="宋体"/>
          <w:iCs/>
          <w:color w:val="auto"/>
          <w:spacing w:val="0"/>
          <w:sz w:val="24"/>
          <w:szCs w:val="24"/>
          <w:highlight w:val="none"/>
        </w:rPr>
        <w:t>万元，</w:t>
      </w:r>
      <w:r>
        <w:rPr>
          <w:rFonts w:hint="eastAsia" w:ascii="宋体" w:hAnsi="宋体" w:eastAsia="宋体" w:cs="宋体"/>
          <w:color w:val="auto"/>
          <w:spacing w:val="0"/>
          <w:sz w:val="24"/>
          <w:szCs w:val="24"/>
          <w:highlight w:val="none"/>
        </w:rPr>
        <w:t>属于</w:t>
      </w:r>
      <w:r>
        <w:rPr>
          <w:rFonts w:hint="eastAsia" w:ascii="宋体" w:hAnsi="宋体" w:eastAsia="宋体" w:cs="宋体"/>
          <w:iCs/>
          <w:color w:val="auto"/>
          <w:spacing w:val="0"/>
          <w:sz w:val="24"/>
          <w:szCs w:val="24"/>
          <w:highlight w:val="none"/>
          <w:u w:val="single"/>
        </w:rPr>
        <w:t>（中型企业、小型企业、微型企业）</w:t>
      </w:r>
      <w:r>
        <w:rPr>
          <w:rFonts w:hint="eastAsia" w:ascii="宋体" w:hAnsi="宋体" w:eastAsia="宋体" w:cs="宋体"/>
          <w:color w:val="auto"/>
          <w:spacing w:val="0"/>
          <w:sz w:val="24"/>
          <w:szCs w:val="24"/>
          <w:highlight w:val="none"/>
        </w:rPr>
        <w:t>；</w:t>
      </w:r>
    </w:p>
    <w:p w14:paraId="05C33968">
      <w:pPr>
        <w:pStyle w:val="24"/>
        <w:keepNext w:val="0"/>
        <w:keepLines w:val="0"/>
        <w:pageBreakBefore w:val="0"/>
        <w:widowControl w:val="0"/>
        <w:shd w:val="clear" w:color="auto" w:fill="auto"/>
        <w:kinsoku/>
        <w:wordWrap w:val="0"/>
        <w:overflowPunct w:val="0"/>
        <w:topLinePunct/>
        <w:autoSpaceDE/>
        <w:autoSpaceDN/>
        <w:bidi w:val="0"/>
        <w:adjustRightInd/>
        <w:snapToGrid/>
        <w:spacing w:beforeAutospacing="0" w:after="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p>
    <w:p w14:paraId="257FF1E4">
      <w:pPr>
        <w:pStyle w:val="24"/>
        <w:keepNext w:val="0"/>
        <w:keepLines w:val="0"/>
        <w:pageBreakBefore w:val="0"/>
        <w:widowControl w:val="0"/>
        <w:shd w:val="clear" w:color="auto" w:fill="auto"/>
        <w:kinsoku/>
        <w:wordWrap w:val="0"/>
        <w:overflowPunct w:val="0"/>
        <w:topLinePunct/>
        <w:autoSpaceDE/>
        <w:autoSpaceDN/>
        <w:bidi w:val="0"/>
        <w:adjustRightInd/>
        <w:snapToGrid/>
        <w:spacing w:beforeAutospacing="0" w:after="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以上企业，不属于大企业的分支机构，不存在控股股东为大企业的情形，也不存在与大企业的负责人为同一人的情形。</w:t>
      </w:r>
    </w:p>
    <w:p w14:paraId="6095F2C8">
      <w:pPr>
        <w:pStyle w:val="24"/>
        <w:keepNext w:val="0"/>
        <w:keepLines w:val="0"/>
        <w:pageBreakBefore w:val="0"/>
        <w:widowControl w:val="0"/>
        <w:shd w:val="clear" w:color="auto" w:fill="auto"/>
        <w:kinsoku/>
        <w:wordWrap w:val="0"/>
        <w:overflowPunct w:val="0"/>
        <w:topLinePunct/>
        <w:autoSpaceDE/>
        <w:autoSpaceDN/>
        <w:bidi w:val="0"/>
        <w:adjustRightInd/>
        <w:snapToGrid/>
        <w:spacing w:beforeAutospacing="0" w:after="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本企业对上述声明内容的真实性负责。如有虚假，将依法承担相应责任。</w:t>
      </w:r>
    </w:p>
    <w:p w14:paraId="0C7549D6">
      <w:pPr>
        <w:pStyle w:val="24"/>
        <w:keepNext w:val="0"/>
        <w:keepLines w:val="0"/>
        <w:pageBreakBefore w:val="0"/>
        <w:widowControl w:val="0"/>
        <w:shd w:val="clear" w:color="auto" w:fill="auto"/>
        <w:kinsoku/>
        <w:wordWrap w:val="0"/>
        <w:overflowPunct w:val="0"/>
        <w:topLinePunct/>
        <w:autoSpaceDE/>
        <w:autoSpaceDN/>
        <w:bidi w:val="0"/>
        <w:adjustRightInd/>
        <w:snapToGrid/>
        <w:spacing w:beforeAutospacing="0" w:after="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p>
    <w:p w14:paraId="5D6AA877">
      <w:pPr>
        <w:pStyle w:val="24"/>
        <w:keepNext w:val="0"/>
        <w:keepLines w:val="0"/>
        <w:pageBreakBefore w:val="0"/>
        <w:widowControl w:val="0"/>
        <w:shd w:val="clear" w:color="auto" w:fill="auto"/>
        <w:kinsoku/>
        <w:wordWrap w:val="0"/>
        <w:overflowPunct w:val="0"/>
        <w:topLinePunct/>
        <w:autoSpaceDE/>
        <w:autoSpaceDN/>
        <w:bidi w:val="0"/>
        <w:adjustRightInd/>
        <w:snapToGrid/>
        <w:spacing w:beforeAutospacing="0" w:after="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p>
    <w:p w14:paraId="1011DF01">
      <w:pPr>
        <w:pStyle w:val="24"/>
        <w:keepNext w:val="0"/>
        <w:keepLines w:val="0"/>
        <w:pageBreakBefore w:val="0"/>
        <w:widowControl w:val="0"/>
        <w:shd w:val="clear" w:color="auto" w:fill="auto"/>
        <w:kinsoku/>
        <w:wordWrap w:val="0"/>
        <w:overflowPunct w:val="0"/>
        <w:topLinePunct/>
        <w:autoSpaceDE/>
        <w:autoSpaceDN/>
        <w:bidi w:val="0"/>
        <w:adjustRightInd/>
        <w:snapToGrid/>
        <w:spacing w:beforeAutospacing="0" w:after="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企业名称（盖章</w:t>
      </w:r>
      <w:r>
        <w:rPr>
          <w:rFonts w:hint="eastAsia" w:ascii="宋体" w:hAnsi="宋体" w:eastAsia="宋体" w:cs="宋体"/>
          <w:color w:val="auto"/>
          <w:spacing w:val="0"/>
          <w:sz w:val="24"/>
          <w:szCs w:val="24"/>
          <w:highlight w:val="none"/>
          <w:lang w:bidi="en-US"/>
        </w:rPr>
        <w:t>）</w:t>
      </w:r>
    </w:p>
    <w:p w14:paraId="71DED4A0">
      <w:pPr>
        <w:keepNext w:val="0"/>
        <w:keepLines w:val="0"/>
        <w:pageBreakBefore w:val="0"/>
        <w:widowControl w:val="0"/>
        <w:kinsoku/>
        <w:wordWrap w:val="0"/>
        <w:overflowPunct w:val="0"/>
        <w:topLinePunct/>
        <w:autoSpaceDE/>
        <w:autoSpaceDN/>
        <w:bidi w:val="0"/>
        <w:adjustRightInd/>
        <w:snapToGrid/>
        <w:spacing w:beforeAutospacing="0" w:afterAutospacing="0" w:line="360" w:lineRule="auto"/>
        <w:ind w:left="0" w:right="0" w:firstLine="480" w:firstLineChars="200"/>
        <w:jc w:val="left"/>
        <w:textAlignment w:val="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日期：</w:t>
      </w:r>
    </w:p>
    <w:p w14:paraId="18D4E9F3">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lang w:val="en-US" w:eastAsia="zh-CN"/>
        </w:rPr>
        <w:t xml:space="preserve"> </w:t>
      </w:r>
    </w:p>
    <w:p w14:paraId="2A24578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lang w:val="en-US" w:eastAsia="zh-CN"/>
        </w:rPr>
        <w:t>备注：</w:t>
      </w:r>
      <w:r>
        <w:rPr>
          <w:rFonts w:hint="eastAsia" w:asciiTheme="minorEastAsia" w:hAnsiTheme="minorEastAsia" w:eastAsiaTheme="minorEastAsia" w:cstheme="minorEastAsia"/>
          <w:spacing w:val="0"/>
          <w:position w:val="0"/>
          <w:sz w:val="24"/>
          <w:szCs w:val="24"/>
          <w:highlight w:val="none"/>
        </w:rPr>
        <w:t>1、从业人员、营业收入、资产总额填报上一年度数据，无上一年度数据的新成立企业可不填报。</w:t>
      </w:r>
    </w:p>
    <w:p w14:paraId="1769939F">
      <w:pPr>
        <w:keepNext w:val="0"/>
        <w:keepLines w:val="0"/>
        <w:pageBreakBefore w:val="0"/>
        <w:widowControl w:val="0"/>
        <w:kinsoku/>
        <w:wordWrap w:val="0"/>
        <w:overflowPunct w:val="0"/>
        <w:topLinePunct/>
        <w:autoSpaceDE/>
        <w:autoSpaceDN/>
        <w:bidi w:val="0"/>
        <w:adjustRightInd/>
        <w:snapToGrid/>
        <w:spacing w:line="360" w:lineRule="auto"/>
        <w:ind w:left="0" w:right="0" w:firstLine="482"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24"/>
          <w:szCs w:val="24"/>
          <w:highlight w:val="none"/>
        </w:rPr>
        <w:t>2、“专门面向中小企业采购”项目须提供《中小企业声明函》</w:t>
      </w:r>
      <w:r>
        <w:rPr>
          <w:rFonts w:hint="eastAsia" w:asciiTheme="minorEastAsia" w:hAnsiTheme="minorEastAsia" w:eastAsiaTheme="minorEastAsia" w:cstheme="minorEastAsia"/>
          <w:spacing w:val="0"/>
          <w:position w:val="0"/>
          <w:sz w:val="24"/>
          <w:szCs w:val="24"/>
          <w:highlight w:val="none"/>
        </w:rPr>
        <w:t>。</w:t>
      </w:r>
    </w:p>
    <w:p w14:paraId="3630BE9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footerReference r:id="rId38" w:type="default"/>
          <w:pgSz w:w="11910" w:h="16840"/>
          <w:pgMar w:top="1440" w:right="1080" w:bottom="1440" w:left="1080" w:header="730" w:footer="725" w:gutter="0"/>
          <w:pgBorders>
            <w:top w:val="none" w:sz="0" w:space="0"/>
            <w:left w:val="none" w:sz="0" w:space="0"/>
            <w:bottom w:val="none" w:sz="0" w:space="0"/>
            <w:right w:val="none" w:sz="0" w:space="0"/>
          </w:pgBorders>
          <w:pgNumType w:fmt="decimal"/>
          <w:cols w:space="720" w:num="1"/>
          <w:rtlGutter w:val="0"/>
        </w:sectPr>
      </w:pPr>
    </w:p>
    <w:p w14:paraId="12507BB9">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b/>
          <w:bCs/>
          <w:spacing w:val="0"/>
          <w:position w:val="0"/>
          <w:sz w:val="30"/>
          <w:szCs w:val="30"/>
          <w:highlight w:val="none"/>
        </w:rPr>
        <w:t>残疾人福利性单位声明函</w:t>
      </w:r>
      <w:r>
        <w:rPr>
          <w:rFonts w:hint="eastAsia" w:asciiTheme="minorEastAsia" w:hAnsiTheme="minorEastAsia" w:eastAsiaTheme="minorEastAsia" w:cstheme="minorEastAsia"/>
          <w:spacing w:val="0"/>
          <w:position w:val="0"/>
          <w:sz w:val="24"/>
          <w:szCs w:val="24"/>
          <w:highlight w:val="none"/>
        </w:rPr>
        <w:t>（如符合条件时填写）</w:t>
      </w:r>
    </w:p>
    <w:p w14:paraId="14AD736A">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65BBBD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 xml:space="preserve">本单位郑重声明，根据《财政部 民政部 中国残疾人联合会关于促进残疾人就业政府采购政策的通知》 （财库〔2017〕141 号） 的规定，本单位为符合条件的残疾人福利性单位，且本单位参加 </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rPr>
        <w:t xml:space="preserve"> 单位的 </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rPr>
        <w:t xml:space="preserve"> 项目采购活动提 供本单位制造的货物（由本单位承担工程/提供服务） ，或者提供其他残疾人 福利性单位制造的货物（不包括使用非残疾人福利性单位注册商标的货物）。</w:t>
      </w:r>
    </w:p>
    <w:p w14:paraId="75A8B3B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本单位对上述声明的真实性负责。如有虚假，将依法承担相应责任。</w:t>
      </w:r>
    </w:p>
    <w:p w14:paraId="0493D5C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4E42477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200EE76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法定代表人或委托代理人(签字或盖章)：</w:t>
      </w:r>
    </w:p>
    <w:p w14:paraId="3C62173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日期 ：   年   月   日</w:t>
      </w:r>
    </w:p>
    <w:p w14:paraId="62C80B4A">
      <w:pPr>
        <w:keepNext w:val="0"/>
        <w:keepLines w:val="0"/>
        <w:pageBreakBefore w:val="0"/>
        <w:widowControl w:val="0"/>
        <w:kinsoku/>
        <w:wordWrap w:val="0"/>
        <w:overflowPunct w:val="0"/>
        <w:topLinePunct/>
        <w:autoSpaceDE/>
        <w:autoSpaceDN/>
        <w:bidi w:val="0"/>
        <w:adjustRightInd/>
        <w:snapToGrid/>
        <w:spacing w:line="360" w:lineRule="auto"/>
        <w:ind w:left="0" w:right="0" w:firstLine="360" w:firstLineChars="200"/>
        <w:jc w:val="left"/>
        <w:textAlignment w:val="auto"/>
        <w:outlineLvl w:val="9"/>
        <w:rPr>
          <w:rFonts w:hint="eastAsia" w:asciiTheme="minorEastAsia" w:hAnsiTheme="minorEastAsia" w:eastAsiaTheme="minorEastAsia" w:cstheme="minorEastAsia"/>
          <w:spacing w:val="0"/>
          <w:position w:val="0"/>
          <w:sz w:val="18"/>
          <w:szCs w:val="18"/>
          <w:highlight w:val="none"/>
        </w:rPr>
      </w:pPr>
    </w:p>
    <w:p w14:paraId="29FB56AE">
      <w:pPr>
        <w:keepNext w:val="0"/>
        <w:keepLines w:val="0"/>
        <w:pageBreakBefore w:val="0"/>
        <w:widowControl w:val="0"/>
        <w:kinsoku/>
        <w:wordWrap w:val="0"/>
        <w:overflowPunct w:val="0"/>
        <w:topLinePunct/>
        <w:autoSpaceDE/>
        <w:autoSpaceDN/>
        <w:bidi w:val="0"/>
        <w:adjustRightInd/>
        <w:snapToGrid/>
        <w:spacing w:line="360" w:lineRule="auto"/>
        <w:ind w:left="0" w:right="0" w:firstLine="360" w:firstLineChars="200"/>
        <w:jc w:val="left"/>
        <w:textAlignment w:val="auto"/>
        <w:outlineLvl w:val="9"/>
        <w:rPr>
          <w:rFonts w:hint="eastAsia" w:asciiTheme="minorEastAsia" w:hAnsiTheme="minorEastAsia" w:eastAsiaTheme="minorEastAsia" w:cstheme="minorEastAsia"/>
          <w:spacing w:val="0"/>
          <w:position w:val="0"/>
          <w:sz w:val="18"/>
          <w:szCs w:val="18"/>
          <w:highlight w:val="none"/>
        </w:rPr>
      </w:pPr>
    </w:p>
    <w:p w14:paraId="7AF8FEE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注：1、按政策规定：符合条件的残疾人福利性单位视同小型、微型企业。残疾人福利性单位属于小型、 微型企业的，不重复享受政策。</w:t>
      </w:r>
    </w:p>
    <w:p w14:paraId="0D65927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本格式由符合促进残疾人就业政府采购政策条件的残疾人福利性单位填写，非残疾人福利性单位无需填写。本项目（专门面向中小企业采购）中，残疾人福利性单位属于中型企业、小型、微型企业的，可只填写“ 中小企业声明函”，不再填写“残疾人福利性单位声明函”。</w:t>
      </w:r>
    </w:p>
    <w:p w14:paraId="66F45DB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39" w:type="default"/>
          <w:footerReference r:id="rId40" w:type="default"/>
          <w:pgSz w:w="11905" w:h="16837"/>
          <w:pgMar w:top="1440" w:right="1080" w:bottom="1440" w:left="1080" w:header="583" w:footer="1134" w:gutter="0"/>
          <w:pgBorders>
            <w:top w:val="none" w:sz="0" w:space="0"/>
            <w:left w:val="none" w:sz="0" w:space="0"/>
            <w:bottom w:val="none" w:sz="0" w:space="0"/>
            <w:right w:val="none" w:sz="0" w:space="0"/>
          </w:pgBorders>
          <w:pgNumType w:fmt="decimal"/>
          <w:cols w:space="720" w:num="1"/>
          <w:rtlGutter w:val="0"/>
        </w:sectPr>
      </w:pPr>
      <w:r>
        <w:rPr>
          <w:rFonts w:hint="eastAsia" w:asciiTheme="minorEastAsia" w:hAnsiTheme="minorEastAsia" w:eastAsiaTheme="minorEastAsia" w:cstheme="minorEastAsia"/>
          <w:spacing w:val="0"/>
          <w:position w:val="0"/>
          <w:sz w:val="24"/>
          <w:szCs w:val="24"/>
          <w:highlight w:val="none"/>
        </w:rPr>
        <w:t>3、残疾人福利性单位填写“残疾人福利性单位声明函”后，仍需同时填写“中小企业声明函”、可在 “中小企业声明函”注明“属于符合条件的残疾人福利性单位、视同小型、微型企业”。</w:t>
      </w:r>
    </w:p>
    <w:p w14:paraId="6F2BF7E8">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近三年无重大违法记录的声明函</w:t>
      </w:r>
    </w:p>
    <w:p w14:paraId="069F34BE">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87CD3E6">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02DC677D">
      <w:pPr>
        <w:keepNext w:val="0"/>
        <w:keepLines w:val="0"/>
        <w:pageBreakBefore w:val="0"/>
        <w:widowControl w:val="0"/>
        <w:tabs>
          <w:tab w:val="left" w:pos="1301"/>
        </w:tabs>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u w:val="single" w:color="auto"/>
        </w:rPr>
        <w:tab/>
      </w:r>
      <w:r>
        <w:rPr>
          <w:rFonts w:hint="eastAsia" w:asciiTheme="minorEastAsia" w:hAnsiTheme="minorEastAsia" w:eastAsiaTheme="minorEastAsia" w:cstheme="minorEastAsia"/>
          <w:spacing w:val="0"/>
          <w:position w:val="0"/>
          <w:sz w:val="24"/>
          <w:szCs w:val="24"/>
          <w:highlight w:val="none"/>
          <w:u w:val="single" w:color="auto"/>
        </w:rPr>
        <w:t xml:space="preserve">(采购人名称）   </w:t>
      </w:r>
      <w:r>
        <w:rPr>
          <w:rFonts w:hint="eastAsia" w:asciiTheme="minorEastAsia" w:hAnsiTheme="minorEastAsia" w:eastAsiaTheme="minorEastAsia" w:cstheme="minorEastAsia"/>
          <w:spacing w:val="0"/>
          <w:position w:val="0"/>
          <w:sz w:val="24"/>
          <w:szCs w:val="24"/>
          <w:highlight w:val="none"/>
        </w:rPr>
        <w:t>：</w:t>
      </w:r>
    </w:p>
    <w:p w14:paraId="56253BBF">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A91277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 xml:space="preserve">我单位在参加政府采购活动前三年内，在经营活动中没有重大违法记录。 </w:t>
      </w:r>
    </w:p>
    <w:p w14:paraId="3B52DEF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特此承诺。</w:t>
      </w:r>
    </w:p>
    <w:p w14:paraId="01A4957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A8A28DF">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756B4D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7B0DF50">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3CC9FFE3">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7A0F288">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0C48E32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410F21E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法定代表人或委托代理人(签字或盖章)：</w:t>
      </w:r>
    </w:p>
    <w:p w14:paraId="0285BF7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日期：  年   月   日</w:t>
      </w:r>
    </w:p>
    <w:p w14:paraId="5300A0AA">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071B8430">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72E12E52">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72D22470">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636CCAE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2D3CD8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6AB78340">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27EC8D9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7749CF73">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6F596090">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2BF010D0">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0A9B6A4E">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4D976301">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7554AB57">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7ADABEB6">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5F88EE61">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供应商负责人控股、设计等相关承诺书</w:t>
      </w:r>
    </w:p>
    <w:p w14:paraId="3DF3E7DE">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3F77210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致：</w:t>
      </w:r>
      <w:r>
        <w:rPr>
          <w:rFonts w:hint="eastAsia" w:asciiTheme="minorEastAsia" w:hAnsiTheme="minorEastAsia" w:eastAsiaTheme="minorEastAsia" w:cstheme="minorEastAsia"/>
          <w:spacing w:val="0"/>
          <w:position w:val="0"/>
          <w:sz w:val="24"/>
          <w:szCs w:val="24"/>
          <w:highlight w:val="none"/>
          <w:u w:val="single" w:color="auto"/>
        </w:rPr>
        <w:t xml:space="preserve">    (采购人名称）      </w:t>
      </w:r>
    </w:p>
    <w:p w14:paraId="47223D3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 xml:space="preserve">在项目编号为 </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rPr>
        <w:t xml:space="preserve"> 的</w:t>
      </w:r>
      <w:r>
        <w:rPr>
          <w:rFonts w:hint="eastAsia" w:asciiTheme="minorEastAsia" w:hAnsiTheme="minorEastAsia" w:eastAsiaTheme="minorEastAsia" w:cstheme="minorEastAsia"/>
          <w:spacing w:val="0"/>
          <w:position w:val="0"/>
          <w:sz w:val="24"/>
          <w:szCs w:val="24"/>
          <w:highlight w:val="none"/>
          <w:u w:val="single" w:color="auto"/>
        </w:rPr>
        <w:t xml:space="preserve">    （项目名称）  </w:t>
      </w:r>
      <w:r>
        <w:rPr>
          <w:rFonts w:hint="eastAsia" w:asciiTheme="minorEastAsia" w:hAnsiTheme="minorEastAsia" w:eastAsiaTheme="minorEastAsia" w:cstheme="minorEastAsia"/>
          <w:spacing w:val="0"/>
          <w:position w:val="0"/>
          <w:sz w:val="24"/>
          <w:szCs w:val="24"/>
          <w:highlight w:val="none"/>
        </w:rPr>
        <w:t xml:space="preserve"> 采购活动中，我单位承诺满足以下要求：</w:t>
      </w:r>
    </w:p>
    <w:p w14:paraId="2B3237A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一、单位负责人为同一人或者存在直接控股、管理关系的不同供应商，不参加同一合同项下的政府采购活动。</w:t>
      </w:r>
    </w:p>
    <w:p w14:paraId="6C0A2C7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二、没有为本项目提供整体设计、规范编制或者项目管理、监理、检测等服务。</w:t>
      </w:r>
    </w:p>
    <w:p w14:paraId="45B5E16D">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三、若出现上述行为，我单位确认投标无效、承诺书虚假，接受相关部门按照国家法律法规等有关规定对我单位虚假承诺所给予的处理。</w:t>
      </w:r>
    </w:p>
    <w:p w14:paraId="1DA2D8BC">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146C836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65D2AA80">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7DBAC449">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4C4E75BE">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07E5F07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0F2EF8F4">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7BB3B584">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 xml:space="preserve">法定代表人或委托代理人(签字或盖章)： </w:t>
      </w:r>
    </w:p>
    <w:p w14:paraId="6A7064C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77AD054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日期：  年   月   日</w:t>
      </w:r>
    </w:p>
    <w:p w14:paraId="5DA09D2C">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07E4D729">
      <w:pPr>
        <w:keepNext w:val="0"/>
        <w:keepLines w:val="0"/>
        <w:pageBreakBefore w:val="0"/>
        <w:widowControl w:val="0"/>
        <w:kinsoku/>
        <w:wordWrap w:val="0"/>
        <w:overflowPunct w:val="0"/>
        <w:topLinePunct/>
        <w:autoSpaceDE/>
        <w:autoSpaceDN/>
        <w:bidi w:val="0"/>
        <w:adjustRightInd/>
        <w:snapToGrid/>
        <w:spacing w:line="360" w:lineRule="auto"/>
        <w:ind w:left="0" w:right="0" w:firstLine="420" w:firstLineChars="200"/>
        <w:jc w:val="left"/>
        <w:textAlignment w:val="auto"/>
        <w:outlineLvl w:val="9"/>
        <w:rPr>
          <w:rFonts w:hint="eastAsia" w:asciiTheme="minorEastAsia" w:hAnsiTheme="minorEastAsia" w:eastAsiaTheme="minorEastAsia" w:cstheme="minorEastAsia"/>
          <w:spacing w:val="0"/>
          <w:position w:val="0"/>
          <w:highlight w:val="none"/>
        </w:rPr>
      </w:pPr>
    </w:p>
    <w:p w14:paraId="7EB70851">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588DD177">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5F4A6FBF">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0AF7B542">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6F714FCE">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158B61BB">
      <w:pPr>
        <w:keepNext w:val="0"/>
        <w:keepLines w:val="0"/>
        <w:pageBreakBefore w:val="0"/>
        <w:widowControl w:val="0"/>
        <w:kinsoku/>
        <w:wordWrap w:val="0"/>
        <w:overflowPunct w:val="0"/>
        <w:topLinePunct/>
        <w:autoSpaceDE/>
        <w:autoSpaceDN/>
        <w:bidi w:val="0"/>
        <w:adjustRightInd/>
        <w:snapToGrid/>
        <w:spacing w:line="360" w:lineRule="auto"/>
        <w:ind w:left="0" w:right="0" w:firstLine="602" w:firstLineChars="200"/>
        <w:jc w:val="left"/>
        <w:textAlignment w:val="auto"/>
        <w:outlineLvl w:val="9"/>
        <w:rPr>
          <w:rFonts w:hint="eastAsia" w:asciiTheme="minorEastAsia" w:hAnsiTheme="minorEastAsia" w:eastAsiaTheme="minorEastAsia" w:cstheme="minorEastAsia"/>
          <w:b/>
          <w:bCs/>
          <w:spacing w:val="0"/>
          <w:position w:val="0"/>
          <w:sz w:val="30"/>
          <w:szCs w:val="30"/>
          <w:highlight w:val="none"/>
        </w:rPr>
      </w:pPr>
    </w:p>
    <w:p w14:paraId="669A08F1">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投标承诺函</w:t>
      </w:r>
    </w:p>
    <w:p w14:paraId="3BFC163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致：</w:t>
      </w:r>
      <w:r>
        <w:rPr>
          <w:rFonts w:hint="eastAsia" w:asciiTheme="minorEastAsia" w:hAnsiTheme="minorEastAsia" w:eastAsiaTheme="minorEastAsia" w:cstheme="minorEastAsia"/>
          <w:spacing w:val="0"/>
          <w:position w:val="0"/>
          <w:sz w:val="24"/>
          <w:szCs w:val="24"/>
          <w:highlight w:val="none"/>
          <w:u w:val="single" w:color="auto"/>
        </w:rPr>
        <w:t xml:space="preserve">    (采购人名称）   </w:t>
      </w:r>
    </w:p>
    <w:p w14:paraId="606C5D72">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在项目编号为</w:t>
      </w:r>
      <w:r>
        <w:rPr>
          <w:rFonts w:hint="eastAsia" w:asciiTheme="minorEastAsia" w:hAnsiTheme="minorEastAsia" w:eastAsiaTheme="minorEastAsia" w:cstheme="minorEastAsia"/>
          <w:spacing w:val="0"/>
          <w:position w:val="0"/>
          <w:sz w:val="24"/>
          <w:szCs w:val="24"/>
          <w:highlight w:val="none"/>
          <w:u w:val="single" w:color="auto"/>
        </w:rPr>
        <w:t xml:space="preserve">                  </w:t>
      </w:r>
      <w:r>
        <w:rPr>
          <w:rFonts w:hint="eastAsia" w:asciiTheme="minorEastAsia" w:hAnsiTheme="minorEastAsia" w:eastAsiaTheme="minorEastAsia" w:cstheme="minorEastAsia"/>
          <w:spacing w:val="0"/>
          <w:position w:val="0"/>
          <w:sz w:val="24"/>
          <w:szCs w:val="24"/>
          <w:highlight w:val="none"/>
        </w:rPr>
        <w:t xml:space="preserve"> 的</w:t>
      </w:r>
      <w:r>
        <w:rPr>
          <w:rFonts w:hint="eastAsia" w:asciiTheme="minorEastAsia" w:hAnsiTheme="minorEastAsia" w:eastAsiaTheme="minorEastAsia" w:cstheme="minorEastAsia"/>
          <w:spacing w:val="0"/>
          <w:position w:val="0"/>
          <w:sz w:val="24"/>
          <w:szCs w:val="24"/>
          <w:highlight w:val="none"/>
          <w:u w:val="single" w:color="auto"/>
        </w:rPr>
        <w:t xml:space="preserve">    （项目名称） </w:t>
      </w:r>
      <w:r>
        <w:rPr>
          <w:rFonts w:hint="eastAsia" w:asciiTheme="minorEastAsia" w:hAnsiTheme="minorEastAsia" w:eastAsiaTheme="minorEastAsia" w:cstheme="minorEastAsia"/>
          <w:spacing w:val="0"/>
          <w:position w:val="0"/>
          <w:sz w:val="24"/>
          <w:szCs w:val="24"/>
          <w:highlight w:val="none"/>
        </w:rPr>
        <w:t xml:space="preserve"> 采购活动中，我单位承诺：</w:t>
      </w:r>
    </w:p>
    <w:p w14:paraId="5347F09B">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一、遵循公开、公平、</w:t>
      </w:r>
      <w:r>
        <w:rPr>
          <w:rFonts w:hint="eastAsia" w:asciiTheme="minorEastAsia" w:hAnsiTheme="minorEastAsia" w:eastAsiaTheme="minorEastAsia" w:cstheme="minorEastAsia"/>
          <w:spacing w:val="0"/>
          <w:position w:val="0"/>
          <w:sz w:val="24"/>
          <w:szCs w:val="24"/>
          <w:highlight w:val="none"/>
        </w:rPr>
        <w:fldChar w:fldCharType="begin"/>
      </w:r>
      <w:r>
        <w:rPr>
          <w:rFonts w:hint="eastAsia" w:asciiTheme="minorEastAsia" w:hAnsiTheme="minorEastAsia" w:eastAsiaTheme="minorEastAsia" w:cstheme="minorEastAsia"/>
          <w:spacing w:val="0"/>
          <w:position w:val="0"/>
          <w:sz w:val="24"/>
          <w:szCs w:val="24"/>
          <w:highlight w:val="none"/>
        </w:rPr>
        <w:instrText xml:space="preserve"> HYPERLINK "http://www.so.com/s?q=%E8%AF%9A%E5%AE%9E%E4%BF%A1%E7%94%A8&amp;ie=utf-8&amp;src=internal_wenda_recommend_textn" </w:instrText>
      </w:r>
      <w:r>
        <w:rPr>
          <w:rFonts w:hint="eastAsia" w:asciiTheme="minorEastAsia" w:hAnsiTheme="minorEastAsia" w:eastAsiaTheme="minorEastAsia" w:cstheme="minorEastAsia"/>
          <w:spacing w:val="0"/>
          <w:position w:val="0"/>
          <w:sz w:val="24"/>
          <w:szCs w:val="24"/>
          <w:highlight w:val="none"/>
        </w:rPr>
        <w:fldChar w:fldCharType="separate"/>
      </w:r>
      <w:r>
        <w:rPr>
          <w:rFonts w:hint="eastAsia" w:asciiTheme="minorEastAsia" w:hAnsiTheme="minorEastAsia" w:eastAsiaTheme="minorEastAsia" w:cstheme="minorEastAsia"/>
          <w:spacing w:val="0"/>
          <w:position w:val="0"/>
          <w:sz w:val="24"/>
          <w:szCs w:val="24"/>
          <w:highlight w:val="none"/>
        </w:rPr>
        <w:t>公正和诚实信用</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的原则自愿参加本项目投标；</w:t>
      </w:r>
    </w:p>
    <w:p w14:paraId="4F3719F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二、在政府采购活动中提供真实、准确、有效、合法的材料，不提供虚假材料；</w:t>
      </w:r>
    </w:p>
    <w:p w14:paraId="40FDCF8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三、按照谈判文件规定，在提交投标文件截止时间后，在谈判文件规定的投标有效期限内不撤回投标文件；</w:t>
      </w:r>
    </w:p>
    <w:p w14:paraId="3A0EBA7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四、不与其他供应商、采购人或采购代理机构串通或恶意串通。</w:t>
      </w:r>
    </w:p>
    <w:p w14:paraId="69A06E6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五、如我单位中标，除不可抗拒力或谈判文件认可的情形外，我单位承诺及时领取中标通知书，在成交通知书规定时间、地点与采购人签订合同；</w:t>
      </w:r>
    </w:p>
    <w:p w14:paraId="2F6BBB47">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六、遵守法律法规及谈判文件规定的其他情况；</w:t>
      </w:r>
    </w:p>
    <w:p w14:paraId="2A7A5E08">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七、按谈判文件规定及时缴纳中标服务费。</w:t>
      </w:r>
    </w:p>
    <w:p w14:paraId="4550C15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八、违背上述承诺事项的，我单位无条件接受以下责任追究：</w:t>
      </w:r>
    </w:p>
    <w:p w14:paraId="19FA2625">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一）法定责任：按照政府采购相关法规，处以罚款，列入不良行为记录名单，在一至三年内禁止参加政府采购活动，有违法所得的，并处没收违法所得，情节严重的，由工商行政管理机关（市场监督机关）吊销营业执照；构成犯罪的，依法追究刑事责任。 给采购人及他人造成损失的，愿承担相应的赔偿责任。</w:t>
      </w:r>
    </w:p>
    <w:p w14:paraId="2AFFAE1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（二）违约责任：</w:t>
      </w:r>
    </w:p>
    <w:p w14:paraId="3678EEC9">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1、已中标的，中标（成交）无效；</w:t>
      </w:r>
    </w:p>
    <w:p w14:paraId="093EA7D6">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2、支付采购人违约标的预算金额 2%的违约金；</w:t>
      </w:r>
    </w:p>
    <w:p w14:paraId="77235BF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3、中标后未缴中标服务费的，作为违约及违背</w:t>
      </w:r>
      <w:r>
        <w:rPr>
          <w:rFonts w:hint="eastAsia" w:asciiTheme="minorEastAsia" w:hAnsiTheme="minorEastAsia" w:eastAsiaTheme="minorEastAsia" w:cstheme="minorEastAsia"/>
          <w:spacing w:val="0"/>
          <w:position w:val="0"/>
          <w:sz w:val="24"/>
          <w:szCs w:val="24"/>
          <w:highlight w:val="none"/>
        </w:rPr>
        <w:fldChar w:fldCharType="begin"/>
      </w:r>
      <w:r>
        <w:rPr>
          <w:rFonts w:hint="eastAsia" w:asciiTheme="minorEastAsia" w:hAnsiTheme="minorEastAsia" w:eastAsiaTheme="minorEastAsia" w:cstheme="minorEastAsia"/>
          <w:spacing w:val="0"/>
          <w:position w:val="0"/>
          <w:sz w:val="24"/>
          <w:szCs w:val="24"/>
          <w:highlight w:val="none"/>
        </w:rPr>
        <w:instrText xml:space="preserve"> HYPERLINK "http://www.so.com/s?q=%E8%AF%9A%E5%AE%9E%E4%BF%A1%E7%94%A8&amp;ie=utf-8&amp;src=internal_wenda_recommend_textn" </w:instrText>
      </w:r>
      <w:r>
        <w:rPr>
          <w:rFonts w:hint="eastAsia" w:asciiTheme="minorEastAsia" w:hAnsiTheme="minorEastAsia" w:eastAsiaTheme="minorEastAsia" w:cstheme="minorEastAsia"/>
          <w:spacing w:val="0"/>
          <w:position w:val="0"/>
          <w:sz w:val="24"/>
          <w:szCs w:val="24"/>
          <w:highlight w:val="none"/>
        </w:rPr>
        <w:fldChar w:fldCharType="separate"/>
      </w:r>
      <w:r>
        <w:rPr>
          <w:rFonts w:hint="eastAsia" w:asciiTheme="minorEastAsia" w:hAnsiTheme="minorEastAsia" w:eastAsiaTheme="minorEastAsia" w:cstheme="minorEastAsia"/>
          <w:spacing w:val="0"/>
          <w:position w:val="0"/>
          <w:sz w:val="24"/>
          <w:szCs w:val="24"/>
          <w:highlight w:val="none"/>
        </w:rPr>
        <w:t>诚实信用</w:t>
      </w:r>
      <w:r>
        <w:rPr>
          <w:rFonts w:hint="eastAsia" w:asciiTheme="minorEastAsia" w:hAnsiTheme="minorEastAsia" w:eastAsiaTheme="minorEastAsia" w:cstheme="minorEastAsia"/>
          <w:spacing w:val="0"/>
          <w:position w:val="0"/>
          <w:sz w:val="24"/>
          <w:szCs w:val="24"/>
          <w:highlight w:val="none"/>
        </w:rPr>
        <w:fldChar w:fldCharType="end"/>
      </w:r>
      <w:r>
        <w:rPr>
          <w:rFonts w:hint="eastAsia" w:asciiTheme="minorEastAsia" w:hAnsiTheme="minorEastAsia" w:eastAsiaTheme="minorEastAsia" w:cstheme="minorEastAsia"/>
          <w:spacing w:val="0"/>
          <w:position w:val="0"/>
          <w:sz w:val="24"/>
          <w:szCs w:val="24"/>
          <w:highlight w:val="none"/>
        </w:rPr>
        <w:t>原则，在履行承诺前，代理机 构将视我单位为失信企业、不予办理其后相关业务。</w:t>
      </w:r>
    </w:p>
    <w:p w14:paraId="78C18887">
      <w:pPr>
        <w:pStyle w:val="7"/>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p>
    <w:p w14:paraId="26DF085C">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供应商（盖单位电子章）：</w:t>
      </w:r>
    </w:p>
    <w:p w14:paraId="246A8490">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法定代表人或委托代理人(签字或盖章)：</w:t>
      </w:r>
    </w:p>
    <w:p w14:paraId="1359129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日期：   年   月   日</w:t>
      </w:r>
    </w:p>
    <w:p w14:paraId="61007B7E">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sectPr>
          <w:headerReference r:id="rId41" w:type="default"/>
          <w:footerReference r:id="rId42" w:type="default"/>
          <w:pgSz w:w="11905" w:h="16837"/>
          <w:pgMar w:top="1440" w:right="1080" w:bottom="1440" w:left="1080" w:header="583" w:footer="1134" w:gutter="0"/>
          <w:pgBorders>
            <w:top w:val="none" w:sz="0" w:space="0"/>
            <w:left w:val="none" w:sz="0" w:space="0"/>
            <w:bottom w:val="none" w:sz="0" w:space="0"/>
            <w:right w:val="none" w:sz="0" w:space="0"/>
          </w:pgBorders>
          <w:pgNumType w:fmt="decimal"/>
          <w:cols w:space="720" w:num="1"/>
          <w:rtlGutter w:val="0"/>
        </w:sectPr>
      </w:pPr>
    </w:p>
    <w:p w14:paraId="79AC2888">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十二、采购项目及服务要求所需的其他材料</w:t>
      </w:r>
    </w:p>
    <w:p w14:paraId="30ED069F">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（按条款需要填列；并按条款要求签字。条款中对签字未作明确要求的，由法定代表人签字或供应商加盖电子章）</w:t>
      </w:r>
    </w:p>
    <w:p w14:paraId="6D32DC9A">
      <w:pPr>
        <w:keepNext w:val="0"/>
        <w:keepLines w:val="0"/>
        <w:pageBreakBefore w:val="0"/>
        <w:widowControl w:val="0"/>
        <w:kinsoku/>
        <w:wordWrap w:val="0"/>
        <w:overflowPunct w:val="0"/>
        <w:topLinePunct/>
        <w:autoSpaceDE/>
        <w:autoSpaceDN/>
        <w:bidi w:val="0"/>
        <w:adjustRightInd/>
        <w:snapToGrid/>
        <w:spacing w:line="360" w:lineRule="auto"/>
        <w:ind w:right="0"/>
        <w:jc w:val="center"/>
        <w:textAlignment w:val="auto"/>
        <w:outlineLvl w:val="9"/>
        <w:rPr>
          <w:rFonts w:hint="eastAsia" w:asciiTheme="minorEastAsia" w:hAnsiTheme="minorEastAsia" w:eastAsiaTheme="minorEastAsia" w:cstheme="minorEastAsia"/>
          <w:spacing w:val="0"/>
          <w:position w:val="0"/>
          <w:sz w:val="30"/>
          <w:szCs w:val="30"/>
          <w:highlight w:val="none"/>
        </w:rPr>
      </w:pPr>
      <w:r>
        <w:rPr>
          <w:rFonts w:hint="eastAsia" w:asciiTheme="minorEastAsia" w:hAnsiTheme="minorEastAsia" w:eastAsiaTheme="minorEastAsia" w:cstheme="minorEastAsia"/>
          <w:b/>
          <w:bCs/>
          <w:spacing w:val="0"/>
          <w:position w:val="0"/>
          <w:sz w:val="30"/>
          <w:szCs w:val="30"/>
          <w:highlight w:val="none"/>
        </w:rPr>
        <w:t>十</w:t>
      </w:r>
      <w:r>
        <w:rPr>
          <w:rFonts w:hint="eastAsia" w:asciiTheme="minorEastAsia" w:hAnsiTheme="minorEastAsia" w:eastAsiaTheme="minorEastAsia" w:cstheme="minorEastAsia"/>
          <w:b/>
          <w:bCs/>
          <w:spacing w:val="0"/>
          <w:position w:val="0"/>
          <w:sz w:val="30"/>
          <w:szCs w:val="30"/>
          <w:highlight w:val="none"/>
          <w:lang w:val="en-US" w:eastAsia="zh-CN"/>
        </w:rPr>
        <w:t>三</w:t>
      </w:r>
      <w:r>
        <w:rPr>
          <w:rFonts w:hint="eastAsia" w:asciiTheme="minorEastAsia" w:hAnsiTheme="minorEastAsia" w:eastAsiaTheme="minorEastAsia" w:cstheme="minorEastAsia"/>
          <w:b/>
          <w:bCs/>
          <w:spacing w:val="0"/>
          <w:position w:val="0"/>
          <w:sz w:val="30"/>
          <w:szCs w:val="30"/>
          <w:highlight w:val="none"/>
        </w:rPr>
        <w:t>、供应商认为有必要提交的其它材料</w:t>
      </w:r>
    </w:p>
    <w:p w14:paraId="48FB4B73">
      <w:pPr>
        <w:keepNext w:val="0"/>
        <w:keepLines w:val="0"/>
        <w:pageBreakBefore w:val="0"/>
        <w:widowControl w:val="0"/>
        <w:kinsoku/>
        <w:wordWrap w:val="0"/>
        <w:overflowPunct w:val="0"/>
        <w:topLinePunct/>
        <w:autoSpaceDE/>
        <w:autoSpaceDN/>
        <w:bidi w:val="0"/>
        <w:adjustRightInd/>
        <w:snapToGrid/>
        <w:spacing w:line="360" w:lineRule="auto"/>
        <w:ind w:left="0" w:right="0" w:firstLine="480" w:firstLineChars="200"/>
        <w:jc w:val="left"/>
        <w:textAlignment w:val="auto"/>
        <w:outlineLvl w:val="9"/>
        <w:rPr>
          <w:rFonts w:hint="eastAsia" w:asciiTheme="minorEastAsia" w:hAnsiTheme="minorEastAsia" w:eastAsiaTheme="minorEastAsia" w:cstheme="minorEastAsia"/>
          <w:spacing w:val="0"/>
          <w:position w:val="0"/>
          <w:sz w:val="24"/>
          <w:szCs w:val="24"/>
          <w:highlight w:val="none"/>
        </w:rPr>
      </w:pPr>
      <w:r>
        <w:rPr>
          <w:rFonts w:hint="eastAsia" w:asciiTheme="minorEastAsia" w:hAnsiTheme="minorEastAsia" w:eastAsiaTheme="minorEastAsia" w:cstheme="minorEastAsia"/>
          <w:spacing w:val="0"/>
          <w:position w:val="0"/>
          <w:sz w:val="24"/>
          <w:szCs w:val="24"/>
          <w:highlight w:val="none"/>
        </w:rPr>
        <w:t>（由法定代表人签字或供应商加盖电子章）</w:t>
      </w:r>
    </w:p>
    <w:sectPr>
      <w:pgSz w:w="11905" w:h="16837"/>
      <w:pgMar w:top="1440" w:right="1080" w:bottom="1440" w:left="1080" w:header="583" w:footer="1134" w:gutter="0"/>
      <w:pgBorders>
        <w:top w:val="none" w:sz="0" w:space="0"/>
        <w:left w:val="none" w:sz="0" w:space="0"/>
        <w:bottom w:val="none" w:sz="0" w:space="0"/>
        <w:right w:val="none" w:sz="0" w:space="0"/>
      </w:pgBorders>
      <w:pgNumType w:fmt="decimal"/>
      <w:cols w:space="720" w:num="1"/>
      <w:rtlGutter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楷体_GB2312">
    <w:altName w:val="楷体"/>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07348">
    <w:pPr>
      <w:spacing w:line="176" w:lineRule="auto"/>
      <w:ind w:left="4657"/>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AB05A">
    <w:pPr>
      <w:spacing w:line="176" w:lineRule="auto"/>
      <w:ind w:left="5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E26A6">
                          <w:pPr>
                            <w:pStyle w:val="10"/>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20E26A6">
                    <w:pPr>
                      <w:pStyle w:val="1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92977">
    <w:pPr>
      <w:spacing w:line="176" w:lineRule="auto"/>
      <w:ind w:left="5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8EB13A">
                          <w:pPr>
                            <w:pStyle w:val="1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08EB13A">
                    <w:pPr>
                      <w:pStyle w:val="1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88FEE">
    <w:pPr>
      <w:spacing w:line="176" w:lineRule="auto"/>
      <w:ind w:left="5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97505">
                          <w:pPr>
                            <w:pStyle w:val="1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3397505">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D4130">
    <w:pPr>
      <w:spacing w:line="176" w:lineRule="auto"/>
      <w:ind w:left="50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96E51">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E96E51">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DF690">
    <w:pPr>
      <w:spacing w:line="176" w:lineRule="auto"/>
      <w:ind w:left="50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87815">
                          <w:pPr>
                            <w:pStyle w:val="1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F687815">
                    <w:pPr>
                      <w:pStyle w:val="1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6CFF4">
    <w:pPr>
      <w:spacing w:line="176" w:lineRule="auto"/>
      <w:ind w:left="50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AE2D7">
                          <w:pPr>
                            <w:pStyle w:val="10"/>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87AE2D7">
                    <w:pPr>
                      <w:pStyle w:val="1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58A4A">
    <w:pPr>
      <w:spacing w:line="176" w:lineRule="auto"/>
      <w:ind w:left="50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2B7647">
                          <w:pPr>
                            <w:pStyle w:val="10"/>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22B7647">
                    <w:pPr>
                      <w:pStyle w:val="1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0F831">
    <w:pPr>
      <w:spacing w:line="176" w:lineRule="auto"/>
      <w:ind w:left="50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71044">
                          <w:pPr>
                            <w:pStyle w:val="1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6371044">
                    <w:pPr>
                      <w:pStyle w:val="1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0C442">
    <w:pPr>
      <w:spacing w:line="173" w:lineRule="auto"/>
      <w:ind w:left="50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6FCAC">
                          <w:pPr>
                            <w:pStyle w:val="10"/>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FF6FCAC">
                    <w:pPr>
                      <w:pStyle w:val="10"/>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25469">
    <w:pPr>
      <w:spacing w:line="173" w:lineRule="auto"/>
      <w:ind w:left="50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FD79FB">
                          <w:pPr>
                            <w:pStyle w:val="10"/>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9FD79FB">
                    <w:pPr>
                      <w:pStyle w:val="10"/>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188E2">
    <w:pPr>
      <w:spacing w:line="176" w:lineRule="auto"/>
      <w:ind w:left="46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4E06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64E06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8AF0A">
    <w:pPr>
      <w:pStyle w:val="7"/>
      <w:spacing w:line="14" w:lineRule="auto"/>
      <w:rPr>
        <w:sz w:val="2"/>
      </w:rPr>
    </w:pPr>
    <w:r>
      <w:rPr>
        <w:sz w:val="2"/>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94B1E">
                          <w:pPr>
                            <w:pStyle w:val="10"/>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0E94B1E">
                    <w:pPr>
                      <w:pStyle w:val="10"/>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E54EB">
    <w:pPr>
      <w:pStyle w:val="7"/>
      <w:spacing w:line="14" w:lineRule="auto"/>
      <w:rPr>
        <w:sz w:val="2"/>
      </w:rPr>
    </w:pPr>
    <w:r>
      <w:rPr>
        <w:sz w:val="2"/>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D62D4">
                          <w:pPr>
                            <w:pStyle w:val="10"/>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EBD62D4">
                    <w:pPr>
                      <w:pStyle w:val="1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5E491">
    <w:pPr>
      <w:spacing w:line="176" w:lineRule="auto"/>
      <w:ind w:left="46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53E8E">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053E8E">
                    <w:pPr>
                      <w:pStyle w:val="1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DE32D">
    <w:pPr>
      <w:spacing w:line="176" w:lineRule="auto"/>
      <w:ind w:left="49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66EA6">
                          <w:pPr>
                            <w:pStyle w:val="1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DB66EA6">
                    <w:pPr>
                      <w:pStyle w:val="10"/>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2EFBD">
    <w:pPr>
      <w:spacing w:line="176" w:lineRule="auto"/>
      <w:ind w:left="46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FAAC6">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D2FAAC6">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22D65">
    <w:pPr>
      <w:pStyle w:val="1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5F99B4">
                          <w:pPr>
                            <w:pStyle w:val="10"/>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85F99B4">
                    <w:pPr>
                      <w:pStyle w:val="10"/>
                    </w:pPr>
                    <w:r>
                      <w:fldChar w:fldCharType="begin"/>
                    </w:r>
                    <w:r>
                      <w:instrText xml:space="preserve"> PAGE  \* MERGEFORMAT </w:instrText>
                    </w:r>
                    <w:r>
                      <w:fldChar w:fldCharType="separate"/>
                    </w:r>
                    <w:r>
                      <w:t>33</w:t>
                    </w:r>
                    <w:r>
                      <w:fldChar w:fldCharType="end"/>
                    </w:r>
                  </w:p>
                </w:txbxContent>
              </v:textbox>
            </v:shape>
          </w:pict>
        </mc:Fallback>
      </mc:AlternateContent>
    </w:r>
  </w:p>
  <w:p w14:paraId="4E92332A">
    <w:pPr>
      <w:pStyle w:val="1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C6A90">
    <w:pPr>
      <w:spacing w:line="176" w:lineRule="auto"/>
      <w:ind w:left="43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55617">
                          <w:pPr>
                            <w:pStyle w:val="1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A755617">
                    <w:pPr>
                      <w:pStyle w:val="1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55B52">
    <w:pPr>
      <w:spacing w:line="176" w:lineRule="auto"/>
      <w:ind w:left="43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18BD9">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E918BD9">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F0624">
    <w:pPr>
      <w:spacing w:line="176" w:lineRule="auto"/>
      <w:ind w:left="43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E3446">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A1E3446">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4B407">
    <w:pPr>
      <w:pStyle w:val="11"/>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3F66E">
    <w:pPr>
      <w:pStyle w:val="1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E3F5E">
    <w:pPr>
      <w:pStyle w:val="1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D1C59">
    <w:pPr>
      <w:pStyle w:val="11"/>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69521">
    <w:pPr>
      <w:pStyle w:val="1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A8858">
    <w:pPr>
      <w:pStyle w:val="1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8774A">
    <w:pPr>
      <w:pStyle w:val="11"/>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483CD">
    <w:pPr>
      <w:pStyle w:val="11"/>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66B94">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56B59">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C37F0">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C2BA7">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07075">
    <w:pPr>
      <w:pStyle w:val="11"/>
      <w:pBdr>
        <w:bottom w:val="none" w:color="auto" w:sz="0" w:space="1"/>
      </w:pBd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059AD">
    <w:pPr>
      <w:pStyle w:val="1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7A2C4">
    <w:pPr>
      <w:pStyle w:val="1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5532">
    <w:pPr>
      <w:pStyle w:val="1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250BD">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54BC05"/>
    <w:multiLevelType w:val="singleLevel"/>
    <w:tmpl w:val="5D54BC05"/>
    <w:lvl w:ilvl="0" w:tentative="0">
      <w:start w:val="1"/>
      <w:numFmt w:val="decimal"/>
      <w:suff w:val="nothing"/>
      <w:lvlText w:val="（%1）"/>
      <w:lvlJc w:val="left"/>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31380D"/>
    <w:rsid w:val="00A52871"/>
    <w:rsid w:val="00C2730A"/>
    <w:rsid w:val="00E665F3"/>
    <w:rsid w:val="010C0502"/>
    <w:rsid w:val="01374E54"/>
    <w:rsid w:val="014D2643"/>
    <w:rsid w:val="018C1643"/>
    <w:rsid w:val="021155E7"/>
    <w:rsid w:val="026B3007"/>
    <w:rsid w:val="027C0E74"/>
    <w:rsid w:val="0402799B"/>
    <w:rsid w:val="043C21CA"/>
    <w:rsid w:val="049426E0"/>
    <w:rsid w:val="056F1189"/>
    <w:rsid w:val="057A413B"/>
    <w:rsid w:val="069C7EC2"/>
    <w:rsid w:val="06CA2EF0"/>
    <w:rsid w:val="06D8404E"/>
    <w:rsid w:val="072D4D2F"/>
    <w:rsid w:val="073A689E"/>
    <w:rsid w:val="07807554"/>
    <w:rsid w:val="080223B8"/>
    <w:rsid w:val="08844E22"/>
    <w:rsid w:val="09023860"/>
    <w:rsid w:val="09C901A1"/>
    <w:rsid w:val="0A0310E0"/>
    <w:rsid w:val="0A436DD7"/>
    <w:rsid w:val="0A4707FD"/>
    <w:rsid w:val="0A8B5655"/>
    <w:rsid w:val="0AD025A1"/>
    <w:rsid w:val="0BB00186"/>
    <w:rsid w:val="0D4C612B"/>
    <w:rsid w:val="0E550C71"/>
    <w:rsid w:val="0E9E4764"/>
    <w:rsid w:val="0EBA4906"/>
    <w:rsid w:val="0ECC2255"/>
    <w:rsid w:val="0F4748CC"/>
    <w:rsid w:val="10172922"/>
    <w:rsid w:val="10B130F5"/>
    <w:rsid w:val="10CD7582"/>
    <w:rsid w:val="114535BD"/>
    <w:rsid w:val="118E0AC0"/>
    <w:rsid w:val="11BA7F15"/>
    <w:rsid w:val="12704669"/>
    <w:rsid w:val="12762F3B"/>
    <w:rsid w:val="12EB5392"/>
    <w:rsid w:val="12EF558E"/>
    <w:rsid w:val="130A7A9E"/>
    <w:rsid w:val="133E120B"/>
    <w:rsid w:val="134353A3"/>
    <w:rsid w:val="14A83170"/>
    <w:rsid w:val="14FB2108"/>
    <w:rsid w:val="15465D5E"/>
    <w:rsid w:val="15D31197"/>
    <w:rsid w:val="1611492D"/>
    <w:rsid w:val="16924BAE"/>
    <w:rsid w:val="17410382"/>
    <w:rsid w:val="17CC40F0"/>
    <w:rsid w:val="18194E5B"/>
    <w:rsid w:val="1826365E"/>
    <w:rsid w:val="184B14B9"/>
    <w:rsid w:val="196C5B8A"/>
    <w:rsid w:val="198B5C49"/>
    <w:rsid w:val="1A21430B"/>
    <w:rsid w:val="1A307B6F"/>
    <w:rsid w:val="1AA74D1B"/>
    <w:rsid w:val="1AA96FD0"/>
    <w:rsid w:val="1AB7679C"/>
    <w:rsid w:val="1AE45BF4"/>
    <w:rsid w:val="1B083691"/>
    <w:rsid w:val="1B140288"/>
    <w:rsid w:val="1B3846F0"/>
    <w:rsid w:val="1B427386"/>
    <w:rsid w:val="1BA3134B"/>
    <w:rsid w:val="1C3D36DD"/>
    <w:rsid w:val="1D4807A6"/>
    <w:rsid w:val="1EA062D6"/>
    <w:rsid w:val="1EBD4792"/>
    <w:rsid w:val="1F084EE0"/>
    <w:rsid w:val="1FD62DB4"/>
    <w:rsid w:val="1FFC0535"/>
    <w:rsid w:val="22A53EBB"/>
    <w:rsid w:val="23B1534D"/>
    <w:rsid w:val="23D06E51"/>
    <w:rsid w:val="24B97E53"/>
    <w:rsid w:val="24D20E32"/>
    <w:rsid w:val="24FE21EF"/>
    <w:rsid w:val="25B737DB"/>
    <w:rsid w:val="25B82157"/>
    <w:rsid w:val="26832765"/>
    <w:rsid w:val="27160EE4"/>
    <w:rsid w:val="28503642"/>
    <w:rsid w:val="28AD43F2"/>
    <w:rsid w:val="28D01B8A"/>
    <w:rsid w:val="290714FD"/>
    <w:rsid w:val="29A60670"/>
    <w:rsid w:val="2A4D2401"/>
    <w:rsid w:val="2A6A21CA"/>
    <w:rsid w:val="2A712FDF"/>
    <w:rsid w:val="2B20784F"/>
    <w:rsid w:val="2B4A4C2E"/>
    <w:rsid w:val="2BD31A99"/>
    <w:rsid w:val="2C26695F"/>
    <w:rsid w:val="2C6A19DD"/>
    <w:rsid w:val="2C9C067B"/>
    <w:rsid w:val="2D7536D7"/>
    <w:rsid w:val="2D83304B"/>
    <w:rsid w:val="2DC31151"/>
    <w:rsid w:val="2DF6381D"/>
    <w:rsid w:val="2E773CC7"/>
    <w:rsid w:val="2F005905"/>
    <w:rsid w:val="2F1B6E0B"/>
    <w:rsid w:val="2F266384"/>
    <w:rsid w:val="2F3D13BB"/>
    <w:rsid w:val="2F430E60"/>
    <w:rsid w:val="2FBB1CA6"/>
    <w:rsid w:val="307D3239"/>
    <w:rsid w:val="31082235"/>
    <w:rsid w:val="31F52C3B"/>
    <w:rsid w:val="323B2146"/>
    <w:rsid w:val="326918E5"/>
    <w:rsid w:val="32821B23"/>
    <w:rsid w:val="330414D5"/>
    <w:rsid w:val="34441786"/>
    <w:rsid w:val="346320B3"/>
    <w:rsid w:val="354D466A"/>
    <w:rsid w:val="3560795B"/>
    <w:rsid w:val="35897B0B"/>
    <w:rsid w:val="359029D2"/>
    <w:rsid w:val="35A149B6"/>
    <w:rsid w:val="35F80403"/>
    <w:rsid w:val="361D3657"/>
    <w:rsid w:val="362102F7"/>
    <w:rsid w:val="36274EBB"/>
    <w:rsid w:val="3648544D"/>
    <w:rsid w:val="3679323D"/>
    <w:rsid w:val="36821561"/>
    <w:rsid w:val="37500442"/>
    <w:rsid w:val="37531CE0"/>
    <w:rsid w:val="37832547"/>
    <w:rsid w:val="378D6FA0"/>
    <w:rsid w:val="37DD21C6"/>
    <w:rsid w:val="37FA5E67"/>
    <w:rsid w:val="388F6D48"/>
    <w:rsid w:val="38E64A4F"/>
    <w:rsid w:val="391E1E7A"/>
    <w:rsid w:val="393A1D08"/>
    <w:rsid w:val="39486CC3"/>
    <w:rsid w:val="39831008"/>
    <w:rsid w:val="3AC1127D"/>
    <w:rsid w:val="3AE813A4"/>
    <w:rsid w:val="3B274D98"/>
    <w:rsid w:val="3B7B1DD8"/>
    <w:rsid w:val="3BD72EE0"/>
    <w:rsid w:val="3C541977"/>
    <w:rsid w:val="3C5A3D28"/>
    <w:rsid w:val="3C831E89"/>
    <w:rsid w:val="3CC72F54"/>
    <w:rsid w:val="3CFD6976"/>
    <w:rsid w:val="3D8250CD"/>
    <w:rsid w:val="3D8271BF"/>
    <w:rsid w:val="3E141C6C"/>
    <w:rsid w:val="3E625B38"/>
    <w:rsid w:val="3EAD7F28"/>
    <w:rsid w:val="3EE7052F"/>
    <w:rsid w:val="3F2C53D7"/>
    <w:rsid w:val="3F3441A5"/>
    <w:rsid w:val="40752AFC"/>
    <w:rsid w:val="40870437"/>
    <w:rsid w:val="41306BEE"/>
    <w:rsid w:val="41563C0F"/>
    <w:rsid w:val="41A06FEC"/>
    <w:rsid w:val="4219601C"/>
    <w:rsid w:val="43106CD7"/>
    <w:rsid w:val="43CA5ECE"/>
    <w:rsid w:val="45FB5A1D"/>
    <w:rsid w:val="462A17C1"/>
    <w:rsid w:val="4691012F"/>
    <w:rsid w:val="46BE763A"/>
    <w:rsid w:val="476054BC"/>
    <w:rsid w:val="47A83416"/>
    <w:rsid w:val="4839282C"/>
    <w:rsid w:val="48C72D96"/>
    <w:rsid w:val="49226976"/>
    <w:rsid w:val="4A6749B8"/>
    <w:rsid w:val="4AEB2504"/>
    <w:rsid w:val="4C1C66ED"/>
    <w:rsid w:val="4C9E688B"/>
    <w:rsid w:val="4CA35E06"/>
    <w:rsid w:val="4CB76AF1"/>
    <w:rsid w:val="4D814A59"/>
    <w:rsid w:val="4DA36E46"/>
    <w:rsid w:val="4F096207"/>
    <w:rsid w:val="4F6F3C5C"/>
    <w:rsid w:val="505A0D30"/>
    <w:rsid w:val="518653A6"/>
    <w:rsid w:val="52A64F62"/>
    <w:rsid w:val="53037122"/>
    <w:rsid w:val="536F31CD"/>
    <w:rsid w:val="537806AC"/>
    <w:rsid w:val="53784E40"/>
    <w:rsid w:val="53C72B0E"/>
    <w:rsid w:val="543745A4"/>
    <w:rsid w:val="549171C8"/>
    <w:rsid w:val="54DE6C35"/>
    <w:rsid w:val="55E53FF3"/>
    <w:rsid w:val="57385564"/>
    <w:rsid w:val="57BD2906"/>
    <w:rsid w:val="57FF56B0"/>
    <w:rsid w:val="580249E9"/>
    <w:rsid w:val="581A7F84"/>
    <w:rsid w:val="585F489C"/>
    <w:rsid w:val="589D2963"/>
    <w:rsid w:val="58C4706D"/>
    <w:rsid w:val="58CF5213"/>
    <w:rsid w:val="59554FEC"/>
    <w:rsid w:val="5A475BA4"/>
    <w:rsid w:val="5A4F67CC"/>
    <w:rsid w:val="5A961BCC"/>
    <w:rsid w:val="5AC21AE0"/>
    <w:rsid w:val="5AC92045"/>
    <w:rsid w:val="5B1973BE"/>
    <w:rsid w:val="5B205C17"/>
    <w:rsid w:val="5B28531B"/>
    <w:rsid w:val="5B553760"/>
    <w:rsid w:val="5B914A01"/>
    <w:rsid w:val="5C7D17B2"/>
    <w:rsid w:val="5CAC586B"/>
    <w:rsid w:val="5CCB688C"/>
    <w:rsid w:val="5CD10B8E"/>
    <w:rsid w:val="5CF52D6E"/>
    <w:rsid w:val="5D0730BE"/>
    <w:rsid w:val="5D080CF3"/>
    <w:rsid w:val="5DCD6B5C"/>
    <w:rsid w:val="5EE05174"/>
    <w:rsid w:val="5F28567D"/>
    <w:rsid w:val="5F6D12E1"/>
    <w:rsid w:val="5F906D7E"/>
    <w:rsid w:val="5FA97E40"/>
    <w:rsid w:val="600D093F"/>
    <w:rsid w:val="637A715D"/>
    <w:rsid w:val="63D52D8F"/>
    <w:rsid w:val="64533CB0"/>
    <w:rsid w:val="646D6042"/>
    <w:rsid w:val="6517756A"/>
    <w:rsid w:val="652E3C0F"/>
    <w:rsid w:val="657C753B"/>
    <w:rsid w:val="65AC0421"/>
    <w:rsid w:val="66CB465E"/>
    <w:rsid w:val="676F196F"/>
    <w:rsid w:val="677267E7"/>
    <w:rsid w:val="678F6D0A"/>
    <w:rsid w:val="679D472E"/>
    <w:rsid w:val="680E73DA"/>
    <w:rsid w:val="68494B6A"/>
    <w:rsid w:val="684F750D"/>
    <w:rsid w:val="68C1269E"/>
    <w:rsid w:val="68E72DF2"/>
    <w:rsid w:val="69D72179"/>
    <w:rsid w:val="6AB63143"/>
    <w:rsid w:val="6AC752FF"/>
    <w:rsid w:val="6B1D005F"/>
    <w:rsid w:val="6CD15CA3"/>
    <w:rsid w:val="6D2356D5"/>
    <w:rsid w:val="6D4E083E"/>
    <w:rsid w:val="6D5B6C1D"/>
    <w:rsid w:val="6D7257D6"/>
    <w:rsid w:val="6E2E4332"/>
    <w:rsid w:val="6EA6582D"/>
    <w:rsid w:val="6EF32993"/>
    <w:rsid w:val="6EFD7661"/>
    <w:rsid w:val="6FB45C2D"/>
    <w:rsid w:val="6FC21BFD"/>
    <w:rsid w:val="70025A76"/>
    <w:rsid w:val="702C72CB"/>
    <w:rsid w:val="70CB5E68"/>
    <w:rsid w:val="714F3B93"/>
    <w:rsid w:val="715E0A8A"/>
    <w:rsid w:val="71704C61"/>
    <w:rsid w:val="71AC7CBD"/>
    <w:rsid w:val="71ED0060"/>
    <w:rsid w:val="73090EC9"/>
    <w:rsid w:val="73532145"/>
    <w:rsid w:val="737E0B7F"/>
    <w:rsid w:val="73FD4B8A"/>
    <w:rsid w:val="745B1903"/>
    <w:rsid w:val="746639EF"/>
    <w:rsid w:val="7487484E"/>
    <w:rsid w:val="752A5F89"/>
    <w:rsid w:val="75715D52"/>
    <w:rsid w:val="758F08B7"/>
    <w:rsid w:val="75EB60F8"/>
    <w:rsid w:val="76AC193D"/>
    <w:rsid w:val="76C173EC"/>
    <w:rsid w:val="771B11CB"/>
    <w:rsid w:val="773F2E5B"/>
    <w:rsid w:val="774C3447"/>
    <w:rsid w:val="7763329E"/>
    <w:rsid w:val="78AF7413"/>
    <w:rsid w:val="78B14583"/>
    <w:rsid w:val="78FA1EA3"/>
    <w:rsid w:val="7A1B7E60"/>
    <w:rsid w:val="7A807EA0"/>
    <w:rsid w:val="7ABC0264"/>
    <w:rsid w:val="7B8C2698"/>
    <w:rsid w:val="7BA7084C"/>
    <w:rsid w:val="7C191868"/>
    <w:rsid w:val="7C3210D8"/>
    <w:rsid w:val="7CD00443"/>
    <w:rsid w:val="7CF77C51"/>
    <w:rsid w:val="7D335E3F"/>
    <w:rsid w:val="7D6633B0"/>
    <w:rsid w:val="7D7B471D"/>
    <w:rsid w:val="7DB93862"/>
    <w:rsid w:val="7DF96F41"/>
    <w:rsid w:val="7E2A70A8"/>
    <w:rsid w:val="7E4B0B84"/>
    <w:rsid w:val="7F363046"/>
    <w:rsid w:val="7F36585F"/>
    <w:rsid w:val="7F576F1C"/>
    <w:rsid w:val="7F5E43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Lines="0" w:afterLines="0"/>
      <w:jc w:val="center"/>
      <w:outlineLvl w:val="0"/>
    </w:pPr>
    <w:rPr>
      <w:b/>
      <w:kern w:val="44"/>
      <w:sz w:val="44"/>
    </w:rPr>
  </w:style>
  <w:style w:type="paragraph" w:styleId="3">
    <w:name w:val="heading 2"/>
    <w:basedOn w:val="1"/>
    <w:next w:val="4"/>
    <w:qFormat/>
    <w:uiPriority w:val="0"/>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keepNext/>
      <w:outlineLvl w:val="3"/>
    </w:pPr>
    <w:rPr>
      <w:sz w:val="32"/>
    </w:rPr>
  </w:style>
  <w:style w:type="paragraph" w:styleId="6">
    <w:name w:val="heading 5"/>
    <w:basedOn w:val="1"/>
    <w:next w:val="1"/>
    <w:qFormat/>
    <w:uiPriority w:val="1"/>
    <w:pPr>
      <w:ind w:left="1398"/>
      <w:outlineLvl w:val="5"/>
    </w:pPr>
    <w:rPr>
      <w:rFonts w:ascii="Microsoft JhengHei" w:hAnsi="Microsoft JhengHei" w:eastAsia="Microsoft JhengHei" w:cs="Microsoft JhengHei"/>
      <w:b/>
      <w:bCs/>
      <w:sz w:val="28"/>
      <w:szCs w:val="28"/>
      <w:lang w:val="zh-CN" w:eastAsia="zh-CN" w:bidi="zh-CN"/>
    </w:rPr>
  </w:style>
  <w:style w:type="character" w:default="1" w:styleId="17">
    <w:name w:val="Default Paragraph Font"/>
    <w:semiHidden/>
    <w:qFormat/>
    <w:uiPriority w:val="0"/>
  </w:style>
  <w:style w:type="table" w:default="1" w:styleId="15">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kern w:val="0"/>
      <w:sz w:val="24"/>
      <w:szCs w:val="20"/>
    </w:rPr>
  </w:style>
  <w:style w:type="paragraph" w:styleId="7">
    <w:name w:val="Body Text"/>
    <w:basedOn w:val="1"/>
    <w:next w:val="1"/>
    <w:semiHidden/>
    <w:qFormat/>
    <w:uiPriority w:val="0"/>
    <w:rPr>
      <w:rFonts w:ascii="Arial" w:hAnsi="Arial" w:eastAsia="Arial" w:cs="Arial"/>
      <w:sz w:val="21"/>
      <w:szCs w:val="21"/>
      <w:lang w:val="en-US" w:eastAsia="en-US" w:bidi="ar-SA"/>
    </w:rPr>
  </w:style>
  <w:style w:type="paragraph" w:styleId="8">
    <w:name w:val="Body Text Indent"/>
    <w:basedOn w:val="1"/>
    <w:next w:val="9"/>
    <w:qFormat/>
    <w:uiPriority w:val="0"/>
    <w:pPr>
      <w:tabs>
        <w:tab w:val="left" w:pos="0"/>
      </w:tabs>
      <w:ind w:firstLine="540"/>
    </w:pPr>
    <w:rPr>
      <w:rFonts w:eastAsia="楷体_GB2312"/>
      <w:b/>
      <w:sz w:val="28"/>
    </w:rPr>
  </w:style>
  <w:style w:type="paragraph" w:styleId="9">
    <w:name w:val="envelope return"/>
    <w:basedOn w:val="1"/>
    <w:qFormat/>
    <w:uiPriority w:val="0"/>
    <w:pPr>
      <w:snapToGrid w:val="0"/>
    </w:pPr>
    <w:rPr>
      <w:rFonts w:ascii="Arial" w:hAnsi="Arial" w:cs="Arial"/>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Body Text First Indent"/>
    <w:basedOn w:val="7"/>
    <w:next w:val="14"/>
    <w:qFormat/>
    <w:uiPriority w:val="0"/>
    <w:pPr>
      <w:spacing w:after="120"/>
      <w:ind w:firstLine="420" w:firstLineChars="100"/>
    </w:pPr>
    <w:rPr>
      <w:sz w:val="21"/>
      <w:szCs w:val="24"/>
    </w:rPr>
  </w:style>
  <w:style w:type="paragraph" w:styleId="14">
    <w:name w:val="Body Text First Indent 2"/>
    <w:basedOn w:val="8"/>
    <w:next w:val="1"/>
    <w:qFormat/>
    <w:uiPriority w:val="0"/>
    <w:pPr>
      <w:ind w:firstLine="420" w:firstLineChars="200"/>
    </w:pPr>
    <w:rPr>
      <w:b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4"/>
      <w:szCs w:val="24"/>
      <w:lang w:val="en-US" w:eastAsia="en-US" w:bidi="ar-SA"/>
    </w:rPr>
  </w:style>
  <w:style w:type="paragraph" w:customStyle="1" w:styleId="20">
    <w:name w:val="style4"/>
    <w:basedOn w:val="21"/>
    <w:next w:val="22"/>
    <w:qFormat/>
    <w:uiPriority w:val="0"/>
    <w:pPr>
      <w:widowControl/>
      <w:spacing w:before="100" w:beforeAutospacing="1" w:after="100" w:afterAutospacing="1"/>
      <w:jc w:val="left"/>
    </w:pPr>
    <w:rPr>
      <w:rFonts w:ascii="宋体" w:hAnsi="宋体" w:cs="宋体"/>
      <w:kern w:val="0"/>
      <w:sz w:val="18"/>
      <w:szCs w:val="18"/>
    </w:rPr>
  </w:style>
  <w:style w:type="paragraph" w:customStyle="1" w:styleId="21">
    <w:name w:val="正文_0"/>
    <w:next w:val="1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3">
    <w:name w:val="Table Paragraph"/>
    <w:basedOn w:val="1"/>
    <w:qFormat/>
    <w:uiPriority w:val="1"/>
    <w:rPr>
      <w:rFonts w:ascii="宋体" w:hAnsi="宋体" w:eastAsia="宋体" w:cs="宋体"/>
      <w:lang w:val="zh-CN" w:eastAsia="zh-CN" w:bidi="zh-CN"/>
    </w:rPr>
  </w:style>
  <w:style w:type="paragraph" w:customStyle="1" w:styleId="24">
    <w:name w:val="正文文本 (2)"/>
    <w:basedOn w:val="1"/>
    <w:qFormat/>
    <w:uiPriority w:val="0"/>
    <w:pPr>
      <w:widowControl w:val="0"/>
      <w:shd w:val="clear" w:color="auto" w:fill="FFFFFF"/>
      <w:spacing w:after="660" w:line="0" w:lineRule="atLeast"/>
      <w:jc w:val="left"/>
      <w:textAlignment w:val="auto"/>
    </w:pPr>
    <w:rPr>
      <w:rFonts w:ascii="MingLiU" w:hAnsi="MingLiU" w:eastAsia="MingLiU" w:cs="MingLiU"/>
      <w:color w:val="auto"/>
      <w:spacing w:val="30"/>
      <w:sz w:val="30"/>
      <w:szCs w:val="30"/>
    </w:rPr>
  </w:style>
  <w:style w:type="character" w:customStyle="1" w:styleId="25">
    <w:name w:val="正文文本 (2) + 斜体"/>
    <w:qFormat/>
    <w:uiPriority w:val="0"/>
    <w:rPr>
      <w:rFonts w:ascii="MingLiU" w:hAnsi="MingLiU" w:eastAsia="MingLiU" w:cs="MingLiU"/>
      <w:i/>
      <w:iCs/>
      <w:color w:val="000000"/>
      <w:spacing w:val="0"/>
      <w:w w:val="100"/>
      <w:position w:val="0"/>
      <w:sz w:val="30"/>
      <w:szCs w:val="30"/>
      <w:u w:val="none"/>
      <w:lang w:val="zh-CN" w:eastAsia="zh-CN" w:bidi="zh-CN"/>
    </w:rPr>
  </w:style>
  <w:style w:type="paragraph" w:customStyle="1" w:styleId="26">
    <w:name w:val="无间隔1"/>
    <w:basedOn w:val="1"/>
    <w:qFormat/>
    <w:uiPriority w:val="1"/>
    <w:pPr>
      <w:spacing w:line="400" w:lineRule="exact"/>
    </w:pPr>
    <w:rPr>
      <w:sz w:val="24"/>
    </w:rPr>
  </w:style>
  <w:style w:type="paragraph" w:customStyle="1" w:styleId="27">
    <w:name w:val="正文缩进1"/>
    <w:basedOn w:val="1"/>
    <w:qFormat/>
    <w:uiPriority w:val="0"/>
    <w:pPr>
      <w:autoSpaceDE w:val="0"/>
      <w:autoSpaceDN w:val="0"/>
      <w:adjustRightInd w:val="0"/>
      <w:ind w:firstLine="420"/>
      <w:jc w:val="left"/>
    </w:pPr>
    <w:rPr>
      <w:rFonts w:ascii="宋体" w:hAnsi="Calibri" w:eastAsia="宋体" w:cs="Times New Roman"/>
      <w:sz w:val="24"/>
      <w:szCs w:val="22"/>
    </w:rPr>
  </w:style>
  <w:style w:type="paragraph" w:customStyle="1" w:styleId="28">
    <w:name w:val="索引 11"/>
    <w:basedOn w:val="1"/>
    <w:next w:val="1"/>
    <w:qFormat/>
    <w:uiPriority w:val="0"/>
    <w:pPr>
      <w:spacing w:line="360" w:lineRule="auto"/>
    </w:pPr>
    <w:rPr>
      <w:rFonts w:ascii="仿宋_GB2312" w:eastAsia="仿宋_GB2312"/>
      <w:sz w:val="24"/>
      <w:szCs w:val="20"/>
    </w:rPr>
  </w:style>
  <w:style w:type="paragraph" w:customStyle="1" w:styleId="29">
    <w:name w:val="纯文本1"/>
    <w:basedOn w:val="1"/>
    <w:qFormat/>
    <w:uiPriority w:val="0"/>
    <w:rPr>
      <w:rFonts w:ascii="宋体" w:hAnsi="Courier New" w:eastAsia="宋体" w:cs="Times New Roman"/>
      <w:szCs w:val="22"/>
    </w:rPr>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 w:type="paragraph" w:customStyle="1" w:styleId="3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1.png"/><Relationship Id="rId43" Type="http://schemas.openxmlformats.org/officeDocument/2006/relationships/theme" Target="theme/theme1.xml"/><Relationship Id="rId42" Type="http://schemas.openxmlformats.org/officeDocument/2006/relationships/footer" Target="footer21.xml"/><Relationship Id="rId41" Type="http://schemas.openxmlformats.org/officeDocument/2006/relationships/header" Target="header17.xml"/><Relationship Id="rId40" Type="http://schemas.openxmlformats.org/officeDocument/2006/relationships/footer" Target="footer20.xml"/><Relationship Id="rId4" Type="http://schemas.openxmlformats.org/officeDocument/2006/relationships/endnotes" Target="endnotes.xml"/><Relationship Id="rId39" Type="http://schemas.openxmlformats.org/officeDocument/2006/relationships/header" Target="header16.xml"/><Relationship Id="rId38" Type="http://schemas.openxmlformats.org/officeDocument/2006/relationships/footer" Target="footer19.xml"/><Relationship Id="rId37" Type="http://schemas.openxmlformats.org/officeDocument/2006/relationships/footer" Target="footer18.xml"/><Relationship Id="rId36" Type="http://schemas.openxmlformats.org/officeDocument/2006/relationships/header" Target="header15.xml"/><Relationship Id="rId35" Type="http://schemas.openxmlformats.org/officeDocument/2006/relationships/footer" Target="footer17.xml"/><Relationship Id="rId34" Type="http://schemas.openxmlformats.org/officeDocument/2006/relationships/header" Target="header14.xml"/><Relationship Id="rId33" Type="http://schemas.openxmlformats.org/officeDocument/2006/relationships/footer" Target="footer16.xml"/><Relationship Id="rId32" Type="http://schemas.openxmlformats.org/officeDocument/2006/relationships/header" Target="header13.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header" Target="header11.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65</Pages>
  <Words>11079</Words>
  <Characters>11952</Characters>
  <TotalTime>22</TotalTime>
  <ScaleCrop>false</ScaleCrop>
  <LinksUpToDate>false</LinksUpToDate>
  <CharactersWithSpaces>12213</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2025-07-24T17:06:00Z</dcterms:created>
  <dc:creator>ZM</dc:creator>
  <cp:lastModifiedBy>Administrator</cp:lastModifiedBy>
  <cp:lastPrinted>2026-08-25T17:52:00Z</cp:lastPrinted>
  <dcterms:modified xsi:type="dcterms:W3CDTF">2026-09-08T09:20:06Z</dcterms:modified>
  <dc:title>内黄县第一高级中学所需多媒体教室设备项目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2025-08-12T10:06:28Z</vt:filetime>
  </property>
  <property fmtid="{D5CDD505-2E9C-101B-9397-08002B2CF9AE}" pid="4" name="KSOTemplateDocerSaveRecord">
    <vt:lpwstr>eyJoZGlkIjoiMWZjNGMyODYxYTUyNWY1YmQ0OGYyY2ZkNmY3ZGE5ZGMiLCJ1c2VySWQiOiIyOTEyNzE2ODMifQ==</vt:lpwstr>
  </property>
  <property fmtid="{D5CDD505-2E9C-101B-9397-08002B2CF9AE}" pid="5" name="KSOProductBuildVer">
    <vt:lpwstr>2052-12.1.0.28505</vt:lpwstr>
  </property>
  <property fmtid="{D5CDD505-2E9C-101B-9397-08002B2CF9AE}" pid="6" name="ICV">
    <vt:lpwstr>754101F5A3EC419EBFA7C0EA0CFC92E0_13</vt:lpwstr>
  </property>
</Properties>
</file>