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F9B07">
      <w:pPr>
        <w:widowControl w:val="0"/>
        <w:snapToGrid w:val="0"/>
        <w:spacing w:line="360" w:lineRule="auto"/>
        <w:ind w:firstLine="720"/>
        <w:jc w:val="center"/>
        <w:outlineLvl w:val="0"/>
        <w:rPr>
          <w:rFonts w:eastAsia="方正黑体简体"/>
          <w:color w:val="auto"/>
          <w:sz w:val="36"/>
          <w:szCs w:val="36"/>
          <w:highlight w:val="none"/>
        </w:rPr>
      </w:pPr>
      <w:bookmarkStart w:id="0" w:name="_Toc149729258"/>
      <w:r>
        <w:rPr>
          <w:rFonts w:hint="eastAsia" w:eastAsia="黑体"/>
          <w:b/>
          <w:color w:val="auto"/>
          <w:sz w:val="36"/>
          <w:szCs w:val="36"/>
          <w:highlight w:val="none"/>
        </w:rPr>
        <w:t>第二章</w:t>
      </w:r>
      <w:r>
        <w:rPr>
          <w:rFonts w:eastAsia="黑体"/>
          <w:b/>
          <w:color w:val="auto"/>
          <w:sz w:val="36"/>
          <w:szCs w:val="36"/>
          <w:highlight w:val="none"/>
        </w:rPr>
        <w:t xml:space="preserve">  </w:t>
      </w:r>
      <w:r>
        <w:rPr>
          <w:rFonts w:hint="eastAsia" w:eastAsia="黑体"/>
          <w:b/>
          <w:color w:val="auto"/>
          <w:sz w:val="36"/>
          <w:szCs w:val="36"/>
          <w:highlight w:val="none"/>
        </w:rPr>
        <w:t>项目要求及采购需求</w:t>
      </w:r>
      <w:bookmarkEnd w:id="0"/>
    </w:p>
    <w:p w14:paraId="56F04104">
      <w:pPr>
        <w:widowControl w:val="0"/>
        <w:snapToGrid w:val="0"/>
        <w:spacing w:line="360" w:lineRule="auto"/>
        <w:ind w:firstLine="560"/>
        <w:jc w:val="center"/>
        <w:rPr>
          <w:b/>
          <w:color w:val="auto"/>
          <w:sz w:val="28"/>
          <w:highlight w:val="none"/>
        </w:rPr>
      </w:pPr>
    </w:p>
    <w:p w14:paraId="3052CF9E">
      <w:pPr>
        <w:widowControl w:val="0"/>
        <w:snapToGrid w:val="0"/>
        <w:spacing w:line="360" w:lineRule="auto"/>
        <w:ind w:firstLine="422" w:firstLineChars="150"/>
        <w:jc w:val="left"/>
        <w:outlineLvl w:val="1"/>
        <w:rPr>
          <w:rFonts w:ascii="黑体" w:hAnsi="黑体" w:eastAsia="黑体"/>
          <w:b/>
          <w:color w:val="auto"/>
          <w:sz w:val="28"/>
          <w:highlight w:val="none"/>
        </w:rPr>
      </w:pPr>
      <w:bookmarkStart w:id="1" w:name="_Toc149729259"/>
      <w:r>
        <w:rPr>
          <w:rFonts w:ascii="黑体" w:hAnsi="黑体" w:eastAsia="黑体"/>
          <w:b/>
          <w:color w:val="auto"/>
          <w:sz w:val="28"/>
          <w:highlight w:val="none"/>
        </w:rPr>
        <w:t xml:space="preserve">1. </w:t>
      </w:r>
      <w:r>
        <w:rPr>
          <w:rFonts w:hint="eastAsia" w:ascii="黑体" w:hAnsi="黑体" w:eastAsia="黑体"/>
          <w:b/>
          <w:color w:val="auto"/>
          <w:sz w:val="28"/>
          <w:highlight w:val="none"/>
        </w:rPr>
        <w:t>招标项目、标段（包）划分、投标报价</w:t>
      </w:r>
      <w:bookmarkEnd w:id="1"/>
    </w:p>
    <w:p w14:paraId="0BBB4FC3">
      <w:pPr>
        <w:widowControl w:val="0"/>
        <w:snapToGrid w:val="0"/>
        <w:spacing w:line="360" w:lineRule="auto"/>
        <w:ind w:firstLine="482" w:firstLineChars="200"/>
        <w:jc w:val="left"/>
        <w:rPr>
          <w:rFonts w:hint="eastAsia" w:ascii="宋体" w:hAnsi="宋体"/>
          <w:color w:val="auto"/>
          <w:sz w:val="24"/>
          <w:szCs w:val="24"/>
          <w:highlight w:val="none"/>
          <w:lang w:eastAsia="zh-CN"/>
        </w:rPr>
      </w:pPr>
      <w:r>
        <w:rPr>
          <w:rFonts w:ascii="黑体" w:hAnsi="黑体" w:eastAsia="黑体"/>
          <w:b/>
          <w:color w:val="auto"/>
          <w:sz w:val="24"/>
          <w:szCs w:val="24"/>
          <w:highlight w:val="none"/>
        </w:rPr>
        <w:t>1.1</w:t>
      </w:r>
      <w:r>
        <w:rPr>
          <w:rFonts w:hint="eastAsia" w:ascii="黑体" w:hAnsi="黑体" w:eastAsia="黑体"/>
          <w:b/>
          <w:color w:val="auto"/>
          <w:sz w:val="24"/>
          <w:szCs w:val="24"/>
          <w:highlight w:val="none"/>
        </w:rPr>
        <w:t>招标项目名称</w:t>
      </w:r>
      <w:r>
        <w:rPr>
          <w:rFonts w:hint="eastAsia"/>
          <w:color w:val="auto"/>
          <w:sz w:val="24"/>
          <w:szCs w:val="24"/>
          <w:highlight w:val="none"/>
        </w:rPr>
        <w:t>：</w:t>
      </w:r>
      <w:r>
        <w:rPr>
          <w:rFonts w:hint="eastAsia" w:ascii="宋体" w:hAnsi="宋体"/>
          <w:color w:val="auto"/>
          <w:sz w:val="24"/>
          <w:szCs w:val="24"/>
          <w:highlight w:val="none"/>
          <w:lang w:eastAsia="zh-CN"/>
        </w:rPr>
        <w:t>安阳县财政局安阳县（示范区）党政机关会议定点场所项目</w:t>
      </w:r>
    </w:p>
    <w:p w14:paraId="770B8E42">
      <w:pPr>
        <w:widowControl w:val="0"/>
        <w:snapToGrid w:val="0"/>
        <w:spacing w:line="360" w:lineRule="auto"/>
        <w:ind w:firstLine="482" w:firstLineChars="200"/>
        <w:jc w:val="left"/>
        <w:rPr>
          <w:color w:val="auto"/>
          <w:sz w:val="24"/>
          <w:szCs w:val="24"/>
          <w:highlight w:val="none"/>
        </w:rPr>
      </w:pPr>
      <w:r>
        <w:rPr>
          <w:rFonts w:ascii="黑体" w:hAnsi="黑体" w:eastAsia="黑体"/>
          <w:b/>
          <w:color w:val="auto"/>
          <w:sz w:val="24"/>
          <w:szCs w:val="24"/>
          <w:highlight w:val="none"/>
        </w:rPr>
        <w:t xml:space="preserve">1.2 </w:t>
      </w:r>
      <w:r>
        <w:rPr>
          <w:rFonts w:hint="eastAsia" w:ascii="黑体" w:hAnsi="黑体" w:eastAsia="黑体"/>
          <w:b/>
          <w:color w:val="auto"/>
          <w:sz w:val="24"/>
          <w:szCs w:val="24"/>
          <w:highlight w:val="none"/>
        </w:rPr>
        <w:t>标段（包）划分及其框架协议期限、履行合同的地域范围</w:t>
      </w:r>
      <w:r>
        <w:rPr>
          <w:rFonts w:hint="eastAsia"/>
          <w:color w:val="auto"/>
          <w:sz w:val="24"/>
          <w:szCs w:val="24"/>
          <w:highlight w:val="none"/>
        </w:rPr>
        <w:t>：本次招标项目划分为1个标段（包）。</w:t>
      </w:r>
    </w:p>
    <w:tbl>
      <w:tblPr>
        <w:tblStyle w:val="3"/>
        <w:tblW w:w="10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5"/>
        <w:gridCol w:w="1868"/>
        <w:gridCol w:w="2605"/>
        <w:gridCol w:w="2127"/>
        <w:gridCol w:w="1675"/>
      </w:tblGrid>
      <w:tr w14:paraId="1F3E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200" w:type="dxa"/>
            <w:gridSpan w:val="5"/>
            <w:vAlign w:val="center"/>
          </w:tcPr>
          <w:p w14:paraId="741CE39E">
            <w:pPr>
              <w:widowControl w:val="0"/>
              <w:snapToGrid w:val="0"/>
              <w:spacing w:line="240" w:lineRule="auto"/>
              <w:jc w:val="center"/>
              <w:rPr>
                <w:rFonts w:ascii="宋体"/>
                <w:b/>
                <w:color w:val="auto"/>
                <w:sz w:val="24"/>
                <w:szCs w:val="24"/>
                <w:highlight w:val="none"/>
              </w:rPr>
            </w:pPr>
            <w:r>
              <w:rPr>
                <w:rFonts w:hint="eastAsia" w:ascii="宋体" w:hAnsi="宋体"/>
                <w:b/>
                <w:color w:val="auto"/>
                <w:sz w:val="24"/>
                <w:szCs w:val="24"/>
                <w:highlight w:val="none"/>
              </w:rPr>
              <w:t>标段（包）一览表</w:t>
            </w:r>
          </w:p>
        </w:tc>
      </w:tr>
      <w:tr w14:paraId="4470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925" w:type="dxa"/>
            <w:vAlign w:val="center"/>
          </w:tcPr>
          <w:p w14:paraId="4B4612AE">
            <w:pPr>
              <w:widowControl w:val="0"/>
              <w:snapToGrid w:val="0"/>
              <w:spacing w:line="240" w:lineRule="auto"/>
              <w:jc w:val="center"/>
              <w:rPr>
                <w:b/>
                <w:color w:val="auto"/>
                <w:sz w:val="24"/>
                <w:szCs w:val="24"/>
                <w:highlight w:val="none"/>
              </w:rPr>
            </w:pPr>
            <w:r>
              <w:rPr>
                <w:rFonts w:hint="eastAsia"/>
                <w:b/>
                <w:color w:val="auto"/>
                <w:sz w:val="24"/>
                <w:szCs w:val="24"/>
                <w:highlight w:val="none"/>
              </w:rPr>
              <w:t>项目名称</w:t>
            </w:r>
          </w:p>
        </w:tc>
        <w:tc>
          <w:tcPr>
            <w:tcW w:w="1868" w:type="dxa"/>
            <w:vAlign w:val="center"/>
          </w:tcPr>
          <w:p w14:paraId="00385C8B">
            <w:pPr>
              <w:widowControl w:val="0"/>
              <w:snapToGrid w:val="0"/>
              <w:spacing w:line="240" w:lineRule="auto"/>
              <w:jc w:val="center"/>
              <w:rPr>
                <w:b/>
                <w:color w:val="auto"/>
                <w:sz w:val="24"/>
                <w:szCs w:val="24"/>
                <w:highlight w:val="none"/>
              </w:rPr>
            </w:pPr>
            <w:r>
              <w:rPr>
                <w:rFonts w:hint="eastAsia"/>
                <w:b/>
                <w:color w:val="auto"/>
                <w:sz w:val="24"/>
                <w:szCs w:val="24"/>
                <w:highlight w:val="none"/>
              </w:rPr>
              <w:t>标段（包）名称</w:t>
            </w:r>
          </w:p>
        </w:tc>
        <w:tc>
          <w:tcPr>
            <w:tcW w:w="2605" w:type="dxa"/>
            <w:vAlign w:val="center"/>
          </w:tcPr>
          <w:p w14:paraId="2F4BEB02">
            <w:pPr>
              <w:widowControl w:val="0"/>
              <w:snapToGrid w:val="0"/>
              <w:spacing w:line="240" w:lineRule="auto"/>
              <w:jc w:val="center"/>
              <w:rPr>
                <w:rFonts w:ascii="宋体"/>
                <w:b/>
                <w:color w:val="auto"/>
                <w:sz w:val="24"/>
                <w:szCs w:val="24"/>
                <w:highlight w:val="none"/>
              </w:rPr>
            </w:pPr>
            <w:r>
              <w:rPr>
                <w:rFonts w:hint="eastAsia" w:ascii="宋体" w:hAnsi="宋体"/>
                <w:b/>
                <w:color w:val="auto"/>
                <w:sz w:val="24"/>
                <w:szCs w:val="24"/>
                <w:highlight w:val="none"/>
              </w:rPr>
              <w:t>标段（包）内容（范围）</w:t>
            </w:r>
          </w:p>
        </w:tc>
        <w:tc>
          <w:tcPr>
            <w:tcW w:w="2127" w:type="dxa"/>
            <w:vAlign w:val="center"/>
          </w:tcPr>
          <w:p w14:paraId="542FE830">
            <w:pPr>
              <w:widowControl w:val="0"/>
              <w:snapToGrid w:val="0"/>
              <w:spacing w:line="240" w:lineRule="auto"/>
              <w:jc w:val="center"/>
              <w:rPr>
                <w:b/>
                <w:color w:val="auto"/>
                <w:sz w:val="24"/>
                <w:szCs w:val="24"/>
                <w:highlight w:val="none"/>
              </w:rPr>
            </w:pPr>
            <w:r>
              <w:rPr>
                <w:rFonts w:hint="eastAsia" w:ascii="宋体" w:hAnsi="宋体"/>
                <w:b/>
                <w:color w:val="auto"/>
                <w:sz w:val="24"/>
                <w:szCs w:val="24"/>
                <w:highlight w:val="none"/>
              </w:rPr>
              <w:t>合同履行期限（框架协议期限）</w:t>
            </w:r>
          </w:p>
        </w:tc>
        <w:tc>
          <w:tcPr>
            <w:tcW w:w="1675" w:type="dxa"/>
            <w:vAlign w:val="center"/>
          </w:tcPr>
          <w:p w14:paraId="32786C7B">
            <w:pPr>
              <w:widowControl w:val="0"/>
              <w:snapToGrid w:val="0"/>
              <w:spacing w:line="240" w:lineRule="auto"/>
              <w:jc w:val="center"/>
              <w:rPr>
                <w:b/>
                <w:color w:val="auto"/>
                <w:sz w:val="24"/>
                <w:szCs w:val="24"/>
                <w:highlight w:val="none"/>
              </w:rPr>
            </w:pPr>
            <w:r>
              <w:rPr>
                <w:rFonts w:hint="eastAsia" w:ascii="宋体" w:hAnsi="宋体"/>
                <w:b/>
                <w:color w:val="auto"/>
                <w:sz w:val="24"/>
                <w:szCs w:val="24"/>
                <w:highlight w:val="none"/>
              </w:rPr>
              <w:t>履行合同的地域范围</w:t>
            </w:r>
          </w:p>
        </w:tc>
      </w:tr>
      <w:tr w14:paraId="6CF4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1925" w:type="dxa"/>
            <w:vAlign w:val="center"/>
          </w:tcPr>
          <w:p w14:paraId="0C9D1028">
            <w:pPr>
              <w:widowControl w:val="0"/>
              <w:adjustRightInd w:val="0"/>
              <w:snapToGrid w:val="0"/>
              <w:spacing w:line="240" w:lineRule="auto"/>
              <w:jc w:val="center"/>
              <w:rPr>
                <w:color w:val="auto"/>
                <w:sz w:val="24"/>
                <w:szCs w:val="24"/>
                <w:highlight w:val="none"/>
              </w:rPr>
            </w:pPr>
            <w:r>
              <w:rPr>
                <w:rFonts w:hint="eastAsia"/>
                <w:color w:val="auto"/>
                <w:sz w:val="24"/>
                <w:szCs w:val="24"/>
                <w:highlight w:val="none"/>
              </w:rPr>
              <w:t>安阳县财政局安阳县（示范区）党政机关会议定点场所项目</w:t>
            </w:r>
          </w:p>
        </w:tc>
        <w:tc>
          <w:tcPr>
            <w:tcW w:w="1868" w:type="dxa"/>
            <w:vAlign w:val="center"/>
          </w:tcPr>
          <w:p w14:paraId="01439ECC">
            <w:pPr>
              <w:jc w:val="left"/>
              <w:rPr>
                <w:rFonts w:ascii="宋体" w:hAnsi="宋体"/>
                <w:color w:val="auto"/>
                <w:sz w:val="24"/>
                <w:szCs w:val="24"/>
                <w:highlight w:val="none"/>
              </w:rPr>
            </w:pPr>
            <w:r>
              <w:rPr>
                <w:rFonts w:hint="eastAsia" w:ascii="宋体" w:hAnsi="宋体"/>
                <w:color w:val="auto"/>
                <w:sz w:val="24"/>
                <w:szCs w:val="24"/>
                <w:highlight w:val="none"/>
              </w:rPr>
              <w:t>同项目名称</w:t>
            </w:r>
          </w:p>
        </w:tc>
        <w:tc>
          <w:tcPr>
            <w:tcW w:w="2605" w:type="dxa"/>
            <w:vAlign w:val="center"/>
          </w:tcPr>
          <w:p w14:paraId="4307EA54">
            <w:pPr>
              <w:widowControl w:val="0"/>
              <w:adjustRightInd w:val="0"/>
              <w:snapToGrid w:val="0"/>
              <w:spacing w:line="240" w:lineRule="auto"/>
              <w:rPr>
                <w:color w:val="auto"/>
                <w:sz w:val="24"/>
                <w:szCs w:val="24"/>
                <w:highlight w:val="none"/>
              </w:rPr>
            </w:pPr>
            <w:r>
              <w:rPr>
                <w:rFonts w:hint="eastAsia"/>
                <w:color w:val="auto"/>
                <w:sz w:val="24"/>
                <w:szCs w:val="24"/>
                <w:highlight w:val="none"/>
              </w:rPr>
              <w:t>见“第二章第</w:t>
            </w:r>
            <w:r>
              <w:rPr>
                <w:color w:val="auto"/>
                <w:sz w:val="24"/>
                <w:szCs w:val="24"/>
                <w:highlight w:val="none"/>
              </w:rPr>
              <w:t>2</w:t>
            </w:r>
            <w:r>
              <w:rPr>
                <w:rFonts w:hint="eastAsia"/>
                <w:color w:val="auto"/>
                <w:sz w:val="24"/>
                <w:szCs w:val="24"/>
                <w:highlight w:val="none"/>
              </w:rPr>
              <w:t>条：标段（包）内容（范围）及具体采购需求”</w:t>
            </w:r>
          </w:p>
        </w:tc>
        <w:tc>
          <w:tcPr>
            <w:tcW w:w="2127" w:type="dxa"/>
            <w:vAlign w:val="center"/>
          </w:tcPr>
          <w:p w14:paraId="2755CB3F">
            <w:pPr>
              <w:widowControl w:val="0"/>
              <w:adjustRightInd w:val="0"/>
              <w:snapToGrid w:val="0"/>
              <w:spacing w:line="240" w:lineRule="auto"/>
              <w:jc w:val="center"/>
              <w:rPr>
                <w:color w:val="auto"/>
                <w:sz w:val="24"/>
                <w:szCs w:val="24"/>
                <w:highlight w:val="none"/>
              </w:rPr>
            </w:pPr>
            <w:r>
              <w:rPr>
                <w:rFonts w:hint="eastAsia" w:ascii="宋体" w:hAnsi="宋体"/>
                <w:color w:val="auto"/>
                <w:sz w:val="24"/>
                <w:szCs w:val="24"/>
                <w:highlight w:val="none"/>
              </w:rPr>
              <w:t>2年</w:t>
            </w:r>
          </w:p>
        </w:tc>
        <w:tc>
          <w:tcPr>
            <w:tcW w:w="1675" w:type="dxa"/>
            <w:vAlign w:val="center"/>
          </w:tcPr>
          <w:p w14:paraId="6B8BEEA6">
            <w:pPr>
              <w:widowControl w:val="0"/>
              <w:adjustRightInd w:val="0"/>
              <w:snapToGrid w:val="0"/>
              <w:spacing w:line="240" w:lineRule="auto"/>
              <w:jc w:val="center"/>
              <w:rPr>
                <w:rFonts w:hint="eastAsia" w:eastAsia="宋体"/>
                <w:color w:val="auto"/>
                <w:sz w:val="24"/>
                <w:szCs w:val="24"/>
                <w:highlight w:val="none"/>
                <w:lang w:val="en-US" w:eastAsia="zh-CN"/>
              </w:rPr>
            </w:pPr>
            <w:r>
              <w:rPr>
                <w:rFonts w:hint="eastAsia"/>
                <w:color w:val="auto"/>
                <w:sz w:val="24"/>
                <w:szCs w:val="24"/>
                <w:highlight w:val="none"/>
              </w:rPr>
              <w:t>安阳县（示范区）</w:t>
            </w:r>
            <w:r>
              <w:rPr>
                <w:rFonts w:hint="eastAsia"/>
                <w:color w:val="auto"/>
                <w:sz w:val="24"/>
                <w:szCs w:val="24"/>
                <w:highlight w:val="none"/>
                <w:lang w:val="en-US" w:eastAsia="zh-CN"/>
              </w:rPr>
              <w:t>及服务对象所选定的</w:t>
            </w:r>
            <w:r>
              <w:rPr>
                <w:rFonts w:hint="eastAsia" w:ascii="宋体" w:hAnsi="宋体"/>
                <w:color w:val="auto"/>
                <w:sz w:val="24"/>
                <w:szCs w:val="24"/>
                <w:highlight w:val="none"/>
                <w:lang w:eastAsia="zh-CN"/>
              </w:rPr>
              <w:t>会议定点场所</w:t>
            </w:r>
            <w:r>
              <w:rPr>
                <w:rFonts w:hint="eastAsia" w:ascii="宋体" w:hAnsi="宋体"/>
                <w:color w:val="auto"/>
                <w:sz w:val="24"/>
                <w:szCs w:val="24"/>
                <w:highlight w:val="none"/>
                <w:lang w:val="en-US" w:eastAsia="zh-CN"/>
              </w:rPr>
              <w:t>所在</w:t>
            </w:r>
            <w:r>
              <w:rPr>
                <w:rFonts w:hint="eastAsia"/>
                <w:color w:val="auto"/>
                <w:sz w:val="24"/>
                <w:szCs w:val="24"/>
                <w:highlight w:val="none"/>
              </w:rPr>
              <w:t>区域</w:t>
            </w:r>
          </w:p>
        </w:tc>
      </w:tr>
    </w:tbl>
    <w:p w14:paraId="7C31AC70">
      <w:pPr>
        <w:spacing w:line="560" w:lineRule="exact"/>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 xml:space="preserve">1.3 </w:t>
      </w:r>
      <w:r>
        <w:rPr>
          <w:rFonts w:hint="eastAsia" w:ascii="黑体" w:hAnsi="黑体" w:eastAsia="黑体"/>
          <w:b/>
          <w:color w:val="auto"/>
          <w:sz w:val="24"/>
          <w:szCs w:val="24"/>
          <w:highlight w:val="none"/>
        </w:rPr>
        <w:t>报价（价格构成）</w:t>
      </w:r>
    </w:p>
    <w:p w14:paraId="3F7C1301">
      <w:pPr>
        <w:widowControl w:val="0"/>
        <w:snapToGrid w:val="0"/>
        <w:spacing w:line="360" w:lineRule="auto"/>
        <w:ind w:firstLine="480" w:firstLineChars="200"/>
        <w:jc w:val="left"/>
        <w:rPr>
          <w:rFonts w:ascii="宋体" w:hAnsi="宋体"/>
          <w:color w:val="auto"/>
          <w:sz w:val="24"/>
          <w:szCs w:val="24"/>
          <w:highlight w:val="none"/>
        </w:rPr>
      </w:pPr>
      <w:r>
        <w:rPr>
          <w:color w:val="auto"/>
          <w:sz w:val="24"/>
          <w:szCs w:val="24"/>
          <w:highlight w:val="none"/>
        </w:rPr>
        <w:t>1.3.1</w:t>
      </w:r>
      <w:r>
        <w:rPr>
          <w:rFonts w:hint="eastAsia"/>
          <w:color w:val="auto"/>
          <w:sz w:val="24"/>
          <w:szCs w:val="24"/>
          <w:highlight w:val="none"/>
        </w:rPr>
        <w:t>供应商报价应为达到正常使用条件下的目的地交验价，包括会议场地费、住宿房间费、餐费、设备使用费、人工费、相关税款、知识产权（如有）、保险（如需）、</w:t>
      </w:r>
      <w:r>
        <w:rPr>
          <w:rFonts w:hint="eastAsia" w:ascii="宋体" w:hAnsi="宋体"/>
          <w:color w:val="auto"/>
          <w:sz w:val="24"/>
          <w:szCs w:val="24"/>
          <w:highlight w:val="none"/>
        </w:rPr>
        <w:t>所涉货物包装</w:t>
      </w:r>
      <w:r>
        <w:rPr>
          <w:rFonts w:hint="eastAsia"/>
          <w:color w:val="auto"/>
          <w:sz w:val="24"/>
          <w:szCs w:val="24"/>
          <w:highlight w:val="none"/>
        </w:rPr>
        <w:t>、服务费等与采购项目相关的、必须的款项及费用（包括未列明而完成交验所必须的所有设备、材料、工具、费用）。</w:t>
      </w:r>
    </w:p>
    <w:p w14:paraId="619C3450">
      <w:pPr>
        <w:widowControl w:val="0"/>
        <w:snapToGrid w:val="0"/>
        <w:spacing w:line="360" w:lineRule="auto"/>
        <w:ind w:firstLine="480" w:firstLineChars="200"/>
        <w:jc w:val="left"/>
        <w:rPr>
          <w:bCs/>
          <w:color w:val="auto"/>
          <w:sz w:val="24"/>
          <w:szCs w:val="24"/>
          <w:highlight w:val="none"/>
        </w:rPr>
      </w:pPr>
      <w:r>
        <w:rPr>
          <w:rFonts w:hint="eastAsia"/>
          <w:bCs/>
          <w:color w:val="auto"/>
          <w:sz w:val="24"/>
          <w:szCs w:val="24"/>
          <w:highlight w:val="none"/>
        </w:rPr>
        <w:t>1.3.2本项目面向会议定点宾馆饭店（具备住宿房间、会议室、餐厅等相关设施）及专业会议场所，其中：</w:t>
      </w:r>
    </w:p>
    <w:p w14:paraId="63F9B3B0">
      <w:pPr>
        <w:widowControl w:val="0"/>
        <w:snapToGrid w:val="0"/>
        <w:spacing w:line="360" w:lineRule="auto"/>
        <w:ind w:firstLine="480" w:firstLineChars="200"/>
        <w:jc w:val="left"/>
        <w:rPr>
          <w:bCs/>
          <w:color w:val="auto"/>
          <w:sz w:val="24"/>
          <w:szCs w:val="24"/>
          <w:highlight w:val="none"/>
        </w:rPr>
      </w:pPr>
      <w:r>
        <w:rPr>
          <w:rFonts w:hint="eastAsia"/>
          <w:bCs/>
          <w:color w:val="auto"/>
          <w:sz w:val="24"/>
          <w:szCs w:val="24"/>
          <w:highlight w:val="none"/>
        </w:rPr>
        <w:t>会议定点宾馆饭店供应商根据自身条件报价</w:t>
      </w:r>
      <w:r>
        <w:rPr>
          <w:rFonts w:hint="eastAsia"/>
          <w:bCs/>
          <w:color w:val="auto"/>
          <w:sz w:val="24"/>
          <w:szCs w:val="24"/>
          <w:highlight w:val="none"/>
          <w:lang w:val="en-US" w:eastAsia="zh-CN"/>
        </w:rPr>
        <w:t>可</w:t>
      </w:r>
      <w:r>
        <w:rPr>
          <w:rFonts w:hint="eastAsia"/>
          <w:bCs/>
          <w:color w:val="auto"/>
          <w:sz w:val="24"/>
          <w:szCs w:val="24"/>
          <w:highlight w:val="none"/>
        </w:rPr>
        <w:t>包括：单间房价</w:t>
      </w:r>
      <w:r>
        <w:rPr>
          <w:rFonts w:hint="eastAsia" w:ascii="宋体" w:cs="宋体"/>
          <w:bCs/>
          <w:color w:val="auto"/>
          <w:sz w:val="24"/>
          <w:szCs w:val="24"/>
          <w:highlight w:val="none"/>
        </w:rPr>
        <w:t>（含早餐）</w:t>
      </w:r>
      <w:r>
        <w:rPr>
          <w:rFonts w:hint="eastAsia"/>
          <w:bCs/>
          <w:color w:val="auto"/>
          <w:sz w:val="24"/>
          <w:szCs w:val="24"/>
          <w:highlight w:val="none"/>
        </w:rPr>
        <w:t>、标准间房价</w:t>
      </w:r>
      <w:r>
        <w:rPr>
          <w:rFonts w:hint="eastAsia" w:ascii="宋体" w:cs="宋体"/>
          <w:bCs/>
          <w:color w:val="auto"/>
          <w:sz w:val="24"/>
          <w:szCs w:val="24"/>
          <w:highlight w:val="none"/>
        </w:rPr>
        <w:t>（含早餐）</w:t>
      </w:r>
      <w:r>
        <w:rPr>
          <w:rFonts w:hint="eastAsia"/>
          <w:bCs/>
          <w:color w:val="auto"/>
          <w:sz w:val="24"/>
          <w:szCs w:val="24"/>
          <w:highlight w:val="none"/>
        </w:rPr>
        <w:t>、单餐餐费、全天餐费、小会议室租金、中会议室租金、大会议室租金。</w:t>
      </w:r>
    </w:p>
    <w:p w14:paraId="33673E0E">
      <w:pPr>
        <w:widowControl w:val="0"/>
        <w:snapToGrid w:val="0"/>
        <w:spacing w:line="360" w:lineRule="auto"/>
        <w:ind w:firstLine="480" w:firstLineChars="200"/>
        <w:jc w:val="left"/>
        <w:rPr>
          <w:bCs/>
          <w:color w:val="auto"/>
          <w:sz w:val="24"/>
          <w:szCs w:val="24"/>
          <w:highlight w:val="none"/>
        </w:rPr>
      </w:pPr>
      <w:r>
        <w:rPr>
          <w:rFonts w:hint="eastAsia"/>
          <w:bCs/>
          <w:color w:val="auto"/>
          <w:sz w:val="24"/>
          <w:szCs w:val="24"/>
          <w:highlight w:val="none"/>
        </w:rPr>
        <w:t>专业会议场所供应商根据自身条件报价</w:t>
      </w:r>
      <w:r>
        <w:rPr>
          <w:rFonts w:hint="eastAsia"/>
          <w:bCs/>
          <w:color w:val="auto"/>
          <w:sz w:val="24"/>
          <w:szCs w:val="24"/>
          <w:highlight w:val="none"/>
          <w:lang w:val="en-US" w:eastAsia="zh-CN"/>
        </w:rPr>
        <w:t>可</w:t>
      </w:r>
      <w:r>
        <w:rPr>
          <w:rFonts w:hint="eastAsia"/>
          <w:bCs/>
          <w:color w:val="auto"/>
          <w:sz w:val="24"/>
          <w:szCs w:val="24"/>
          <w:highlight w:val="none"/>
        </w:rPr>
        <w:t>包括：小会议室租金、中会议室租金、大会议室租金</w:t>
      </w:r>
      <w:r>
        <w:rPr>
          <w:rFonts w:hint="eastAsia"/>
          <w:bCs/>
          <w:color w:val="auto"/>
          <w:sz w:val="24"/>
          <w:szCs w:val="24"/>
          <w:highlight w:val="none"/>
          <w:lang w:eastAsia="zh-CN"/>
        </w:rPr>
        <w:t>、</w:t>
      </w:r>
      <w:r>
        <w:rPr>
          <w:rFonts w:hint="eastAsia"/>
          <w:bCs/>
          <w:color w:val="auto"/>
          <w:sz w:val="24"/>
          <w:szCs w:val="24"/>
          <w:highlight w:val="none"/>
        </w:rPr>
        <w:t>会议餐费（单餐）。</w:t>
      </w:r>
    </w:p>
    <w:p w14:paraId="047BA474">
      <w:pPr>
        <w:widowControl w:val="0"/>
        <w:snapToGrid w:val="0"/>
        <w:spacing w:line="360" w:lineRule="auto"/>
        <w:ind w:firstLine="480" w:firstLineChars="200"/>
        <w:jc w:val="left"/>
        <w:rPr>
          <w:b/>
          <w:bCs/>
          <w:color w:val="auto"/>
          <w:sz w:val="24"/>
          <w:szCs w:val="24"/>
          <w:highlight w:val="none"/>
        </w:rPr>
      </w:pPr>
      <w:r>
        <w:rPr>
          <w:rFonts w:hint="eastAsia"/>
          <w:bCs/>
          <w:color w:val="auto"/>
          <w:sz w:val="24"/>
          <w:szCs w:val="24"/>
          <w:highlight w:val="none"/>
        </w:rPr>
        <w:t>注：</w:t>
      </w:r>
      <w:r>
        <w:rPr>
          <w:rFonts w:hint="eastAsia"/>
          <w:bCs/>
          <w:color w:val="auto"/>
          <w:sz w:val="24"/>
          <w:szCs w:val="24"/>
          <w:highlight w:val="none"/>
          <w:u w:val="single"/>
        </w:rPr>
        <w:t>为便于后期结算，</w:t>
      </w:r>
      <w:r>
        <w:rPr>
          <w:rFonts w:hint="eastAsia" w:ascii="宋体" w:hAnsi="宋体" w:cs="宋体"/>
          <w:color w:val="auto"/>
          <w:sz w:val="24"/>
          <w:highlight w:val="none"/>
          <w:u w:val="single"/>
        </w:rPr>
        <w:t>本项目供应商根据自身条件对：单间房价（含早餐）、标准间房价（含早餐）、单餐餐费（会议餐）、全天餐费、小会议室租金、中会议室租金、大会议室租金进行选择报价，</w:t>
      </w:r>
      <w:r>
        <w:rPr>
          <w:rFonts w:hint="eastAsia" w:ascii="宋体" w:hAnsi="宋体" w:cs="宋体"/>
          <w:b/>
          <w:color w:val="auto"/>
          <w:sz w:val="24"/>
          <w:highlight w:val="none"/>
          <w:u w:val="single"/>
        </w:rPr>
        <w:t>报价不做为本项目入围定标因素（但报价不得高于会议费综合定额标准及最高限制单价）。</w:t>
      </w:r>
    </w:p>
    <w:p w14:paraId="08F252C7">
      <w:pPr>
        <w:widowControl w:val="0"/>
        <w:snapToGrid w:val="0"/>
        <w:spacing w:line="360" w:lineRule="auto"/>
        <w:ind w:firstLine="480" w:firstLineChars="200"/>
        <w:jc w:val="left"/>
        <w:rPr>
          <w:bCs/>
          <w:color w:val="auto"/>
          <w:sz w:val="24"/>
          <w:szCs w:val="24"/>
          <w:highlight w:val="none"/>
        </w:rPr>
      </w:pPr>
      <w:r>
        <w:rPr>
          <w:rFonts w:hint="eastAsia"/>
          <w:bCs/>
          <w:color w:val="auto"/>
          <w:sz w:val="24"/>
          <w:szCs w:val="24"/>
          <w:highlight w:val="none"/>
        </w:rPr>
        <w:t>1.3.3供应商应执行《安阳县县（区）级会议费管理办法》、《安阳县（区）党政机关会议定点管理实施细则》。报价不得高于会议费综合定额标准：一类会议每人每天</w:t>
      </w:r>
      <w:r>
        <w:rPr>
          <w:rFonts w:hint="eastAsia"/>
          <w:bCs/>
          <w:color w:val="auto"/>
          <w:sz w:val="24"/>
          <w:szCs w:val="24"/>
          <w:highlight w:val="none"/>
          <w:lang w:val="en-US" w:eastAsia="zh-CN"/>
        </w:rPr>
        <w:t>32</w:t>
      </w:r>
      <w:r>
        <w:rPr>
          <w:rFonts w:hint="eastAsia"/>
          <w:bCs/>
          <w:color w:val="auto"/>
          <w:sz w:val="24"/>
          <w:szCs w:val="24"/>
          <w:highlight w:val="none"/>
        </w:rPr>
        <w:t>0元（其中伙食费1</w:t>
      </w:r>
      <w:r>
        <w:rPr>
          <w:rFonts w:hint="eastAsia"/>
          <w:bCs/>
          <w:color w:val="auto"/>
          <w:sz w:val="24"/>
          <w:szCs w:val="24"/>
          <w:highlight w:val="none"/>
          <w:lang w:val="en-US" w:eastAsia="zh-CN"/>
        </w:rPr>
        <w:t>0</w:t>
      </w:r>
      <w:r>
        <w:rPr>
          <w:rFonts w:hint="eastAsia"/>
          <w:bCs/>
          <w:color w:val="auto"/>
          <w:sz w:val="24"/>
          <w:szCs w:val="24"/>
          <w:highlight w:val="none"/>
        </w:rPr>
        <w:t>0元、住宿费</w:t>
      </w:r>
      <w:r>
        <w:rPr>
          <w:rFonts w:hint="eastAsia"/>
          <w:bCs/>
          <w:color w:val="auto"/>
          <w:sz w:val="24"/>
          <w:szCs w:val="24"/>
          <w:highlight w:val="none"/>
          <w:lang w:val="en-US" w:eastAsia="zh-CN"/>
        </w:rPr>
        <w:t>15</w:t>
      </w:r>
      <w:r>
        <w:rPr>
          <w:rFonts w:hint="eastAsia"/>
          <w:bCs/>
          <w:color w:val="auto"/>
          <w:sz w:val="24"/>
          <w:szCs w:val="24"/>
          <w:highlight w:val="none"/>
        </w:rPr>
        <w:t>0元，公杂费</w:t>
      </w:r>
      <w:r>
        <w:rPr>
          <w:rFonts w:hint="eastAsia"/>
          <w:bCs/>
          <w:color w:val="auto"/>
          <w:sz w:val="24"/>
          <w:szCs w:val="24"/>
          <w:highlight w:val="none"/>
          <w:lang w:val="en-US" w:eastAsia="zh-CN"/>
        </w:rPr>
        <w:t>7</w:t>
      </w:r>
      <w:r>
        <w:rPr>
          <w:rFonts w:hint="eastAsia"/>
          <w:bCs/>
          <w:color w:val="auto"/>
          <w:sz w:val="24"/>
          <w:szCs w:val="24"/>
          <w:highlight w:val="none"/>
        </w:rPr>
        <w:t>0元）。</w:t>
      </w:r>
    </w:p>
    <w:p w14:paraId="2056A0B1">
      <w:pPr>
        <w:widowControl w:val="0"/>
        <w:snapToGrid w:val="0"/>
        <w:spacing w:line="360" w:lineRule="auto"/>
        <w:ind w:firstLine="480" w:firstLineChars="200"/>
        <w:jc w:val="left"/>
        <w:rPr>
          <w:bCs/>
          <w:color w:val="auto"/>
          <w:sz w:val="24"/>
          <w:szCs w:val="24"/>
          <w:highlight w:val="none"/>
        </w:rPr>
      </w:pPr>
      <w:r>
        <w:rPr>
          <w:rFonts w:hint="eastAsia"/>
          <w:bCs/>
          <w:color w:val="auto"/>
          <w:sz w:val="24"/>
          <w:szCs w:val="24"/>
          <w:highlight w:val="none"/>
        </w:rPr>
        <w:t>最高限制单价：标准间和单间：</w:t>
      </w:r>
      <w:r>
        <w:rPr>
          <w:rFonts w:hint="eastAsia"/>
          <w:bCs/>
          <w:color w:val="auto"/>
          <w:sz w:val="24"/>
          <w:szCs w:val="24"/>
          <w:highlight w:val="none"/>
          <w:lang w:val="en-US" w:eastAsia="zh-CN"/>
        </w:rPr>
        <w:t>15</w:t>
      </w:r>
      <w:r>
        <w:rPr>
          <w:rFonts w:hint="eastAsia"/>
          <w:bCs/>
          <w:color w:val="auto"/>
          <w:sz w:val="24"/>
          <w:szCs w:val="24"/>
          <w:highlight w:val="none"/>
        </w:rPr>
        <w:t>0元/天/间；伙食费：</w:t>
      </w:r>
      <w:r>
        <w:rPr>
          <w:rFonts w:hint="eastAsia"/>
          <w:bCs/>
          <w:color w:val="auto"/>
          <w:sz w:val="24"/>
          <w:szCs w:val="24"/>
          <w:highlight w:val="none"/>
          <w:lang w:val="en-US" w:eastAsia="zh-CN"/>
        </w:rPr>
        <w:t>10</w:t>
      </w:r>
      <w:r>
        <w:rPr>
          <w:rFonts w:hint="eastAsia"/>
          <w:bCs/>
          <w:color w:val="auto"/>
          <w:sz w:val="24"/>
          <w:szCs w:val="24"/>
          <w:highlight w:val="none"/>
        </w:rPr>
        <w:t>0元/天/人。</w:t>
      </w:r>
    </w:p>
    <w:p w14:paraId="2FE34F68">
      <w:pPr>
        <w:widowControl w:val="0"/>
        <w:snapToGrid w:val="0"/>
        <w:spacing w:line="360" w:lineRule="auto"/>
        <w:ind w:firstLine="480" w:firstLineChars="200"/>
        <w:jc w:val="left"/>
        <w:rPr>
          <w:rFonts w:ascii="宋体" w:cs="宋体"/>
          <w:color w:val="auto"/>
          <w:sz w:val="24"/>
          <w:szCs w:val="24"/>
          <w:highlight w:val="none"/>
        </w:rPr>
      </w:pPr>
      <w:r>
        <w:rPr>
          <w:rFonts w:hint="eastAsia" w:ascii="宋体" w:cs="宋体"/>
          <w:color w:val="auto"/>
          <w:sz w:val="24"/>
          <w:szCs w:val="24"/>
          <w:highlight w:val="none"/>
        </w:rPr>
        <w:t>1.3.4供应商须承诺：每个单项报价均不得高于同一时期、同一质量、同等数量的同类业务对外提供的最优惠价，不得高于酒店预订网络平台的价格，不得高于旅行团团购价等一切同期对外成交价格。</w:t>
      </w:r>
      <w:r>
        <w:rPr>
          <w:rFonts w:hint="eastAsia" w:ascii="宋体" w:hAnsi="宋体"/>
          <w:color w:val="auto"/>
          <w:sz w:val="24"/>
          <w:szCs w:val="24"/>
          <w:highlight w:val="none"/>
        </w:rPr>
        <w:t>框架协议期限内</w:t>
      </w:r>
      <w:r>
        <w:rPr>
          <w:rFonts w:hint="eastAsia" w:ascii="宋体" w:cs="宋体"/>
          <w:color w:val="auto"/>
          <w:sz w:val="24"/>
          <w:szCs w:val="24"/>
          <w:highlight w:val="none"/>
        </w:rPr>
        <w:t>如入围单位优惠活动价低于报价的，按照活动价执行。</w:t>
      </w:r>
    </w:p>
    <w:p w14:paraId="2196F951">
      <w:pPr>
        <w:widowControl w:val="0"/>
        <w:snapToGrid w:val="0"/>
        <w:spacing w:line="360" w:lineRule="auto"/>
        <w:ind w:firstLine="480" w:firstLineChars="200"/>
        <w:jc w:val="left"/>
        <w:rPr>
          <w:b/>
          <w:color w:val="auto"/>
          <w:sz w:val="24"/>
          <w:szCs w:val="24"/>
          <w:highlight w:val="none"/>
        </w:rPr>
      </w:pPr>
      <w:r>
        <w:rPr>
          <w:rFonts w:hint="eastAsia"/>
          <w:color w:val="auto"/>
          <w:sz w:val="24"/>
          <w:szCs w:val="24"/>
          <w:highlight w:val="none"/>
        </w:rPr>
        <w:t>1.3.5本次采购的会议定点场所在全国范围内实行资源共享，各级党政机关举办会议共同使用于“党政机关举办会议定点场所管理信息系统”中自主选定，执行统一的会议定点场所目录和相同的协议价格。</w:t>
      </w:r>
    </w:p>
    <w:p w14:paraId="5528891D">
      <w:pPr>
        <w:widowControl w:val="0"/>
        <w:snapToGrid w:val="0"/>
        <w:spacing w:line="360" w:lineRule="auto"/>
        <w:ind w:firstLine="480" w:firstLineChars="200"/>
        <w:jc w:val="left"/>
        <w:rPr>
          <w:color w:val="auto"/>
          <w:sz w:val="24"/>
          <w:szCs w:val="24"/>
          <w:highlight w:val="none"/>
        </w:rPr>
      </w:pPr>
      <w:r>
        <w:rPr>
          <w:color w:val="auto"/>
          <w:sz w:val="24"/>
          <w:szCs w:val="24"/>
          <w:highlight w:val="none"/>
        </w:rPr>
        <w:t>1.3.</w:t>
      </w:r>
      <w:r>
        <w:rPr>
          <w:rFonts w:hint="eastAsia"/>
          <w:color w:val="auto"/>
          <w:sz w:val="24"/>
          <w:szCs w:val="24"/>
          <w:highlight w:val="none"/>
        </w:rPr>
        <w:t>6报价为一次性报价，报价时间截止后对报价的任何承诺、修改，除法定修正或征集文件规定修正情形外，评标委员会将不予考虑。</w:t>
      </w:r>
    </w:p>
    <w:p w14:paraId="5FEF1C63">
      <w:pPr>
        <w:widowControl w:val="0"/>
        <w:snapToGrid w:val="0"/>
        <w:spacing w:line="360" w:lineRule="auto"/>
        <w:ind w:firstLine="480" w:firstLineChars="200"/>
        <w:jc w:val="left"/>
        <w:rPr>
          <w:color w:val="auto"/>
          <w:sz w:val="24"/>
          <w:szCs w:val="24"/>
          <w:highlight w:val="none"/>
        </w:rPr>
      </w:pPr>
      <w:r>
        <w:rPr>
          <w:color w:val="auto"/>
          <w:sz w:val="24"/>
          <w:szCs w:val="24"/>
          <w:highlight w:val="none"/>
        </w:rPr>
        <w:t>1.3.</w:t>
      </w:r>
      <w:r>
        <w:rPr>
          <w:rFonts w:hint="eastAsia"/>
          <w:color w:val="auto"/>
          <w:sz w:val="24"/>
          <w:szCs w:val="24"/>
          <w:highlight w:val="none"/>
        </w:rPr>
        <w:t>7</w:t>
      </w:r>
      <w:r>
        <w:rPr>
          <w:color w:val="auto"/>
          <w:sz w:val="24"/>
          <w:szCs w:val="24"/>
          <w:highlight w:val="none"/>
        </w:rPr>
        <w:t xml:space="preserve"> </w:t>
      </w:r>
      <w:r>
        <w:rPr>
          <w:rFonts w:hint="eastAsia"/>
          <w:color w:val="auto"/>
          <w:sz w:val="24"/>
          <w:szCs w:val="24"/>
          <w:highlight w:val="none"/>
        </w:rPr>
        <w:t>供应商的报价不得超过</w:t>
      </w:r>
      <w:r>
        <w:rPr>
          <w:rFonts w:hint="eastAsia" w:ascii="宋体" w:hAnsi="宋体"/>
          <w:color w:val="auto"/>
          <w:sz w:val="24"/>
          <w:szCs w:val="24"/>
          <w:highlight w:val="none"/>
        </w:rPr>
        <w:t>最高限制单价，</w:t>
      </w:r>
      <w:r>
        <w:rPr>
          <w:rFonts w:hint="eastAsia"/>
          <w:color w:val="auto"/>
          <w:sz w:val="24"/>
          <w:szCs w:val="24"/>
          <w:highlight w:val="none"/>
        </w:rPr>
        <w:t>否则做无效投标处理。</w:t>
      </w:r>
    </w:p>
    <w:p w14:paraId="04CFFCC0">
      <w:pPr>
        <w:widowControl w:val="0"/>
        <w:snapToGrid w:val="0"/>
        <w:spacing w:line="360" w:lineRule="auto"/>
        <w:ind w:firstLine="480" w:firstLineChars="200"/>
        <w:jc w:val="left"/>
        <w:rPr>
          <w:color w:val="auto"/>
          <w:sz w:val="24"/>
          <w:szCs w:val="24"/>
          <w:highlight w:val="none"/>
        </w:rPr>
      </w:pPr>
      <w:r>
        <w:rPr>
          <w:color w:val="auto"/>
          <w:sz w:val="24"/>
          <w:szCs w:val="24"/>
          <w:highlight w:val="none"/>
        </w:rPr>
        <w:t>1.3.</w:t>
      </w:r>
      <w:r>
        <w:rPr>
          <w:rFonts w:hint="eastAsia"/>
          <w:color w:val="auto"/>
          <w:sz w:val="24"/>
          <w:szCs w:val="24"/>
          <w:highlight w:val="none"/>
        </w:rPr>
        <w:t>8</w:t>
      </w:r>
      <w:r>
        <w:rPr>
          <w:color w:val="auto"/>
          <w:sz w:val="24"/>
          <w:szCs w:val="24"/>
          <w:highlight w:val="none"/>
        </w:rPr>
        <w:t xml:space="preserve"> </w:t>
      </w:r>
      <w:r>
        <w:rPr>
          <w:rFonts w:hint="eastAsia"/>
          <w:color w:val="auto"/>
          <w:sz w:val="24"/>
          <w:szCs w:val="24"/>
          <w:highlight w:val="none"/>
        </w:rPr>
        <w:t>遵循第三章供应商须知</w:t>
      </w:r>
      <w:r>
        <w:rPr>
          <w:color w:val="auto"/>
          <w:sz w:val="24"/>
          <w:szCs w:val="24"/>
          <w:highlight w:val="none"/>
        </w:rPr>
        <w:t>3.7.</w:t>
      </w:r>
      <w:r>
        <w:rPr>
          <w:rFonts w:hint="eastAsia"/>
          <w:color w:val="auto"/>
          <w:sz w:val="24"/>
          <w:szCs w:val="24"/>
          <w:highlight w:val="none"/>
        </w:rPr>
        <w:t>5项规定。</w:t>
      </w:r>
    </w:p>
    <w:p w14:paraId="79A9E2B6">
      <w:pPr>
        <w:spacing w:line="560" w:lineRule="exact"/>
        <w:ind w:firstLine="562" w:firstLineChars="200"/>
        <w:rPr>
          <w:rFonts w:ascii="黑体" w:hAnsi="黑体" w:eastAsia="黑体"/>
          <w:b/>
          <w:color w:val="auto"/>
          <w:sz w:val="28"/>
          <w:highlight w:val="none"/>
        </w:rPr>
      </w:pPr>
    </w:p>
    <w:p w14:paraId="28276863">
      <w:pPr>
        <w:spacing w:line="560" w:lineRule="exact"/>
        <w:ind w:firstLine="562" w:firstLineChars="200"/>
        <w:outlineLvl w:val="1"/>
        <w:rPr>
          <w:rFonts w:ascii="黑体" w:hAnsi="黑体" w:eastAsia="黑体"/>
          <w:b/>
          <w:color w:val="auto"/>
          <w:sz w:val="28"/>
          <w:highlight w:val="none"/>
        </w:rPr>
      </w:pPr>
      <w:bookmarkStart w:id="2" w:name="_Toc149729260"/>
      <w:r>
        <w:rPr>
          <w:rFonts w:ascii="黑体" w:hAnsi="黑体" w:eastAsia="黑体"/>
          <w:b/>
          <w:color w:val="auto"/>
          <w:sz w:val="28"/>
          <w:highlight w:val="none"/>
        </w:rPr>
        <w:t xml:space="preserve">2. </w:t>
      </w:r>
      <w:r>
        <w:rPr>
          <w:rFonts w:hint="eastAsia" w:ascii="黑体" w:hAnsi="黑体" w:eastAsia="黑体"/>
          <w:b/>
          <w:color w:val="auto"/>
          <w:sz w:val="28"/>
          <w:highlight w:val="none"/>
        </w:rPr>
        <w:t>标段（包）内容（范围）及具体采购需求</w:t>
      </w:r>
      <w:bookmarkEnd w:id="2"/>
    </w:p>
    <w:p w14:paraId="7A038C09">
      <w:pPr>
        <w:spacing w:line="560" w:lineRule="exact"/>
        <w:ind w:firstLine="482" w:firstLineChars="200"/>
        <w:rPr>
          <w:color w:val="auto"/>
          <w:sz w:val="24"/>
          <w:szCs w:val="24"/>
          <w:highlight w:val="none"/>
        </w:rPr>
      </w:pPr>
      <w:r>
        <w:rPr>
          <w:rFonts w:ascii="黑体" w:hAnsi="黑体" w:eastAsia="黑体"/>
          <w:b/>
          <w:color w:val="auto"/>
          <w:sz w:val="24"/>
          <w:szCs w:val="24"/>
          <w:highlight w:val="none"/>
        </w:rPr>
        <w:t>2.1</w:t>
      </w:r>
      <w:r>
        <w:rPr>
          <w:rFonts w:hint="eastAsia" w:ascii="黑体" w:hAnsi="黑体" w:eastAsia="黑体"/>
          <w:b/>
          <w:color w:val="auto"/>
          <w:sz w:val="24"/>
          <w:szCs w:val="24"/>
          <w:highlight w:val="none"/>
        </w:rPr>
        <w:t>采购标的需实现的功能或者目标，标段（包）总体范围：</w:t>
      </w:r>
      <w:r>
        <w:rPr>
          <w:color w:val="auto"/>
          <w:sz w:val="24"/>
          <w:szCs w:val="24"/>
          <w:highlight w:val="none"/>
        </w:rPr>
        <w:t xml:space="preserve"> </w:t>
      </w:r>
    </w:p>
    <w:p w14:paraId="3C475CDA">
      <w:pPr>
        <w:adjustRightInd w:val="0"/>
        <w:snapToGrid w:val="0"/>
        <w:spacing w:line="360" w:lineRule="auto"/>
        <w:ind w:firstLine="600" w:firstLineChars="250"/>
        <w:jc w:val="left"/>
        <w:rPr>
          <w:rFonts w:ascii="宋体" w:cs="宋体"/>
          <w:color w:val="auto"/>
          <w:sz w:val="24"/>
          <w:highlight w:val="none"/>
        </w:rPr>
      </w:pPr>
      <w:r>
        <w:rPr>
          <w:rFonts w:hint="eastAsia" w:ascii="宋体" w:hAnsi="宋体" w:cs="宋体"/>
          <w:color w:val="auto"/>
          <w:sz w:val="24"/>
          <w:highlight w:val="none"/>
        </w:rPr>
        <w:t>一、按时保质保量的满足采购人正常会议工作需要。</w:t>
      </w:r>
    </w:p>
    <w:p w14:paraId="734C9E9A">
      <w:pPr>
        <w:adjustRightInd w:val="0"/>
        <w:snapToGrid w:val="0"/>
        <w:spacing w:line="360" w:lineRule="auto"/>
        <w:ind w:firstLine="600" w:firstLineChars="250"/>
        <w:jc w:val="left"/>
        <w:rPr>
          <w:color w:val="auto"/>
          <w:sz w:val="24"/>
          <w:szCs w:val="24"/>
          <w:highlight w:val="none"/>
        </w:rPr>
      </w:pPr>
      <w:r>
        <w:rPr>
          <w:rFonts w:hint="eastAsia"/>
          <w:color w:val="auto"/>
          <w:sz w:val="24"/>
          <w:szCs w:val="24"/>
          <w:highlight w:val="none"/>
        </w:rPr>
        <w:t>入围供应商负责会议正常进行的所需外部条件。</w:t>
      </w:r>
    </w:p>
    <w:p w14:paraId="20CA1C16">
      <w:pPr>
        <w:widowControl w:val="0"/>
        <w:adjustRightInd w:val="0"/>
        <w:snapToGrid w:val="0"/>
        <w:spacing w:line="360" w:lineRule="auto"/>
        <w:ind w:left="22" w:firstLine="480"/>
        <w:rPr>
          <w:b/>
          <w:color w:val="auto"/>
          <w:sz w:val="24"/>
          <w:szCs w:val="24"/>
          <w:highlight w:val="none"/>
        </w:rPr>
      </w:pPr>
      <w:r>
        <w:rPr>
          <w:rFonts w:hint="eastAsia" w:ascii="宋体" w:hAnsi="宋体"/>
          <w:b/>
          <w:color w:val="auto"/>
          <w:sz w:val="24"/>
          <w:szCs w:val="24"/>
          <w:highlight w:val="none"/>
        </w:rPr>
        <w:t>二、</w:t>
      </w:r>
      <w:r>
        <w:rPr>
          <w:rFonts w:hint="eastAsia"/>
          <w:b/>
          <w:color w:val="auto"/>
          <w:sz w:val="24"/>
          <w:szCs w:val="24"/>
          <w:highlight w:val="none"/>
        </w:rPr>
        <w:t>采购内容（范围）</w:t>
      </w:r>
    </w:p>
    <w:p w14:paraId="56A348FA">
      <w:pPr>
        <w:widowControl w:val="0"/>
        <w:adjustRightInd w:val="0"/>
        <w:snapToGrid w:val="0"/>
        <w:spacing w:line="360" w:lineRule="auto"/>
        <w:ind w:left="22" w:firstLine="482"/>
        <w:rPr>
          <w:b/>
          <w:color w:val="auto"/>
          <w:sz w:val="24"/>
          <w:szCs w:val="24"/>
          <w:highlight w:val="none"/>
        </w:rPr>
      </w:pPr>
      <w:r>
        <w:rPr>
          <w:color w:val="auto"/>
          <w:sz w:val="24"/>
          <w:szCs w:val="24"/>
          <w:highlight w:val="none"/>
        </w:rPr>
        <w:t>1</w:t>
      </w:r>
      <w:r>
        <w:rPr>
          <w:rFonts w:hint="eastAsia"/>
          <w:color w:val="auto"/>
          <w:sz w:val="24"/>
          <w:szCs w:val="24"/>
          <w:highlight w:val="none"/>
        </w:rPr>
        <w:t>、本次政府采购的标的为安阳县（示范区）党政机关会议定点场所，包括具备会议室等设施的宾馆饭店和专业会议场所。</w:t>
      </w:r>
      <w:r>
        <w:rPr>
          <w:rFonts w:hint="eastAsia"/>
          <w:b/>
          <w:color w:val="auto"/>
          <w:sz w:val="24"/>
          <w:szCs w:val="24"/>
          <w:highlight w:val="none"/>
        </w:rPr>
        <w:t>报价的主要内容包括住宿房间价格、会议室租金、伙食费。住宿房间价格按标准间、单人间</w:t>
      </w:r>
      <w:r>
        <w:rPr>
          <w:rFonts w:hint="eastAsia"/>
          <w:b/>
          <w:color w:val="auto"/>
          <w:sz w:val="24"/>
          <w:szCs w:val="24"/>
          <w:highlight w:val="none"/>
          <w:lang w:val="en-US" w:eastAsia="zh-CN"/>
        </w:rPr>
        <w:t>二</w:t>
      </w:r>
      <w:r>
        <w:rPr>
          <w:rFonts w:hint="eastAsia"/>
          <w:b/>
          <w:color w:val="auto"/>
          <w:sz w:val="24"/>
          <w:szCs w:val="24"/>
          <w:highlight w:val="none"/>
        </w:rPr>
        <w:t>种类型确定。会议室租金按照大会议室、中会议室、小会议室三种类型确定。伙食费标准按照每人每天确定或明细到单餐。</w:t>
      </w:r>
    </w:p>
    <w:p w14:paraId="50E02B61">
      <w:pPr>
        <w:widowControl w:val="0"/>
        <w:adjustRightInd w:val="0"/>
        <w:snapToGrid w:val="0"/>
        <w:spacing w:line="360" w:lineRule="auto"/>
        <w:ind w:left="22" w:firstLine="482"/>
        <w:rPr>
          <w:b/>
          <w:color w:val="auto"/>
          <w:sz w:val="24"/>
          <w:szCs w:val="24"/>
          <w:highlight w:val="none"/>
        </w:rPr>
      </w:pPr>
      <w:r>
        <w:rPr>
          <w:rFonts w:hint="eastAsia"/>
          <w:color w:val="auto"/>
          <w:sz w:val="24"/>
          <w:szCs w:val="24"/>
          <w:highlight w:val="none"/>
        </w:rPr>
        <w:t>服务期间党政机关会议定点管理办法及其相关法规具有新的规定时，按新规执行。如本次框架协议采购内容与新规冲突时，均按新规执行。</w:t>
      </w:r>
    </w:p>
    <w:p w14:paraId="62B08B13">
      <w:pPr>
        <w:widowControl w:val="0"/>
        <w:adjustRightInd w:val="0"/>
        <w:snapToGrid w:val="0"/>
        <w:spacing w:line="360" w:lineRule="auto"/>
        <w:ind w:left="22" w:firstLine="482"/>
        <w:rPr>
          <w:color w:val="auto"/>
          <w:sz w:val="24"/>
          <w:szCs w:val="24"/>
          <w:highlight w:val="none"/>
        </w:rPr>
      </w:pPr>
      <w:r>
        <w:rPr>
          <w:color w:val="auto"/>
          <w:sz w:val="24"/>
          <w:szCs w:val="24"/>
          <w:highlight w:val="none"/>
        </w:rPr>
        <w:t>2</w:t>
      </w:r>
      <w:r>
        <w:rPr>
          <w:rFonts w:hint="eastAsia"/>
          <w:color w:val="auto"/>
          <w:sz w:val="24"/>
          <w:szCs w:val="24"/>
          <w:highlight w:val="none"/>
        </w:rPr>
        <w:t>、本次采购的会议定点场所在全国范围内实行资源共享，各级党政机关举办会议共同使用于“党政机关举办会议定点场所管理信息系统”中自主选定，执行统一的会议定点场所目录和相同的协议价格。</w:t>
      </w:r>
    </w:p>
    <w:p w14:paraId="14F3E75D">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 xml:space="preserve">2.2 </w:t>
      </w:r>
      <w:r>
        <w:rPr>
          <w:rFonts w:hint="eastAsia" w:ascii="黑体" w:hAnsi="黑体" w:eastAsia="黑体"/>
          <w:b/>
          <w:color w:val="auto"/>
          <w:sz w:val="24"/>
          <w:szCs w:val="24"/>
          <w:highlight w:val="none"/>
        </w:rPr>
        <w:t>项目落实的政府采购政策（法规标准条款）</w:t>
      </w:r>
    </w:p>
    <w:p w14:paraId="2CFDC101">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 xml:space="preserve">.1 </w:t>
      </w:r>
      <w:r>
        <w:rPr>
          <w:rFonts w:hint="eastAsia" w:ascii="宋体" w:hAnsi="宋体"/>
          <w:color w:val="auto"/>
          <w:sz w:val="24"/>
          <w:szCs w:val="24"/>
          <w:highlight w:val="none"/>
        </w:rPr>
        <w:t>政府采购节能产品、环境标志产品实施品目清单管理后，对本次采购产品属于“节能产品政府采购品目清单”中强制采购品目的</w:t>
      </w:r>
      <w:r>
        <w:rPr>
          <w:rFonts w:ascii="宋体" w:hAnsi="宋体" w:cs="宋体"/>
          <w:color w:val="auto"/>
          <w:sz w:val="24"/>
          <w:szCs w:val="24"/>
          <w:highlight w:val="none"/>
        </w:rPr>
        <w:t>，</w:t>
      </w:r>
      <w:r>
        <w:rPr>
          <w:rFonts w:hint="eastAsia" w:ascii="宋体" w:hAnsi="宋体" w:cs="宋体"/>
          <w:color w:val="auto"/>
          <w:sz w:val="24"/>
          <w:szCs w:val="24"/>
          <w:highlight w:val="none"/>
        </w:rPr>
        <w:t>投</w:t>
      </w:r>
      <w:r>
        <w:rPr>
          <w:rFonts w:ascii="宋体" w:hAnsi="宋体" w:cs="宋体"/>
          <w:color w:val="auto"/>
          <w:sz w:val="24"/>
          <w:szCs w:val="24"/>
          <w:highlight w:val="none"/>
        </w:rPr>
        <w:t>标产</w:t>
      </w:r>
      <w:r>
        <w:rPr>
          <w:rFonts w:hint="eastAsia" w:ascii="宋体" w:hAnsi="宋体" w:cs="宋体"/>
          <w:color w:val="auto"/>
          <w:sz w:val="24"/>
          <w:szCs w:val="24"/>
          <w:highlight w:val="none"/>
        </w:rPr>
        <w:t>品</w:t>
      </w:r>
      <w:r>
        <w:rPr>
          <w:rFonts w:ascii="宋体" w:hAnsi="宋体" w:cs="宋体"/>
          <w:color w:val="auto"/>
          <w:sz w:val="24"/>
          <w:szCs w:val="24"/>
          <w:highlight w:val="none"/>
        </w:rPr>
        <w:t>应当具有</w:t>
      </w:r>
      <w:r>
        <w:rPr>
          <w:rFonts w:hint="eastAsia" w:ascii="宋体" w:hAnsi="宋体" w:cs="宋体"/>
          <w:color w:val="auto"/>
          <w:sz w:val="24"/>
          <w:szCs w:val="24"/>
          <w:highlight w:val="none"/>
        </w:rPr>
        <w:t>相</w:t>
      </w:r>
      <w:r>
        <w:rPr>
          <w:rFonts w:ascii="宋体" w:hAnsi="宋体" w:cs="宋体"/>
          <w:color w:val="auto"/>
          <w:sz w:val="24"/>
          <w:szCs w:val="24"/>
          <w:highlight w:val="none"/>
        </w:rPr>
        <w:t>应</w:t>
      </w:r>
      <w:r>
        <w:rPr>
          <w:rFonts w:hint="eastAsia" w:ascii="宋体" w:hAnsi="宋体" w:cs="宋体"/>
          <w:color w:val="auto"/>
          <w:sz w:val="24"/>
          <w:szCs w:val="24"/>
          <w:highlight w:val="none"/>
        </w:rPr>
        <w:t>的认证证书（认证证书应当为国家确定的认证机构出具、且应处于有效期之内</w:t>
      </w:r>
      <w:r>
        <w:rPr>
          <w:rFonts w:ascii="宋体" w:hAnsi="宋体" w:cs="宋体"/>
          <w:color w:val="auto"/>
          <w:sz w:val="24"/>
          <w:szCs w:val="24"/>
          <w:highlight w:val="none"/>
        </w:rPr>
        <w:t>）</w:t>
      </w:r>
      <w:r>
        <w:rPr>
          <w:rFonts w:hint="eastAsia" w:ascii="宋体" w:hAnsi="宋体" w:cs="宋体"/>
          <w:color w:val="auto"/>
          <w:sz w:val="24"/>
          <w:szCs w:val="24"/>
          <w:highlight w:val="none"/>
        </w:rPr>
        <w:t>，投</w:t>
      </w:r>
      <w:r>
        <w:rPr>
          <w:rFonts w:ascii="宋体" w:hAnsi="宋体" w:cs="宋体"/>
          <w:color w:val="auto"/>
          <w:sz w:val="24"/>
          <w:szCs w:val="24"/>
          <w:highlight w:val="none"/>
        </w:rPr>
        <w:t>标文件中应当提供</w:t>
      </w:r>
      <w:r>
        <w:rPr>
          <w:rFonts w:hint="eastAsia" w:ascii="宋体" w:hAnsi="宋体" w:cs="宋体"/>
          <w:color w:val="auto"/>
          <w:sz w:val="24"/>
          <w:szCs w:val="24"/>
          <w:highlight w:val="none"/>
        </w:rPr>
        <w:t>相</w:t>
      </w:r>
      <w:r>
        <w:rPr>
          <w:rFonts w:ascii="宋体" w:hAnsi="宋体" w:cs="宋体"/>
          <w:color w:val="auto"/>
          <w:sz w:val="24"/>
          <w:szCs w:val="24"/>
          <w:highlight w:val="none"/>
        </w:rPr>
        <w:t>应</w:t>
      </w:r>
      <w:r>
        <w:rPr>
          <w:rFonts w:hint="eastAsia" w:ascii="宋体" w:hAnsi="宋体" w:cs="宋体"/>
          <w:color w:val="auto"/>
          <w:sz w:val="24"/>
          <w:szCs w:val="24"/>
          <w:highlight w:val="none"/>
        </w:rPr>
        <w:t>的认证证书（认证证书应当为国家确定的认证机构出具、且应处于有效期之内）。</w:t>
      </w:r>
    </w:p>
    <w:p w14:paraId="4E31E575">
      <w:pPr>
        <w:adjustRightInd w:val="0"/>
        <w:snapToGrid w:val="0"/>
        <w:spacing w:before="156" w:beforeLines="50" w:line="30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属于政府强制采购</w:t>
      </w:r>
      <w:r>
        <w:rPr>
          <w:rFonts w:hint="eastAsia" w:ascii="宋体" w:hAnsi="宋体" w:cs="宋体"/>
          <w:color w:val="auto"/>
          <w:sz w:val="24"/>
          <w:szCs w:val="24"/>
          <w:highlight w:val="none"/>
        </w:rPr>
        <w:t>品目</w:t>
      </w:r>
      <w:r>
        <w:rPr>
          <w:rFonts w:hint="eastAsia" w:ascii="宋体" w:hAnsi="宋体"/>
          <w:color w:val="auto"/>
          <w:sz w:val="24"/>
          <w:szCs w:val="24"/>
          <w:highlight w:val="none"/>
        </w:rPr>
        <w:t>、而未按要求提供相应资料的，</w:t>
      </w:r>
      <w:r>
        <w:rPr>
          <w:rFonts w:hint="eastAsia" w:ascii="宋体" w:hAnsi="宋体"/>
          <w:b/>
          <w:color w:val="auto"/>
          <w:sz w:val="24"/>
          <w:szCs w:val="24"/>
          <w:highlight w:val="none"/>
        </w:rPr>
        <w:t>为无效投标</w:t>
      </w:r>
      <w:r>
        <w:rPr>
          <w:rFonts w:hint="eastAsia" w:ascii="宋体" w:hAnsi="宋体"/>
          <w:color w:val="auto"/>
          <w:sz w:val="24"/>
          <w:szCs w:val="24"/>
          <w:highlight w:val="none"/>
        </w:rPr>
        <w:t>。</w:t>
      </w:r>
    </w:p>
    <w:p w14:paraId="1B1EC382">
      <w:pPr>
        <w:adjustRightInd w:val="0"/>
        <w:snapToGrid w:val="0"/>
        <w:spacing w:before="156" w:beforeLines="50" w:line="300" w:lineRule="auto"/>
        <w:ind w:firstLine="480" w:firstLineChars="200"/>
        <w:rPr>
          <w:rFonts w:ascii="宋体" w:hAnsi="宋体" w:cs="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 xml:space="preserve">.2 </w:t>
      </w:r>
      <w:r>
        <w:rPr>
          <w:rFonts w:hint="eastAsia" w:ascii="宋体" w:hAnsi="宋体"/>
          <w:color w:val="auto"/>
          <w:sz w:val="24"/>
          <w:szCs w:val="24"/>
          <w:highlight w:val="none"/>
        </w:rPr>
        <w:t>同等条件下，</w:t>
      </w:r>
      <w:r>
        <w:rPr>
          <w:rFonts w:hint="eastAsia" w:ascii="宋体" w:hAnsi="宋体" w:cs="宋体"/>
          <w:color w:val="auto"/>
          <w:sz w:val="24"/>
          <w:szCs w:val="24"/>
          <w:highlight w:val="none"/>
        </w:rPr>
        <w:t>获得节能产品认证证书或环境标志产品认证证书的产品优先采购。(认证证书应</w:t>
      </w:r>
      <w:r>
        <w:rPr>
          <w:rFonts w:ascii="宋体" w:hAnsi="宋体" w:cs="宋体"/>
          <w:color w:val="auto"/>
          <w:sz w:val="24"/>
          <w:szCs w:val="24"/>
          <w:highlight w:val="none"/>
        </w:rPr>
        <w:t>当为</w:t>
      </w:r>
      <w:r>
        <w:rPr>
          <w:rFonts w:hint="eastAsia" w:ascii="宋体" w:hAnsi="宋体" w:cs="宋体"/>
          <w:color w:val="auto"/>
          <w:sz w:val="24"/>
          <w:szCs w:val="24"/>
          <w:highlight w:val="none"/>
        </w:rPr>
        <w:t>国家确定的认证机构出具、且</w:t>
      </w:r>
      <w:r>
        <w:rPr>
          <w:rFonts w:ascii="宋体" w:hAnsi="宋体" w:cs="宋体"/>
          <w:color w:val="auto"/>
          <w:sz w:val="24"/>
          <w:szCs w:val="24"/>
          <w:highlight w:val="none"/>
        </w:rPr>
        <w:t>应</w:t>
      </w:r>
      <w:r>
        <w:rPr>
          <w:rFonts w:hint="eastAsia" w:ascii="宋体" w:hAnsi="宋体" w:cs="宋体"/>
          <w:color w:val="auto"/>
          <w:sz w:val="24"/>
          <w:szCs w:val="24"/>
          <w:highlight w:val="none"/>
        </w:rPr>
        <w:t>处于有效期之内。)</w:t>
      </w:r>
    </w:p>
    <w:p w14:paraId="190A07A4">
      <w:pPr>
        <w:adjustRightInd w:val="0"/>
        <w:snapToGrid w:val="0"/>
        <w:spacing w:before="156" w:beforeLines="50" w:line="300" w:lineRule="auto"/>
        <w:ind w:firstLine="480" w:firstLineChars="200"/>
        <w:rPr>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3本次采购产品如有列入《网络关键设备和网络安全专用产品目录》的网络安全专用产品，该产品应当按照《关于调整网络安全专用产品安全管理有关事项的公告》要求进行安全认证或安全检测、或已获得《计算机信息系统安全专用产品销售许可证》（</w:t>
      </w:r>
      <w:r>
        <w:rPr>
          <w:rFonts w:hint="eastAsia" w:ascii="宋体" w:hAnsi="宋体" w:cs="宋体"/>
          <w:color w:val="auto"/>
          <w:sz w:val="24"/>
          <w:szCs w:val="24"/>
          <w:highlight w:val="none"/>
        </w:rPr>
        <w:t>应处于有效期内</w:t>
      </w:r>
      <w:r>
        <w:rPr>
          <w:rFonts w:hint="eastAsia" w:ascii="宋体" w:hAnsi="宋体"/>
          <w:color w:val="auto"/>
          <w:sz w:val="24"/>
          <w:szCs w:val="24"/>
          <w:highlight w:val="none"/>
        </w:rPr>
        <w:t>）。</w:t>
      </w:r>
    </w:p>
    <w:p w14:paraId="4481606B">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4计算机产品须预装正版操作系统软件。</w:t>
      </w:r>
    </w:p>
    <w:p w14:paraId="46F358C3">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5</w:t>
      </w:r>
      <w:r>
        <w:rPr>
          <w:rFonts w:ascii="宋体" w:hAnsi="宋体"/>
          <w:color w:val="auto"/>
          <w:sz w:val="24"/>
          <w:szCs w:val="24"/>
          <w:highlight w:val="none"/>
        </w:rPr>
        <w:t xml:space="preserve"> </w:t>
      </w:r>
      <w:r>
        <w:rPr>
          <w:rFonts w:hint="eastAsia" w:ascii="宋体" w:hAnsi="宋体"/>
          <w:color w:val="auto"/>
          <w:sz w:val="24"/>
          <w:szCs w:val="24"/>
          <w:highlight w:val="none"/>
        </w:rPr>
        <w:t>本次采购不允许进口产品参加。</w:t>
      </w:r>
    </w:p>
    <w:p w14:paraId="7627DDB1">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6如允许采购进口产品的，优先采购向我国企业转让技术、与我国企业签订消化吸收再创新方案的供应商的进口产品。</w:t>
      </w:r>
    </w:p>
    <w:p w14:paraId="13F29599">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7</w:t>
      </w:r>
      <w:r>
        <w:rPr>
          <w:rFonts w:ascii="宋体" w:hAnsi="宋体"/>
          <w:color w:val="auto"/>
          <w:sz w:val="24"/>
          <w:szCs w:val="24"/>
          <w:highlight w:val="none"/>
        </w:rPr>
        <w:t xml:space="preserve"> </w:t>
      </w:r>
      <w:r>
        <w:rPr>
          <w:rFonts w:hint="eastAsia" w:ascii="宋体" w:hAnsi="宋体"/>
          <w:color w:val="auto"/>
          <w:sz w:val="24"/>
          <w:szCs w:val="24"/>
          <w:highlight w:val="none"/>
        </w:rPr>
        <w:t>促进中小企业发展扶持政策：见第四章“评标办法”第</w:t>
      </w:r>
      <w:r>
        <w:rPr>
          <w:rFonts w:ascii="宋体" w:hAnsi="宋体"/>
          <w:color w:val="auto"/>
          <w:sz w:val="24"/>
          <w:szCs w:val="24"/>
          <w:highlight w:val="none"/>
        </w:rPr>
        <w:t>4</w:t>
      </w:r>
      <w:r>
        <w:rPr>
          <w:rFonts w:hint="eastAsia" w:ascii="宋体" w:hAnsi="宋体"/>
          <w:color w:val="auto"/>
          <w:sz w:val="24"/>
          <w:szCs w:val="24"/>
          <w:highlight w:val="none"/>
        </w:rPr>
        <w:t>条。</w:t>
      </w:r>
    </w:p>
    <w:p w14:paraId="2728403A">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8促进残疾人就业、支持监狱企业发展：见第四章“评标办法”第</w:t>
      </w:r>
      <w:r>
        <w:rPr>
          <w:rFonts w:ascii="宋体" w:hAnsi="宋体"/>
          <w:color w:val="auto"/>
          <w:sz w:val="24"/>
          <w:szCs w:val="24"/>
          <w:highlight w:val="none"/>
        </w:rPr>
        <w:t>4</w:t>
      </w:r>
      <w:r>
        <w:rPr>
          <w:rFonts w:hint="eastAsia" w:ascii="宋体" w:hAnsi="宋体"/>
          <w:color w:val="auto"/>
          <w:sz w:val="24"/>
          <w:szCs w:val="24"/>
          <w:highlight w:val="none"/>
        </w:rPr>
        <w:t>条。</w:t>
      </w:r>
    </w:p>
    <w:p w14:paraId="253F9E0C">
      <w:pPr>
        <w:adjustRightInd w:val="0"/>
        <w:snapToGrid w:val="0"/>
        <w:spacing w:before="156" w:beforeLines="50" w:line="300" w:lineRule="auto"/>
        <w:ind w:firstLine="480" w:firstLineChars="20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9</w:t>
      </w:r>
      <w:r>
        <w:rPr>
          <w:rFonts w:ascii="宋体" w:hAnsi="宋体"/>
          <w:color w:val="auto"/>
          <w:sz w:val="24"/>
          <w:szCs w:val="24"/>
          <w:highlight w:val="none"/>
        </w:rPr>
        <w:t xml:space="preserve"> </w:t>
      </w:r>
      <w:r>
        <w:rPr>
          <w:rFonts w:hint="eastAsia" w:ascii="宋体" w:hAnsi="宋体"/>
          <w:color w:val="auto"/>
          <w:sz w:val="24"/>
          <w:szCs w:val="24"/>
          <w:highlight w:val="none"/>
        </w:rPr>
        <w:t>所供产品有商品包装的应当使用绿色包装。所供产品有其他环保政策要求的，应符合相关环保法律政策要求。</w:t>
      </w:r>
    </w:p>
    <w:p w14:paraId="4E8ACF1F">
      <w:pPr>
        <w:adjustRightInd w:val="0"/>
        <w:snapToGrid w:val="0"/>
        <w:spacing w:before="156" w:beforeLines="50" w:line="30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2.2.10</w:t>
      </w:r>
      <w:r>
        <w:rPr>
          <w:rFonts w:ascii="宋体" w:hAnsi="宋体"/>
          <w:color w:val="auto"/>
          <w:sz w:val="24"/>
          <w:szCs w:val="24"/>
          <w:highlight w:val="none"/>
        </w:rPr>
        <w:t xml:space="preserve"> </w:t>
      </w:r>
      <w:r>
        <w:rPr>
          <w:rFonts w:hint="eastAsia" w:ascii="宋体" w:hAnsi="宋体"/>
          <w:color w:val="auto"/>
          <w:sz w:val="24"/>
          <w:szCs w:val="24"/>
          <w:highlight w:val="none"/>
        </w:rPr>
        <w:t>支持绿色建筑、绿色建材，支持使用低</w:t>
      </w:r>
      <w:r>
        <w:rPr>
          <w:rFonts w:ascii="Arial" w:hAnsi="Arial" w:cs="Arial"/>
          <w:color w:val="auto"/>
          <w:szCs w:val="21"/>
          <w:highlight w:val="none"/>
          <w:shd w:val="clear" w:color="auto" w:fill="FFFFFF"/>
        </w:rPr>
        <w:t>VOCs</w:t>
      </w:r>
      <w:r>
        <w:rPr>
          <w:rFonts w:hint="eastAsia" w:ascii="宋体" w:hAnsi="宋体"/>
          <w:color w:val="auto"/>
          <w:sz w:val="24"/>
          <w:szCs w:val="24"/>
          <w:highlight w:val="none"/>
        </w:rPr>
        <w:t>含量涂料和胶黏剂，支持不发达、少数民族地区的企业，促进自主创新产业发展，支持脱贫攻坚等；同等条件下，优先采购。</w:t>
      </w:r>
    </w:p>
    <w:p w14:paraId="4D75D6FE">
      <w:pPr>
        <w:adjustRightInd w:val="0"/>
        <w:snapToGrid w:val="0"/>
        <w:spacing w:line="30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2.3</w:t>
      </w:r>
      <w:r>
        <w:rPr>
          <w:rFonts w:hint="eastAsia" w:ascii="黑体" w:hAnsi="黑体" w:eastAsia="黑体"/>
          <w:b/>
          <w:color w:val="auto"/>
          <w:sz w:val="24"/>
          <w:szCs w:val="24"/>
          <w:highlight w:val="none"/>
        </w:rPr>
        <w:t>采购标的需执行的国家相关标准、行业标准、地方标准或者其他标准、规范；</w:t>
      </w:r>
    </w:p>
    <w:p w14:paraId="3C72E0B6">
      <w:pPr>
        <w:widowControl w:val="0"/>
        <w:adjustRightInd w:val="0"/>
        <w:snapToGrid w:val="0"/>
        <w:spacing w:line="360" w:lineRule="auto"/>
        <w:ind w:left="23" w:firstLine="482"/>
        <w:jc w:val="left"/>
        <w:rPr>
          <w:color w:val="auto"/>
          <w:sz w:val="24"/>
          <w:szCs w:val="24"/>
          <w:highlight w:val="none"/>
        </w:rPr>
      </w:pPr>
      <w:r>
        <w:rPr>
          <w:rFonts w:hint="eastAsia"/>
          <w:color w:val="auto"/>
          <w:sz w:val="24"/>
          <w:szCs w:val="24"/>
          <w:highlight w:val="none"/>
        </w:rPr>
        <w:t>供应商所投服务（及所涉货物材料设施）应符合国家质量标准、部颁标准及行业规范的要求，符合国家各项强制性规范及安全标准，投标服务（及所涉货物材料设施）不应与第三方存在知识产权权属问题；供应商应本着服务客户、为客户着想的宗旨，来完善服务（及所涉货物材料设施）及技术要求未尽事宜，不得以征集文件未列明事项为由，来降低投标服务（及所涉货物材料设施）的质量。</w:t>
      </w:r>
    </w:p>
    <w:p w14:paraId="438C99F5">
      <w:pPr>
        <w:spacing w:line="560" w:lineRule="exact"/>
        <w:ind w:firstLine="482" w:firstLineChars="200"/>
        <w:rPr>
          <w:rFonts w:ascii="宋体" w:hAnsi="宋体" w:cs="宋体"/>
          <w:color w:val="auto"/>
          <w:sz w:val="24"/>
          <w:highlight w:val="none"/>
        </w:rPr>
      </w:pPr>
      <w:r>
        <w:rPr>
          <w:rFonts w:ascii="黑体" w:hAnsi="黑体" w:eastAsia="黑体"/>
          <w:b/>
          <w:color w:val="auto"/>
          <w:sz w:val="24"/>
          <w:szCs w:val="24"/>
          <w:highlight w:val="none"/>
        </w:rPr>
        <w:t>2.4</w:t>
      </w:r>
      <w:r>
        <w:rPr>
          <w:rFonts w:hint="eastAsia" w:ascii="黑体" w:hAnsi="黑体" w:eastAsia="黑体"/>
          <w:b/>
          <w:color w:val="auto"/>
          <w:sz w:val="24"/>
          <w:szCs w:val="24"/>
          <w:highlight w:val="none"/>
        </w:rPr>
        <w:t>标段（包）内容（具体范围、数量），具体服务（技术）要求（</w:t>
      </w:r>
      <w:r>
        <w:rPr>
          <w:rFonts w:hint="eastAsia" w:ascii="宋体" w:hAnsi="宋体" w:cs="宋体"/>
          <w:color w:val="auto"/>
          <w:sz w:val="24"/>
          <w:highlight w:val="none"/>
        </w:rPr>
        <w:t>采购标的需满足的质量、安全、技术规格、物理特性等）</w:t>
      </w:r>
    </w:p>
    <w:p w14:paraId="4334CB17">
      <w:pPr>
        <w:widowControl w:val="0"/>
        <w:adjustRightInd w:val="0"/>
        <w:spacing w:line="360" w:lineRule="auto"/>
        <w:ind w:firstLine="361" w:firstLineChars="150"/>
        <w:rPr>
          <w:rFonts w:ascii="宋体" w:cs="宋体"/>
          <w:b/>
          <w:color w:val="auto"/>
          <w:sz w:val="24"/>
          <w:szCs w:val="24"/>
          <w:highlight w:val="none"/>
        </w:rPr>
      </w:pPr>
      <w:r>
        <w:rPr>
          <w:rFonts w:hint="eastAsia" w:ascii="宋体" w:cs="宋体"/>
          <w:b/>
          <w:color w:val="auto"/>
          <w:sz w:val="24"/>
          <w:szCs w:val="24"/>
          <w:highlight w:val="none"/>
        </w:rPr>
        <w:t>一、服务内容、服务标准、技术保障、服务人员组成</w:t>
      </w:r>
    </w:p>
    <w:p w14:paraId="5B878B8C">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1.</w:t>
      </w:r>
      <w:r>
        <w:rPr>
          <w:rFonts w:hint="eastAsia" w:ascii="宋体" w:cs="宋体"/>
          <w:color w:val="auto"/>
          <w:sz w:val="24"/>
          <w:szCs w:val="24"/>
          <w:highlight w:val="none"/>
        </w:rPr>
        <w:t>供应商需要执行</w:t>
      </w:r>
      <w:r>
        <w:rPr>
          <w:rFonts w:hint="eastAsia"/>
          <w:bCs/>
          <w:color w:val="auto"/>
          <w:sz w:val="24"/>
          <w:szCs w:val="24"/>
          <w:highlight w:val="none"/>
        </w:rPr>
        <w:t>《安阳县县（区）级会议费管理办法》、《安阳县（区）党政机关会议定点管理实施细则》</w:t>
      </w:r>
      <w:r>
        <w:rPr>
          <w:rFonts w:hint="eastAsia" w:ascii="宋体" w:cs="宋体"/>
          <w:color w:val="auto"/>
          <w:sz w:val="24"/>
          <w:szCs w:val="24"/>
          <w:highlight w:val="none"/>
        </w:rPr>
        <w:t>。会议费综合定额标准为：一类会议每人每天</w:t>
      </w:r>
      <w:r>
        <w:rPr>
          <w:rFonts w:hint="eastAsia" w:ascii="宋体" w:cs="宋体"/>
          <w:color w:val="auto"/>
          <w:sz w:val="24"/>
          <w:szCs w:val="24"/>
          <w:highlight w:val="none"/>
          <w:lang w:val="en-US" w:eastAsia="zh-CN"/>
        </w:rPr>
        <w:t>32</w:t>
      </w:r>
      <w:r>
        <w:rPr>
          <w:rFonts w:ascii="宋体" w:cs="宋体"/>
          <w:color w:val="auto"/>
          <w:sz w:val="24"/>
          <w:szCs w:val="24"/>
          <w:highlight w:val="none"/>
        </w:rPr>
        <w:t>0</w:t>
      </w:r>
      <w:r>
        <w:rPr>
          <w:rFonts w:hint="eastAsia" w:ascii="宋体" w:cs="宋体"/>
          <w:color w:val="auto"/>
          <w:sz w:val="24"/>
          <w:szCs w:val="24"/>
          <w:highlight w:val="none"/>
        </w:rPr>
        <w:t>元（其中伙食费</w:t>
      </w:r>
      <w:r>
        <w:rPr>
          <w:rFonts w:ascii="宋体" w:cs="宋体"/>
          <w:color w:val="auto"/>
          <w:sz w:val="24"/>
          <w:szCs w:val="24"/>
          <w:highlight w:val="none"/>
        </w:rPr>
        <w:t>1</w:t>
      </w:r>
      <w:r>
        <w:rPr>
          <w:rFonts w:hint="eastAsia" w:ascii="宋体" w:cs="宋体"/>
          <w:color w:val="auto"/>
          <w:sz w:val="24"/>
          <w:szCs w:val="24"/>
          <w:highlight w:val="none"/>
          <w:lang w:val="en-US" w:eastAsia="zh-CN"/>
        </w:rPr>
        <w:t>0</w:t>
      </w:r>
      <w:r>
        <w:rPr>
          <w:rFonts w:ascii="宋体" w:cs="宋体"/>
          <w:color w:val="auto"/>
          <w:sz w:val="24"/>
          <w:szCs w:val="24"/>
          <w:highlight w:val="none"/>
        </w:rPr>
        <w:t>0</w:t>
      </w:r>
      <w:r>
        <w:rPr>
          <w:rFonts w:hint="eastAsia" w:ascii="宋体" w:cs="宋体"/>
          <w:color w:val="auto"/>
          <w:sz w:val="24"/>
          <w:szCs w:val="24"/>
          <w:highlight w:val="none"/>
        </w:rPr>
        <w:t>元、住宿费</w:t>
      </w:r>
      <w:r>
        <w:rPr>
          <w:rFonts w:hint="eastAsia" w:ascii="宋体" w:cs="宋体"/>
          <w:color w:val="auto"/>
          <w:sz w:val="24"/>
          <w:szCs w:val="24"/>
          <w:highlight w:val="none"/>
          <w:lang w:val="en-US" w:eastAsia="zh-CN"/>
        </w:rPr>
        <w:t>15</w:t>
      </w:r>
      <w:r>
        <w:rPr>
          <w:rFonts w:ascii="宋体" w:cs="宋体"/>
          <w:color w:val="auto"/>
          <w:sz w:val="24"/>
          <w:szCs w:val="24"/>
          <w:highlight w:val="none"/>
        </w:rPr>
        <w:t>0</w:t>
      </w:r>
      <w:r>
        <w:rPr>
          <w:rFonts w:hint="eastAsia" w:ascii="宋体" w:cs="宋体"/>
          <w:color w:val="auto"/>
          <w:sz w:val="24"/>
          <w:szCs w:val="24"/>
          <w:highlight w:val="none"/>
        </w:rPr>
        <w:t>元，公杂费</w:t>
      </w:r>
      <w:r>
        <w:rPr>
          <w:rFonts w:hint="eastAsia" w:ascii="宋体" w:cs="宋体"/>
          <w:color w:val="auto"/>
          <w:sz w:val="24"/>
          <w:szCs w:val="24"/>
          <w:highlight w:val="none"/>
          <w:lang w:val="en-US" w:eastAsia="zh-CN"/>
        </w:rPr>
        <w:t>7</w:t>
      </w:r>
      <w:r>
        <w:rPr>
          <w:rFonts w:ascii="宋体" w:cs="宋体"/>
          <w:color w:val="auto"/>
          <w:sz w:val="24"/>
          <w:szCs w:val="24"/>
          <w:highlight w:val="none"/>
        </w:rPr>
        <w:t>0</w:t>
      </w:r>
      <w:r>
        <w:rPr>
          <w:rFonts w:hint="eastAsia" w:ascii="宋体" w:cs="宋体"/>
          <w:color w:val="auto"/>
          <w:sz w:val="24"/>
          <w:szCs w:val="24"/>
          <w:highlight w:val="none"/>
        </w:rPr>
        <w:t>元）。</w:t>
      </w:r>
    </w:p>
    <w:p w14:paraId="3D141AB4">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2.</w:t>
      </w:r>
      <w:r>
        <w:rPr>
          <w:rFonts w:hint="eastAsia" w:ascii="宋体" w:cs="宋体"/>
          <w:color w:val="auto"/>
          <w:sz w:val="24"/>
          <w:szCs w:val="24"/>
          <w:highlight w:val="none"/>
        </w:rPr>
        <w:t>供应商必须按征集文件要求签定服务承诺书（详见附件部分）；并在定点服务期间遵守承诺，做好各项服务工作，履行定点服务供应商义务。</w:t>
      </w:r>
    </w:p>
    <w:p w14:paraId="36820031">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3.</w:t>
      </w:r>
      <w:r>
        <w:rPr>
          <w:rFonts w:hint="eastAsia" w:ascii="宋体" w:cs="宋体"/>
          <w:color w:val="auto"/>
          <w:sz w:val="24"/>
          <w:szCs w:val="24"/>
          <w:highlight w:val="none"/>
        </w:rPr>
        <w:t>会议定点场所不得就没有承接的会议业务开具发票或虚开发票，不得开具虚假发票。</w:t>
      </w:r>
    </w:p>
    <w:p w14:paraId="6B36E849">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4.</w:t>
      </w:r>
      <w:r>
        <w:rPr>
          <w:rFonts w:hint="eastAsia" w:ascii="宋体" w:cs="宋体"/>
          <w:color w:val="auto"/>
          <w:sz w:val="24"/>
          <w:szCs w:val="24"/>
          <w:highlight w:val="none"/>
        </w:rPr>
        <w:t>信息报告制度：会议定点场所应按规定报送、发布相关信息，如在规定网站上公布客房数量、类型等；网络报送会议等统计信息。如未按要求上报，将根据相关管理办法给予相应处理，直至取消其入围服务资格。</w:t>
      </w:r>
    </w:p>
    <w:p w14:paraId="1F60B086">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5. </w:t>
      </w:r>
      <w:r>
        <w:rPr>
          <w:rFonts w:hint="eastAsia" w:ascii="宋体" w:cs="宋体"/>
          <w:color w:val="auto"/>
          <w:sz w:val="24"/>
          <w:szCs w:val="24"/>
          <w:highlight w:val="none"/>
        </w:rPr>
        <w:t>业务建档制度：入围供应商应建立单独的政府采购业务档案资料（包括业务清单、发票复印件、收费明细等）以备业务季报和执行期间的检查。</w:t>
      </w:r>
    </w:p>
    <w:p w14:paraId="215F4ED8">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6.</w:t>
      </w:r>
      <w:r>
        <w:rPr>
          <w:rFonts w:hint="eastAsia" w:ascii="宋体" w:hAnsi="宋体"/>
          <w:color w:val="auto"/>
          <w:sz w:val="24"/>
          <w:szCs w:val="24"/>
          <w:highlight w:val="none"/>
        </w:rPr>
        <w:t>框架协议期限（</w:t>
      </w:r>
      <w:r>
        <w:rPr>
          <w:rFonts w:hint="eastAsia" w:ascii="宋体" w:cs="宋体"/>
          <w:color w:val="auto"/>
          <w:sz w:val="24"/>
          <w:szCs w:val="24"/>
          <w:highlight w:val="none"/>
        </w:rPr>
        <w:t>定点协议期限</w:t>
      </w:r>
      <w:r>
        <w:rPr>
          <w:rFonts w:hint="eastAsia" w:ascii="宋体" w:hAnsi="宋体"/>
          <w:color w:val="auto"/>
          <w:sz w:val="24"/>
          <w:szCs w:val="24"/>
          <w:highlight w:val="none"/>
        </w:rPr>
        <w:t>）</w:t>
      </w:r>
      <w:r>
        <w:rPr>
          <w:rFonts w:hint="eastAsia" w:ascii="宋体" w:cs="宋体"/>
          <w:color w:val="auto"/>
          <w:sz w:val="24"/>
          <w:szCs w:val="24"/>
          <w:highlight w:val="none"/>
        </w:rPr>
        <w:t>：2年，</w:t>
      </w:r>
      <w:r>
        <w:rPr>
          <w:rFonts w:hint="eastAsia"/>
          <w:color w:val="auto"/>
          <w:sz w:val="24"/>
          <w:szCs w:val="24"/>
          <w:highlight w:val="none"/>
        </w:rPr>
        <w:t>202</w:t>
      </w:r>
      <w:r>
        <w:rPr>
          <w:rFonts w:hint="eastAsia"/>
          <w:color w:val="auto"/>
          <w:sz w:val="24"/>
          <w:szCs w:val="24"/>
          <w:highlight w:val="none"/>
          <w:lang w:val="en-US" w:eastAsia="zh-CN"/>
        </w:rPr>
        <w:t>7</w:t>
      </w:r>
      <w:r>
        <w:rPr>
          <w:rFonts w:hint="eastAsia"/>
          <w:color w:val="auto"/>
          <w:sz w:val="24"/>
          <w:szCs w:val="24"/>
          <w:highlight w:val="none"/>
        </w:rPr>
        <w:t>年1月1日</w:t>
      </w:r>
      <w:r>
        <w:rPr>
          <w:color w:val="auto"/>
          <w:sz w:val="24"/>
          <w:szCs w:val="24"/>
          <w:highlight w:val="none"/>
        </w:rPr>
        <w:t>—</w:t>
      </w:r>
      <w:r>
        <w:rPr>
          <w:rFonts w:hint="eastAsia"/>
          <w:color w:val="auto"/>
          <w:sz w:val="24"/>
          <w:szCs w:val="24"/>
          <w:highlight w:val="none"/>
        </w:rPr>
        <w:t>202</w:t>
      </w:r>
      <w:r>
        <w:rPr>
          <w:rFonts w:hint="eastAsia"/>
          <w:color w:val="auto"/>
          <w:sz w:val="24"/>
          <w:szCs w:val="24"/>
          <w:highlight w:val="none"/>
          <w:lang w:val="en-US" w:eastAsia="zh-CN"/>
        </w:rPr>
        <w:t>8</w:t>
      </w:r>
      <w:r>
        <w:rPr>
          <w:rFonts w:hint="eastAsia"/>
          <w:color w:val="auto"/>
          <w:sz w:val="24"/>
          <w:szCs w:val="24"/>
          <w:highlight w:val="none"/>
        </w:rPr>
        <w:t>年12月31日</w:t>
      </w:r>
      <w:r>
        <w:rPr>
          <w:rFonts w:hint="eastAsia" w:ascii="宋体" w:cs="宋体"/>
          <w:color w:val="auto"/>
          <w:sz w:val="24"/>
          <w:szCs w:val="24"/>
          <w:highlight w:val="none"/>
        </w:rPr>
        <w:t>。</w:t>
      </w:r>
    </w:p>
    <w:p w14:paraId="4725C0E1">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7. </w:t>
      </w:r>
      <w:r>
        <w:rPr>
          <w:rFonts w:hint="eastAsia" w:ascii="宋体" w:cs="宋体"/>
          <w:color w:val="auto"/>
          <w:sz w:val="24"/>
          <w:szCs w:val="24"/>
          <w:highlight w:val="none"/>
        </w:rPr>
        <w:t>服务及设施的基本要求（供应商应按相应的星级提供服务及设施）。</w:t>
      </w:r>
    </w:p>
    <w:p w14:paraId="36AA4FB8">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7.1 </w:t>
      </w:r>
      <w:r>
        <w:rPr>
          <w:rFonts w:hint="eastAsia" w:ascii="宋体" w:cs="宋体"/>
          <w:color w:val="auto"/>
          <w:sz w:val="24"/>
          <w:szCs w:val="24"/>
          <w:highlight w:val="none"/>
        </w:rPr>
        <w:t>客房及服务要求：供应商必须保证客房房间卫生整洁，被褥干净无异味，床单、被罩至少一客一换；房间内茶具、洗用具每天消毒，及时为顾客送水；卫生间要每天消毒，卫生用具要整洁，保证全天供应洗浴热水；客房要配有电视、电话及空调，冬季要保证客房供暖。</w:t>
      </w:r>
    </w:p>
    <w:p w14:paraId="3C25A49F">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7.2 </w:t>
      </w:r>
      <w:r>
        <w:rPr>
          <w:rFonts w:hint="eastAsia" w:ascii="宋体" w:cs="宋体"/>
          <w:color w:val="auto"/>
          <w:sz w:val="24"/>
          <w:szCs w:val="24"/>
          <w:highlight w:val="none"/>
        </w:rPr>
        <w:t>会议室服务要求：供应商必须保证会议室干净整洁，管理有序；能够免费提供用于支持会议的扩音设备和视频设备；能够根据实际参会人数和会议举办单位要求及时调整会议桌椅的摆放布局；会议期间安排专人负责该会议室扩音设备和视频设备的管理和维护；免费安排专人为会议室提供茶水和服务。</w:t>
      </w:r>
    </w:p>
    <w:p w14:paraId="1E611512">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7.3 </w:t>
      </w:r>
      <w:r>
        <w:rPr>
          <w:rFonts w:hint="eastAsia" w:ascii="宋体" w:cs="宋体"/>
          <w:color w:val="auto"/>
          <w:sz w:val="24"/>
          <w:szCs w:val="24"/>
          <w:highlight w:val="none"/>
        </w:rPr>
        <w:t>餐厅服务要求：供应商保证操作间人员应有卫生防疫部门核发的卫生健康证，持证上岗；餐厅应有食品卫生检验制度并能切实执行；餐厅应干净卫生，整洁明亮，餐具应在消毒柜中消毒。</w:t>
      </w:r>
    </w:p>
    <w:p w14:paraId="3453D8F6">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7.4 </w:t>
      </w:r>
      <w:r>
        <w:rPr>
          <w:rFonts w:hint="eastAsia" w:ascii="宋体" w:cs="宋体"/>
          <w:color w:val="auto"/>
          <w:sz w:val="24"/>
          <w:szCs w:val="24"/>
          <w:highlight w:val="none"/>
        </w:rPr>
        <w:t>停车服务要求：应具有内部停车场，停车位</w:t>
      </w:r>
      <w:r>
        <w:rPr>
          <w:rFonts w:ascii="宋体" w:cs="宋体"/>
          <w:color w:val="auto"/>
          <w:sz w:val="24"/>
          <w:szCs w:val="24"/>
          <w:highlight w:val="none"/>
        </w:rPr>
        <w:t>20</w:t>
      </w:r>
      <w:r>
        <w:rPr>
          <w:rFonts w:hint="eastAsia" w:ascii="宋体" w:cs="宋体"/>
          <w:color w:val="auto"/>
          <w:sz w:val="24"/>
          <w:szCs w:val="24"/>
          <w:highlight w:val="none"/>
        </w:rPr>
        <w:t>个以上，并提供免费停车服务，进出相对便利。</w:t>
      </w:r>
    </w:p>
    <w:p w14:paraId="307D0E46">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7.5 </w:t>
      </w:r>
      <w:r>
        <w:rPr>
          <w:rFonts w:hint="eastAsia" w:ascii="宋体" w:cs="宋体"/>
          <w:color w:val="auto"/>
          <w:sz w:val="24"/>
          <w:szCs w:val="24"/>
          <w:highlight w:val="none"/>
        </w:rPr>
        <w:t>安全保卫要求：应具有相应的安全保卫措施。</w:t>
      </w:r>
    </w:p>
    <w:p w14:paraId="63063F44">
      <w:pPr>
        <w:widowControl w:val="0"/>
        <w:adjustRightInd w:val="0"/>
        <w:spacing w:line="360" w:lineRule="auto"/>
        <w:ind w:firstLine="360" w:firstLineChars="150"/>
        <w:rPr>
          <w:rFonts w:ascii="宋体" w:cs="宋体"/>
          <w:b/>
          <w:color w:val="auto"/>
          <w:sz w:val="24"/>
          <w:szCs w:val="24"/>
          <w:highlight w:val="none"/>
        </w:rPr>
      </w:pPr>
      <w:r>
        <w:rPr>
          <w:rFonts w:ascii="宋体" w:cs="宋体"/>
          <w:color w:val="auto"/>
          <w:sz w:val="24"/>
          <w:szCs w:val="24"/>
          <w:highlight w:val="none"/>
        </w:rPr>
        <w:t xml:space="preserve">7.6 </w:t>
      </w:r>
      <w:r>
        <w:rPr>
          <w:rFonts w:hint="eastAsia" w:ascii="宋体" w:cs="宋体"/>
          <w:color w:val="auto"/>
          <w:sz w:val="24"/>
          <w:szCs w:val="24"/>
          <w:highlight w:val="none"/>
        </w:rPr>
        <w:t>响应文件中</w:t>
      </w:r>
      <w:r>
        <w:rPr>
          <w:rFonts w:hint="eastAsia" w:ascii="宋体" w:cs="宋体"/>
          <w:b/>
          <w:color w:val="auto"/>
          <w:sz w:val="24"/>
          <w:szCs w:val="24"/>
          <w:highlight w:val="none"/>
        </w:rPr>
        <w:t>必须提供宾馆房间布置图（会议室平面布置图）和停车场平面布置图。</w:t>
      </w:r>
    </w:p>
    <w:p w14:paraId="6A6518E6">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8. </w:t>
      </w:r>
      <w:r>
        <w:rPr>
          <w:rFonts w:hint="eastAsia" w:ascii="宋体" w:cs="宋体"/>
          <w:color w:val="auto"/>
          <w:sz w:val="24"/>
          <w:szCs w:val="24"/>
          <w:highlight w:val="none"/>
        </w:rPr>
        <w:t>付款方式（付费标准）：通过党政机关会议定点场所管理信息系统打印电子结算单，如实开具发票，并提供费用原始明细单据，作为党政机关举办会议的报销凭证。由会议承办单位转账支付、财政直接支付或公务卡结算。</w:t>
      </w:r>
    </w:p>
    <w:p w14:paraId="0C9DFFD1">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9. </w:t>
      </w:r>
      <w:r>
        <w:rPr>
          <w:rFonts w:hint="eastAsia" w:ascii="宋体" w:cs="宋体"/>
          <w:color w:val="auto"/>
          <w:sz w:val="24"/>
          <w:szCs w:val="24"/>
          <w:highlight w:val="none"/>
        </w:rPr>
        <w:t>投诉制度：国家机关及市直行政事业单位有权对定点单位监督投诉。</w:t>
      </w:r>
    </w:p>
    <w:p w14:paraId="36652A3E">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10. </w:t>
      </w:r>
      <w:r>
        <w:rPr>
          <w:rFonts w:hint="eastAsia" w:ascii="宋体" w:cs="宋体"/>
          <w:color w:val="auto"/>
          <w:sz w:val="24"/>
          <w:szCs w:val="24"/>
          <w:highlight w:val="none"/>
        </w:rPr>
        <w:t>应设有固定联系电话及联系人，及时响应采购人各项要求，并按采购人要求免费提供上门服务。</w:t>
      </w:r>
    </w:p>
    <w:p w14:paraId="260313D2">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11. </w:t>
      </w:r>
      <w:r>
        <w:rPr>
          <w:rFonts w:hint="eastAsia" w:ascii="宋体" w:cs="宋体"/>
          <w:color w:val="auto"/>
          <w:sz w:val="24"/>
          <w:szCs w:val="24"/>
          <w:highlight w:val="none"/>
        </w:rPr>
        <w:t>协助有关部门做好对采购方经办人的廉政工作，防止腐败现象的出现。</w:t>
      </w:r>
    </w:p>
    <w:p w14:paraId="2289295B">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12</w:t>
      </w:r>
      <w:r>
        <w:rPr>
          <w:rFonts w:ascii="宋体" w:cs="宋体"/>
          <w:color w:val="auto"/>
          <w:sz w:val="24"/>
          <w:szCs w:val="24"/>
          <w:highlight w:val="none"/>
        </w:rPr>
        <w:t>.</w:t>
      </w:r>
      <w:r>
        <w:rPr>
          <w:rFonts w:hint="eastAsia" w:ascii="宋体" w:cs="宋体"/>
          <w:color w:val="auto"/>
          <w:sz w:val="24"/>
          <w:szCs w:val="24"/>
          <w:highlight w:val="none"/>
        </w:rPr>
        <w:t>会议定点场所有权拒绝党政机关提出的超出协议的服务项目和以下行为：</w:t>
      </w:r>
    </w:p>
    <w:p w14:paraId="61198C0E">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（1）以虚报、冒领手段骗取会议费的；</w:t>
      </w:r>
    </w:p>
    <w:p w14:paraId="63E15630">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（2）虚报会议人数、天数等进行报销的；</w:t>
      </w:r>
    </w:p>
    <w:p w14:paraId="77E755DB">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（3）违规扩大会议费开支范围，擅自提高会议费开支标准的；</w:t>
      </w:r>
    </w:p>
    <w:p w14:paraId="0F127EDD">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（4）违规报销与会议无关费用的；</w:t>
      </w:r>
    </w:p>
    <w:p w14:paraId="571BD4A1">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（5）以培训费名义列支会议费的。</w:t>
      </w:r>
    </w:p>
    <w:p w14:paraId="13D57879">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13.</w:t>
      </w:r>
      <w:r>
        <w:rPr>
          <w:rFonts w:hint="eastAsia"/>
          <w:color w:val="auto"/>
          <w:highlight w:val="none"/>
        </w:rPr>
        <w:t xml:space="preserve"> </w:t>
      </w:r>
      <w:r>
        <w:rPr>
          <w:rFonts w:hint="eastAsia" w:ascii="宋体" w:cs="宋体"/>
          <w:color w:val="auto"/>
          <w:sz w:val="24"/>
          <w:szCs w:val="24"/>
          <w:highlight w:val="none"/>
        </w:rPr>
        <w:t>会议定点场所应及时在管理信息系统注册并上传相关资料。</w:t>
      </w:r>
    </w:p>
    <w:p w14:paraId="27F88AA5">
      <w:pPr>
        <w:widowControl w:val="0"/>
        <w:adjustRightInd w:val="0"/>
        <w:spacing w:line="360" w:lineRule="auto"/>
        <w:ind w:firstLine="361" w:firstLineChars="150"/>
        <w:rPr>
          <w:rFonts w:ascii="宋体" w:cs="宋体"/>
          <w:b/>
          <w:color w:val="auto"/>
          <w:sz w:val="24"/>
          <w:szCs w:val="24"/>
          <w:highlight w:val="none"/>
        </w:rPr>
      </w:pPr>
      <w:r>
        <w:rPr>
          <w:rFonts w:hint="eastAsia" w:ascii="宋体" w:cs="宋体"/>
          <w:b/>
          <w:color w:val="auto"/>
          <w:sz w:val="24"/>
          <w:szCs w:val="24"/>
          <w:highlight w:val="none"/>
        </w:rPr>
        <w:t>二、会议定点场所的变动与调整</w:t>
      </w:r>
    </w:p>
    <w:p w14:paraId="32919A98">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1. </w:t>
      </w:r>
      <w:r>
        <w:rPr>
          <w:rFonts w:hint="eastAsia" w:ascii="宋体" w:cs="宋体"/>
          <w:color w:val="auto"/>
          <w:sz w:val="24"/>
          <w:szCs w:val="24"/>
          <w:highlight w:val="none"/>
        </w:rPr>
        <w:t>会议定点场所在协议期内不得提高协议价格。</w:t>
      </w:r>
    </w:p>
    <w:p w14:paraId="6FDA958C">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2.</w:t>
      </w:r>
      <w:r>
        <w:rPr>
          <w:rFonts w:hint="eastAsia" w:ascii="宋体" w:cs="宋体"/>
          <w:color w:val="auto"/>
          <w:sz w:val="24"/>
          <w:szCs w:val="24"/>
          <w:highlight w:val="none"/>
        </w:rPr>
        <w:t xml:space="preserve"> 会议定点场所在协议期内，由于名称、法人代表等信息发生变动的，由会议定点场所申请，经当地财政部门审核同意后重新注册，并报省级财政部门备案。</w:t>
      </w:r>
    </w:p>
    <w:p w14:paraId="06346EA2">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3.</w:t>
      </w:r>
      <w:r>
        <w:rPr>
          <w:rFonts w:hint="eastAsia" w:ascii="宋体" w:cs="宋体"/>
          <w:color w:val="auto"/>
          <w:sz w:val="24"/>
          <w:szCs w:val="24"/>
          <w:highlight w:val="none"/>
        </w:rPr>
        <w:t>协议期内会议定点场所发生下列情况之一的，由会议定点场所提出书面申请，经签订协议的财政部门审核同意后在党政机关会议定点场所管理系统办理注销：（</w:t>
      </w:r>
      <w:r>
        <w:rPr>
          <w:rFonts w:ascii="宋体" w:cs="宋体"/>
          <w:color w:val="auto"/>
          <w:sz w:val="24"/>
          <w:szCs w:val="24"/>
          <w:highlight w:val="none"/>
        </w:rPr>
        <w:t>1</w:t>
      </w:r>
      <w:r>
        <w:rPr>
          <w:rFonts w:hint="eastAsia" w:ascii="宋体" w:cs="宋体"/>
          <w:color w:val="auto"/>
          <w:sz w:val="24"/>
          <w:szCs w:val="24"/>
          <w:highlight w:val="none"/>
        </w:rPr>
        <w:t>）由于会议定点场所服务功能发生变化，不能满足协议要求的；（</w:t>
      </w:r>
      <w:r>
        <w:rPr>
          <w:rFonts w:ascii="宋体" w:cs="宋体"/>
          <w:color w:val="auto"/>
          <w:sz w:val="24"/>
          <w:szCs w:val="24"/>
          <w:highlight w:val="none"/>
        </w:rPr>
        <w:t>2</w:t>
      </w:r>
      <w:r>
        <w:rPr>
          <w:rFonts w:hint="eastAsia" w:ascii="宋体" w:cs="宋体"/>
          <w:color w:val="auto"/>
          <w:sz w:val="24"/>
          <w:szCs w:val="24"/>
          <w:highlight w:val="none"/>
        </w:rPr>
        <w:t>）由于自然灾害等不可抗力导致会议定点场所无法正常经营的；（</w:t>
      </w:r>
      <w:r>
        <w:rPr>
          <w:rFonts w:ascii="宋体" w:cs="宋体"/>
          <w:color w:val="auto"/>
          <w:sz w:val="24"/>
          <w:szCs w:val="24"/>
          <w:highlight w:val="none"/>
        </w:rPr>
        <w:t>3</w:t>
      </w:r>
      <w:r>
        <w:rPr>
          <w:rFonts w:hint="eastAsia" w:ascii="宋体" w:cs="宋体"/>
          <w:color w:val="auto"/>
          <w:sz w:val="24"/>
          <w:szCs w:val="24"/>
          <w:highlight w:val="none"/>
        </w:rPr>
        <w:t>）由于其他情况导致会议定点场所无法正常经营的。</w:t>
      </w:r>
    </w:p>
    <w:p w14:paraId="13AC17BB">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4.申请退出框架协议的定点场所，不得在同一个框架协议期内再次加入。</w:t>
      </w:r>
    </w:p>
    <w:p w14:paraId="35278390">
      <w:pPr>
        <w:widowControl w:val="0"/>
        <w:adjustRightInd w:val="0"/>
        <w:spacing w:line="360" w:lineRule="auto"/>
        <w:ind w:firstLine="361" w:firstLineChars="150"/>
        <w:rPr>
          <w:rFonts w:ascii="宋体" w:cs="宋体"/>
          <w:b/>
          <w:color w:val="auto"/>
          <w:sz w:val="24"/>
          <w:szCs w:val="24"/>
          <w:highlight w:val="none"/>
        </w:rPr>
      </w:pPr>
      <w:r>
        <w:rPr>
          <w:rFonts w:hint="eastAsia" w:ascii="宋体" w:cs="宋体"/>
          <w:b/>
          <w:color w:val="auto"/>
          <w:sz w:val="24"/>
          <w:szCs w:val="24"/>
          <w:highlight w:val="none"/>
        </w:rPr>
        <w:t>三、用户反馈和评价机制</w:t>
      </w:r>
    </w:p>
    <w:p w14:paraId="76506A35">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1.</w:t>
      </w:r>
      <w:r>
        <w:rPr>
          <w:rFonts w:hint="eastAsia" w:ascii="宋体" w:cs="宋体"/>
          <w:color w:val="auto"/>
          <w:sz w:val="24"/>
          <w:szCs w:val="24"/>
          <w:highlight w:val="none"/>
        </w:rPr>
        <w:t>安阳市会议定点场所应接受政府采购管理部门的各项规定，切实享受各项权利，严格履行协议规定，服务管理应体现统一有序、信息报送应准确及时。</w:t>
      </w:r>
    </w:p>
    <w:p w14:paraId="401BD274">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2.</w:t>
      </w:r>
      <w:r>
        <w:rPr>
          <w:rFonts w:hint="eastAsia" w:ascii="宋体" w:cs="宋体"/>
          <w:color w:val="auto"/>
          <w:sz w:val="24"/>
          <w:szCs w:val="24"/>
          <w:highlight w:val="none"/>
        </w:rPr>
        <w:t>在合同执行期间，入围供应商须接受</w:t>
      </w:r>
      <w:r>
        <w:rPr>
          <w:rFonts w:hint="eastAsia" w:ascii="宋体" w:cs="宋体"/>
          <w:color w:val="auto"/>
          <w:sz w:val="24"/>
          <w:szCs w:val="24"/>
          <w:highlight w:val="none"/>
          <w:lang w:eastAsia="zh-CN"/>
        </w:rPr>
        <w:t>安阳县财政局</w:t>
      </w:r>
      <w:r>
        <w:rPr>
          <w:rFonts w:hint="eastAsia" w:ascii="宋体" w:cs="宋体"/>
          <w:color w:val="auto"/>
          <w:sz w:val="24"/>
          <w:szCs w:val="24"/>
          <w:highlight w:val="none"/>
        </w:rPr>
        <w:t>的监督管理。</w:t>
      </w:r>
    </w:p>
    <w:p w14:paraId="51CC3298">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3.</w:t>
      </w:r>
      <w:r>
        <w:rPr>
          <w:rFonts w:hint="eastAsia" w:ascii="宋体" w:cs="宋体"/>
          <w:color w:val="auto"/>
          <w:sz w:val="24"/>
          <w:szCs w:val="24"/>
          <w:highlight w:val="none"/>
        </w:rPr>
        <w:t>入围供应商不按时报送、发布信息等情况的，或不按照规定报送业务统计信息的，将被通报批评。经通报后仍不按时报送的，将按相关规定予以处罚直至取消会议定点场所资格。</w:t>
      </w:r>
    </w:p>
    <w:p w14:paraId="75CAA219">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4</w:t>
      </w:r>
      <w:r>
        <w:rPr>
          <w:rFonts w:hint="eastAsia" w:ascii="宋体" w:cs="宋体"/>
          <w:color w:val="auto"/>
          <w:sz w:val="24"/>
          <w:szCs w:val="24"/>
          <w:highlight w:val="none"/>
        </w:rPr>
        <w:t>.监督部门如接到用户的投诉或媒体的负面报道，征集人有权对入围供应商进行相应的处罚。</w:t>
      </w:r>
    </w:p>
    <w:p w14:paraId="1CCCCF91">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5.</w:t>
      </w:r>
      <w:r>
        <w:rPr>
          <w:rFonts w:hint="eastAsia" w:ascii="宋体" w:cs="宋体"/>
          <w:color w:val="auto"/>
          <w:sz w:val="24"/>
          <w:szCs w:val="24"/>
          <w:highlight w:val="none"/>
        </w:rPr>
        <w:t>征集人将在服务期内根据入围供应商的服务质量、服务内容等情况为考核依据，对入围供应商进行考核评价。</w:t>
      </w:r>
    </w:p>
    <w:p w14:paraId="4568A7C0">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会议定点场所有以下行为之一的，经调查属实，取消会议定点场所资格。</w:t>
      </w:r>
    </w:p>
    <w:p w14:paraId="799B7C22">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5.1 </w:t>
      </w:r>
      <w:r>
        <w:rPr>
          <w:rFonts w:hint="eastAsia" w:ascii="宋体" w:cs="宋体"/>
          <w:color w:val="auto"/>
          <w:sz w:val="24"/>
          <w:szCs w:val="24"/>
          <w:highlight w:val="none"/>
        </w:rPr>
        <w:t>无正当理由拒绝接待党政机关会议的；</w:t>
      </w:r>
    </w:p>
    <w:p w14:paraId="68EB4BF4">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5.2不履行采购协议义务或者履行采购协议义务不符合约定，经党政机关请求履行后仍不履行或者扔未按约定履行。</w:t>
      </w:r>
    </w:p>
    <w:p w14:paraId="78E82EA9">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5.</w:t>
      </w:r>
      <w:r>
        <w:rPr>
          <w:rFonts w:hint="eastAsia" w:ascii="宋体" w:cs="宋体"/>
          <w:color w:val="auto"/>
          <w:sz w:val="24"/>
          <w:szCs w:val="24"/>
          <w:highlight w:val="none"/>
        </w:rPr>
        <w:t>3</w:t>
      </w:r>
      <w:r>
        <w:rPr>
          <w:rFonts w:ascii="宋体" w:cs="宋体"/>
          <w:color w:val="auto"/>
          <w:sz w:val="24"/>
          <w:szCs w:val="24"/>
          <w:highlight w:val="none"/>
        </w:rPr>
        <w:t xml:space="preserve"> </w:t>
      </w:r>
      <w:r>
        <w:rPr>
          <w:rFonts w:hint="eastAsia" w:ascii="宋体" w:cs="宋体"/>
          <w:color w:val="auto"/>
          <w:sz w:val="24"/>
          <w:szCs w:val="24"/>
          <w:highlight w:val="none"/>
        </w:rPr>
        <w:t>超过协议价格收取费用或采取减少服务项目等降低服务质量的；</w:t>
      </w:r>
    </w:p>
    <w:p w14:paraId="5633BFD1">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5.</w:t>
      </w:r>
      <w:r>
        <w:rPr>
          <w:rFonts w:hint="eastAsia" w:ascii="宋体" w:cs="宋体"/>
          <w:color w:val="auto"/>
          <w:sz w:val="24"/>
          <w:szCs w:val="24"/>
          <w:highlight w:val="none"/>
        </w:rPr>
        <w:t>4</w:t>
      </w:r>
      <w:r>
        <w:rPr>
          <w:rFonts w:ascii="宋体" w:cs="宋体"/>
          <w:color w:val="auto"/>
          <w:sz w:val="24"/>
          <w:szCs w:val="24"/>
          <w:highlight w:val="none"/>
        </w:rPr>
        <w:t xml:space="preserve"> </w:t>
      </w:r>
      <w:r>
        <w:rPr>
          <w:rFonts w:hint="eastAsia" w:ascii="宋体" w:cs="宋体"/>
          <w:color w:val="auto"/>
          <w:sz w:val="24"/>
          <w:szCs w:val="24"/>
          <w:highlight w:val="none"/>
        </w:rPr>
        <w:t>提供虚假凭证或者未按规定提供发票、费用原始明细单据、电子结算单等凭证的；</w:t>
      </w:r>
    </w:p>
    <w:p w14:paraId="11368976">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5.5 </w:t>
      </w:r>
      <w:r>
        <w:rPr>
          <w:rFonts w:hint="eastAsia" w:ascii="宋体" w:cs="宋体"/>
          <w:color w:val="auto"/>
          <w:sz w:val="24"/>
          <w:szCs w:val="24"/>
          <w:highlight w:val="none"/>
        </w:rPr>
        <w:t>不配合、甚至干扰阻挠财政部门正常管理监督工作的；</w:t>
      </w:r>
    </w:p>
    <w:p w14:paraId="12CCDFFE">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5.6 </w:t>
      </w:r>
      <w:r>
        <w:rPr>
          <w:rFonts w:hint="eastAsia" w:ascii="宋体" w:cs="宋体"/>
          <w:color w:val="auto"/>
          <w:sz w:val="24"/>
          <w:szCs w:val="24"/>
          <w:highlight w:val="none"/>
        </w:rPr>
        <w:t>未经批准单方面终止履行协议；</w:t>
      </w:r>
    </w:p>
    <w:p w14:paraId="5CD18FD9">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5.7在采购协议期内，因违法行为被禁止或者限制参加政府采购活动的；</w:t>
      </w:r>
    </w:p>
    <w:p w14:paraId="1877F53A">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5.8采购协议约定的其他情形。</w:t>
      </w:r>
    </w:p>
    <w:p w14:paraId="30F1BCC3">
      <w:pPr>
        <w:widowControl w:val="0"/>
        <w:adjustRightInd w:val="0"/>
        <w:spacing w:line="360" w:lineRule="auto"/>
        <w:ind w:firstLine="360" w:firstLineChars="150"/>
        <w:rPr>
          <w:rFonts w:ascii="宋体" w:cs="宋体"/>
          <w:color w:val="auto"/>
          <w:sz w:val="24"/>
          <w:szCs w:val="24"/>
          <w:highlight w:val="none"/>
        </w:rPr>
      </w:pPr>
      <w:r>
        <w:rPr>
          <w:rFonts w:ascii="宋体" w:cs="宋体"/>
          <w:color w:val="auto"/>
          <w:sz w:val="24"/>
          <w:szCs w:val="24"/>
          <w:highlight w:val="none"/>
        </w:rPr>
        <w:t xml:space="preserve">6. </w:t>
      </w:r>
      <w:r>
        <w:rPr>
          <w:rFonts w:hint="eastAsia" w:ascii="宋体" w:cs="宋体"/>
          <w:color w:val="auto"/>
          <w:sz w:val="24"/>
          <w:szCs w:val="24"/>
          <w:highlight w:val="none"/>
        </w:rPr>
        <w:t>会议定点场所在协议期内未经批准单方面终止履行协议或因违法经营行为受到行政处罚的，根据政府采购法等规定取消其会议定点场所资格，不得在同一框架协议期内再次加入并不得参与下一轮次党政机关会议定点场所政府采购。</w:t>
      </w:r>
    </w:p>
    <w:p w14:paraId="0371D3DB">
      <w:pPr>
        <w:widowControl w:val="0"/>
        <w:adjustRightInd w:val="0"/>
        <w:spacing w:line="360" w:lineRule="auto"/>
        <w:ind w:firstLine="361" w:firstLineChars="150"/>
        <w:rPr>
          <w:rFonts w:ascii="宋体" w:cs="宋体"/>
          <w:b/>
          <w:color w:val="auto"/>
          <w:sz w:val="24"/>
          <w:szCs w:val="24"/>
          <w:highlight w:val="none"/>
        </w:rPr>
      </w:pPr>
      <w:r>
        <w:rPr>
          <w:rFonts w:hint="eastAsia" w:ascii="宋体" w:cs="宋体"/>
          <w:b/>
          <w:color w:val="auto"/>
          <w:sz w:val="24"/>
          <w:szCs w:val="24"/>
          <w:highlight w:val="none"/>
        </w:rPr>
        <w:t>注：征集人将在入围供应商签订合同后按相关规定成立验收工作组，对入围供应商进行验收。着重检查入围供应商的实际情况是否和其响应文件相符。如无法通过验收，征集人将有权取消其会议定点场所资格并按相关规定做出处罚。</w:t>
      </w:r>
    </w:p>
    <w:p w14:paraId="4DE544FC">
      <w:pPr>
        <w:pStyle w:val="2"/>
        <w:spacing w:before="156" w:beforeAutospacing="0" w:after="0" w:afterAutospacing="0" w:line="360" w:lineRule="auto"/>
        <w:ind w:firstLine="482" w:firstLineChars="200"/>
        <w:jc w:val="both"/>
        <w:rPr>
          <w:color w:val="auto"/>
          <w:highlight w:val="none"/>
          <w:shd w:val="clear" w:color="auto" w:fill="FFFFFF"/>
        </w:rPr>
      </w:pPr>
      <w:r>
        <w:rPr>
          <w:rFonts w:hint="eastAsia"/>
          <w:b/>
          <w:color w:val="auto"/>
          <w:highlight w:val="none"/>
          <w:shd w:val="clear" w:color="auto" w:fill="FFFFFF"/>
        </w:rPr>
        <w:t>四、入围供应商的清退和补充规则</w:t>
      </w:r>
      <w:r>
        <w:rPr>
          <w:rFonts w:hint="eastAsia"/>
          <w:color w:val="auto"/>
          <w:highlight w:val="none"/>
          <w:shd w:val="clear" w:color="auto" w:fill="FFFFFF"/>
        </w:rPr>
        <w:t>；</w:t>
      </w:r>
    </w:p>
    <w:p w14:paraId="58CB064D">
      <w:pPr>
        <w:pStyle w:val="2"/>
        <w:spacing w:before="156" w:beforeAutospacing="0" w:after="0" w:afterAutospacing="0" w:line="360" w:lineRule="auto"/>
        <w:ind w:firstLine="482"/>
        <w:jc w:val="both"/>
        <w:rPr>
          <w:color w:val="auto"/>
          <w:highlight w:val="none"/>
        </w:rPr>
      </w:pPr>
      <w:r>
        <w:rPr>
          <w:rFonts w:hint="eastAsia"/>
          <w:color w:val="auto"/>
          <w:highlight w:val="none"/>
        </w:rPr>
        <w:t>清退：入围供应商有下列情形之一，尚未签订框架协议的，取消其入围资格；已经签订框架协议的，解除与其签订的框架协议： </w:t>
      </w:r>
    </w:p>
    <w:p w14:paraId="21E71509">
      <w:pPr>
        <w:pStyle w:val="2"/>
        <w:spacing w:before="156" w:beforeAutospacing="0" w:after="0" w:afterAutospacing="0" w:line="360" w:lineRule="auto"/>
        <w:ind w:firstLine="482"/>
        <w:jc w:val="both"/>
        <w:rPr>
          <w:color w:val="auto"/>
          <w:highlight w:val="none"/>
        </w:rPr>
      </w:pPr>
      <w:r>
        <w:rPr>
          <w:rFonts w:hint="eastAsia"/>
          <w:color w:val="auto"/>
          <w:highlight w:val="none"/>
        </w:rPr>
        <w:t>1.恶意串通谋取入围或者合同成交的； </w:t>
      </w:r>
    </w:p>
    <w:p w14:paraId="7415B653">
      <w:pPr>
        <w:pStyle w:val="2"/>
        <w:spacing w:before="156" w:beforeAutospacing="0" w:after="0" w:afterAutospacing="0" w:line="360" w:lineRule="auto"/>
        <w:ind w:firstLine="482"/>
        <w:jc w:val="both"/>
        <w:rPr>
          <w:color w:val="auto"/>
          <w:highlight w:val="none"/>
        </w:rPr>
      </w:pPr>
      <w:r>
        <w:rPr>
          <w:rFonts w:hint="eastAsia"/>
          <w:color w:val="auto"/>
          <w:highlight w:val="none"/>
        </w:rPr>
        <w:t>2.提供虚假材料谋取入围或者合同成交的； </w:t>
      </w:r>
    </w:p>
    <w:p w14:paraId="3CBA7D7C">
      <w:pPr>
        <w:pStyle w:val="2"/>
        <w:spacing w:before="156" w:beforeAutospacing="0" w:after="0" w:afterAutospacing="0" w:line="360" w:lineRule="auto"/>
        <w:ind w:firstLine="482"/>
        <w:jc w:val="both"/>
        <w:rPr>
          <w:color w:val="auto"/>
          <w:highlight w:val="none"/>
        </w:rPr>
      </w:pPr>
      <w:r>
        <w:rPr>
          <w:rFonts w:hint="eastAsia"/>
          <w:color w:val="auto"/>
          <w:highlight w:val="none"/>
        </w:rPr>
        <w:t>3.无正当理由拒不接受合同授予的； </w:t>
      </w:r>
    </w:p>
    <w:p w14:paraId="7E493054">
      <w:pPr>
        <w:pStyle w:val="2"/>
        <w:spacing w:before="156" w:beforeAutospacing="0" w:after="0" w:afterAutospacing="0" w:line="360" w:lineRule="auto"/>
        <w:ind w:firstLine="482"/>
        <w:jc w:val="both"/>
        <w:rPr>
          <w:color w:val="auto"/>
          <w:highlight w:val="none"/>
        </w:rPr>
      </w:pPr>
      <w:r>
        <w:rPr>
          <w:rFonts w:hint="eastAsia"/>
          <w:color w:val="auto"/>
          <w:highlight w:val="none"/>
        </w:rPr>
        <w:t>4.不履行合同义务或者履行合同义务不符合约定，经采购人请求履行后仍不履行或者仍未按约定履行的； </w:t>
      </w:r>
    </w:p>
    <w:p w14:paraId="20C28A9C">
      <w:pPr>
        <w:pStyle w:val="2"/>
        <w:spacing w:before="156" w:beforeAutospacing="0" w:after="0" w:afterAutospacing="0" w:line="360" w:lineRule="auto"/>
        <w:ind w:firstLine="482"/>
        <w:jc w:val="both"/>
        <w:rPr>
          <w:color w:val="auto"/>
          <w:highlight w:val="none"/>
        </w:rPr>
      </w:pPr>
      <w:r>
        <w:rPr>
          <w:rFonts w:hint="eastAsia"/>
          <w:color w:val="auto"/>
          <w:highlight w:val="none"/>
        </w:rPr>
        <w:t>5.框架协议有效期内，因违法行为被禁止或限制参加政府采购活动的； </w:t>
      </w:r>
    </w:p>
    <w:p w14:paraId="3C9366A9">
      <w:pPr>
        <w:pStyle w:val="2"/>
        <w:spacing w:before="156" w:beforeAutospacing="0" w:after="0" w:afterAutospacing="0" w:line="360" w:lineRule="auto"/>
        <w:ind w:firstLine="482"/>
        <w:jc w:val="both"/>
        <w:rPr>
          <w:color w:val="auto"/>
          <w:highlight w:val="none"/>
        </w:rPr>
      </w:pPr>
      <w:r>
        <w:rPr>
          <w:rFonts w:hint="eastAsia"/>
          <w:color w:val="auto"/>
          <w:highlight w:val="none"/>
        </w:rPr>
        <w:t>6</w:t>
      </w:r>
      <w:r>
        <w:rPr>
          <w:color w:val="auto"/>
          <w:highlight w:val="none"/>
        </w:rPr>
        <w:t>.</w:t>
      </w:r>
      <w:r>
        <w:rPr>
          <w:rFonts w:hint="eastAsia"/>
          <w:color w:val="auto"/>
          <w:highlight w:val="none"/>
        </w:rPr>
        <w:t>框架协议约定的其他情形。</w:t>
      </w:r>
    </w:p>
    <w:p w14:paraId="2CA14962">
      <w:pPr>
        <w:widowControl w:val="0"/>
        <w:adjustRightInd w:val="0"/>
        <w:spacing w:line="360" w:lineRule="auto"/>
        <w:ind w:firstLine="360" w:firstLineChars="150"/>
        <w:rPr>
          <w:rFonts w:ascii="宋体" w:cs="宋体"/>
          <w:color w:val="auto"/>
          <w:sz w:val="24"/>
          <w:szCs w:val="24"/>
          <w:highlight w:val="none"/>
        </w:rPr>
      </w:pPr>
      <w:r>
        <w:rPr>
          <w:rFonts w:hint="eastAsia" w:ascii="宋体" w:cs="宋体"/>
          <w:color w:val="auto"/>
          <w:sz w:val="24"/>
          <w:szCs w:val="24"/>
          <w:highlight w:val="none"/>
        </w:rPr>
        <w:t>　被取消入围资格或者被解除框架协议的供应商不得参加同一封闭式框架协议补充征集，或者重新申请加入同一开放式框架协议 </w:t>
      </w:r>
    </w:p>
    <w:p w14:paraId="18FE70C6">
      <w:pPr>
        <w:pStyle w:val="2"/>
        <w:spacing w:before="156" w:beforeAutospacing="0" w:after="0" w:afterAutospacing="0" w:line="360" w:lineRule="auto"/>
        <w:ind w:firstLine="482"/>
        <w:jc w:val="both"/>
        <w:rPr>
          <w:color w:val="auto"/>
          <w:highlight w:val="none"/>
        </w:rPr>
      </w:pPr>
      <w:r>
        <w:rPr>
          <w:rFonts w:hint="eastAsia"/>
          <w:color w:val="auto"/>
          <w:highlight w:val="none"/>
        </w:rPr>
        <w:t>补充：愿意接受征集公告要求及协议条件的供应商按征集人规定的周期，可随时申请加入的框架协议采购。</w:t>
      </w:r>
    </w:p>
    <w:p w14:paraId="2B529E8F">
      <w:pPr>
        <w:pStyle w:val="2"/>
        <w:spacing w:before="156" w:beforeAutospacing="0" w:after="0" w:afterAutospacing="0" w:line="360" w:lineRule="auto"/>
        <w:ind w:firstLine="482"/>
        <w:jc w:val="both"/>
        <w:rPr>
          <w:color w:val="auto"/>
          <w:highlight w:val="none"/>
          <w:shd w:val="clear" w:color="auto" w:fill="FFFFFF"/>
        </w:rPr>
      </w:pPr>
      <w:r>
        <w:rPr>
          <w:rFonts w:hint="eastAsia"/>
          <w:color w:val="auto"/>
          <w:highlight w:val="none"/>
        </w:rPr>
        <w:t>五、</w:t>
      </w:r>
      <w:r>
        <w:rPr>
          <w:rFonts w:hint="eastAsia"/>
          <w:color w:val="auto"/>
          <w:highlight w:val="none"/>
          <w:shd w:val="clear" w:color="auto" w:fill="FFFFFF"/>
        </w:rPr>
        <w:t>第二阶段成交供应商由采购人或者服务对象从第一阶段入围供应商中直接选定（</w:t>
      </w:r>
      <w:r>
        <w:rPr>
          <w:rFonts w:hint="eastAsia"/>
          <w:color w:val="auto"/>
          <w:highlight w:val="none"/>
          <w:lang w:val="en-US" w:eastAsia="zh-CN"/>
        </w:rPr>
        <w:t>县</w:t>
      </w:r>
      <w:r>
        <w:rPr>
          <w:rFonts w:hint="eastAsia"/>
          <w:color w:val="auto"/>
          <w:highlight w:val="none"/>
        </w:rPr>
        <w:t>级党政机关举办会议共同使用于“党政机关举办会议定点场所管理信息系统”中自主选定</w:t>
      </w:r>
      <w:r>
        <w:rPr>
          <w:rFonts w:hint="eastAsia"/>
          <w:color w:val="auto"/>
          <w:highlight w:val="none"/>
          <w:shd w:val="clear" w:color="auto" w:fill="FFFFFF"/>
        </w:rPr>
        <w:t>）。 </w:t>
      </w:r>
    </w:p>
    <w:p w14:paraId="505D77DD">
      <w:pPr>
        <w:pStyle w:val="2"/>
        <w:spacing w:before="156" w:beforeAutospacing="0" w:after="0" w:afterAutospacing="0" w:line="360" w:lineRule="auto"/>
        <w:ind w:firstLine="482"/>
        <w:jc w:val="both"/>
        <w:rPr>
          <w:color w:val="auto"/>
          <w:highlight w:val="none"/>
        </w:rPr>
      </w:pPr>
    </w:p>
    <w:p w14:paraId="2D8AB33B">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5</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安</w:t>
      </w:r>
      <w:r>
        <w:rPr>
          <w:rFonts w:ascii="黑体" w:hAnsi="黑体" w:eastAsia="黑体"/>
          <w:b/>
          <w:color w:val="auto"/>
          <w:sz w:val="24"/>
          <w:szCs w:val="24"/>
          <w:highlight w:val="none"/>
        </w:rPr>
        <w:t>全</w:t>
      </w:r>
    </w:p>
    <w:p w14:paraId="50AEF5A5">
      <w:pPr>
        <w:widowControl w:val="0"/>
        <w:adjustRightInd w:val="0"/>
        <w:snapToGrid w:val="0"/>
        <w:spacing w:before="156" w:beforeLines="50" w:line="300" w:lineRule="auto"/>
        <w:ind w:left="22" w:firstLine="482"/>
        <w:jc w:val="left"/>
        <w:rPr>
          <w:color w:val="auto"/>
          <w:sz w:val="24"/>
          <w:szCs w:val="24"/>
          <w:highlight w:val="none"/>
        </w:rPr>
      </w:pPr>
      <w:r>
        <w:rPr>
          <w:rFonts w:hint="eastAsia"/>
          <w:color w:val="auto"/>
          <w:sz w:val="24"/>
          <w:szCs w:val="24"/>
          <w:highlight w:val="none"/>
        </w:rPr>
        <w:t>投标服务（及所涉货物材料设施）应符合国家、行业的各</w:t>
      </w:r>
      <w:r>
        <w:rPr>
          <w:color w:val="auto"/>
          <w:sz w:val="24"/>
          <w:szCs w:val="24"/>
          <w:highlight w:val="none"/>
        </w:rPr>
        <w:t>项</w:t>
      </w:r>
      <w:r>
        <w:rPr>
          <w:rFonts w:hint="eastAsia"/>
          <w:color w:val="auto"/>
          <w:sz w:val="24"/>
          <w:szCs w:val="24"/>
          <w:highlight w:val="none"/>
        </w:rPr>
        <w:t>安全标准，供应商</w:t>
      </w:r>
      <w:r>
        <w:rPr>
          <w:color w:val="auto"/>
          <w:sz w:val="24"/>
          <w:szCs w:val="24"/>
          <w:highlight w:val="none"/>
        </w:rPr>
        <w:t>对</w:t>
      </w:r>
      <w:r>
        <w:rPr>
          <w:rFonts w:hint="eastAsia"/>
          <w:color w:val="auto"/>
          <w:sz w:val="24"/>
          <w:szCs w:val="24"/>
          <w:highlight w:val="none"/>
        </w:rPr>
        <w:t>投标服务（及所涉货物材料设施）的</w:t>
      </w:r>
      <w:r>
        <w:rPr>
          <w:color w:val="auto"/>
          <w:sz w:val="24"/>
          <w:szCs w:val="24"/>
          <w:highlight w:val="none"/>
        </w:rPr>
        <w:t>安全性承担全部责任。</w:t>
      </w:r>
      <w:r>
        <w:rPr>
          <w:rFonts w:hint="eastAsia"/>
          <w:color w:val="auto"/>
          <w:sz w:val="24"/>
          <w:szCs w:val="24"/>
          <w:highlight w:val="none"/>
        </w:rPr>
        <w:t>服务期内不符合保障人身、财产安全的国家标准、行业标准的服务（及所涉货物材料设施），将</w:t>
      </w:r>
      <w:r>
        <w:rPr>
          <w:color w:val="auto"/>
          <w:sz w:val="24"/>
          <w:szCs w:val="24"/>
          <w:highlight w:val="none"/>
        </w:rPr>
        <w:t>依法承担民事及相应刑事责任</w:t>
      </w:r>
      <w:r>
        <w:rPr>
          <w:rFonts w:hint="eastAsia"/>
          <w:color w:val="auto"/>
          <w:sz w:val="24"/>
          <w:szCs w:val="24"/>
          <w:highlight w:val="none"/>
        </w:rPr>
        <w:t>。合</w:t>
      </w:r>
      <w:r>
        <w:rPr>
          <w:color w:val="auto"/>
          <w:sz w:val="24"/>
          <w:szCs w:val="24"/>
          <w:highlight w:val="none"/>
        </w:rPr>
        <w:t>同履行中的安全责任由入围供应商承担全部责任。</w:t>
      </w:r>
    </w:p>
    <w:p w14:paraId="749C987D">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6</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响应文件对“具体服务（技术）要求”的</w:t>
      </w:r>
      <w:r>
        <w:rPr>
          <w:rFonts w:ascii="黑体" w:hAnsi="黑体" w:eastAsia="黑体"/>
          <w:b/>
          <w:color w:val="auto"/>
          <w:sz w:val="24"/>
          <w:szCs w:val="24"/>
          <w:highlight w:val="none"/>
        </w:rPr>
        <w:t>响应</w:t>
      </w:r>
    </w:p>
    <w:p w14:paraId="6603D0A8">
      <w:pPr>
        <w:widowControl w:val="0"/>
        <w:adjustRightInd w:val="0"/>
        <w:snapToGrid w:val="0"/>
        <w:spacing w:before="156" w:beforeLines="50" w:line="300" w:lineRule="auto"/>
        <w:ind w:left="22" w:firstLine="482"/>
        <w:jc w:val="left"/>
        <w:rPr>
          <w:color w:val="auto"/>
          <w:sz w:val="24"/>
          <w:szCs w:val="24"/>
          <w:highlight w:val="none"/>
        </w:rPr>
      </w:pPr>
      <w:r>
        <w:rPr>
          <w:rFonts w:hint="eastAsia"/>
          <w:color w:val="auto"/>
          <w:sz w:val="24"/>
          <w:szCs w:val="24"/>
          <w:highlight w:val="none"/>
        </w:rPr>
        <w:t>“</w:t>
      </w:r>
      <w:r>
        <w:rPr>
          <w:rFonts w:ascii="宋体" w:hAnsi="宋体"/>
          <w:color w:val="auto"/>
          <w:sz w:val="24"/>
          <w:szCs w:val="24"/>
          <w:highlight w:val="none"/>
        </w:rPr>
        <w:t>2.4</w:t>
      </w:r>
      <w:r>
        <w:rPr>
          <w:rFonts w:hint="eastAsia" w:ascii="宋体" w:hAnsi="宋体"/>
          <w:color w:val="auto"/>
          <w:sz w:val="24"/>
          <w:szCs w:val="24"/>
          <w:highlight w:val="none"/>
        </w:rPr>
        <w:t>标段（包）内容（具体范围、数量），具体服务（技术）要求</w:t>
      </w:r>
      <w:r>
        <w:rPr>
          <w:rFonts w:hint="eastAsia"/>
          <w:color w:val="auto"/>
          <w:sz w:val="24"/>
          <w:szCs w:val="24"/>
          <w:highlight w:val="none"/>
        </w:rPr>
        <w:t>”为采购</w:t>
      </w:r>
      <w:r>
        <w:rPr>
          <w:color w:val="auto"/>
          <w:sz w:val="24"/>
          <w:szCs w:val="24"/>
          <w:highlight w:val="none"/>
        </w:rPr>
        <w:t>需求的</w:t>
      </w:r>
      <w:r>
        <w:rPr>
          <w:rFonts w:hint="eastAsia"/>
          <w:color w:val="auto"/>
          <w:sz w:val="24"/>
          <w:szCs w:val="24"/>
          <w:highlight w:val="none"/>
        </w:rPr>
        <w:t>基础</w:t>
      </w:r>
      <w:r>
        <w:rPr>
          <w:color w:val="auto"/>
          <w:sz w:val="24"/>
          <w:szCs w:val="24"/>
          <w:highlight w:val="none"/>
        </w:rPr>
        <w:t>性</w:t>
      </w:r>
      <w:r>
        <w:rPr>
          <w:rFonts w:hint="eastAsia"/>
          <w:color w:val="auto"/>
          <w:sz w:val="24"/>
          <w:szCs w:val="24"/>
          <w:highlight w:val="none"/>
        </w:rPr>
        <w:t>要求，服务内容</w:t>
      </w:r>
      <w:r>
        <w:rPr>
          <w:color w:val="auto"/>
          <w:sz w:val="24"/>
          <w:szCs w:val="24"/>
          <w:highlight w:val="none"/>
        </w:rPr>
        <w:t>应当明确</w:t>
      </w:r>
      <w:r>
        <w:rPr>
          <w:rFonts w:hint="eastAsia"/>
          <w:color w:val="auto"/>
          <w:sz w:val="24"/>
          <w:szCs w:val="24"/>
          <w:highlight w:val="none"/>
        </w:rPr>
        <w:t>，服务所涉产品及技术参数应当明确并最</w:t>
      </w:r>
      <w:r>
        <w:rPr>
          <w:color w:val="auto"/>
          <w:sz w:val="24"/>
          <w:szCs w:val="24"/>
          <w:highlight w:val="none"/>
        </w:rPr>
        <w:t>终指向具体明确的产</w:t>
      </w:r>
      <w:r>
        <w:rPr>
          <w:rFonts w:hint="eastAsia"/>
          <w:color w:val="auto"/>
          <w:sz w:val="24"/>
          <w:szCs w:val="24"/>
          <w:highlight w:val="none"/>
        </w:rPr>
        <w:t>品。响应文件技术参数抄袭征集文件“</w:t>
      </w:r>
      <w:r>
        <w:rPr>
          <w:rFonts w:hint="eastAsia" w:ascii="宋体" w:hAnsi="宋体"/>
          <w:color w:val="auto"/>
          <w:sz w:val="24"/>
          <w:szCs w:val="24"/>
          <w:highlight w:val="none"/>
        </w:rPr>
        <w:t>具体服务（技术）要求</w:t>
      </w:r>
      <w:r>
        <w:rPr>
          <w:rFonts w:hint="eastAsia"/>
          <w:color w:val="auto"/>
          <w:sz w:val="24"/>
          <w:szCs w:val="24"/>
          <w:highlight w:val="none"/>
        </w:rPr>
        <w:t>”，投</w:t>
      </w:r>
      <w:r>
        <w:rPr>
          <w:color w:val="auto"/>
          <w:sz w:val="24"/>
          <w:szCs w:val="24"/>
          <w:highlight w:val="none"/>
        </w:rPr>
        <w:t>标产品</w:t>
      </w:r>
      <w:r>
        <w:rPr>
          <w:rFonts w:hint="eastAsia"/>
          <w:color w:val="auto"/>
          <w:sz w:val="24"/>
          <w:szCs w:val="24"/>
          <w:highlight w:val="none"/>
        </w:rPr>
        <w:t>不</w:t>
      </w:r>
      <w:r>
        <w:rPr>
          <w:color w:val="auto"/>
          <w:sz w:val="24"/>
          <w:szCs w:val="24"/>
          <w:highlight w:val="none"/>
        </w:rPr>
        <w:t>明确</w:t>
      </w:r>
      <w:r>
        <w:rPr>
          <w:rFonts w:hint="eastAsia"/>
          <w:color w:val="auto"/>
          <w:sz w:val="24"/>
          <w:szCs w:val="24"/>
          <w:highlight w:val="none"/>
        </w:rPr>
        <w:t>的</w:t>
      </w:r>
      <w:r>
        <w:rPr>
          <w:color w:val="auto"/>
          <w:sz w:val="24"/>
          <w:szCs w:val="24"/>
          <w:highlight w:val="none"/>
        </w:rPr>
        <w:t>、或</w:t>
      </w:r>
      <w:r>
        <w:rPr>
          <w:rFonts w:hint="eastAsia"/>
          <w:color w:val="auto"/>
          <w:sz w:val="24"/>
          <w:szCs w:val="24"/>
          <w:highlight w:val="none"/>
        </w:rPr>
        <w:t>与投</w:t>
      </w:r>
      <w:r>
        <w:rPr>
          <w:color w:val="auto"/>
          <w:sz w:val="24"/>
          <w:szCs w:val="24"/>
          <w:highlight w:val="none"/>
        </w:rPr>
        <w:t>标产品</w:t>
      </w:r>
      <w:r>
        <w:rPr>
          <w:rFonts w:hint="eastAsia"/>
          <w:color w:val="auto"/>
          <w:sz w:val="24"/>
          <w:szCs w:val="24"/>
          <w:highlight w:val="none"/>
        </w:rPr>
        <w:t>不</w:t>
      </w:r>
      <w:r>
        <w:rPr>
          <w:color w:val="auto"/>
          <w:sz w:val="24"/>
          <w:szCs w:val="24"/>
          <w:highlight w:val="none"/>
        </w:rPr>
        <w:t>一致</w:t>
      </w:r>
      <w:r>
        <w:rPr>
          <w:rFonts w:hint="eastAsia"/>
          <w:color w:val="auto"/>
          <w:sz w:val="24"/>
          <w:szCs w:val="24"/>
          <w:highlight w:val="none"/>
        </w:rPr>
        <w:t>的</w:t>
      </w:r>
      <w:r>
        <w:rPr>
          <w:color w:val="auto"/>
          <w:sz w:val="24"/>
          <w:szCs w:val="24"/>
          <w:highlight w:val="none"/>
        </w:rPr>
        <w:t>，</w:t>
      </w:r>
      <w:r>
        <w:rPr>
          <w:rFonts w:hint="eastAsia"/>
          <w:color w:val="auto"/>
          <w:sz w:val="24"/>
          <w:szCs w:val="24"/>
          <w:highlight w:val="none"/>
        </w:rPr>
        <w:t>评标委员会有权按照实质性判断原则评定其为无效投标。</w:t>
      </w:r>
    </w:p>
    <w:p w14:paraId="605A746E">
      <w:pPr>
        <w:adjustRightInd w:val="0"/>
        <w:snapToGrid w:val="0"/>
        <w:spacing w:before="156" w:beforeLines="50" w:line="300" w:lineRule="auto"/>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7技术偏离</w:t>
      </w:r>
    </w:p>
    <w:p w14:paraId="7EC9F1DD">
      <w:pPr>
        <w:widowControl w:val="0"/>
        <w:adjustRightInd w:val="0"/>
        <w:snapToGrid w:val="0"/>
        <w:spacing w:before="156" w:beforeLines="50" w:line="300" w:lineRule="auto"/>
        <w:ind w:firstLine="482"/>
        <w:rPr>
          <w:rFonts w:ascii="宋体" w:hAnsi="宋体"/>
          <w:color w:val="auto"/>
          <w:sz w:val="24"/>
          <w:szCs w:val="24"/>
          <w:highlight w:val="none"/>
        </w:rPr>
      </w:pPr>
      <w:r>
        <w:rPr>
          <w:color w:val="auto"/>
          <w:sz w:val="24"/>
          <w:szCs w:val="24"/>
          <w:highlight w:val="none"/>
        </w:rPr>
        <w:t>2.7.</w:t>
      </w:r>
      <w:r>
        <w:rPr>
          <w:rFonts w:hint="eastAsia"/>
          <w:color w:val="auto"/>
          <w:sz w:val="24"/>
          <w:szCs w:val="24"/>
          <w:highlight w:val="none"/>
        </w:rPr>
        <w:t>1服务所涉货物材料设施的</w:t>
      </w:r>
      <w:r>
        <w:rPr>
          <w:rFonts w:hint="eastAsia" w:ascii="黑体" w:hAnsi="黑体" w:eastAsia="黑体"/>
          <w:b/>
          <w:color w:val="auto"/>
          <w:sz w:val="24"/>
          <w:szCs w:val="24"/>
          <w:highlight w:val="none"/>
        </w:rPr>
        <w:t>不接受负偏差，低于“具体服务（技术）要求”的、为无效投标。</w:t>
      </w:r>
    </w:p>
    <w:p w14:paraId="270D1002">
      <w:pPr>
        <w:widowControl w:val="0"/>
        <w:adjustRightInd w:val="0"/>
        <w:snapToGrid w:val="0"/>
        <w:spacing w:before="156" w:beforeLines="50" w:line="300" w:lineRule="auto"/>
        <w:ind w:left="22" w:firstLine="482"/>
        <w:jc w:val="left"/>
        <w:rPr>
          <w:color w:val="auto"/>
          <w:sz w:val="24"/>
          <w:szCs w:val="24"/>
          <w:highlight w:val="none"/>
        </w:rPr>
      </w:pPr>
      <w:r>
        <w:rPr>
          <w:color w:val="auto"/>
          <w:sz w:val="24"/>
          <w:szCs w:val="24"/>
          <w:highlight w:val="none"/>
        </w:rPr>
        <w:t>2.</w:t>
      </w:r>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2 除服务所涉货物材料设施的</w:t>
      </w:r>
      <w:r>
        <w:rPr>
          <w:rFonts w:hint="eastAsia" w:ascii="黑体" w:hAnsi="黑体" w:eastAsia="黑体"/>
          <w:b/>
          <w:color w:val="auto"/>
          <w:sz w:val="24"/>
          <w:szCs w:val="24"/>
          <w:highlight w:val="none"/>
        </w:rPr>
        <w:t>技术偏离外，其他内容不接受负偏差。</w:t>
      </w:r>
    </w:p>
    <w:p w14:paraId="65076A85">
      <w:pPr>
        <w:widowControl w:val="0"/>
        <w:adjustRightInd w:val="0"/>
        <w:snapToGrid w:val="0"/>
        <w:spacing w:before="156" w:beforeLines="50" w:line="300" w:lineRule="auto"/>
        <w:ind w:left="22" w:firstLine="482"/>
        <w:jc w:val="left"/>
        <w:rPr>
          <w:color w:val="auto"/>
          <w:sz w:val="24"/>
          <w:szCs w:val="24"/>
          <w:highlight w:val="none"/>
        </w:rPr>
      </w:pPr>
      <w:r>
        <w:rPr>
          <w:color w:val="auto"/>
          <w:sz w:val="24"/>
          <w:szCs w:val="24"/>
          <w:highlight w:val="none"/>
        </w:rPr>
        <w:t>2.</w:t>
      </w:r>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3 响应文件对技术偏差的描述要求：见第三章供应商须知</w:t>
      </w:r>
      <w:r>
        <w:rPr>
          <w:color w:val="auto"/>
          <w:sz w:val="24"/>
          <w:szCs w:val="24"/>
          <w:highlight w:val="none"/>
        </w:rPr>
        <w:t>3.7.3</w:t>
      </w:r>
      <w:r>
        <w:rPr>
          <w:rFonts w:hint="eastAsia"/>
          <w:color w:val="auto"/>
          <w:sz w:val="24"/>
          <w:szCs w:val="24"/>
          <w:highlight w:val="none"/>
        </w:rPr>
        <w:t>项。</w:t>
      </w:r>
    </w:p>
    <w:p w14:paraId="313AFB24">
      <w:pPr>
        <w:adjustRightInd w:val="0"/>
        <w:snapToGrid w:val="0"/>
        <w:spacing w:line="300" w:lineRule="auto"/>
        <w:ind w:firstLine="566" w:firstLineChars="235"/>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8</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合同履行期限后、服务项目所涉货物的售后服务</w:t>
      </w:r>
    </w:p>
    <w:p w14:paraId="3A63D968">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无特殊要求，服务要求中已作要求的从其要求。</w:t>
      </w:r>
    </w:p>
    <w:p w14:paraId="2A8FDBE2">
      <w:pPr>
        <w:adjustRightInd w:val="0"/>
        <w:snapToGrid w:val="0"/>
        <w:spacing w:line="300" w:lineRule="auto"/>
        <w:ind w:firstLine="566" w:firstLineChars="235"/>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9保险、所涉货物包装</w:t>
      </w:r>
    </w:p>
    <w:p w14:paraId="7BD9738E">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2.9.1保险（如需）：</w:t>
      </w:r>
    </w:p>
    <w:p w14:paraId="22E7658E">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供应商应遵循国家相关保险的规定，依照法规规定，根据项目属性需要，办理货物设施等的财产保险、危险作业人员的工伤和意外伤害保险、设计和工程保险、第三方责任险，相关保险费用及相应责任由入围供应商承担。</w:t>
      </w:r>
    </w:p>
    <w:p w14:paraId="7A33E479">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2.9.2所涉货物包装：</w:t>
      </w:r>
    </w:p>
    <w:p w14:paraId="18CCE217">
      <w:pPr>
        <w:adjustRightInd w:val="0"/>
        <w:snapToGrid w:val="0"/>
        <w:spacing w:line="300" w:lineRule="auto"/>
        <w:ind w:firstLine="564" w:firstLineChars="235"/>
        <w:jc w:val="left"/>
        <w:rPr>
          <w:color w:val="auto"/>
          <w:sz w:val="24"/>
          <w:szCs w:val="24"/>
          <w:highlight w:val="none"/>
        </w:rPr>
      </w:pPr>
      <w:r>
        <w:rPr>
          <w:rFonts w:hint="eastAsia"/>
          <w:color w:val="auto"/>
          <w:sz w:val="24"/>
          <w:szCs w:val="24"/>
          <w:highlight w:val="none"/>
        </w:rPr>
        <w:t>入围供应商负责按国家相关标准进行货物包装，设备的包装均应有良好的防湿、防锈、防潮、防雨、防腐及防碰撞的措施，凡由于包装不良造成的损失和由此产生的费用均由入围供应商承担。</w:t>
      </w:r>
    </w:p>
    <w:p w14:paraId="3B8B919A">
      <w:pPr>
        <w:adjustRightInd w:val="0"/>
        <w:snapToGrid w:val="0"/>
        <w:spacing w:line="300" w:lineRule="auto"/>
        <w:ind w:firstLine="566" w:firstLineChars="235"/>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10</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采购标的的验收标准</w:t>
      </w:r>
    </w:p>
    <w:p w14:paraId="79D65B66">
      <w:pPr>
        <w:adjustRightInd w:val="0"/>
        <w:snapToGrid w:val="0"/>
        <w:spacing w:line="300" w:lineRule="auto"/>
        <w:ind w:firstLine="564" w:firstLineChars="235"/>
        <w:jc w:val="left"/>
        <w:rPr>
          <w:rFonts w:ascii="宋体" w:hAnsi="宋体" w:cs="楷体_GB2312"/>
          <w:color w:val="auto"/>
          <w:sz w:val="24"/>
          <w:highlight w:val="none"/>
          <w:lang w:val="zh-CN"/>
        </w:rPr>
      </w:pPr>
      <w:r>
        <w:rPr>
          <w:rFonts w:hint="eastAsia" w:ascii="宋体" w:hAnsi="宋体" w:cs="楷体_GB2312"/>
          <w:color w:val="auto"/>
          <w:sz w:val="24"/>
          <w:highlight w:val="none"/>
          <w:lang w:val="zh-CN"/>
        </w:rPr>
        <w:t>见“第三章</w:t>
      </w:r>
      <w:r>
        <w:rPr>
          <w:rFonts w:ascii="宋体" w:hAnsi="宋体" w:cs="楷体_GB2312"/>
          <w:color w:val="auto"/>
          <w:sz w:val="24"/>
          <w:highlight w:val="none"/>
          <w:lang w:val="zh-CN"/>
        </w:rPr>
        <w:t xml:space="preserve"> </w:t>
      </w:r>
      <w:r>
        <w:rPr>
          <w:rFonts w:hint="eastAsia" w:ascii="宋体" w:hAnsi="宋体" w:cs="楷体_GB2312"/>
          <w:color w:val="auto"/>
          <w:sz w:val="24"/>
          <w:highlight w:val="none"/>
          <w:lang w:val="zh-CN"/>
        </w:rPr>
        <w:t>供应商须知”</w:t>
      </w:r>
      <w:r>
        <w:rPr>
          <w:rFonts w:ascii="宋体" w:hAnsi="宋体" w:cs="楷体_GB2312"/>
          <w:color w:val="auto"/>
          <w:sz w:val="24"/>
          <w:highlight w:val="none"/>
          <w:lang w:val="zh-CN"/>
        </w:rPr>
        <w:t xml:space="preserve"> </w:t>
      </w:r>
      <w:r>
        <w:rPr>
          <w:rFonts w:hint="eastAsia" w:ascii="宋体" w:hAnsi="宋体" w:cs="楷体_GB2312"/>
          <w:color w:val="auto"/>
          <w:sz w:val="24"/>
          <w:highlight w:val="none"/>
          <w:lang w:val="zh-CN"/>
        </w:rPr>
        <w:t>第</w:t>
      </w:r>
      <w:r>
        <w:rPr>
          <w:rFonts w:hint="eastAsia" w:ascii="宋体" w:hAnsi="宋体" w:cs="楷体_GB2312"/>
          <w:color w:val="auto"/>
          <w:sz w:val="24"/>
          <w:highlight w:val="none"/>
        </w:rPr>
        <w:t>9</w:t>
      </w:r>
      <w:r>
        <w:rPr>
          <w:rFonts w:hint="eastAsia" w:ascii="宋体" w:hAnsi="宋体" w:cs="楷体_GB2312"/>
          <w:color w:val="auto"/>
          <w:sz w:val="24"/>
          <w:highlight w:val="none"/>
          <w:lang w:val="zh-CN"/>
        </w:rPr>
        <w:t>条“验收”条款。</w:t>
      </w:r>
    </w:p>
    <w:p w14:paraId="5BAAC7E5">
      <w:pPr>
        <w:adjustRightInd w:val="0"/>
        <w:snapToGrid w:val="0"/>
        <w:spacing w:before="156" w:beforeLines="50" w:line="300" w:lineRule="auto"/>
        <w:ind w:firstLine="566" w:firstLineChars="235"/>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11采购标的的其他技术、服务等要求：</w:t>
      </w:r>
    </w:p>
    <w:p w14:paraId="5F35D655">
      <w:pPr>
        <w:adjustRightInd w:val="0"/>
        <w:snapToGrid w:val="0"/>
        <w:spacing w:before="156" w:beforeLines="50" w:line="300" w:lineRule="auto"/>
        <w:ind w:firstLine="564" w:firstLineChars="235"/>
        <w:rPr>
          <w:rFonts w:ascii="宋体" w:hAnsi="宋体"/>
          <w:color w:val="auto"/>
          <w:sz w:val="24"/>
          <w:szCs w:val="24"/>
          <w:highlight w:val="none"/>
        </w:rPr>
      </w:pPr>
      <w:r>
        <w:rPr>
          <w:rFonts w:hint="eastAsia" w:ascii="宋体" w:hAnsi="宋体"/>
          <w:color w:val="auto"/>
          <w:sz w:val="24"/>
          <w:szCs w:val="24"/>
          <w:highlight w:val="none"/>
        </w:rPr>
        <w:t>无</w:t>
      </w:r>
    </w:p>
    <w:p w14:paraId="27261994">
      <w:bookmarkStart w:id="3" w:name="_Toc149729261"/>
      <w:r>
        <w:rPr>
          <w:rFonts w:hint="eastAsia" w:ascii="黑体" w:hAnsi="黑体" w:eastAsia="黑体"/>
          <w:b/>
          <w:color w:val="auto"/>
          <w:sz w:val="28"/>
          <w:highlight w:val="none"/>
        </w:rPr>
        <w:t>3</w:t>
      </w:r>
      <w:r>
        <w:rPr>
          <w:rFonts w:ascii="黑体" w:hAnsi="黑体" w:eastAsia="黑体"/>
          <w:b/>
          <w:color w:val="auto"/>
          <w:sz w:val="28"/>
          <w:highlight w:val="none"/>
        </w:rPr>
        <w:t xml:space="preserve">. </w:t>
      </w:r>
      <w:r>
        <w:rPr>
          <w:rFonts w:hint="eastAsia" w:ascii="黑体" w:hAnsi="黑体" w:eastAsia="黑体"/>
          <w:b/>
          <w:color w:val="auto"/>
          <w:sz w:val="28"/>
          <w:highlight w:val="none"/>
        </w:rPr>
        <w:t>项目其他要求</w:t>
      </w:r>
      <w:bookmarkEnd w:id="3"/>
      <w:r>
        <w:rPr>
          <w:rFonts w:hint="eastAsia" w:ascii="黑体" w:hAnsi="黑体" w:eastAsia="黑体"/>
          <w:b/>
          <w:color w:val="auto"/>
          <w:sz w:val="28"/>
          <w:highlight w:val="none"/>
        </w:rPr>
        <w:t>：</w:t>
      </w:r>
      <w:r>
        <w:rPr>
          <w:rFonts w:hint="eastAsia" w:ascii="黑体" w:hAnsi="黑体" w:eastAsia="黑体"/>
          <w:b/>
          <w:color w:val="auto"/>
          <w:sz w:val="24"/>
          <w:szCs w:val="24"/>
          <w:highlight w:val="none"/>
        </w:rPr>
        <w:t>无</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Arial Unicode MS"/>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B47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u w:color="000000"/>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line="240" w:lineRule="auto"/>
      <w:jc w:val="left"/>
      <w:textAlignment w:val="auto"/>
    </w:pPr>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2026-10-26T02:56:32Z</dcterms:created>
  <dc:creator>Administrator</dc:creator>
  <cp:lastModifiedBy>惆怅</cp:lastModifiedBy>
  <dcterms:modified xsi:type="dcterms:W3CDTF">2026-10-26T02:57:00Z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eyJoZGlkIjoiMzkzMDdjZWM2YjY2YTQ0YTA2YTk1NzgyZTJmNzM5Y2MiLCJ1c2VySWQiOiI0Mjg5NzQzNDUifQ==</vt:lpwstr>
  </property>
  <property fmtid="{D5CDD505-2E9C-101B-9397-08002B2CF9AE}" pid="4" name="ICV">
    <vt:lpwstr>DB6A29FB08614C35977305EA361F198C_12</vt:lpwstr>
  </property>
</Properties>
</file>