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rPr>
          <w:rFonts w:ascii="仿宋" w:hAnsi="仿宋" w:eastAsia="仿宋" w:cs="仿宋"/>
          <w:bCs/>
          <w:sz w:val="48"/>
        </w:rPr>
      </w:pPr>
    </w:p>
    <w:p>
      <w:pPr>
        <w:pStyle w:val="25"/>
        <w:spacing w:line="360" w:lineRule="auto"/>
        <w:rPr>
          <w:rFonts w:ascii="仿宋" w:hAnsi="仿宋" w:eastAsia="仿宋" w:cs="仿宋"/>
          <w:bCs/>
          <w:sz w:val="48"/>
        </w:rPr>
      </w:pPr>
    </w:p>
    <w:p>
      <w:pPr>
        <w:pStyle w:val="25"/>
        <w:spacing w:line="360" w:lineRule="auto"/>
        <w:rPr>
          <w:rFonts w:hint="eastAsia" w:ascii="宋体" w:hAnsi="宋体" w:eastAsia="宋体"/>
          <w:kern w:val="0"/>
          <w:sz w:val="40"/>
          <w:szCs w:val="40"/>
          <w:lang w:eastAsia="zh-CN"/>
        </w:rPr>
      </w:pPr>
      <w:r>
        <w:rPr>
          <w:rFonts w:ascii="宋体" w:hAnsi="宋体" w:eastAsia="宋体"/>
          <w:kern w:val="0"/>
          <w:sz w:val="36"/>
          <w:szCs w:val="36"/>
        </w:rPr>
        <w:t>安阳市城区饮用水水源地调整替代方案编制项目</w:t>
      </w:r>
      <w:r>
        <w:rPr>
          <w:rFonts w:hint="eastAsia" w:ascii="宋体" w:hAnsi="宋体" w:eastAsia="宋体"/>
          <w:kern w:val="0"/>
          <w:sz w:val="36"/>
          <w:szCs w:val="36"/>
          <w:lang w:eastAsia="zh-CN"/>
        </w:rPr>
        <w:t>（</w:t>
      </w:r>
      <w:r>
        <w:rPr>
          <w:rFonts w:hint="eastAsia" w:ascii="宋体" w:hAnsi="宋体" w:eastAsia="宋体"/>
          <w:kern w:val="0"/>
          <w:sz w:val="36"/>
          <w:szCs w:val="36"/>
          <w:lang w:val="en-US" w:eastAsia="zh-CN"/>
        </w:rPr>
        <w:t>二次</w:t>
      </w:r>
      <w:r>
        <w:rPr>
          <w:rFonts w:hint="eastAsia" w:ascii="宋体" w:hAnsi="宋体" w:eastAsia="宋体"/>
          <w:kern w:val="0"/>
          <w:sz w:val="36"/>
          <w:szCs w:val="36"/>
          <w:lang w:eastAsia="zh-CN"/>
        </w:rPr>
        <w:t>）</w:t>
      </w:r>
    </w:p>
    <w:p>
      <w:pPr>
        <w:pStyle w:val="25"/>
        <w:spacing w:line="360" w:lineRule="auto"/>
        <w:rPr>
          <w:rFonts w:ascii="仿宋" w:hAnsi="仿宋" w:eastAsia="仿宋" w:cs="仿宋"/>
          <w:kern w:val="0"/>
          <w:sz w:val="48"/>
        </w:rPr>
      </w:pPr>
    </w:p>
    <w:p>
      <w:pPr>
        <w:pStyle w:val="25"/>
        <w:spacing w:line="360" w:lineRule="auto"/>
        <w:ind w:firstLine="1446" w:firstLineChars="600"/>
        <w:jc w:val="both"/>
        <w:rPr>
          <w:rFonts w:ascii="仿宋" w:hAnsi="仿宋" w:eastAsia="仿宋" w:cs="仿宋"/>
          <w:kern w:val="0"/>
          <w:sz w:val="24"/>
          <w:szCs w:val="24"/>
        </w:rPr>
      </w:pPr>
    </w:p>
    <w:p>
      <w:pPr>
        <w:pStyle w:val="25"/>
        <w:spacing w:line="360" w:lineRule="auto"/>
        <w:ind w:firstLine="1446" w:firstLineChars="600"/>
        <w:jc w:val="both"/>
        <w:rPr>
          <w:rFonts w:ascii="仿宋" w:hAnsi="仿宋" w:eastAsia="仿宋" w:cs="仿宋"/>
          <w:kern w:val="0"/>
          <w:sz w:val="24"/>
          <w:szCs w:val="24"/>
        </w:rPr>
      </w:pPr>
    </w:p>
    <w:p>
      <w:pPr>
        <w:pStyle w:val="25"/>
        <w:spacing w:line="360" w:lineRule="auto"/>
        <w:ind w:firstLine="1446" w:firstLineChars="600"/>
        <w:jc w:val="both"/>
        <w:rPr>
          <w:rFonts w:ascii="仿宋" w:hAnsi="仿宋" w:eastAsia="仿宋" w:cs="仿宋"/>
          <w:kern w:val="0"/>
          <w:sz w:val="24"/>
          <w:szCs w:val="24"/>
        </w:rPr>
      </w:pPr>
    </w:p>
    <w:p>
      <w:pPr>
        <w:pStyle w:val="25"/>
        <w:spacing w:line="360" w:lineRule="auto"/>
        <w:ind w:firstLine="1687" w:firstLineChars="600"/>
        <w:jc w:val="both"/>
        <w:rPr>
          <w:rFonts w:ascii="仿宋" w:hAnsi="仿宋" w:eastAsia="仿宋" w:cs="仿宋"/>
          <w:kern w:val="0"/>
          <w:sz w:val="28"/>
          <w:szCs w:val="24"/>
        </w:rPr>
      </w:pPr>
    </w:p>
    <w:p>
      <w:pPr>
        <w:pStyle w:val="25"/>
        <w:spacing w:line="360" w:lineRule="auto"/>
        <w:ind w:firstLine="1687" w:firstLineChars="600"/>
        <w:jc w:val="both"/>
        <w:rPr>
          <w:rFonts w:ascii="仿宋" w:hAnsi="仿宋" w:eastAsia="仿宋" w:cs="仿宋"/>
          <w:kern w:val="0"/>
          <w:sz w:val="28"/>
          <w:szCs w:val="24"/>
        </w:rPr>
      </w:pPr>
    </w:p>
    <w:p>
      <w:pPr>
        <w:pStyle w:val="25"/>
        <w:spacing w:line="360" w:lineRule="auto"/>
        <w:ind w:firstLine="1687" w:firstLineChars="600"/>
        <w:jc w:val="both"/>
        <w:rPr>
          <w:rFonts w:ascii="仿宋" w:hAnsi="仿宋" w:eastAsia="仿宋" w:cs="仿宋"/>
          <w:kern w:val="0"/>
          <w:sz w:val="28"/>
          <w:szCs w:val="24"/>
        </w:rPr>
      </w:pPr>
    </w:p>
    <w:p>
      <w:pPr>
        <w:pStyle w:val="25"/>
        <w:spacing w:line="360" w:lineRule="auto"/>
        <w:ind w:firstLine="1687" w:firstLineChars="600"/>
        <w:jc w:val="both"/>
        <w:rPr>
          <w:rFonts w:ascii="仿宋" w:hAnsi="仿宋" w:eastAsia="仿宋" w:cs="仿宋"/>
          <w:kern w:val="0"/>
          <w:sz w:val="28"/>
          <w:szCs w:val="24"/>
        </w:rPr>
      </w:pPr>
    </w:p>
    <w:p>
      <w:pPr>
        <w:pStyle w:val="25"/>
        <w:spacing w:line="360" w:lineRule="auto"/>
        <w:rPr>
          <w:rFonts w:ascii="仿宋" w:hAnsi="仿宋" w:eastAsia="仿宋" w:cs="仿宋"/>
          <w:sz w:val="52"/>
          <w:szCs w:val="52"/>
        </w:rPr>
      </w:pPr>
      <w:r>
        <w:rPr>
          <w:rFonts w:hint="eastAsia" w:ascii="仿宋" w:hAnsi="仿宋" w:eastAsia="仿宋" w:cs="仿宋"/>
          <w:sz w:val="72"/>
          <w:szCs w:val="84"/>
        </w:rPr>
        <w:t>竞争性磋商文件</w:t>
      </w:r>
    </w:p>
    <w:p>
      <w:pPr>
        <w:spacing w:line="360" w:lineRule="auto"/>
        <w:rPr>
          <w:rFonts w:ascii="仿宋" w:hAnsi="仿宋" w:eastAsia="仿宋" w:cs="仿宋"/>
          <w:b/>
          <w:bCs/>
          <w:sz w:val="28"/>
          <w:szCs w:val="28"/>
        </w:rPr>
      </w:pPr>
    </w:p>
    <w:p>
      <w:pPr>
        <w:tabs>
          <w:tab w:val="left" w:pos="6810"/>
        </w:tabs>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ab/>
      </w:r>
    </w:p>
    <w:p>
      <w:pPr>
        <w:spacing w:line="360" w:lineRule="auto"/>
        <w:rPr>
          <w:rFonts w:ascii="仿宋" w:hAnsi="仿宋" w:eastAsia="仿宋" w:cs="仿宋"/>
          <w:bCs/>
          <w:sz w:val="28"/>
          <w:szCs w:val="28"/>
        </w:rPr>
      </w:pPr>
    </w:p>
    <w:p>
      <w:pPr>
        <w:spacing w:line="360" w:lineRule="auto"/>
        <w:ind w:firstLine="1699" w:firstLineChars="607"/>
        <w:rPr>
          <w:rFonts w:ascii="仿宋" w:hAnsi="仿宋" w:eastAsia="仿宋" w:cs="仿宋"/>
          <w:bCs/>
          <w:sz w:val="28"/>
          <w:szCs w:val="28"/>
        </w:rPr>
      </w:pPr>
    </w:p>
    <w:p>
      <w:pPr>
        <w:spacing w:line="360" w:lineRule="auto"/>
        <w:ind w:firstLine="1279" w:firstLineChars="455"/>
        <w:rPr>
          <w:rFonts w:hint="eastAsia" w:ascii="仿宋" w:hAnsi="仿宋" w:eastAsia="仿宋" w:cs="仿宋"/>
          <w:b/>
          <w:szCs w:val="21"/>
          <w:lang w:eastAsia="zh-CN"/>
        </w:rPr>
      </w:pPr>
      <w:r>
        <w:rPr>
          <w:rFonts w:hint="eastAsia" w:ascii="仿宋" w:hAnsi="仿宋" w:eastAsia="仿宋" w:cs="仿宋"/>
          <w:b/>
          <w:bCs/>
          <w:sz w:val="28"/>
          <w:szCs w:val="28"/>
        </w:rPr>
        <w:t>项目编号：</w:t>
      </w:r>
      <w:r>
        <w:rPr>
          <w:rFonts w:hint="eastAsia" w:ascii="仿宋" w:hAnsi="仿宋" w:eastAsia="仿宋" w:cs="仿宋"/>
          <w:b/>
          <w:bCs/>
          <w:sz w:val="28"/>
          <w:szCs w:val="28"/>
          <w:lang w:val="en-US" w:eastAsia="zh-CN"/>
        </w:rPr>
        <w:t xml:space="preserve">安财磋商采购-2023-82    </w:t>
      </w:r>
    </w:p>
    <w:p>
      <w:pPr>
        <w:spacing w:line="360" w:lineRule="auto"/>
        <w:ind w:firstLine="1279" w:firstLineChars="455"/>
        <w:rPr>
          <w:rFonts w:ascii="仿宋" w:hAnsi="仿宋" w:eastAsia="仿宋" w:cs="仿宋"/>
          <w:b/>
          <w:bCs/>
          <w:sz w:val="28"/>
          <w:szCs w:val="28"/>
        </w:rPr>
      </w:pPr>
      <w:r>
        <w:rPr>
          <w:rFonts w:hint="eastAsia" w:ascii="仿宋" w:hAnsi="仿宋" w:eastAsia="仿宋" w:cs="仿宋"/>
          <w:b/>
          <w:sz w:val="28"/>
          <w:szCs w:val="28"/>
        </w:rPr>
        <w:t>采 购 人：安阳市水利局</w:t>
      </w:r>
    </w:p>
    <w:p>
      <w:pPr>
        <w:spacing w:line="360" w:lineRule="auto"/>
        <w:ind w:firstLine="1279" w:firstLineChars="455"/>
        <w:rPr>
          <w:rFonts w:hint="eastAsia" w:ascii="仿宋" w:hAnsi="仿宋" w:eastAsia="仿宋" w:cs="仿宋"/>
          <w:b/>
          <w:sz w:val="28"/>
          <w:szCs w:val="28"/>
          <w:lang w:eastAsia="zh-CN"/>
        </w:rPr>
      </w:pPr>
      <w:r>
        <w:rPr>
          <w:rFonts w:hint="eastAsia" w:ascii="仿宋" w:hAnsi="仿宋" w:eastAsia="仿宋" w:cs="仿宋"/>
          <w:b/>
          <w:sz w:val="28"/>
          <w:szCs w:val="28"/>
        </w:rPr>
        <w:t>代理机构：</w:t>
      </w:r>
      <w:r>
        <w:rPr>
          <w:rFonts w:hint="eastAsia" w:ascii="仿宋" w:hAnsi="仿宋" w:eastAsia="仿宋" w:cs="仿宋"/>
          <w:b/>
          <w:sz w:val="28"/>
          <w:szCs w:val="28"/>
          <w:lang w:eastAsia="zh-CN"/>
        </w:rPr>
        <w:t>河南省博律企业管理有限公司</w:t>
      </w:r>
    </w:p>
    <w:p>
      <w:pPr>
        <w:spacing w:line="360" w:lineRule="auto"/>
        <w:ind w:firstLine="1405" w:firstLineChars="500"/>
        <w:rPr>
          <w:rFonts w:ascii="仿宋" w:hAnsi="仿宋" w:eastAsia="仿宋" w:cs="仿宋"/>
          <w:b/>
          <w:sz w:val="28"/>
          <w:szCs w:val="28"/>
        </w:rPr>
      </w:pPr>
      <w:r>
        <w:rPr>
          <w:rFonts w:hint="eastAsia" w:ascii="仿宋" w:hAnsi="仿宋" w:eastAsia="仿宋" w:cs="仿宋"/>
          <w:b/>
          <w:sz w:val="28"/>
          <w:szCs w:val="28"/>
        </w:rPr>
        <w:t>日    期：二〇二</w:t>
      </w:r>
      <w:r>
        <w:rPr>
          <w:rFonts w:hint="eastAsia" w:ascii="仿宋" w:hAnsi="仿宋" w:eastAsia="仿宋" w:cs="仿宋"/>
          <w:b/>
          <w:sz w:val="28"/>
          <w:szCs w:val="28"/>
          <w:lang w:val="en-US" w:eastAsia="zh-CN"/>
        </w:rPr>
        <w:t>三</w:t>
      </w:r>
      <w:r>
        <w:rPr>
          <w:rFonts w:hint="eastAsia" w:ascii="仿宋" w:hAnsi="仿宋" w:eastAsia="仿宋" w:cs="仿宋"/>
          <w:b/>
          <w:sz w:val="28"/>
          <w:szCs w:val="28"/>
        </w:rPr>
        <w:t>年</w:t>
      </w:r>
      <w:r>
        <w:rPr>
          <w:rFonts w:hint="eastAsia" w:ascii="仿宋" w:hAnsi="仿宋" w:eastAsia="仿宋" w:cs="仿宋"/>
          <w:b/>
          <w:sz w:val="28"/>
          <w:szCs w:val="28"/>
          <w:lang w:val="en-US" w:eastAsia="zh-CN"/>
        </w:rPr>
        <w:t>十二</w:t>
      </w:r>
      <w:r>
        <w:rPr>
          <w:rFonts w:hint="eastAsia" w:ascii="仿宋" w:hAnsi="仿宋" w:eastAsia="仿宋" w:cs="仿宋"/>
          <w:b/>
          <w:sz w:val="28"/>
          <w:szCs w:val="28"/>
        </w:rPr>
        <w:t>月</w:t>
      </w:r>
    </w:p>
    <w:p>
      <w:pPr>
        <w:spacing w:line="360" w:lineRule="auto"/>
        <w:jc w:val="center"/>
        <w:rPr>
          <w:rFonts w:ascii="仿宋" w:hAnsi="仿宋" w:eastAsia="仿宋" w:cs="仿宋"/>
          <w:b/>
          <w:bCs/>
          <w:sz w:val="30"/>
          <w:szCs w:val="30"/>
        </w:rPr>
        <w:sectPr>
          <w:headerReference r:id="rId4" w:type="first"/>
          <w:headerReference r:id="rId3" w:type="default"/>
          <w:footerReference r:id="rId5" w:type="default"/>
          <w:pgSz w:w="11906" w:h="16838"/>
          <w:pgMar w:top="1418" w:right="1304" w:bottom="1418" w:left="1418" w:header="851" w:footer="992" w:gutter="0"/>
          <w:pgNumType w:fmt="numberInDash" w:start="1"/>
          <w:cols w:space="720" w:num="1"/>
          <w:titlePg/>
          <w:docGrid w:type="lines" w:linePitch="312" w:charSpace="0"/>
        </w:sectPr>
      </w:pPr>
    </w:p>
    <w:p>
      <w:pPr>
        <w:spacing w:line="360" w:lineRule="auto"/>
        <w:jc w:val="center"/>
        <w:rPr>
          <w:rFonts w:ascii="仿宋" w:hAnsi="仿宋" w:eastAsia="仿宋" w:cs="仿宋"/>
          <w:b/>
          <w:bCs/>
          <w:sz w:val="30"/>
          <w:szCs w:val="30"/>
        </w:rPr>
      </w:pPr>
      <w:r>
        <w:rPr>
          <w:rFonts w:hint="eastAsia" w:ascii="仿宋" w:hAnsi="仿宋" w:eastAsia="仿宋" w:cs="仿宋"/>
          <w:b/>
          <w:bCs/>
          <w:sz w:val="30"/>
          <w:szCs w:val="30"/>
        </w:rPr>
        <w:t>目   录</w:t>
      </w:r>
    </w:p>
    <w:p>
      <w:pPr>
        <w:pStyle w:val="42"/>
        <w:tabs>
          <w:tab w:val="right" w:leader="dot" w:pos="9184"/>
          <w:tab w:val="clear" w:pos="9060"/>
        </w:tabs>
      </w:pPr>
      <w:bookmarkStart w:id="0" w:name="_Toc98041600"/>
      <w:r>
        <w:rPr>
          <w:rFonts w:hint="eastAsia" w:ascii="仿宋" w:hAnsi="仿宋" w:eastAsia="仿宋" w:cs="仿宋"/>
          <w:b/>
          <w:bCs/>
          <w:caps w:val="0"/>
          <w:szCs w:val="21"/>
        </w:rPr>
        <w:fldChar w:fldCharType="begin"/>
      </w:r>
      <w:r>
        <w:rPr>
          <w:rFonts w:hint="eastAsia" w:ascii="仿宋" w:hAnsi="仿宋" w:eastAsia="仿宋" w:cs="仿宋"/>
          <w:b/>
          <w:bCs/>
          <w:caps w:val="0"/>
          <w:szCs w:val="21"/>
        </w:rPr>
        <w:instrText xml:space="preserve">TOC \o "1-3" \h \z \u</w:instrText>
      </w:r>
      <w:r>
        <w:rPr>
          <w:rFonts w:hint="eastAsia" w:ascii="仿宋" w:hAnsi="仿宋" w:eastAsia="仿宋" w:cs="仿宋"/>
          <w:b/>
          <w:bCs/>
          <w:caps w:val="0"/>
          <w:szCs w:val="21"/>
        </w:rPr>
        <w:fldChar w:fldCharType="separate"/>
      </w:r>
      <w:r>
        <w:rPr>
          <w:rFonts w:hint="eastAsia" w:ascii="仿宋" w:hAnsi="仿宋" w:eastAsia="仿宋" w:cs="仿宋"/>
          <w:bCs/>
          <w:caps w:val="0"/>
          <w:szCs w:val="21"/>
        </w:rPr>
        <w:fldChar w:fldCharType="begin"/>
      </w:r>
      <w:r>
        <w:rPr>
          <w:rFonts w:hint="eastAsia" w:ascii="仿宋" w:hAnsi="仿宋" w:eastAsia="仿宋" w:cs="仿宋"/>
          <w:bCs/>
          <w:caps w:val="0"/>
          <w:szCs w:val="21"/>
        </w:rPr>
        <w:instrText xml:space="preserve"> HYPERLINK \l _Toc25904 </w:instrText>
      </w:r>
      <w:r>
        <w:rPr>
          <w:rFonts w:hint="eastAsia" w:ascii="仿宋" w:hAnsi="仿宋" w:eastAsia="仿宋" w:cs="仿宋"/>
          <w:bCs/>
          <w:caps w:val="0"/>
          <w:szCs w:val="21"/>
        </w:rPr>
        <w:fldChar w:fldCharType="separate"/>
      </w:r>
      <w:r>
        <w:rPr>
          <w:rFonts w:hint="eastAsia" w:ascii="仿宋" w:hAnsi="仿宋" w:eastAsia="仿宋" w:cs="仿宋"/>
          <w:bCs/>
          <w:szCs w:val="28"/>
        </w:rPr>
        <w:t>第一章  竞争性磋商公告</w:t>
      </w:r>
      <w:r>
        <w:rPr>
          <w:rFonts w:hint="eastAsia" w:ascii="仿宋" w:hAnsi="仿宋" w:eastAsia="仿宋" w:cs="仿宋"/>
          <w:bCs/>
          <w:szCs w:val="28"/>
          <w:lang w:val="en-US" w:eastAsia="zh-CN"/>
        </w:rPr>
        <w:t>...........................................</w:t>
      </w:r>
      <w:r>
        <w:fldChar w:fldCharType="begin"/>
      </w:r>
      <w:r>
        <w:instrText xml:space="preserve"> PAGEREF _Toc25904 \h </w:instrText>
      </w:r>
      <w:r>
        <w:fldChar w:fldCharType="separate"/>
      </w:r>
      <w:r>
        <w:t>1</w:t>
      </w:r>
      <w:r>
        <w:fldChar w:fldCharType="end"/>
      </w:r>
      <w:r>
        <w:rPr>
          <w:rFonts w:hint="eastAsia" w:ascii="仿宋" w:hAnsi="仿宋" w:eastAsia="仿宋" w:cs="仿宋"/>
          <w:bCs/>
          <w:caps w:val="0"/>
          <w:szCs w:val="21"/>
        </w:rPr>
        <w:fldChar w:fldCharType="end"/>
      </w:r>
    </w:p>
    <w:p>
      <w:pPr>
        <w:pStyle w:val="42"/>
        <w:tabs>
          <w:tab w:val="right" w:leader="dot" w:pos="9184"/>
          <w:tab w:val="clear" w:pos="9060"/>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_Toc22635 </w:instrText>
      </w:r>
      <w:r>
        <w:rPr>
          <w:rFonts w:hint="eastAsia" w:ascii="仿宋" w:hAnsi="仿宋" w:eastAsia="仿宋" w:cs="仿宋"/>
          <w:bCs/>
          <w:caps/>
          <w:szCs w:val="21"/>
        </w:rPr>
        <w:fldChar w:fldCharType="separate"/>
      </w:r>
      <w:r>
        <w:rPr>
          <w:rFonts w:hint="eastAsia" w:ascii="仿宋" w:hAnsi="仿宋" w:eastAsia="仿宋" w:cs="仿宋"/>
          <w:caps/>
          <w:szCs w:val="32"/>
        </w:rPr>
        <w:t>第二章</w:t>
      </w:r>
      <w:r>
        <w:rPr>
          <w:rFonts w:hint="eastAsia" w:ascii="仿宋" w:hAnsi="仿宋" w:eastAsia="仿宋" w:cs="仿宋"/>
          <w:szCs w:val="32"/>
        </w:rPr>
        <w:t xml:space="preserve">  供应商须知</w:t>
      </w:r>
      <w:r>
        <w:rPr>
          <w:rFonts w:hint="eastAsia" w:ascii="仿宋" w:hAnsi="仿宋" w:eastAsia="仿宋" w:cs="仿宋"/>
          <w:szCs w:val="32"/>
          <w:lang w:val="en-US" w:eastAsia="zh-CN"/>
        </w:rPr>
        <w:t>...............................................</w:t>
      </w:r>
      <w:r>
        <w:fldChar w:fldCharType="begin"/>
      </w:r>
      <w:r>
        <w:instrText xml:space="preserve"> PAGEREF _Toc22635 \h </w:instrText>
      </w:r>
      <w:r>
        <w:fldChar w:fldCharType="separate"/>
      </w:r>
      <w:r>
        <w:t>5</w:t>
      </w:r>
      <w:r>
        <w:fldChar w:fldCharType="end"/>
      </w:r>
      <w:r>
        <w:rPr>
          <w:rFonts w:hint="eastAsia" w:ascii="仿宋" w:hAnsi="仿宋" w:eastAsia="仿宋" w:cs="仿宋"/>
          <w:bCs/>
          <w:caps/>
          <w:szCs w:val="21"/>
        </w:rPr>
        <w:fldChar w:fldCharType="end"/>
      </w:r>
    </w:p>
    <w:p>
      <w:pPr>
        <w:pStyle w:val="51"/>
        <w:tabs>
          <w:tab w:val="right" w:leader="dot" w:pos="9184"/>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_Toc13259 </w:instrText>
      </w:r>
      <w:r>
        <w:rPr>
          <w:rFonts w:hint="eastAsia" w:ascii="仿宋" w:hAnsi="仿宋" w:eastAsia="仿宋" w:cs="仿宋"/>
          <w:bCs/>
          <w:caps/>
          <w:szCs w:val="21"/>
        </w:rPr>
        <w:fldChar w:fldCharType="separate"/>
      </w:r>
      <w:r>
        <w:rPr>
          <w:rFonts w:hint="eastAsia" w:ascii="仿宋" w:hAnsi="仿宋" w:eastAsia="仿宋" w:cs="仿宋"/>
        </w:rPr>
        <w:t>供应商须知前附表</w:t>
      </w:r>
      <w:r>
        <w:rPr>
          <w:rFonts w:hint="eastAsia" w:ascii="仿宋" w:hAnsi="仿宋" w:eastAsia="仿宋" w:cs="仿宋"/>
          <w:lang w:val="en-US" w:eastAsia="zh-CN"/>
        </w:rPr>
        <w:t>.......................................................</w:t>
      </w:r>
      <w:r>
        <w:fldChar w:fldCharType="begin"/>
      </w:r>
      <w:r>
        <w:instrText xml:space="preserve"> PAGEREF _Toc13259 \h </w:instrText>
      </w:r>
      <w:r>
        <w:fldChar w:fldCharType="separate"/>
      </w:r>
      <w:r>
        <w:t>5</w:t>
      </w:r>
      <w:r>
        <w:fldChar w:fldCharType="end"/>
      </w:r>
      <w:r>
        <w:rPr>
          <w:rFonts w:hint="eastAsia" w:ascii="仿宋" w:hAnsi="仿宋" w:eastAsia="仿宋" w:cs="仿宋"/>
          <w:bCs/>
          <w:caps/>
          <w:szCs w:val="21"/>
        </w:rPr>
        <w:fldChar w:fldCharType="end"/>
      </w:r>
    </w:p>
    <w:p>
      <w:pPr>
        <w:pStyle w:val="32"/>
        <w:tabs>
          <w:tab w:val="right" w:leader="dot" w:pos="9184"/>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_Toc21731 </w:instrText>
      </w:r>
      <w:r>
        <w:rPr>
          <w:rFonts w:hint="eastAsia" w:ascii="仿宋" w:hAnsi="仿宋" w:eastAsia="仿宋" w:cs="仿宋"/>
          <w:bCs/>
          <w:caps/>
          <w:szCs w:val="21"/>
        </w:rPr>
        <w:fldChar w:fldCharType="separate"/>
      </w:r>
      <w:r>
        <w:rPr>
          <w:rFonts w:hint="eastAsia" w:ascii="仿宋" w:hAnsi="仿宋" w:eastAsia="仿宋" w:cs="仿宋"/>
          <w:bCs/>
        </w:rPr>
        <w:t>1. 总则</w:t>
      </w:r>
      <w:r>
        <w:rPr>
          <w:rFonts w:hint="eastAsia" w:ascii="仿宋" w:hAnsi="仿宋" w:eastAsia="仿宋" w:cs="仿宋"/>
          <w:bCs/>
          <w:lang w:val="en-US" w:eastAsia="zh-CN"/>
        </w:rPr>
        <w:t>............................................................</w:t>
      </w:r>
      <w:r>
        <w:fldChar w:fldCharType="begin"/>
      </w:r>
      <w:r>
        <w:instrText xml:space="preserve"> PAGEREF _Toc21731 \h </w:instrText>
      </w:r>
      <w:r>
        <w:fldChar w:fldCharType="separate"/>
      </w:r>
      <w:r>
        <w:t>9</w:t>
      </w:r>
      <w:r>
        <w:fldChar w:fldCharType="end"/>
      </w:r>
      <w:r>
        <w:rPr>
          <w:rFonts w:hint="eastAsia" w:ascii="仿宋" w:hAnsi="仿宋" w:eastAsia="仿宋" w:cs="仿宋"/>
          <w:bCs/>
          <w:caps/>
          <w:szCs w:val="21"/>
        </w:rPr>
        <w:fldChar w:fldCharType="end"/>
      </w:r>
    </w:p>
    <w:p>
      <w:pPr>
        <w:pStyle w:val="32"/>
        <w:tabs>
          <w:tab w:val="right" w:leader="dot" w:pos="9184"/>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_Toc8348 </w:instrText>
      </w:r>
      <w:r>
        <w:rPr>
          <w:rFonts w:hint="eastAsia" w:ascii="仿宋" w:hAnsi="仿宋" w:eastAsia="仿宋" w:cs="仿宋"/>
          <w:bCs/>
          <w:caps/>
          <w:szCs w:val="21"/>
        </w:rPr>
        <w:fldChar w:fldCharType="separate"/>
      </w:r>
      <w:r>
        <w:rPr>
          <w:rFonts w:hint="eastAsia" w:ascii="仿宋" w:hAnsi="仿宋" w:eastAsia="仿宋" w:cs="仿宋"/>
          <w:szCs w:val="21"/>
        </w:rPr>
        <w:t>2.磋商文件</w:t>
      </w:r>
      <w:r>
        <w:rPr>
          <w:rFonts w:hint="eastAsia" w:ascii="仿宋" w:hAnsi="仿宋" w:eastAsia="仿宋" w:cs="仿宋"/>
          <w:szCs w:val="21"/>
          <w:lang w:val="en-US" w:eastAsia="zh-CN"/>
        </w:rPr>
        <w:t>........................................................</w:t>
      </w:r>
      <w:r>
        <w:fldChar w:fldCharType="begin"/>
      </w:r>
      <w:r>
        <w:instrText xml:space="preserve"> PAGEREF _Toc8348 \h </w:instrText>
      </w:r>
      <w:r>
        <w:fldChar w:fldCharType="separate"/>
      </w:r>
      <w:r>
        <w:t>11</w:t>
      </w:r>
      <w:r>
        <w:fldChar w:fldCharType="end"/>
      </w:r>
      <w:r>
        <w:rPr>
          <w:rFonts w:hint="eastAsia" w:ascii="仿宋" w:hAnsi="仿宋" w:eastAsia="仿宋" w:cs="仿宋"/>
          <w:bCs/>
          <w:caps/>
          <w:szCs w:val="21"/>
        </w:rPr>
        <w:fldChar w:fldCharType="end"/>
      </w:r>
    </w:p>
    <w:p>
      <w:pPr>
        <w:pStyle w:val="32"/>
        <w:tabs>
          <w:tab w:val="right" w:leader="dot" w:pos="9184"/>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_Toc5727 </w:instrText>
      </w:r>
      <w:r>
        <w:rPr>
          <w:rFonts w:hint="eastAsia" w:ascii="仿宋" w:hAnsi="仿宋" w:eastAsia="仿宋" w:cs="仿宋"/>
          <w:bCs/>
          <w:caps/>
          <w:szCs w:val="21"/>
        </w:rPr>
        <w:fldChar w:fldCharType="separate"/>
      </w:r>
      <w:r>
        <w:rPr>
          <w:rFonts w:hint="eastAsia" w:ascii="仿宋" w:hAnsi="仿宋" w:eastAsia="仿宋" w:cs="仿宋"/>
          <w:szCs w:val="21"/>
        </w:rPr>
        <w:t>3. 响应文件</w:t>
      </w:r>
      <w:r>
        <w:rPr>
          <w:rFonts w:hint="eastAsia" w:ascii="仿宋" w:hAnsi="仿宋" w:eastAsia="仿宋" w:cs="仿宋"/>
          <w:szCs w:val="21"/>
          <w:lang w:val="en-US" w:eastAsia="zh-CN"/>
        </w:rPr>
        <w:t>.......................................................</w:t>
      </w:r>
      <w:r>
        <w:fldChar w:fldCharType="begin"/>
      </w:r>
      <w:r>
        <w:instrText xml:space="preserve"> PAGEREF _Toc5727 \h </w:instrText>
      </w:r>
      <w:r>
        <w:fldChar w:fldCharType="separate"/>
      </w:r>
      <w:r>
        <w:t>12</w:t>
      </w:r>
      <w:r>
        <w:fldChar w:fldCharType="end"/>
      </w:r>
      <w:r>
        <w:rPr>
          <w:rFonts w:hint="eastAsia" w:ascii="仿宋" w:hAnsi="仿宋" w:eastAsia="仿宋" w:cs="仿宋"/>
          <w:bCs/>
          <w:caps/>
          <w:szCs w:val="21"/>
        </w:rPr>
        <w:fldChar w:fldCharType="end"/>
      </w:r>
    </w:p>
    <w:p>
      <w:pPr>
        <w:pStyle w:val="32"/>
        <w:tabs>
          <w:tab w:val="right" w:leader="dot" w:pos="9184"/>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_Toc14461 </w:instrText>
      </w:r>
      <w:r>
        <w:rPr>
          <w:rFonts w:hint="eastAsia" w:ascii="仿宋" w:hAnsi="仿宋" w:eastAsia="仿宋" w:cs="仿宋"/>
          <w:bCs/>
          <w:caps/>
          <w:szCs w:val="21"/>
        </w:rPr>
        <w:fldChar w:fldCharType="separate"/>
      </w:r>
      <w:r>
        <w:rPr>
          <w:rFonts w:hint="eastAsia" w:ascii="仿宋" w:hAnsi="仿宋" w:eastAsia="仿宋" w:cs="仿宋"/>
          <w:szCs w:val="21"/>
        </w:rPr>
        <w:t>4. 响应文件提交</w:t>
      </w:r>
      <w:r>
        <w:rPr>
          <w:rFonts w:hint="eastAsia" w:ascii="仿宋" w:hAnsi="仿宋" w:eastAsia="仿宋" w:cs="仿宋"/>
          <w:szCs w:val="21"/>
          <w:lang w:val="en-US" w:eastAsia="zh-CN"/>
        </w:rPr>
        <w:t>...................................................</w:t>
      </w:r>
      <w:r>
        <w:fldChar w:fldCharType="begin"/>
      </w:r>
      <w:r>
        <w:instrText xml:space="preserve"> PAGEREF _Toc14461 \h </w:instrText>
      </w:r>
      <w:r>
        <w:fldChar w:fldCharType="separate"/>
      </w:r>
      <w:r>
        <w:t>15</w:t>
      </w:r>
      <w:r>
        <w:fldChar w:fldCharType="end"/>
      </w:r>
      <w:r>
        <w:rPr>
          <w:rFonts w:hint="eastAsia" w:ascii="仿宋" w:hAnsi="仿宋" w:eastAsia="仿宋" w:cs="仿宋"/>
          <w:bCs/>
          <w:caps/>
          <w:szCs w:val="21"/>
        </w:rPr>
        <w:fldChar w:fldCharType="end"/>
      </w:r>
    </w:p>
    <w:p>
      <w:pPr>
        <w:pStyle w:val="32"/>
        <w:tabs>
          <w:tab w:val="right" w:leader="dot" w:pos="9184"/>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_Toc23905 </w:instrText>
      </w:r>
      <w:r>
        <w:rPr>
          <w:rFonts w:hint="eastAsia" w:ascii="仿宋" w:hAnsi="仿宋" w:eastAsia="仿宋" w:cs="仿宋"/>
          <w:bCs/>
          <w:caps/>
          <w:szCs w:val="21"/>
        </w:rPr>
        <w:fldChar w:fldCharType="separate"/>
      </w:r>
      <w:r>
        <w:rPr>
          <w:rFonts w:hint="eastAsia" w:ascii="仿宋" w:hAnsi="仿宋" w:eastAsia="仿宋" w:cs="仿宋"/>
          <w:szCs w:val="21"/>
        </w:rPr>
        <w:t>5. 响应文件开启</w:t>
      </w:r>
      <w:r>
        <w:rPr>
          <w:rFonts w:hint="eastAsia" w:ascii="仿宋" w:hAnsi="仿宋" w:eastAsia="仿宋" w:cs="仿宋"/>
          <w:szCs w:val="21"/>
          <w:lang w:val="en-US" w:eastAsia="zh-CN"/>
        </w:rPr>
        <w:t>...................................................</w:t>
      </w:r>
      <w:r>
        <w:fldChar w:fldCharType="begin"/>
      </w:r>
      <w:r>
        <w:instrText xml:space="preserve"> PAGEREF _Toc23905 \h </w:instrText>
      </w:r>
      <w:r>
        <w:fldChar w:fldCharType="separate"/>
      </w:r>
      <w:r>
        <w:t>16</w:t>
      </w:r>
      <w:r>
        <w:fldChar w:fldCharType="end"/>
      </w:r>
      <w:r>
        <w:rPr>
          <w:rFonts w:hint="eastAsia" w:ascii="仿宋" w:hAnsi="仿宋" w:eastAsia="仿宋" w:cs="仿宋"/>
          <w:bCs/>
          <w:caps/>
          <w:szCs w:val="21"/>
        </w:rPr>
        <w:fldChar w:fldCharType="end"/>
      </w:r>
    </w:p>
    <w:p>
      <w:pPr>
        <w:pStyle w:val="32"/>
        <w:tabs>
          <w:tab w:val="right" w:leader="dot" w:pos="9184"/>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_Toc19632 </w:instrText>
      </w:r>
      <w:r>
        <w:rPr>
          <w:rFonts w:hint="eastAsia" w:ascii="仿宋" w:hAnsi="仿宋" w:eastAsia="仿宋" w:cs="仿宋"/>
          <w:bCs/>
          <w:caps/>
          <w:szCs w:val="21"/>
        </w:rPr>
        <w:fldChar w:fldCharType="separate"/>
      </w:r>
      <w:r>
        <w:rPr>
          <w:rFonts w:hint="eastAsia" w:ascii="仿宋" w:hAnsi="仿宋" w:eastAsia="仿宋" w:cs="仿宋"/>
          <w:bCs/>
        </w:rPr>
        <w:t>6.评审及磋商</w:t>
      </w:r>
      <w:r>
        <w:rPr>
          <w:rFonts w:hint="eastAsia" w:ascii="仿宋" w:hAnsi="仿宋" w:eastAsia="仿宋" w:cs="仿宋"/>
          <w:bCs/>
          <w:lang w:val="en-US" w:eastAsia="zh-CN"/>
        </w:rPr>
        <w:t>......................................................</w:t>
      </w:r>
      <w:r>
        <w:fldChar w:fldCharType="begin"/>
      </w:r>
      <w:r>
        <w:instrText xml:space="preserve"> PAGEREF _Toc19632 \h </w:instrText>
      </w:r>
      <w:r>
        <w:fldChar w:fldCharType="separate"/>
      </w:r>
      <w:r>
        <w:t>16</w:t>
      </w:r>
      <w:r>
        <w:fldChar w:fldCharType="end"/>
      </w:r>
      <w:r>
        <w:rPr>
          <w:rFonts w:hint="eastAsia" w:ascii="仿宋" w:hAnsi="仿宋" w:eastAsia="仿宋" w:cs="仿宋"/>
          <w:bCs/>
          <w:caps/>
          <w:szCs w:val="21"/>
        </w:rPr>
        <w:fldChar w:fldCharType="end"/>
      </w:r>
    </w:p>
    <w:p>
      <w:pPr>
        <w:pStyle w:val="32"/>
        <w:tabs>
          <w:tab w:val="right" w:leader="dot" w:pos="9184"/>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_Toc9663 </w:instrText>
      </w:r>
      <w:r>
        <w:rPr>
          <w:rFonts w:hint="eastAsia" w:ascii="仿宋" w:hAnsi="仿宋" w:eastAsia="仿宋" w:cs="仿宋"/>
          <w:bCs/>
          <w:caps/>
          <w:szCs w:val="21"/>
        </w:rPr>
        <w:fldChar w:fldCharType="separate"/>
      </w:r>
      <w:r>
        <w:rPr>
          <w:rFonts w:hint="eastAsia" w:ascii="仿宋" w:hAnsi="仿宋" w:eastAsia="仿宋" w:cs="仿宋"/>
          <w:bCs/>
        </w:rPr>
        <w:t>7.授予合同</w:t>
      </w:r>
      <w:r>
        <w:rPr>
          <w:rFonts w:hint="eastAsia" w:ascii="仿宋" w:hAnsi="仿宋" w:eastAsia="仿宋" w:cs="仿宋"/>
          <w:bCs/>
          <w:lang w:val="en-US" w:eastAsia="zh-CN"/>
        </w:rPr>
        <w:t>........................................................</w:t>
      </w:r>
      <w:r>
        <w:fldChar w:fldCharType="begin"/>
      </w:r>
      <w:r>
        <w:instrText xml:space="preserve"> PAGEREF _Toc9663 \h </w:instrText>
      </w:r>
      <w:r>
        <w:fldChar w:fldCharType="separate"/>
      </w:r>
      <w:r>
        <w:t>21</w:t>
      </w:r>
      <w:r>
        <w:fldChar w:fldCharType="end"/>
      </w:r>
      <w:r>
        <w:rPr>
          <w:rFonts w:hint="eastAsia" w:ascii="仿宋" w:hAnsi="仿宋" w:eastAsia="仿宋" w:cs="仿宋"/>
          <w:bCs/>
          <w:caps/>
          <w:szCs w:val="21"/>
        </w:rPr>
        <w:fldChar w:fldCharType="end"/>
      </w:r>
    </w:p>
    <w:p>
      <w:pPr>
        <w:pStyle w:val="32"/>
        <w:tabs>
          <w:tab w:val="right" w:leader="dot" w:pos="9184"/>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_Toc8907 </w:instrText>
      </w:r>
      <w:r>
        <w:rPr>
          <w:rFonts w:hint="eastAsia" w:ascii="仿宋" w:hAnsi="仿宋" w:eastAsia="仿宋" w:cs="仿宋"/>
          <w:bCs/>
          <w:caps/>
          <w:szCs w:val="21"/>
        </w:rPr>
        <w:fldChar w:fldCharType="separate"/>
      </w:r>
      <w:r>
        <w:rPr>
          <w:rFonts w:hint="eastAsia" w:ascii="仿宋" w:hAnsi="仿宋" w:eastAsia="仿宋" w:cs="仿宋"/>
          <w:bCs/>
        </w:rPr>
        <w:t>8.其他</w:t>
      </w:r>
      <w:r>
        <w:rPr>
          <w:rFonts w:hint="eastAsia" w:ascii="仿宋" w:hAnsi="仿宋" w:eastAsia="仿宋" w:cs="仿宋"/>
          <w:bCs/>
          <w:lang w:val="en-US" w:eastAsia="zh-CN"/>
        </w:rPr>
        <w:t>............................................................</w:t>
      </w:r>
      <w:r>
        <w:fldChar w:fldCharType="begin"/>
      </w:r>
      <w:r>
        <w:instrText xml:space="preserve"> PAGEREF _Toc8907 \h </w:instrText>
      </w:r>
      <w:r>
        <w:fldChar w:fldCharType="separate"/>
      </w:r>
      <w:r>
        <w:t>22</w:t>
      </w:r>
      <w:r>
        <w:fldChar w:fldCharType="end"/>
      </w:r>
      <w:r>
        <w:rPr>
          <w:rFonts w:hint="eastAsia" w:ascii="仿宋" w:hAnsi="仿宋" w:eastAsia="仿宋" w:cs="仿宋"/>
          <w:bCs/>
          <w:caps/>
          <w:szCs w:val="21"/>
        </w:rPr>
        <w:fldChar w:fldCharType="end"/>
      </w:r>
    </w:p>
    <w:p>
      <w:pPr>
        <w:pStyle w:val="42"/>
        <w:tabs>
          <w:tab w:val="right" w:leader="dot" w:pos="9184"/>
          <w:tab w:val="clear" w:pos="9060"/>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_Toc23409 </w:instrText>
      </w:r>
      <w:r>
        <w:rPr>
          <w:rFonts w:hint="eastAsia" w:ascii="仿宋" w:hAnsi="仿宋" w:eastAsia="仿宋" w:cs="仿宋"/>
          <w:bCs/>
          <w:caps/>
          <w:szCs w:val="21"/>
        </w:rPr>
        <w:fldChar w:fldCharType="separate"/>
      </w:r>
      <w:r>
        <w:rPr>
          <w:rFonts w:hint="eastAsia" w:ascii="仿宋" w:hAnsi="仿宋" w:eastAsia="仿宋" w:cs="仿宋"/>
          <w:szCs w:val="32"/>
        </w:rPr>
        <w:t>第三章  采购人需求及技术要求</w:t>
      </w:r>
      <w:r>
        <w:rPr>
          <w:rFonts w:hint="eastAsia" w:ascii="仿宋" w:hAnsi="仿宋" w:eastAsia="仿宋" w:cs="仿宋"/>
          <w:szCs w:val="32"/>
          <w:lang w:val="en-US" w:eastAsia="zh-CN"/>
        </w:rPr>
        <w:t>.....................................</w:t>
      </w:r>
      <w:r>
        <w:fldChar w:fldCharType="begin"/>
      </w:r>
      <w:r>
        <w:instrText xml:space="preserve"> PAGEREF _Toc23409 \h </w:instrText>
      </w:r>
      <w:r>
        <w:fldChar w:fldCharType="separate"/>
      </w:r>
      <w:r>
        <w:t>24</w:t>
      </w:r>
      <w:r>
        <w:fldChar w:fldCharType="end"/>
      </w:r>
      <w:r>
        <w:rPr>
          <w:rFonts w:hint="eastAsia" w:ascii="仿宋" w:hAnsi="仿宋" w:eastAsia="仿宋" w:cs="仿宋"/>
          <w:bCs/>
          <w:caps/>
          <w:szCs w:val="21"/>
        </w:rPr>
        <w:fldChar w:fldCharType="end"/>
      </w:r>
    </w:p>
    <w:p>
      <w:pPr>
        <w:pStyle w:val="42"/>
        <w:tabs>
          <w:tab w:val="right" w:leader="dot" w:pos="9184"/>
          <w:tab w:val="clear" w:pos="9060"/>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_Toc2255 </w:instrText>
      </w:r>
      <w:r>
        <w:rPr>
          <w:rFonts w:hint="eastAsia" w:ascii="仿宋" w:hAnsi="仿宋" w:eastAsia="仿宋" w:cs="仿宋"/>
          <w:bCs/>
          <w:caps/>
          <w:szCs w:val="21"/>
        </w:rPr>
        <w:fldChar w:fldCharType="separate"/>
      </w:r>
      <w:r>
        <w:rPr>
          <w:rFonts w:hint="eastAsia" w:ascii="仿宋" w:hAnsi="仿宋" w:eastAsia="仿宋" w:cs="仿宋"/>
          <w:bCs/>
          <w:szCs w:val="32"/>
        </w:rPr>
        <w:t>第四章  合同协议书（格式）</w:t>
      </w:r>
      <w:r>
        <w:rPr>
          <w:rFonts w:hint="eastAsia" w:ascii="仿宋" w:hAnsi="仿宋" w:eastAsia="仿宋" w:cs="仿宋"/>
          <w:bCs/>
          <w:szCs w:val="32"/>
          <w:lang w:val="en-US" w:eastAsia="zh-CN"/>
        </w:rPr>
        <w:t>.......................................</w:t>
      </w:r>
      <w:r>
        <w:fldChar w:fldCharType="begin"/>
      </w:r>
      <w:r>
        <w:instrText xml:space="preserve"> PAGEREF _Toc2255 \h </w:instrText>
      </w:r>
      <w:r>
        <w:fldChar w:fldCharType="separate"/>
      </w:r>
      <w:r>
        <w:t>25</w:t>
      </w:r>
      <w:r>
        <w:fldChar w:fldCharType="end"/>
      </w:r>
      <w:r>
        <w:rPr>
          <w:rFonts w:hint="eastAsia" w:ascii="仿宋" w:hAnsi="仿宋" w:eastAsia="仿宋" w:cs="仿宋"/>
          <w:bCs/>
          <w:caps/>
          <w:szCs w:val="21"/>
        </w:rPr>
        <w:fldChar w:fldCharType="end"/>
      </w:r>
    </w:p>
    <w:p>
      <w:pPr>
        <w:pStyle w:val="42"/>
        <w:tabs>
          <w:tab w:val="right" w:leader="dot" w:pos="9184"/>
          <w:tab w:val="clear" w:pos="9060"/>
        </w:tabs>
      </w:pPr>
      <w:r>
        <w:rPr>
          <w:rFonts w:hint="eastAsia" w:ascii="仿宋" w:hAnsi="仿宋" w:eastAsia="仿宋" w:cs="仿宋"/>
          <w:bCs/>
          <w:caps/>
          <w:szCs w:val="21"/>
        </w:rPr>
        <w:fldChar w:fldCharType="begin"/>
      </w:r>
      <w:r>
        <w:rPr>
          <w:rFonts w:hint="eastAsia" w:ascii="仿宋" w:hAnsi="仿宋" w:eastAsia="仿宋" w:cs="仿宋"/>
          <w:bCs/>
          <w:caps/>
          <w:szCs w:val="21"/>
        </w:rPr>
        <w:instrText xml:space="preserve"> HYPERLINK \l _Toc22435 </w:instrText>
      </w:r>
      <w:r>
        <w:rPr>
          <w:rFonts w:hint="eastAsia" w:ascii="仿宋" w:hAnsi="仿宋" w:eastAsia="仿宋" w:cs="仿宋"/>
          <w:bCs/>
          <w:caps/>
          <w:szCs w:val="21"/>
        </w:rPr>
        <w:fldChar w:fldCharType="separate"/>
      </w:r>
      <w:r>
        <w:rPr>
          <w:rFonts w:hint="eastAsia" w:ascii="仿宋" w:hAnsi="仿宋" w:eastAsia="仿宋" w:cs="仿宋"/>
          <w:kern w:val="0"/>
          <w:szCs w:val="32"/>
        </w:rPr>
        <w:t>第五章  响应文件部分格式</w:t>
      </w:r>
      <w:r>
        <w:rPr>
          <w:rFonts w:hint="eastAsia" w:ascii="仿宋" w:hAnsi="仿宋" w:eastAsia="仿宋" w:cs="仿宋"/>
          <w:kern w:val="0"/>
          <w:szCs w:val="32"/>
          <w:lang w:val="en-US" w:eastAsia="zh-CN"/>
        </w:rPr>
        <w:t>.........................................</w:t>
      </w:r>
      <w:r>
        <w:fldChar w:fldCharType="begin"/>
      </w:r>
      <w:r>
        <w:instrText xml:space="preserve"> PAGEREF _Toc22435 \h </w:instrText>
      </w:r>
      <w:r>
        <w:fldChar w:fldCharType="separate"/>
      </w:r>
      <w:r>
        <w:t>36</w:t>
      </w:r>
      <w:r>
        <w:fldChar w:fldCharType="end"/>
      </w:r>
      <w:r>
        <w:rPr>
          <w:rFonts w:hint="eastAsia" w:ascii="仿宋" w:hAnsi="仿宋" w:eastAsia="仿宋" w:cs="仿宋"/>
          <w:bCs/>
          <w:caps/>
          <w:szCs w:val="21"/>
        </w:rPr>
        <w:fldChar w:fldCharType="end"/>
      </w:r>
    </w:p>
    <w:p>
      <w:pPr>
        <w:pStyle w:val="42"/>
        <w:tabs>
          <w:tab w:val="right" w:leader="dot" w:pos="9184"/>
          <w:tab w:val="clear" w:pos="9060"/>
        </w:tabs>
      </w:pPr>
    </w:p>
    <w:p>
      <w:pPr>
        <w:tabs>
          <w:tab w:val="right" w:pos="7560"/>
        </w:tabs>
        <w:spacing w:line="480" w:lineRule="auto"/>
        <w:jc w:val="left"/>
        <w:rPr>
          <w:rFonts w:ascii="仿宋" w:hAnsi="仿宋" w:eastAsia="仿宋" w:cs="仿宋"/>
          <w:bCs/>
          <w:caps/>
          <w:szCs w:val="21"/>
        </w:rPr>
      </w:pPr>
      <w:r>
        <w:rPr>
          <w:rFonts w:hint="eastAsia" w:ascii="仿宋" w:hAnsi="仿宋" w:eastAsia="仿宋" w:cs="仿宋"/>
          <w:bCs/>
          <w:caps/>
          <w:szCs w:val="21"/>
        </w:rPr>
        <w:fldChar w:fldCharType="end"/>
      </w:r>
    </w:p>
    <w:p>
      <w:pPr>
        <w:tabs>
          <w:tab w:val="right" w:pos="7560"/>
        </w:tabs>
        <w:spacing w:line="360" w:lineRule="auto"/>
        <w:jc w:val="center"/>
        <w:outlineLvl w:val="0"/>
        <w:rPr>
          <w:rFonts w:hint="eastAsia" w:ascii="仿宋" w:hAnsi="仿宋" w:eastAsia="仿宋" w:cs="仿宋"/>
          <w:b/>
          <w:bCs/>
          <w:sz w:val="28"/>
          <w:szCs w:val="28"/>
        </w:rPr>
        <w:sectPr>
          <w:footerReference r:id="rId6" w:type="default"/>
          <w:pgSz w:w="11907" w:h="16840"/>
          <w:pgMar w:top="1474" w:right="1814" w:bottom="1474" w:left="1814" w:header="851" w:footer="851" w:gutter="0"/>
          <w:pgNumType w:fmt="decimal" w:start="1"/>
          <w:cols w:space="720" w:num="1"/>
          <w:docGrid w:linePitch="462" w:charSpace="0"/>
        </w:sectPr>
      </w:pPr>
      <w:bookmarkStart w:id="1" w:name="_Toc25904"/>
      <w:bookmarkStart w:id="241" w:name="_GoBack"/>
      <w:bookmarkEnd w:id="241"/>
    </w:p>
    <w:p>
      <w:pPr>
        <w:tabs>
          <w:tab w:val="right" w:pos="7560"/>
        </w:tabs>
        <w:spacing w:line="360" w:lineRule="auto"/>
        <w:jc w:val="center"/>
        <w:outlineLvl w:val="0"/>
        <w:rPr>
          <w:rFonts w:ascii="仿宋" w:hAnsi="仿宋" w:eastAsia="仿宋" w:cs="仿宋"/>
          <w:b/>
          <w:bCs/>
          <w:sz w:val="28"/>
          <w:szCs w:val="28"/>
        </w:rPr>
      </w:pPr>
      <w:r>
        <w:rPr>
          <w:rFonts w:hint="eastAsia" w:ascii="仿宋" w:hAnsi="仿宋" w:eastAsia="仿宋" w:cs="仿宋"/>
          <w:b/>
          <w:bCs/>
          <w:sz w:val="28"/>
          <w:szCs w:val="28"/>
        </w:rPr>
        <w:t>第一章  竞争性磋商公告</w:t>
      </w:r>
      <w:bookmarkEnd w:id="1"/>
    </w:p>
    <w:p>
      <w:pPr>
        <w:snapToGrid w:val="0"/>
        <w:spacing w:line="360" w:lineRule="auto"/>
        <w:ind w:firstLine="482" w:firstLineChars="200"/>
        <w:jc w:val="left"/>
        <w:textAlignment w:val="baseline"/>
        <w:rPr>
          <w:rFonts w:ascii="仿宋" w:hAnsi="仿宋" w:eastAsia="仿宋" w:cs="仿宋"/>
          <w:b/>
          <w:bCs/>
          <w:sz w:val="24"/>
        </w:rPr>
      </w:pPr>
      <w:bookmarkStart w:id="2" w:name="OLE_LINK3"/>
      <w:bookmarkStart w:id="3" w:name="OLE_LINK2"/>
      <w:r>
        <w:rPr>
          <w:rFonts w:hint="eastAsia" w:ascii="仿宋" w:hAnsi="仿宋" w:eastAsia="仿宋" w:cs="仿宋"/>
          <w:b/>
          <w:bCs/>
          <w:sz w:val="24"/>
        </w:rPr>
        <w:t>项目概况</w:t>
      </w:r>
    </w:p>
    <w:p>
      <w:pPr>
        <w:snapToGrid w:val="0"/>
        <w:spacing w:line="360" w:lineRule="auto"/>
        <w:ind w:left="420"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安阳市城区饮用水水源地调整替代方案编制项目</w:t>
      </w:r>
      <w:r>
        <w:rPr>
          <w:rFonts w:hint="eastAsia" w:ascii="仿宋" w:hAnsi="仿宋" w:eastAsia="仿宋" w:cs="仿宋"/>
          <w:bCs/>
          <w:sz w:val="24"/>
          <w:lang w:eastAsia="zh-CN"/>
        </w:rPr>
        <w:t>（</w:t>
      </w:r>
      <w:r>
        <w:rPr>
          <w:rFonts w:hint="eastAsia" w:ascii="仿宋" w:hAnsi="仿宋" w:eastAsia="仿宋" w:cs="仿宋"/>
          <w:bCs/>
          <w:sz w:val="24"/>
          <w:lang w:val="en-US" w:eastAsia="zh-CN"/>
        </w:rPr>
        <w:t>二次</w:t>
      </w:r>
      <w:r>
        <w:rPr>
          <w:rFonts w:hint="eastAsia" w:ascii="仿宋" w:hAnsi="仿宋" w:eastAsia="仿宋" w:cs="仿宋"/>
          <w:bCs/>
          <w:sz w:val="24"/>
          <w:lang w:eastAsia="zh-CN"/>
        </w:rPr>
        <w:t>）</w:t>
      </w:r>
      <w:r>
        <w:rPr>
          <w:rFonts w:hint="eastAsia" w:ascii="仿宋" w:hAnsi="仿宋" w:eastAsia="仿宋" w:cs="仿宋"/>
          <w:bCs/>
          <w:sz w:val="24"/>
        </w:rPr>
        <w:t>的潜在投标人应登录安阳市公共资源交易中心网站（http://ggzy.anyang.gov.cn/）网站，数字证书点击【投标用户入口】登录系统，获取电子版磋商文件及其他资料，此为获取磋商文件的唯一途径。并于 2023 年 1</w:t>
      </w:r>
      <w:r>
        <w:rPr>
          <w:rFonts w:hint="eastAsia" w:ascii="仿宋" w:hAnsi="仿宋" w:eastAsia="仿宋" w:cs="仿宋"/>
          <w:bCs/>
          <w:sz w:val="24"/>
          <w:lang w:val="en-US" w:eastAsia="zh-CN"/>
        </w:rPr>
        <w:t>2</w:t>
      </w:r>
      <w:r>
        <w:rPr>
          <w:rFonts w:hint="eastAsia" w:ascii="仿宋" w:hAnsi="仿宋" w:eastAsia="仿宋" w:cs="仿宋"/>
          <w:bCs/>
          <w:sz w:val="24"/>
        </w:rPr>
        <w:t xml:space="preserve"> 月</w:t>
      </w:r>
      <w:r>
        <w:rPr>
          <w:rFonts w:hint="eastAsia" w:ascii="仿宋" w:hAnsi="仿宋" w:eastAsia="仿宋" w:cs="仿宋"/>
          <w:bCs/>
          <w:sz w:val="24"/>
          <w:lang w:val="en-US" w:eastAsia="zh-CN"/>
        </w:rPr>
        <w:t>22</w:t>
      </w:r>
      <w:r>
        <w:rPr>
          <w:rFonts w:hint="eastAsia" w:ascii="仿宋" w:hAnsi="仿宋" w:eastAsia="仿宋" w:cs="仿宋"/>
          <w:bCs/>
          <w:sz w:val="24"/>
        </w:rPr>
        <w:t>日</w:t>
      </w:r>
      <w:r>
        <w:rPr>
          <w:rFonts w:hint="eastAsia" w:ascii="仿宋" w:hAnsi="仿宋" w:eastAsia="仿宋" w:cs="仿宋"/>
          <w:bCs/>
          <w:sz w:val="24"/>
          <w:lang w:val="en-US" w:eastAsia="zh-CN"/>
        </w:rPr>
        <w:t>9</w:t>
      </w:r>
      <w:r>
        <w:rPr>
          <w:rFonts w:hint="eastAsia" w:ascii="仿宋" w:hAnsi="仿宋" w:eastAsia="仿宋" w:cs="仿宋"/>
          <w:bCs/>
          <w:sz w:val="24"/>
        </w:rPr>
        <w:t>时 00 分（北京时间）前递交响应文件。</w:t>
      </w:r>
    </w:p>
    <w:p>
      <w:pPr>
        <w:snapToGrid w:val="0"/>
        <w:spacing w:line="360" w:lineRule="auto"/>
        <w:ind w:left="420"/>
        <w:jc w:val="left"/>
        <w:textAlignment w:val="baseline"/>
        <w:rPr>
          <w:rFonts w:ascii="仿宋" w:hAnsi="仿宋" w:eastAsia="仿宋" w:cs="仿宋"/>
          <w:b/>
          <w:sz w:val="24"/>
        </w:rPr>
      </w:pPr>
      <w:r>
        <w:rPr>
          <w:rFonts w:hint="eastAsia" w:ascii="仿宋" w:hAnsi="仿宋" w:eastAsia="仿宋" w:cs="仿宋"/>
          <w:b/>
          <w:sz w:val="24"/>
        </w:rPr>
        <w:t>一、项目基本情况</w:t>
      </w:r>
    </w:p>
    <w:p>
      <w:pPr>
        <w:snapToGrid w:val="0"/>
        <w:spacing w:line="360" w:lineRule="auto"/>
        <w:ind w:left="420"/>
        <w:jc w:val="left"/>
        <w:textAlignment w:val="baseline"/>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安财磋商采购-2023-82</w:t>
      </w:r>
      <w:r>
        <w:rPr>
          <w:rFonts w:hint="eastAsia" w:ascii="宋体" w:hAnsi="宋体" w:cs="宋体"/>
          <w:szCs w:val="21"/>
        </w:rPr>
        <w:t xml:space="preserve"> </w:t>
      </w:r>
    </w:p>
    <w:p>
      <w:pPr>
        <w:snapToGrid w:val="0"/>
        <w:spacing w:line="360" w:lineRule="auto"/>
        <w:ind w:left="420"/>
        <w:jc w:val="left"/>
        <w:textAlignment w:val="baseline"/>
        <w:rPr>
          <w:rFonts w:hint="eastAsia" w:ascii="仿宋" w:hAnsi="仿宋" w:eastAsia="仿宋" w:cs="仿宋"/>
          <w:bCs/>
          <w:sz w:val="24"/>
          <w:lang w:eastAsia="zh-CN"/>
        </w:rPr>
      </w:pPr>
      <w:r>
        <w:rPr>
          <w:rFonts w:hint="eastAsia" w:ascii="仿宋" w:hAnsi="仿宋" w:eastAsia="仿宋" w:cs="仿宋"/>
          <w:sz w:val="24"/>
        </w:rPr>
        <w:t>2.项目名称：</w:t>
      </w:r>
      <w:r>
        <w:rPr>
          <w:rFonts w:hint="eastAsia" w:ascii="仿宋" w:hAnsi="仿宋" w:eastAsia="仿宋" w:cs="仿宋"/>
          <w:bCs/>
          <w:sz w:val="24"/>
        </w:rPr>
        <w:t>安阳市城区饮用水水源地调整替代方案编制项目</w:t>
      </w:r>
      <w:r>
        <w:rPr>
          <w:rFonts w:hint="eastAsia" w:ascii="仿宋" w:hAnsi="仿宋" w:eastAsia="仿宋" w:cs="仿宋"/>
          <w:bCs/>
          <w:sz w:val="24"/>
          <w:lang w:eastAsia="zh-CN"/>
        </w:rPr>
        <w:t>（</w:t>
      </w:r>
      <w:r>
        <w:rPr>
          <w:rFonts w:hint="eastAsia" w:ascii="仿宋" w:hAnsi="仿宋" w:eastAsia="仿宋" w:cs="仿宋"/>
          <w:bCs/>
          <w:sz w:val="24"/>
          <w:lang w:val="en-US" w:eastAsia="zh-CN"/>
        </w:rPr>
        <w:t>二次</w:t>
      </w:r>
      <w:r>
        <w:rPr>
          <w:rFonts w:hint="eastAsia" w:ascii="仿宋" w:hAnsi="仿宋" w:eastAsia="仿宋" w:cs="仿宋"/>
          <w:bCs/>
          <w:sz w:val="24"/>
          <w:lang w:eastAsia="zh-CN"/>
        </w:rPr>
        <w:t>）</w:t>
      </w:r>
    </w:p>
    <w:p>
      <w:pPr>
        <w:snapToGrid w:val="0"/>
        <w:spacing w:line="360" w:lineRule="auto"/>
        <w:ind w:left="420"/>
        <w:jc w:val="left"/>
        <w:textAlignment w:val="baseline"/>
        <w:rPr>
          <w:rFonts w:ascii="仿宋" w:hAnsi="仿宋" w:eastAsia="仿宋" w:cs="仿宋"/>
          <w:sz w:val="24"/>
        </w:rPr>
      </w:pPr>
      <w:r>
        <w:rPr>
          <w:rFonts w:hint="eastAsia" w:ascii="仿宋" w:hAnsi="仿宋" w:eastAsia="仿宋" w:cs="仿宋"/>
          <w:sz w:val="24"/>
        </w:rPr>
        <w:t>3.采购方式：竞争性磋商</w:t>
      </w:r>
    </w:p>
    <w:p>
      <w:pPr>
        <w:snapToGrid w:val="0"/>
        <w:spacing w:line="360" w:lineRule="auto"/>
        <w:ind w:left="420"/>
        <w:jc w:val="left"/>
        <w:textAlignment w:val="baseline"/>
        <w:rPr>
          <w:rFonts w:ascii="仿宋" w:hAnsi="仿宋" w:eastAsia="仿宋" w:cs="仿宋"/>
          <w:sz w:val="24"/>
        </w:rPr>
      </w:pPr>
      <w:r>
        <w:rPr>
          <w:rFonts w:hint="eastAsia" w:ascii="仿宋" w:hAnsi="仿宋" w:eastAsia="仿宋" w:cs="仿宋"/>
          <w:sz w:val="24"/>
        </w:rPr>
        <w:t>4.预算金额：1</w:t>
      </w:r>
      <w:r>
        <w:rPr>
          <w:rFonts w:hint="eastAsia" w:ascii="仿宋" w:hAnsi="仿宋" w:eastAsia="仿宋" w:cs="仿宋"/>
          <w:sz w:val="24"/>
          <w:lang w:val="en-US" w:eastAsia="zh-CN"/>
        </w:rPr>
        <w:t>0</w:t>
      </w:r>
      <w:r>
        <w:rPr>
          <w:rFonts w:hint="eastAsia" w:ascii="仿宋" w:hAnsi="仿宋" w:eastAsia="仿宋" w:cs="仿宋"/>
          <w:sz w:val="24"/>
        </w:rPr>
        <w:t>00000元</w:t>
      </w:r>
    </w:p>
    <w:p>
      <w:pPr>
        <w:snapToGrid w:val="0"/>
        <w:spacing w:line="360" w:lineRule="auto"/>
        <w:ind w:left="420" w:firstLine="240" w:firstLineChars="100"/>
        <w:jc w:val="left"/>
        <w:textAlignment w:val="baseline"/>
        <w:rPr>
          <w:rFonts w:ascii="仿宋" w:hAnsi="仿宋" w:eastAsia="仿宋" w:cs="仿宋"/>
          <w:sz w:val="24"/>
        </w:rPr>
      </w:pPr>
      <w:r>
        <w:rPr>
          <w:rFonts w:hint="eastAsia" w:ascii="仿宋" w:hAnsi="仿宋" w:eastAsia="仿宋" w:cs="仿宋"/>
          <w:sz w:val="24"/>
        </w:rPr>
        <w:t>政府采购最高限价1</w:t>
      </w:r>
      <w:r>
        <w:rPr>
          <w:rFonts w:hint="eastAsia" w:ascii="仿宋" w:hAnsi="仿宋" w:eastAsia="仿宋" w:cs="仿宋"/>
          <w:sz w:val="24"/>
          <w:lang w:val="en-US" w:eastAsia="zh-CN"/>
        </w:rPr>
        <w:t>0</w:t>
      </w:r>
      <w:r>
        <w:rPr>
          <w:rFonts w:hint="eastAsia" w:ascii="仿宋" w:hAnsi="仿宋" w:eastAsia="仿宋" w:cs="仿宋"/>
          <w:sz w:val="24"/>
        </w:rPr>
        <w:t>00000元</w:t>
      </w:r>
    </w:p>
    <w:p>
      <w:pPr>
        <w:snapToGrid w:val="0"/>
        <w:spacing w:line="360" w:lineRule="auto"/>
        <w:ind w:left="420"/>
        <w:jc w:val="left"/>
        <w:textAlignment w:val="baseline"/>
        <w:rPr>
          <w:rFonts w:ascii="仿宋" w:hAnsi="仿宋" w:eastAsia="仿宋" w:cs="仿宋"/>
          <w:sz w:val="24"/>
        </w:rPr>
      </w:pPr>
      <w:r>
        <w:rPr>
          <w:rFonts w:hint="eastAsia" w:ascii="仿宋" w:hAnsi="仿宋" w:eastAsia="仿宋" w:cs="仿宋"/>
          <w:sz w:val="24"/>
        </w:rPr>
        <w:t>5.采购需求：（包括但不限于标的的名称、数量、简要技术需求或服务要求等）</w:t>
      </w:r>
    </w:p>
    <w:p>
      <w:pPr>
        <w:snapToGri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rPr>
        <w:t>5.1采购内容及数量：（详见采购人需求及技术要求）</w:t>
      </w:r>
    </w:p>
    <w:p>
      <w:pPr>
        <w:snapToGri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rPr>
        <w:t>5.2服务地点：采购人指定地点。</w:t>
      </w:r>
    </w:p>
    <w:p>
      <w:pPr>
        <w:snapToGri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rPr>
        <w:t>5.3质量要求：合格，符合国家及行业相关规范和标准。</w:t>
      </w:r>
    </w:p>
    <w:p>
      <w:pPr>
        <w:snapToGri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rPr>
        <w:t>5.</w:t>
      </w:r>
      <w:r>
        <w:rPr>
          <w:rFonts w:hint="eastAsia" w:ascii="仿宋" w:hAnsi="仿宋" w:eastAsia="仿宋" w:cs="仿宋"/>
          <w:bCs/>
          <w:sz w:val="24"/>
          <w:lang w:val="en-US" w:eastAsia="zh-CN"/>
        </w:rPr>
        <w:t>4</w:t>
      </w:r>
      <w:r>
        <w:rPr>
          <w:rFonts w:hint="eastAsia" w:ascii="仿宋" w:hAnsi="仿宋" w:eastAsia="仿宋" w:cs="仿宋"/>
          <w:bCs/>
          <w:sz w:val="24"/>
        </w:rPr>
        <w:t>验收标准：按国家行业标准验收。</w:t>
      </w:r>
    </w:p>
    <w:p>
      <w:pPr>
        <w:snapToGrid w:val="0"/>
        <w:spacing w:line="360" w:lineRule="auto"/>
        <w:ind w:left="420"/>
        <w:jc w:val="left"/>
        <w:textAlignment w:val="baseline"/>
        <w:rPr>
          <w:rFonts w:ascii="仿宋" w:hAnsi="仿宋" w:eastAsia="仿宋" w:cs="仿宋"/>
          <w:sz w:val="24"/>
        </w:rPr>
      </w:pPr>
      <w:r>
        <w:rPr>
          <w:rFonts w:hint="eastAsia" w:ascii="仿宋" w:hAnsi="仿宋" w:eastAsia="仿宋" w:cs="仿宋"/>
          <w:sz w:val="24"/>
        </w:rPr>
        <w:t>6.合同履行期限：</w:t>
      </w:r>
      <w:r>
        <w:rPr>
          <w:rFonts w:hint="eastAsia" w:ascii="仿宋" w:hAnsi="仿宋" w:eastAsia="仿宋" w:cs="仿宋"/>
          <w:sz w:val="24"/>
          <w:lang w:val="en-US" w:eastAsia="zh-CN"/>
        </w:rPr>
        <w:t>合同签订后60日历天完成</w:t>
      </w:r>
      <w:r>
        <w:rPr>
          <w:rFonts w:hint="eastAsia" w:ascii="仿宋" w:hAnsi="仿宋" w:eastAsia="仿宋" w:cs="仿宋"/>
          <w:sz w:val="24"/>
        </w:rPr>
        <w:t>。</w:t>
      </w:r>
    </w:p>
    <w:p>
      <w:pPr>
        <w:snapToGrid w:val="0"/>
        <w:spacing w:line="360" w:lineRule="auto"/>
        <w:ind w:left="420"/>
        <w:jc w:val="left"/>
        <w:textAlignment w:val="baseline"/>
        <w:rPr>
          <w:rFonts w:ascii="仿宋" w:hAnsi="仿宋" w:eastAsia="仿宋" w:cs="仿宋"/>
          <w:sz w:val="24"/>
        </w:rPr>
      </w:pPr>
      <w:r>
        <w:rPr>
          <w:rFonts w:hint="eastAsia" w:ascii="仿宋" w:hAnsi="仿宋" w:eastAsia="仿宋" w:cs="仿宋"/>
          <w:sz w:val="24"/>
        </w:rPr>
        <w:t>7.本项目是否接受联合体投标：否</w:t>
      </w:r>
    </w:p>
    <w:p>
      <w:pPr>
        <w:snapToGrid w:val="0"/>
        <w:spacing w:line="360" w:lineRule="auto"/>
        <w:ind w:left="420"/>
        <w:jc w:val="left"/>
        <w:textAlignment w:val="baseline"/>
        <w:rPr>
          <w:rFonts w:hint="eastAsia" w:ascii="仿宋" w:hAnsi="仿宋" w:eastAsia="仿宋" w:cs="仿宋"/>
          <w:sz w:val="24"/>
        </w:rPr>
      </w:pPr>
      <w:r>
        <w:rPr>
          <w:rFonts w:hint="eastAsia" w:ascii="仿宋" w:hAnsi="仿宋" w:eastAsia="仿宋" w:cs="仿宋"/>
          <w:sz w:val="24"/>
        </w:rPr>
        <w:t>8.是否接受进口产品：否</w:t>
      </w:r>
    </w:p>
    <w:p>
      <w:pPr>
        <w:snapToGrid w:val="0"/>
        <w:spacing w:line="360" w:lineRule="auto"/>
        <w:ind w:left="420"/>
        <w:jc w:val="left"/>
        <w:textAlignment w:val="baseline"/>
        <w:rPr>
          <w:rFonts w:hint="eastAsia" w:ascii="仿宋" w:hAnsi="仿宋" w:eastAsia="仿宋" w:cs="仿宋"/>
          <w:b w:val="0"/>
          <w:bCs w:val="0"/>
          <w:kern w:val="2"/>
          <w:sz w:val="24"/>
          <w:szCs w:val="24"/>
          <w:lang w:val="en-US" w:eastAsia="zh-CN" w:bidi="ar-SA"/>
        </w:rPr>
      </w:pPr>
      <w:r>
        <w:rPr>
          <w:rFonts w:hint="eastAsia" w:ascii="仿宋" w:hAnsi="仿宋" w:eastAsia="仿宋" w:cs="仿宋"/>
          <w:sz w:val="24"/>
          <w:lang w:val="en-US" w:eastAsia="zh-CN"/>
        </w:rPr>
        <w:t>9.</w:t>
      </w:r>
      <w:r>
        <w:rPr>
          <w:rFonts w:hint="eastAsia" w:ascii="仿宋" w:hAnsi="仿宋" w:eastAsia="仿宋" w:cs="仿宋"/>
          <w:b w:val="0"/>
          <w:bCs w:val="0"/>
          <w:kern w:val="2"/>
          <w:sz w:val="24"/>
          <w:szCs w:val="24"/>
          <w:lang w:val="en-US" w:eastAsia="zh-CN" w:bidi="ar-SA"/>
        </w:rPr>
        <w:t>本项目是否专门面向中小企业：否</w:t>
      </w:r>
    </w:p>
    <w:p>
      <w:pPr>
        <w:snapToGrid w:val="0"/>
        <w:spacing w:line="360" w:lineRule="auto"/>
        <w:ind w:firstLine="482" w:firstLineChars="200"/>
        <w:jc w:val="left"/>
        <w:textAlignment w:val="baseline"/>
        <w:rPr>
          <w:rFonts w:ascii="仿宋" w:hAnsi="仿宋" w:eastAsia="仿宋" w:cs="仿宋"/>
          <w:b/>
          <w:sz w:val="24"/>
        </w:rPr>
      </w:pPr>
      <w:r>
        <w:rPr>
          <w:rFonts w:hint="eastAsia" w:ascii="仿宋" w:hAnsi="仿宋" w:eastAsia="仿宋" w:cs="仿宋"/>
          <w:b/>
          <w:sz w:val="24"/>
        </w:rPr>
        <w:t>二、申请人的资格要求：</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1.1符合《中华人民共和国政府采购法》第22 条的规定：</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（一）具有独立承担民事责任的能力；</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（二）具有良好的商业信誉和健全的财务会计制度（提供近三任一年度财务审计报告或其基本户开户行银行出具的资信证明）；</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（三）具有履行合同所必需的设备和专业技术能力（提供书面承诺，格式自拟）；</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（四）有依法缴纳税收和社会保障资金的良好记录（提供2023年1月1日以来任意1个月的缴纳证明）；</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（五）参加政府采购活动前三年内，在经营活动中没有重大违法记录（提供书面承诺，格式自拟）。</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1.2在中华人民共和国境内注册的具有独立法人资格的单位，具有营业执照（或事业单位法人证书）、税务登记证、组织机构代码证（或提供带有统一社会信用代码的证件）。</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3</w:t>
      </w:r>
      <w:r>
        <w:rPr>
          <w:rFonts w:hint="eastAsia" w:ascii="仿宋" w:hAnsi="仿宋" w:eastAsia="仿宋" w:cs="仿宋"/>
          <w:bCs/>
          <w:sz w:val="24"/>
        </w:rPr>
        <w:t xml:space="preserve"> 供应商应为无不良信用记录单位（失信被执行人、重大税收违法案件当事人名单、政府采购严重违法失信行为记录）。查询渠道：“信用中国”网站（www.creditchina.gov.cn）、中国政府采购网（www.ccgp.gov.cn）。</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4</w:t>
      </w:r>
      <w:r>
        <w:rPr>
          <w:rFonts w:hint="eastAsia" w:ascii="仿宋" w:hAnsi="仿宋" w:eastAsia="仿宋" w:cs="仿宋"/>
          <w:bCs/>
          <w:sz w:val="24"/>
        </w:rPr>
        <w:t>本项目不接受联合体投标。</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三、获取采购文件</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1.时间：2023 年</w:t>
      </w:r>
      <w:r>
        <w:rPr>
          <w:rFonts w:hint="eastAsia" w:ascii="仿宋" w:hAnsi="仿宋" w:eastAsia="仿宋" w:cs="仿宋"/>
          <w:bCs/>
          <w:sz w:val="24"/>
          <w:lang w:val="en-US" w:eastAsia="zh-CN"/>
        </w:rPr>
        <w:t>12</w:t>
      </w:r>
      <w:r>
        <w:rPr>
          <w:rFonts w:hint="eastAsia" w:ascii="仿宋" w:hAnsi="仿宋" w:eastAsia="仿宋" w:cs="仿宋"/>
          <w:bCs/>
          <w:sz w:val="24"/>
        </w:rPr>
        <w:t>月</w:t>
      </w:r>
      <w:r>
        <w:rPr>
          <w:rFonts w:hint="eastAsia" w:ascii="仿宋" w:hAnsi="仿宋" w:eastAsia="仿宋" w:cs="仿宋"/>
          <w:bCs/>
          <w:sz w:val="24"/>
          <w:lang w:val="en-US" w:eastAsia="zh-CN"/>
        </w:rPr>
        <w:t>12</w:t>
      </w:r>
      <w:r>
        <w:rPr>
          <w:rFonts w:hint="eastAsia" w:ascii="仿宋" w:hAnsi="仿宋" w:eastAsia="仿宋" w:cs="仿宋"/>
          <w:bCs/>
          <w:sz w:val="24"/>
        </w:rPr>
        <w:t>日 至 2023 年</w:t>
      </w:r>
      <w:r>
        <w:rPr>
          <w:rFonts w:hint="eastAsia" w:ascii="仿宋" w:hAnsi="仿宋" w:eastAsia="仿宋" w:cs="仿宋"/>
          <w:bCs/>
          <w:sz w:val="24"/>
          <w:lang w:val="en-US" w:eastAsia="zh-CN"/>
        </w:rPr>
        <w:t>12</w:t>
      </w:r>
      <w:r>
        <w:rPr>
          <w:rFonts w:hint="eastAsia" w:ascii="仿宋" w:hAnsi="仿宋" w:eastAsia="仿宋" w:cs="仿宋"/>
          <w:bCs/>
          <w:sz w:val="24"/>
        </w:rPr>
        <w:t>月</w:t>
      </w:r>
      <w:r>
        <w:rPr>
          <w:rFonts w:hint="eastAsia" w:ascii="仿宋" w:hAnsi="仿宋" w:eastAsia="仿宋" w:cs="仿宋"/>
          <w:bCs/>
          <w:sz w:val="24"/>
          <w:lang w:val="en-US" w:eastAsia="zh-CN"/>
        </w:rPr>
        <w:t>18</w:t>
      </w:r>
      <w:r>
        <w:rPr>
          <w:rFonts w:hint="eastAsia" w:ascii="仿宋" w:hAnsi="仿宋" w:eastAsia="仿宋" w:cs="仿宋"/>
          <w:bCs/>
          <w:sz w:val="24"/>
        </w:rPr>
        <w:t>日，每天上午 00:00 至12:00，下午 12:00 至 23:59（北京时间，法定节假日除外。）</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2.地点：登录安阳市公共资源交易中心网站（http://ggzy.anyang.gov.cn/）网站，数字证书点击【投标用户入口】登录系统，获取电子版磋商文件及其他资料，此为获取磋商文件的唯一途径。</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3.方式：网上下载</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4.售价：0 元</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四、响应文件提交：</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1.截止时间：202</w:t>
      </w:r>
      <w:r>
        <w:rPr>
          <w:rFonts w:hint="eastAsia" w:ascii="仿宋" w:hAnsi="仿宋" w:eastAsia="仿宋" w:cs="仿宋"/>
          <w:bCs/>
          <w:sz w:val="24"/>
          <w:lang w:val="en-US" w:eastAsia="zh-CN"/>
        </w:rPr>
        <w:t>3</w:t>
      </w:r>
      <w:r>
        <w:rPr>
          <w:rFonts w:hint="eastAsia" w:ascii="仿宋" w:hAnsi="仿宋" w:eastAsia="仿宋" w:cs="仿宋"/>
          <w:bCs/>
          <w:sz w:val="24"/>
        </w:rPr>
        <w:t>年</w:t>
      </w:r>
      <w:r>
        <w:rPr>
          <w:rFonts w:hint="eastAsia" w:ascii="仿宋" w:hAnsi="仿宋" w:eastAsia="仿宋" w:cs="仿宋"/>
          <w:bCs/>
          <w:sz w:val="24"/>
          <w:lang w:val="en-US" w:eastAsia="zh-CN"/>
        </w:rPr>
        <w:t>12</w:t>
      </w:r>
      <w:r>
        <w:rPr>
          <w:rFonts w:hint="eastAsia" w:ascii="仿宋" w:hAnsi="仿宋" w:eastAsia="仿宋" w:cs="仿宋"/>
          <w:bCs/>
          <w:sz w:val="24"/>
        </w:rPr>
        <w:t>月</w:t>
      </w:r>
      <w:r>
        <w:rPr>
          <w:rFonts w:hint="eastAsia" w:ascii="仿宋" w:hAnsi="仿宋" w:eastAsia="仿宋" w:cs="仿宋"/>
          <w:bCs/>
          <w:sz w:val="24"/>
          <w:lang w:val="en-US" w:eastAsia="zh-CN"/>
        </w:rPr>
        <w:t>22</w:t>
      </w:r>
      <w:r>
        <w:rPr>
          <w:rFonts w:hint="eastAsia" w:ascii="仿宋" w:hAnsi="仿宋" w:eastAsia="仿宋" w:cs="仿宋"/>
          <w:bCs/>
          <w:sz w:val="24"/>
        </w:rPr>
        <w:t>日09时00分 (北京时间)</w:t>
      </w:r>
    </w:p>
    <w:p>
      <w:pPr>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2.地点：供应商登录安阳市公共资源交易中心网站，点击“投标用户入口”登录“政府采购”系统，选择所投项目，上传密封后的电子响应文件。</w:t>
      </w:r>
    </w:p>
    <w:p>
      <w:pPr>
        <w:snapToGrid w:val="0"/>
        <w:spacing w:line="360" w:lineRule="auto"/>
        <w:ind w:left="420"/>
        <w:jc w:val="left"/>
        <w:textAlignment w:val="baseline"/>
        <w:rPr>
          <w:rFonts w:hint="eastAsia" w:ascii="仿宋" w:hAnsi="仿宋" w:eastAsia="仿宋" w:cs="仿宋"/>
          <w:kern w:val="0"/>
          <w:sz w:val="24"/>
        </w:rPr>
      </w:pPr>
      <w:r>
        <w:rPr>
          <w:rFonts w:hint="eastAsia" w:ascii="仿宋" w:hAnsi="仿宋" w:eastAsia="仿宋" w:cs="仿宋"/>
          <w:kern w:val="0"/>
          <w:sz w:val="24"/>
        </w:rPr>
        <w:t>五、响应文件开启</w:t>
      </w:r>
    </w:p>
    <w:p>
      <w:pPr>
        <w:snapToGrid w:val="0"/>
        <w:spacing w:line="360" w:lineRule="auto"/>
        <w:ind w:left="420"/>
        <w:jc w:val="left"/>
        <w:textAlignment w:val="baseline"/>
        <w:rPr>
          <w:rFonts w:hint="eastAsia" w:ascii="仿宋" w:hAnsi="仿宋" w:eastAsia="仿宋" w:cs="仿宋"/>
          <w:kern w:val="0"/>
          <w:sz w:val="24"/>
        </w:rPr>
      </w:pPr>
      <w:r>
        <w:rPr>
          <w:rFonts w:hint="eastAsia" w:ascii="仿宋" w:hAnsi="仿宋" w:eastAsia="仿宋" w:cs="仿宋"/>
          <w:kern w:val="0"/>
          <w:sz w:val="24"/>
        </w:rPr>
        <w:t>1.时间：2023 年</w:t>
      </w:r>
      <w:r>
        <w:rPr>
          <w:rFonts w:hint="eastAsia" w:ascii="仿宋" w:hAnsi="仿宋" w:eastAsia="仿宋" w:cs="仿宋"/>
          <w:kern w:val="0"/>
          <w:sz w:val="24"/>
          <w:lang w:val="en-US" w:eastAsia="zh-CN"/>
        </w:rPr>
        <w:t>12</w:t>
      </w:r>
      <w:r>
        <w:rPr>
          <w:rFonts w:hint="eastAsia" w:ascii="仿宋" w:hAnsi="仿宋" w:eastAsia="仿宋" w:cs="仿宋"/>
          <w:kern w:val="0"/>
          <w:sz w:val="24"/>
        </w:rPr>
        <w:t>月</w:t>
      </w:r>
      <w:r>
        <w:rPr>
          <w:rFonts w:hint="eastAsia" w:ascii="仿宋" w:hAnsi="仿宋" w:eastAsia="仿宋" w:cs="仿宋"/>
          <w:kern w:val="0"/>
          <w:sz w:val="24"/>
          <w:lang w:val="en-US" w:eastAsia="zh-CN"/>
        </w:rPr>
        <w:t>22</w:t>
      </w:r>
      <w:r>
        <w:rPr>
          <w:rFonts w:hint="eastAsia" w:ascii="仿宋" w:hAnsi="仿宋" w:eastAsia="仿宋" w:cs="仿宋"/>
          <w:kern w:val="0"/>
          <w:sz w:val="24"/>
        </w:rPr>
        <w:t>日 09 时 00 分（北京时间）</w:t>
      </w:r>
    </w:p>
    <w:p>
      <w:pPr>
        <w:snapToGrid w:val="0"/>
        <w:spacing w:line="360" w:lineRule="auto"/>
        <w:ind w:left="0" w:leftChars="0" w:firstLine="480" w:firstLineChars="200"/>
        <w:jc w:val="left"/>
        <w:textAlignment w:val="baseline"/>
        <w:rPr>
          <w:rFonts w:hint="eastAsia" w:ascii="仿宋" w:hAnsi="仿宋" w:eastAsia="仿宋" w:cs="仿宋"/>
          <w:kern w:val="0"/>
          <w:sz w:val="24"/>
        </w:rPr>
      </w:pPr>
      <w:r>
        <w:rPr>
          <w:rFonts w:hint="eastAsia" w:ascii="仿宋" w:hAnsi="仿宋" w:eastAsia="仿宋" w:cs="仿宋"/>
          <w:kern w:val="0"/>
          <w:sz w:val="24"/>
        </w:rPr>
        <w:t>2.地点：（管理员网上操作地点）：安阳市公共资源交易中心五楼集中开标大厅</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rPr>
        <w:t>室（安阳市文峰大道东段 559 号安阳市民之家）</w:t>
      </w:r>
    </w:p>
    <w:p>
      <w:pPr>
        <w:snapToGrid w:val="0"/>
        <w:spacing w:line="360" w:lineRule="auto"/>
        <w:ind w:left="420"/>
        <w:jc w:val="left"/>
        <w:textAlignment w:val="baseline"/>
        <w:rPr>
          <w:rFonts w:ascii="仿宋" w:hAnsi="仿宋" w:eastAsia="仿宋" w:cs="仿宋"/>
          <w:b/>
          <w:bCs/>
          <w:spacing w:val="6"/>
          <w:sz w:val="24"/>
        </w:rPr>
      </w:pPr>
      <w:r>
        <w:rPr>
          <w:rFonts w:hint="eastAsia" w:ascii="仿宋" w:hAnsi="仿宋" w:eastAsia="仿宋" w:cs="仿宋"/>
          <w:b/>
          <w:bCs/>
          <w:spacing w:val="6"/>
          <w:sz w:val="24"/>
        </w:rPr>
        <w:t xml:space="preserve">六、发布公告的媒介及公告期限： </w:t>
      </w:r>
    </w:p>
    <w:p>
      <w:pPr>
        <w:widowControl/>
        <w:snapToGrid w:val="0"/>
        <w:spacing w:line="360" w:lineRule="auto"/>
        <w:ind w:firstLine="420"/>
        <w:jc w:val="left"/>
        <w:rPr>
          <w:rFonts w:ascii="仿宋" w:hAnsi="仿宋" w:eastAsia="仿宋" w:cs="仿宋"/>
          <w:kern w:val="0"/>
          <w:sz w:val="24"/>
        </w:rPr>
      </w:pPr>
      <w:r>
        <w:rPr>
          <w:rFonts w:hint="eastAsia" w:ascii="仿宋" w:hAnsi="仿宋" w:eastAsia="仿宋" w:cs="仿宋"/>
          <w:kern w:val="0"/>
          <w:sz w:val="24"/>
        </w:rPr>
        <w:t>本次公告在《河南省政府采购网》</w:t>
      </w:r>
      <w:r>
        <w:rPr>
          <w:rFonts w:hint="eastAsia" w:ascii="仿宋" w:hAnsi="仿宋" w:eastAsia="仿宋" w:cs="仿宋"/>
          <w:kern w:val="0"/>
          <w:sz w:val="24"/>
          <w:lang w:eastAsia="zh-CN"/>
        </w:rPr>
        <w:t>（</w:t>
      </w:r>
      <w:r>
        <w:rPr>
          <w:rFonts w:hint="eastAsia" w:ascii="仿宋" w:hAnsi="仿宋" w:eastAsia="仿宋" w:cs="仿宋"/>
          <w:kern w:val="0"/>
          <w:sz w:val="24"/>
        </w:rPr>
        <w:t>安阳市政府采购网</w:t>
      </w:r>
      <w:r>
        <w:rPr>
          <w:rFonts w:hint="eastAsia" w:ascii="仿宋" w:hAnsi="仿宋" w:eastAsia="仿宋" w:cs="仿宋"/>
          <w:kern w:val="0"/>
          <w:sz w:val="24"/>
          <w:lang w:eastAsia="zh-CN"/>
        </w:rPr>
        <w:t>）、</w:t>
      </w:r>
      <w:r>
        <w:rPr>
          <w:rFonts w:hint="eastAsia" w:ascii="仿宋" w:hAnsi="仿宋" w:eastAsia="仿宋" w:cs="仿宋"/>
          <w:kern w:val="0"/>
          <w:sz w:val="24"/>
        </w:rPr>
        <w:t>《</w:t>
      </w:r>
      <w:r>
        <w:rPr>
          <w:rFonts w:hint="eastAsia" w:ascii="仿宋" w:hAnsi="仿宋" w:eastAsia="仿宋" w:cs="仿宋"/>
          <w:kern w:val="0"/>
          <w:sz w:val="24"/>
          <w:lang w:val="en-US" w:eastAsia="zh-CN"/>
        </w:rPr>
        <w:t>安阳市</w:t>
      </w:r>
      <w:r>
        <w:rPr>
          <w:rFonts w:hint="eastAsia" w:ascii="仿宋" w:hAnsi="仿宋" w:eastAsia="仿宋" w:cs="仿宋"/>
          <w:kern w:val="0"/>
          <w:sz w:val="24"/>
        </w:rPr>
        <w:t>公共资源交易中心网》上发布。</w:t>
      </w:r>
    </w:p>
    <w:p>
      <w:pPr>
        <w:snapToGrid w:val="0"/>
        <w:spacing w:line="360" w:lineRule="auto"/>
        <w:ind w:firstLine="472" w:firstLineChars="196"/>
        <w:rPr>
          <w:rFonts w:ascii="仿宋" w:hAnsi="仿宋" w:eastAsia="仿宋" w:cs="仿宋"/>
          <w:b/>
          <w:sz w:val="24"/>
        </w:rPr>
      </w:pPr>
      <w:r>
        <w:rPr>
          <w:rFonts w:hint="eastAsia" w:ascii="仿宋" w:hAnsi="仿宋" w:eastAsia="仿宋" w:cs="仿宋"/>
          <w:b/>
          <w:sz w:val="24"/>
        </w:rPr>
        <w:t>七、其他补充事宜：</w:t>
      </w:r>
    </w:p>
    <w:p>
      <w:pPr>
        <w:snapToGrid w:val="0"/>
        <w:spacing w:line="360" w:lineRule="auto"/>
        <w:ind w:firstLine="470" w:firstLineChars="196"/>
        <w:rPr>
          <w:rFonts w:ascii="仿宋" w:hAnsi="仿宋" w:eastAsia="仿宋" w:cs="仿宋"/>
          <w:sz w:val="24"/>
        </w:rPr>
      </w:pPr>
      <w:r>
        <w:rPr>
          <w:rFonts w:hint="eastAsia" w:ascii="仿宋" w:hAnsi="仿宋" w:eastAsia="仿宋" w:cs="仿宋"/>
          <w:sz w:val="24"/>
        </w:rPr>
        <w:t>1.本项目执行优先采购节能环保、环境标志性产品、优先采购自主创新产品，扶持不发达地区和少数民族地区，促进中小企业、监狱企业、残疾人福利性企业发展等相关政策。</w:t>
      </w:r>
    </w:p>
    <w:p>
      <w:pPr>
        <w:pStyle w:val="56"/>
        <w:snapToGrid w:val="0"/>
        <w:spacing w:line="360" w:lineRule="auto"/>
        <w:jc w:val="left"/>
        <w:rPr>
          <w:rFonts w:hint="eastAsia" w:ascii="仿宋" w:hAnsi="仿宋" w:eastAsia="仿宋" w:cs="仿宋"/>
          <w:highlight w:val="yellow"/>
        </w:rPr>
      </w:pPr>
      <w:r>
        <w:rPr>
          <w:rFonts w:hint="eastAsia" w:ascii="仿宋" w:hAnsi="仿宋" w:eastAsia="仿宋" w:cs="仿宋"/>
        </w:rPr>
        <w:t xml:space="preserve">   2.</w:t>
      </w:r>
      <w:r>
        <w:rPr>
          <w:rFonts w:hint="eastAsia" w:ascii="仿宋" w:hAnsi="仿宋" w:eastAsia="仿宋" w:cs="仿宋"/>
          <w:highlight w:val="none"/>
        </w:rPr>
        <w:t xml:space="preserve">本项目采购标的对应的中小企业划分标准所属行业：其他未列明行业 </w:t>
      </w:r>
    </w:p>
    <w:p>
      <w:pPr>
        <w:pStyle w:val="56"/>
        <w:snapToGrid w:val="0"/>
        <w:spacing w:line="360" w:lineRule="auto"/>
        <w:ind w:firstLine="480" w:firstLineChars="200"/>
        <w:jc w:val="left"/>
        <w:rPr>
          <w:rFonts w:ascii="仿宋" w:hAnsi="仿宋" w:eastAsia="仿宋" w:cs="仿宋"/>
        </w:rPr>
      </w:pPr>
      <w:r>
        <w:rPr>
          <w:rFonts w:hint="eastAsia" w:ascii="仿宋" w:hAnsi="仿宋" w:eastAsia="仿宋" w:cs="仿宋"/>
        </w:rPr>
        <w:t>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号）规定的划分标准为依据（符合中小企业划分标准的个体工商户，在政府采购活动中视同中小企业）</w:t>
      </w:r>
    </w:p>
    <w:p>
      <w:pPr>
        <w:snapToGrid w:val="0"/>
        <w:spacing w:line="360" w:lineRule="auto"/>
        <w:ind w:firstLine="470" w:firstLineChars="196"/>
        <w:rPr>
          <w:rFonts w:ascii="仿宋" w:hAnsi="仿宋" w:eastAsia="仿宋" w:cs="仿宋"/>
          <w:sz w:val="24"/>
        </w:rPr>
      </w:pPr>
      <w:r>
        <w:rPr>
          <w:rFonts w:hint="eastAsia" w:ascii="仿宋" w:hAnsi="仿宋" w:eastAsia="仿宋" w:cs="仿宋"/>
          <w:sz w:val="24"/>
        </w:rPr>
        <w:t>3.本项目支持河南省政府采购合同融资政策，详见第二章供应商须知前附表中《河南省政府采购合同融资政策告知函》。招标代理服务费由中标（成交）供应商向采购代理机构支付，招标代理服务费按照预算金额参照豫招协【2023】002 号文件规定计取。</w:t>
      </w:r>
    </w:p>
    <w:p>
      <w:pPr>
        <w:snapToGrid w:val="0"/>
        <w:spacing w:line="360" w:lineRule="auto"/>
        <w:ind w:firstLine="496" w:firstLineChars="196"/>
        <w:rPr>
          <w:rFonts w:ascii="仿宋" w:hAnsi="仿宋" w:eastAsia="仿宋" w:cs="仿宋"/>
          <w:b/>
          <w:bCs/>
          <w:spacing w:val="6"/>
          <w:sz w:val="24"/>
        </w:rPr>
      </w:pPr>
      <w:r>
        <w:rPr>
          <w:rFonts w:hint="eastAsia" w:ascii="仿宋" w:hAnsi="仿宋" w:eastAsia="仿宋" w:cs="仿宋"/>
          <w:b/>
          <w:bCs/>
          <w:spacing w:val="6"/>
          <w:sz w:val="24"/>
        </w:rPr>
        <w:t>八、对本次采购提出询问，请按以下方式联系：</w:t>
      </w:r>
    </w:p>
    <w:p>
      <w:pPr>
        <w:snapToGrid w:val="0"/>
        <w:spacing w:line="360" w:lineRule="auto"/>
        <w:ind w:right="664" w:firstLine="504" w:firstLineChars="200"/>
        <w:jc w:val="left"/>
        <w:rPr>
          <w:rFonts w:ascii="仿宋" w:hAnsi="仿宋" w:eastAsia="仿宋" w:cs="仿宋"/>
          <w:spacing w:val="6"/>
          <w:sz w:val="24"/>
        </w:rPr>
      </w:pPr>
      <w:r>
        <w:rPr>
          <w:rFonts w:hint="eastAsia" w:ascii="仿宋" w:hAnsi="仿宋" w:eastAsia="仿宋" w:cs="仿宋"/>
          <w:spacing w:val="6"/>
          <w:sz w:val="24"/>
        </w:rPr>
        <w:t>1.采购人: 安阳市水利局</w:t>
      </w:r>
    </w:p>
    <w:p>
      <w:pPr>
        <w:snapToGrid w:val="0"/>
        <w:spacing w:line="360" w:lineRule="auto"/>
        <w:ind w:right="664" w:firstLine="756" w:firstLineChars="300"/>
        <w:jc w:val="left"/>
        <w:rPr>
          <w:rFonts w:ascii="仿宋" w:hAnsi="仿宋" w:eastAsia="仿宋" w:cs="仿宋"/>
          <w:spacing w:val="6"/>
          <w:sz w:val="24"/>
        </w:rPr>
      </w:pPr>
      <w:r>
        <w:rPr>
          <w:rFonts w:hint="eastAsia" w:ascii="仿宋" w:hAnsi="仿宋" w:eastAsia="仿宋" w:cs="仿宋"/>
          <w:spacing w:val="6"/>
          <w:sz w:val="24"/>
        </w:rPr>
        <w:t>地  址：</w:t>
      </w:r>
      <w:r>
        <w:rPr>
          <w:rFonts w:hint="eastAsia" w:ascii="仿宋" w:hAnsi="仿宋" w:eastAsia="仿宋" w:cs="仿宋"/>
          <w:bCs/>
          <w:spacing w:val="6"/>
          <w:sz w:val="24"/>
          <w:szCs w:val="24"/>
          <w:highlight w:val="none"/>
        </w:rPr>
        <w:t>河南省安阳市文峰区富泉街东段路南</w:t>
      </w:r>
    </w:p>
    <w:p>
      <w:pPr>
        <w:snapToGrid w:val="0"/>
        <w:spacing w:line="360" w:lineRule="auto"/>
        <w:ind w:right="664" w:firstLine="756" w:firstLineChars="300"/>
        <w:jc w:val="left"/>
        <w:rPr>
          <w:rFonts w:hint="eastAsia" w:ascii="仿宋" w:hAnsi="仿宋" w:eastAsia="仿宋" w:cs="仿宋"/>
          <w:spacing w:val="6"/>
          <w:sz w:val="24"/>
          <w:lang w:eastAsia="zh-CN"/>
        </w:rPr>
      </w:pPr>
      <w:r>
        <w:rPr>
          <w:rFonts w:hint="eastAsia" w:ascii="仿宋" w:hAnsi="仿宋" w:eastAsia="仿宋" w:cs="仿宋"/>
          <w:spacing w:val="6"/>
          <w:sz w:val="24"/>
        </w:rPr>
        <w:t xml:space="preserve">联系人: </w:t>
      </w:r>
      <w:r>
        <w:rPr>
          <w:rFonts w:hint="eastAsia" w:ascii="仿宋" w:hAnsi="仿宋" w:eastAsia="仿宋" w:cs="仿宋"/>
          <w:spacing w:val="6"/>
          <w:sz w:val="24"/>
          <w:lang w:val="en-US" w:eastAsia="zh-CN"/>
        </w:rPr>
        <w:t xml:space="preserve">孙自森 </w:t>
      </w:r>
    </w:p>
    <w:p>
      <w:pPr>
        <w:snapToGrid w:val="0"/>
        <w:spacing w:line="360" w:lineRule="auto"/>
        <w:ind w:right="664" w:firstLine="756" w:firstLineChars="300"/>
        <w:jc w:val="left"/>
        <w:rPr>
          <w:rFonts w:hint="default" w:ascii="仿宋" w:hAnsi="仿宋" w:eastAsia="仿宋" w:cs="仿宋"/>
          <w:spacing w:val="6"/>
          <w:sz w:val="24"/>
          <w:lang w:val="en-US" w:eastAsia="zh-CN"/>
        </w:rPr>
      </w:pPr>
      <w:r>
        <w:rPr>
          <w:rFonts w:hint="eastAsia" w:ascii="仿宋" w:hAnsi="仿宋" w:eastAsia="仿宋" w:cs="仿宋"/>
          <w:spacing w:val="6"/>
          <w:sz w:val="24"/>
        </w:rPr>
        <w:t>联系方式：</w:t>
      </w:r>
      <w:r>
        <w:rPr>
          <w:rFonts w:hint="eastAsia" w:ascii="仿宋" w:hAnsi="仿宋" w:eastAsia="仿宋" w:cs="仿宋"/>
          <w:spacing w:val="6"/>
          <w:sz w:val="24"/>
          <w:lang w:val="en-US" w:eastAsia="zh-CN"/>
        </w:rPr>
        <w:t xml:space="preserve"> 0372-5901533</w:t>
      </w:r>
    </w:p>
    <w:p>
      <w:pPr>
        <w:snapToGrid w:val="0"/>
        <w:spacing w:line="360" w:lineRule="auto"/>
        <w:ind w:right="664" w:firstLine="504" w:firstLineChars="200"/>
        <w:jc w:val="left"/>
        <w:rPr>
          <w:rFonts w:hint="eastAsia" w:ascii="仿宋" w:hAnsi="仿宋" w:eastAsia="仿宋" w:cs="仿宋"/>
          <w:spacing w:val="6"/>
          <w:sz w:val="24"/>
          <w:lang w:eastAsia="zh-CN"/>
        </w:rPr>
      </w:pPr>
      <w:r>
        <w:rPr>
          <w:rFonts w:hint="eastAsia" w:ascii="仿宋" w:hAnsi="仿宋" w:eastAsia="仿宋" w:cs="仿宋"/>
          <w:spacing w:val="6"/>
          <w:sz w:val="24"/>
        </w:rPr>
        <w:t>2.采购代理机构：</w:t>
      </w:r>
      <w:r>
        <w:rPr>
          <w:rFonts w:hint="eastAsia" w:ascii="仿宋" w:hAnsi="仿宋" w:eastAsia="仿宋" w:cs="仿宋"/>
          <w:spacing w:val="6"/>
          <w:sz w:val="24"/>
          <w:lang w:eastAsia="zh-CN"/>
        </w:rPr>
        <w:t>河南省博律企业管理有限公司</w:t>
      </w:r>
    </w:p>
    <w:p>
      <w:pPr>
        <w:snapToGrid w:val="0"/>
        <w:spacing w:line="360" w:lineRule="auto"/>
        <w:ind w:right="664" w:firstLine="756" w:firstLineChars="300"/>
        <w:jc w:val="left"/>
        <w:rPr>
          <w:rFonts w:hint="default" w:ascii="仿宋" w:hAnsi="仿宋" w:eastAsia="仿宋" w:cs="仿宋"/>
          <w:spacing w:val="6"/>
          <w:sz w:val="24"/>
          <w:lang w:val="en-US" w:eastAsia="zh-CN"/>
        </w:rPr>
      </w:pPr>
      <w:r>
        <w:rPr>
          <w:rFonts w:hint="eastAsia" w:ascii="仿宋" w:hAnsi="仿宋" w:eastAsia="仿宋" w:cs="仿宋"/>
          <w:spacing w:val="6"/>
          <w:sz w:val="24"/>
        </w:rPr>
        <w:t>地       址：</w:t>
      </w:r>
      <w:r>
        <w:rPr>
          <w:rFonts w:hint="eastAsia" w:ascii="仿宋" w:hAnsi="仿宋" w:eastAsia="仿宋" w:cs="仿宋"/>
          <w:color w:val="auto"/>
          <w:kern w:val="0"/>
          <w:sz w:val="24"/>
          <w:szCs w:val="24"/>
          <w:highlight w:val="none"/>
        </w:rPr>
        <w:t>安阳市平原路南段437号</w:t>
      </w:r>
    </w:p>
    <w:p>
      <w:pPr>
        <w:snapToGrid w:val="0"/>
        <w:spacing w:line="360" w:lineRule="auto"/>
        <w:ind w:right="664" w:firstLine="756" w:firstLineChars="300"/>
        <w:jc w:val="left"/>
        <w:rPr>
          <w:rFonts w:ascii="仿宋" w:hAnsi="仿宋" w:eastAsia="仿宋" w:cs="仿宋"/>
          <w:spacing w:val="6"/>
          <w:sz w:val="24"/>
        </w:rPr>
      </w:pPr>
      <w:r>
        <w:rPr>
          <w:rFonts w:hint="eastAsia" w:ascii="仿宋" w:hAnsi="仿宋" w:eastAsia="仿宋" w:cs="仿宋"/>
          <w:spacing w:val="6"/>
          <w:sz w:val="24"/>
        </w:rPr>
        <w:t>联   系  人：</w:t>
      </w:r>
      <w:r>
        <w:rPr>
          <w:rFonts w:hint="eastAsia" w:ascii="仿宋" w:hAnsi="仿宋" w:eastAsia="仿宋" w:cs="仿宋"/>
          <w:bCs/>
          <w:spacing w:val="6"/>
          <w:sz w:val="24"/>
          <w:szCs w:val="24"/>
          <w:highlight w:val="none"/>
          <w:lang w:val="en-US" w:eastAsia="zh-CN"/>
        </w:rPr>
        <w:t>石源</w:t>
      </w:r>
      <w:r>
        <w:rPr>
          <w:rFonts w:hint="eastAsia" w:ascii="仿宋" w:hAnsi="仿宋" w:eastAsia="仿宋" w:cs="仿宋"/>
          <w:spacing w:val="6"/>
          <w:sz w:val="24"/>
        </w:rPr>
        <w:t xml:space="preserve">     </w:t>
      </w:r>
    </w:p>
    <w:p>
      <w:pPr>
        <w:snapToGrid w:val="0"/>
        <w:spacing w:line="360" w:lineRule="auto"/>
        <w:ind w:right="664" w:firstLine="756" w:firstLineChars="300"/>
        <w:jc w:val="left"/>
        <w:rPr>
          <w:rFonts w:hint="eastAsia" w:ascii="仿宋" w:hAnsi="仿宋" w:eastAsia="仿宋" w:cs="仿宋"/>
          <w:bCs/>
          <w:spacing w:val="6"/>
          <w:sz w:val="24"/>
          <w:szCs w:val="24"/>
          <w:highlight w:val="none"/>
          <w:lang w:val="en-US" w:eastAsia="zh-CN"/>
        </w:rPr>
      </w:pPr>
      <w:r>
        <w:rPr>
          <w:rFonts w:hint="eastAsia" w:ascii="仿宋" w:hAnsi="仿宋" w:eastAsia="仿宋" w:cs="仿宋"/>
          <w:spacing w:val="6"/>
          <w:sz w:val="24"/>
        </w:rPr>
        <w:t>联 系 电 话：</w:t>
      </w:r>
      <w:r>
        <w:rPr>
          <w:rFonts w:hint="eastAsia" w:ascii="仿宋" w:hAnsi="仿宋" w:eastAsia="仿宋" w:cs="仿宋"/>
          <w:bCs/>
          <w:spacing w:val="6"/>
          <w:sz w:val="24"/>
          <w:szCs w:val="24"/>
          <w:highlight w:val="none"/>
          <w:lang w:val="en-US" w:eastAsia="zh-CN"/>
        </w:rPr>
        <w:t>17337274890</w:t>
      </w:r>
    </w:p>
    <w:p>
      <w:pPr>
        <w:snapToGrid w:val="0"/>
        <w:spacing w:line="360" w:lineRule="auto"/>
        <w:ind w:right="664" w:firstLine="504" w:firstLineChars="200"/>
        <w:jc w:val="left"/>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3.项目联系方式</w:t>
      </w:r>
    </w:p>
    <w:p>
      <w:pPr>
        <w:snapToGrid w:val="0"/>
        <w:spacing w:line="360" w:lineRule="auto"/>
        <w:ind w:right="664" w:firstLine="504" w:firstLineChars="200"/>
        <w:jc w:val="left"/>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项目联系人：石源</w:t>
      </w:r>
    </w:p>
    <w:p>
      <w:pPr>
        <w:snapToGrid w:val="0"/>
        <w:spacing w:line="360" w:lineRule="auto"/>
        <w:ind w:right="664" w:firstLine="504" w:firstLineChars="200"/>
        <w:jc w:val="left"/>
        <w:rPr>
          <w:rFonts w:hint="eastAsia" w:ascii="仿宋" w:hAnsi="仿宋" w:eastAsia="仿宋" w:cs="仿宋"/>
          <w:spacing w:val="6"/>
          <w:sz w:val="24"/>
        </w:rPr>
      </w:pPr>
      <w:r>
        <w:rPr>
          <w:rFonts w:hint="eastAsia" w:ascii="仿宋" w:hAnsi="仿宋" w:eastAsia="仿宋" w:cs="仿宋"/>
          <w:spacing w:val="6"/>
          <w:sz w:val="24"/>
          <w:lang w:val="en-US" w:eastAsia="zh-CN"/>
        </w:rPr>
        <w:t>联 系 电 话：17337274890</w:t>
      </w:r>
    </w:p>
    <w:p>
      <w:pPr>
        <w:snapToGrid w:val="0"/>
        <w:spacing w:line="360" w:lineRule="auto"/>
        <w:ind w:right="664"/>
        <w:jc w:val="center"/>
        <w:rPr>
          <w:rFonts w:ascii="仿宋" w:hAnsi="仿宋" w:eastAsia="仿宋" w:cs="仿宋"/>
          <w:spacing w:val="6"/>
          <w:sz w:val="24"/>
        </w:rPr>
      </w:pPr>
    </w:p>
    <w:p>
      <w:pPr>
        <w:snapToGrid w:val="0"/>
        <w:spacing w:line="360" w:lineRule="auto"/>
        <w:ind w:right="664"/>
        <w:jc w:val="right"/>
        <w:rPr>
          <w:rFonts w:hint="eastAsia" w:ascii="仿宋" w:hAnsi="仿宋" w:eastAsia="仿宋" w:cs="仿宋"/>
          <w:sz w:val="24"/>
          <w:lang w:eastAsia="zh-CN"/>
        </w:rPr>
      </w:pPr>
      <w:r>
        <w:rPr>
          <w:rFonts w:hint="eastAsia" w:ascii="仿宋" w:hAnsi="仿宋" w:eastAsia="仿宋" w:cs="仿宋"/>
          <w:spacing w:val="6"/>
          <w:sz w:val="24"/>
        </w:rPr>
        <w:t xml:space="preserve">                </w:t>
      </w:r>
      <w:r>
        <w:rPr>
          <w:rFonts w:hint="eastAsia" w:ascii="仿宋" w:hAnsi="仿宋" w:eastAsia="仿宋" w:cs="仿宋"/>
          <w:sz w:val="24"/>
          <w:lang w:eastAsia="zh-CN"/>
        </w:rPr>
        <w:t>河南省博律企业管理有限公司</w:t>
      </w:r>
    </w:p>
    <w:p>
      <w:pPr>
        <w:snapToGrid w:val="0"/>
        <w:spacing w:line="360" w:lineRule="auto"/>
        <w:ind w:right="664"/>
        <w:jc w:val="right"/>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3</w:t>
      </w:r>
      <w:r>
        <w:rPr>
          <w:rFonts w:hint="eastAsia" w:ascii="仿宋" w:hAnsi="仿宋" w:eastAsia="仿宋" w:cs="仿宋"/>
          <w:sz w:val="24"/>
        </w:rPr>
        <w:t>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w:t>
      </w:r>
    </w:p>
    <w:bookmarkEnd w:id="2"/>
    <w:bookmarkEnd w:id="3"/>
    <w:p>
      <w:pPr>
        <w:widowControl/>
        <w:jc w:val="left"/>
        <w:rPr>
          <w:rFonts w:ascii="仿宋" w:hAnsi="仿宋" w:eastAsia="仿宋" w:cs="仿宋"/>
        </w:rPr>
      </w:pPr>
      <w:r>
        <w:rPr>
          <w:rFonts w:hint="eastAsia" w:ascii="仿宋" w:hAnsi="仿宋" w:eastAsia="仿宋" w:cs="仿宋"/>
        </w:rPr>
        <w:br w:type="page"/>
      </w:r>
    </w:p>
    <w:p>
      <w:pPr>
        <w:pStyle w:val="3"/>
        <w:spacing w:before="0" w:after="0"/>
        <w:rPr>
          <w:rFonts w:ascii="仿宋" w:hAnsi="仿宋" w:eastAsia="仿宋" w:cs="仿宋"/>
          <w:szCs w:val="32"/>
        </w:rPr>
      </w:pPr>
      <w:bookmarkStart w:id="4" w:name="_Toc15795_WPSOffice_Level1"/>
      <w:bookmarkStart w:id="5" w:name="_Toc22635"/>
      <w:bookmarkStart w:id="6" w:name="_Toc33260053"/>
      <w:r>
        <w:rPr>
          <w:rFonts w:hint="eastAsia" w:ascii="仿宋" w:hAnsi="仿宋" w:eastAsia="仿宋" w:cs="仿宋"/>
          <w:caps/>
          <w:szCs w:val="32"/>
        </w:rPr>
        <w:t>第二章</w:t>
      </w:r>
      <w:r>
        <w:rPr>
          <w:rFonts w:hint="eastAsia" w:ascii="仿宋" w:hAnsi="仿宋" w:eastAsia="仿宋" w:cs="仿宋"/>
          <w:szCs w:val="32"/>
        </w:rPr>
        <w:t xml:space="preserve">  供应商须知</w:t>
      </w:r>
      <w:bookmarkEnd w:id="4"/>
      <w:bookmarkEnd w:id="5"/>
      <w:bookmarkEnd w:id="6"/>
    </w:p>
    <w:p>
      <w:pPr>
        <w:pStyle w:val="2"/>
        <w:spacing w:before="0" w:after="0" w:line="360" w:lineRule="auto"/>
        <w:jc w:val="center"/>
        <w:rPr>
          <w:rFonts w:ascii="仿宋" w:hAnsi="仿宋" w:eastAsia="仿宋" w:cs="仿宋"/>
        </w:rPr>
      </w:pPr>
      <w:bookmarkStart w:id="7" w:name="_Toc33260054"/>
      <w:bookmarkStart w:id="8" w:name="_Toc13259"/>
      <w:r>
        <w:rPr>
          <w:rFonts w:hint="eastAsia" w:ascii="仿宋" w:hAnsi="仿宋" w:eastAsia="仿宋" w:cs="仿宋"/>
        </w:rPr>
        <w:t>供应商须知前附表</w:t>
      </w:r>
      <w:bookmarkEnd w:id="7"/>
      <w:bookmarkEnd w:id="8"/>
    </w:p>
    <w:p>
      <w:pPr>
        <w:rPr>
          <w:rFonts w:ascii="仿宋" w:hAnsi="仿宋" w:eastAsia="仿宋" w:cs="仿宋"/>
          <w:sz w:val="20"/>
        </w:rPr>
      </w:pPr>
    </w:p>
    <w:p>
      <w:pPr>
        <w:spacing w:line="360" w:lineRule="auto"/>
        <w:ind w:firstLine="525" w:firstLineChars="250"/>
        <w:jc w:val="left"/>
        <w:rPr>
          <w:rFonts w:ascii="仿宋" w:hAnsi="仿宋" w:eastAsia="仿宋" w:cs="仿宋"/>
          <w:b/>
          <w:szCs w:val="21"/>
        </w:rPr>
      </w:pPr>
      <w:r>
        <w:rPr>
          <w:rFonts w:hint="eastAsia" w:ascii="仿宋" w:hAnsi="仿宋" w:eastAsia="仿宋" w:cs="仿宋"/>
          <w:szCs w:val="21"/>
        </w:rPr>
        <w:t>前附中凡标有“*”的地方均被视为供应商必须满足的要求。供应商要特别加以注意且必须对此作出回答并完全满足这些要求，任何偏离都有可能导致响应文件无效或响应文件不予接受。</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17"/>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b/>
                <w:szCs w:val="21"/>
              </w:rPr>
            </w:pPr>
            <w:r>
              <w:rPr>
                <w:rFonts w:hint="eastAsia" w:ascii="仿宋" w:hAnsi="仿宋" w:eastAsia="仿宋" w:cs="仿宋"/>
                <w:b/>
                <w:szCs w:val="21"/>
              </w:rPr>
              <w:t>条款号</w:t>
            </w:r>
          </w:p>
        </w:tc>
        <w:tc>
          <w:tcPr>
            <w:tcW w:w="1417" w:type="dxa"/>
            <w:vAlign w:val="center"/>
          </w:tcPr>
          <w:p>
            <w:pPr>
              <w:snapToGrid w:val="0"/>
              <w:spacing w:line="360" w:lineRule="auto"/>
              <w:jc w:val="center"/>
              <w:rPr>
                <w:rFonts w:ascii="仿宋" w:hAnsi="仿宋" w:eastAsia="仿宋" w:cs="仿宋"/>
                <w:b/>
                <w:szCs w:val="21"/>
              </w:rPr>
            </w:pPr>
            <w:r>
              <w:rPr>
                <w:rFonts w:hint="eastAsia" w:ascii="仿宋" w:hAnsi="仿宋" w:eastAsia="仿宋" w:cs="仿宋"/>
                <w:b/>
                <w:szCs w:val="21"/>
              </w:rPr>
              <w:t>名 称</w:t>
            </w:r>
          </w:p>
        </w:tc>
        <w:tc>
          <w:tcPr>
            <w:tcW w:w="6931" w:type="dxa"/>
            <w:vAlign w:val="center"/>
          </w:tcPr>
          <w:p>
            <w:pPr>
              <w:snapToGrid w:val="0"/>
              <w:spacing w:line="360" w:lineRule="auto"/>
              <w:jc w:val="center"/>
              <w:rPr>
                <w:rFonts w:ascii="仿宋" w:hAnsi="仿宋" w:eastAsia="仿宋" w:cs="仿宋"/>
                <w:b/>
                <w:szCs w:val="21"/>
              </w:rPr>
            </w:pPr>
            <w:r>
              <w:rPr>
                <w:rFonts w:hint="eastAsia" w:ascii="仿宋" w:hAnsi="仿宋" w:eastAsia="仿宋" w:cs="仿宋"/>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1.2.2</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采购人</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采购人: 安阳市水利局</w:t>
            </w:r>
          </w:p>
          <w:p>
            <w:pPr>
              <w:snapToGrid w:val="0"/>
              <w:spacing w:line="360" w:lineRule="auto"/>
              <w:rPr>
                <w:rFonts w:ascii="仿宋" w:hAnsi="仿宋" w:eastAsia="仿宋" w:cs="仿宋"/>
                <w:szCs w:val="21"/>
              </w:rPr>
            </w:pPr>
            <w:r>
              <w:rPr>
                <w:rFonts w:hint="eastAsia" w:ascii="仿宋" w:hAnsi="仿宋" w:eastAsia="仿宋" w:cs="仿宋"/>
                <w:szCs w:val="21"/>
              </w:rPr>
              <w:t>地  址：河南省安阳市文峰区富泉街东段路南</w:t>
            </w:r>
          </w:p>
          <w:p>
            <w:pPr>
              <w:snapToGrid w:val="0"/>
              <w:spacing w:line="360" w:lineRule="auto"/>
              <w:rPr>
                <w:rFonts w:hint="eastAsia" w:ascii="仿宋" w:hAnsi="仿宋" w:eastAsia="仿宋" w:cs="仿宋"/>
                <w:szCs w:val="21"/>
                <w:lang w:eastAsia="zh-CN"/>
              </w:rPr>
            </w:pPr>
            <w:r>
              <w:rPr>
                <w:rFonts w:hint="eastAsia" w:ascii="仿宋" w:hAnsi="仿宋" w:eastAsia="仿宋" w:cs="仿宋"/>
                <w:szCs w:val="21"/>
              </w:rPr>
              <w:t xml:space="preserve">联系人: </w:t>
            </w:r>
            <w:r>
              <w:rPr>
                <w:rFonts w:hint="eastAsia" w:ascii="仿宋" w:hAnsi="仿宋" w:eastAsia="仿宋" w:cs="仿宋"/>
                <w:szCs w:val="21"/>
                <w:lang w:val="en-US" w:eastAsia="zh-CN"/>
              </w:rPr>
              <w:t xml:space="preserve">孙自森 </w:t>
            </w:r>
          </w:p>
          <w:p>
            <w:pPr>
              <w:snapToGrid w:val="0"/>
              <w:spacing w:line="360" w:lineRule="auto"/>
              <w:rPr>
                <w:rFonts w:ascii="仿宋" w:hAnsi="仿宋" w:eastAsia="仿宋" w:cs="仿宋"/>
                <w:szCs w:val="21"/>
              </w:rPr>
            </w:pPr>
            <w:r>
              <w:rPr>
                <w:rFonts w:hint="eastAsia" w:ascii="仿宋" w:hAnsi="仿宋" w:eastAsia="仿宋" w:cs="仿宋"/>
                <w:szCs w:val="21"/>
              </w:rPr>
              <w:t>联系方式：</w:t>
            </w:r>
            <w:r>
              <w:rPr>
                <w:rFonts w:hint="eastAsia" w:ascii="仿宋" w:hAnsi="仿宋" w:eastAsia="仿宋" w:cs="仿宋"/>
                <w:szCs w:val="21"/>
                <w:lang w:val="en-US" w:eastAsia="zh-CN"/>
              </w:rPr>
              <w:t>0372-5901533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1.2.3</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采购</w:t>
            </w:r>
          </w:p>
          <w:p>
            <w:pPr>
              <w:snapToGrid w:val="0"/>
              <w:spacing w:line="360" w:lineRule="auto"/>
              <w:jc w:val="center"/>
              <w:rPr>
                <w:rFonts w:ascii="仿宋" w:hAnsi="仿宋" w:eastAsia="仿宋" w:cs="仿宋"/>
                <w:szCs w:val="21"/>
              </w:rPr>
            </w:pPr>
            <w:r>
              <w:rPr>
                <w:rFonts w:hint="eastAsia" w:ascii="仿宋" w:hAnsi="仿宋" w:eastAsia="仿宋" w:cs="仿宋"/>
                <w:szCs w:val="21"/>
              </w:rPr>
              <w:t>代理机构</w:t>
            </w:r>
          </w:p>
        </w:tc>
        <w:tc>
          <w:tcPr>
            <w:tcW w:w="6931" w:type="dxa"/>
            <w:vAlign w:val="center"/>
          </w:tcPr>
          <w:p>
            <w:pPr>
              <w:snapToGrid w:val="0"/>
              <w:spacing w:line="360" w:lineRule="auto"/>
              <w:rPr>
                <w:rFonts w:hint="eastAsia" w:ascii="仿宋" w:hAnsi="仿宋" w:eastAsia="仿宋" w:cs="仿宋"/>
                <w:szCs w:val="21"/>
                <w:lang w:eastAsia="zh-CN"/>
              </w:rPr>
            </w:pPr>
            <w:r>
              <w:rPr>
                <w:rFonts w:hint="eastAsia" w:ascii="仿宋" w:hAnsi="仿宋" w:eastAsia="仿宋" w:cs="仿宋"/>
                <w:szCs w:val="21"/>
              </w:rPr>
              <w:t>采购代理机构：</w:t>
            </w:r>
            <w:r>
              <w:rPr>
                <w:rFonts w:hint="eastAsia" w:ascii="仿宋" w:hAnsi="仿宋" w:eastAsia="仿宋" w:cs="仿宋"/>
                <w:szCs w:val="21"/>
                <w:lang w:eastAsia="zh-CN"/>
              </w:rPr>
              <w:t>河南省博律企业管理有限公司</w:t>
            </w:r>
          </w:p>
          <w:p>
            <w:pPr>
              <w:snapToGrid w:val="0"/>
              <w:spacing w:line="360" w:lineRule="auto"/>
              <w:rPr>
                <w:rFonts w:hint="default" w:ascii="仿宋" w:hAnsi="仿宋" w:eastAsia="仿宋" w:cs="仿宋"/>
                <w:szCs w:val="21"/>
                <w:lang w:val="en-US" w:eastAsia="zh-CN"/>
              </w:rPr>
            </w:pPr>
            <w:r>
              <w:rPr>
                <w:rFonts w:hint="eastAsia" w:ascii="仿宋" w:hAnsi="仿宋" w:eastAsia="仿宋" w:cs="仿宋"/>
                <w:szCs w:val="21"/>
              </w:rPr>
              <w:t>地       址：安阳市平原路南段437号</w:t>
            </w:r>
          </w:p>
          <w:p>
            <w:pPr>
              <w:snapToGrid w:val="0"/>
              <w:spacing w:line="360" w:lineRule="auto"/>
              <w:rPr>
                <w:rFonts w:ascii="仿宋" w:hAnsi="仿宋" w:eastAsia="仿宋" w:cs="仿宋"/>
                <w:szCs w:val="21"/>
              </w:rPr>
            </w:pPr>
            <w:r>
              <w:rPr>
                <w:rFonts w:hint="eastAsia" w:ascii="仿宋" w:hAnsi="仿宋" w:eastAsia="仿宋" w:cs="仿宋"/>
                <w:szCs w:val="21"/>
              </w:rPr>
              <w:t>联   系  人：</w:t>
            </w:r>
            <w:r>
              <w:rPr>
                <w:rFonts w:hint="eastAsia" w:ascii="仿宋" w:hAnsi="仿宋" w:eastAsia="仿宋" w:cs="仿宋"/>
                <w:szCs w:val="21"/>
                <w:lang w:val="en-US" w:eastAsia="zh-CN"/>
              </w:rPr>
              <w:t>石源</w:t>
            </w:r>
            <w:r>
              <w:rPr>
                <w:rFonts w:hint="eastAsia" w:ascii="仿宋" w:hAnsi="仿宋" w:eastAsia="仿宋" w:cs="仿宋"/>
                <w:szCs w:val="21"/>
              </w:rPr>
              <w:t xml:space="preserve">     </w:t>
            </w:r>
          </w:p>
          <w:p>
            <w:pPr>
              <w:snapToGrid w:val="0"/>
              <w:spacing w:line="360" w:lineRule="auto"/>
              <w:rPr>
                <w:rFonts w:ascii="仿宋" w:hAnsi="仿宋" w:eastAsia="仿宋" w:cs="仿宋"/>
                <w:szCs w:val="21"/>
              </w:rPr>
            </w:pPr>
            <w:r>
              <w:rPr>
                <w:rFonts w:hint="eastAsia" w:ascii="仿宋" w:hAnsi="仿宋" w:eastAsia="仿宋" w:cs="仿宋"/>
                <w:szCs w:val="21"/>
              </w:rPr>
              <w:t>联 系 电 话：</w:t>
            </w:r>
            <w:r>
              <w:rPr>
                <w:rFonts w:hint="eastAsia" w:ascii="仿宋" w:hAnsi="仿宋" w:eastAsia="仿宋" w:cs="仿宋"/>
                <w:szCs w:val="21"/>
                <w:lang w:val="en-US" w:eastAsia="zh-CN"/>
              </w:rPr>
              <w:t>17337274890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6" w:type="dxa"/>
            <w:vAlign w:val="center"/>
          </w:tcPr>
          <w:p>
            <w:pPr>
              <w:snapToGrid w:val="0"/>
              <w:jc w:val="center"/>
              <w:rPr>
                <w:rFonts w:ascii="仿宋" w:hAnsi="仿宋" w:eastAsia="仿宋" w:cs="仿宋"/>
                <w:szCs w:val="21"/>
              </w:rPr>
            </w:pPr>
            <w:r>
              <w:rPr>
                <w:rFonts w:hint="eastAsia" w:ascii="仿宋" w:hAnsi="仿宋" w:eastAsia="仿宋" w:cs="仿宋"/>
                <w:szCs w:val="21"/>
              </w:rPr>
              <w:t>1.2.4</w:t>
            </w:r>
          </w:p>
        </w:tc>
        <w:tc>
          <w:tcPr>
            <w:tcW w:w="1417" w:type="dxa"/>
            <w:vAlign w:val="center"/>
          </w:tcPr>
          <w:p>
            <w:pPr>
              <w:snapToGrid w:val="0"/>
              <w:jc w:val="center"/>
              <w:rPr>
                <w:rFonts w:ascii="仿宋" w:hAnsi="仿宋" w:eastAsia="仿宋" w:cs="仿宋"/>
                <w:szCs w:val="21"/>
              </w:rPr>
            </w:pPr>
            <w:r>
              <w:rPr>
                <w:rFonts w:hint="eastAsia" w:ascii="仿宋" w:hAnsi="仿宋" w:eastAsia="仿宋" w:cs="仿宋"/>
                <w:szCs w:val="21"/>
              </w:rPr>
              <w:t>项目名称</w:t>
            </w:r>
          </w:p>
        </w:tc>
        <w:tc>
          <w:tcPr>
            <w:tcW w:w="6931" w:type="dxa"/>
            <w:vAlign w:val="center"/>
          </w:tcPr>
          <w:p>
            <w:pPr>
              <w:snapToGrid w:val="0"/>
              <w:rPr>
                <w:rFonts w:ascii="仿宋" w:hAnsi="仿宋" w:eastAsia="仿宋" w:cs="仿宋"/>
                <w:szCs w:val="21"/>
              </w:rPr>
            </w:pPr>
            <w:r>
              <w:rPr>
                <w:rFonts w:hint="eastAsia" w:ascii="仿宋" w:hAnsi="仿宋" w:eastAsia="仿宋" w:cs="仿宋"/>
                <w:szCs w:val="21"/>
              </w:rPr>
              <w:t>安阳市城区饮用水水源地调整替代方案编制项目</w:t>
            </w:r>
            <w:r>
              <w:rPr>
                <w:rFonts w:hint="eastAsia" w:ascii="仿宋" w:hAnsi="仿宋" w:eastAsia="仿宋" w:cs="仿宋"/>
                <w:szCs w:val="21"/>
                <w:lang w:eastAsia="zh-CN"/>
              </w:rPr>
              <w:t>（</w:t>
            </w:r>
            <w:r>
              <w:rPr>
                <w:rFonts w:hint="eastAsia" w:ascii="仿宋" w:hAnsi="仿宋" w:eastAsia="仿宋" w:cs="仿宋"/>
                <w:szCs w:val="21"/>
                <w:lang w:val="en-US" w:eastAsia="zh-CN"/>
              </w:rPr>
              <w:t>二次</w:t>
            </w:r>
            <w:r>
              <w:rPr>
                <w:rFonts w:hint="eastAsia" w:ascii="仿宋" w:hAnsi="仿宋" w:eastAsia="仿宋" w:cs="仿宋"/>
                <w:szCs w:val="21"/>
                <w:lang w:eastAsia="zh-CN"/>
              </w:rPr>
              <w:t>）</w:t>
            </w: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snapToGrid w:val="0"/>
              <w:jc w:val="center"/>
              <w:rPr>
                <w:rFonts w:ascii="仿宋" w:hAnsi="仿宋" w:eastAsia="仿宋" w:cs="仿宋"/>
                <w:szCs w:val="21"/>
              </w:rPr>
            </w:pPr>
            <w:r>
              <w:rPr>
                <w:rFonts w:hint="eastAsia" w:ascii="仿宋" w:hAnsi="仿宋" w:eastAsia="仿宋" w:cs="仿宋"/>
                <w:szCs w:val="21"/>
              </w:rPr>
              <w:t>1.2.5</w:t>
            </w:r>
          </w:p>
        </w:tc>
        <w:tc>
          <w:tcPr>
            <w:tcW w:w="1417" w:type="dxa"/>
            <w:vAlign w:val="center"/>
          </w:tcPr>
          <w:p>
            <w:pPr>
              <w:snapToGrid w:val="0"/>
              <w:jc w:val="center"/>
              <w:rPr>
                <w:rFonts w:ascii="仿宋" w:hAnsi="仿宋" w:eastAsia="仿宋" w:cs="仿宋"/>
                <w:szCs w:val="21"/>
              </w:rPr>
            </w:pPr>
            <w:r>
              <w:rPr>
                <w:rFonts w:hint="eastAsia" w:ascii="仿宋" w:hAnsi="仿宋" w:eastAsia="仿宋" w:cs="仿宋"/>
                <w:szCs w:val="21"/>
              </w:rPr>
              <w:t>项目编号</w:t>
            </w:r>
          </w:p>
        </w:tc>
        <w:tc>
          <w:tcPr>
            <w:tcW w:w="6931" w:type="dxa"/>
            <w:vAlign w:val="center"/>
          </w:tcPr>
          <w:p>
            <w:pPr>
              <w:snapToGrid w:val="0"/>
              <w:rPr>
                <w:rFonts w:ascii="仿宋" w:hAnsi="仿宋" w:eastAsia="仿宋" w:cs="仿宋"/>
                <w:szCs w:val="21"/>
              </w:rPr>
            </w:pPr>
            <w:r>
              <w:rPr>
                <w:rFonts w:hint="eastAsia" w:ascii="仿宋" w:hAnsi="仿宋" w:eastAsia="仿宋" w:cs="仿宋"/>
                <w:sz w:val="24"/>
                <w:lang w:val="en-US" w:eastAsia="zh-CN"/>
              </w:rPr>
              <w:t>安财磋商采购-2023-82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1.3</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预算金额及政府采购最高限价</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预算金额1</w:t>
            </w:r>
            <w:r>
              <w:rPr>
                <w:rFonts w:hint="eastAsia" w:ascii="仿宋" w:hAnsi="仿宋" w:eastAsia="仿宋" w:cs="仿宋"/>
                <w:szCs w:val="21"/>
                <w:lang w:val="en-US" w:eastAsia="zh-CN"/>
              </w:rPr>
              <w:t>0</w:t>
            </w:r>
            <w:r>
              <w:rPr>
                <w:rFonts w:hint="eastAsia" w:ascii="仿宋" w:hAnsi="仿宋" w:eastAsia="仿宋" w:cs="仿宋"/>
                <w:szCs w:val="21"/>
              </w:rPr>
              <w:t>00000元。</w:t>
            </w:r>
          </w:p>
          <w:p>
            <w:pPr>
              <w:tabs>
                <w:tab w:val="left" w:pos="720"/>
              </w:tabs>
              <w:snapToGrid w:val="0"/>
              <w:spacing w:line="360" w:lineRule="auto"/>
              <w:rPr>
                <w:rFonts w:ascii="仿宋" w:hAnsi="仿宋" w:eastAsia="仿宋" w:cs="仿宋"/>
                <w:szCs w:val="21"/>
              </w:rPr>
            </w:pPr>
            <w:r>
              <w:rPr>
                <w:rFonts w:hint="eastAsia" w:ascii="仿宋" w:hAnsi="仿宋" w:eastAsia="仿宋" w:cs="仿宋"/>
                <w:szCs w:val="21"/>
              </w:rPr>
              <w:t>政府采购最高限价：1</w:t>
            </w:r>
            <w:r>
              <w:rPr>
                <w:rFonts w:hint="eastAsia" w:ascii="仿宋" w:hAnsi="仿宋" w:eastAsia="仿宋" w:cs="仿宋"/>
                <w:szCs w:val="21"/>
                <w:lang w:val="en-US" w:eastAsia="zh-CN"/>
              </w:rPr>
              <w:t>0</w:t>
            </w:r>
            <w:r>
              <w:rPr>
                <w:rFonts w:hint="eastAsia" w:ascii="仿宋" w:hAnsi="仿宋" w:eastAsia="仿宋" w:cs="仿宋"/>
                <w:szCs w:val="21"/>
              </w:rPr>
              <w:t>00000元。</w:t>
            </w:r>
          </w:p>
          <w:p>
            <w:pPr>
              <w:snapToGrid w:val="0"/>
              <w:spacing w:line="360" w:lineRule="auto"/>
              <w:rPr>
                <w:rFonts w:ascii="仿宋" w:hAnsi="仿宋" w:eastAsia="仿宋" w:cs="仿宋"/>
                <w:szCs w:val="21"/>
              </w:rPr>
            </w:pPr>
            <w:r>
              <w:rPr>
                <w:rFonts w:hint="eastAsia" w:ascii="仿宋" w:hAnsi="仿宋" w:eastAsia="仿宋" w:cs="仿宋"/>
                <w:szCs w:val="21"/>
              </w:rPr>
              <w:t>供应商在预算金额（政府采购最高限价）内自主报价，超过预算金额（政府采购最高限价）的报价为无效报价。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66" w:type="dxa"/>
            <w:vAlign w:val="center"/>
          </w:tcPr>
          <w:p>
            <w:pPr>
              <w:snapToGrid w:val="0"/>
              <w:jc w:val="center"/>
              <w:rPr>
                <w:rFonts w:ascii="仿宋" w:hAnsi="仿宋" w:eastAsia="仿宋" w:cs="仿宋"/>
                <w:szCs w:val="21"/>
              </w:rPr>
            </w:pPr>
            <w:r>
              <w:rPr>
                <w:rFonts w:hint="eastAsia" w:ascii="仿宋" w:hAnsi="仿宋" w:eastAsia="仿宋" w:cs="仿宋"/>
                <w:szCs w:val="21"/>
              </w:rPr>
              <w:t>1.4.1</w:t>
            </w:r>
          </w:p>
        </w:tc>
        <w:tc>
          <w:tcPr>
            <w:tcW w:w="1417" w:type="dxa"/>
            <w:vAlign w:val="center"/>
          </w:tcPr>
          <w:p>
            <w:pPr>
              <w:snapToGrid w:val="0"/>
              <w:jc w:val="center"/>
              <w:rPr>
                <w:rFonts w:ascii="仿宋" w:hAnsi="仿宋" w:eastAsia="仿宋" w:cs="仿宋"/>
                <w:szCs w:val="21"/>
              </w:rPr>
            </w:pPr>
            <w:r>
              <w:rPr>
                <w:rFonts w:hint="eastAsia" w:ascii="仿宋" w:hAnsi="仿宋" w:eastAsia="仿宋" w:cs="仿宋"/>
                <w:bCs/>
              </w:rPr>
              <w:t>采购内容</w:t>
            </w:r>
          </w:p>
        </w:tc>
        <w:tc>
          <w:tcPr>
            <w:tcW w:w="6931" w:type="dxa"/>
            <w:vAlign w:val="center"/>
          </w:tcPr>
          <w:p>
            <w:pPr>
              <w:tabs>
                <w:tab w:val="left" w:pos="720"/>
              </w:tabs>
              <w:snapToGrid w:val="0"/>
              <w:rPr>
                <w:rFonts w:ascii="仿宋" w:hAnsi="仿宋" w:eastAsia="仿宋" w:cs="仿宋"/>
                <w:b/>
                <w:szCs w:val="21"/>
              </w:rPr>
            </w:pPr>
            <w:r>
              <w:rPr>
                <w:rFonts w:hint="eastAsia" w:ascii="仿宋" w:hAnsi="仿宋" w:eastAsia="仿宋" w:cs="仿宋"/>
                <w:bCs/>
              </w:rPr>
              <w:t>详见采购人需求及技术要求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1.4.3</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合同</w:t>
            </w:r>
          </w:p>
          <w:p>
            <w:pPr>
              <w:snapToGrid w:val="0"/>
              <w:spacing w:line="360" w:lineRule="auto"/>
              <w:jc w:val="center"/>
              <w:rPr>
                <w:rFonts w:ascii="仿宋" w:hAnsi="仿宋" w:eastAsia="仿宋" w:cs="仿宋"/>
                <w:szCs w:val="21"/>
              </w:rPr>
            </w:pPr>
            <w:r>
              <w:rPr>
                <w:rFonts w:hint="eastAsia" w:ascii="仿宋" w:hAnsi="仿宋" w:eastAsia="仿宋" w:cs="仿宋"/>
                <w:szCs w:val="21"/>
              </w:rPr>
              <w:t>履行期限</w:t>
            </w:r>
          </w:p>
        </w:tc>
        <w:tc>
          <w:tcPr>
            <w:tcW w:w="6931" w:type="dxa"/>
            <w:vAlign w:val="center"/>
          </w:tcPr>
          <w:p>
            <w:pPr>
              <w:snapToGrid w:val="0"/>
              <w:spacing w:line="360" w:lineRule="auto"/>
              <w:rPr>
                <w:rFonts w:hint="default" w:ascii="仿宋" w:hAnsi="仿宋" w:eastAsia="仿宋" w:cs="仿宋"/>
                <w:szCs w:val="21"/>
                <w:lang w:val="en-US" w:eastAsia="zh-CN"/>
              </w:rPr>
            </w:pPr>
            <w:r>
              <w:rPr>
                <w:rFonts w:hint="default" w:ascii="仿宋" w:hAnsi="仿宋" w:eastAsia="仿宋" w:cs="仿宋"/>
                <w:szCs w:val="21"/>
                <w:lang w:val="en-US" w:eastAsia="zh-CN"/>
              </w:rPr>
              <w:t>合同签订后60日历天完成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vAlign w:val="center"/>
          </w:tcPr>
          <w:p>
            <w:pPr>
              <w:snapToGrid w:val="0"/>
              <w:jc w:val="center"/>
              <w:rPr>
                <w:rFonts w:ascii="仿宋" w:hAnsi="仿宋" w:eastAsia="仿宋" w:cs="仿宋"/>
                <w:szCs w:val="21"/>
              </w:rPr>
            </w:pPr>
            <w:r>
              <w:rPr>
                <w:rFonts w:hint="eastAsia" w:ascii="仿宋" w:hAnsi="仿宋" w:eastAsia="仿宋" w:cs="仿宋"/>
                <w:szCs w:val="21"/>
              </w:rPr>
              <w:t>1.4.4</w:t>
            </w:r>
          </w:p>
        </w:tc>
        <w:tc>
          <w:tcPr>
            <w:tcW w:w="1417" w:type="dxa"/>
            <w:vAlign w:val="center"/>
          </w:tcPr>
          <w:p>
            <w:pPr>
              <w:snapToGrid w:val="0"/>
              <w:jc w:val="center"/>
              <w:rPr>
                <w:rFonts w:ascii="仿宋" w:hAnsi="仿宋" w:eastAsia="仿宋" w:cs="仿宋"/>
                <w:szCs w:val="21"/>
              </w:rPr>
            </w:pPr>
            <w:r>
              <w:rPr>
                <w:rFonts w:hint="eastAsia" w:ascii="仿宋" w:hAnsi="仿宋" w:eastAsia="仿宋" w:cs="仿宋"/>
                <w:szCs w:val="21"/>
              </w:rPr>
              <w:t>质量要求</w:t>
            </w:r>
          </w:p>
        </w:tc>
        <w:tc>
          <w:tcPr>
            <w:tcW w:w="6931" w:type="dxa"/>
            <w:vAlign w:val="center"/>
          </w:tcPr>
          <w:p>
            <w:pPr>
              <w:snapToGrid w:val="0"/>
              <w:rPr>
                <w:rFonts w:ascii="仿宋" w:hAnsi="仿宋" w:eastAsia="仿宋" w:cs="仿宋"/>
                <w:szCs w:val="21"/>
              </w:rPr>
            </w:pPr>
            <w:r>
              <w:rPr>
                <w:rFonts w:hint="eastAsia" w:ascii="仿宋" w:hAnsi="仿宋" w:eastAsia="仿宋" w:cs="仿宋"/>
                <w:szCs w:val="21"/>
              </w:rPr>
              <w:t>合格，符合现行国家相关验收规范合格标准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1.5.1</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政府采购</w:t>
            </w:r>
          </w:p>
          <w:p>
            <w:pPr>
              <w:snapToGrid w:val="0"/>
              <w:spacing w:line="360" w:lineRule="auto"/>
              <w:jc w:val="center"/>
              <w:rPr>
                <w:rFonts w:ascii="仿宋" w:hAnsi="仿宋" w:eastAsia="仿宋" w:cs="仿宋"/>
                <w:szCs w:val="21"/>
              </w:rPr>
            </w:pPr>
            <w:r>
              <w:rPr>
                <w:rFonts w:hint="eastAsia" w:ascii="仿宋" w:hAnsi="仿宋" w:eastAsia="仿宋" w:cs="仿宋"/>
                <w:szCs w:val="21"/>
              </w:rPr>
              <w:t>政策</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1.采购节能产品（</w:t>
            </w:r>
            <w:r>
              <w:rPr>
                <w:rFonts w:hint="eastAsia" w:ascii="仿宋" w:hAnsi="仿宋" w:eastAsia="仿宋" w:cs="仿宋"/>
                <w:b/>
                <w:bCs/>
                <w:szCs w:val="21"/>
              </w:rPr>
              <w:t>√</w:t>
            </w:r>
            <w:r>
              <w:rPr>
                <w:rFonts w:hint="eastAsia" w:ascii="仿宋" w:hAnsi="仿宋" w:eastAsia="仿宋" w:cs="仿宋"/>
                <w:szCs w:val="21"/>
              </w:rPr>
              <w:t xml:space="preserve">是/  否）    </w:t>
            </w:r>
          </w:p>
          <w:p>
            <w:pPr>
              <w:snapToGrid w:val="0"/>
              <w:spacing w:line="360" w:lineRule="auto"/>
              <w:rPr>
                <w:rFonts w:ascii="仿宋" w:hAnsi="仿宋" w:eastAsia="仿宋" w:cs="仿宋"/>
                <w:szCs w:val="21"/>
              </w:rPr>
            </w:pPr>
            <w:r>
              <w:rPr>
                <w:rFonts w:hint="eastAsia" w:ascii="仿宋" w:hAnsi="仿宋" w:eastAsia="仿宋" w:cs="仿宋"/>
                <w:szCs w:val="21"/>
              </w:rPr>
              <w:t>2.采购环保产品（</w:t>
            </w:r>
            <w:r>
              <w:rPr>
                <w:rFonts w:hint="eastAsia" w:ascii="仿宋" w:hAnsi="仿宋" w:eastAsia="仿宋" w:cs="仿宋"/>
                <w:b/>
                <w:bCs/>
                <w:szCs w:val="21"/>
              </w:rPr>
              <w:t>√</w:t>
            </w:r>
            <w:r>
              <w:rPr>
                <w:rFonts w:hint="eastAsia" w:ascii="仿宋" w:hAnsi="仿宋" w:eastAsia="仿宋" w:cs="仿宋"/>
                <w:szCs w:val="21"/>
              </w:rPr>
              <w:t>是/  否）</w:t>
            </w:r>
          </w:p>
          <w:p>
            <w:pPr>
              <w:snapToGrid w:val="0"/>
              <w:spacing w:line="360" w:lineRule="auto"/>
              <w:rPr>
                <w:rFonts w:ascii="仿宋" w:hAnsi="仿宋" w:eastAsia="仿宋" w:cs="仿宋"/>
                <w:szCs w:val="21"/>
              </w:rPr>
            </w:pPr>
            <w:r>
              <w:rPr>
                <w:rFonts w:hint="eastAsia" w:ascii="仿宋" w:hAnsi="仿宋" w:eastAsia="仿宋" w:cs="仿宋"/>
                <w:szCs w:val="21"/>
              </w:rPr>
              <w:t>3.执行促进中小型（监狱、残疾人福利）企业发展相关政策（</w:t>
            </w:r>
            <w:r>
              <w:rPr>
                <w:rFonts w:hint="eastAsia" w:ascii="仿宋" w:hAnsi="仿宋" w:eastAsia="仿宋" w:cs="仿宋"/>
                <w:b/>
                <w:bCs/>
                <w:szCs w:val="21"/>
              </w:rPr>
              <w:t>√</w:t>
            </w:r>
            <w:r>
              <w:rPr>
                <w:rFonts w:hint="eastAsia" w:ascii="仿宋" w:hAnsi="仿宋" w:eastAsia="仿宋" w:cs="仿宋"/>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6" w:type="dxa"/>
            <w:vAlign w:val="center"/>
          </w:tcPr>
          <w:p>
            <w:pPr>
              <w:snapToGrid w:val="0"/>
              <w:jc w:val="center"/>
              <w:rPr>
                <w:rFonts w:ascii="仿宋" w:hAnsi="仿宋" w:eastAsia="仿宋" w:cs="仿宋"/>
                <w:szCs w:val="21"/>
              </w:rPr>
            </w:pPr>
            <w:r>
              <w:rPr>
                <w:rFonts w:hint="eastAsia" w:ascii="仿宋" w:hAnsi="仿宋" w:eastAsia="仿宋" w:cs="仿宋"/>
                <w:szCs w:val="21"/>
              </w:rPr>
              <w:t>1.5.2</w:t>
            </w:r>
          </w:p>
        </w:tc>
        <w:tc>
          <w:tcPr>
            <w:tcW w:w="1417" w:type="dxa"/>
            <w:vAlign w:val="center"/>
          </w:tcPr>
          <w:p>
            <w:pPr>
              <w:snapToGrid w:val="0"/>
              <w:jc w:val="center"/>
              <w:rPr>
                <w:rFonts w:ascii="仿宋" w:hAnsi="仿宋" w:eastAsia="仿宋" w:cs="仿宋"/>
                <w:szCs w:val="21"/>
              </w:rPr>
            </w:pPr>
            <w:r>
              <w:rPr>
                <w:rFonts w:hint="eastAsia" w:ascii="仿宋" w:hAnsi="仿宋" w:eastAsia="仿宋" w:cs="仿宋"/>
                <w:szCs w:val="21"/>
              </w:rPr>
              <w:t>进口产品</w:t>
            </w:r>
          </w:p>
        </w:tc>
        <w:tc>
          <w:tcPr>
            <w:tcW w:w="6931" w:type="dxa"/>
            <w:vAlign w:val="center"/>
          </w:tcPr>
          <w:p>
            <w:pPr>
              <w:snapToGrid w:val="0"/>
              <w:rPr>
                <w:rFonts w:ascii="仿宋" w:hAnsi="仿宋" w:eastAsia="仿宋" w:cs="仿宋"/>
                <w:szCs w:val="21"/>
              </w:rPr>
            </w:pPr>
            <w:r>
              <w:rPr>
                <w:rFonts w:hint="eastAsia" w:ascii="仿宋" w:hAnsi="仿宋" w:eastAsia="仿宋" w:cs="仿宋"/>
                <w:szCs w:val="21"/>
              </w:rPr>
              <w:t>经财政部门核准允许采购进口产品（ 是/</w:t>
            </w:r>
            <w:r>
              <w:rPr>
                <w:rFonts w:hint="eastAsia" w:ascii="仿宋" w:hAnsi="仿宋" w:eastAsia="仿宋" w:cs="仿宋"/>
                <w:b/>
                <w:bCs/>
                <w:szCs w:val="21"/>
              </w:rPr>
              <w:t>√</w:t>
            </w:r>
            <w:r>
              <w:rPr>
                <w:rFonts w:hint="eastAsia" w:ascii="仿宋" w:hAnsi="仿宋" w:eastAsia="仿宋" w:cs="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1.6</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供应商资格要求</w:t>
            </w:r>
          </w:p>
        </w:tc>
        <w:tc>
          <w:tcPr>
            <w:tcW w:w="6931" w:type="dxa"/>
            <w:vAlign w:val="center"/>
          </w:tcPr>
          <w:p>
            <w:pPr>
              <w:snapToGrid w:val="0"/>
              <w:spacing w:line="360" w:lineRule="auto"/>
              <w:rPr>
                <w:rFonts w:hint="eastAsia" w:ascii="仿宋" w:hAnsi="仿宋" w:eastAsia="仿宋" w:cs="仿宋"/>
                <w:szCs w:val="21"/>
              </w:rPr>
            </w:pPr>
            <w:r>
              <w:rPr>
                <w:rFonts w:hint="eastAsia" w:ascii="仿宋" w:hAnsi="仿宋" w:eastAsia="仿宋" w:cs="仿宋"/>
                <w:szCs w:val="21"/>
              </w:rPr>
              <w:t>1.1符合《中华人民共和国政府采购法》第22 条的规定：</w:t>
            </w:r>
          </w:p>
          <w:p>
            <w:pPr>
              <w:snapToGrid w:val="0"/>
              <w:spacing w:line="360" w:lineRule="auto"/>
              <w:rPr>
                <w:rFonts w:hint="eastAsia" w:ascii="仿宋" w:hAnsi="仿宋" w:eastAsia="仿宋" w:cs="仿宋"/>
                <w:szCs w:val="21"/>
              </w:rPr>
            </w:pPr>
            <w:r>
              <w:rPr>
                <w:rFonts w:hint="eastAsia" w:ascii="仿宋" w:hAnsi="仿宋" w:eastAsia="仿宋" w:cs="仿宋"/>
                <w:szCs w:val="21"/>
              </w:rPr>
              <w:t>（一）具有独立承担民事责任的能力；</w:t>
            </w:r>
          </w:p>
          <w:p>
            <w:pPr>
              <w:snapToGrid w:val="0"/>
              <w:spacing w:line="360" w:lineRule="auto"/>
              <w:rPr>
                <w:rFonts w:hint="eastAsia" w:ascii="仿宋" w:hAnsi="仿宋" w:eastAsia="仿宋" w:cs="仿宋"/>
                <w:szCs w:val="21"/>
              </w:rPr>
            </w:pPr>
            <w:r>
              <w:rPr>
                <w:rFonts w:hint="eastAsia" w:ascii="仿宋" w:hAnsi="仿宋" w:eastAsia="仿宋" w:cs="仿宋"/>
                <w:szCs w:val="21"/>
              </w:rPr>
              <w:t>（二）具有良好的商业信誉和健全的财务会计制度（提供近三任一年度财务审计报告或其基本户开户行银行出具的资信证明）；</w:t>
            </w:r>
          </w:p>
          <w:p>
            <w:pPr>
              <w:snapToGrid w:val="0"/>
              <w:spacing w:line="360" w:lineRule="auto"/>
              <w:rPr>
                <w:rFonts w:hint="eastAsia" w:ascii="仿宋" w:hAnsi="仿宋" w:eastAsia="仿宋" w:cs="仿宋"/>
                <w:szCs w:val="21"/>
              </w:rPr>
            </w:pPr>
            <w:r>
              <w:rPr>
                <w:rFonts w:hint="eastAsia" w:ascii="仿宋" w:hAnsi="仿宋" w:eastAsia="仿宋" w:cs="仿宋"/>
                <w:szCs w:val="21"/>
              </w:rPr>
              <w:t>（三）具有履行合同所必需的设备和专业技术能力（提供书面承诺，格式自拟）；</w:t>
            </w:r>
          </w:p>
          <w:p>
            <w:pPr>
              <w:snapToGrid w:val="0"/>
              <w:spacing w:line="360" w:lineRule="auto"/>
              <w:rPr>
                <w:rFonts w:hint="eastAsia" w:ascii="仿宋" w:hAnsi="仿宋" w:eastAsia="仿宋" w:cs="仿宋"/>
                <w:szCs w:val="21"/>
              </w:rPr>
            </w:pPr>
            <w:r>
              <w:rPr>
                <w:rFonts w:hint="eastAsia" w:ascii="仿宋" w:hAnsi="仿宋" w:eastAsia="仿宋" w:cs="仿宋"/>
                <w:szCs w:val="21"/>
              </w:rPr>
              <w:t>（四）有依法缴纳税收和社会保障资金的良好记录（提供2023年1月1日以来任意1个月的缴纳证明）；</w:t>
            </w:r>
          </w:p>
          <w:p>
            <w:pPr>
              <w:snapToGrid w:val="0"/>
              <w:spacing w:line="360" w:lineRule="auto"/>
              <w:rPr>
                <w:rFonts w:hint="eastAsia" w:ascii="仿宋" w:hAnsi="仿宋" w:eastAsia="仿宋" w:cs="仿宋"/>
                <w:szCs w:val="21"/>
              </w:rPr>
            </w:pPr>
            <w:r>
              <w:rPr>
                <w:rFonts w:hint="eastAsia" w:ascii="仿宋" w:hAnsi="仿宋" w:eastAsia="仿宋" w:cs="仿宋"/>
                <w:szCs w:val="21"/>
              </w:rPr>
              <w:t>（五）参加政府采购活动前三年内，在经营活动中没有重大违法记录（提供书面承诺，格式自拟）。</w:t>
            </w:r>
          </w:p>
          <w:p>
            <w:pPr>
              <w:snapToGrid w:val="0"/>
              <w:spacing w:line="360" w:lineRule="auto"/>
              <w:rPr>
                <w:rFonts w:hint="eastAsia" w:ascii="仿宋" w:hAnsi="仿宋" w:eastAsia="仿宋" w:cs="仿宋"/>
                <w:szCs w:val="21"/>
              </w:rPr>
            </w:pPr>
            <w:r>
              <w:rPr>
                <w:rFonts w:hint="eastAsia" w:ascii="仿宋" w:hAnsi="仿宋" w:eastAsia="仿宋" w:cs="仿宋"/>
                <w:szCs w:val="21"/>
              </w:rPr>
              <w:t>1.2在中华人民共和国境内注册的具有独立法人资格的单位，具有营业执照（或事业单位法人证书）、税务登记证、组织机构代码证（或提供带有统一社会信用代码的证件）。</w:t>
            </w:r>
          </w:p>
          <w:p>
            <w:pPr>
              <w:snapToGrid w:val="0"/>
              <w:spacing w:line="360" w:lineRule="auto"/>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3</w:t>
            </w:r>
            <w:r>
              <w:rPr>
                <w:rFonts w:hint="eastAsia" w:ascii="仿宋" w:hAnsi="仿宋" w:eastAsia="仿宋" w:cs="仿宋"/>
                <w:szCs w:val="21"/>
              </w:rPr>
              <w:t xml:space="preserve"> 供应商应为无不良信用记录单位（失信被执行人、重大税收违法案件当事人名单、政府采购严重违法失信行为记录）。查询渠道：“信用中国”网站（www.creditchina.gov.cn）、中国政府采购网（www.ccgp.gov.cn）。</w:t>
            </w:r>
          </w:p>
          <w:p>
            <w:pPr>
              <w:snapToGrid w:val="0"/>
              <w:spacing w:line="360" w:lineRule="auto"/>
            </w:pPr>
            <w:r>
              <w:rPr>
                <w:rFonts w:hint="eastAsia" w:ascii="仿宋" w:hAnsi="仿宋" w:eastAsia="仿宋" w:cs="仿宋"/>
                <w:szCs w:val="21"/>
              </w:rPr>
              <w:t>1.</w:t>
            </w:r>
            <w:r>
              <w:rPr>
                <w:rFonts w:hint="eastAsia" w:ascii="仿宋" w:hAnsi="仿宋" w:eastAsia="仿宋" w:cs="仿宋"/>
                <w:szCs w:val="21"/>
                <w:lang w:val="en-US" w:eastAsia="zh-CN"/>
              </w:rPr>
              <w:t>4</w:t>
            </w:r>
            <w:r>
              <w:rPr>
                <w:rFonts w:hint="eastAsia" w:ascii="仿宋" w:hAnsi="仿宋" w:eastAsia="仿宋" w:cs="仿宋"/>
                <w:szCs w:val="21"/>
              </w:rPr>
              <w:t xml:space="preserve"> 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1.6.2</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信用记录</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根据财库〔2016〕125 号文件要求，采购代理机构将查询供应商信用记录。</w:t>
            </w:r>
          </w:p>
          <w:p>
            <w:pPr>
              <w:snapToGrid w:val="0"/>
              <w:spacing w:line="360" w:lineRule="auto"/>
              <w:rPr>
                <w:rFonts w:ascii="仿宋" w:hAnsi="仿宋" w:eastAsia="仿宋" w:cs="仿宋"/>
                <w:szCs w:val="21"/>
              </w:rPr>
            </w:pPr>
            <w:r>
              <w:rPr>
                <w:rFonts w:hint="eastAsia" w:ascii="仿宋" w:hAnsi="仿宋" w:eastAsia="仿宋" w:cs="仿宋"/>
                <w:szCs w:val="21"/>
              </w:rPr>
              <w:t>1、信用信息查询渠道：“信用中国”网站（www.creditchina.gov.cn）、中国政府采购网（http://www.ccgp.gov.cn)。</w:t>
            </w:r>
          </w:p>
          <w:p>
            <w:pPr>
              <w:snapToGrid w:val="0"/>
              <w:spacing w:line="360" w:lineRule="auto"/>
              <w:rPr>
                <w:rFonts w:ascii="仿宋" w:hAnsi="仿宋" w:eastAsia="仿宋" w:cs="仿宋"/>
                <w:szCs w:val="21"/>
              </w:rPr>
            </w:pPr>
            <w:r>
              <w:rPr>
                <w:rFonts w:hint="eastAsia" w:ascii="仿宋" w:hAnsi="仿宋" w:eastAsia="仿宋" w:cs="仿宋"/>
                <w:szCs w:val="21"/>
              </w:rPr>
              <w:t xml:space="preserve">2、信用信息查询截止时点：响应文件递交截止时间至资格审查结束前。 </w:t>
            </w:r>
          </w:p>
          <w:p>
            <w:pPr>
              <w:snapToGrid w:val="0"/>
              <w:spacing w:line="360" w:lineRule="auto"/>
              <w:rPr>
                <w:rFonts w:ascii="仿宋" w:hAnsi="仿宋" w:eastAsia="仿宋" w:cs="仿宋"/>
                <w:szCs w:val="21"/>
              </w:rPr>
            </w:pPr>
            <w:r>
              <w:rPr>
                <w:rFonts w:hint="eastAsia" w:ascii="仿宋" w:hAnsi="仿宋" w:eastAsia="仿宋" w:cs="仿宋"/>
                <w:szCs w:val="21"/>
              </w:rPr>
              <w:t xml:space="preserve">3、信用信息查询记录和证据留存的具体方式：信用信息查询记录将以网页打印稿形式与其他采购文件一并保存。 </w:t>
            </w:r>
          </w:p>
          <w:p>
            <w:pPr>
              <w:wordWrap w:val="0"/>
              <w:snapToGrid w:val="0"/>
              <w:spacing w:line="360" w:lineRule="auto"/>
              <w:rPr>
                <w:rFonts w:ascii="仿宋" w:hAnsi="仿宋" w:eastAsia="仿宋" w:cs="仿宋"/>
                <w:szCs w:val="21"/>
              </w:rPr>
            </w:pPr>
            <w:r>
              <w:rPr>
                <w:rFonts w:hint="eastAsia" w:ascii="仿宋" w:hAnsi="仿宋" w:eastAsia="仿宋" w:cs="仿宋"/>
                <w:szCs w:val="21"/>
              </w:rPr>
              <w:t>4、信用信息的使用规则：如供应商为“信用中国”网站（www.creditchina.gov.cn）中列入失信被执行人或重大税收违法失信主体的供应商，或为中国政府采购网（www.ccgp.gov.cn）政府采购严重违法失信行为记录名单中被财政部门禁止参加政府采购活动的供应商，则其响应文件将被拒绝。</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采购代理机构查询之后，网站信息发生的任何变更均不再作为评审依据，供应商自行提供的与代理机构查询信息不一致的其他证明材料亦不作为评审依据。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1.6.3</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是否接受联合体</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1.11</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踏勘现场</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 xml:space="preserve">  √不组织，供应商自行踏勘，无论供应商对现场考察与否，都将被视为熟悉履行合同有关的一切情况。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1.12.1</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采购预备会</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 xml:space="preserve">  召开：时间********，地点**********。</w:t>
            </w:r>
          </w:p>
          <w:p>
            <w:pPr>
              <w:snapToGrid w:val="0"/>
              <w:spacing w:line="360" w:lineRule="auto"/>
              <w:rPr>
                <w:rFonts w:ascii="仿宋" w:hAnsi="仿宋" w:eastAsia="仿宋" w:cs="仿宋"/>
                <w:szCs w:val="21"/>
              </w:rPr>
            </w:pPr>
            <w:r>
              <w:rPr>
                <w:rFonts w:hint="eastAsia" w:ascii="仿宋" w:hAnsi="仿宋" w:eastAsia="仿宋" w:cs="仿宋"/>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1.13</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偏离</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 w:val="24"/>
              </w:rPr>
              <w:t>√</w:t>
            </w:r>
            <w:r>
              <w:rPr>
                <w:rFonts w:hint="eastAsia" w:ascii="仿宋" w:hAnsi="仿宋" w:eastAsia="仿宋" w:cs="仿宋"/>
                <w:szCs w:val="21"/>
              </w:rPr>
              <w:t>技术参数允许负偏离，具体要求见评分办法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2.2.2</w:t>
            </w:r>
          </w:p>
        </w:tc>
        <w:tc>
          <w:tcPr>
            <w:tcW w:w="1417" w:type="dxa"/>
            <w:vAlign w:val="bottom"/>
          </w:tcPr>
          <w:p>
            <w:pPr>
              <w:snapToGrid w:val="0"/>
              <w:spacing w:line="360" w:lineRule="auto"/>
              <w:jc w:val="center"/>
              <w:rPr>
                <w:rFonts w:ascii="仿宋" w:hAnsi="仿宋" w:eastAsia="仿宋" w:cs="仿宋"/>
              </w:rPr>
            </w:pPr>
            <w:r>
              <w:rPr>
                <w:rFonts w:hint="eastAsia" w:ascii="仿宋" w:hAnsi="仿宋" w:eastAsia="仿宋" w:cs="仿宋"/>
              </w:rPr>
              <w:t>供应商提出问题或要求澄清</w:t>
            </w:r>
          </w:p>
        </w:tc>
        <w:tc>
          <w:tcPr>
            <w:tcW w:w="6931" w:type="dxa"/>
            <w:vAlign w:val="center"/>
          </w:tcPr>
          <w:p>
            <w:pPr>
              <w:snapToGrid w:val="0"/>
              <w:spacing w:line="360" w:lineRule="auto"/>
              <w:rPr>
                <w:rFonts w:ascii="仿宋" w:hAnsi="仿宋" w:eastAsia="仿宋" w:cs="仿宋"/>
              </w:rPr>
            </w:pPr>
            <w:r>
              <w:rPr>
                <w:rFonts w:hint="eastAsia" w:ascii="仿宋" w:hAnsi="仿宋" w:eastAsia="仿宋" w:cs="仿宋"/>
              </w:rPr>
              <w:t>潜在供应商对磋商文件内容如有疑问或需要澄清的，应按竞争性磋商公告中载明的地址以书面的形式通知到采购代理机构。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pPr>
              <w:snapToGrid w:val="0"/>
              <w:jc w:val="center"/>
              <w:rPr>
                <w:rFonts w:ascii="仿宋" w:hAnsi="仿宋" w:eastAsia="仿宋" w:cs="仿宋"/>
                <w:szCs w:val="21"/>
              </w:rPr>
            </w:pPr>
            <w:r>
              <w:rPr>
                <w:rFonts w:hint="eastAsia" w:ascii="仿宋" w:hAnsi="仿宋" w:eastAsia="仿宋" w:cs="仿宋"/>
                <w:szCs w:val="21"/>
              </w:rPr>
              <w:t>3.3</w:t>
            </w:r>
          </w:p>
        </w:tc>
        <w:tc>
          <w:tcPr>
            <w:tcW w:w="1417" w:type="dxa"/>
            <w:vAlign w:val="center"/>
          </w:tcPr>
          <w:p>
            <w:pPr>
              <w:snapToGrid w:val="0"/>
              <w:jc w:val="center"/>
              <w:rPr>
                <w:rFonts w:ascii="仿宋" w:hAnsi="仿宋" w:eastAsia="仿宋" w:cs="仿宋"/>
                <w:szCs w:val="21"/>
              </w:rPr>
            </w:pPr>
            <w:r>
              <w:rPr>
                <w:rFonts w:hint="eastAsia" w:ascii="仿宋" w:hAnsi="仿宋" w:eastAsia="仿宋" w:cs="仿宋"/>
                <w:b/>
                <w:bCs/>
                <w:szCs w:val="21"/>
              </w:rPr>
              <w:t>*</w:t>
            </w:r>
            <w:r>
              <w:rPr>
                <w:rFonts w:hint="eastAsia" w:ascii="仿宋" w:hAnsi="仿宋" w:eastAsia="仿宋" w:cs="仿宋"/>
                <w:bCs/>
                <w:szCs w:val="21"/>
              </w:rPr>
              <w:t>磋商</w:t>
            </w:r>
            <w:r>
              <w:rPr>
                <w:rFonts w:hint="eastAsia" w:ascii="仿宋" w:hAnsi="仿宋" w:eastAsia="仿宋" w:cs="仿宋"/>
                <w:szCs w:val="21"/>
              </w:rPr>
              <w:t>有效期</w:t>
            </w:r>
          </w:p>
        </w:tc>
        <w:tc>
          <w:tcPr>
            <w:tcW w:w="6931" w:type="dxa"/>
            <w:vAlign w:val="center"/>
          </w:tcPr>
          <w:p>
            <w:pPr>
              <w:snapToGrid w:val="0"/>
              <w:rPr>
                <w:rFonts w:ascii="仿宋" w:hAnsi="仿宋" w:eastAsia="仿宋" w:cs="仿宋"/>
                <w:szCs w:val="21"/>
              </w:rPr>
            </w:pPr>
            <w:r>
              <w:rPr>
                <w:rFonts w:hint="eastAsia" w:ascii="仿宋" w:hAnsi="仿宋" w:eastAsia="仿宋" w:cs="仿宋"/>
                <w:szCs w:val="21"/>
              </w:rPr>
              <w:t>从响应文件提交截止之日起60日历天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3.4</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b/>
                <w:bCs/>
                <w:szCs w:val="21"/>
              </w:rPr>
              <w:t>*</w:t>
            </w:r>
            <w:r>
              <w:rPr>
                <w:rFonts w:hint="eastAsia" w:ascii="仿宋" w:hAnsi="仿宋" w:eastAsia="仿宋" w:cs="仿宋"/>
                <w:bCs/>
                <w:szCs w:val="21"/>
              </w:rPr>
              <w:t>投标承诺函（替代投标保证金）</w:t>
            </w:r>
          </w:p>
        </w:tc>
        <w:tc>
          <w:tcPr>
            <w:tcW w:w="6931" w:type="dxa"/>
            <w:vAlign w:val="center"/>
          </w:tcPr>
          <w:p>
            <w:pPr>
              <w:snapToGrid w:val="0"/>
              <w:spacing w:line="360" w:lineRule="auto"/>
              <w:ind w:firstLine="210" w:firstLineChars="100"/>
              <w:rPr>
                <w:rFonts w:ascii="仿宋" w:hAnsi="仿宋" w:eastAsia="仿宋" w:cs="仿宋"/>
              </w:rPr>
            </w:pPr>
            <w:r>
              <w:rPr>
                <w:rFonts w:hint="eastAsia" w:ascii="仿宋" w:hAnsi="仿宋" w:eastAsia="仿宋" w:cs="仿宋"/>
              </w:rPr>
              <w:t>以投标承诺函形式替代投标保证金。供应商应按附件格式进行投标承诺、违背承诺的责任追究。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4.2</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b/>
                <w:bCs/>
                <w:szCs w:val="21"/>
              </w:rPr>
              <w:t>*</w:t>
            </w:r>
            <w:r>
              <w:rPr>
                <w:rFonts w:hint="eastAsia" w:ascii="仿宋" w:hAnsi="仿宋" w:eastAsia="仿宋" w:cs="仿宋"/>
                <w:bCs/>
                <w:szCs w:val="21"/>
              </w:rPr>
              <w:t>响应</w:t>
            </w:r>
            <w:r>
              <w:rPr>
                <w:rFonts w:hint="eastAsia" w:ascii="仿宋" w:hAnsi="仿宋" w:eastAsia="仿宋" w:cs="仿宋"/>
                <w:szCs w:val="21"/>
              </w:rPr>
              <w:t>文件</w:t>
            </w:r>
          </w:p>
          <w:p>
            <w:pPr>
              <w:snapToGrid w:val="0"/>
              <w:spacing w:line="360" w:lineRule="auto"/>
              <w:jc w:val="center"/>
              <w:rPr>
                <w:rFonts w:ascii="仿宋" w:hAnsi="仿宋" w:eastAsia="仿宋" w:cs="仿宋"/>
                <w:szCs w:val="21"/>
              </w:rPr>
            </w:pPr>
            <w:r>
              <w:rPr>
                <w:rFonts w:hint="eastAsia" w:ascii="仿宋" w:hAnsi="仿宋" w:eastAsia="仿宋" w:cs="仿宋"/>
                <w:szCs w:val="21"/>
              </w:rPr>
              <w:t>提交</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提交地点：安阳市公共资源交易中心网站 （http://ggzy.anyang.gov.cn/index_ay），凭企业数字证书点击【投标用户入口】登录系统，供应商必须在提交响应文件截止时间前完成所有响应文件的上传，并“确认并签名”，逾期上传视为网上响应无效；本项目只接受网上递交电子投标文件方式，不接受现场递交</w:t>
            </w:r>
          </w:p>
          <w:p>
            <w:pPr>
              <w:snapToGrid w:val="0"/>
              <w:spacing w:line="360" w:lineRule="auto"/>
              <w:rPr>
                <w:rFonts w:ascii="仿宋" w:hAnsi="仿宋" w:eastAsia="仿宋" w:cs="仿宋"/>
                <w:szCs w:val="21"/>
              </w:rPr>
            </w:pPr>
            <w:r>
              <w:rPr>
                <w:rFonts w:hint="eastAsia" w:ascii="仿宋" w:hAnsi="仿宋" w:eastAsia="仿宋" w:cs="仿宋"/>
                <w:szCs w:val="21"/>
              </w:rPr>
              <w:t>提交截止时间：202</w:t>
            </w:r>
            <w:r>
              <w:rPr>
                <w:rFonts w:hint="eastAsia" w:ascii="仿宋" w:hAnsi="仿宋" w:eastAsia="仿宋" w:cs="仿宋"/>
                <w:szCs w:val="21"/>
                <w:lang w:val="en-US" w:eastAsia="zh-CN"/>
              </w:rPr>
              <w:t>3</w:t>
            </w:r>
            <w:r>
              <w:rPr>
                <w:rFonts w:hint="eastAsia" w:ascii="仿宋" w:hAnsi="仿宋" w:eastAsia="仿宋" w:cs="仿宋"/>
                <w:szCs w:val="21"/>
              </w:rPr>
              <w:t>年</w:t>
            </w:r>
            <w:r>
              <w:rPr>
                <w:rFonts w:hint="eastAsia" w:ascii="仿宋" w:hAnsi="仿宋" w:eastAsia="仿宋" w:cs="仿宋"/>
                <w:szCs w:val="21"/>
                <w:lang w:val="en-US" w:eastAsia="zh-CN"/>
              </w:rPr>
              <w:t>12</w:t>
            </w:r>
            <w:r>
              <w:rPr>
                <w:rFonts w:hint="eastAsia" w:ascii="仿宋" w:hAnsi="仿宋" w:eastAsia="仿宋" w:cs="仿宋"/>
                <w:szCs w:val="21"/>
              </w:rPr>
              <w:t>月</w:t>
            </w:r>
            <w:r>
              <w:rPr>
                <w:rFonts w:hint="eastAsia" w:ascii="仿宋" w:hAnsi="仿宋" w:eastAsia="仿宋" w:cs="仿宋"/>
                <w:szCs w:val="21"/>
                <w:lang w:val="en-US" w:eastAsia="zh-CN"/>
              </w:rPr>
              <w:t>22</w:t>
            </w:r>
            <w:r>
              <w:rPr>
                <w:rFonts w:hint="eastAsia" w:ascii="仿宋" w:hAnsi="仿宋" w:eastAsia="仿宋" w:cs="仿宋"/>
                <w:szCs w:val="21"/>
              </w:rPr>
              <w:t>日上午</w:t>
            </w:r>
            <w:r>
              <w:rPr>
                <w:rFonts w:hint="eastAsia" w:ascii="仿宋" w:hAnsi="仿宋" w:eastAsia="仿宋" w:cs="仿宋"/>
                <w:szCs w:val="21"/>
                <w:lang w:val="en-US" w:eastAsia="zh-CN"/>
              </w:rPr>
              <w:t>9点</w:t>
            </w:r>
            <w:r>
              <w:rPr>
                <w:rFonts w:hint="eastAsia" w:ascii="仿宋" w:hAnsi="仿宋" w:eastAsia="仿宋" w:cs="仿宋"/>
                <w:szCs w:val="21"/>
              </w:rPr>
              <w:t>整（北京时间）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6.1</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磋商小组的组建</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磋商小组构成：3人，其中采购人代表</w:t>
            </w:r>
            <w:r>
              <w:rPr>
                <w:rFonts w:hint="eastAsia" w:ascii="仿宋" w:hAnsi="仿宋" w:eastAsia="仿宋" w:cs="仿宋"/>
                <w:szCs w:val="21"/>
                <w:lang w:val="en-US" w:eastAsia="zh-CN"/>
              </w:rPr>
              <w:t>1人</w:t>
            </w:r>
            <w:r>
              <w:rPr>
                <w:rFonts w:hint="eastAsia" w:ascii="仿宋" w:hAnsi="仿宋" w:eastAsia="仿宋" w:cs="仿宋"/>
                <w:szCs w:val="21"/>
                <w:lang w:eastAsia="zh-CN"/>
              </w:rPr>
              <w:t>、</w:t>
            </w:r>
            <w:r>
              <w:rPr>
                <w:rFonts w:hint="eastAsia" w:ascii="仿宋" w:hAnsi="仿宋" w:eastAsia="仿宋" w:cs="仿宋"/>
                <w:bCs/>
                <w:szCs w:val="21"/>
              </w:rPr>
              <w:t>经济、技术</w:t>
            </w:r>
            <w:r>
              <w:rPr>
                <w:rFonts w:hint="eastAsia" w:ascii="仿宋" w:hAnsi="仿宋" w:eastAsia="仿宋" w:cs="仿宋"/>
                <w:szCs w:val="21"/>
              </w:rPr>
              <w:t>专家</w:t>
            </w:r>
            <w:r>
              <w:rPr>
                <w:rFonts w:hint="eastAsia" w:ascii="仿宋" w:hAnsi="仿宋" w:eastAsia="仿宋" w:cs="仿宋"/>
                <w:szCs w:val="21"/>
                <w:lang w:val="en-US" w:eastAsia="zh-CN"/>
              </w:rPr>
              <w:t>2人</w:t>
            </w:r>
            <w:r>
              <w:rPr>
                <w:rFonts w:hint="eastAsia" w:ascii="仿宋" w:hAnsi="仿宋" w:eastAsia="仿宋" w:cs="仿宋"/>
                <w:szCs w:val="21"/>
              </w:rPr>
              <w:t>；</w:t>
            </w:r>
          </w:p>
          <w:p>
            <w:pPr>
              <w:tabs>
                <w:tab w:val="left" w:pos="720"/>
                <w:tab w:val="left" w:pos="786"/>
              </w:tabs>
              <w:snapToGrid w:val="0"/>
              <w:spacing w:line="360" w:lineRule="auto"/>
              <w:ind w:firstLine="420" w:firstLineChars="200"/>
              <w:rPr>
                <w:rFonts w:ascii="仿宋" w:hAnsi="仿宋" w:eastAsia="仿宋" w:cs="仿宋"/>
                <w:szCs w:val="21"/>
              </w:rPr>
            </w:pPr>
            <w:r>
              <w:rPr>
                <w:rFonts w:hint="eastAsia" w:ascii="仿宋" w:hAnsi="仿宋" w:eastAsia="仿宋" w:cs="仿宋"/>
                <w:kern w:val="0"/>
                <w:szCs w:val="21"/>
              </w:rPr>
              <w:t>评审专家</w:t>
            </w:r>
            <w:r>
              <w:rPr>
                <w:rFonts w:hint="eastAsia" w:ascii="仿宋" w:hAnsi="仿宋" w:eastAsia="仿宋" w:cs="仿宋"/>
                <w:szCs w:val="21"/>
              </w:rPr>
              <w:t>确定方式：</w:t>
            </w:r>
            <w:r>
              <w:rPr>
                <w:rFonts w:hint="eastAsia" w:ascii="仿宋" w:hAnsi="仿宋" w:eastAsia="仿宋" w:cs="仿宋"/>
                <w:kern w:val="0"/>
                <w:szCs w:val="21"/>
              </w:rPr>
              <w:t>采购人或者采购代理机构将从省级以上财政部门设立的政府采购评审专家库中，通过随机方式抽取评审专家；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6.5.1</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资格审查</w:t>
            </w:r>
          </w:p>
          <w:p>
            <w:pPr>
              <w:snapToGrid w:val="0"/>
              <w:spacing w:line="360" w:lineRule="auto"/>
              <w:jc w:val="center"/>
              <w:rPr>
                <w:rFonts w:ascii="仿宋" w:hAnsi="仿宋" w:eastAsia="仿宋" w:cs="仿宋"/>
                <w:szCs w:val="21"/>
              </w:rPr>
            </w:pPr>
            <w:r>
              <w:rPr>
                <w:rFonts w:hint="eastAsia" w:ascii="仿宋" w:hAnsi="仿宋" w:eastAsia="仿宋" w:cs="仿宋"/>
                <w:szCs w:val="21"/>
              </w:rPr>
              <w:t>标准</w:t>
            </w:r>
          </w:p>
        </w:tc>
        <w:tc>
          <w:tcPr>
            <w:tcW w:w="6931" w:type="dxa"/>
            <w:vAlign w:val="center"/>
          </w:tcPr>
          <w:p>
            <w:pPr>
              <w:tabs>
                <w:tab w:val="left" w:pos="720"/>
                <w:tab w:val="left" w:pos="786"/>
              </w:tabs>
              <w:snapToGrid w:val="0"/>
              <w:spacing w:line="360" w:lineRule="auto"/>
              <w:rPr>
                <w:rFonts w:ascii="仿宋" w:hAnsi="仿宋" w:eastAsia="仿宋" w:cs="仿宋"/>
                <w:kern w:val="0"/>
                <w:szCs w:val="21"/>
              </w:rPr>
            </w:pPr>
            <w:r>
              <w:rPr>
                <w:rFonts w:hint="eastAsia" w:ascii="仿宋" w:hAnsi="仿宋" w:eastAsia="仿宋" w:cs="仿宋"/>
                <w:kern w:val="0"/>
                <w:szCs w:val="21"/>
              </w:rPr>
              <w:t>详见供应商须知前附表1.6。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6.5.2</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符合性审查标准</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1.响应文件按照磋商文件要求签署、盖章；</w:t>
            </w:r>
          </w:p>
          <w:p>
            <w:pPr>
              <w:snapToGrid w:val="0"/>
              <w:spacing w:line="360" w:lineRule="auto"/>
              <w:rPr>
                <w:rFonts w:ascii="仿宋" w:hAnsi="仿宋" w:eastAsia="仿宋" w:cs="仿宋"/>
                <w:szCs w:val="21"/>
              </w:rPr>
            </w:pPr>
            <w:r>
              <w:rPr>
                <w:rFonts w:hint="eastAsia" w:ascii="仿宋" w:hAnsi="仿宋" w:eastAsia="仿宋" w:cs="仿宋"/>
                <w:szCs w:val="21"/>
              </w:rPr>
              <w:t>2.同一供应商未提交两个以上不同的响应文件或者响应报价；</w:t>
            </w:r>
          </w:p>
          <w:p>
            <w:pPr>
              <w:snapToGrid w:val="0"/>
              <w:spacing w:line="360" w:lineRule="auto"/>
              <w:rPr>
                <w:rFonts w:ascii="仿宋" w:hAnsi="仿宋" w:eastAsia="仿宋" w:cs="仿宋"/>
                <w:szCs w:val="21"/>
              </w:rPr>
            </w:pPr>
            <w:r>
              <w:rPr>
                <w:rFonts w:hint="eastAsia" w:ascii="仿宋" w:hAnsi="仿宋" w:eastAsia="仿宋" w:cs="仿宋"/>
                <w:szCs w:val="21"/>
              </w:rPr>
              <w:t>3.响应文件未附有采购人不能接受的条件。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6.5.3</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bCs/>
                <w:szCs w:val="21"/>
              </w:rPr>
              <w:t>响应性审查标准</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1.响应报价未高于磋商文件设定的预算金额（最高限价）</w:t>
            </w:r>
          </w:p>
          <w:p>
            <w:pPr>
              <w:snapToGrid w:val="0"/>
              <w:spacing w:line="360" w:lineRule="auto"/>
              <w:rPr>
                <w:rFonts w:ascii="仿宋" w:hAnsi="仿宋" w:eastAsia="仿宋" w:cs="仿宋"/>
                <w:szCs w:val="21"/>
              </w:rPr>
            </w:pPr>
            <w:r>
              <w:rPr>
                <w:rFonts w:hint="eastAsia" w:ascii="仿宋" w:hAnsi="仿宋" w:eastAsia="仿宋" w:cs="仿宋"/>
                <w:szCs w:val="21"/>
              </w:rPr>
              <w:t>2.满足供应商须知前附表中加“*”部分要求的</w:t>
            </w:r>
          </w:p>
          <w:p>
            <w:pPr>
              <w:snapToGrid w:val="0"/>
              <w:spacing w:line="360" w:lineRule="auto"/>
              <w:rPr>
                <w:rFonts w:ascii="仿宋" w:hAnsi="仿宋" w:eastAsia="仿宋" w:cs="仿宋"/>
                <w:szCs w:val="21"/>
              </w:rPr>
            </w:pPr>
            <w:r>
              <w:rPr>
                <w:rFonts w:hint="eastAsia" w:ascii="仿宋" w:hAnsi="仿宋" w:eastAsia="仿宋" w:cs="仿宋"/>
                <w:szCs w:val="21"/>
              </w:rPr>
              <w:t>3.合同履行期限满足“第二章供应商须知前附表”要求</w:t>
            </w:r>
          </w:p>
          <w:p>
            <w:pPr>
              <w:snapToGrid w:val="0"/>
              <w:spacing w:line="360" w:lineRule="auto"/>
              <w:rPr>
                <w:rFonts w:ascii="仿宋" w:hAnsi="仿宋" w:eastAsia="仿宋" w:cs="仿宋"/>
                <w:szCs w:val="21"/>
              </w:rPr>
            </w:pPr>
            <w:r>
              <w:rPr>
                <w:rFonts w:hint="eastAsia" w:ascii="仿宋" w:hAnsi="仿宋" w:eastAsia="仿宋" w:cs="仿宋"/>
                <w:szCs w:val="21"/>
              </w:rPr>
              <w:t>4.质量要求满足“第二章供应商须知前附表”要求</w:t>
            </w:r>
          </w:p>
          <w:p>
            <w:pPr>
              <w:snapToGrid w:val="0"/>
              <w:spacing w:line="360" w:lineRule="auto"/>
              <w:rPr>
                <w:rFonts w:eastAsia="仿宋"/>
              </w:rPr>
            </w:pPr>
            <w:r>
              <w:rPr>
                <w:rFonts w:hint="eastAsia" w:ascii="仿宋" w:hAnsi="仿宋" w:eastAsia="仿宋" w:cs="仿宋"/>
                <w:szCs w:val="21"/>
              </w:rPr>
              <w:t>5.磋商有效期满足“第二章供应商须知前附表”要求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6.9.1</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可能实质性变动的内容</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rPr>
              <w:t>磋商小组根据与供应商磋商情况可能实质性变动的内容，包括采购需求中的技术、服务要求以及合同草案条款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6.9.8</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评分办法</w:t>
            </w:r>
          </w:p>
        </w:tc>
        <w:tc>
          <w:tcPr>
            <w:tcW w:w="6931"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6.10.1</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是否委托磋商小组确定成交供应商</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 xml:space="preserve">  是</w:t>
            </w:r>
          </w:p>
          <w:p>
            <w:pPr>
              <w:snapToGrid w:val="0"/>
              <w:spacing w:line="360" w:lineRule="auto"/>
              <w:rPr>
                <w:rFonts w:ascii="仿宋" w:hAnsi="仿宋" w:eastAsia="仿宋" w:cs="仿宋"/>
                <w:szCs w:val="21"/>
              </w:rPr>
            </w:pPr>
            <w:r>
              <w:rPr>
                <w:rFonts w:hint="eastAsia" w:ascii="仿宋" w:hAnsi="仿宋" w:eastAsia="仿宋" w:cs="仿宋"/>
                <w:szCs w:val="21"/>
              </w:rPr>
              <w:t>√否，推荐3名成交候选供应商。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7.3</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履约保证金</w:t>
            </w:r>
          </w:p>
        </w:tc>
        <w:tc>
          <w:tcPr>
            <w:tcW w:w="6931" w:type="dxa"/>
            <w:vAlign w:val="center"/>
          </w:tcPr>
          <w:p>
            <w:pPr>
              <w:snapToGrid w:val="0"/>
              <w:spacing w:line="360" w:lineRule="auto"/>
              <w:ind w:firstLine="210" w:firstLineChars="100"/>
              <w:rPr>
                <w:rFonts w:ascii="仿宋" w:hAnsi="仿宋" w:eastAsia="仿宋" w:cs="仿宋"/>
                <w:szCs w:val="21"/>
              </w:rPr>
            </w:pPr>
            <w:r>
              <w:rPr>
                <w:rFonts w:hint="eastAsia" w:ascii="仿宋" w:hAnsi="仿宋" w:eastAsia="仿宋" w:cs="仿宋"/>
                <w:szCs w:val="21"/>
              </w:rPr>
              <w:t>不需缴纳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7.5</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b/>
                <w:bCs/>
                <w:szCs w:val="21"/>
              </w:rPr>
              <w:t>*</w:t>
            </w:r>
            <w:r>
              <w:rPr>
                <w:rFonts w:hint="eastAsia" w:ascii="仿宋" w:hAnsi="仿宋" w:eastAsia="仿宋" w:cs="仿宋"/>
                <w:szCs w:val="21"/>
              </w:rPr>
              <w:t>付款方式</w:t>
            </w:r>
          </w:p>
        </w:tc>
        <w:tc>
          <w:tcPr>
            <w:tcW w:w="6931" w:type="dxa"/>
            <w:vAlign w:val="center"/>
          </w:tcPr>
          <w:p>
            <w:pPr>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为进一步优化营商环境，根据安财购﹝2022﹞8 号文件落实政府采购中小企业预付款的规定，采购人可在政府采购合同签订后，向成交供应商原则上预付不低于合同金额 50%的预付款，成交供应商应向采购人提交预付款保函，未提供保函的，视同其放弃项目预付款的支付。</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所有项目完成后，经验收合格后，采购人需持从“安阳市政府采购网”登录系统下载本项目带水印的《安阳市市直政府采购资金申请表》和《安阳市市直政府采购申报表》，以及《政府采购验收报告》和发票等，作为付款依据，报安阳市财政国库支付中心审核确认后，由采购人进行一次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8.1</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代理服务费</w:t>
            </w:r>
          </w:p>
        </w:tc>
        <w:tc>
          <w:tcPr>
            <w:tcW w:w="6931" w:type="dxa"/>
            <w:vAlign w:val="center"/>
          </w:tcPr>
          <w:p>
            <w:pPr>
              <w:snapToGrid w:val="0"/>
              <w:spacing w:line="360" w:lineRule="auto"/>
              <w:rPr>
                <w:rFonts w:hint="eastAsia" w:ascii="仿宋" w:hAnsi="仿宋" w:eastAsia="仿宋" w:cs="仿宋"/>
                <w:szCs w:val="21"/>
              </w:rPr>
            </w:pPr>
            <w:r>
              <w:rPr>
                <w:rFonts w:hint="eastAsia" w:ascii="仿宋" w:hAnsi="仿宋" w:eastAsia="仿宋" w:cs="仿宋"/>
                <w:szCs w:val="21"/>
              </w:rPr>
              <w:t>1、招标代理服务费由中标（成交）供应商向采购代理机构支付，招标代理服务费按照预算金额参照豫招协【2023】002 号文件规定计取。</w:t>
            </w:r>
          </w:p>
          <w:p>
            <w:pPr>
              <w:snapToGrid w:val="0"/>
              <w:spacing w:line="360" w:lineRule="auto"/>
              <w:rPr>
                <w:rStyle w:val="75"/>
                <w:rFonts w:ascii="仿宋" w:hAnsi="仿宋" w:eastAsia="仿宋" w:cs="仿宋"/>
              </w:rPr>
            </w:pPr>
            <w:r>
              <w:rPr>
                <w:rFonts w:hint="eastAsia" w:ascii="仿宋" w:hAnsi="仿宋" w:eastAsia="仿宋" w:cs="仿宋"/>
                <w:szCs w:val="21"/>
              </w:rPr>
              <w:t>2、本项目代理服务费（人民币）：</w:t>
            </w:r>
            <w:r>
              <w:rPr>
                <w:rFonts w:hint="eastAsia" w:ascii="仿宋" w:hAnsi="仿宋" w:eastAsia="仿宋" w:cs="仿宋"/>
                <w:szCs w:val="21"/>
                <w:lang w:val="en-US" w:eastAsia="zh-CN"/>
              </w:rPr>
              <w:t>17000</w:t>
            </w:r>
            <w:r>
              <w:rPr>
                <w:rFonts w:hint="eastAsia" w:ascii="仿宋" w:hAnsi="仿宋" w:eastAsia="仿宋" w:cs="仿宋"/>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8.2</w:t>
            </w:r>
          </w:p>
        </w:tc>
        <w:tc>
          <w:tcPr>
            <w:tcW w:w="1417"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质疑和投诉</w:t>
            </w:r>
          </w:p>
        </w:tc>
        <w:tc>
          <w:tcPr>
            <w:tcW w:w="6931" w:type="dxa"/>
            <w:vAlign w:val="center"/>
          </w:tcPr>
          <w:p>
            <w:pPr>
              <w:snapToGrid w:val="0"/>
              <w:spacing w:line="360" w:lineRule="auto"/>
              <w:rPr>
                <w:rFonts w:ascii="仿宋" w:hAnsi="仿宋" w:eastAsia="仿宋" w:cs="仿宋"/>
              </w:rPr>
            </w:pPr>
            <w:r>
              <w:rPr>
                <w:rFonts w:hint="eastAsia" w:ascii="仿宋" w:hAnsi="仿宋" w:eastAsia="仿宋" w:cs="仿宋"/>
              </w:rPr>
              <w:t>1.供应商认为采购文件、采购过程和中标或者成交结果使自己的权益受到损害的，可以在知道或者应知其权益受到损害之日起7个工作日内，以书面形式向采购人、采购代理机构提出质疑。</w:t>
            </w:r>
          </w:p>
          <w:p>
            <w:pPr>
              <w:snapToGrid w:val="0"/>
              <w:spacing w:line="360" w:lineRule="auto"/>
              <w:rPr>
                <w:rFonts w:ascii="仿宋" w:hAnsi="仿宋" w:eastAsia="仿宋" w:cs="仿宋"/>
              </w:rPr>
            </w:pPr>
            <w:r>
              <w:rPr>
                <w:rFonts w:hint="eastAsia" w:ascii="仿宋" w:hAnsi="仿宋" w:eastAsia="仿宋" w:cs="仿宋"/>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pPr>
              <w:snapToGrid w:val="0"/>
              <w:spacing w:line="360" w:lineRule="auto"/>
              <w:ind w:firstLine="420" w:firstLineChars="200"/>
              <w:rPr>
                <w:rFonts w:ascii="仿宋" w:hAnsi="仿宋" w:eastAsia="仿宋" w:cs="仿宋"/>
              </w:rPr>
            </w:pPr>
            <w:r>
              <w:rPr>
                <w:rFonts w:hint="eastAsia" w:ascii="仿宋" w:hAnsi="仿宋" w:eastAsia="仿宋" w:cs="仿宋"/>
              </w:rPr>
              <w:t>超出法定质疑期的、重复提出的、分次提出的或内容、形式不符合《政府采购质疑和投诉办法》的，提出质疑的供应商将依法承担不利后果。</w:t>
            </w:r>
          </w:p>
          <w:p>
            <w:pPr>
              <w:snapToGrid w:val="0"/>
              <w:spacing w:line="360" w:lineRule="auto"/>
              <w:rPr>
                <w:rFonts w:ascii="仿宋" w:hAnsi="仿宋" w:eastAsia="仿宋" w:cs="仿宋"/>
              </w:rPr>
            </w:pPr>
            <w:r>
              <w:rPr>
                <w:rFonts w:hint="eastAsia" w:ascii="仿宋" w:hAnsi="仿宋" w:eastAsia="仿宋" w:cs="仿宋"/>
              </w:rPr>
              <w:t>3.质疑函接收部门、联系电话和通讯地址, 见供应商须知前附表1.2.2、1.2.3。</w:t>
            </w:r>
          </w:p>
          <w:p>
            <w:pPr>
              <w:snapToGrid w:val="0"/>
              <w:spacing w:line="360" w:lineRule="auto"/>
              <w:rPr>
                <w:rFonts w:ascii="仿宋" w:hAnsi="仿宋" w:eastAsia="仿宋" w:cs="仿宋"/>
              </w:rPr>
            </w:pPr>
            <w:r>
              <w:rPr>
                <w:rFonts w:hint="eastAsia" w:ascii="仿宋" w:hAnsi="仿宋" w:eastAsia="仿宋" w:cs="仿宋"/>
              </w:rPr>
              <w:t>4.质疑供应商对采购人、采购代理机构的答复不满意，或者采购人、采购代理机构未在规定时间内作出答复的，可以在答复期满后15个工作日内向财政部门提起投诉。</w:t>
            </w:r>
          </w:p>
          <w:p>
            <w:pPr>
              <w:snapToGrid w:val="0"/>
              <w:spacing w:line="360" w:lineRule="auto"/>
              <w:rPr>
                <w:rFonts w:ascii="仿宋" w:hAnsi="仿宋" w:eastAsia="仿宋" w:cs="仿宋"/>
              </w:rPr>
            </w:pPr>
            <w:r>
              <w:rPr>
                <w:rFonts w:hint="eastAsia" w:ascii="仿宋" w:hAnsi="仿宋" w:eastAsia="仿宋" w:cs="仿宋"/>
              </w:rPr>
              <w:t>5.投诉人投诉时,应当提交投诉书和必要的证明材料，并按照被投诉采购人、采购代理机构（以下简称被投诉人）和与投诉事项有关的供应商数量提供投诉书的副本。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8.3.1</w:t>
            </w:r>
          </w:p>
        </w:tc>
        <w:tc>
          <w:tcPr>
            <w:tcW w:w="1417" w:type="dxa"/>
            <w:vAlign w:val="center"/>
          </w:tcPr>
          <w:p>
            <w:pPr>
              <w:snapToGrid w:val="0"/>
              <w:spacing w:line="360" w:lineRule="auto"/>
              <w:rPr>
                <w:rFonts w:ascii="仿宋" w:hAnsi="仿宋" w:eastAsia="仿宋" w:cs="仿宋"/>
              </w:rPr>
            </w:pPr>
            <w:r>
              <w:rPr>
                <w:rFonts w:hint="eastAsia" w:ascii="仿宋" w:hAnsi="仿宋" w:eastAsia="仿宋" w:cs="仿宋"/>
              </w:rPr>
              <w:t>磋商文件解释</w:t>
            </w:r>
          </w:p>
        </w:tc>
        <w:tc>
          <w:tcPr>
            <w:tcW w:w="6931" w:type="dxa"/>
            <w:vAlign w:val="center"/>
          </w:tcPr>
          <w:p>
            <w:pPr>
              <w:snapToGrid w:val="0"/>
              <w:spacing w:line="360" w:lineRule="auto"/>
              <w:rPr>
                <w:rFonts w:ascii="仿宋" w:hAnsi="仿宋" w:eastAsia="仿宋" w:cs="仿宋"/>
              </w:rPr>
            </w:pPr>
            <w:r>
              <w:rPr>
                <w:rFonts w:hint="eastAsia" w:ascii="仿宋" w:hAnsi="仿宋" w:eastAsia="仿宋" w:cs="仿宋"/>
              </w:rPr>
              <w:t>构成本磋商文件的各个组成文件应互为解释，互为说明；如有不明确或不一致，构成合同文件组成内容的，以合同文件约定内容为准，除谈判文件中有特别规定外，仅适用于采购阶段的规定，按磋商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8.3.2</w:t>
            </w:r>
          </w:p>
        </w:tc>
        <w:tc>
          <w:tcPr>
            <w:tcW w:w="1417" w:type="dxa"/>
            <w:vAlign w:val="center"/>
          </w:tcPr>
          <w:p>
            <w:pPr>
              <w:snapToGrid w:val="0"/>
              <w:spacing w:line="360" w:lineRule="auto"/>
              <w:rPr>
                <w:rFonts w:ascii="仿宋" w:hAnsi="仿宋" w:eastAsia="仿宋" w:cs="仿宋"/>
              </w:rPr>
            </w:pPr>
            <w:r>
              <w:rPr>
                <w:rFonts w:hint="eastAsia" w:ascii="仿宋" w:hAnsi="仿宋" w:eastAsia="仿宋" w:cs="仿宋"/>
              </w:rPr>
              <w:t>河南省政府采购合同融资政策告知函</w:t>
            </w:r>
          </w:p>
        </w:tc>
        <w:tc>
          <w:tcPr>
            <w:tcW w:w="6931" w:type="dxa"/>
            <w:vAlign w:val="center"/>
          </w:tcPr>
          <w:p>
            <w:pPr>
              <w:snapToGrid w:val="0"/>
              <w:spacing w:line="360" w:lineRule="auto"/>
              <w:rPr>
                <w:rFonts w:ascii="仿宋" w:hAnsi="仿宋" w:eastAsia="仿宋" w:cs="仿宋"/>
              </w:rPr>
            </w:pPr>
            <w:r>
              <w:rPr>
                <w:rFonts w:hint="eastAsia" w:ascii="仿宋" w:hAnsi="仿宋" w:eastAsia="仿宋" w:cs="仿宋"/>
              </w:rPr>
              <w:t>各供应商：</w:t>
            </w:r>
          </w:p>
          <w:p>
            <w:pPr>
              <w:snapToGrid w:val="0"/>
              <w:spacing w:line="360" w:lineRule="auto"/>
              <w:rPr>
                <w:rFonts w:ascii="仿宋" w:hAnsi="仿宋" w:eastAsia="仿宋" w:cs="仿宋"/>
              </w:rPr>
            </w:pPr>
            <w:r>
              <w:rPr>
                <w:rFonts w:hint="eastAsia" w:ascii="仿宋" w:hAnsi="仿宋" w:eastAsia="仿宋" w:cs="仿宋"/>
              </w:rPr>
              <w:t>欢迎贵公司参与河南省政府采购活动！</w:t>
            </w:r>
          </w:p>
          <w:p>
            <w:pPr>
              <w:snapToGrid w:val="0"/>
              <w:spacing w:line="360" w:lineRule="auto"/>
              <w:rPr>
                <w:rFonts w:ascii="仿宋" w:hAnsi="仿宋" w:eastAsia="仿宋" w:cs="仿宋"/>
              </w:rPr>
            </w:pPr>
            <w:r>
              <w:rPr>
                <w:rFonts w:hint="eastAsia" w:ascii="仿宋" w:hAnsi="仿宋" w:eastAsia="仿宋" w:cs="仿宋"/>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napToGrid w:val="0"/>
              <w:spacing w:line="360" w:lineRule="auto"/>
              <w:rPr>
                <w:rFonts w:ascii="仿宋" w:hAnsi="仿宋" w:eastAsia="仿宋" w:cs="仿宋"/>
              </w:rPr>
            </w:pPr>
            <w:r>
              <w:rPr>
                <w:rFonts w:hint="eastAsia" w:ascii="仿宋" w:hAnsi="仿宋" w:eastAsia="仿宋" w:cs="仿宋"/>
              </w:rPr>
              <w:t>贷款渠道和提供贷款的金融机构，可在河南省政府采购网“河南省政府采购合同融资平台”查询联系。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8.3.3</w:t>
            </w:r>
          </w:p>
        </w:tc>
        <w:tc>
          <w:tcPr>
            <w:tcW w:w="141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监督单位</w:t>
            </w:r>
          </w:p>
        </w:tc>
        <w:tc>
          <w:tcPr>
            <w:tcW w:w="6931" w:type="dxa"/>
            <w:vAlign w:val="center"/>
          </w:tcPr>
          <w:p>
            <w:pPr>
              <w:snapToGrid w:val="0"/>
              <w:spacing w:line="360" w:lineRule="auto"/>
              <w:rPr>
                <w:rFonts w:ascii="仿宋" w:hAnsi="仿宋" w:eastAsia="仿宋" w:cs="仿宋"/>
                <w:szCs w:val="21"/>
              </w:rPr>
            </w:pPr>
            <w:r>
              <w:rPr>
                <w:rFonts w:hint="eastAsia" w:ascii="仿宋" w:hAnsi="仿宋" w:eastAsia="仿宋" w:cs="仿宋"/>
                <w:szCs w:val="21"/>
              </w:rPr>
              <w:t xml:space="preserve">监督部门：安阳市财政局政府采购监督管理科 </w:t>
            </w:r>
          </w:p>
          <w:p>
            <w:pPr>
              <w:snapToGrid w:val="0"/>
              <w:spacing w:line="360" w:lineRule="auto"/>
              <w:rPr>
                <w:rFonts w:ascii="仿宋" w:hAnsi="仿宋" w:eastAsia="仿宋" w:cs="仿宋"/>
                <w:szCs w:val="21"/>
              </w:rPr>
            </w:pPr>
            <w:r>
              <w:rPr>
                <w:rFonts w:hint="eastAsia" w:ascii="仿宋" w:hAnsi="仿宋" w:eastAsia="仿宋" w:cs="仿宋"/>
                <w:szCs w:val="21"/>
              </w:rPr>
              <w:t>监督电话：0372-5109062</w:t>
            </w:r>
          </w:p>
        </w:tc>
      </w:tr>
    </w:tbl>
    <w:p>
      <w:pPr>
        <w:pStyle w:val="24"/>
      </w:pPr>
      <w:bookmarkStart w:id="9" w:name="_Toc32835884"/>
    </w:p>
    <w:p>
      <w:pPr>
        <w:adjustRightInd w:val="0"/>
        <w:snapToGrid w:val="0"/>
        <w:spacing w:line="360" w:lineRule="auto"/>
        <w:ind w:firstLine="422" w:firstLineChars="200"/>
        <w:outlineLvl w:val="2"/>
        <w:rPr>
          <w:rFonts w:ascii="仿宋" w:hAnsi="仿宋" w:eastAsia="仿宋" w:cs="仿宋"/>
          <w:b/>
          <w:bCs/>
        </w:rPr>
      </w:pPr>
      <w:bookmarkStart w:id="10" w:name="_Toc21731"/>
      <w:bookmarkStart w:id="11" w:name="_Toc33260055"/>
      <w:r>
        <w:rPr>
          <w:rFonts w:hint="eastAsia" w:ascii="仿宋" w:hAnsi="仿宋" w:eastAsia="仿宋" w:cs="仿宋"/>
          <w:b/>
          <w:bCs/>
        </w:rPr>
        <w:t>1. 总则</w:t>
      </w:r>
      <w:bookmarkEnd w:id="9"/>
      <w:bookmarkEnd w:id="10"/>
      <w:bookmarkEnd w:id="11"/>
    </w:p>
    <w:p>
      <w:pPr>
        <w:pStyle w:val="56"/>
        <w:adjustRightInd w:val="0"/>
        <w:snapToGrid w:val="0"/>
        <w:spacing w:line="360" w:lineRule="auto"/>
        <w:ind w:left="420"/>
        <w:outlineLvl w:val="3"/>
        <w:rPr>
          <w:rFonts w:ascii="仿宋" w:hAnsi="仿宋" w:eastAsia="仿宋" w:cs="仿宋"/>
          <w:b/>
          <w:bCs/>
        </w:rPr>
      </w:pPr>
      <w:r>
        <w:rPr>
          <w:rFonts w:hint="eastAsia" w:ascii="仿宋" w:hAnsi="仿宋" w:eastAsia="仿宋" w:cs="仿宋"/>
          <w:b/>
          <w:bCs/>
          <w:sz w:val="21"/>
          <w:szCs w:val="21"/>
        </w:rPr>
        <w:t>1.1 定义</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1.1.1采购人：“供应商须知前附表”中所述的、依法进行政府采购的国家机关、事业单位、团体组织。</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1.1.2采购代理机构：受采购人委托组织采购活动，在采购过程中负有相应责任的社会中介组织。</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1.1.3供应商：根据政府采购合同，向采购人提供货物、工程或者服务的法人、其他组织或者自然人。</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1.1.4货物：指除了咨询服务以外的所有的物品、货物、装置和/或包括附件、备品备件、图纸、技术文件、用于运输和安装的包装、培训、维修和其他类似服务的供应。</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1.1.5政府购买服务：是指各级国家机关将属于自身职责范围且适合通过市场化方式提供的服务事项，按照政府采购方式和程序，交由符合条件的服务供应商承担，并根据服务数量和质量等因素向其支付费用的行为。</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1.1.6响应文件：指供应商根据磋商文件要求提交的所有文件。</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1.1.7成交供应商：接到并接受成交通知书，最终被授予合同的供应商。</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1.2项目概况</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1.2.1根据《中华人民共和国政府采购法》等有关法律、法规和规章的规定对本项目进行采购。本磋商文件仅适用于政府采购竞争性磋商方式采购的服务项目。</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1.2.2本采购项目采购人：见供应商须知前附表。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1.2.3本采购项目采购代理机构：见供应商须知前附表。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1.2.4本采购项目名称：见供应商须知前附表。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1.2.5本采购项目编号：见供应商须知前附表。</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1.3 项目预算金额和政府采购最高限价</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1.3.1本采购项目的预算金额：见供应商须知前附表。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1.3.2本采购项目的政府采购最高限价：见供应商须知前附表。</w:t>
      </w:r>
    </w:p>
    <w:p>
      <w:pPr>
        <w:adjustRightInd w:val="0"/>
        <w:snapToGrid w:val="0"/>
        <w:spacing w:line="360" w:lineRule="auto"/>
        <w:ind w:firstLine="422" w:firstLineChars="200"/>
        <w:outlineLvl w:val="3"/>
        <w:rPr>
          <w:rFonts w:ascii="仿宋" w:hAnsi="仿宋" w:eastAsia="仿宋" w:cs="仿宋"/>
        </w:rPr>
      </w:pPr>
      <w:r>
        <w:rPr>
          <w:rFonts w:hint="eastAsia" w:ascii="仿宋" w:hAnsi="仿宋" w:eastAsia="仿宋" w:cs="仿宋"/>
          <w:b/>
          <w:bCs/>
        </w:rPr>
        <w:t>1.4 采购内容、</w:t>
      </w:r>
      <w:r>
        <w:rPr>
          <w:rFonts w:hint="eastAsia" w:ascii="仿宋" w:hAnsi="仿宋" w:eastAsia="仿宋" w:cs="仿宋"/>
          <w:b/>
        </w:rPr>
        <w:t>合同履行期限</w:t>
      </w:r>
      <w:r>
        <w:rPr>
          <w:rFonts w:hint="eastAsia" w:ascii="仿宋" w:hAnsi="仿宋" w:eastAsia="仿宋" w:cs="仿宋"/>
          <w:b/>
          <w:bCs/>
        </w:rPr>
        <w:t>、质量要求</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1.4.1采购内容及数量：见供应商须知前附表。</w:t>
      </w:r>
    </w:p>
    <w:p>
      <w:pPr>
        <w:adjustRightInd w:val="0"/>
        <w:snapToGrid w:val="0"/>
        <w:spacing w:line="360" w:lineRule="auto"/>
        <w:ind w:firstLine="407" w:firstLineChars="194"/>
        <w:rPr>
          <w:rFonts w:ascii="仿宋" w:hAnsi="仿宋" w:eastAsia="仿宋" w:cs="仿宋"/>
        </w:rPr>
      </w:pPr>
      <w:r>
        <w:rPr>
          <w:rFonts w:hint="eastAsia" w:ascii="仿宋" w:hAnsi="仿宋" w:eastAsia="仿宋" w:cs="仿宋"/>
        </w:rPr>
        <w:t>1.4.2包段划分：见供应商须知前附表。</w:t>
      </w:r>
    </w:p>
    <w:p>
      <w:pPr>
        <w:adjustRightInd w:val="0"/>
        <w:snapToGrid w:val="0"/>
        <w:spacing w:line="360" w:lineRule="auto"/>
        <w:ind w:firstLine="407" w:firstLineChars="194"/>
        <w:rPr>
          <w:rFonts w:ascii="仿宋" w:hAnsi="仿宋" w:eastAsia="仿宋" w:cs="仿宋"/>
        </w:rPr>
      </w:pPr>
      <w:r>
        <w:rPr>
          <w:rFonts w:hint="eastAsia" w:ascii="仿宋" w:hAnsi="仿宋" w:eastAsia="仿宋" w:cs="仿宋"/>
        </w:rPr>
        <w:t>1.4.3合同履行期限：见供应商须知前附表。</w:t>
      </w:r>
    </w:p>
    <w:p>
      <w:pPr>
        <w:adjustRightInd w:val="0"/>
        <w:snapToGrid w:val="0"/>
        <w:spacing w:line="360" w:lineRule="auto"/>
        <w:ind w:firstLine="407" w:firstLineChars="194"/>
        <w:rPr>
          <w:rFonts w:ascii="仿宋" w:hAnsi="仿宋" w:eastAsia="仿宋" w:cs="仿宋"/>
        </w:rPr>
      </w:pPr>
      <w:r>
        <w:rPr>
          <w:rFonts w:hint="eastAsia" w:ascii="仿宋" w:hAnsi="仿宋" w:eastAsia="仿宋" w:cs="仿宋"/>
        </w:rPr>
        <w:t>1.4.4质量要求：见供应商须知前附表。</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1.5政府采购政策及采购进口产品</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1.5.1本项目执行的政府采购政策：见供应商须知前附表。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1.5.2经财政部门核准允许采购进口产品：见供应商须知前附表。</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1.6供应商资格要求</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1.6.1供应商应具备承担本项目的资格条件、能力和信誉。</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（1）资格条件：见供应商须知前附表；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（2）其他要求：见供应商须知前附表。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1.6.2供应商不得存在下列情形之一：</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（1）为采购人不具有独立法人资格的附属机构（单位）；</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（2）为本采购项目前期准备提供设计或咨询服务的；</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（3）为本采购项目提供采购代理服务的；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（4）被责令停业的；</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（5）被暂停或取消投标资格的；</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（6）财产被接管或冻结的；</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（7）本次政府采购活动前三年内，在经营活动中有重大违法记录的；</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（8）被</w:t>
      </w:r>
      <w:r>
        <w:rPr>
          <w:rFonts w:hint="eastAsia" w:ascii="仿宋" w:hAnsi="仿宋" w:eastAsia="仿宋" w:cs="仿宋"/>
          <w:kern w:val="0"/>
        </w:rPr>
        <w:t>列入失信被执行人、重大税收违法案件当事人名单、政府采购严重违法失信行为记录名单的；</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（9）单位负责人为同一人或者存在控股、管理关系的不同单位。</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1.6.3是否接受联合体：见供应商须知前附表。</w:t>
      </w:r>
    </w:p>
    <w:p>
      <w:pPr>
        <w:adjustRightInd w:val="0"/>
        <w:snapToGrid w:val="0"/>
        <w:spacing w:line="360" w:lineRule="auto"/>
        <w:ind w:firstLine="422" w:firstLineChars="200"/>
        <w:rPr>
          <w:rFonts w:ascii="仿宋" w:hAnsi="仿宋" w:eastAsia="仿宋" w:cs="仿宋"/>
          <w:b/>
          <w:bCs/>
        </w:rPr>
      </w:pPr>
      <w:r>
        <w:rPr>
          <w:rFonts w:hint="eastAsia" w:ascii="仿宋" w:hAnsi="仿宋" w:eastAsia="仿宋" w:cs="仿宋"/>
          <w:b/>
          <w:bCs/>
        </w:rPr>
        <w:t>1.7 费用承担</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供应商准备和参加竞争性磋商活动发生的费用自理。</w:t>
      </w:r>
    </w:p>
    <w:p>
      <w:pPr>
        <w:adjustRightInd w:val="0"/>
        <w:snapToGrid w:val="0"/>
        <w:spacing w:line="360" w:lineRule="auto"/>
        <w:ind w:firstLine="422" w:firstLineChars="200"/>
        <w:rPr>
          <w:rFonts w:ascii="仿宋" w:hAnsi="仿宋" w:eastAsia="仿宋" w:cs="仿宋"/>
          <w:b/>
          <w:bCs/>
        </w:rPr>
      </w:pPr>
      <w:r>
        <w:rPr>
          <w:rFonts w:hint="eastAsia" w:ascii="仿宋" w:hAnsi="仿宋" w:eastAsia="仿宋" w:cs="仿宋"/>
          <w:b/>
          <w:bCs/>
        </w:rPr>
        <w:t>1.8 保密</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参与竞争性磋商活动的各方应对磋商文件和响应文件中的商业和技术等秘密保密，违者应对由此造成的后果承担法律责任。</w:t>
      </w:r>
    </w:p>
    <w:p>
      <w:pPr>
        <w:adjustRightInd w:val="0"/>
        <w:snapToGrid w:val="0"/>
        <w:spacing w:line="360" w:lineRule="auto"/>
        <w:ind w:firstLine="422" w:firstLineChars="200"/>
        <w:rPr>
          <w:rFonts w:ascii="仿宋" w:hAnsi="仿宋" w:eastAsia="仿宋" w:cs="仿宋"/>
          <w:b/>
          <w:bCs/>
        </w:rPr>
      </w:pPr>
      <w:r>
        <w:rPr>
          <w:rFonts w:hint="eastAsia" w:ascii="仿宋" w:hAnsi="仿宋" w:eastAsia="仿宋" w:cs="仿宋"/>
          <w:b/>
          <w:bCs/>
        </w:rPr>
        <w:t>1.9 语言文字</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磋商文件、响应文件使用的语言文字为中文。专用术语使用外文的，应附有中文注释。</w:t>
      </w:r>
    </w:p>
    <w:p>
      <w:pPr>
        <w:adjustRightInd w:val="0"/>
        <w:snapToGrid w:val="0"/>
        <w:spacing w:line="360" w:lineRule="auto"/>
        <w:ind w:firstLine="422" w:firstLineChars="200"/>
        <w:rPr>
          <w:rFonts w:ascii="仿宋" w:hAnsi="仿宋" w:eastAsia="仿宋" w:cs="仿宋"/>
          <w:b/>
          <w:bCs/>
        </w:rPr>
      </w:pPr>
      <w:r>
        <w:rPr>
          <w:rFonts w:hint="eastAsia" w:ascii="仿宋" w:hAnsi="仿宋" w:eastAsia="仿宋" w:cs="仿宋"/>
          <w:b/>
          <w:bCs/>
        </w:rPr>
        <w:t>1.10计量单位</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所有计量均采用中华人民共和国法定计量单位。</w:t>
      </w:r>
    </w:p>
    <w:p>
      <w:pPr>
        <w:adjustRightInd w:val="0"/>
        <w:snapToGrid w:val="0"/>
        <w:spacing w:line="360" w:lineRule="auto"/>
        <w:ind w:firstLine="422" w:firstLineChars="200"/>
        <w:rPr>
          <w:rFonts w:ascii="仿宋" w:hAnsi="仿宋" w:eastAsia="仿宋" w:cs="仿宋"/>
          <w:b/>
          <w:bCs/>
        </w:rPr>
      </w:pPr>
      <w:r>
        <w:rPr>
          <w:rFonts w:hint="eastAsia" w:ascii="仿宋" w:hAnsi="仿宋" w:eastAsia="仿宋" w:cs="仿宋"/>
          <w:b/>
          <w:bCs/>
        </w:rPr>
        <w:t>1.11踏勘现场</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1.11.1采购人是否组织现场踏勘：见供应商须知前附表。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1.11.2供应商踏勘现场发生的费用自理。</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1.11.3供应商自行负责在踏勘现场中所发生的人员伤亡和财产损失。</w:t>
      </w:r>
    </w:p>
    <w:p>
      <w:pPr>
        <w:adjustRightInd w:val="0"/>
        <w:snapToGrid w:val="0"/>
        <w:spacing w:line="360" w:lineRule="auto"/>
        <w:ind w:firstLine="422" w:firstLineChars="200"/>
        <w:rPr>
          <w:rFonts w:ascii="仿宋" w:hAnsi="仿宋" w:eastAsia="仿宋" w:cs="仿宋"/>
          <w:b/>
          <w:bCs/>
        </w:rPr>
      </w:pPr>
      <w:r>
        <w:rPr>
          <w:rFonts w:hint="eastAsia" w:ascii="仿宋" w:hAnsi="仿宋" w:eastAsia="仿宋" w:cs="仿宋"/>
          <w:b/>
          <w:bCs/>
        </w:rPr>
        <w:t>1.12 供应商提出问题或要求澄清</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1.12.1本次采购是否召开采购预备会：见供应商须知前附表。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1.12.2供应商提出问题或要求澄清：潜在供应商对磋商文件内容如有疑问或需要澄清的，应按竞争性磋商公告中载明的地址以书面的形式通知到采购代理机构。</w:t>
      </w:r>
    </w:p>
    <w:p>
      <w:pPr>
        <w:adjustRightInd w:val="0"/>
        <w:snapToGrid w:val="0"/>
        <w:spacing w:line="360" w:lineRule="auto"/>
        <w:ind w:firstLine="422" w:firstLineChars="200"/>
        <w:rPr>
          <w:rFonts w:ascii="仿宋" w:hAnsi="仿宋" w:eastAsia="仿宋" w:cs="仿宋"/>
          <w:b/>
          <w:bCs/>
        </w:rPr>
      </w:pPr>
      <w:r>
        <w:rPr>
          <w:rFonts w:hint="eastAsia" w:ascii="仿宋" w:hAnsi="仿宋" w:eastAsia="仿宋" w:cs="仿宋"/>
          <w:b/>
          <w:bCs/>
        </w:rPr>
        <w:t>1.13偏离</w:t>
      </w:r>
    </w:p>
    <w:p>
      <w:pPr>
        <w:autoSpaceDE w:val="0"/>
        <w:autoSpaceDN w:val="0"/>
        <w:adjustRightInd w:val="0"/>
        <w:snapToGrid w:val="0"/>
        <w:spacing w:line="360" w:lineRule="auto"/>
        <w:ind w:firstLine="420" w:firstLineChars="200"/>
        <w:jc w:val="left"/>
        <w:rPr>
          <w:rFonts w:ascii="仿宋" w:hAnsi="仿宋" w:eastAsia="仿宋" w:cs="仿宋"/>
          <w:kern w:val="0"/>
        </w:rPr>
      </w:pPr>
      <w:r>
        <w:rPr>
          <w:rFonts w:hint="eastAsia" w:ascii="仿宋" w:hAnsi="仿宋" w:eastAsia="仿宋" w:cs="仿宋"/>
          <w:kern w:val="0"/>
        </w:rPr>
        <w:t>是否允许负偏离：</w:t>
      </w:r>
      <w:r>
        <w:rPr>
          <w:rFonts w:hint="eastAsia" w:ascii="仿宋" w:hAnsi="仿宋" w:eastAsia="仿宋" w:cs="仿宋"/>
        </w:rPr>
        <w:t>见供应商须知前附表</w:t>
      </w:r>
      <w:r>
        <w:rPr>
          <w:rFonts w:hint="eastAsia" w:ascii="仿宋" w:hAnsi="仿宋" w:eastAsia="仿宋" w:cs="仿宋"/>
          <w:kern w:val="0"/>
        </w:rPr>
        <w:t>。</w:t>
      </w:r>
    </w:p>
    <w:p>
      <w:pPr>
        <w:pStyle w:val="4"/>
        <w:keepLines w:val="0"/>
        <w:widowControl/>
        <w:adjustRightInd w:val="0"/>
        <w:snapToGrid w:val="0"/>
        <w:spacing w:before="0" w:after="0" w:line="360" w:lineRule="auto"/>
        <w:ind w:firstLine="422" w:firstLineChars="200"/>
        <w:rPr>
          <w:rFonts w:ascii="仿宋" w:hAnsi="仿宋" w:eastAsia="仿宋" w:cs="仿宋"/>
          <w:sz w:val="21"/>
          <w:szCs w:val="21"/>
        </w:rPr>
      </w:pPr>
      <w:bookmarkStart w:id="12" w:name="_Toc32835885"/>
      <w:bookmarkStart w:id="13" w:name="_Toc33260056"/>
      <w:bookmarkStart w:id="14" w:name="_Toc8348"/>
      <w:r>
        <w:rPr>
          <w:rFonts w:hint="eastAsia" w:ascii="仿宋" w:hAnsi="仿宋" w:eastAsia="仿宋" w:cs="仿宋"/>
          <w:sz w:val="21"/>
          <w:szCs w:val="21"/>
        </w:rPr>
        <w:t>2.</w:t>
      </w:r>
      <w:bookmarkEnd w:id="12"/>
      <w:bookmarkEnd w:id="13"/>
      <w:r>
        <w:rPr>
          <w:rFonts w:hint="eastAsia" w:ascii="仿宋" w:hAnsi="仿宋" w:eastAsia="仿宋" w:cs="仿宋"/>
          <w:sz w:val="21"/>
          <w:szCs w:val="21"/>
        </w:rPr>
        <w:t>磋商文件</w:t>
      </w:r>
      <w:bookmarkEnd w:id="14"/>
    </w:p>
    <w:p>
      <w:pPr>
        <w:adjustRightInd w:val="0"/>
        <w:snapToGrid w:val="0"/>
        <w:spacing w:line="360" w:lineRule="auto"/>
        <w:ind w:firstLine="422" w:firstLineChars="200"/>
        <w:outlineLvl w:val="3"/>
        <w:rPr>
          <w:rFonts w:ascii="仿宋" w:hAnsi="仿宋" w:eastAsia="仿宋" w:cs="仿宋"/>
          <w:b/>
          <w:bCs/>
          <w:szCs w:val="21"/>
        </w:rPr>
      </w:pPr>
      <w:r>
        <w:rPr>
          <w:rFonts w:hint="eastAsia" w:ascii="仿宋" w:hAnsi="仿宋" w:eastAsia="仿宋" w:cs="仿宋"/>
          <w:b/>
          <w:bCs/>
        </w:rPr>
        <w:t>2.1 磋商文件的组成</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2.1.1本磋商文件包括：</w:t>
      </w:r>
    </w:p>
    <w:p>
      <w:pPr>
        <w:pStyle w:val="56"/>
        <w:adjustRightInd w:val="0"/>
        <w:snapToGrid w:val="0"/>
        <w:spacing w:line="360" w:lineRule="auto"/>
        <w:ind w:firstLine="420" w:firstLineChars="200"/>
        <w:rPr>
          <w:rFonts w:ascii="仿宋" w:hAnsi="仿宋" w:eastAsia="仿宋" w:cs="仿宋"/>
          <w:kern w:val="0"/>
          <w:sz w:val="21"/>
        </w:rPr>
      </w:pPr>
      <w:r>
        <w:rPr>
          <w:rFonts w:hint="eastAsia" w:ascii="仿宋" w:hAnsi="仿宋" w:eastAsia="仿宋" w:cs="仿宋"/>
          <w:kern w:val="0"/>
          <w:sz w:val="21"/>
        </w:rPr>
        <w:t>磋商文件用以阐明本次采购的货物要求、竞争性磋商程序和合同条件。</w:t>
      </w:r>
    </w:p>
    <w:p>
      <w:pPr>
        <w:pStyle w:val="56"/>
        <w:adjustRightInd w:val="0"/>
        <w:snapToGrid w:val="0"/>
        <w:spacing w:line="360" w:lineRule="auto"/>
        <w:ind w:firstLine="420" w:firstLineChars="200"/>
        <w:rPr>
          <w:rFonts w:ascii="仿宋" w:hAnsi="仿宋" w:eastAsia="仿宋" w:cs="仿宋"/>
          <w:kern w:val="0"/>
          <w:sz w:val="21"/>
        </w:rPr>
      </w:pPr>
      <w:r>
        <w:rPr>
          <w:rFonts w:hint="eastAsia" w:ascii="仿宋" w:hAnsi="仿宋" w:eastAsia="仿宋" w:cs="仿宋"/>
          <w:kern w:val="0"/>
          <w:sz w:val="21"/>
        </w:rPr>
        <w:t>磋商文件由下述部分组成：</w:t>
      </w:r>
    </w:p>
    <w:p>
      <w:pPr>
        <w:pStyle w:val="56"/>
        <w:adjustRightInd w:val="0"/>
        <w:snapToGrid w:val="0"/>
        <w:spacing w:line="360" w:lineRule="auto"/>
        <w:ind w:firstLine="420" w:firstLineChars="200"/>
        <w:rPr>
          <w:rFonts w:ascii="仿宋" w:hAnsi="仿宋" w:eastAsia="仿宋" w:cs="仿宋"/>
          <w:kern w:val="0"/>
          <w:sz w:val="21"/>
        </w:rPr>
      </w:pPr>
      <w:r>
        <w:rPr>
          <w:rFonts w:hint="eastAsia" w:ascii="仿宋" w:hAnsi="仿宋" w:eastAsia="仿宋" w:cs="仿宋"/>
          <w:kern w:val="0"/>
          <w:sz w:val="21"/>
        </w:rPr>
        <w:t xml:space="preserve">第一章 竞争性磋商公告 </w:t>
      </w:r>
    </w:p>
    <w:p>
      <w:pPr>
        <w:pStyle w:val="56"/>
        <w:adjustRightInd w:val="0"/>
        <w:snapToGrid w:val="0"/>
        <w:spacing w:line="360" w:lineRule="auto"/>
        <w:ind w:firstLine="420" w:firstLineChars="200"/>
        <w:rPr>
          <w:rFonts w:ascii="仿宋" w:hAnsi="仿宋" w:eastAsia="仿宋" w:cs="仿宋"/>
          <w:kern w:val="0"/>
          <w:sz w:val="21"/>
        </w:rPr>
      </w:pPr>
      <w:r>
        <w:rPr>
          <w:rFonts w:hint="eastAsia" w:ascii="仿宋" w:hAnsi="仿宋" w:eastAsia="仿宋" w:cs="仿宋"/>
          <w:kern w:val="0"/>
          <w:sz w:val="21"/>
        </w:rPr>
        <w:t>第二章 供应商须知</w:t>
      </w:r>
    </w:p>
    <w:p>
      <w:pPr>
        <w:pStyle w:val="56"/>
        <w:adjustRightInd w:val="0"/>
        <w:snapToGrid w:val="0"/>
        <w:spacing w:line="360" w:lineRule="auto"/>
        <w:ind w:firstLine="420" w:firstLineChars="200"/>
        <w:rPr>
          <w:rFonts w:ascii="仿宋" w:hAnsi="仿宋" w:eastAsia="仿宋" w:cs="仿宋"/>
          <w:kern w:val="0"/>
          <w:sz w:val="21"/>
        </w:rPr>
      </w:pPr>
      <w:r>
        <w:rPr>
          <w:rFonts w:hint="eastAsia" w:ascii="仿宋" w:hAnsi="仿宋" w:eastAsia="仿宋" w:cs="仿宋"/>
          <w:kern w:val="0"/>
          <w:sz w:val="21"/>
        </w:rPr>
        <w:t>第三章 项目需求及技术参数要求</w:t>
      </w:r>
    </w:p>
    <w:p>
      <w:pPr>
        <w:pStyle w:val="56"/>
        <w:adjustRightInd w:val="0"/>
        <w:snapToGrid w:val="0"/>
        <w:spacing w:line="360" w:lineRule="auto"/>
        <w:ind w:firstLine="420" w:firstLineChars="200"/>
        <w:rPr>
          <w:rFonts w:ascii="仿宋" w:hAnsi="仿宋" w:eastAsia="仿宋" w:cs="仿宋"/>
          <w:kern w:val="0"/>
          <w:sz w:val="21"/>
        </w:rPr>
      </w:pPr>
      <w:r>
        <w:rPr>
          <w:rFonts w:hint="eastAsia" w:ascii="仿宋" w:hAnsi="仿宋" w:eastAsia="仿宋" w:cs="仿宋"/>
          <w:kern w:val="0"/>
          <w:sz w:val="21"/>
        </w:rPr>
        <w:t>第四章 合同协议书（格式）</w:t>
      </w:r>
    </w:p>
    <w:p>
      <w:pPr>
        <w:pStyle w:val="56"/>
        <w:adjustRightInd w:val="0"/>
        <w:snapToGrid w:val="0"/>
        <w:spacing w:line="360" w:lineRule="auto"/>
        <w:ind w:firstLine="420" w:firstLineChars="200"/>
        <w:rPr>
          <w:rFonts w:ascii="仿宋" w:hAnsi="仿宋" w:eastAsia="仿宋" w:cs="仿宋"/>
          <w:kern w:val="0"/>
          <w:sz w:val="21"/>
        </w:rPr>
      </w:pPr>
      <w:r>
        <w:rPr>
          <w:rFonts w:hint="eastAsia" w:ascii="仿宋" w:hAnsi="仿宋" w:eastAsia="仿宋" w:cs="仿宋"/>
          <w:kern w:val="0"/>
          <w:sz w:val="21"/>
        </w:rPr>
        <w:t>第五章 响应文件格式及附件</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rPr>
        <w:t>2.1.2根据本章第1.12款、第2.2款和第2.3款对磋商文件所作的澄清、修改，构成磋商文件的组成部分。</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 xml:space="preserve">2.2 供应商要求对磋商文件澄清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2.2.1 合规获取《磋商文件》的所有潜在供应商对《磋商文件》如有需澄清的疑问，应在供应商须知规定的时间内按竞争性磋商公告中载明的地址以纸质书面形式通知到采购代理机构。在规定的时间内未提出疑问的，将视为对《磋商文件》的完全认可。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2.2.2 采购代理机构对潜在供应商在规定的时间内提出的疑问，将视情况以书 面形式予以答复，并在其认为必要时，将不标明查询来源的书面答复，在“竞争性磋商公告”所述媒体通告所有潜在供应商。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2.2.3 《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2.2.4采购代理机构可视情况在投标截止前答疑。</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2.3 磋商文件的修改</w:t>
      </w:r>
    </w:p>
    <w:p>
      <w:pPr>
        <w:adjustRightInd w:val="0"/>
        <w:snapToGrid w:val="0"/>
        <w:spacing w:line="360" w:lineRule="auto"/>
        <w:ind w:firstLine="420" w:firstLineChars="200"/>
        <w:rPr>
          <w:rFonts w:ascii="仿宋" w:hAnsi="仿宋" w:eastAsia="仿宋" w:cs="仿宋"/>
        </w:rPr>
      </w:pPr>
      <w:bookmarkStart w:id="15" w:name="_Toc33260057"/>
      <w:bookmarkStart w:id="16" w:name="_Toc32835886"/>
      <w:r>
        <w:rPr>
          <w:rFonts w:hint="eastAsia" w:ascii="仿宋" w:hAnsi="仿宋" w:eastAsia="仿宋" w:cs="仿宋"/>
        </w:rPr>
        <w:t>2.3.1 《磋商文件》在递交截止时间前的所有澄清、修改（包括时间变更等）、补充事项，均在“竞争性磋商公告”所述媒体予以公告。澄清或修改公告一经在法定网站以公告形式发布，依法视为书面通知，不再另行通知。</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基于网上电子交易的特点—-无权限获知或通知潜在供应商，潜在供应商应随时关注“竞争性磋商公告”所述媒体相关项目信息（为免各部门网站出现维护等情况，潜在供应商应对“竞争性磋商公告”所述媒体逐一查阅），如有遗漏，后果自负。</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2.3.2 《磋商文件》的澄清、修改、补充书构成《磋商文件》的组成部分，并取代《磋商文件》中被澄清、修改处，对所有供应商均有约束力。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2.3.3 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 公告”所述媒体予以公告。</w:t>
      </w:r>
    </w:p>
    <w:p>
      <w:pPr>
        <w:pStyle w:val="4"/>
        <w:keepLines w:val="0"/>
        <w:widowControl/>
        <w:adjustRightInd w:val="0"/>
        <w:snapToGrid w:val="0"/>
        <w:spacing w:before="0" w:after="0" w:line="360" w:lineRule="auto"/>
        <w:ind w:firstLine="422" w:firstLineChars="200"/>
        <w:rPr>
          <w:rFonts w:ascii="仿宋" w:hAnsi="仿宋" w:eastAsia="仿宋" w:cs="仿宋"/>
          <w:bCs w:val="0"/>
          <w:sz w:val="21"/>
          <w:szCs w:val="21"/>
        </w:rPr>
      </w:pPr>
      <w:bookmarkStart w:id="17" w:name="_Toc5727"/>
      <w:r>
        <w:rPr>
          <w:rFonts w:hint="eastAsia" w:ascii="仿宋" w:hAnsi="仿宋" w:eastAsia="仿宋" w:cs="仿宋"/>
          <w:sz w:val="21"/>
          <w:szCs w:val="21"/>
        </w:rPr>
        <w:t>3. 响应文件</w:t>
      </w:r>
      <w:bookmarkEnd w:id="15"/>
      <w:bookmarkEnd w:id="16"/>
      <w:bookmarkEnd w:id="17"/>
    </w:p>
    <w:p>
      <w:pPr>
        <w:adjustRightInd w:val="0"/>
        <w:snapToGrid w:val="0"/>
        <w:spacing w:line="360" w:lineRule="auto"/>
        <w:ind w:firstLine="422" w:firstLineChars="200"/>
        <w:outlineLvl w:val="3"/>
        <w:rPr>
          <w:rFonts w:ascii="仿宋" w:hAnsi="仿宋" w:eastAsia="仿宋" w:cs="仿宋"/>
          <w:b/>
          <w:bCs/>
          <w:szCs w:val="21"/>
        </w:rPr>
      </w:pPr>
      <w:r>
        <w:rPr>
          <w:rFonts w:hint="eastAsia" w:ascii="仿宋" w:hAnsi="仿宋" w:eastAsia="仿宋" w:cs="仿宋"/>
          <w:b/>
          <w:bCs/>
        </w:rPr>
        <w:t>3.1 响应文件的组成</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3.1.1响应文件应包括下列内容：</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（1）报价函；</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（2）报价一览表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（3）报价明细表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（4）项目实施方案</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（5）服务承诺</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（6）按供应商须知前附表要求出具的资格证明文件</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（7）技术规格和商务条款偏差表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（8）供应商认为需要提交的其他证明资料。</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3.1.1磋商文件附件中给定格式的，供应商必须使用磋商文件提供的格式，但表格可以按同样格式扩展，磋商文件附件中未给定格式的，供应商可以自拟格式。</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3.1.2磋商文件中的每个包段，是项目采购不可拆分的最小单元，供应商必须按此分包段编制响应文件，提交相应的文件资料，拆分包段提交响应文件将视为非实质性响应磋商文件而不予接受。</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3.2 竞争性磋商报价</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3.2.1本项目采购预算（政府采购最高限价）见供应商须知前附表。供应商在政府采购预算（政府采购最高限价）内自主报价，超过采购预算（政府采购最高限价）的报价为无效报价。</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3.2.2供应商应按照磋商文件要求的报价表格式填写提供各项服务及货物的单价、分项总价和总报价。如果单价、分项总价和总报价之间有差异，</w:t>
      </w:r>
      <w:r>
        <w:rPr>
          <w:rFonts w:hint="eastAsia" w:ascii="仿宋" w:hAnsi="仿宋" w:eastAsia="仿宋" w:cs="仿宋"/>
          <w:kern w:val="0"/>
        </w:rPr>
        <w:t>按照6.8项之规定修正。</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3.2.3</w:t>
      </w:r>
      <w:r>
        <w:rPr>
          <w:rFonts w:hint="eastAsia" w:ascii="仿宋" w:hAnsi="仿宋" w:eastAsia="仿宋" w:cs="仿宋"/>
          <w:szCs w:val="21"/>
        </w:rPr>
        <w:t>磋商总报价应是</w:t>
      </w:r>
      <w:r>
        <w:rPr>
          <w:rFonts w:hint="eastAsia" w:ascii="仿宋" w:hAnsi="仿宋" w:eastAsia="仿宋" w:cs="仿宋"/>
          <w:kern w:val="0"/>
          <w:szCs w:val="21"/>
        </w:rPr>
        <w:t>完成本磋商文件规定的采购需求所列项目的全部费用</w:t>
      </w:r>
      <w:r>
        <w:rPr>
          <w:rFonts w:hint="eastAsia" w:ascii="仿宋" w:hAnsi="仿宋" w:eastAsia="仿宋" w:cs="仿宋"/>
        </w:rPr>
        <w:t>。</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kern w:val="0"/>
        </w:rPr>
        <w:t>3.2.4采购人和采购代理机构不接受有任何选择报价的竞争性磋商报价。</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3.2.5供应商不得以任何理由在响应文件开启后对竞争性磋商报价予以修改，报价在竞争性磋商有效期内是固定的，不因任何原因而改变。任何包含价格调整要求和条件的竞争性磋商报价，将被视为非实质性响应磋商文件而予以拒绝。</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kern w:val="0"/>
        </w:rPr>
        <w:t>3.2.6磋商小组认为供应商的报价明显低于其他通过符合性审查供应商的报价，有可能影响服务质量或者不能诚信履约的，可以要求其在评审及磋商现场合理的时间内提供书面说明，必要时提交相关证明材料；供应商不能证明其报价合理性的，磋商小组应当将其作为无效竞争性磋商报价处理</w:t>
      </w:r>
      <w:r>
        <w:rPr>
          <w:rFonts w:hint="eastAsia" w:ascii="仿宋" w:hAnsi="仿宋" w:eastAsia="仿宋" w:cs="仿宋"/>
        </w:rPr>
        <w:t>。</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3.3 磋商有效期</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3.3.1除供应商须知前附表另有规定外，磋商有效期为60日历天。磋商有效期不足的响应文件将被视为未响应磋商文件而予以拒绝。</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3.3.2在磋商有效期内，供应商撤销或修改其响应文件的，应承担磋商文件和法律规定的责任。</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3.3.3在特殊情况下，采购人和采购代理机构可征求供应商同意延长磋商有效期，这种要求与答复均应以书面形式提交。供应商可以拒绝这种要求。同意延长磋商有效期的供应商将不会被要求也不允许修改其响应文件。</w:t>
      </w:r>
    </w:p>
    <w:p>
      <w:pPr>
        <w:adjustRightInd w:val="0"/>
        <w:snapToGrid w:val="0"/>
        <w:spacing w:line="360" w:lineRule="auto"/>
        <w:ind w:firstLine="422" w:firstLineChars="200"/>
        <w:rPr>
          <w:rFonts w:ascii="仿宋" w:hAnsi="仿宋" w:eastAsia="仿宋" w:cs="仿宋"/>
          <w:b/>
          <w:bCs/>
        </w:rPr>
      </w:pPr>
      <w:r>
        <w:rPr>
          <w:rFonts w:hint="eastAsia" w:ascii="仿宋" w:hAnsi="仿宋" w:eastAsia="仿宋" w:cs="仿宋"/>
          <w:b/>
          <w:bCs/>
        </w:rPr>
        <w:t>3.4 投标承诺函（替代投标保证金）</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3.4.1 按照豫财购〔2019〕4号文件规定，本项目以投标承诺函的形式替代投标保证金，供应商应进行投标承诺，违背承诺的将承担相应的法律责任及违约责任。</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3.4.2 未提供投标承诺函的为无效投标。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3.4.3 投标单位的投标承诺函包含投标人承诺的事项及违背承诺的责任追究措施。</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3.4.4 承诺事项：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3.4.4.1、投标单位应遵循公开、公平、公正和诚实信用的原则自愿参加项目的投标；</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3.4.4.2、投标单位在政府采购活动中应提供真实、准确、有效、合法的材料，不提供虚假材料；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3.4.4.3、投标单位按照谈判文件规定，在提交投标文件截止时间后，在磋商文件规定的投标有效期限内不应撤回投标文件；</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3.4.4.4、不应与其他投标人、采购人或采购代理机构串通或恶意串通。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3.4.4.5、中标后除不可抗拒力或磋商文件认可的情形外，投标单位应及时领取中标通知书，在成交通知书规定时间、地点与采购人签订合同；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3.4.4.6、投标单位应遵守法律法规及磋商文件规定的其他情况；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3.4.4.7、投标单位应按磋商文件规定及时缴纳中标服务费。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3.4.5违背承诺的责任追究措施投标单位如违背上述承诺事项，应无条件接受以下责任追究：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3.4.5.1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给采购人及他人造成损失的，应承担相应的赔偿责任。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3.4.5.2违约责任：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（1） 已中标的，中标（成交）无效；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（2） 支付采购人违约标的预算金额2%的违约金；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 未缴纳中标后未缴中标服务费的，作为违约及违背诚实信用原则，在履行承诺前，代理机构将视我单位为失信企业、不予办理其后相关业务。</w:t>
      </w:r>
    </w:p>
    <w:p>
      <w:pPr>
        <w:adjustRightInd w:val="0"/>
        <w:snapToGrid w:val="0"/>
        <w:spacing w:line="360" w:lineRule="auto"/>
        <w:ind w:firstLine="422" w:firstLineChars="200"/>
        <w:rPr>
          <w:rFonts w:ascii="仿宋" w:hAnsi="仿宋" w:eastAsia="仿宋" w:cs="仿宋"/>
          <w:b/>
          <w:bCs/>
        </w:rPr>
      </w:pPr>
      <w:bookmarkStart w:id="18" w:name="_Toc32835887"/>
      <w:bookmarkStart w:id="19" w:name="_Toc33260058"/>
      <w:r>
        <w:rPr>
          <w:rFonts w:hint="eastAsia" w:ascii="仿宋" w:hAnsi="仿宋" w:eastAsia="仿宋" w:cs="仿宋"/>
          <w:b/>
          <w:bCs/>
        </w:rPr>
        <w:t>3.5 响应文件的编制、签署及规定</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3.5.1投标单位应按磋商文件“第五章响应文件格式”中所要求的内容编制响应文件。响应文件应当对磋商文件提出的要求和条件作出明确响应。磋商文件“第五章响应文件格式”仅为对响应文件部分内容的格式化规范，并非响应文件所应具备的全部内容。磋商文件中未列明格式的，由投标单位按一般通用格式自行设计。投标单位的响应文件的编制需在“安阳市政府采购投标文件编制系统”中进行并上传，编制系统可在安阳市公共资源交易中心网站内进行下载。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3.5.2《响应文件》应当对《磋商文件》有关标段内容（范围）、技术要求、 售后服务、磋商有效期等实质性内容作出响应。在满足《磋商文件》实质性要求 的基础上，可以提出比《磋商文件》要求更有利于采购人的承诺。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3.5.3供应商可对本《磋商文件“标段一览表”中所列的所有标段进行分别响应，也可选择其中一个标段或几个标段响应，但不得将《磋商文件》规定的同 一标段的内容拆开响应，否则将按无效响应处理。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3.5.4 《响应文件》应使用供应商企业数字证书和供应商法定代表人数字证书进行签名并加密，没有使用供应商企业数字证书和供应商法定代表人数字证书进行签名并加密的响应文件，属于未按照磋商文件要求进行签署。根据《中华人民共和国电子签名法》规定，可靠的电子签名与手写签名或者 </w:t>
      </w:r>
    </w:p>
    <w:p>
      <w:pPr>
        <w:adjustRightInd w:val="0"/>
        <w:snapToGrid w:val="0"/>
        <w:spacing w:line="360" w:lineRule="auto"/>
        <w:rPr>
          <w:rFonts w:ascii="仿宋" w:hAnsi="仿宋" w:eastAsia="仿宋" w:cs="仿宋"/>
        </w:rPr>
      </w:pPr>
      <w:r>
        <w:rPr>
          <w:rFonts w:hint="eastAsia" w:ascii="仿宋" w:hAnsi="仿宋" w:eastAsia="仿宋" w:cs="仿宋"/>
        </w:rPr>
        <w:t xml:space="preserve">盖章具有同等的法律效力。本次采购活动中，供应商使用有效的企业数字证书对响应文件进行签名与加盖企业电子签章具有同等法律效力；供应商法定代表人使用有效的个人数字证书对响应文件进行签名与法人签章具有同等法律效力。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3.5.5投标单位于递交《响应文件》截止时间前如对《响应文件》进行补充、修改，可以上传新的《响应文件》进行覆盖。在递交《响应文件》截止时间后，投标单位不得再要求修改或撤回其《响应文件》。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3.5.6投标单位如撤回《响应文件》，应及时书面通知采购代理机构进行办理。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3.5.7《响应文件》因字迹或表述不清所引起的后果由投标单位自行负责。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3.5.8 电报、电话、电子邮件等形式的投标概不接受。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3.5.9 未按上述要求提供的《响应文件》将视为无效投标。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3.5.10供应商使用供应商企业数字证书和供应商法定代表人数字证书对响应文件进行签名并加密，按照磋商文件附件格式要求对响应文件加盖供应商电子签章和法定代表人电子签名。没有使用供应商企业数字证书和供应商法定代表人数字证书进行签名并加密的响应文件，属于未按照磋商文件要求进行签署。</w:t>
      </w:r>
    </w:p>
    <w:bookmarkEnd w:id="18"/>
    <w:bookmarkEnd w:id="19"/>
    <w:p>
      <w:pPr>
        <w:pStyle w:val="4"/>
        <w:keepLines w:val="0"/>
        <w:widowControl/>
        <w:adjustRightInd w:val="0"/>
        <w:snapToGrid w:val="0"/>
        <w:spacing w:before="0" w:after="0" w:line="360" w:lineRule="auto"/>
        <w:ind w:firstLine="422" w:firstLineChars="200"/>
        <w:rPr>
          <w:rFonts w:ascii="仿宋" w:hAnsi="仿宋" w:eastAsia="仿宋" w:cs="仿宋"/>
          <w:b w:val="0"/>
          <w:sz w:val="21"/>
          <w:szCs w:val="21"/>
        </w:rPr>
      </w:pPr>
      <w:bookmarkStart w:id="20" w:name="_Toc14461"/>
      <w:bookmarkStart w:id="21" w:name="_Toc7125"/>
      <w:r>
        <w:rPr>
          <w:rFonts w:hint="eastAsia" w:ascii="仿宋" w:hAnsi="仿宋" w:eastAsia="仿宋" w:cs="仿宋"/>
          <w:sz w:val="21"/>
          <w:szCs w:val="21"/>
        </w:rPr>
        <w:t>4. 响应文件提交</w:t>
      </w:r>
      <w:bookmarkEnd w:id="20"/>
      <w:bookmarkEnd w:id="21"/>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4.1 供应商须在响应文件递交截止时间前制作并提交加密电子响应文件。加密的电子响应文件,应在响应文件递交截止时间前通过安阳市公共资源交易中心（投标方）电子交易平台上传，供应商应在上传时认真检查上传响应文件是否完整、正确。</w:t>
      </w:r>
    </w:p>
    <w:p>
      <w:pPr>
        <w:adjustRightInd w:val="0"/>
        <w:snapToGrid w:val="0"/>
        <w:spacing w:line="360" w:lineRule="auto"/>
        <w:ind w:firstLine="420" w:firstLineChars="200"/>
      </w:pPr>
      <w:r>
        <w:rPr>
          <w:rFonts w:hint="eastAsia" w:ascii="仿宋" w:hAnsi="仿宋" w:eastAsia="仿宋" w:cs="仿宋"/>
        </w:rPr>
        <w:t>4.2 提交响应文件截止时间后，电子响应文件将无法通过网上投标系统进行上传，采购代理机构将无法接受供应商提交响应文件。</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4.3 响应文件的提交时间和地点</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4.3.1所有投标文件都必须按采购代理机构在竞争性磋商公告中规定的投标截止时间之前提交加密电子响应文件。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4.3.2未送到指定地点或投标截止时间后递交的投标文件，采购代理机构将拒绝接收。</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4.4 响应文件的补充、修改与撤回</w:t>
      </w:r>
    </w:p>
    <w:p>
      <w:pPr>
        <w:adjustRightInd w:val="0"/>
        <w:snapToGrid w:val="0"/>
        <w:spacing w:line="360" w:lineRule="auto"/>
        <w:ind w:firstLine="420" w:firstLineChars="200"/>
        <w:outlineLvl w:val="3"/>
        <w:rPr>
          <w:rFonts w:ascii="仿宋" w:hAnsi="仿宋" w:eastAsia="仿宋" w:cs="仿宋"/>
        </w:rPr>
      </w:pPr>
      <w:r>
        <w:rPr>
          <w:rFonts w:hint="eastAsia" w:ascii="仿宋" w:hAnsi="仿宋" w:eastAsia="仿宋" w:cs="仿宋"/>
        </w:rPr>
        <w:t>4.4.1投标单位于递交响应文件截止时间前如对响应文件进行补充、修改，可以上传新的响应文件进行覆盖。投标单位如撤回响应文件，应及时书面通知采购代理机构进行办理。在递交响应文件截止时间后，投标单位不得再要求修改或撤回其响应文件。</w:t>
      </w:r>
    </w:p>
    <w:p>
      <w:pPr>
        <w:adjustRightInd w:val="0"/>
        <w:snapToGrid w:val="0"/>
        <w:spacing w:line="360" w:lineRule="auto"/>
        <w:ind w:firstLine="422" w:firstLineChars="200"/>
        <w:outlineLvl w:val="3"/>
        <w:rPr>
          <w:rFonts w:ascii="仿宋" w:hAnsi="仿宋" w:eastAsia="仿宋" w:cs="仿宋"/>
          <w:b/>
          <w:bCs/>
          <w:szCs w:val="21"/>
        </w:rPr>
      </w:pPr>
      <w:r>
        <w:rPr>
          <w:rFonts w:hint="eastAsia" w:ascii="仿宋" w:hAnsi="仿宋" w:eastAsia="仿宋" w:cs="仿宋"/>
          <w:b/>
          <w:bCs/>
        </w:rPr>
        <w:t>4.4</w:t>
      </w:r>
      <w:r>
        <w:rPr>
          <w:rFonts w:hint="eastAsia" w:ascii="仿宋" w:hAnsi="仿宋" w:eastAsia="仿宋" w:cs="仿宋"/>
          <w:b/>
          <w:bCs/>
          <w:sz w:val="24"/>
        </w:rPr>
        <w:t>样品及演示</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递交样品及演示要求：见供应商须知前附表。</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对于未成交供应商提供的样品，采购人将在采购活动结束后退还；对于成交供应商提供的样品，由采购人进行保管、封存，并作为履约验收的参考，在采购标的交付使用且验收合格后退还。</w:t>
      </w:r>
    </w:p>
    <w:p>
      <w:pPr>
        <w:pStyle w:val="4"/>
        <w:keepLines w:val="0"/>
        <w:widowControl/>
        <w:adjustRightInd w:val="0"/>
        <w:snapToGrid w:val="0"/>
        <w:spacing w:before="0" w:after="0" w:line="360" w:lineRule="auto"/>
        <w:ind w:firstLine="422" w:firstLineChars="200"/>
        <w:rPr>
          <w:rFonts w:ascii="仿宋" w:hAnsi="仿宋" w:eastAsia="仿宋" w:cs="仿宋"/>
        </w:rPr>
      </w:pPr>
      <w:bookmarkStart w:id="22" w:name="_Toc23905"/>
      <w:r>
        <w:rPr>
          <w:rFonts w:hint="eastAsia" w:ascii="仿宋" w:hAnsi="仿宋" w:eastAsia="仿宋" w:cs="仿宋"/>
          <w:sz w:val="21"/>
          <w:szCs w:val="21"/>
        </w:rPr>
        <w:t>5. 响应文件开启</w:t>
      </w:r>
      <w:bookmarkEnd w:id="22"/>
    </w:p>
    <w:p>
      <w:pPr>
        <w:adjustRightInd w:val="0"/>
        <w:snapToGrid w:val="0"/>
        <w:spacing w:line="360" w:lineRule="auto"/>
        <w:ind w:firstLine="420" w:firstLineChars="200"/>
        <w:rPr>
          <w:rFonts w:ascii="仿宋" w:hAnsi="仿宋" w:eastAsia="仿宋" w:cs="仿宋"/>
        </w:rPr>
      </w:pPr>
      <w:bookmarkStart w:id="23" w:name="_Toc32835890"/>
      <w:bookmarkStart w:id="24" w:name="_Toc33260060"/>
      <w:r>
        <w:rPr>
          <w:rFonts w:hint="eastAsia" w:ascii="仿宋" w:hAnsi="仿宋" w:eastAsia="仿宋" w:cs="仿宋"/>
        </w:rPr>
        <w:t xml:space="preserve">5.1采购代理机构（或采购人）按磋商文件规定的时间、地点主持磋商开启仪式，投标单位需在开标前打开安阳市公共资源交易中心网站，凭企业数字证书登录投标用户政府采购系统，并进入本项目相匹配的网上开标室。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5.2投标文件解密前，采购人、采购代理机构将会对供应商的信用信息进行查询，对不符合要求的供应商将拒绝其解密。信用信息查询完成后，将要求供应商在规定时间内完成对本单位的加密响应文件解密，由于投标单位的自身原因，在规定时间内解密不成功的，作为无效处理。解密完成后，投标单位的报价将在系统界面上显示。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5.3供应商代表对开标过程和开标记录有疑义，以及认为采购人、采购代理机构相关工作人员有需要回避的情形的，应在“安阳市公共资源交易中心电子交易平台”系统中提出询问或者回避申请，否则，视为对开标无异议。采购人、采购代理机构对供应商代表提出的询问或者回避申请应当及时处理。 </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5.4 在开标或评审过程中，有效投标应在三家以上（包括三家）；有效投标不足三家的应予终止（废标）。</w:t>
      </w:r>
    </w:p>
    <w:p>
      <w:pPr>
        <w:adjustRightInd w:val="0"/>
        <w:snapToGrid w:val="0"/>
        <w:spacing w:line="360" w:lineRule="auto"/>
        <w:ind w:firstLine="422" w:firstLineChars="200"/>
        <w:outlineLvl w:val="2"/>
        <w:rPr>
          <w:rFonts w:ascii="仿宋" w:hAnsi="仿宋" w:eastAsia="仿宋" w:cs="仿宋"/>
          <w:b/>
          <w:bCs/>
        </w:rPr>
      </w:pPr>
      <w:bookmarkStart w:id="25" w:name="_Toc19632"/>
      <w:r>
        <w:rPr>
          <w:rFonts w:hint="eastAsia" w:ascii="仿宋" w:hAnsi="仿宋" w:eastAsia="仿宋" w:cs="仿宋"/>
          <w:b/>
          <w:bCs/>
        </w:rPr>
        <w:t>6.评</w:t>
      </w:r>
      <w:bookmarkEnd w:id="23"/>
      <w:r>
        <w:rPr>
          <w:rFonts w:hint="eastAsia" w:ascii="仿宋" w:hAnsi="仿宋" w:eastAsia="仿宋" w:cs="仿宋"/>
          <w:b/>
          <w:bCs/>
        </w:rPr>
        <w:t>审及磋商</w:t>
      </w:r>
      <w:bookmarkEnd w:id="24"/>
      <w:bookmarkEnd w:id="25"/>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6.1磋商小组</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评审及磋商由采购人依法组建的磋商小组负责。磋商小组由采购人代表和评审专家组成。成员人数应当为3人以上单数，其中评审专家不得少于成员总数的三分之二。</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磋商小组成员人数以及技术、经济等方面专家的确定方式见供应商须知前附表。</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6.2 评审专家回避</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评审专家与参加采购活动的供应商存在下列利害关系之一的,应当回避:</w:t>
      </w:r>
    </w:p>
    <w:p>
      <w:pPr>
        <w:widowControl/>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(1)参加采购活动前三年内,与供应商存在劳动关系,或者担任过供应商的董事、监事,或者是供应商的控股股东或实际控制人;</w:t>
      </w:r>
    </w:p>
    <w:p>
      <w:pPr>
        <w:widowControl/>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(2)与供应商的法定代表人或者负责人有夫妻、直系血亲、三代以内旁系血亲或者近姻亲关系;</w:t>
      </w:r>
    </w:p>
    <w:p>
      <w:pPr>
        <w:widowControl/>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(3)与供应商有其他可能影响政府采购活动公平、公正进行的关系。</w:t>
      </w:r>
    </w:p>
    <w:p>
      <w:pPr>
        <w:widowControl/>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评审专家发现本人与参加采购活动的供应商有利害关系的,应当主动提出回避。采购人或者采购代理机构发现评审专家与参加采购活动的供应商有利害关系的,应当要求其回避。</w:t>
      </w:r>
    </w:p>
    <w:p>
      <w:pPr>
        <w:widowControl/>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各级财政部门政府采购监督管理工作人员,不得作为评审专家参与政府采购项目的评审活动。</w:t>
      </w:r>
    </w:p>
    <w:p>
      <w:pPr>
        <w:adjustRightInd w:val="0"/>
        <w:snapToGrid w:val="0"/>
        <w:spacing w:line="360" w:lineRule="auto"/>
        <w:ind w:firstLine="422" w:firstLineChars="200"/>
        <w:outlineLvl w:val="3"/>
        <w:rPr>
          <w:rFonts w:ascii="仿宋" w:hAnsi="仿宋" w:eastAsia="仿宋" w:cs="仿宋"/>
          <w:b/>
          <w:bCs/>
          <w:kern w:val="0"/>
        </w:rPr>
      </w:pPr>
      <w:r>
        <w:rPr>
          <w:rFonts w:hint="eastAsia" w:ascii="仿宋" w:hAnsi="仿宋" w:eastAsia="仿宋" w:cs="仿宋"/>
          <w:b/>
          <w:bCs/>
          <w:kern w:val="0"/>
        </w:rPr>
        <w:t>6.3磋商小组职责</w:t>
      </w:r>
    </w:p>
    <w:p>
      <w:pPr>
        <w:widowControl/>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磋商小组负责具体评审及磋商事务，并独立履行下列职责:</w:t>
      </w:r>
    </w:p>
    <w:p>
      <w:pPr>
        <w:widowControl/>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6.3.1审查、评价响应文件是否符合磋商文件的商务、技术等实质性要求；</w:t>
      </w:r>
    </w:p>
    <w:p>
      <w:pPr>
        <w:widowControl/>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6.3.2要求供应商对响应文件有关事项作出澄清或者说明；</w:t>
      </w:r>
    </w:p>
    <w:p>
      <w:pPr>
        <w:widowControl/>
        <w:adjustRightInd w:val="0"/>
        <w:snapToGrid w:val="0"/>
        <w:spacing w:line="360" w:lineRule="auto"/>
        <w:ind w:firstLine="420" w:firstLineChars="200"/>
        <w:jc w:val="left"/>
        <w:rPr>
          <w:rFonts w:ascii="仿宋" w:hAnsi="仿宋" w:eastAsia="仿宋" w:cs="仿宋"/>
          <w:kern w:val="0"/>
        </w:rPr>
      </w:pPr>
      <w:r>
        <w:rPr>
          <w:rFonts w:hint="eastAsia" w:ascii="仿宋" w:hAnsi="仿宋" w:eastAsia="仿宋" w:cs="仿宋"/>
        </w:rPr>
        <w:t>6.3.3对响应文件进行比较和评价</w:t>
      </w:r>
      <w:r>
        <w:rPr>
          <w:rFonts w:hint="eastAsia" w:ascii="仿宋" w:hAnsi="仿宋" w:eastAsia="仿宋" w:cs="仿宋"/>
          <w:kern w:val="0"/>
        </w:rPr>
        <w:t>；</w:t>
      </w:r>
    </w:p>
    <w:p>
      <w:pPr>
        <w:widowControl/>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6.3.4确定成交候选人名单，以及根据采购人委托直接确定成交供应商；</w:t>
      </w:r>
    </w:p>
    <w:p>
      <w:pPr>
        <w:widowControl/>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6.3.5向采购人、采购代理机构或者有关部门报告评审及磋商中发现的违法行为；</w:t>
      </w:r>
    </w:p>
    <w:p>
      <w:pPr>
        <w:adjustRightInd w:val="0"/>
        <w:snapToGrid w:val="0"/>
        <w:spacing w:line="360" w:lineRule="auto"/>
        <w:ind w:firstLine="422" w:firstLineChars="200"/>
        <w:outlineLvl w:val="3"/>
        <w:rPr>
          <w:rFonts w:ascii="仿宋" w:hAnsi="仿宋" w:eastAsia="仿宋" w:cs="仿宋"/>
          <w:b/>
          <w:bCs/>
          <w:kern w:val="0"/>
        </w:rPr>
      </w:pPr>
      <w:r>
        <w:rPr>
          <w:rFonts w:hint="eastAsia" w:ascii="仿宋" w:hAnsi="仿宋" w:eastAsia="仿宋" w:cs="仿宋"/>
          <w:b/>
          <w:bCs/>
          <w:kern w:val="0"/>
        </w:rPr>
        <w:t>6.4磋商小组成员变更</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kern w:val="0"/>
        </w:rPr>
        <w:t>磋商小组</w:t>
      </w:r>
      <w:r>
        <w:rPr>
          <w:rFonts w:hint="eastAsia" w:ascii="仿宋" w:hAnsi="仿宋" w:eastAsia="仿宋" w:cs="仿宋"/>
          <w:bCs/>
        </w:rPr>
        <w:t>评审及磋商</w:t>
      </w:r>
      <w:r>
        <w:rPr>
          <w:rFonts w:hint="eastAsia" w:ascii="仿宋" w:hAnsi="仿宋" w:eastAsia="仿宋" w:cs="仿宋"/>
          <w:kern w:val="0"/>
        </w:rPr>
        <w:t>中因磋商小组成员缺席、回避或者健康等特殊原因导致磋商小组组成不符合磋商文件规定的，采购人或者采购代理机构应当依法补足后继续</w:t>
      </w:r>
      <w:r>
        <w:rPr>
          <w:rFonts w:hint="eastAsia" w:ascii="仿宋" w:hAnsi="仿宋" w:eastAsia="仿宋" w:cs="仿宋"/>
          <w:bCs/>
        </w:rPr>
        <w:t>评审及磋商</w:t>
      </w:r>
      <w:r>
        <w:rPr>
          <w:rFonts w:hint="eastAsia" w:ascii="仿宋" w:hAnsi="仿宋" w:eastAsia="仿宋" w:cs="仿宋"/>
          <w:kern w:val="0"/>
        </w:rPr>
        <w:t>。被更换的磋商小组成员所作出的</w:t>
      </w:r>
      <w:r>
        <w:rPr>
          <w:rFonts w:hint="eastAsia" w:ascii="仿宋" w:hAnsi="仿宋" w:eastAsia="仿宋" w:cs="仿宋"/>
          <w:bCs/>
        </w:rPr>
        <w:t>评审</w:t>
      </w:r>
      <w:r>
        <w:rPr>
          <w:rFonts w:hint="eastAsia" w:ascii="仿宋" w:hAnsi="仿宋" w:eastAsia="仿宋" w:cs="仿宋"/>
          <w:kern w:val="0"/>
        </w:rPr>
        <w:t>意见无效</w:t>
      </w:r>
      <w:r>
        <w:rPr>
          <w:rFonts w:hint="eastAsia" w:ascii="仿宋" w:hAnsi="仿宋" w:eastAsia="仿宋" w:cs="仿宋"/>
        </w:rPr>
        <w:t>；</w:t>
      </w:r>
      <w:r>
        <w:rPr>
          <w:rFonts w:hint="eastAsia" w:ascii="仿宋" w:hAnsi="仿宋" w:eastAsia="仿宋" w:cs="仿宋"/>
          <w:kern w:val="0"/>
        </w:rPr>
        <w:t>无法及时补足磋商小组成员的，采购人或者采购代理机构应当停止</w:t>
      </w:r>
      <w:r>
        <w:rPr>
          <w:rFonts w:hint="eastAsia" w:ascii="仿宋" w:hAnsi="仿宋" w:eastAsia="仿宋" w:cs="仿宋"/>
          <w:bCs/>
        </w:rPr>
        <w:t>评审及磋商</w:t>
      </w:r>
      <w:r>
        <w:rPr>
          <w:rFonts w:hint="eastAsia" w:ascii="仿宋" w:hAnsi="仿宋" w:eastAsia="仿宋" w:cs="仿宋"/>
          <w:kern w:val="0"/>
        </w:rPr>
        <w:t>活动，封存所有响应文件和</w:t>
      </w:r>
      <w:r>
        <w:rPr>
          <w:rFonts w:hint="eastAsia" w:ascii="仿宋" w:hAnsi="仿宋" w:eastAsia="仿宋" w:cs="仿宋"/>
          <w:bCs/>
        </w:rPr>
        <w:t>评审及磋商</w:t>
      </w:r>
      <w:r>
        <w:rPr>
          <w:rFonts w:hint="eastAsia" w:ascii="仿宋" w:hAnsi="仿宋" w:eastAsia="仿宋" w:cs="仿宋"/>
          <w:kern w:val="0"/>
        </w:rPr>
        <w:t>资料，依法重新组建磋商小组进行</w:t>
      </w:r>
      <w:r>
        <w:rPr>
          <w:rFonts w:hint="eastAsia" w:ascii="仿宋" w:hAnsi="仿宋" w:eastAsia="仿宋" w:cs="仿宋"/>
          <w:bCs/>
        </w:rPr>
        <w:t>评审及磋商</w:t>
      </w:r>
      <w:r>
        <w:rPr>
          <w:rFonts w:hint="eastAsia" w:ascii="仿宋" w:hAnsi="仿宋" w:eastAsia="仿宋" w:cs="仿宋"/>
          <w:kern w:val="0"/>
        </w:rPr>
        <w:t>。原磋商小组所作出的</w:t>
      </w:r>
      <w:r>
        <w:rPr>
          <w:rFonts w:hint="eastAsia" w:ascii="仿宋" w:hAnsi="仿宋" w:eastAsia="仿宋" w:cs="仿宋"/>
          <w:bCs/>
        </w:rPr>
        <w:t>评审及磋商</w:t>
      </w:r>
      <w:r>
        <w:rPr>
          <w:rFonts w:hint="eastAsia" w:ascii="仿宋" w:hAnsi="仿宋" w:eastAsia="仿宋" w:cs="仿宋"/>
          <w:kern w:val="0"/>
        </w:rPr>
        <w:t>意见无效；采购人或者采购代理机构应当将变更、重新组建磋商小组的情况予以记录，并随采购文件一并存档。</w:t>
      </w:r>
    </w:p>
    <w:p>
      <w:pPr>
        <w:adjustRightInd w:val="0"/>
        <w:snapToGrid w:val="0"/>
        <w:spacing w:line="360" w:lineRule="auto"/>
        <w:ind w:firstLine="422" w:firstLineChars="200"/>
        <w:outlineLvl w:val="3"/>
        <w:rPr>
          <w:rFonts w:ascii="仿宋" w:hAnsi="仿宋" w:eastAsia="仿宋" w:cs="仿宋"/>
          <w:b/>
          <w:bCs/>
          <w:kern w:val="0"/>
        </w:rPr>
      </w:pPr>
      <w:bookmarkStart w:id="26" w:name="_Toc32835889"/>
      <w:r>
        <w:rPr>
          <w:rFonts w:hint="eastAsia" w:ascii="仿宋" w:hAnsi="仿宋" w:eastAsia="仿宋" w:cs="仿宋"/>
          <w:b/>
          <w:bCs/>
        </w:rPr>
        <w:t>6.5</w:t>
      </w:r>
      <w:r>
        <w:rPr>
          <w:rFonts w:hint="eastAsia" w:ascii="仿宋" w:hAnsi="仿宋" w:eastAsia="仿宋" w:cs="仿宋"/>
          <w:b/>
          <w:bCs/>
          <w:kern w:val="0"/>
        </w:rPr>
        <w:t>资格审查、符合性审查、响应性审查</w:t>
      </w:r>
    </w:p>
    <w:p>
      <w:pPr>
        <w:adjustRightInd w:val="0"/>
        <w:snapToGrid w:val="0"/>
        <w:spacing w:line="360" w:lineRule="auto"/>
        <w:ind w:firstLine="422" w:firstLineChars="200"/>
        <w:rPr>
          <w:rFonts w:ascii="仿宋" w:hAnsi="仿宋" w:eastAsia="仿宋" w:cs="仿宋"/>
          <w:b/>
          <w:bCs/>
          <w:kern w:val="0"/>
        </w:rPr>
      </w:pPr>
      <w:r>
        <w:rPr>
          <w:rFonts w:hint="eastAsia" w:ascii="仿宋" w:hAnsi="仿宋" w:eastAsia="仿宋" w:cs="仿宋"/>
          <w:b/>
          <w:bCs/>
          <w:kern w:val="0"/>
        </w:rPr>
        <w:t>磋商小组成员首先根据以下资格性审查、符合性审查及响应性审查的评审因素、评审标准对各供应商进行初步评审，有一项内容不满足要求即视为未实质性响应磋商文件要求，其响应文件按无效响应处理，初步评审不予通过，磋商小组应当告知提交响应文件的供应商。</w:t>
      </w:r>
    </w:p>
    <w:p>
      <w:pPr>
        <w:adjustRightInd w:val="0"/>
        <w:snapToGrid w:val="0"/>
        <w:spacing w:line="360" w:lineRule="auto"/>
        <w:ind w:firstLine="422" w:firstLineChars="200"/>
        <w:rPr>
          <w:rFonts w:ascii="仿宋" w:hAnsi="仿宋" w:eastAsia="仿宋" w:cs="仿宋"/>
          <w:b/>
          <w:bCs/>
          <w:kern w:val="0"/>
        </w:rPr>
      </w:pPr>
      <w:r>
        <w:rPr>
          <w:rFonts w:hint="eastAsia" w:ascii="仿宋" w:hAnsi="仿宋" w:eastAsia="仿宋" w:cs="仿宋"/>
          <w:b/>
          <w:bCs/>
          <w:kern w:val="0"/>
        </w:rPr>
        <w:t>6.5.1资格审查标准：详见供应商须知前附表1.6。</w:t>
      </w:r>
    </w:p>
    <w:p>
      <w:pPr>
        <w:adjustRightInd w:val="0"/>
        <w:snapToGrid w:val="0"/>
        <w:spacing w:line="360" w:lineRule="auto"/>
        <w:ind w:firstLine="422" w:firstLineChars="200"/>
        <w:rPr>
          <w:rFonts w:ascii="仿宋" w:hAnsi="仿宋" w:eastAsia="仿宋" w:cs="仿宋"/>
          <w:b/>
          <w:bCs/>
          <w:kern w:val="0"/>
        </w:rPr>
      </w:pPr>
      <w:r>
        <w:rPr>
          <w:rFonts w:hint="eastAsia" w:ascii="仿宋" w:hAnsi="仿宋" w:eastAsia="仿宋" w:cs="仿宋"/>
          <w:b/>
          <w:bCs/>
          <w:kern w:val="0"/>
        </w:rPr>
        <w:t>6.5.2符合性审查标准：详见供应商须知前附表6.5.2。</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kern w:val="0"/>
        </w:rPr>
        <w:t>6.5.3响应性审查标准：详见供应商须知前附表6.5.3。</w:t>
      </w:r>
    </w:p>
    <w:p>
      <w:pPr>
        <w:adjustRightInd w:val="0"/>
        <w:snapToGrid w:val="0"/>
        <w:spacing w:line="360" w:lineRule="auto"/>
        <w:ind w:firstLine="422" w:firstLineChars="200"/>
        <w:jc w:val="left"/>
        <w:outlineLvl w:val="3"/>
        <w:rPr>
          <w:rFonts w:ascii="仿宋" w:hAnsi="仿宋" w:eastAsia="仿宋" w:cs="仿宋"/>
          <w:b/>
          <w:bCs/>
          <w:kern w:val="0"/>
        </w:rPr>
      </w:pPr>
      <w:r>
        <w:rPr>
          <w:rFonts w:hint="eastAsia" w:ascii="仿宋" w:hAnsi="仿宋" w:eastAsia="仿宋" w:cs="仿宋"/>
          <w:b/>
          <w:bCs/>
        </w:rPr>
        <w:t>6.6无效响应文件</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响应文件出现下列情形之一的，由磋商小组审核后按无效响应文件不再继续评审：</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（1）响应文件未按照磋商文件要求进行签署、盖章；</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（2）同一供应商提交两个以上不同的响应文件或者响应报价；</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（3）响应报价高于磋商文件设定的预算金额（政府采购最高限价）；</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（4）合同履行期限、质量、付款方式等实质性要求未满足磋商文件要求的；</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（5）磋商有效期不足的；</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（6）响应文件附有采购人不能接受的条件的；</w:t>
      </w:r>
    </w:p>
    <w:bookmarkEnd w:id="26"/>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（7）供应商不符合国家法律法规所规定资格条件；</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（8）供应商不符合磋商文件规定的资格条件。</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6.7响应文件的澄清</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 xml:space="preserve">对响应文件中含义不明确、同类问题表述不一致或者有明显文字和计算错误的内容，磋商小组可以要求供应商作出必要的澄清、说明或者纠正。供应商的澄清、说明或者补正应当采用书面形式，由其法定代表人或其授权的代表签字并加盖公章。并将澄清内容作为附件上传至“安阳市公共资源交易中心/殷都区交易中心电子交易平台”系统中。 </w:t>
      </w:r>
    </w:p>
    <w:p>
      <w:pPr>
        <w:adjustRightInd w:val="0"/>
        <w:snapToGrid w:val="0"/>
        <w:spacing w:line="360" w:lineRule="auto"/>
        <w:ind w:firstLine="420" w:firstLineChars="200"/>
        <w:jc w:val="left"/>
        <w:rPr>
          <w:rFonts w:ascii="仿宋" w:hAnsi="仿宋" w:eastAsia="仿宋" w:cs="仿宋"/>
          <w:b/>
          <w:bCs/>
        </w:rPr>
      </w:pPr>
      <w:r>
        <w:rPr>
          <w:rFonts w:hint="eastAsia" w:ascii="仿宋" w:hAnsi="仿宋" w:eastAsia="仿宋" w:cs="仿宋"/>
        </w:rPr>
        <w:t>供应商的澄清是投标文件的组成部分，并取代投标文件中被澄清的部分。</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供应商的澄清、说明或者补正不得超出响应文件的范围或者改变响应文件的实质性内容。</w:t>
      </w:r>
    </w:p>
    <w:p>
      <w:pPr>
        <w:adjustRightInd w:val="0"/>
        <w:snapToGrid w:val="0"/>
        <w:spacing w:line="360" w:lineRule="auto"/>
        <w:ind w:firstLine="422" w:firstLineChars="200"/>
        <w:outlineLvl w:val="3"/>
        <w:rPr>
          <w:rFonts w:ascii="仿宋" w:hAnsi="仿宋" w:eastAsia="仿宋" w:cs="仿宋"/>
          <w:b/>
          <w:bCs/>
          <w:szCs w:val="21"/>
        </w:rPr>
      </w:pPr>
      <w:r>
        <w:rPr>
          <w:rFonts w:hint="eastAsia" w:ascii="仿宋" w:hAnsi="仿宋" w:eastAsia="仿宋" w:cs="仿宋"/>
          <w:b/>
          <w:bCs/>
        </w:rPr>
        <w:t>6.8错误的修正</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kern w:val="0"/>
        </w:rPr>
        <w:t>6.8.1响应文件报价出现前后不一致的，除磋商文件另有规定外，按照下列规定修正</w:t>
      </w:r>
      <w:r>
        <w:rPr>
          <w:rFonts w:hint="eastAsia" w:ascii="仿宋" w:hAnsi="仿宋" w:eastAsia="仿宋" w:cs="仿宋"/>
        </w:rPr>
        <w:t>：</w:t>
      </w:r>
    </w:p>
    <w:p>
      <w:pPr>
        <w:adjustRightInd w:val="0"/>
        <w:snapToGrid w:val="0"/>
        <w:spacing w:line="360" w:lineRule="auto"/>
        <w:ind w:firstLine="210" w:firstLineChars="100"/>
        <w:rPr>
          <w:rFonts w:ascii="仿宋" w:hAnsi="仿宋" w:eastAsia="仿宋" w:cs="仿宋"/>
          <w:kern w:val="0"/>
        </w:rPr>
      </w:pPr>
      <w:r>
        <w:rPr>
          <w:rFonts w:hint="eastAsia" w:ascii="仿宋" w:hAnsi="仿宋" w:eastAsia="仿宋" w:cs="仿宋"/>
          <w:kern w:val="0"/>
        </w:rPr>
        <w:t>（1）响应文件中报价一览表（报价表）内容与响应文件中相应内容不一致的，以报价一览表（报价表）为准；</w:t>
      </w:r>
    </w:p>
    <w:p>
      <w:pPr>
        <w:widowControl/>
        <w:adjustRightInd w:val="0"/>
        <w:snapToGrid w:val="0"/>
        <w:spacing w:line="360" w:lineRule="auto"/>
        <w:ind w:firstLine="200"/>
        <w:jc w:val="left"/>
        <w:rPr>
          <w:rFonts w:ascii="仿宋" w:hAnsi="仿宋" w:eastAsia="仿宋" w:cs="仿宋"/>
          <w:kern w:val="0"/>
        </w:rPr>
      </w:pPr>
      <w:r>
        <w:rPr>
          <w:rFonts w:hint="eastAsia" w:ascii="仿宋" w:hAnsi="仿宋" w:eastAsia="仿宋" w:cs="仿宋"/>
          <w:kern w:val="0"/>
        </w:rPr>
        <w:t>（2）大写金额和小写金额不一致的，以大写金额为准；</w:t>
      </w:r>
    </w:p>
    <w:p>
      <w:pPr>
        <w:widowControl/>
        <w:adjustRightInd w:val="0"/>
        <w:snapToGrid w:val="0"/>
        <w:spacing w:line="360" w:lineRule="auto"/>
        <w:ind w:firstLine="200"/>
        <w:jc w:val="left"/>
        <w:rPr>
          <w:rFonts w:ascii="仿宋" w:hAnsi="仿宋" w:eastAsia="仿宋" w:cs="仿宋"/>
          <w:kern w:val="0"/>
        </w:rPr>
      </w:pPr>
      <w:r>
        <w:rPr>
          <w:rFonts w:hint="eastAsia" w:ascii="仿宋" w:hAnsi="仿宋" w:eastAsia="仿宋" w:cs="仿宋"/>
          <w:kern w:val="0"/>
        </w:rPr>
        <w:t>（3）单价金额小数点或者百分比有明显错位的，以报价一览表的总价为准，并修改单价；</w:t>
      </w:r>
    </w:p>
    <w:p>
      <w:pPr>
        <w:widowControl/>
        <w:adjustRightInd w:val="0"/>
        <w:snapToGrid w:val="0"/>
        <w:spacing w:line="360" w:lineRule="auto"/>
        <w:ind w:firstLine="210" w:firstLineChars="100"/>
        <w:jc w:val="left"/>
        <w:rPr>
          <w:rFonts w:ascii="仿宋" w:hAnsi="仿宋" w:eastAsia="仿宋" w:cs="仿宋"/>
          <w:kern w:val="0"/>
        </w:rPr>
      </w:pPr>
      <w:r>
        <w:rPr>
          <w:rFonts w:hint="eastAsia" w:ascii="仿宋" w:hAnsi="仿宋" w:eastAsia="仿宋" w:cs="仿宋"/>
          <w:kern w:val="0"/>
        </w:rPr>
        <w:t>（4）总价金额与按单价汇总金额不一致的，以单价金额计算结果为准。</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kern w:val="0"/>
        </w:rPr>
        <w:t>同时出现两种以上不一致的，按照前款规定的顺序修正。修正后的报价经供应商确认后产生约束力，供应商不确认的，其响应报价无效。</w:t>
      </w:r>
    </w:p>
    <w:p>
      <w:pPr>
        <w:adjustRightInd w:val="0"/>
        <w:snapToGrid w:val="0"/>
        <w:spacing w:line="360" w:lineRule="auto"/>
        <w:ind w:firstLine="420" w:firstLineChars="200"/>
        <w:rPr>
          <w:rFonts w:ascii="仿宋" w:hAnsi="仿宋" w:eastAsia="仿宋" w:cs="仿宋"/>
        </w:rPr>
      </w:pPr>
      <w:r>
        <w:rPr>
          <w:rFonts w:hint="eastAsia" w:ascii="仿宋" w:hAnsi="仿宋" w:eastAsia="仿宋" w:cs="仿宋"/>
        </w:rPr>
        <w:t>6.8.2允许修正响应文件中不构成重大偏离的、微小的、非正规的、不一致或不规则的地方；</w:t>
      </w:r>
    </w:p>
    <w:p>
      <w:pPr>
        <w:adjustRightInd w:val="0"/>
        <w:snapToGrid w:val="0"/>
        <w:spacing w:line="360" w:lineRule="auto"/>
        <w:ind w:firstLine="420" w:firstLineChars="200"/>
        <w:jc w:val="left"/>
        <w:rPr>
          <w:rFonts w:ascii="仿宋" w:hAnsi="仿宋" w:eastAsia="仿宋" w:cs="仿宋"/>
        </w:rPr>
      </w:pPr>
      <w:r>
        <w:rPr>
          <w:rFonts w:hint="eastAsia" w:ascii="仿宋" w:hAnsi="仿宋" w:eastAsia="仿宋" w:cs="仿宋"/>
        </w:rPr>
        <w:t>重大偏离是指对磋商文件规定的范围、质量和性能产生重大或不可接受的偏差，或限制了采购代理机构、采购人的权力和供应商的义务的规定，而纠正这些偏离将影响到其它提交实质性响应文件的供应商的公平竞争地位。</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6.9磋商的程序及方法</w:t>
      </w:r>
    </w:p>
    <w:p>
      <w:pPr>
        <w:spacing w:line="360" w:lineRule="auto"/>
        <w:ind w:firstLine="420"/>
        <w:rPr>
          <w:rFonts w:ascii="仿宋" w:hAnsi="仿宋" w:eastAsia="仿宋" w:cs="仿宋"/>
        </w:rPr>
      </w:pPr>
      <w:r>
        <w:rPr>
          <w:rFonts w:hint="eastAsia" w:ascii="仿宋" w:hAnsi="仿宋" w:eastAsia="仿宋" w:cs="仿宋"/>
        </w:rPr>
        <w:t>6.9.1</w:t>
      </w:r>
      <w:r>
        <w:rPr>
          <w:rFonts w:hint="eastAsia" w:ascii="仿宋" w:hAnsi="仿宋" w:eastAsia="仿宋" w:cs="仿宋"/>
          <w:szCs w:val="21"/>
        </w:rPr>
        <w:t>磋商小组按照响应文件提交逆顺序确定参加磋商供应商的磋商顺序</w:t>
      </w:r>
      <w:r>
        <w:rPr>
          <w:rFonts w:hint="eastAsia" w:ascii="仿宋" w:hAnsi="仿宋" w:eastAsia="仿宋" w:cs="仿宋"/>
        </w:rPr>
        <w:t>，所有磋商小组成员集中与供应商按顺序分别单独进行磋商。磋商文件中有实质性变动的，磋商小组应当以书面形式通知所有参加磋商的供应商。磋商小组可根据供应商的技术和商务响应及磋商的情况，要求各供应商分别进行二轮报价，并给予每个正在参加磋商的供应商相同的机会。</w:t>
      </w:r>
    </w:p>
    <w:p>
      <w:pPr>
        <w:spacing w:line="360" w:lineRule="auto"/>
        <w:ind w:firstLine="420" w:firstLineChars="200"/>
        <w:rPr>
          <w:rFonts w:ascii="仿宋" w:hAnsi="仿宋" w:eastAsia="仿宋" w:cs="仿宋"/>
          <w:szCs w:val="21"/>
        </w:rPr>
      </w:pPr>
      <w:r>
        <w:rPr>
          <w:rFonts w:hint="eastAsia" w:ascii="仿宋" w:hAnsi="仿宋" w:eastAsia="仿宋" w:cs="仿宋"/>
          <w:szCs w:val="21"/>
        </w:rPr>
        <w:t>6.9.2磋商文件中有实质性变动的，磋商小组应当以书面形式通知所有参加磋商的供应商。</w:t>
      </w:r>
    </w:p>
    <w:p>
      <w:pPr>
        <w:spacing w:line="360" w:lineRule="auto"/>
        <w:ind w:firstLine="420" w:firstLineChars="200"/>
        <w:rPr>
          <w:rFonts w:ascii="仿宋" w:hAnsi="仿宋" w:eastAsia="仿宋" w:cs="仿宋"/>
          <w:szCs w:val="21"/>
        </w:rPr>
      </w:pPr>
      <w:r>
        <w:rPr>
          <w:rFonts w:hint="eastAsia" w:ascii="仿宋" w:hAnsi="仿宋" w:eastAsia="仿宋" w:cs="仿宋"/>
          <w:szCs w:val="21"/>
        </w:rPr>
        <w:t>6.9.3供应商应当按照磋商文件的变动情况和磋商小组的要求重新提交响应文件，并由其法定代表人或委托代理人签字。</w:t>
      </w:r>
    </w:p>
    <w:p>
      <w:pPr>
        <w:spacing w:line="360" w:lineRule="auto"/>
        <w:ind w:firstLine="420" w:firstLineChars="200"/>
        <w:rPr>
          <w:rFonts w:ascii="仿宋" w:hAnsi="仿宋" w:eastAsia="仿宋" w:cs="仿宋"/>
          <w:szCs w:val="21"/>
        </w:rPr>
      </w:pPr>
      <w:r>
        <w:rPr>
          <w:rFonts w:hint="eastAsia" w:ascii="仿宋" w:hAnsi="仿宋" w:eastAsia="仿宋" w:cs="仿宋"/>
          <w:szCs w:val="21"/>
        </w:rPr>
        <w:t>6.9.4磋商文件能够详细列明采购标的的技术、服务要求的，磋商结束后，磋商小组将要求所有实质性响应的供应商在规定时间内提交最后报价，提交最后报价的供应商不得少于3家。如符合</w:t>
      </w:r>
      <w:r>
        <w:rPr>
          <w:rFonts w:hint="eastAsia" w:ascii="仿宋" w:hAnsi="仿宋" w:eastAsia="仿宋" w:cs="仿宋"/>
        </w:rPr>
        <w:t>《磋商管理办法》规定的相关情形的，</w:t>
      </w:r>
      <w:r>
        <w:rPr>
          <w:rFonts w:hint="eastAsia" w:ascii="仿宋" w:hAnsi="仿宋" w:eastAsia="仿宋" w:cs="仿宋"/>
          <w:szCs w:val="21"/>
        </w:rPr>
        <w:t>提交最后报价的供应商可以为2家。</w:t>
      </w:r>
    </w:p>
    <w:p>
      <w:pPr>
        <w:spacing w:line="360" w:lineRule="auto"/>
        <w:ind w:firstLine="420" w:firstLineChars="200"/>
        <w:rPr>
          <w:rFonts w:ascii="仿宋" w:hAnsi="仿宋" w:eastAsia="仿宋" w:cs="仿宋"/>
          <w:szCs w:val="21"/>
        </w:rPr>
      </w:pPr>
      <w:r>
        <w:rPr>
          <w:rFonts w:hint="eastAsia" w:ascii="仿宋" w:hAnsi="仿宋" w:eastAsia="仿宋" w:cs="仿宋"/>
          <w:szCs w:val="21"/>
        </w:rPr>
        <w:t>6.9.5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w:t>
      </w:r>
      <w:r>
        <w:rPr>
          <w:rFonts w:hint="eastAsia" w:ascii="仿宋" w:hAnsi="仿宋" w:eastAsia="仿宋" w:cs="仿宋"/>
        </w:rPr>
        <w:t>《磋商管理办法》规定的相关情形的，</w:t>
      </w:r>
      <w:r>
        <w:rPr>
          <w:rFonts w:hint="eastAsia" w:ascii="仿宋" w:hAnsi="仿宋" w:eastAsia="仿宋" w:cs="仿宋"/>
          <w:szCs w:val="21"/>
        </w:rPr>
        <w:t>提交最后报价的供应商可以为2家。</w:t>
      </w:r>
    </w:p>
    <w:p>
      <w:pPr>
        <w:spacing w:line="360" w:lineRule="auto"/>
        <w:ind w:firstLine="420" w:firstLineChars="200"/>
        <w:rPr>
          <w:rFonts w:ascii="仿宋" w:hAnsi="仿宋" w:eastAsia="仿宋" w:cs="仿宋"/>
          <w:szCs w:val="21"/>
        </w:rPr>
      </w:pPr>
      <w:r>
        <w:rPr>
          <w:rFonts w:hint="eastAsia" w:ascii="仿宋" w:hAnsi="仿宋" w:eastAsia="仿宋" w:cs="仿宋"/>
          <w:szCs w:val="21"/>
        </w:rPr>
        <w:t>6.9.6最后报价是供应商响应文件的有效组成部分，供应商法定代表人或授权代理人对最后报价书面签字确认。</w:t>
      </w:r>
    </w:p>
    <w:p>
      <w:pPr>
        <w:spacing w:line="360" w:lineRule="auto"/>
        <w:ind w:firstLine="420" w:firstLineChars="200"/>
        <w:rPr>
          <w:rFonts w:ascii="仿宋" w:hAnsi="仿宋" w:eastAsia="仿宋" w:cs="仿宋"/>
          <w:szCs w:val="21"/>
        </w:rPr>
      </w:pPr>
      <w:r>
        <w:rPr>
          <w:rFonts w:hint="eastAsia" w:ascii="仿宋" w:hAnsi="仿宋" w:eastAsia="仿宋" w:cs="仿宋"/>
          <w:szCs w:val="21"/>
        </w:rPr>
        <w:t>6.9.7如磋商小组一致认为某个供应商的报价明显不合理，有降低质量、不能诚信履行的可能时，磋商小组有权决定是否通知供应商限期进行书面解释或提供相关证明材料。若已要求，而该供应商在规定期限内未做出解释、作出的解释不合理或不能提供证明材料的，经磋商小组取得一致意见后，可拒绝该报价。</w:t>
      </w:r>
    </w:p>
    <w:p>
      <w:pPr>
        <w:spacing w:line="360" w:lineRule="auto"/>
        <w:ind w:firstLine="420" w:firstLineChars="200"/>
        <w:rPr>
          <w:rFonts w:hint="default" w:ascii="仿宋" w:hAnsi="仿宋" w:eastAsia="仿宋" w:cs="仿宋"/>
          <w:lang w:val="en-US" w:eastAsia="zh-CN"/>
        </w:rPr>
      </w:pPr>
      <w:r>
        <w:rPr>
          <w:rFonts w:hint="eastAsia" w:ascii="仿宋" w:hAnsi="仿宋" w:eastAsia="仿宋" w:cs="仿宋"/>
        </w:rPr>
        <w:t>6.9.8经磋商确定最终采购需求和提交最后报价的供应商后，由磋商小组采用综合评分法对提交最后报价的供应商的响应文件和最后报价进行综合评分。标准如下:</w:t>
      </w:r>
    </w:p>
    <w:tbl>
      <w:tblPr>
        <w:tblStyle w:val="61"/>
        <w:tblW w:w="836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1502"/>
        <w:gridCol w:w="1559"/>
        <w:gridCol w:w="4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tblHeader/>
        </w:trPr>
        <w:tc>
          <w:tcPr>
            <w:tcW w:w="10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bCs/>
                <w:color w:val="000000"/>
                <w:kern w:val="0"/>
                <w:szCs w:val="21"/>
              </w:rPr>
              <w:t>条款号</w:t>
            </w:r>
          </w:p>
        </w:tc>
        <w:tc>
          <w:tcPr>
            <w:tcW w:w="30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bCs/>
                <w:color w:val="000000"/>
                <w:kern w:val="0"/>
                <w:szCs w:val="21"/>
              </w:rPr>
              <w:t>评分要素</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bCs/>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8" w:hRule="exact"/>
        </w:trPr>
        <w:tc>
          <w:tcPr>
            <w:tcW w:w="10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bCs/>
                <w:color w:val="000000"/>
                <w:kern w:val="0"/>
                <w:szCs w:val="21"/>
              </w:rPr>
              <w:t>2.2.1</w:t>
            </w:r>
          </w:p>
        </w:tc>
        <w:tc>
          <w:tcPr>
            <w:tcW w:w="30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kern w:val="0"/>
                <w:szCs w:val="21"/>
              </w:rPr>
            </w:pPr>
            <w:r>
              <w:rPr>
                <w:rFonts w:hint="eastAsia" w:ascii="Times New Roman" w:hAnsi="Times New Roman" w:eastAsia="仿宋_GB2312" w:cs="Times New Roman"/>
                <w:bCs/>
                <w:color w:val="000000"/>
                <w:kern w:val="0"/>
                <w:szCs w:val="21"/>
              </w:rPr>
              <w:t>磋商</w:t>
            </w:r>
            <w:r>
              <w:rPr>
                <w:rFonts w:ascii="Times New Roman" w:hAnsi="Times New Roman" w:eastAsia="仿宋_GB2312" w:cs="Times New Roman"/>
                <w:bCs/>
                <w:color w:val="000000"/>
                <w:kern w:val="0"/>
                <w:szCs w:val="21"/>
              </w:rPr>
              <w:t>报价</w:t>
            </w:r>
          </w:p>
          <w:p>
            <w:pPr>
              <w:widowControl/>
              <w:adjustRightInd w:val="0"/>
              <w:snapToGrid w:val="0"/>
              <w:jc w:val="center"/>
              <w:rPr>
                <w:rFonts w:ascii="Times New Roman" w:hAnsi="Times New Roman" w:eastAsia="仿宋_GB2312" w:cs="Times New Roman"/>
                <w:kern w:val="0"/>
                <w:szCs w:val="21"/>
              </w:rPr>
            </w:pPr>
            <w:r>
              <w:rPr>
                <w:rFonts w:ascii="Times New Roman" w:hAnsi="Times New Roman" w:eastAsia="仿宋_GB2312" w:cs="Times New Roman"/>
                <w:bCs/>
                <w:color w:val="000000"/>
                <w:kern w:val="0"/>
                <w:szCs w:val="21"/>
              </w:rPr>
              <w:t>（20分）</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价格分统一采用低价优先法计算，即满足</w:t>
            </w:r>
            <w:r>
              <w:rPr>
                <w:rFonts w:hint="eastAsia" w:ascii="Times New Roman" w:hAnsi="Times New Roman" w:eastAsia="仿宋_GB2312" w:cs="Times New Roman"/>
                <w:kern w:val="0"/>
                <w:szCs w:val="21"/>
              </w:rPr>
              <w:t>磋商</w:t>
            </w:r>
            <w:r>
              <w:rPr>
                <w:rFonts w:ascii="Times New Roman" w:hAnsi="Times New Roman" w:eastAsia="仿宋_GB2312" w:cs="Times New Roman"/>
                <w:kern w:val="0"/>
                <w:szCs w:val="21"/>
              </w:rPr>
              <w:t>文件要求且价格最低的</w:t>
            </w:r>
            <w:r>
              <w:rPr>
                <w:rFonts w:hint="eastAsia" w:ascii="Times New Roman" w:hAnsi="Times New Roman" w:eastAsia="仿宋_GB2312" w:cs="Times New Roman"/>
                <w:kern w:val="0"/>
                <w:szCs w:val="21"/>
              </w:rPr>
              <w:t>磋商</w:t>
            </w:r>
            <w:r>
              <w:rPr>
                <w:rFonts w:ascii="Times New Roman" w:hAnsi="Times New Roman" w:eastAsia="仿宋_GB2312" w:cs="Times New Roman"/>
                <w:kern w:val="0"/>
                <w:szCs w:val="21"/>
              </w:rPr>
              <w:t>报价为评标基准价，其价格分为满分。其他</w:t>
            </w:r>
            <w:r>
              <w:rPr>
                <w:rFonts w:hint="eastAsia" w:ascii="Times New Roman" w:hAnsi="Times New Roman" w:eastAsia="仿宋_GB2312" w:cs="Times New Roman"/>
                <w:kern w:val="0"/>
                <w:szCs w:val="21"/>
              </w:rPr>
              <w:t>供应商</w:t>
            </w:r>
            <w:r>
              <w:rPr>
                <w:rFonts w:ascii="Times New Roman" w:hAnsi="Times New Roman" w:eastAsia="仿宋_GB2312" w:cs="Times New Roman"/>
                <w:kern w:val="0"/>
                <w:szCs w:val="21"/>
              </w:rPr>
              <w:t>的价格分统一按照下列公式计算：投标报价得分=（评标基准价/</w:t>
            </w:r>
            <w:r>
              <w:rPr>
                <w:rFonts w:hint="eastAsia" w:ascii="Times New Roman" w:hAnsi="Times New Roman" w:eastAsia="仿宋_GB2312" w:cs="Times New Roman"/>
                <w:kern w:val="0"/>
                <w:szCs w:val="21"/>
              </w:rPr>
              <w:t>磋商</w:t>
            </w:r>
            <w:r>
              <w:rPr>
                <w:rFonts w:ascii="Times New Roman" w:hAnsi="Times New Roman" w:eastAsia="仿宋_GB2312" w:cs="Times New Roman"/>
                <w:kern w:val="0"/>
                <w:szCs w:val="21"/>
              </w:rPr>
              <w:t>报价）×20</w:t>
            </w:r>
          </w:p>
          <w:p>
            <w:pPr>
              <w:widowControl/>
              <w:adjustRightInd w:val="0"/>
              <w:snapToGrid w:val="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价格扣除：</w:t>
            </w:r>
          </w:p>
          <w:p>
            <w:pPr>
              <w:widowControl/>
              <w:adjustRightInd w:val="0"/>
              <w:snapToGrid w:val="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对于中小微企业的相关规定（注：仅适用对于经主管预算单位统筹后未预留份额专门面向中小企业采购的采购项目，以及预留份额项目中的非预留部分采购包）</w:t>
            </w:r>
          </w:p>
          <w:p>
            <w:pPr>
              <w:widowControl/>
              <w:adjustRightInd w:val="0"/>
              <w:snapToGrid w:val="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对于经主管预算单位统筹后未预</w:t>
            </w:r>
            <w:r>
              <w:rPr>
                <w:rFonts w:hint="eastAsia" w:ascii="仿宋" w:hAnsi="仿宋" w:eastAsia="仿宋" w:cs="仿宋"/>
                <w:color w:val="auto"/>
                <w:sz w:val="24"/>
                <w:szCs w:val="24"/>
                <w:highlight w:val="none"/>
              </w:rPr>
              <w:t>留份额专</w:t>
            </w:r>
            <w:r>
              <w:rPr>
                <w:rFonts w:hint="eastAsia" w:ascii="Times New Roman" w:hAnsi="Times New Roman" w:eastAsia="仿宋_GB2312" w:cs="Times New Roman"/>
                <w:kern w:val="0"/>
                <w:szCs w:val="21"/>
              </w:rPr>
              <w:t>门面向中小企业采购的采购项目，以及预留份额项目中的非预留部分采购包，在满足价格扣除条件且在</w:t>
            </w:r>
            <w:r>
              <w:rPr>
                <w:rFonts w:hint="eastAsia" w:ascii="Times New Roman" w:hAnsi="Times New Roman" w:eastAsia="仿宋_GB2312" w:cs="Times New Roman"/>
                <w:kern w:val="0"/>
                <w:szCs w:val="21"/>
                <w:lang w:val="en-US" w:eastAsia="zh-CN"/>
              </w:rPr>
              <w:t>响应</w:t>
            </w:r>
            <w:r>
              <w:rPr>
                <w:rFonts w:hint="eastAsia" w:ascii="Times New Roman" w:hAnsi="Times New Roman" w:eastAsia="仿宋_GB2312" w:cs="Times New Roman"/>
                <w:kern w:val="0"/>
                <w:szCs w:val="21"/>
              </w:rPr>
              <w:t>文件中按要求提交了《中小企业声明函》的</w:t>
            </w:r>
            <w:r>
              <w:rPr>
                <w:rFonts w:hint="eastAsia" w:ascii="Times New Roman" w:hAnsi="Times New Roman" w:eastAsia="仿宋_GB2312" w:cs="Times New Roman"/>
                <w:kern w:val="0"/>
                <w:szCs w:val="21"/>
                <w:lang w:eastAsia="zh-CN"/>
              </w:rPr>
              <w:t>供应商</w:t>
            </w:r>
            <w:r>
              <w:rPr>
                <w:rFonts w:hint="eastAsia" w:ascii="Times New Roman" w:hAnsi="Times New Roman" w:eastAsia="仿宋_GB2312" w:cs="Times New Roman"/>
                <w:kern w:val="0"/>
                <w:szCs w:val="21"/>
              </w:rPr>
              <w:t>，对</w:t>
            </w:r>
            <w:r>
              <w:rPr>
                <w:rFonts w:hint="eastAsia" w:ascii="Times New Roman" w:hAnsi="Times New Roman" w:eastAsia="仿宋_GB2312" w:cs="Times New Roman"/>
                <w:kern w:val="0"/>
                <w:szCs w:val="21"/>
                <w:lang w:eastAsia="zh-CN"/>
              </w:rPr>
              <w:t>响应</w:t>
            </w:r>
            <w:r>
              <w:rPr>
                <w:rFonts w:hint="eastAsia" w:ascii="Times New Roman" w:hAnsi="Times New Roman" w:eastAsia="仿宋_GB2312" w:cs="Times New Roman"/>
                <w:kern w:val="0"/>
                <w:szCs w:val="21"/>
              </w:rPr>
              <w:t>报价给予价格扣除，用扣除后的价格参与评审。</w:t>
            </w:r>
            <w:r>
              <w:rPr>
                <w:rFonts w:hint="eastAsia" w:ascii="Times New Roman" w:hAnsi="Times New Roman" w:eastAsia="仿宋_GB2312" w:cs="Times New Roman"/>
                <w:kern w:val="0"/>
                <w:szCs w:val="21"/>
                <w:lang w:val="en-US" w:eastAsia="zh-CN"/>
              </w:rPr>
              <w:t>响应</w:t>
            </w:r>
            <w:r>
              <w:rPr>
                <w:rFonts w:hint="eastAsia" w:ascii="Times New Roman" w:hAnsi="Times New Roman" w:eastAsia="仿宋_GB2312" w:cs="Times New Roman"/>
                <w:kern w:val="0"/>
                <w:szCs w:val="21"/>
              </w:rPr>
              <w:t>报价扣除比例如下：</w:t>
            </w:r>
          </w:p>
          <w:p>
            <w:pPr>
              <w:widowControl/>
              <w:adjustRightInd w:val="0"/>
              <w:snapToGrid w:val="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小型和微型企业产品</w:t>
            </w:r>
            <w:r>
              <w:rPr>
                <w:rFonts w:hint="eastAsia" w:ascii="Times New Roman" w:hAnsi="Times New Roman" w:eastAsia="仿宋_GB2312" w:cs="Times New Roman"/>
                <w:kern w:val="0"/>
                <w:szCs w:val="21"/>
                <w:lang w:eastAsia="zh-CN"/>
              </w:rPr>
              <w:t>响应</w:t>
            </w:r>
            <w:r>
              <w:rPr>
                <w:rFonts w:hint="eastAsia" w:ascii="Times New Roman" w:hAnsi="Times New Roman" w:eastAsia="仿宋_GB2312" w:cs="Times New Roman"/>
                <w:kern w:val="0"/>
                <w:szCs w:val="21"/>
              </w:rPr>
              <w:t>报价的</w:t>
            </w:r>
            <w:r>
              <w:rPr>
                <w:rFonts w:hint="eastAsia" w:ascii="Times New Roman" w:hAnsi="Times New Roman" w:eastAsia="仿宋_GB2312" w:cs="Times New Roman"/>
                <w:kern w:val="0"/>
                <w:szCs w:val="21"/>
                <w:lang w:val="en-US" w:eastAsia="zh-CN"/>
              </w:rPr>
              <w:t>10</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w:t>
            </w:r>
          </w:p>
          <w:p>
            <w:pPr>
              <w:pStyle w:val="24"/>
            </w:pPr>
          </w:p>
          <w:p>
            <w:pPr>
              <w:pStyle w:val="24"/>
              <w:rPr>
                <w:rFonts w:ascii="Times New Roman" w:hAnsi="Times New Roman" w:eastAsia="仿宋_GB2312" w:cs="Times New Roman"/>
                <w:kern w:val="0"/>
                <w:szCs w:val="21"/>
              </w:rPr>
            </w:pPr>
          </w:p>
          <w:p>
            <w:pPr>
              <w:rPr>
                <w:rFonts w:ascii="Times New Roman" w:hAnsi="Times New Roman" w:eastAsia="仿宋_GB2312" w:cs="Times New Roman"/>
                <w:kern w:val="0"/>
                <w:szCs w:val="21"/>
              </w:rPr>
            </w:pPr>
          </w:p>
          <w:p>
            <w:pPr>
              <w:pStyle w:val="24"/>
              <w:rPr>
                <w:rFonts w:ascii="Times New Roman" w:hAnsi="Times New Roman" w:eastAsia="仿宋_GB2312" w:cs="Times New Roman"/>
                <w:kern w:val="0"/>
                <w:szCs w:val="21"/>
              </w:rPr>
            </w:pPr>
          </w:p>
          <w:p>
            <w:pPr>
              <w:rPr>
                <w:rFonts w:ascii="Times New Roman" w:hAnsi="Times New Roman" w:eastAsia="仿宋_GB2312" w:cs="Times New Roman"/>
                <w:kern w:val="0"/>
                <w:szCs w:val="21"/>
              </w:rPr>
            </w:pPr>
          </w:p>
          <w:p>
            <w:pPr>
              <w:pStyle w:val="24"/>
              <w:rPr>
                <w:rFonts w:ascii="Times New Roman" w:hAnsi="Times New Roman" w:eastAsia="仿宋_GB2312" w:cs="Times New Roman"/>
                <w:kern w:val="0"/>
                <w:szCs w:val="21"/>
              </w:rPr>
            </w:pPr>
          </w:p>
          <w:p>
            <w:pPr>
              <w:rPr>
                <w:rFonts w:ascii="Times New Roman" w:hAnsi="Times New Roman" w:eastAsia="仿宋_GB2312" w:cs="Times New Roman"/>
                <w:kern w:val="0"/>
                <w:szCs w:val="21"/>
              </w:rPr>
            </w:pPr>
          </w:p>
          <w:p>
            <w:pPr>
              <w:pStyle w:val="24"/>
              <w:bidi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364"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82"/>
              <w:jc w:val="center"/>
              <w:rPr>
                <w:rFonts w:ascii="Times New Roman" w:hAnsi="Times New Roman" w:eastAsia="仿宋_GB2312" w:cs="Times New Roman"/>
                <w:color w:val="000000"/>
                <w:kern w:val="0"/>
                <w:szCs w:val="21"/>
              </w:rPr>
            </w:pPr>
            <w:r>
              <w:rPr>
                <w:rFonts w:ascii="Times New Roman" w:hAnsi="Times New Roman" w:eastAsia="仿宋_GB2312" w:cs="Times New Roman"/>
                <w:bCs/>
                <w:color w:val="000000"/>
                <w:kern w:val="0"/>
                <w:szCs w:val="21"/>
              </w:rPr>
              <w:t>商务部分（40分）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050" w:type="dxa"/>
            <w:vMerge w:val="restart"/>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2.2.2</w:t>
            </w:r>
          </w:p>
        </w:tc>
        <w:tc>
          <w:tcPr>
            <w:tcW w:w="1502" w:type="dxa"/>
            <w:vMerge w:val="restart"/>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综合能力</w:t>
            </w:r>
          </w:p>
          <w:p>
            <w:pPr>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（25分）</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单位业绩</w:t>
            </w:r>
          </w:p>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（1</w:t>
            </w:r>
            <w:r>
              <w:rPr>
                <w:rFonts w:hint="eastAsia" w:ascii="Times New Roman" w:hAnsi="Times New Roman" w:eastAsia="仿宋_GB2312" w:cs="Times New Roman"/>
                <w:bCs/>
                <w:kern w:val="0"/>
                <w:szCs w:val="21"/>
              </w:rPr>
              <w:t>5</w:t>
            </w:r>
            <w:r>
              <w:rPr>
                <w:rFonts w:ascii="Times New Roman" w:hAnsi="Times New Roman" w:eastAsia="仿宋_GB2312" w:cs="Times New Roman"/>
                <w:bCs/>
                <w:kern w:val="0"/>
                <w:szCs w:val="21"/>
              </w:rPr>
              <w:t>分）</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1、</w:t>
            </w:r>
            <w:r>
              <w:rPr>
                <w:rFonts w:ascii="Times New Roman" w:hAnsi="Times New Roman" w:eastAsia="仿宋_GB2312" w:cs="Times New Roman"/>
                <w:bCs/>
                <w:kern w:val="0"/>
                <w:szCs w:val="21"/>
              </w:rPr>
              <w:t>2018年以来承担过</w:t>
            </w:r>
            <w:r>
              <w:rPr>
                <w:rFonts w:hint="eastAsia" w:ascii="Times New Roman" w:hAnsi="Times New Roman" w:eastAsia="仿宋_GB2312" w:cs="Times New Roman"/>
                <w:bCs/>
                <w:kern w:val="0"/>
                <w:szCs w:val="21"/>
              </w:rPr>
              <w:t>水源地调整或者规划、水源地安全评估等项目</w:t>
            </w:r>
            <w:r>
              <w:rPr>
                <w:rFonts w:ascii="Times New Roman" w:hAnsi="Times New Roman" w:eastAsia="仿宋_GB2312" w:cs="Times New Roman"/>
                <w:bCs/>
                <w:kern w:val="0"/>
                <w:szCs w:val="21"/>
              </w:rPr>
              <w:t>，每一项得</w:t>
            </w:r>
            <w:r>
              <w:rPr>
                <w:rFonts w:hint="eastAsia" w:ascii="Times New Roman" w:hAnsi="Times New Roman" w:eastAsia="仿宋_GB2312" w:cs="Times New Roman"/>
                <w:bCs/>
                <w:kern w:val="0"/>
                <w:szCs w:val="21"/>
              </w:rPr>
              <w:t>2</w:t>
            </w:r>
            <w:r>
              <w:rPr>
                <w:rFonts w:ascii="Times New Roman" w:hAnsi="Times New Roman" w:eastAsia="仿宋_GB2312" w:cs="Times New Roman"/>
                <w:bCs/>
                <w:kern w:val="0"/>
                <w:szCs w:val="21"/>
              </w:rPr>
              <w:t>分，最多得</w:t>
            </w:r>
            <w:r>
              <w:rPr>
                <w:rFonts w:hint="eastAsia" w:ascii="Times New Roman" w:hAnsi="Times New Roman" w:eastAsia="仿宋_GB2312" w:cs="Times New Roman"/>
                <w:bCs/>
                <w:kern w:val="0"/>
                <w:szCs w:val="21"/>
              </w:rPr>
              <w:t>10</w:t>
            </w:r>
            <w:r>
              <w:rPr>
                <w:rFonts w:ascii="Times New Roman" w:hAnsi="Times New Roman" w:eastAsia="仿宋_GB2312" w:cs="Times New Roman"/>
                <w:bCs/>
                <w:kern w:val="0"/>
                <w:szCs w:val="21"/>
              </w:rPr>
              <w:t>分。</w:t>
            </w:r>
          </w:p>
          <w:p>
            <w:pPr>
              <w:widowControl/>
              <w:adjustRightInd w:val="0"/>
              <w:snapToGrid w:val="0"/>
              <w:jc w:val="left"/>
              <w:rPr>
                <w:rFonts w:ascii="Times New Roman" w:hAnsi="Times New Roman" w:eastAsia="仿宋_GB2312" w:cs="Times New Roman"/>
                <w:bCs/>
                <w:szCs w:val="21"/>
              </w:rPr>
            </w:pPr>
            <w:r>
              <w:rPr>
                <w:rFonts w:hint="eastAsia" w:ascii="Times New Roman" w:hAnsi="Times New Roman" w:eastAsia="仿宋_GB2312" w:cs="Times New Roman"/>
                <w:bCs/>
                <w:szCs w:val="21"/>
              </w:rPr>
              <w:t>2、承担的水源地项目获得主管部门批复或者采用的，每一项得1分、最多得5分，（提供批复文件扫描件）。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050"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02"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获奖情况</w:t>
            </w:r>
          </w:p>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w:t>
            </w:r>
            <w:r>
              <w:rPr>
                <w:rFonts w:hint="eastAsia" w:ascii="Times New Roman" w:hAnsi="Times New Roman" w:eastAsia="仿宋_GB2312" w:cs="Times New Roman"/>
                <w:bCs/>
                <w:kern w:val="0"/>
                <w:szCs w:val="21"/>
              </w:rPr>
              <w:t>6</w:t>
            </w:r>
            <w:r>
              <w:rPr>
                <w:rFonts w:ascii="Times New Roman" w:hAnsi="Times New Roman" w:eastAsia="仿宋_GB2312" w:cs="Times New Roman"/>
                <w:bCs/>
                <w:kern w:val="0"/>
                <w:szCs w:val="21"/>
              </w:rPr>
              <w:t>分）</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t>2018年以来获得省部级奖励（水生态、水资源等相关项目）一等奖得</w:t>
            </w:r>
            <w:r>
              <w:rPr>
                <w:rFonts w:hint="eastAsia" w:eastAsia="仿宋_GB2312" w:cs="Times New Roman"/>
                <w:bCs/>
                <w:kern w:val="0"/>
                <w:szCs w:val="21"/>
                <w:lang w:val="en-US" w:eastAsia="zh-CN"/>
              </w:rPr>
              <w:t>6</w:t>
            </w:r>
            <w:r>
              <w:rPr>
                <w:rFonts w:ascii="Times New Roman" w:hAnsi="Times New Roman" w:eastAsia="仿宋_GB2312" w:cs="Times New Roman"/>
                <w:bCs/>
                <w:kern w:val="0"/>
                <w:szCs w:val="21"/>
              </w:rPr>
              <w:t>分、二等奖得</w:t>
            </w:r>
            <w:r>
              <w:rPr>
                <w:rFonts w:hint="eastAsia" w:eastAsia="仿宋_GB2312" w:cs="Times New Roman"/>
                <w:bCs/>
                <w:kern w:val="0"/>
                <w:szCs w:val="21"/>
                <w:lang w:val="en-US" w:eastAsia="zh-CN"/>
              </w:rPr>
              <w:t>4</w:t>
            </w:r>
            <w:r>
              <w:rPr>
                <w:rFonts w:ascii="Times New Roman" w:hAnsi="Times New Roman" w:eastAsia="仿宋_GB2312" w:cs="Times New Roman"/>
                <w:bCs/>
                <w:kern w:val="0"/>
                <w:szCs w:val="21"/>
              </w:rPr>
              <w:t>分、三等奖得</w:t>
            </w:r>
            <w:r>
              <w:rPr>
                <w:rFonts w:hint="eastAsia" w:eastAsia="仿宋_GB2312" w:cs="Times New Roman"/>
                <w:bCs/>
                <w:kern w:val="0"/>
                <w:szCs w:val="21"/>
                <w:lang w:val="en-US" w:eastAsia="zh-CN"/>
              </w:rPr>
              <w:t>2</w:t>
            </w:r>
            <w:r>
              <w:rPr>
                <w:rFonts w:ascii="Times New Roman" w:hAnsi="Times New Roman" w:eastAsia="仿宋_GB2312" w:cs="Times New Roman"/>
                <w:bCs/>
                <w:kern w:val="0"/>
                <w:szCs w:val="21"/>
              </w:rPr>
              <w:t>分；（</w:t>
            </w:r>
            <w:r>
              <w:rPr>
                <w:rFonts w:hint="eastAsia" w:ascii="Times New Roman" w:hAnsi="Times New Roman" w:eastAsia="仿宋_GB2312" w:cs="Times New Roman"/>
                <w:bCs/>
                <w:kern w:val="0"/>
                <w:szCs w:val="21"/>
              </w:rPr>
              <w:t>提供获奖证书扫描件</w:t>
            </w:r>
            <w:r>
              <w:rPr>
                <w:rFonts w:ascii="Times New Roman" w:hAnsi="Times New Roman" w:eastAsia="仿宋_GB2312" w:cs="Times New Roman"/>
                <w:bCs/>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1050"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02"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水平评价或资质能力（</w:t>
            </w:r>
            <w:r>
              <w:rPr>
                <w:rFonts w:hint="eastAsia" w:ascii="Times New Roman" w:hAnsi="Times New Roman" w:eastAsia="仿宋_GB2312" w:cs="Times New Roman"/>
                <w:bCs/>
                <w:kern w:val="0"/>
                <w:szCs w:val="21"/>
              </w:rPr>
              <w:t>4分</w:t>
            </w:r>
            <w:r>
              <w:rPr>
                <w:rFonts w:ascii="Times New Roman" w:hAnsi="Times New Roman" w:eastAsia="仿宋_GB2312" w:cs="Times New Roman"/>
                <w:bCs/>
                <w:kern w:val="0"/>
                <w:szCs w:val="21"/>
              </w:rPr>
              <w:t>）</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t>具有水文水资源调查评价甲级资质（水平评价）证书</w:t>
            </w:r>
            <w:r>
              <w:rPr>
                <w:rFonts w:hint="eastAsia" w:eastAsia="仿宋_GB2312" w:cs="Times New Roman"/>
                <w:bCs/>
                <w:kern w:val="0"/>
                <w:szCs w:val="21"/>
                <w:lang w:val="en-US" w:eastAsia="zh-CN"/>
              </w:rPr>
              <w:t>且项目负责人具有水利类专业高级及以上职称</w:t>
            </w:r>
            <w:r>
              <w:rPr>
                <w:rFonts w:ascii="Times New Roman" w:hAnsi="Times New Roman" w:eastAsia="仿宋_GB2312" w:cs="Times New Roman"/>
                <w:bCs/>
                <w:kern w:val="0"/>
                <w:szCs w:val="21"/>
              </w:rPr>
              <w:t>得</w:t>
            </w:r>
            <w:r>
              <w:rPr>
                <w:rFonts w:hint="eastAsia" w:ascii="Times New Roman" w:hAnsi="Times New Roman" w:eastAsia="仿宋_GB2312" w:cs="Times New Roman"/>
                <w:bCs/>
                <w:kern w:val="0"/>
                <w:szCs w:val="21"/>
              </w:rPr>
              <w:t>2分；具有建设项目水资源论证甲级资质（水平评价）得1分；具有规划水资源论证甲级资质（水平评价）得1分。（提供证书扫描件）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50"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02"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项目负责人</w:t>
            </w:r>
            <w:r>
              <w:rPr>
                <w:rFonts w:hint="eastAsia" w:ascii="Times New Roman" w:hAnsi="Times New Roman" w:eastAsia="仿宋_GB2312" w:cs="Times New Roman"/>
                <w:bCs/>
                <w:color w:val="000000"/>
                <w:kern w:val="0"/>
                <w:szCs w:val="21"/>
              </w:rPr>
              <w:t>能力</w:t>
            </w:r>
          </w:p>
          <w:p>
            <w:pPr>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（8分）</w:t>
            </w:r>
          </w:p>
        </w:tc>
        <w:tc>
          <w:tcPr>
            <w:tcW w:w="1559" w:type="dxa"/>
            <w:tcBorders>
              <w:top w:val="single" w:color="auto" w:sz="4" w:space="0"/>
              <w:left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项目负责人获奖</w:t>
            </w:r>
          </w:p>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(6分)</w:t>
            </w:r>
          </w:p>
        </w:tc>
        <w:tc>
          <w:tcPr>
            <w:tcW w:w="4253" w:type="dxa"/>
            <w:tcBorders>
              <w:top w:val="single" w:color="auto" w:sz="4" w:space="0"/>
              <w:left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t>项目负责人获得省部级奖励（水生态、水资源类相关项目）每一项得2分，</w:t>
            </w:r>
            <w:r>
              <w:rPr>
                <w:rFonts w:hint="eastAsia" w:ascii="Times New Roman" w:hAnsi="Times New Roman" w:eastAsia="仿宋_GB2312" w:cs="Times New Roman"/>
                <w:bCs/>
                <w:kern w:val="0"/>
                <w:szCs w:val="21"/>
              </w:rPr>
              <w:t>最多得6分</w:t>
            </w:r>
            <w:r>
              <w:rPr>
                <w:rFonts w:ascii="Times New Roman" w:hAnsi="Times New Roman" w:eastAsia="仿宋_GB2312" w:cs="Times New Roman"/>
                <w:bCs/>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50"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02"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59" w:type="dxa"/>
            <w:tcBorders>
              <w:top w:val="single" w:color="auto" w:sz="4" w:space="0"/>
              <w:left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项目负责人类似业绩经历（2分）</w:t>
            </w:r>
          </w:p>
        </w:tc>
        <w:tc>
          <w:tcPr>
            <w:tcW w:w="4253" w:type="dxa"/>
            <w:tcBorders>
              <w:top w:val="single" w:color="auto" w:sz="4" w:space="0"/>
              <w:left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拟投入的项目负责人每主持过</w:t>
            </w:r>
            <w:r>
              <w:rPr>
                <w:rFonts w:ascii="Times New Roman" w:hAnsi="Times New Roman" w:eastAsia="仿宋_GB2312" w:cs="Times New Roman"/>
                <w:bCs/>
                <w:kern w:val="0"/>
                <w:szCs w:val="21"/>
              </w:rPr>
              <w:t>1</w:t>
            </w:r>
            <w:r>
              <w:rPr>
                <w:rFonts w:hint="eastAsia" w:ascii="Times New Roman" w:hAnsi="Times New Roman" w:eastAsia="仿宋_GB2312" w:cs="Times New Roman"/>
                <w:bCs/>
                <w:kern w:val="0"/>
                <w:szCs w:val="21"/>
              </w:rPr>
              <w:t>项水源地项目得</w:t>
            </w:r>
            <w:r>
              <w:rPr>
                <w:rFonts w:ascii="Times New Roman" w:hAnsi="Times New Roman" w:eastAsia="仿宋_GB2312" w:cs="Times New Roman"/>
                <w:bCs/>
                <w:kern w:val="0"/>
                <w:szCs w:val="21"/>
              </w:rPr>
              <w:t>1</w:t>
            </w:r>
            <w:r>
              <w:rPr>
                <w:rFonts w:hint="eastAsia" w:ascii="Times New Roman" w:hAnsi="Times New Roman" w:eastAsia="仿宋_GB2312" w:cs="Times New Roman"/>
                <w:bCs/>
                <w:kern w:val="0"/>
                <w:szCs w:val="21"/>
              </w:rPr>
              <w:t>分，最多得</w:t>
            </w:r>
            <w:r>
              <w:rPr>
                <w:rFonts w:ascii="Times New Roman" w:hAnsi="Times New Roman" w:eastAsia="仿宋_GB2312" w:cs="Times New Roman"/>
                <w:bCs/>
                <w:kern w:val="0"/>
                <w:szCs w:val="21"/>
              </w:rPr>
              <w:t>2</w:t>
            </w:r>
            <w:r>
              <w:rPr>
                <w:rFonts w:hint="eastAsia" w:ascii="Times New Roman" w:hAnsi="Times New Roman" w:eastAsia="仿宋_GB2312" w:cs="Times New Roman"/>
                <w:bCs/>
                <w:kern w:val="0"/>
                <w:szCs w:val="21"/>
              </w:rPr>
              <w:t>分。（以中标通知书、合同和网站下载的中标公示显示的项目负责人为准；如不显示，需出具委托单位的项目负责人证明）。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050"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kern w:val="0"/>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方案编制组的各专业人员配备</w:t>
            </w:r>
          </w:p>
          <w:p>
            <w:pPr>
              <w:widowControl/>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（7分）</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szCs w:val="21"/>
              </w:rPr>
              <w:t>人才投入及专业配置</w:t>
            </w:r>
          </w:p>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（7分）</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t>1、</w:t>
            </w:r>
            <w:r>
              <w:rPr>
                <w:rFonts w:ascii="Times New Roman" w:hAnsi="Times New Roman" w:eastAsia="仿宋_GB2312" w:cs="Times New Roman"/>
                <w:szCs w:val="21"/>
              </w:rPr>
              <w:t>投入项目主要技术人员专业应为</w:t>
            </w:r>
            <w:r>
              <w:rPr>
                <w:rFonts w:hint="eastAsia" w:ascii="Times New Roman" w:hAnsi="Times New Roman" w:eastAsia="仿宋_GB2312" w:cs="Times New Roman"/>
                <w:szCs w:val="21"/>
              </w:rPr>
              <w:t>水利工程、环境工程</w:t>
            </w:r>
            <w:r>
              <w:rPr>
                <w:rFonts w:ascii="Times New Roman" w:hAnsi="Times New Roman" w:eastAsia="仿宋_GB2312" w:cs="Times New Roman"/>
                <w:szCs w:val="21"/>
              </w:rPr>
              <w:t>等相关专业，且数量不少于6人；</w:t>
            </w:r>
            <w:r>
              <w:rPr>
                <w:rFonts w:hint="eastAsia" w:ascii="Times New Roman" w:hAnsi="Times New Roman" w:eastAsia="仿宋_GB2312" w:cs="Times New Roman"/>
                <w:szCs w:val="21"/>
              </w:rPr>
              <w:t>所投入人员能涵盖以上2个专业、且人数</w:t>
            </w:r>
            <w:r>
              <w:rPr>
                <w:rFonts w:ascii="Times New Roman" w:hAnsi="Times New Roman" w:eastAsia="仿宋_GB2312" w:cs="Times New Roman"/>
                <w:szCs w:val="21"/>
              </w:rPr>
              <w:t>满足项目需求的，</w:t>
            </w:r>
            <w:r>
              <w:rPr>
                <w:rFonts w:ascii="Times New Roman" w:hAnsi="Times New Roman" w:eastAsia="仿宋_GB2312" w:cs="Times New Roman"/>
                <w:bCs/>
                <w:kern w:val="0"/>
                <w:szCs w:val="21"/>
              </w:rPr>
              <w:t>得2分；</w:t>
            </w:r>
            <w:r>
              <w:rPr>
                <w:rFonts w:hint="eastAsia" w:ascii="Times New Roman" w:hAnsi="Times New Roman" w:eastAsia="仿宋_GB2312" w:cs="Times New Roman"/>
                <w:bCs/>
                <w:kern w:val="0"/>
                <w:szCs w:val="21"/>
              </w:rPr>
              <w:t>涵盖1个专业</w:t>
            </w:r>
            <w:r>
              <w:rPr>
                <w:rFonts w:ascii="Times New Roman" w:hAnsi="Times New Roman" w:eastAsia="仿宋_GB2312" w:cs="Times New Roman"/>
                <w:bCs/>
                <w:kern w:val="0"/>
                <w:szCs w:val="21"/>
              </w:rPr>
              <w:t>、数量基本满足项目需求的得1分；不满足项目要求不得分。</w:t>
            </w:r>
          </w:p>
          <w:p>
            <w:pPr>
              <w:widowControl/>
              <w:adjustRightInd w:val="0"/>
              <w:snapToGrid w:val="0"/>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t>2、项目组人员配备具有水利类</w:t>
            </w:r>
            <w:r>
              <w:rPr>
                <w:rFonts w:hint="eastAsia" w:ascii="Times New Roman" w:hAnsi="Times New Roman" w:eastAsia="仿宋_GB2312" w:cs="Times New Roman"/>
                <w:bCs/>
                <w:kern w:val="0"/>
                <w:szCs w:val="21"/>
              </w:rPr>
              <w:t>、环境工程类</w:t>
            </w:r>
            <w:r>
              <w:rPr>
                <w:rFonts w:ascii="Times New Roman" w:hAnsi="Times New Roman" w:eastAsia="仿宋_GB2312" w:cs="Times New Roman"/>
                <w:bCs/>
                <w:kern w:val="0"/>
                <w:szCs w:val="21"/>
              </w:rPr>
              <w:t>专业高级技术职称的（不含项目负责人），每有1人加1分，最多加5分，没有不得分。职称证书工作单位与</w:t>
            </w:r>
            <w:r>
              <w:rPr>
                <w:rFonts w:hint="eastAsia" w:ascii="Times New Roman" w:hAnsi="Times New Roman" w:eastAsia="仿宋_GB2312" w:cs="Times New Roman"/>
                <w:bCs/>
                <w:kern w:val="0"/>
                <w:szCs w:val="21"/>
              </w:rPr>
              <w:t>供应商</w:t>
            </w:r>
            <w:r>
              <w:rPr>
                <w:rFonts w:ascii="Times New Roman" w:hAnsi="Times New Roman" w:eastAsia="仿宋_GB2312" w:cs="Times New Roman"/>
                <w:bCs/>
                <w:kern w:val="0"/>
                <w:szCs w:val="21"/>
              </w:rPr>
              <w:t>名称一致（若不一致，需提供社保证明）。</w:t>
            </w:r>
          </w:p>
          <w:p>
            <w:pPr>
              <w:widowControl/>
              <w:adjustRightInd w:val="0"/>
              <w:snapToGrid w:val="0"/>
              <w:jc w:val="left"/>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注：专业以毕业证（学位证）或者职称证显示专业为准。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364"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技术部分（40分）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2.2.3</w:t>
            </w:r>
          </w:p>
        </w:tc>
        <w:tc>
          <w:tcPr>
            <w:tcW w:w="15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项目理解</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对</w:t>
            </w:r>
            <w:r>
              <w:rPr>
                <w:rFonts w:hint="eastAsia" w:ascii="Times New Roman" w:hAnsi="Times New Roman" w:eastAsia="仿宋_GB2312" w:cs="Times New Roman"/>
                <w:bCs/>
                <w:kern w:val="0"/>
                <w:szCs w:val="21"/>
              </w:rPr>
              <w:t>项目</w:t>
            </w:r>
            <w:r>
              <w:rPr>
                <w:rFonts w:ascii="Times New Roman" w:hAnsi="Times New Roman" w:eastAsia="仿宋_GB2312" w:cs="Times New Roman"/>
                <w:bCs/>
                <w:kern w:val="0"/>
                <w:szCs w:val="21"/>
              </w:rPr>
              <w:t>的理解</w:t>
            </w:r>
          </w:p>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（10分）</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20" w:firstLineChars="200"/>
              <w:jc w:val="left"/>
              <w:rPr>
                <w:rFonts w:ascii="Times New Roman" w:hAnsi="Times New Roman" w:eastAsia="仿宋_GB2312" w:cs="Times New Roman"/>
                <w:bCs/>
                <w:kern w:val="0"/>
                <w:szCs w:val="21"/>
              </w:rPr>
            </w:pPr>
            <w:r>
              <w:rPr>
                <w:rFonts w:ascii="Times New Roman" w:hAnsi="Times New Roman" w:eastAsia="仿宋_GB2312" w:cs="Times New Roman"/>
                <w:szCs w:val="21"/>
              </w:rPr>
              <w:t>对</w:t>
            </w:r>
            <w:r>
              <w:rPr>
                <w:rFonts w:hint="eastAsia" w:ascii="Times New Roman" w:hAnsi="Times New Roman" w:eastAsia="仿宋_GB2312" w:cs="Times New Roman"/>
                <w:szCs w:val="21"/>
              </w:rPr>
              <w:t>水源地调整项目</w:t>
            </w:r>
            <w:r>
              <w:rPr>
                <w:rFonts w:ascii="Times New Roman" w:hAnsi="Times New Roman" w:eastAsia="仿宋_GB2312" w:cs="Times New Roman"/>
                <w:szCs w:val="21"/>
              </w:rPr>
              <w:t>工作背景、目标、重点及难点理解准确、分析清晰，得10.0分；理解、分析一般的，得7.0分；理解及分析有偏差的，得</w:t>
            </w:r>
            <w:r>
              <w:rPr>
                <w:rFonts w:hint="eastAsia" w:eastAsia="仿宋_GB2312" w:cs="Times New Roman"/>
                <w:szCs w:val="21"/>
                <w:lang w:val="en-US" w:eastAsia="zh-CN"/>
              </w:rPr>
              <w:t>4</w:t>
            </w:r>
            <w:r>
              <w:rPr>
                <w:rFonts w:ascii="Times New Roman" w:hAnsi="Times New Roman" w:eastAsia="仿宋_GB2312" w:cs="Times New Roman"/>
                <w:szCs w:val="21"/>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工作思路</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kern w:val="0"/>
                <w:szCs w:val="21"/>
              </w:rPr>
            </w:pPr>
            <w:r>
              <w:rPr>
                <w:rFonts w:hint="eastAsia" w:ascii="Times New Roman" w:hAnsi="Times New Roman" w:eastAsia="仿宋_GB2312" w:cs="Times New Roman"/>
                <w:bCs/>
                <w:kern w:val="0"/>
                <w:szCs w:val="21"/>
              </w:rPr>
              <w:t>调整</w:t>
            </w:r>
            <w:r>
              <w:rPr>
                <w:rFonts w:ascii="Times New Roman" w:hAnsi="Times New Roman" w:eastAsia="仿宋_GB2312" w:cs="Times New Roman"/>
                <w:bCs/>
                <w:kern w:val="0"/>
                <w:szCs w:val="21"/>
              </w:rPr>
              <w:t>思路及技术路线</w:t>
            </w:r>
          </w:p>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（8分）</w:t>
            </w:r>
          </w:p>
        </w:tc>
        <w:tc>
          <w:tcPr>
            <w:tcW w:w="4253" w:type="dxa"/>
            <w:tcBorders>
              <w:top w:val="single" w:color="auto" w:sz="4" w:space="0"/>
              <w:left w:val="single" w:color="auto" w:sz="4" w:space="0"/>
              <w:bottom w:val="single" w:color="auto" w:sz="4" w:space="0"/>
              <w:right w:val="single" w:color="auto" w:sz="4" w:space="0"/>
            </w:tcBorders>
            <w:vAlign w:val="center"/>
          </w:tcPr>
          <w:p>
            <w:pPr>
              <w:pStyle w:val="88"/>
              <w:rPr>
                <w:rFonts w:ascii="Times New Roman" w:hAnsi="Times New Roman" w:eastAsia="仿宋_GB2312"/>
                <w:bCs/>
                <w:kern w:val="0"/>
                <w:szCs w:val="21"/>
              </w:rPr>
            </w:pPr>
            <w:r>
              <w:rPr>
                <w:rFonts w:hint="eastAsia" w:ascii="Times New Roman" w:hAnsi="Times New Roman" w:eastAsia="仿宋_GB2312"/>
                <w:szCs w:val="21"/>
              </w:rPr>
              <w:t>调整</w:t>
            </w:r>
            <w:r>
              <w:rPr>
                <w:rFonts w:ascii="Times New Roman" w:hAnsi="Times New Roman" w:eastAsia="仿宋_GB2312"/>
                <w:szCs w:val="21"/>
              </w:rPr>
              <w:t>思路合理，技术路线科学，符合本项工作任务要求得8.0分，一般得5.0分，否则得</w:t>
            </w:r>
            <w:r>
              <w:rPr>
                <w:rFonts w:hint="eastAsia" w:ascii="Times New Roman" w:hAnsi="Times New Roman" w:eastAsia="仿宋_GB2312"/>
                <w:szCs w:val="21"/>
                <w:lang w:val="en-US" w:eastAsia="zh-CN"/>
              </w:rPr>
              <w:t>2.0</w:t>
            </w:r>
            <w:r>
              <w:rPr>
                <w:rFonts w:ascii="Times New Roman" w:hAnsi="Times New Roman" w:eastAsia="仿宋_GB2312"/>
                <w:szCs w:val="21"/>
              </w:rPr>
              <w:t>分</w:t>
            </w:r>
            <w:r>
              <w:rPr>
                <w:rFonts w:ascii="Times New Roman" w:hAnsi="Times New Roman" w:eastAsia="仿宋_GB2312"/>
                <w:bCs/>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工作内容</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工作内容及技术方法</w:t>
            </w:r>
          </w:p>
          <w:p>
            <w:pPr>
              <w:widowControl/>
              <w:adjustRightInd w:val="0"/>
              <w:snapToGrid w:val="0"/>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t>（10分）</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20" w:firstLineChars="200"/>
              <w:jc w:val="left"/>
              <w:rPr>
                <w:rFonts w:ascii="Times New Roman" w:hAnsi="Times New Roman" w:eastAsia="仿宋_GB2312" w:cs="Times New Roman"/>
                <w:bCs/>
                <w:kern w:val="0"/>
                <w:szCs w:val="21"/>
              </w:rPr>
            </w:pPr>
            <w:r>
              <w:rPr>
                <w:rFonts w:ascii="Times New Roman" w:hAnsi="Times New Roman" w:eastAsia="仿宋_GB2312" w:cs="Times New Roman"/>
                <w:szCs w:val="21"/>
              </w:rPr>
              <w:t>工作内容具体全面，思路及技术方法合理，得10.0分，一般得7.0分，否则得</w:t>
            </w:r>
            <w:r>
              <w:rPr>
                <w:rFonts w:hint="eastAsia" w:eastAsia="仿宋_GB2312" w:cs="Times New Roman"/>
                <w:szCs w:val="21"/>
                <w:lang w:val="en-US" w:eastAsia="zh-CN"/>
              </w:rPr>
              <w:t>4.0</w:t>
            </w:r>
            <w:r>
              <w:rPr>
                <w:rFonts w:ascii="Times New Roman" w:hAnsi="Times New Roman" w:eastAsia="仿宋_GB2312" w:cs="Times New Roman"/>
                <w:szCs w:val="21"/>
              </w:rPr>
              <w:t>分</w:t>
            </w:r>
            <w:r>
              <w:rPr>
                <w:rFonts w:ascii="Times New Roman" w:hAnsi="Times New Roman" w:eastAsia="仿宋_GB2312" w:cs="Times New Roman"/>
                <w:bCs/>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02" w:type="dxa"/>
            <w:vMerge w:val="restart"/>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工作计划及措施保障</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实施计划及进度</w:t>
            </w:r>
          </w:p>
          <w:p>
            <w:pPr>
              <w:widowControl/>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（3分）</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20" w:firstLineChars="200"/>
              <w:jc w:val="left"/>
              <w:rPr>
                <w:rFonts w:ascii="Times New Roman" w:hAnsi="Times New Roman" w:eastAsia="仿宋_GB2312" w:cs="Times New Roman"/>
                <w:bCs/>
                <w:color w:val="000000"/>
                <w:kern w:val="0"/>
                <w:szCs w:val="21"/>
              </w:rPr>
            </w:pPr>
            <w:r>
              <w:rPr>
                <w:rFonts w:ascii="Times New Roman" w:hAnsi="Times New Roman" w:eastAsia="仿宋_GB2312" w:cs="Times New Roman"/>
                <w:szCs w:val="21"/>
              </w:rPr>
              <w:t>工作计划制定合理，符合项目总体要求的，得</w:t>
            </w:r>
            <w:r>
              <w:rPr>
                <w:rFonts w:hint="eastAsia" w:eastAsia="仿宋_GB2312" w:cs="Times New Roman"/>
                <w:szCs w:val="21"/>
                <w:lang w:val="en-US" w:eastAsia="zh-CN"/>
              </w:rPr>
              <w:t>3</w:t>
            </w:r>
            <w:r>
              <w:rPr>
                <w:rFonts w:ascii="Times New Roman" w:hAnsi="Times New Roman" w:eastAsia="仿宋_GB2312" w:cs="Times New Roman"/>
                <w:szCs w:val="21"/>
              </w:rPr>
              <w:t>分；工作计划制定</w:t>
            </w:r>
            <w:r>
              <w:rPr>
                <w:rFonts w:hint="eastAsia" w:ascii="Times New Roman" w:hAnsi="Times New Roman" w:eastAsia="仿宋_GB2312" w:cs="Times New Roman"/>
                <w:szCs w:val="21"/>
              </w:rPr>
              <w:t>基本</w:t>
            </w:r>
            <w:r>
              <w:rPr>
                <w:rFonts w:ascii="Times New Roman" w:hAnsi="Times New Roman" w:eastAsia="仿宋_GB2312" w:cs="Times New Roman"/>
                <w:szCs w:val="21"/>
              </w:rPr>
              <w:t>符合项目总体要求</w:t>
            </w:r>
            <w:r>
              <w:rPr>
                <w:rFonts w:hint="eastAsia" w:ascii="Times New Roman" w:hAnsi="Times New Roman" w:eastAsia="仿宋_GB2312" w:cs="Times New Roman"/>
                <w:szCs w:val="21"/>
              </w:rPr>
              <w:t>的</w:t>
            </w:r>
            <w:r>
              <w:rPr>
                <w:rFonts w:ascii="Times New Roman" w:hAnsi="Times New Roman" w:eastAsia="仿宋_GB2312" w:cs="Times New Roman"/>
                <w:szCs w:val="21"/>
              </w:rPr>
              <w:t>，得1.5分；工作计划制定不符合项目总体要求或者无工作计划的，不得分。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02"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编制质量及保证措施</w:t>
            </w:r>
          </w:p>
          <w:p>
            <w:pPr>
              <w:widowControl/>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（4分）</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20" w:firstLineChars="200"/>
              <w:jc w:val="left"/>
              <w:rPr>
                <w:rFonts w:ascii="Times New Roman" w:hAnsi="Times New Roman" w:eastAsia="仿宋_GB2312" w:cs="Times New Roman"/>
                <w:bCs/>
                <w:color w:val="000000"/>
                <w:kern w:val="0"/>
                <w:szCs w:val="21"/>
              </w:rPr>
            </w:pPr>
            <w:r>
              <w:rPr>
                <w:rFonts w:ascii="Times New Roman" w:hAnsi="Times New Roman" w:eastAsia="仿宋_GB2312" w:cs="Times New Roman"/>
                <w:szCs w:val="21"/>
              </w:rPr>
              <w:t>有可靠和可操作性的质量保证措施，得4.0分；质量保证措施</w:t>
            </w:r>
            <w:r>
              <w:rPr>
                <w:rFonts w:hint="eastAsia" w:ascii="Times New Roman" w:hAnsi="Times New Roman" w:eastAsia="仿宋_GB2312" w:cs="Times New Roman"/>
                <w:szCs w:val="21"/>
              </w:rPr>
              <w:t>或可操作性基本</w:t>
            </w:r>
            <w:r>
              <w:rPr>
                <w:rFonts w:ascii="Times New Roman" w:hAnsi="Times New Roman" w:eastAsia="仿宋_GB2312" w:cs="Times New Roman"/>
                <w:szCs w:val="21"/>
              </w:rPr>
              <w:t>可靠</w:t>
            </w:r>
            <w:r>
              <w:rPr>
                <w:rFonts w:hint="eastAsia" w:ascii="Times New Roman" w:hAnsi="Times New Roman" w:eastAsia="仿宋_GB2312" w:cs="Times New Roman"/>
                <w:szCs w:val="21"/>
              </w:rPr>
              <w:t>的</w:t>
            </w:r>
            <w:r>
              <w:rPr>
                <w:rFonts w:ascii="Times New Roman" w:hAnsi="Times New Roman" w:eastAsia="仿宋_GB2312" w:cs="Times New Roman"/>
                <w:szCs w:val="21"/>
              </w:rPr>
              <w:t>，得</w:t>
            </w:r>
            <w:r>
              <w:rPr>
                <w:rFonts w:hint="eastAsia" w:eastAsia="仿宋_GB2312" w:cs="Times New Roman"/>
                <w:szCs w:val="21"/>
                <w:lang w:val="en-US" w:eastAsia="zh-CN"/>
              </w:rPr>
              <w:t>3</w:t>
            </w:r>
            <w:r>
              <w:rPr>
                <w:rFonts w:ascii="Times New Roman" w:hAnsi="Times New Roman" w:eastAsia="仿宋_GB2312" w:cs="Times New Roman"/>
                <w:szCs w:val="21"/>
              </w:rPr>
              <w:t>.0分；无质量保证措施，或可操作性较差，流于形式，得</w:t>
            </w:r>
            <w:r>
              <w:rPr>
                <w:rFonts w:hint="eastAsia" w:eastAsia="仿宋_GB2312" w:cs="Times New Roman"/>
                <w:szCs w:val="21"/>
                <w:lang w:val="en-US" w:eastAsia="zh-CN"/>
              </w:rPr>
              <w:t>2.0</w:t>
            </w:r>
            <w:r>
              <w:rPr>
                <w:rFonts w:ascii="Times New Roman" w:hAnsi="Times New Roman" w:eastAsia="仿宋_GB2312" w:cs="Times New Roman"/>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0"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02"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s="Times New Roman"/>
                <w:bCs/>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服务承诺</w:t>
            </w:r>
          </w:p>
          <w:p>
            <w:pPr>
              <w:widowControl/>
              <w:adjustRightInd w:val="0"/>
              <w:snapToGrid w:val="0"/>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（5分）</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在项目实施期间，能接受甲方合理的安排和建议并积极配合且有相关承诺</w:t>
            </w:r>
            <w:r>
              <w:rPr>
                <w:rFonts w:ascii="Times New Roman" w:hAnsi="Times New Roman" w:eastAsia="仿宋_GB2312" w:cs="Times New Roman"/>
                <w:bCs/>
                <w:color w:val="000000"/>
                <w:kern w:val="0"/>
                <w:szCs w:val="21"/>
              </w:rPr>
              <w:t>得</w:t>
            </w:r>
            <w:r>
              <w:rPr>
                <w:rFonts w:hint="eastAsia" w:eastAsia="仿宋_GB2312" w:cs="Times New Roman"/>
                <w:bCs/>
                <w:color w:val="000000"/>
                <w:kern w:val="0"/>
                <w:szCs w:val="21"/>
                <w:lang w:val="en-US" w:eastAsia="zh-CN"/>
              </w:rPr>
              <w:t>5.0</w:t>
            </w:r>
            <w:r>
              <w:rPr>
                <w:rFonts w:ascii="Times New Roman" w:hAnsi="Times New Roman" w:eastAsia="仿宋_GB2312" w:cs="Times New Roman"/>
                <w:bCs/>
                <w:color w:val="000000"/>
                <w:kern w:val="0"/>
                <w:szCs w:val="21"/>
              </w:rPr>
              <w:t>分，</w:t>
            </w:r>
            <w:r>
              <w:rPr>
                <w:rFonts w:hint="eastAsia" w:ascii="Times New Roman" w:hAnsi="Times New Roman" w:eastAsia="仿宋_GB2312" w:cs="Times New Roman"/>
                <w:bCs/>
                <w:color w:val="000000"/>
                <w:kern w:val="0"/>
                <w:szCs w:val="21"/>
              </w:rPr>
              <w:t>承诺基本满足甲方需要的得</w:t>
            </w:r>
            <w:r>
              <w:rPr>
                <w:rFonts w:hint="eastAsia" w:eastAsia="仿宋_GB2312" w:cs="Times New Roman"/>
                <w:bCs/>
                <w:color w:val="000000"/>
                <w:kern w:val="0"/>
                <w:szCs w:val="21"/>
                <w:lang w:val="en-US" w:eastAsia="zh-CN"/>
              </w:rPr>
              <w:t>3</w:t>
            </w:r>
            <w:r>
              <w:rPr>
                <w:rFonts w:hint="eastAsia" w:ascii="Times New Roman" w:hAnsi="Times New Roman" w:eastAsia="仿宋_GB2312" w:cs="Times New Roman"/>
                <w:bCs/>
                <w:color w:val="000000"/>
                <w:kern w:val="0"/>
                <w:szCs w:val="21"/>
              </w:rPr>
              <w:t>.0分；</w:t>
            </w:r>
            <w:r>
              <w:rPr>
                <w:rFonts w:ascii="Times New Roman" w:hAnsi="Times New Roman" w:eastAsia="仿宋_GB2312" w:cs="Times New Roman"/>
                <w:bCs/>
                <w:color w:val="000000"/>
                <w:kern w:val="0"/>
                <w:szCs w:val="21"/>
              </w:rPr>
              <w:t>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8364" w:type="dxa"/>
            <w:gridSpan w:val="4"/>
            <w:tcBorders>
              <w:top w:val="single" w:color="auto" w:sz="4" w:space="0"/>
              <w:left w:val="single" w:color="auto" w:sz="4" w:space="0"/>
              <w:bottom w:val="single" w:color="auto" w:sz="4" w:space="0"/>
              <w:right w:val="single" w:color="auto" w:sz="4" w:space="0"/>
            </w:tcBorders>
          </w:tcPr>
          <w:p>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szCs w:val="21"/>
              </w:rPr>
              <w:t>备注：以上项目若不缺项即可得相应分值；若有缺项，该项为0分，</w:t>
            </w:r>
            <w:r>
              <w:rPr>
                <w:rFonts w:hint="eastAsia" w:ascii="Times New Roman" w:hAnsi="Times New Roman" w:eastAsia="仿宋_GB2312" w:cs="Times New Roman"/>
                <w:szCs w:val="21"/>
              </w:rPr>
              <w:t>技术方案打分保留一位小数</w:t>
            </w:r>
            <w:r>
              <w:rPr>
                <w:rFonts w:ascii="Times New Roman" w:hAnsi="Times New Roman" w:eastAsia="仿宋_GB2312" w:cs="Times New Roman"/>
                <w:szCs w:val="21"/>
              </w:rPr>
              <w:t>；</w:t>
            </w:r>
          </w:p>
        </w:tc>
      </w:tr>
    </w:tbl>
    <w:p>
      <w:pPr>
        <w:spacing w:line="360" w:lineRule="auto"/>
        <w:ind w:firstLine="420" w:firstLineChars="200"/>
        <w:rPr>
          <w:rFonts w:hint="eastAsia" w:ascii="仿宋" w:hAnsi="仿宋" w:eastAsia="仿宋" w:cs="仿宋"/>
        </w:rPr>
      </w:pP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6.10评审原则</w:t>
      </w:r>
    </w:p>
    <w:p>
      <w:pPr>
        <w:spacing w:line="360" w:lineRule="auto"/>
        <w:ind w:firstLine="420" w:firstLineChars="200"/>
        <w:rPr>
          <w:rFonts w:ascii="仿宋" w:hAnsi="仿宋" w:eastAsia="仿宋" w:cs="仿宋"/>
        </w:rPr>
      </w:pPr>
      <w:r>
        <w:rPr>
          <w:rFonts w:hint="eastAsia" w:ascii="仿宋" w:hAnsi="仿宋" w:eastAsia="仿宋" w:cs="仿宋"/>
          <w:szCs w:val="21"/>
        </w:rPr>
        <w:t>6.10.1</w:t>
      </w:r>
      <w:r>
        <w:rPr>
          <w:rFonts w:hint="eastAsia" w:ascii="仿宋" w:hAnsi="仿宋" w:eastAsia="仿宋" w:cs="仿宋"/>
        </w:rPr>
        <w:t>磋商小组从质量和服务均能满足磋商文件实质性响应要求的供应商中，按照最后报价进行综合评分，并根据综合评分情况按照得分由高到低的顺序推荐3名以上成交供应商。</w:t>
      </w:r>
      <w:r>
        <w:rPr>
          <w:rFonts w:hint="eastAsia" w:ascii="仿宋" w:hAnsi="仿宋" w:eastAsia="仿宋" w:cs="仿宋"/>
          <w:szCs w:val="21"/>
        </w:rPr>
        <w:t>如符合</w:t>
      </w:r>
      <w:r>
        <w:rPr>
          <w:rFonts w:hint="eastAsia" w:ascii="仿宋" w:hAnsi="仿宋" w:eastAsia="仿宋" w:cs="仿宋"/>
        </w:rPr>
        <w:t>《磋商管理办法》规定的相关情形的，</w:t>
      </w:r>
      <w:r>
        <w:rPr>
          <w:rFonts w:hint="eastAsia" w:ascii="仿宋" w:hAnsi="仿宋" w:eastAsia="仿宋" w:cs="仿宋"/>
          <w:szCs w:val="21"/>
        </w:rPr>
        <w:t>推荐的供应商可以为2家</w:t>
      </w:r>
      <w:r>
        <w:rPr>
          <w:rFonts w:hint="eastAsia" w:ascii="仿宋" w:hAnsi="仿宋" w:eastAsia="仿宋" w:cs="仿宋"/>
          <w:kern w:val="0"/>
          <w:szCs w:val="21"/>
        </w:rPr>
        <w:t>。</w:t>
      </w:r>
      <w:r>
        <w:rPr>
          <w:rFonts w:hint="eastAsia" w:ascii="仿宋" w:hAnsi="仿宋" w:eastAsia="仿宋" w:cs="仿宋"/>
        </w:rPr>
        <w:t>评审得分相同的，按照最后报价由低到高的顺序推荐。评审得分且最后报价相同的，按照技术指标优劣顺序推荐。或根据采购人授权直接确定质量和服务均能满足磋商文件实质性要求且评审得分最高的供应商为成交供应商；</w:t>
      </w:r>
    </w:p>
    <w:p>
      <w:pPr>
        <w:spacing w:line="360" w:lineRule="auto"/>
        <w:ind w:firstLine="420" w:firstLineChars="200"/>
        <w:rPr>
          <w:rFonts w:ascii="仿宋" w:hAnsi="仿宋" w:eastAsia="仿宋" w:cs="仿宋"/>
          <w:szCs w:val="21"/>
        </w:rPr>
      </w:pPr>
      <w:r>
        <w:rPr>
          <w:rFonts w:hint="eastAsia" w:ascii="仿宋" w:hAnsi="仿宋" w:eastAsia="仿宋" w:cs="仿宋"/>
          <w:szCs w:val="21"/>
        </w:rPr>
        <w:t>6.10.2评审结束后，磋商小组向采购人提交书面评审报告。评审报告由磋商小组全体成员签字认可，</w:t>
      </w:r>
      <w:r>
        <w:rPr>
          <w:rFonts w:hint="eastAsia" w:ascii="仿宋" w:hAnsi="仿宋" w:eastAsia="仿宋" w:cs="仿宋"/>
        </w:rPr>
        <w:t>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420"/>
        <w:rPr>
          <w:rFonts w:ascii="仿宋" w:hAnsi="仿宋" w:eastAsia="仿宋" w:cs="仿宋"/>
        </w:rPr>
      </w:pPr>
      <w:r>
        <w:rPr>
          <w:rFonts w:hint="eastAsia" w:ascii="仿宋" w:hAnsi="仿宋" w:eastAsia="仿宋" w:cs="仿宋"/>
        </w:rPr>
        <w:t>6.10.3出现下列情形之一的，采购人或者采购代理机构将终止竞争性磋商采购活动，发布项目终止公告并说明原因，重新开展采购活动：</w:t>
      </w:r>
    </w:p>
    <w:p>
      <w:pPr>
        <w:spacing w:line="360" w:lineRule="auto"/>
        <w:ind w:firstLine="420"/>
        <w:rPr>
          <w:rFonts w:ascii="仿宋" w:hAnsi="仿宋" w:eastAsia="仿宋" w:cs="仿宋"/>
        </w:rPr>
      </w:pPr>
      <w:r>
        <w:rPr>
          <w:rFonts w:hint="eastAsia" w:ascii="仿宋" w:hAnsi="仿宋" w:eastAsia="仿宋" w:cs="仿宋"/>
        </w:rPr>
        <w:t>（1）因情况变化，不再符合规定的竞争性磋商采购方式适用情形的；</w:t>
      </w:r>
    </w:p>
    <w:p>
      <w:pPr>
        <w:spacing w:line="360" w:lineRule="auto"/>
        <w:ind w:firstLine="420" w:firstLineChars="200"/>
        <w:rPr>
          <w:rFonts w:ascii="仿宋" w:hAnsi="仿宋" w:eastAsia="仿宋" w:cs="仿宋"/>
        </w:rPr>
      </w:pPr>
      <w:r>
        <w:rPr>
          <w:rFonts w:hint="eastAsia" w:ascii="仿宋" w:hAnsi="仿宋" w:eastAsia="仿宋" w:cs="仿宋"/>
        </w:rPr>
        <w:t>（2）出现影响采购公正的违法、违规行为的；</w:t>
      </w:r>
    </w:p>
    <w:p>
      <w:pPr>
        <w:spacing w:line="360" w:lineRule="auto"/>
        <w:ind w:firstLine="420"/>
        <w:rPr>
          <w:rFonts w:ascii="仿宋" w:hAnsi="仿宋" w:eastAsia="仿宋" w:cs="仿宋"/>
        </w:rPr>
      </w:pPr>
      <w:r>
        <w:rPr>
          <w:rFonts w:hint="eastAsia" w:ascii="仿宋" w:hAnsi="仿宋" w:eastAsia="仿宋" w:cs="仿宋"/>
        </w:rPr>
        <w:t>（3）除政府采购竞争性磋商采购方式管理暂行办法第二十一条第三款规定的情形外，在采购过程中符合要求的供应商或者报价未超过采购预算的供应商不足3家的。</w:t>
      </w:r>
    </w:p>
    <w:p>
      <w:pPr>
        <w:spacing w:line="360" w:lineRule="auto"/>
        <w:ind w:firstLine="420" w:firstLineChars="200"/>
        <w:rPr>
          <w:rFonts w:ascii="仿宋" w:hAnsi="仿宋" w:eastAsia="仿宋" w:cs="仿宋"/>
          <w:szCs w:val="21"/>
        </w:rPr>
      </w:pPr>
      <w:r>
        <w:rPr>
          <w:rFonts w:hint="eastAsia" w:ascii="仿宋" w:hAnsi="仿宋" w:eastAsia="仿宋" w:cs="仿宋"/>
          <w:szCs w:val="21"/>
        </w:rPr>
        <w:t>6.10.4磋商小组成员应当客观、公正、审慎的履行职务，遵守职业道德，对所提出的评审意见承担个人责任。</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6.11 保密及其它注意事项</w:t>
      </w:r>
    </w:p>
    <w:p>
      <w:pPr>
        <w:spacing w:line="360" w:lineRule="auto"/>
        <w:ind w:firstLine="420"/>
        <w:rPr>
          <w:rFonts w:ascii="仿宋" w:hAnsi="仿宋" w:eastAsia="仿宋" w:cs="仿宋"/>
        </w:rPr>
      </w:pPr>
      <w:r>
        <w:rPr>
          <w:rFonts w:hint="eastAsia" w:ascii="仿宋" w:hAnsi="仿宋" w:eastAsia="仿宋" w:cs="仿宋"/>
        </w:rPr>
        <w:t>6.11.1评审开始后，直到授予成交供应商合同为止，凡涉及响应文件的评审和比较、成交候选人的推荐情况以及与评审有关的其它情况均应严格保密；</w:t>
      </w:r>
    </w:p>
    <w:p>
      <w:pPr>
        <w:spacing w:line="360" w:lineRule="auto"/>
        <w:ind w:firstLine="420"/>
        <w:rPr>
          <w:rFonts w:ascii="仿宋" w:hAnsi="仿宋" w:eastAsia="仿宋" w:cs="仿宋"/>
        </w:rPr>
      </w:pPr>
      <w:r>
        <w:rPr>
          <w:rFonts w:hint="eastAsia" w:ascii="仿宋" w:hAnsi="仿宋" w:eastAsia="仿宋" w:cs="仿宋"/>
        </w:rPr>
        <w:t>6.11.2在响应文件的评审和比较、成交候选供应商推荐以及授予合同的过程中，供应商对采购人和磋商小组施加影响的任何行为，都将导致取消其磋商资格；</w:t>
      </w:r>
    </w:p>
    <w:p>
      <w:pPr>
        <w:spacing w:line="360" w:lineRule="auto"/>
        <w:ind w:firstLine="420"/>
        <w:rPr>
          <w:rFonts w:ascii="仿宋" w:hAnsi="仿宋" w:eastAsia="仿宋" w:cs="仿宋"/>
        </w:rPr>
      </w:pPr>
      <w:r>
        <w:rPr>
          <w:rFonts w:hint="eastAsia" w:ascii="仿宋" w:hAnsi="仿宋" w:eastAsia="仿宋" w:cs="仿宋"/>
        </w:rPr>
        <w:t>6.11.3在评审工作结束后，凡与评审情况有接触的任何人不得擅自将评审情况扩散出评审人员之外。</w:t>
      </w:r>
    </w:p>
    <w:p>
      <w:pPr>
        <w:adjustRightInd w:val="0"/>
        <w:snapToGrid w:val="0"/>
        <w:spacing w:line="360" w:lineRule="auto"/>
        <w:ind w:firstLine="422" w:firstLineChars="200"/>
        <w:outlineLvl w:val="2"/>
        <w:rPr>
          <w:rFonts w:ascii="仿宋" w:hAnsi="仿宋" w:eastAsia="仿宋" w:cs="仿宋"/>
          <w:b/>
          <w:bCs/>
        </w:rPr>
      </w:pPr>
      <w:bookmarkStart w:id="27" w:name="_Toc9663"/>
      <w:bookmarkStart w:id="28" w:name="_Toc32835891"/>
      <w:bookmarkStart w:id="29" w:name="_Toc33260061"/>
      <w:r>
        <w:rPr>
          <w:rFonts w:hint="eastAsia" w:ascii="仿宋" w:hAnsi="仿宋" w:eastAsia="仿宋" w:cs="仿宋"/>
          <w:b/>
          <w:bCs/>
        </w:rPr>
        <w:t>7.授予合同</w:t>
      </w:r>
      <w:bookmarkEnd w:id="27"/>
      <w:bookmarkEnd w:id="28"/>
      <w:bookmarkEnd w:id="29"/>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7.1 成交结果及公告</w:t>
      </w:r>
    </w:p>
    <w:p>
      <w:pPr>
        <w:spacing w:line="360" w:lineRule="auto"/>
        <w:ind w:firstLine="420"/>
        <w:rPr>
          <w:rFonts w:ascii="仿宋" w:hAnsi="仿宋" w:eastAsia="仿宋" w:cs="仿宋"/>
        </w:rPr>
      </w:pPr>
      <w:r>
        <w:rPr>
          <w:rFonts w:hint="eastAsia" w:ascii="仿宋" w:hAnsi="仿宋" w:eastAsia="仿宋" w:cs="仿宋"/>
          <w:kern w:val="0"/>
        </w:rPr>
        <w:t>7.1.1</w:t>
      </w:r>
      <w:r>
        <w:rPr>
          <w:rFonts w:hint="eastAsia" w:ascii="仿宋" w:hAnsi="仿宋" w:eastAsia="仿宋" w:cs="仿宋"/>
        </w:rPr>
        <w:t>采购代理机构将在评审结束后2个工作日内将评审报告送采购人。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napToGrid w:val="0"/>
        <w:spacing w:line="360" w:lineRule="auto"/>
        <w:ind w:firstLine="420" w:firstLineChars="200"/>
        <w:rPr>
          <w:rFonts w:ascii="仿宋" w:hAnsi="仿宋" w:eastAsia="仿宋" w:cs="仿宋"/>
          <w:kern w:val="0"/>
        </w:rPr>
      </w:pPr>
      <w:r>
        <w:rPr>
          <w:rFonts w:hint="eastAsia" w:ascii="仿宋" w:hAnsi="仿宋" w:eastAsia="仿宋" w:cs="仿宋"/>
          <w:kern w:val="0"/>
        </w:rPr>
        <w:t>7.1.2采购</w:t>
      </w:r>
      <w:r>
        <w:rPr>
          <w:rFonts w:hint="eastAsia" w:ascii="仿宋" w:hAnsi="仿宋" w:eastAsia="仿宋" w:cs="仿宋"/>
        </w:rPr>
        <w:t>代理机构将在发布竞争性磋商公告的网站上发布成交公告。</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7.2成交通知书</w:t>
      </w:r>
    </w:p>
    <w:p>
      <w:pPr>
        <w:adjustRightInd w:val="0"/>
        <w:spacing w:line="360" w:lineRule="auto"/>
        <w:ind w:firstLine="420" w:firstLineChars="200"/>
        <w:rPr>
          <w:rFonts w:ascii="仿宋" w:hAnsi="仿宋" w:eastAsia="仿宋" w:cs="仿宋"/>
        </w:rPr>
      </w:pPr>
      <w:r>
        <w:rPr>
          <w:rFonts w:hint="eastAsia" w:ascii="仿宋" w:hAnsi="仿宋" w:eastAsia="仿宋" w:cs="仿宋"/>
          <w:kern w:val="0"/>
        </w:rPr>
        <w:t>7.2.1在公告成交结果的同时，采购人或者采购代理机构向成交供应商发出成交通知书；</w:t>
      </w:r>
    </w:p>
    <w:p>
      <w:pPr>
        <w:adjustRightInd w:val="0"/>
        <w:spacing w:line="360" w:lineRule="auto"/>
        <w:ind w:firstLine="420" w:firstLineChars="200"/>
        <w:rPr>
          <w:rFonts w:ascii="仿宋" w:hAnsi="仿宋" w:eastAsia="仿宋" w:cs="仿宋"/>
          <w:kern w:val="0"/>
        </w:rPr>
      </w:pPr>
      <w:r>
        <w:rPr>
          <w:rFonts w:hint="eastAsia" w:ascii="仿宋" w:hAnsi="仿宋" w:eastAsia="仿宋" w:cs="仿宋"/>
          <w:kern w:val="0"/>
        </w:rPr>
        <w:t>7.2.2成交通知书发出后，采购人不得违法改变成交结果，成交供应商无正当理由不得放弃成交。</w:t>
      </w:r>
    </w:p>
    <w:p>
      <w:pPr>
        <w:adjustRightInd w:val="0"/>
        <w:spacing w:line="360" w:lineRule="auto"/>
        <w:ind w:firstLine="420" w:firstLineChars="200"/>
        <w:rPr>
          <w:rFonts w:ascii="仿宋" w:hAnsi="仿宋" w:eastAsia="仿宋" w:cs="仿宋"/>
          <w:kern w:val="0"/>
        </w:rPr>
      </w:pPr>
      <w:r>
        <w:rPr>
          <w:rFonts w:hint="eastAsia" w:ascii="仿宋" w:hAnsi="仿宋" w:eastAsia="仿宋" w:cs="仿宋"/>
        </w:rPr>
        <w:t>7.2.3成交通知书将作为进行合同磋商和签订合同的依据。</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7.3履约保证金（见供应商须知前附表）</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t>7.4签订合同</w:t>
      </w:r>
    </w:p>
    <w:p>
      <w:pPr>
        <w:adjustRightInd w:val="0"/>
        <w:spacing w:line="360" w:lineRule="auto"/>
        <w:ind w:firstLine="420" w:firstLineChars="200"/>
        <w:rPr>
          <w:rFonts w:ascii="仿宋" w:hAnsi="仿宋" w:eastAsia="仿宋" w:cs="仿宋"/>
        </w:rPr>
      </w:pPr>
      <w:r>
        <w:rPr>
          <w:rFonts w:hint="eastAsia" w:ascii="仿宋" w:hAnsi="仿宋" w:eastAsia="仿宋" w:cs="仿宋"/>
          <w:kern w:val="0"/>
        </w:rPr>
        <w:t>7.4.1采购人应当自成交通知书发出之日起30日内，按照磋商文件和成交供应商响应文件的规定，与成交供应商签订书面合同。所签订的合同不得对磋商文件确定的事项和成交供应商响应文件作实质性修改</w:t>
      </w:r>
      <w:r>
        <w:rPr>
          <w:rFonts w:hint="eastAsia" w:ascii="仿宋" w:hAnsi="仿宋" w:eastAsia="仿宋" w:cs="仿宋"/>
        </w:rPr>
        <w:t>。</w:t>
      </w:r>
    </w:p>
    <w:p>
      <w:pPr>
        <w:adjustRightInd w:val="0"/>
        <w:spacing w:line="360" w:lineRule="auto"/>
        <w:ind w:firstLine="420" w:firstLineChars="200"/>
        <w:rPr>
          <w:rFonts w:ascii="仿宋" w:hAnsi="仿宋" w:eastAsia="仿宋" w:cs="仿宋"/>
        </w:rPr>
      </w:pPr>
      <w:r>
        <w:rPr>
          <w:rFonts w:hint="eastAsia" w:ascii="仿宋" w:hAnsi="仿宋" w:eastAsia="仿宋" w:cs="仿宋"/>
          <w:kern w:val="0"/>
        </w:rPr>
        <w:t>7.4.2采购人不得向成交供应商提出任何不合理的要求作为签订合同的条件。</w:t>
      </w:r>
    </w:p>
    <w:p>
      <w:pPr>
        <w:adjustRightInd w:val="0"/>
        <w:spacing w:line="360" w:lineRule="auto"/>
        <w:ind w:firstLine="420" w:firstLineChars="200"/>
        <w:rPr>
          <w:rFonts w:ascii="仿宋" w:hAnsi="仿宋" w:eastAsia="仿宋" w:cs="仿宋"/>
        </w:rPr>
      </w:pPr>
      <w:r>
        <w:rPr>
          <w:rFonts w:hint="eastAsia" w:ascii="仿宋" w:hAnsi="仿宋" w:eastAsia="仿宋" w:cs="仿宋"/>
          <w:kern w:val="0"/>
        </w:rPr>
        <w:t>7.4.3政府采购合同应当包括采购人与成交供应商的名称和住所、标的、数量、质量、价款或者报酬、履行期限及地点和方式、验收要求、违约责任、解决争议的方法等内容。</w:t>
      </w:r>
    </w:p>
    <w:p>
      <w:pPr>
        <w:adjustRightInd w:val="0"/>
        <w:spacing w:line="360" w:lineRule="auto"/>
        <w:ind w:firstLine="420" w:firstLineChars="200"/>
        <w:rPr>
          <w:rFonts w:ascii="仿宋" w:hAnsi="仿宋" w:eastAsia="仿宋" w:cs="仿宋"/>
        </w:rPr>
      </w:pPr>
      <w:r>
        <w:rPr>
          <w:rFonts w:hint="eastAsia" w:ascii="仿宋" w:hAnsi="仿宋" w:eastAsia="仿宋" w:cs="仿宋"/>
          <w:kern w:val="0"/>
        </w:rPr>
        <w:t>7.4.4采购人与成交供应商应当根据合同的约定依法履行合同义务。</w:t>
      </w:r>
    </w:p>
    <w:p>
      <w:pPr>
        <w:adjustRightInd w:val="0"/>
        <w:spacing w:line="360" w:lineRule="auto"/>
        <w:ind w:firstLine="420" w:firstLineChars="200"/>
        <w:jc w:val="left"/>
        <w:rPr>
          <w:rFonts w:ascii="仿宋" w:hAnsi="仿宋" w:eastAsia="仿宋" w:cs="仿宋"/>
        </w:rPr>
      </w:pPr>
      <w:r>
        <w:rPr>
          <w:rFonts w:hint="eastAsia" w:ascii="仿宋" w:hAnsi="仿宋" w:eastAsia="仿宋" w:cs="仿宋"/>
        </w:rPr>
        <w:t>7.4.5如果成交供应商未按上述规定执行，采购人可以按照磋商小组提出的成交候选人名单排序依次确定其他成交候选人为成交供应商，也可以重新组织采购。</w:t>
      </w:r>
    </w:p>
    <w:p>
      <w:pPr>
        <w:adjustRightInd w:val="0"/>
        <w:spacing w:line="360" w:lineRule="auto"/>
        <w:ind w:firstLine="422" w:firstLineChars="200"/>
        <w:rPr>
          <w:rFonts w:ascii="仿宋" w:hAnsi="仿宋" w:eastAsia="仿宋" w:cs="仿宋"/>
          <w:b/>
          <w:bCs/>
        </w:rPr>
      </w:pPr>
      <w:r>
        <w:rPr>
          <w:rFonts w:hint="eastAsia" w:ascii="仿宋" w:hAnsi="仿宋" w:eastAsia="仿宋" w:cs="仿宋"/>
          <w:b/>
          <w:bCs/>
        </w:rPr>
        <w:t>7.5付款方式（见供应商须知前附表）</w:t>
      </w:r>
    </w:p>
    <w:p>
      <w:pPr>
        <w:adjustRightInd w:val="0"/>
        <w:spacing w:line="360" w:lineRule="auto"/>
        <w:ind w:firstLine="422" w:firstLineChars="200"/>
        <w:outlineLvl w:val="2"/>
        <w:rPr>
          <w:rFonts w:ascii="仿宋" w:hAnsi="仿宋" w:eastAsia="仿宋" w:cs="仿宋"/>
          <w:b/>
          <w:bCs/>
        </w:rPr>
      </w:pPr>
      <w:bookmarkStart w:id="30" w:name="_Toc8907"/>
      <w:bookmarkStart w:id="31" w:name="_Toc33260062"/>
      <w:bookmarkStart w:id="32" w:name="_Toc32835892"/>
      <w:r>
        <w:rPr>
          <w:rFonts w:hint="eastAsia" w:ascii="仿宋" w:hAnsi="仿宋" w:eastAsia="仿宋" w:cs="仿宋"/>
          <w:b/>
          <w:bCs/>
        </w:rPr>
        <w:t>8.其他</w:t>
      </w:r>
      <w:bookmarkEnd w:id="30"/>
      <w:bookmarkEnd w:id="31"/>
      <w:bookmarkEnd w:id="32"/>
    </w:p>
    <w:p>
      <w:pPr>
        <w:adjustRightInd w:val="0"/>
        <w:snapToGrid w:val="0"/>
        <w:spacing w:line="360" w:lineRule="auto"/>
        <w:ind w:firstLine="422" w:firstLineChars="200"/>
        <w:outlineLvl w:val="3"/>
        <w:rPr>
          <w:rFonts w:ascii="仿宋" w:hAnsi="仿宋" w:eastAsia="仿宋" w:cs="仿宋"/>
          <w:bCs/>
        </w:rPr>
      </w:pPr>
      <w:r>
        <w:rPr>
          <w:rFonts w:hint="eastAsia" w:ascii="仿宋" w:hAnsi="仿宋" w:eastAsia="仿宋" w:cs="仿宋"/>
          <w:b/>
          <w:bCs/>
        </w:rPr>
        <w:t>8.1代理服务费：</w:t>
      </w:r>
      <w:r>
        <w:rPr>
          <w:rFonts w:hint="eastAsia" w:ascii="仿宋" w:hAnsi="仿宋" w:eastAsia="仿宋" w:cs="仿宋"/>
          <w:bCs/>
        </w:rPr>
        <w:t>成交供应商在领取成交通知书时向采购代理机构一次性支付本项目的代理服务费，代理服务费收费标准及金额见供应商须知前附表。</w:t>
      </w:r>
    </w:p>
    <w:p>
      <w:pPr>
        <w:adjustRightInd w:val="0"/>
        <w:snapToGrid w:val="0"/>
        <w:spacing w:line="360" w:lineRule="auto"/>
        <w:ind w:firstLine="422" w:firstLineChars="200"/>
        <w:outlineLvl w:val="3"/>
        <w:rPr>
          <w:rFonts w:ascii="仿宋" w:hAnsi="仿宋" w:eastAsia="仿宋" w:cs="仿宋"/>
          <w:b/>
          <w:bCs/>
          <w:sz w:val="24"/>
        </w:rPr>
      </w:pPr>
      <w:r>
        <w:rPr>
          <w:rFonts w:hint="eastAsia" w:ascii="仿宋" w:hAnsi="仿宋" w:eastAsia="仿宋" w:cs="仿宋"/>
          <w:b/>
          <w:bCs/>
        </w:rPr>
        <w:t>8.2</w:t>
      </w:r>
      <w:r>
        <w:rPr>
          <w:rFonts w:hint="eastAsia" w:ascii="仿宋" w:hAnsi="仿宋" w:eastAsia="仿宋" w:cs="仿宋"/>
          <w:b/>
          <w:bCs/>
          <w:sz w:val="24"/>
        </w:rPr>
        <w:t>质疑与投诉</w:t>
      </w:r>
    </w:p>
    <w:p>
      <w:pPr>
        <w:snapToGrid w:val="0"/>
        <w:spacing w:line="360" w:lineRule="auto"/>
        <w:ind w:firstLine="420" w:firstLineChars="200"/>
        <w:rPr>
          <w:rFonts w:ascii="仿宋" w:hAnsi="仿宋" w:eastAsia="仿宋" w:cs="仿宋"/>
        </w:rPr>
      </w:pPr>
      <w:r>
        <w:rPr>
          <w:rFonts w:hint="eastAsia" w:ascii="仿宋" w:hAnsi="仿宋" w:eastAsia="仿宋" w:cs="仿宋"/>
        </w:rPr>
        <w:t>8.2.1.供应商认为采购文件、采购过程和中标或者成交结果使自己的权益受到损害的，可以在知道或者应知其权益受到损害之日起7个工作日内，以书面形式向采购人、采购代理机构提出质疑。</w:t>
      </w:r>
    </w:p>
    <w:p>
      <w:pPr>
        <w:snapToGrid w:val="0"/>
        <w:spacing w:line="360" w:lineRule="auto"/>
        <w:ind w:firstLine="420" w:firstLineChars="200"/>
        <w:rPr>
          <w:rFonts w:ascii="仿宋" w:hAnsi="仿宋" w:eastAsia="仿宋" w:cs="仿宋"/>
        </w:rPr>
      </w:pPr>
      <w:r>
        <w:rPr>
          <w:rFonts w:hint="eastAsia" w:ascii="仿宋" w:hAnsi="仿宋" w:eastAsia="仿宋" w:cs="仿宋"/>
        </w:rPr>
        <w:t>8.2.2.提出质疑的供应商应按照财政部门制定的《政府采购质疑函范本》格式（详见中国政府采购网）和《政府采购质疑和投诉办法》的要求，在法定质疑期内以书面形式提出质疑，针对同一采购程序环节的质疑应一次性提出。</w:t>
      </w:r>
    </w:p>
    <w:p>
      <w:pPr>
        <w:snapToGrid w:val="0"/>
        <w:spacing w:line="360" w:lineRule="auto"/>
        <w:ind w:firstLine="420" w:firstLineChars="200"/>
        <w:rPr>
          <w:rFonts w:ascii="仿宋" w:hAnsi="仿宋" w:eastAsia="仿宋" w:cs="仿宋"/>
        </w:rPr>
      </w:pPr>
      <w:r>
        <w:rPr>
          <w:rFonts w:hint="eastAsia" w:ascii="仿宋" w:hAnsi="仿宋" w:eastAsia="仿宋" w:cs="仿宋"/>
        </w:rPr>
        <w:t>超出法定质疑期的、重复提出的、分次提出的或内容、形式不符合《政府采购质疑和投诉办法》的，提出质疑的供应商将依法承担不利后果。</w:t>
      </w:r>
    </w:p>
    <w:p>
      <w:pPr>
        <w:snapToGrid w:val="0"/>
        <w:spacing w:line="360" w:lineRule="auto"/>
        <w:ind w:firstLine="420" w:firstLineChars="200"/>
        <w:rPr>
          <w:rFonts w:ascii="仿宋" w:hAnsi="仿宋" w:eastAsia="仿宋" w:cs="仿宋"/>
        </w:rPr>
      </w:pPr>
      <w:r>
        <w:rPr>
          <w:rFonts w:hint="eastAsia" w:ascii="仿宋" w:hAnsi="仿宋" w:eastAsia="仿宋" w:cs="仿宋"/>
        </w:rPr>
        <w:t>8.2.3.质疑函接收部门、联系电话和通讯地址, 见供应商须知前附表1.2.2、1.2.3。</w:t>
      </w:r>
    </w:p>
    <w:p>
      <w:pPr>
        <w:snapToGrid w:val="0"/>
        <w:spacing w:line="360" w:lineRule="auto"/>
        <w:ind w:firstLine="420" w:firstLineChars="200"/>
        <w:rPr>
          <w:rFonts w:ascii="仿宋" w:hAnsi="仿宋" w:eastAsia="仿宋" w:cs="仿宋"/>
        </w:rPr>
      </w:pPr>
      <w:r>
        <w:rPr>
          <w:rFonts w:hint="eastAsia" w:ascii="仿宋" w:hAnsi="仿宋" w:eastAsia="仿宋" w:cs="仿宋"/>
        </w:rPr>
        <w:t>8.2.4.质疑供应商对采购人、采购代理机构的答复不满意，或者采购人、采购代理机构未在规定时间内作出答复的，可以在答复期满后15个工作日内向财政部门提起投诉。</w:t>
      </w:r>
    </w:p>
    <w:p>
      <w:pPr>
        <w:adjustRightInd w:val="0"/>
        <w:spacing w:line="360" w:lineRule="auto"/>
        <w:ind w:firstLine="420" w:firstLineChars="200"/>
        <w:rPr>
          <w:rFonts w:ascii="仿宋" w:hAnsi="仿宋" w:eastAsia="仿宋" w:cs="仿宋"/>
        </w:rPr>
      </w:pPr>
      <w:r>
        <w:rPr>
          <w:rFonts w:hint="eastAsia" w:ascii="仿宋" w:hAnsi="仿宋" w:eastAsia="仿宋" w:cs="仿宋"/>
        </w:rPr>
        <w:t>8.2.5.投诉人投诉时,应当提交投诉书和必要的证明材料，并按照被投诉采购人、采购代理机构（以下简称被投诉人）和与投诉事项有关的供应商数量提供投诉书的副本。</w:t>
      </w:r>
    </w:p>
    <w:p>
      <w:pPr>
        <w:adjustRightInd w:val="0"/>
        <w:snapToGrid w:val="0"/>
        <w:spacing w:line="360" w:lineRule="auto"/>
        <w:ind w:firstLine="422" w:firstLineChars="200"/>
        <w:outlineLvl w:val="3"/>
        <w:rPr>
          <w:rFonts w:ascii="仿宋" w:hAnsi="仿宋" w:eastAsia="仿宋" w:cs="仿宋"/>
          <w:bCs/>
        </w:rPr>
      </w:pPr>
      <w:r>
        <w:rPr>
          <w:rFonts w:hint="eastAsia" w:ascii="仿宋" w:hAnsi="仿宋" w:eastAsia="仿宋" w:cs="仿宋"/>
          <w:b/>
          <w:bCs/>
        </w:rPr>
        <w:t>8.3需要补充的其他内容：</w:t>
      </w:r>
      <w:r>
        <w:rPr>
          <w:rFonts w:hint="eastAsia" w:ascii="仿宋" w:hAnsi="仿宋" w:eastAsia="仿宋" w:cs="仿宋"/>
          <w:bCs/>
        </w:rPr>
        <w:t>见供应商须知前附表。</w:t>
      </w:r>
    </w:p>
    <w:p>
      <w:pPr>
        <w:adjustRightInd w:val="0"/>
        <w:snapToGrid w:val="0"/>
        <w:spacing w:line="360" w:lineRule="auto"/>
        <w:ind w:firstLine="422" w:firstLineChars="200"/>
        <w:outlineLvl w:val="3"/>
        <w:rPr>
          <w:rFonts w:ascii="仿宋" w:hAnsi="仿宋" w:eastAsia="仿宋" w:cs="仿宋"/>
          <w:b/>
          <w:bCs/>
        </w:rPr>
      </w:pPr>
      <w:r>
        <w:rPr>
          <w:rFonts w:hint="eastAsia" w:ascii="仿宋" w:hAnsi="仿宋" w:eastAsia="仿宋" w:cs="仿宋"/>
          <w:b/>
          <w:bCs/>
        </w:rPr>
        <w:br w:type="page"/>
      </w:r>
    </w:p>
    <w:p>
      <w:pPr>
        <w:tabs>
          <w:tab w:val="right" w:pos="7560"/>
        </w:tabs>
        <w:spacing w:line="360" w:lineRule="auto"/>
        <w:jc w:val="center"/>
        <w:outlineLvl w:val="0"/>
      </w:pPr>
      <w:bookmarkStart w:id="33" w:name="_Toc23409"/>
      <w:r>
        <w:rPr>
          <w:rFonts w:hint="eastAsia" w:ascii="仿宋" w:hAnsi="仿宋" w:eastAsia="仿宋" w:cs="仿宋"/>
          <w:b/>
          <w:sz w:val="32"/>
          <w:szCs w:val="32"/>
        </w:rPr>
        <w:t>第三章  采购人需求及技术要求</w:t>
      </w:r>
      <w:bookmarkEnd w:id="33"/>
    </w:p>
    <w:p>
      <w:pPr>
        <w:pStyle w:val="3"/>
        <w:keepNext w:val="0"/>
        <w:keepLines w:val="0"/>
        <w:pageBreakBefore w:val="0"/>
        <w:numPr>
          <w:ilvl w:val="0"/>
          <w:numId w:val="0"/>
        </w:numPr>
        <w:kinsoku/>
        <w:overflowPunct/>
        <w:topLinePunct w:val="0"/>
        <w:bidi w:val="0"/>
        <w:adjustRightInd/>
        <w:snapToGrid/>
        <w:spacing w:before="0" w:line="360" w:lineRule="auto"/>
        <w:ind w:right="118" w:rightChars="0"/>
        <w:jc w:val="center"/>
        <w:textAlignment w:val="auto"/>
        <w:outlineLvl w:val="0"/>
        <w:rPr>
          <w:rFonts w:hint="eastAsia" w:ascii="方正小标宋简体" w:hAnsi="方正小标宋简体" w:eastAsia="方正小标宋简体" w:cs="方正小标宋简体"/>
          <w:b w:val="0"/>
          <w:bCs w:val="0"/>
          <w:color w:val="auto"/>
          <w:spacing w:val="0"/>
          <w:sz w:val="44"/>
          <w:szCs w:val="44"/>
          <w:lang w:val="en-US" w:eastAsia="zh-CN"/>
        </w:rPr>
      </w:pPr>
      <w:bookmarkStart w:id="34" w:name="_Toc23227"/>
      <w:r>
        <w:rPr>
          <w:rFonts w:hint="eastAsia" w:ascii="方正小标宋简体" w:hAnsi="方正小标宋简体" w:eastAsia="方正小标宋简体" w:cs="方正小标宋简体"/>
          <w:b w:val="0"/>
          <w:bCs w:val="0"/>
          <w:color w:val="auto"/>
          <w:spacing w:val="0"/>
          <w:kern w:val="36"/>
          <w:sz w:val="44"/>
          <w:szCs w:val="44"/>
          <w:highlight w:val="none"/>
          <w:lang w:val="en-US" w:eastAsia="zh-CN"/>
        </w:rPr>
        <w:t>采购需求及技术参数</w:t>
      </w:r>
      <w:bookmarkEnd w:id="34"/>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pacing w:val="0"/>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1、项目名称：安阳市城区饮用水水源地调整替代方案编制项目（二次）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2、采购方式：竞争性磋商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3、采购需求：</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1）招标范围：包含且不限于《安阳市城区饮用水水源地调整替代方案》编制及审查；完成《安阳市城区饮用水水源地调整替代方案》相关资料收集、调研勘察、报告编制及咨询；通过安阳市及河南省相关部门组织的专家审查及省政府审批等工作；</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（2）服务期：合同签订后60日历天完成；</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（3）质量要求：符合国家相关标准及相关规范要求；</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（4）服务地点：安阳市区；</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（5）资金来源：财政资金</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（6）标段划分：本项目共分一个标段：安阳市城区饮用水水源地调整替代方案编制项目（二次）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4、合同履行期限：服务期</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5、本项目是否接受联合体投标：否</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color w:val="auto"/>
          <w:spacing w:val="0"/>
          <w:sz w:val="28"/>
          <w:szCs w:val="28"/>
          <w:highlight w:val="none"/>
          <w:lang w:val="en-US" w:eastAsia="zh-CN"/>
        </w:rPr>
      </w:pPr>
      <w:r>
        <w:rPr>
          <w:rFonts w:hint="eastAsia" w:ascii="CESI宋体-GB2312" w:hAnsi="CESI宋体-GB2312" w:eastAsia="CESI宋体-GB2312" w:cs="CESI宋体-GB2312"/>
          <w:color w:val="auto"/>
          <w:spacing w:val="0"/>
          <w:sz w:val="28"/>
          <w:szCs w:val="28"/>
          <w:highlight w:val="none"/>
          <w:lang w:val="en-US" w:eastAsia="zh-CN"/>
        </w:rPr>
        <w:t>6、是否接受进口产品：否</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center"/>
        <w:rPr>
          <w:rFonts w:hint="eastAsia" w:ascii="CESI宋体-GB2312" w:hAnsi="CESI宋体-GB2312" w:eastAsia="CESI宋体-GB2312" w:cs="CESI宋体-GB2312"/>
          <w:sz w:val="28"/>
          <w:szCs w:val="28"/>
        </w:rPr>
      </w:pPr>
      <w:r>
        <w:rPr>
          <w:rFonts w:hint="eastAsia" w:ascii="CESI宋体-GB2312" w:hAnsi="CESI宋体-GB2312" w:eastAsia="CESI宋体-GB2312" w:cs="CESI宋体-GB2312"/>
          <w:color w:val="auto"/>
          <w:spacing w:val="0"/>
          <w:sz w:val="28"/>
          <w:szCs w:val="28"/>
          <w:highlight w:val="none"/>
          <w:lang w:val="en-US" w:eastAsia="zh-CN"/>
        </w:rPr>
        <w:t>7、其他相关要求：乙方负责协调收集相关资料；成果汇编资料需提交印刷文本和电子文本（含附件），印刷数量为50册。</w:t>
      </w:r>
    </w:p>
    <w:p/>
    <w:p>
      <w:r>
        <w:br w:type="page"/>
      </w:r>
    </w:p>
    <w:bookmarkEnd w:id="0"/>
    <w:p>
      <w:pPr>
        <w:adjustRightInd w:val="0"/>
        <w:snapToGrid w:val="0"/>
        <w:spacing w:before="100" w:beforeAutospacing="1" w:after="100" w:afterAutospacing="1"/>
        <w:jc w:val="center"/>
        <w:outlineLvl w:val="0"/>
        <w:rPr>
          <w:rFonts w:ascii="仿宋" w:hAnsi="仿宋" w:eastAsia="仿宋" w:cs="仿宋"/>
          <w:b/>
          <w:bCs/>
          <w:sz w:val="32"/>
          <w:szCs w:val="32"/>
        </w:rPr>
      </w:pPr>
      <w:bookmarkStart w:id="35" w:name="_Toc33608950"/>
      <w:bookmarkStart w:id="36" w:name="_Toc9364"/>
      <w:bookmarkStart w:id="37" w:name="_Toc2255"/>
      <w:bookmarkStart w:id="38" w:name="_Toc32835833"/>
      <w:r>
        <w:rPr>
          <w:rFonts w:hint="eastAsia" w:ascii="仿宋" w:hAnsi="仿宋" w:eastAsia="仿宋" w:cs="仿宋"/>
          <w:b/>
          <w:bCs/>
          <w:sz w:val="32"/>
          <w:szCs w:val="32"/>
        </w:rPr>
        <w:t>第四章  合同协议书（格式）</w:t>
      </w:r>
      <w:bookmarkEnd w:id="35"/>
      <w:bookmarkEnd w:id="36"/>
      <w:bookmarkEnd w:id="37"/>
      <w:bookmarkEnd w:id="38"/>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r>
        <w:rPr>
          <w:rFonts w:hint="eastAsia"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ascii="楷体" w:hAnsi="楷体" w:eastAsia="楷体"/>
          <w:b/>
          <w:sz w:val="44"/>
          <w:szCs w:val="44"/>
        </w:rPr>
        <w:t>政府采购合同</w:t>
      </w:r>
      <w:r>
        <w:rPr>
          <w:rFonts w:hint="eastAsia" w:ascii="楷体" w:hAnsi="楷体" w:eastAsia="楷体"/>
          <w:b/>
          <w:sz w:val="44"/>
          <w:szCs w:val="44"/>
        </w:rPr>
        <w:t>参考范本</w:t>
      </w:r>
    </w:p>
    <w:p>
      <w:pPr>
        <w:spacing w:line="480" w:lineRule="auto"/>
        <w:jc w:val="center"/>
        <w:rPr>
          <w:rFonts w:ascii="楷体" w:hAnsi="楷体" w:eastAsia="楷体"/>
          <w:b/>
          <w:sz w:val="24"/>
        </w:rPr>
      </w:pPr>
      <w:r>
        <w:rPr>
          <w:rFonts w:hint="eastAsia" w:ascii="楷体" w:hAnsi="楷体" w:eastAsia="楷体"/>
          <w:b/>
          <w:sz w:val="24"/>
        </w:rPr>
        <w:t>（服务类）</w:t>
      </w:r>
    </w:p>
    <w:p>
      <w:pPr>
        <w:pStyle w:val="479"/>
        <w:ind w:firstLine="0"/>
        <w:rPr>
          <w:rFonts w:ascii="楷体" w:hAnsi="楷体" w:eastAsia="楷体"/>
          <w:szCs w:val="24"/>
        </w:rPr>
      </w:pPr>
    </w:p>
    <w:p>
      <w:pPr>
        <w:pStyle w:val="479"/>
        <w:ind w:firstLine="0"/>
        <w:rPr>
          <w:rFonts w:ascii="楷体" w:hAnsi="楷体" w:eastAsia="楷体"/>
          <w:szCs w:val="24"/>
        </w:rPr>
      </w:pPr>
    </w:p>
    <w:p>
      <w:pPr>
        <w:pStyle w:val="479"/>
        <w:ind w:firstLine="0"/>
        <w:rPr>
          <w:rFonts w:ascii="楷体" w:hAnsi="楷体" w:eastAsia="楷体"/>
          <w:szCs w:val="24"/>
        </w:rPr>
      </w:pPr>
    </w:p>
    <w:p>
      <w:pPr>
        <w:pStyle w:val="479"/>
        <w:ind w:firstLine="0"/>
        <w:jc w:val="center"/>
        <w:rPr>
          <w:rFonts w:ascii="楷体" w:hAnsi="楷体" w:eastAsia="楷体"/>
          <w:b/>
          <w:szCs w:val="24"/>
        </w:rPr>
      </w:pPr>
      <w:r>
        <w:rPr>
          <w:rFonts w:hint="eastAsia" w:ascii="楷体" w:hAnsi="楷体" w:eastAsia="楷体"/>
          <w:b/>
          <w:szCs w:val="24"/>
        </w:rPr>
        <w:t>第一部分 合同书</w:t>
      </w:r>
    </w:p>
    <w:p>
      <w:pPr>
        <w:pStyle w:val="479"/>
        <w:ind w:firstLine="0"/>
        <w:rPr>
          <w:rFonts w:ascii="楷体" w:hAnsi="楷体" w:eastAsia="楷体"/>
          <w:szCs w:val="24"/>
        </w:rPr>
      </w:pPr>
    </w:p>
    <w:p>
      <w:pPr>
        <w:pStyle w:val="479"/>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hint="eastAsia" w:ascii="楷体" w:hAnsi="楷体" w:eastAsia="楷体"/>
          <w:sz w:val="24"/>
          <w:u w:val="single"/>
        </w:rPr>
        <w:t xml:space="preserve">                                   </w:t>
      </w:r>
    </w:p>
    <w:p>
      <w:pPr>
        <w:pStyle w:val="480"/>
        <w:spacing w:before="120" w:line="22" w:lineRule="atLeast"/>
        <w:rPr>
          <w:rFonts w:ascii="楷体" w:hAnsi="楷体" w:eastAsia="楷体"/>
          <w:szCs w:val="24"/>
        </w:rPr>
      </w:pPr>
    </w:p>
    <w:p>
      <w:pPr>
        <w:pStyle w:val="480"/>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hint="eastAsia"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hint="eastAsia"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hAnsi="宋体"/>
          <w:sz w:val="24"/>
        </w:rPr>
        <w:sectPr>
          <w:footerReference r:id="rId7" w:type="default"/>
          <w:pgSz w:w="11907" w:h="16840"/>
          <w:pgMar w:top="1474" w:right="1814" w:bottom="1474" w:left="1814" w:header="851" w:footer="851" w:gutter="0"/>
          <w:pgNumType w:fmt="decimal" w:start="1"/>
          <w:cols w:space="720" w:num="1"/>
          <w:docGrid w:linePitch="462" w:charSpace="0"/>
        </w:sectPr>
      </w:pPr>
    </w:p>
    <w:p>
      <w:pPr>
        <w:spacing w:line="560" w:lineRule="exact"/>
        <w:ind w:firstLine="480" w:firstLineChars="200"/>
        <w:rPr>
          <w:rFonts w:ascii="楷体" w:hAnsi="楷体" w:eastAsia="楷体"/>
          <w:sz w:val="24"/>
        </w:rPr>
      </w:pPr>
      <w:r>
        <w:rPr>
          <w:rFonts w:hint="eastAsia" w:ascii="楷体" w:hAnsi="楷体" w:eastAsia="楷体"/>
          <w:sz w:val="24"/>
          <w:u w:val="single"/>
          <w:lang w:val="zh-CN"/>
        </w:rPr>
        <w:t xml:space="preserve">        </w:t>
      </w:r>
      <w:r>
        <w:rPr>
          <w:rFonts w:hint="eastAsia" w:ascii="楷体" w:hAnsi="楷体" w:eastAsia="楷体"/>
          <w:sz w:val="24"/>
          <w:lang w:val="zh-CN"/>
        </w:rPr>
        <w:t>年</w:t>
      </w:r>
      <w:r>
        <w:rPr>
          <w:rFonts w:hint="eastAsia" w:ascii="楷体" w:hAnsi="楷体" w:eastAsia="楷体"/>
          <w:sz w:val="24"/>
          <w:u w:val="single"/>
          <w:lang w:val="zh-CN"/>
        </w:rPr>
        <w:t xml:space="preserve">    </w:t>
      </w:r>
      <w:r>
        <w:rPr>
          <w:rFonts w:hint="eastAsia" w:ascii="楷体" w:hAnsi="楷体" w:eastAsia="楷体"/>
          <w:sz w:val="24"/>
          <w:lang w:val="zh-CN"/>
        </w:rPr>
        <w:t>月</w:t>
      </w:r>
      <w:r>
        <w:rPr>
          <w:rFonts w:hint="eastAsia"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hint="eastAsia" w:ascii="楷体" w:hAnsi="楷体" w:eastAsia="楷体"/>
          <w:sz w:val="24"/>
          <w:u w:val="single"/>
        </w:rPr>
        <w:t xml:space="preserve">   （采购人名称）   </w:t>
      </w:r>
      <w:r>
        <w:rPr>
          <w:rFonts w:hint="eastAsia" w:ascii="楷体" w:hAnsi="楷体" w:eastAsia="楷体"/>
          <w:sz w:val="24"/>
        </w:rPr>
        <w:t>以</w:t>
      </w:r>
      <w:r>
        <w:rPr>
          <w:rFonts w:hint="eastAsia" w:ascii="楷体" w:hAnsi="楷体" w:eastAsia="楷体"/>
          <w:sz w:val="24"/>
          <w:u w:val="single"/>
        </w:rPr>
        <w:t xml:space="preserve">   （政府采购方式）  </w:t>
      </w:r>
      <w:r>
        <w:rPr>
          <w:rFonts w:hint="eastAsia" w:ascii="楷体" w:hAnsi="楷体" w:eastAsia="楷体"/>
          <w:sz w:val="24"/>
        </w:rPr>
        <w:t>对</w:t>
      </w:r>
      <w:r>
        <w:rPr>
          <w:rFonts w:hint="eastAsia" w:ascii="楷体" w:hAnsi="楷体" w:eastAsia="楷体"/>
          <w:sz w:val="24"/>
          <w:u w:val="single"/>
        </w:rPr>
        <w:t xml:space="preserve">   （同前页项目名称）   </w:t>
      </w:r>
      <w:r>
        <w:rPr>
          <w:rFonts w:hint="eastAsia" w:ascii="楷体" w:hAnsi="楷体" w:eastAsia="楷体"/>
          <w:sz w:val="24"/>
        </w:rPr>
        <w:t>项目进行了采购。经</w:t>
      </w:r>
      <w:r>
        <w:rPr>
          <w:rFonts w:hint="eastAsia" w:ascii="楷体" w:hAnsi="楷体" w:eastAsia="楷体"/>
          <w:sz w:val="24"/>
          <w:u w:val="single"/>
        </w:rPr>
        <w:t xml:space="preserve">   （相关评定主体名称）   </w:t>
      </w:r>
      <w:r>
        <w:rPr>
          <w:rFonts w:hint="eastAsia" w:ascii="楷体" w:hAnsi="楷体" w:eastAsia="楷体"/>
          <w:sz w:val="24"/>
        </w:rPr>
        <w:t>评定，</w:t>
      </w:r>
      <w:r>
        <w:rPr>
          <w:rFonts w:hint="eastAsia" w:ascii="楷体" w:hAnsi="楷体" w:eastAsia="楷体"/>
          <w:sz w:val="24"/>
          <w:u w:val="single"/>
        </w:rPr>
        <w:t xml:space="preserve">   （中标供应商名称） </w:t>
      </w:r>
      <w:r>
        <w:rPr>
          <w:rFonts w:hint="eastAsia" w:ascii="楷体" w:hAnsi="楷体" w:eastAsia="楷体"/>
          <w:sz w:val="24"/>
        </w:rPr>
        <w:t>为该项目中标供应商。现于中标通知书发出之日起</w:t>
      </w:r>
      <w:r>
        <w:rPr>
          <w:rFonts w:hint="eastAsia" w:ascii="楷体" w:hAnsi="楷体" w:eastAsia="楷体"/>
          <w:sz w:val="24"/>
          <w:lang w:val="en-US" w:eastAsia="zh-CN"/>
        </w:rPr>
        <w:t>2个工作</w:t>
      </w:r>
      <w:r>
        <w:rPr>
          <w:rFonts w:hint="eastAsia" w:ascii="楷体" w:hAnsi="楷体" w:eastAsia="楷体"/>
          <w:sz w:val="24"/>
        </w:rPr>
        <w:t>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w:t>
      </w:r>
      <w:r>
        <w:rPr>
          <w:rFonts w:hint="eastAsia" w:ascii="楷体" w:hAnsi="楷体" w:eastAsia="楷体"/>
          <w:sz w:val="24"/>
          <w:lang w:val="en-US" w:eastAsia="zh-CN"/>
        </w:rPr>
        <w:t>民法典</w:t>
      </w:r>
      <w:r>
        <w:rPr>
          <w:rFonts w:hint="eastAsia" w:ascii="楷体" w:hAnsi="楷体" w:eastAsia="楷体"/>
          <w:sz w:val="24"/>
          <w:lang w:val="zh-CN"/>
        </w:rPr>
        <w:t>》、《中华人民共和国政府采购法》等相关法律法规之规定，按照平等、自愿、公平和诚实信用的原则，经</w:t>
      </w:r>
      <w:r>
        <w:rPr>
          <w:rFonts w:hint="eastAsia" w:ascii="楷体" w:hAnsi="楷体" w:eastAsia="楷体"/>
          <w:sz w:val="24"/>
          <w:u w:val="single"/>
        </w:rPr>
        <w:t xml:space="preserve">   （采购人名称）   </w:t>
      </w:r>
      <w:r>
        <w:rPr>
          <w:rFonts w:hint="eastAsia" w:ascii="楷体" w:hAnsi="楷体" w:eastAsia="楷体"/>
          <w:sz w:val="24"/>
          <w:lang w:val="zh-CN"/>
        </w:rPr>
        <w:t>(以下简称：甲方)和</w:t>
      </w:r>
      <w:r>
        <w:rPr>
          <w:rFonts w:hint="eastAsia" w:ascii="楷体" w:hAnsi="楷体" w:eastAsia="楷体"/>
          <w:sz w:val="24"/>
          <w:u w:val="single"/>
        </w:rPr>
        <w:t xml:space="preserve">   （中标供应商名称）   </w:t>
      </w:r>
      <w:r>
        <w:rPr>
          <w:rFonts w:hint="eastAsia" w:ascii="楷体" w:hAnsi="楷体" w:eastAsia="楷体"/>
          <w:sz w:val="24"/>
          <w:lang w:val="zh-CN"/>
        </w:rPr>
        <w:t>(以下简称：乙方)协商一致，约定以下合同</w:t>
      </w:r>
      <w:r>
        <w:rPr>
          <w:rFonts w:hint="eastAsia" w:ascii="楷体" w:hAnsi="楷体" w:eastAsia="楷体"/>
          <w:sz w:val="24"/>
        </w:rPr>
        <w:t>条款，以兹共同遵守、全面履行。</w:t>
      </w:r>
    </w:p>
    <w:p>
      <w:pPr>
        <w:spacing w:line="560" w:lineRule="exact"/>
        <w:ind w:firstLine="482" w:firstLineChars="200"/>
        <w:outlineLvl w:val="9"/>
        <w:rPr>
          <w:rFonts w:ascii="楷体" w:hAnsi="楷体" w:eastAsia="楷体"/>
          <w:sz w:val="24"/>
        </w:rPr>
      </w:pPr>
      <w:bookmarkStart w:id="39" w:name="_Toc28855"/>
      <w:bookmarkStart w:id="40" w:name="_Toc19273"/>
      <w:bookmarkStart w:id="41" w:name="_Toc15367"/>
      <w:bookmarkStart w:id="42" w:name="_Toc22967"/>
      <w:bookmarkStart w:id="43" w:name="_Toc20421"/>
      <w:r>
        <w:rPr>
          <w:rFonts w:hint="eastAsia" w:ascii="楷体" w:hAnsi="楷体" w:eastAsia="楷体"/>
          <w:b/>
          <w:sz w:val="24"/>
        </w:rPr>
        <w:t>1.1 合同组成部分</w:t>
      </w:r>
      <w:bookmarkEnd w:id="39"/>
      <w:bookmarkEnd w:id="40"/>
      <w:bookmarkEnd w:id="41"/>
      <w:bookmarkEnd w:id="42"/>
      <w:bookmarkEnd w:id="43"/>
    </w:p>
    <w:p>
      <w:pPr>
        <w:spacing w:line="560" w:lineRule="exact"/>
        <w:ind w:firstLine="480" w:firstLineChars="200"/>
        <w:outlineLvl w:val="9"/>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outlineLvl w:val="9"/>
        <w:rPr>
          <w:rFonts w:ascii="楷体" w:hAnsi="楷体" w:eastAsia="楷体"/>
          <w:sz w:val="24"/>
        </w:rPr>
      </w:pPr>
      <w:r>
        <w:rPr>
          <w:rFonts w:hint="eastAsia" w:ascii="楷体" w:hAnsi="楷体" w:eastAsia="楷体"/>
          <w:sz w:val="24"/>
        </w:rPr>
        <w:t>1.1.1 本合同及其补充合同、变更协议；</w:t>
      </w:r>
    </w:p>
    <w:p>
      <w:pPr>
        <w:spacing w:line="560" w:lineRule="exact"/>
        <w:ind w:firstLine="480" w:firstLineChars="200"/>
        <w:outlineLvl w:val="9"/>
        <w:rPr>
          <w:rFonts w:ascii="楷体" w:hAnsi="楷体" w:eastAsia="楷体"/>
          <w:sz w:val="24"/>
        </w:rPr>
      </w:pPr>
      <w:r>
        <w:rPr>
          <w:rFonts w:hint="eastAsia" w:ascii="楷体" w:hAnsi="楷体" w:eastAsia="楷体"/>
          <w:sz w:val="24"/>
        </w:rPr>
        <w:t>1.1.2 中标通知书；</w:t>
      </w:r>
    </w:p>
    <w:p>
      <w:pPr>
        <w:spacing w:line="560" w:lineRule="exact"/>
        <w:ind w:firstLine="480" w:firstLineChars="200"/>
        <w:outlineLvl w:val="9"/>
        <w:rPr>
          <w:rFonts w:ascii="楷体" w:hAnsi="楷体" w:eastAsia="楷体"/>
          <w:sz w:val="24"/>
        </w:rPr>
      </w:pPr>
      <w:r>
        <w:rPr>
          <w:rFonts w:hint="eastAsia" w:ascii="楷体" w:hAnsi="楷体" w:eastAsia="楷体"/>
          <w:sz w:val="24"/>
        </w:rPr>
        <w:t>1.1.3 投标文件（含澄清或者说明文件）；</w:t>
      </w:r>
    </w:p>
    <w:p>
      <w:pPr>
        <w:spacing w:line="560" w:lineRule="exact"/>
        <w:ind w:firstLine="480" w:firstLineChars="200"/>
        <w:outlineLvl w:val="9"/>
        <w:rPr>
          <w:rFonts w:ascii="楷体" w:hAnsi="楷体" w:eastAsia="楷体"/>
          <w:sz w:val="24"/>
        </w:rPr>
      </w:pPr>
      <w:r>
        <w:rPr>
          <w:rFonts w:hint="eastAsia" w:ascii="楷体" w:hAnsi="楷体" w:eastAsia="楷体"/>
          <w:sz w:val="24"/>
        </w:rPr>
        <w:t>1.1.4 招标文件（含澄清或者修改文件）；</w:t>
      </w:r>
    </w:p>
    <w:p>
      <w:pPr>
        <w:spacing w:line="560" w:lineRule="exact"/>
        <w:ind w:firstLine="480" w:firstLineChars="200"/>
        <w:outlineLvl w:val="9"/>
        <w:rPr>
          <w:rFonts w:ascii="楷体" w:hAnsi="楷体" w:eastAsia="楷体"/>
          <w:sz w:val="24"/>
        </w:rPr>
      </w:pPr>
      <w:r>
        <w:rPr>
          <w:rFonts w:hint="eastAsia" w:ascii="楷体" w:hAnsi="楷体" w:eastAsia="楷体"/>
          <w:sz w:val="24"/>
        </w:rPr>
        <w:t>1.1.5 其他相关采购文件。</w:t>
      </w:r>
    </w:p>
    <w:p>
      <w:pPr>
        <w:spacing w:line="560" w:lineRule="exact"/>
        <w:ind w:firstLine="482" w:firstLineChars="200"/>
        <w:outlineLvl w:val="9"/>
        <w:rPr>
          <w:rFonts w:ascii="楷体" w:hAnsi="楷体" w:eastAsia="楷体"/>
          <w:b/>
          <w:sz w:val="24"/>
        </w:rPr>
      </w:pPr>
      <w:bookmarkStart w:id="44" w:name="_Toc18585"/>
      <w:bookmarkStart w:id="45" w:name="_Toc22185"/>
      <w:bookmarkStart w:id="46" w:name="_Toc2918"/>
      <w:bookmarkStart w:id="47" w:name="_Toc6773"/>
      <w:bookmarkStart w:id="48" w:name="_Toc6311"/>
      <w:r>
        <w:rPr>
          <w:rFonts w:hint="eastAsia" w:ascii="楷体" w:hAnsi="楷体" w:eastAsia="楷体"/>
          <w:b/>
          <w:sz w:val="24"/>
        </w:rPr>
        <w:t>1.2 标的</w:t>
      </w:r>
      <w:bookmarkEnd w:id="44"/>
      <w:bookmarkEnd w:id="45"/>
      <w:bookmarkEnd w:id="46"/>
      <w:bookmarkEnd w:id="47"/>
      <w:bookmarkEnd w:id="48"/>
    </w:p>
    <w:p>
      <w:pPr>
        <w:spacing w:line="560" w:lineRule="exact"/>
        <w:ind w:firstLine="480" w:firstLineChars="200"/>
        <w:outlineLvl w:val="9"/>
        <w:rPr>
          <w:rFonts w:ascii="楷体" w:hAnsi="楷体" w:eastAsia="楷体"/>
          <w:sz w:val="24"/>
          <w:u w:val="single"/>
        </w:rPr>
      </w:pPr>
      <w:r>
        <w:rPr>
          <w:rFonts w:hint="eastAsia" w:ascii="楷体" w:hAnsi="楷体" w:eastAsia="楷体"/>
          <w:sz w:val="24"/>
        </w:rPr>
        <w:t>1.2.1 标的</w:t>
      </w:r>
      <w:r>
        <w:rPr>
          <w:rFonts w:ascii="楷体" w:hAnsi="楷体" w:eastAsia="楷体"/>
          <w:sz w:val="24"/>
        </w:rPr>
        <w:t>名称：</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outlineLvl w:val="9"/>
        <w:rPr>
          <w:rFonts w:ascii="楷体" w:hAnsi="楷体" w:eastAsia="楷体"/>
          <w:sz w:val="24"/>
          <w:u w:val="single"/>
        </w:rPr>
      </w:pPr>
      <w:r>
        <w:rPr>
          <w:rFonts w:hint="eastAsia" w:ascii="楷体" w:hAnsi="楷体" w:eastAsia="楷体"/>
          <w:sz w:val="24"/>
        </w:rPr>
        <w:t>1.2.2 标的</w:t>
      </w:r>
      <w:r>
        <w:rPr>
          <w:rFonts w:ascii="楷体" w:hAnsi="楷体" w:eastAsia="楷体"/>
          <w:sz w:val="24"/>
        </w:rPr>
        <w:t>数量：</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1.2.3 标的质量：</w:t>
      </w:r>
      <w:r>
        <w:rPr>
          <w:rFonts w:ascii="楷体" w:hAnsi="楷体" w:eastAsia="楷体"/>
          <w:sz w:val="24"/>
          <w:u w:val="single"/>
        </w:rPr>
        <w:t>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9"/>
        <w:rPr>
          <w:rFonts w:ascii="楷体" w:hAnsi="楷体" w:eastAsia="楷体"/>
          <w:b/>
          <w:sz w:val="24"/>
        </w:rPr>
      </w:pPr>
      <w:bookmarkStart w:id="49" w:name="_Toc13918"/>
      <w:bookmarkStart w:id="50" w:name="_Toc4929"/>
      <w:bookmarkStart w:id="51" w:name="_Toc5635"/>
      <w:bookmarkStart w:id="52" w:name="_Toc1386"/>
      <w:bookmarkStart w:id="53" w:name="_Toc21124"/>
      <w:r>
        <w:rPr>
          <w:rFonts w:hint="eastAsia" w:ascii="楷体" w:hAnsi="楷体" w:eastAsia="楷体"/>
          <w:b/>
          <w:sz w:val="24"/>
        </w:rPr>
        <w:t>1.</w:t>
      </w:r>
      <w:r>
        <w:rPr>
          <w:rFonts w:ascii="楷体" w:hAnsi="楷体" w:eastAsia="楷体"/>
          <w:b/>
          <w:sz w:val="24"/>
        </w:rPr>
        <w:t>3</w:t>
      </w:r>
      <w:r>
        <w:rPr>
          <w:rFonts w:hint="eastAsia" w:ascii="楷体" w:hAnsi="楷体" w:eastAsia="楷体"/>
          <w:b/>
          <w:sz w:val="24"/>
        </w:rPr>
        <w:t xml:space="preserve"> 价款</w:t>
      </w:r>
      <w:bookmarkEnd w:id="49"/>
      <w:bookmarkEnd w:id="50"/>
      <w:bookmarkEnd w:id="51"/>
      <w:bookmarkEnd w:id="52"/>
      <w:bookmarkEnd w:id="53"/>
    </w:p>
    <w:p>
      <w:pPr>
        <w:spacing w:line="560" w:lineRule="exact"/>
        <w:ind w:firstLine="480" w:firstLineChars="200"/>
        <w:outlineLvl w:val="9"/>
        <w:rPr>
          <w:rFonts w:ascii="楷体" w:hAnsi="楷体" w:eastAsia="楷体"/>
          <w:sz w:val="24"/>
        </w:rPr>
      </w:pPr>
      <w:r>
        <w:rPr>
          <w:rFonts w:ascii="楷体" w:hAnsi="楷体" w:eastAsia="楷体"/>
          <w:sz w:val="24"/>
        </w:rPr>
        <w:t>本合同总价为</w:t>
      </w:r>
      <w:r>
        <w:rPr>
          <w:rFonts w:hint="eastAsia" w:ascii="楷体" w:hAnsi="楷体" w:eastAsia="楷体"/>
          <w:sz w:val="24"/>
        </w:rPr>
        <w:t>：￥</w:t>
      </w:r>
      <w:r>
        <w:rPr>
          <w:rFonts w:hint="eastAsia" w:ascii="楷体" w:hAnsi="楷体" w:eastAsia="楷体"/>
          <w:sz w:val="24"/>
          <w:u w:val="single"/>
        </w:rPr>
        <w:t xml:space="preserve">           </w:t>
      </w:r>
      <w:r>
        <w:rPr>
          <w:rFonts w:ascii="楷体" w:hAnsi="楷体" w:eastAsia="楷体"/>
          <w:sz w:val="24"/>
        </w:rPr>
        <w:t>元</w:t>
      </w:r>
      <w:r>
        <w:rPr>
          <w:rFonts w:hint="eastAsia" w:ascii="楷体" w:hAnsi="楷体" w:eastAsia="楷体"/>
          <w:sz w:val="24"/>
        </w:rPr>
        <w:t>（大写：</w:t>
      </w:r>
      <w:r>
        <w:rPr>
          <w:rFonts w:hint="eastAsia" w:ascii="楷体" w:hAnsi="楷体" w:eastAsia="楷体"/>
          <w:sz w:val="24"/>
          <w:u w:val="single"/>
        </w:rPr>
        <w:t xml:space="preserve">                 </w:t>
      </w:r>
      <w:r>
        <w:rPr>
          <w:rFonts w:hint="eastAsia" w:ascii="楷体" w:hAnsi="楷体" w:eastAsia="楷体"/>
          <w:sz w:val="24"/>
        </w:rPr>
        <w:t>元人民币）</w:t>
      </w:r>
      <w:r>
        <w:rPr>
          <w:rFonts w:ascii="楷体" w:hAnsi="楷体" w:eastAsia="楷体"/>
          <w:sz w:val="24"/>
        </w:rPr>
        <w:t>。</w:t>
      </w:r>
    </w:p>
    <w:p>
      <w:pPr>
        <w:spacing w:line="560" w:lineRule="exact"/>
        <w:ind w:firstLine="480" w:firstLineChars="200"/>
        <w:outlineLvl w:val="9"/>
        <w:rPr>
          <w:rFonts w:ascii="楷体" w:hAnsi="楷体" w:eastAsia="楷体"/>
          <w:sz w:val="24"/>
          <w:u w:val="single"/>
        </w:rPr>
      </w:pPr>
      <w:r>
        <w:rPr>
          <w:rFonts w:ascii="楷体" w:hAnsi="楷体" w:eastAsia="楷体"/>
          <w:sz w:val="24"/>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81"/>
              <w:spacing w:line="560" w:lineRule="exact"/>
              <w:jc w:val="center"/>
              <w:outlineLvl w:val="9"/>
              <w:rPr>
                <w:rFonts w:ascii="楷体" w:hAnsi="楷体" w:eastAsia="楷体"/>
                <w:color w:val="000000"/>
                <w:kern w:val="2"/>
                <w:sz w:val="24"/>
                <w:szCs w:val="24"/>
                <w:lang w:val="en-US" w:eastAsia="zh-CN"/>
              </w:rPr>
            </w:pPr>
            <w:r>
              <w:rPr>
                <w:rFonts w:ascii="楷体" w:hAnsi="楷体" w:eastAsia="楷体"/>
                <w:color w:val="000000"/>
                <w:kern w:val="2"/>
                <w:sz w:val="24"/>
                <w:szCs w:val="24"/>
                <w:lang w:val="en-US" w:eastAsia="zh-CN"/>
              </w:rPr>
              <w:t>序号</w:t>
            </w:r>
          </w:p>
        </w:tc>
        <w:tc>
          <w:tcPr>
            <w:tcW w:w="3402"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分项名称</w:t>
            </w:r>
          </w:p>
        </w:tc>
        <w:tc>
          <w:tcPr>
            <w:tcW w:w="2552" w:type="dxa"/>
            <w:noWrap w:val="0"/>
            <w:vAlign w:val="center"/>
          </w:tcPr>
          <w:p>
            <w:pPr>
              <w:pStyle w:val="481"/>
              <w:spacing w:line="560" w:lineRule="exact"/>
              <w:jc w:val="center"/>
              <w:outlineLvl w:val="9"/>
              <w:rPr>
                <w:rFonts w:ascii="楷体" w:hAnsi="楷体" w:eastAsia="楷体"/>
                <w:color w:val="000000"/>
                <w:kern w:val="2"/>
                <w:sz w:val="24"/>
                <w:szCs w:val="24"/>
                <w:lang w:val="en-US" w:eastAsia="zh-CN"/>
              </w:rPr>
            </w:pPr>
            <w:r>
              <w:rPr>
                <w:rFonts w:ascii="楷体" w:hAnsi="楷体" w:eastAsia="楷体"/>
                <w:color w:val="000000"/>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c>
          <w:tcPr>
            <w:tcW w:w="3402"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c>
          <w:tcPr>
            <w:tcW w:w="2552"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c>
          <w:tcPr>
            <w:tcW w:w="3402"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c>
          <w:tcPr>
            <w:tcW w:w="2552"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c>
          <w:tcPr>
            <w:tcW w:w="3402"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c>
          <w:tcPr>
            <w:tcW w:w="2552"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c>
          <w:tcPr>
            <w:tcW w:w="3402"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c>
          <w:tcPr>
            <w:tcW w:w="2552"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总价</w:t>
            </w:r>
          </w:p>
        </w:tc>
        <w:tc>
          <w:tcPr>
            <w:tcW w:w="2552" w:type="dxa"/>
            <w:noWrap w:val="0"/>
            <w:vAlign w:val="center"/>
          </w:tcPr>
          <w:p>
            <w:pPr>
              <w:pStyle w:val="481"/>
              <w:spacing w:line="560" w:lineRule="exact"/>
              <w:ind w:firstLine="200"/>
              <w:jc w:val="center"/>
              <w:outlineLvl w:val="9"/>
              <w:rPr>
                <w:rFonts w:ascii="楷体" w:hAnsi="楷体" w:eastAsia="楷体"/>
                <w:color w:val="000000"/>
                <w:kern w:val="2"/>
                <w:sz w:val="24"/>
                <w:szCs w:val="24"/>
                <w:lang w:val="en-US" w:eastAsia="zh-CN"/>
              </w:rPr>
            </w:pPr>
          </w:p>
        </w:tc>
      </w:tr>
    </w:tbl>
    <w:p>
      <w:pPr>
        <w:spacing w:line="560" w:lineRule="exact"/>
        <w:ind w:firstLine="482" w:firstLineChars="200"/>
        <w:outlineLvl w:val="9"/>
        <w:rPr>
          <w:rFonts w:ascii="楷体" w:hAnsi="楷体" w:eastAsia="楷体"/>
          <w:b/>
          <w:sz w:val="24"/>
        </w:rPr>
      </w:pPr>
      <w:bookmarkStart w:id="54" w:name="_Toc30158"/>
      <w:bookmarkStart w:id="55" w:name="_Toc14993"/>
      <w:bookmarkStart w:id="56" w:name="_Toc26916"/>
      <w:bookmarkStart w:id="57" w:name="_Toc3654"/>
      <w:bookmarkStart w:id="58" w:name="_Toc30506"/>
      <w:r>
        <w:rPr>
          <w:rFonts w:hint="eastAsia" w:ascii="楷体" w:hAnsi="楷体" w:eastAsia="楷体"/>
          <w:b/>
          <w:sz w:val="24"/>
        </w:rPr>
        <w:t>1.</w:t>
      </w:r>
      <w:r>
        <w:rPr>
          <w:rFonts w:ascii="楷体" w:hAnsi="楷体" w:eastAsia="楷体"/>
          <w:b/>
          <w:sz w:val="24"/>
        </w:rPr>
        <w:t>4</w:t>
      </w:r>
      <w:r>
        <w:rPr>
          <w:rFonts w:hint="eastAsia" w:ascii="楷体" w:hAnsi="楷体" w:eastAsia="楷体"/>
          <w:b/>
          <w:sz w:val="24"/>
        </w:rPr>
        <w:t xml:space="preserve"> </w:t>
      </w:r>
      <w:r>
        <w:rPr>
          <w:rFonts w:ascii="楷体" w:hAnsi="楷体" w:eastAsia="楷体"/>
          <w:b/>
          <w:sz w:val="24"/>
        </w:rPr>
        <w:t>付款方式和发票开具方式</w:t>
      </w:r>
      <w:bookmarkEnd w:id="54"/>
      <w:bookmarkEnd w:id="55"/>
      <w:bookmarkEnd w:id="56"/>
      <w:bookmarkEnd w:id="57"/>
      <w:bookmarkEnd w:id="58"/>
    </w:p>
    <w:p>
      <w:pPr>
        <w:spacing w:line="560" w:lineRule="exact"/>
        <w:ind w:firstLine="480" w:firstLineChars="200"/>
        <w:outlineLvl w:val="9"/>
        <w:rPr>
          <w:rFonts w:ascii="楷体" w:hAnsi="楷体" w:eastAsia="楷体"/>
          <w:sz w:val="24"/>
        </w:rPr>
      </w:pPr>
      <w:r>
        <w:rPr>
          <w:rFonts w:hint="eastAsia" w:ascii="楷体" w:hAnsi="楷体" w:eastAsia="楷体"/>
          <w:sz w:val="24"/>
        </w:rPr>
        <w:t>1.4.1</w:t>
      </w:r>
      <w:r>
        <w:rPr>
          <w:rFonts w:ascii="楷体" w:hAnsi="楷体" w:eastAsia="楷体"/>
          <w:sz w:val="24"/>
        </w:rPr>
        <w:t>付款方式：</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1.4.2 发票开具方式：</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9"/>
        <w:rPr>
          <w:rFonts w:ascii="楷体" w:hAnsi="楷体" w:eastAsia="楷体"/>
          <w:b/>
          <w:sz w:val="24"/>
        </w:rPr>
      </w:pPr>
      <w:bookmarkStart w:id="59" w:name="_Toc11108"/>
      <w:bookmarkStart w:id="60" w:name="_Toc8772"/>
      <w:bookmarkStart w:id="61" w:name="_Toc3625"/>
      <w:bookmarkStart w:id="62" w:name="_Toc4760"/>
      <w:bookmarkStart w:id="63" w:name="_Toc31421"/>
      <w:r>
        <w:rPr>
          <w:rFonts w:hint="eastAsia" w:ascii="楷体" w:hAnsi="楷体" w:eastAsia="楷体"/>
          <w:b/>
          <w:sz w:val="24"/>
        </w:rPr>
        <w:t>1.</w:t>
      </w:r>
      <w:r>
        <w:rPr>
          <w:rFonts w:ascii="楷体" w:hAnsi="楷体" w:eastAsia="楷体"/>
          <w:b/>
          <w:sz w:val="24"/>
        </w:rPr>
        <w:t>5</w:t>
      </w:r>
      <w:r>
        <w:rPr>
          <w:rFonts w:hint="eastAsia" w:ascii="楷体" w:hAnsi="楷体" w:eastAsia="楷体"/>
          <w:b/>
          <w:sz w:val="24"/>
        </w:rPr>
        <w:t xml:space="preserve"> 履行</w:t>
      </w:r>
      <w:r>
        <w:rPr>
          <w:rFonts w:ascii="楷体" w:hAnsi="楷体" w:eastAsia="楷体"/>
          <w:b/>
          <w:sz w:val="24"/>
        </w:rPr>
        <w:t>期限</w:t>
      </w:r>
      <w:r>
        <w:rPr>
          <w:rFonts w:hint="eastAsia" w:ascii="楷体" w:hAnsi="楷体" w:eastAsia="楷体"/>
          <w:b/>
          <w:sz w:val="24"/>
        </w:rPr>
        <w:t>、地点和方式</w:t>
      </w:r>
      <w:bookmarkEnd w:id="59"/>
      <w:bookmarkEnd w:id="60"/>
      <w:bookmarkEnd w:id="61"/>
      <w:bookmarkEnd w:id="62"/>
      <w:bookmarkEnd w:id="63"/>
    </w:p>
    <w:p>
      <w:pPr>
        <w:spacing w:line="560" w:lineRule="exact"/>
        <w:ind w:firstLine="480" w:firstLineChars="200"/>
        <w:outlineLvl w:val="9"/>
        <w:rPr>
          <w:rFonts w:ascii="楷体" w:hAnsi="楷体" w:eastAsia="楷体"/>
          <w:sz w:val="24"/>
          <w:u w:val="single"/>
        </w:rPr>
      </w:pPr>
      <w:r>
        <w:rPr>
          <w:rFonts w:hint="eastAsia" w:ascii="楷体" w:hAnsi="楷体" w:eastAsia="楷体"/>
          <w:sz w:val="24"/>
        </w:rPr>
        <w:t>1.5.1 履行期限</w:t>
      </w:r>
      <w:r>
        <w:rPr>
          <w:rFonts w:ascii="楷体" w:hAnsi="楷体" w:eastAsia="楷体"/>
          <w:sz w:val="24"/>
        </w:rPr>
        <w:t>：</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1.5.2 履行地点</w:t>
      </w:r>
      <w:r>
        <w:rPr>
          <w:rFonts w:ascii="楷体" w:hAnsi="楷体" w:eastAsia="楷体"/>
          <w:sz w:val="24"/>
        </w:rPr>
        <w:t>：</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1.5.3 履行方式：</w:t>
      </w:r>
      <w:r>
        <w:rPr>
          <w:rFonts w:ascii="楷体" w:hAnsi="楷体" w:eastAsia="楷体"/>
          <w:sz w:val="24"/>
          <w:u w:val="single"/>
        </w:rPr>
        <w:t>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9"/>
        <w:rPr>
          <w:rFonts w:ascii="楷体" w:hAnsi="楷体" w:eastAsia="楷体"/>
          <w:sz w:val="24"/>
          <w:u w:val="single"/>
        </w:rPr>
      </w:pPr>
      <w:bookmarkStart w:id="64" w:name="_Toc24662"/>
      <w:bookmarkStart w:id="65" w:name="_Toc2375"/>
      <w:bookmarkStart w:id="66" w:name="_Toc5698"/>
      <w:bookmarkStart w:id="67" w:name="_Toc3079"/>
      <w:bookmarkStart w:id="68" w:name="_Toc8586"/>
      <w:r>
        <w:rPr>
          <w:rFonts w:hint="eastAsia" w:ascii="楷体" w:hAnsi="楷体" w:eastAsia="楷体"/>
          <w:b/>
          <w:sz w:val="24"/>
        </w:rPr>
        <w:t>1.6 违约责任</w:t>
      </w:r>
      <w:bookmarkEnd w:id="64"/>
      <w:bookmarkEnd w:id="65"/>
      <w:bookmarkEnd w:id="66"/>
      <w:bookmarkEnd w:id="67"/>
      <w:bookmarkEnd w:id="68"/>
    </w:p>
    <w:p>
      <w:pPr>
        <w:spacing w:line="560" w:lineRule="exact"/>
        <w:ind w:firstLine="480" w:firstLineChars="200"/>
        <w:outlineLvl w:val="9"/>
        <w:rPr>
          <w:rFonts w:ascii="楷体" w:hAnsi="楷体" w:eastAsia="楷体"/>
          <w:sz w:val="24"/>
        </w:rPr>
      </w:pPr>
      <w:bookmarkStart w:id="69" w:name="_Toc9497"/>
      <w:bookmarkStart w:id="70" w:name="_Toc30329"/>
      <w:bookmarkStart w:id="71" w:name="_Toc18683"/>
      <w:bookmarkStart w:id="72" w:name="_Toc32454"/>
      <w:bookmarkStart w:id="73" w:name="_Toc26807"/>
      <w:r>
        <w:rPr>
          <w:rFonts w:hint="eastAsia" w:ascii="楷体" w:hAnsi="楷体" w:eastAsia="楷体"/>
          <w:sz w:val="24"/>
        </w:rPr>
        <w:t xml:space="preserve">1.6.1 </w:t>
      </w:r>
      <w:r>
        <w:rPr>
          <w:rFonts w:ascii="楷体" w:hAnsi="楷体" w:eastAsia="楷体"/>
          <w:sz w:val="24"/>
        </w:rPr>
        <w:t>除不可抗力外，如果乙方没有按照本合同约定的期限</w:t>
      </w:r>
      <w:r>
        <w:rPr>
          <w:rFonts w:hint="eastAsia" w:ascii="楷体" w:hAnsi="楷体" w:eastAsia="楷体"/>
          <w:sz w:val="24"/>
        </w:rPr>
        <w:t>、</w:t>
      </w:r>
      <w:r>
        <w:rPr>
          <w:rFonts w:ascii="楷体" w:hAnsi="楷体" w:eastAsia="楷体"/>
          <w:sz w:val="24"/>
        </w:rPr>
        <w:t>地点和方式交付货物，那么甲方可要求乙方支付违约金</w:t>
      </w:r>
      <w:r>
        <w:rPr>
          <w:rFonts w:hint="eastAsia" w:ascii="楷体" w:hAnsi="楷体" w:eastAsia="楷体"/>
          <w:sz w:val="24"/>
        </w:rPr>
        <w:t>，</w:t>
      </w:r>
      <w:r>
        <w:rPr>
          <w:rFonts w:ascii="楷体" w:hAnsi="楷体" w:eastAsia="楷体"/>
          <w:sz w:val="24"/>
        </w:rPr>
        <w:t>违约金按每迟延交付货物一日的应交付而未交付货物价格的</w:t>
      </w:r>
      <w:r>
        <w:rPr>
          <w:rFonts w:hint="eastAsia" w:ascii="楷体" w:hAnsi="楷体" w:eastAsia="楷体"/>
          <w:sz w:val="24"/>
          <w:u w:val="single"/>
        </w:rPr>
        <w:t xml:space="preserve">    </w:t>
      </w:r>
      <w:r>
        <w:rPr>
          <w:rFonts w:ascii="楷体" w:hAnsi="楷体" w:eastAsia="楷体"/>
          <w:sz w:val="24"/>
        </w:rPr>
        <w:t>%计算</w:t>
      </w:r>
      <w:r>
        <w:rPr>
          <w:rFonts w:hint="eastAsia" w:ascii="楷体" w:hAnsi="楷体" w:eastAsia="楷体"/>
          <w:sz w:val="24"/>
        </w:rPr>
        <w:t>，</w:t>
      </w:r>
      <w:r>
        <w:rPr>
          <w:rFonts w:ascii="楷体" w:hAnsi="楷体" w:eastAsia="楷体"/>
          <w:sz w:val="24"/>
        </w:rPr>
        <w:t>最高限额为</w:t>
      </w:r>
      <w:r>
        <w:rPr>
          <w:rFonts w:hint="eastAsia" w:ascii="楷体" w:hAnsi="楷体" w:eastAsia="楷体"/>
          <w:sz w:val="24"/>
        </w:rPr>
        <w:t>本</w:t>
      </w:r>
      <w:r>
        <w:rPr>
          <w:rFonts w:ascii="楷体" w:hAnsi="楷体" w:eastAsia="楷体"/>
          <w:sz w:val="24"/>
        </w:rPr>
        <w:t>合同总价的</w:t>
      </w:r>
      <w:r>
        <w:rPr>
          <w:rFonts w:hint="eastAsia" w:ascii="楷体" w:hAnsi="楷体" w:eastAsia="楷体"/>
          <w:sz w:val="24"/>
          <w:u w:val="single"/>
        </w:rPr>
        <w:t xml:space="preserve">     </w:t>
      </w:r>
      <w:r>
        <w:rPr>
          <w:rFonts w:ascii="楷体" w:hAnsi="楷体" w:eastAsia="楷体"/>
          <w:sz w:val="24"/>
        </w:rPr>
        <w:t>%</w:t>
      </w:r>
      <w:r>
        <w:rPr>
          <w:rFonts w:hint="eastAsia" w:ascii="楷体" w:hAnsi="楷体" w:eastAsia="楷体"/>
          <w:sz w:val="24"/>
        </w:rPr>
        <w:t>；</w:t>
      </w:r>
      <w:r>
        <w:rPr>
          <w:rFonts w:ascii="楷体" w:hAnsi="楷体" w:eastAsia="楷体"/>
          <w:sz w:val="24"/>
        </w:rPr>
        <w:t>迟延交付货物的违约金计算数额达到前述最高限额之日起</w:t>
      </w:r>
      <w:r>
        <w:rPr>
          <w:rFonts w:hint="eastAsia" w:ascii="楷体" w:hAnsi="楷体" w:eastAsia="楷体"/>
          <w:sz w:val="24"/>
        </w:rPr>
        <w:t>，</w:t>
      </w:r>
      <w:r>
        <w:rPr>
          <w:rFonts w:ascii="楷体" w:hAnsi="楷体" w:eastAsia="楷体"/>
          <w:sz w:val="24"/>
        </w:rPr>
        <w:t>甲方有权在要求乙方支付违约金的同时</w:t>
      </w:r>
      <w:r>
        <w:rPr>
          <w:rFonts w:hint="eastAsia" w:ascii="楷体" w:hAnsi="楷体" w:eastAsia="楷体"/>
          <w:sz w:val="24"/>
        </w:rPr>
        <w:t>，书面通知乙方</w:t>
      </w:r>
      <w:r>
        <w:rPr>
          <w:rFonts w:ascii="楷体" w:hAnsi="楷体" w:eastAsia="楷体"/>
          <w:sz w:val="24"/>
        </w:rPr>
        <w:t>解除本合同</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 xml:space="preserve">1.6.2 </w:t>
      </w:r>
      <w:r>
        <w:rPr>
          <w:rFonts w:ascii="楷体" w:hAnsi="楷体" w:eastAsia="楷体"/>
          <w:sz w:val="24"/>
        </w:rPr>
        <w:t>除不可抗力外，如果甲方没有按照本合同约定的付款方式付款，那么乙方可要求甲方支付违约金</w:t>
      </w:r>
      <w:r>
        <w:rPr>
          <w:rFonts w:hint="eastAsia" w:ascii="楷体" w:hAnsi="楷体" w:eastAsia="楷体"/>
          <w:sz w:val="24"/>
        </w:rPr>
        <w:t>，</w:t>
      </w:r>
      <w:r>
        <w:rPr>
          <w:rFonts w:ascii="楷体" w:hAnsi="楷体" w:eastAsia="楷体"/>
          <w:sz w:val="24"/>
        </w:rPr>
        <w:t>违约金按每迟延</w:t>
      </w:r>
      <w:r>
        <w:rPr>
          <w:rFonts w:hint="eastAsia" w:ascii="楷体" w:hAnsi="楷体" w:eastAsia="楷体"/>
          <w:sz w:val="24"/>
        </w:rPr>
        <w:t>付款</w:t>
      </w:r>
      <w:r>
        <w:rPr>
          <w:rFonts w:ascii="楷体" w:hAnsi="楷体" w:eastAsia="楷体"/>
          <w:sz w:val="24"/>
        </w:rPr>
        <w:t>一日的应付而未付款的</w:t>
      </w:r>
      <w:r>
        <w:rPr>
          <w:rFonts w:hint="eastAsia" w:ascii="楷体" w:hAnsi="楷体" w:eastAsia="楷体"/>
          <w:sz w:val="24"/>
          <w:u w:val="single"/>
        </w:rPr>
        <w:t xml:space="preserve">    </w:t>
      </w:r>
      <w:r>
        <w:rPr>
          <w:rFonts w:ascii="楷体" w:hAnsi="楷体" w:eastAsia="楷体"/>
          <w:sz w:val="24"/>
        </w:rPr>
        <w:t>%计算</w:t>
      </w:r>
      <w:r>
        <w:rPr>
          <w:rFonts w:hint="eastAsia" w:ascii="楷体" w:hAnsi="楷体" w:eastAsia="楷体"/>
          <w:sz w:val="24"/>
        </w:rPr>
        <w:t>，</w:t>
      </w:r>
      <w:r>
        <w:rPr>
          <w:rFonts w:ascii="楷体" w:hAnsi="楷体" w:eastAsia="楷体"/>
          <w:sz w:val="24"/>
        </w:rPr>
        <w:t>最高限额为</w:t>
      </w:r>
      <w:r>
        <w:rPr>
          <w:rFonts w:hint="eastAsia" w:ascii="楷体" w:hAnsi="楷体" w:eastAsia="楷体"/>
          <w:sz w:val="24"/>
        </w:rPr>
        <w:t>本</w:t>
      </w:r>
      <w:r>
        <w:rPr>
          <w:rFonts w:ascii="楷体" w:hAnsi="楷体" w:eastAsia="楷体"/>
          <w:sz w:val="24"/>
        </w:rPr>
        <w:t>合同总价的</w:t>
      </w:r>
      <w:r>
        <w:rPr>
          <w:rFonts w:hint="eastAsia" w:ascii="楷体" w:hAnsi="楷体" w:eastAsia="楷体"/>
          <w:sz w:val="24"/>
          <w:u w:val="single"/>
        </w:rPr>
        <w:t xml:space="preserve">     </w:t>
      </w:r>
      <w:r>
        <w:rPr>
          <w:rFonts w:ascii="楷体" w:hAnsi="楷体" w:eastAsia="楷体"/>
          <w:sz w:val="24"/>
        </w:rPr>
        <w:t>%</w:t>
      </w:r>
      <w:r>
        <w:rPr>
          <w:rFonts w:hint="eastAsia" w:ascii="楷体" w:hAnsi="楷体" w:eastAsia="楷体"/>
          <w:sz w:val="24"/>
        </w:rPr>
        <w:t>；</w:t>
      </w:r>
      <w:r>
        <w:rPr>
          <w:rFonts w:ascii="楷体" w:hAnsi="楷体" w:eastAsia="楷体"/>
          <w:sz w:val="24"/>
        </w:rPr>
        <w:t>迟延</w:t>
      </w:r>
      <w:r>
        <w:rPr>
          <w:rFonts w:hint="eastAsia" w:ascii="楷体" w:hAnsi="楷体" w:eastAsia="楷体"/>
          <w:sz w:val="24"/>
        </w:rPr>
        <w:t>付款</w:t>
      </w:r>
      <w:r>
        <w:rPr>
          <w:rFonts w:ascii="楷体" w:hAnsi="楷体" w:eastAsia="楷体"/>
          <w:sz w:val="24"/>
        </w:rPr>
        <w:t>的违约金计算数额达到前述最高限额之日起</w:t>
      </w:r>
      <w:r>
        <w:rPr>
          <w:rFonts w:hint="eastAsia" w:ascii="楷体" w:hAnsi="楷体" w:eastAsia="楷体"/>
          <w:sz w:val="24"/>
        </w:rPr>
        <w:t>，乙</w:t>
      </w:r>
      <w:r>
        <w:rPr>
          <w:rFonts w:ascii="楷体" w:hAnsi="楷体" w:eastAsia="楷体"/>
          <w:sz w:val="24"/>
        </w:rPr>
        <w:t>方有权在要求甲方支付违约金的同时</w:t>
      </w:r>
      <w:r>
        <w:rPr>
          <w:rFonts w:hint="eastAsia" w:ascii="楷体" w:hAnsi="楷体" w:eastAsia="楷体"/>
          <w:sz w:val="24"/>
        </w:rPr>
        <w:t>，书面通知甲方</w:t>
      </w:r>
      <w:r>
        <w:rPr>
          <w:rFonts w:ascii="楷体" w:hAnsi="楷体" w:eastAsia="楷体"/>
          <w:sz w:val="24"/>
        </w:rPr>
        <w:t>解除本合同</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outlineLvl w:val="9"/>
        <w:rPr>
          <w:rFonts w:ascii="楷体" w:hAnsi="楷体" w:eastAsia="楷体"/>
          <w:sz w:val="24"/>
        </w:rPr>
      </w:pPr>
      <w:r>
        <w:rPr>
          <w:rFonts w:hint="eastAsia" w:ascii="楷体" w:hAnsi="楷体" w:eastAsia="楷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outlineLvl w:val="9"/>
        <w:rPr>
          <w:rFonts w:ascii="楷体" w:hAnsi="楷体" w:eastAsia="楷体"/>
          <w:sz w:val="24"/>
        </w:rPr>
      </w:pPr>
      <w:r>
        <w:rPr>
          <w:rFonts w:hint="eastAsia" w:ascii="楷体" w:hAnsi="楷体" w:eastAsia="楷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outlineLvl w:val="9"/>
        <w:rPr>
          <w:rFonts w:ascii="楷体" w:hAnsi="楷体" w:eastAsia="楷体"/>
          <w:sz w:val="24"/>
        </w:rPr>
      </w:pPr>
      <w:r>
        <w:rPr>
          <w:rFonts w:hint="eastAsia" w:ascii="楷体" w:hAnsi="楷体" w:eastAsia="楷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9"/>
        <w:rPr>
          <w:rFonts w:ascii="楷体" w:hAnsi="楷体" w:eastAsia="楷体"/>
          <w:b/>
          <w:sz w:val="24"/>
        </w:rPr>
      </w:pPr>
      <w:r>
        <w:rPr>
          <w:rFonts w:hint="eastAsia" w:ascii="楷体" w:hAnsi="楷体" w:eastAsia="楷体"/>
          <w:b/>
          <w:sz w:val="24"/>
        </w:rPr>
        <w:t>1.7 合同</w:t>
      </w:r>
      <w:r>
        <w:rPr>
          <w:rFonts w:ascii="楷体" w:hAnsi="楷体" w:eastAsia="楷体"/>
          <w:b/>
          <w:sz w:val="24"/>
        </w:rPr>
        <w:t>争议的解决</w:t>
      </w:r>
      <w:bookmarkEnd w:id="69"/>
      <w:bookmarkEnd w:id="70"/>
      <w:bookmarkEnd w:id="71"/>
      <w:bookmarkEnd w:id="72"/>
      <w:bookmarkEnd w:id="73"/>
    </w:p>
    <w:p>
      <w:pPr>
        <w:spacing w:line="560" w:lineRule="exact"/>
        <w:ind w:firstLine="480" w:firstLineChars="200"/>
        <w:outlineLvl w:val="9"/>
        <w:rPr>
          <w:rFonts w:ascii="楷体" w:hAnsi="楷体" w:eastAsia="楷体"/>
          <w:sz w:val="24"/>
        </w:rPr>
      </w:pPr>
      <w:r>
        <w:rPr>
          <w:rFonts w:hint="eastAsia" w:ascii="楷体" w:hAnsi="楷体" w:eastAsia="楷体"/>
          <w:sz w:val="24"/>
        </w:rPr>
        <w:t>本合</w:t>
      </w:r>
      <w:r>
        <w:rPr>
          <w:rFonts w:ascii="楷体" w:hAnsi="楷体" w:eastAsia="楷体"/>
          <w:sz w:val="24"/>
        </w:rPr>
        <w:t>同履行过程中发生的任何争议，双方当事人均可</w:t>
      </w:r>
      <w:r>
        <w:rPr>
          <w:rFonts w:hint="eastAsia" w:ascii="楷体" w:hAnsi="楷体" w:eastAsia="楷体"/>
          <w:sz w:val="24"/>
        </w:rPr>
        <w:t>通过和解或者调解解决；不愿和解、调解或者和解、调解不成的，可以选择下列第</w:t>
      </w:r>
      <w:r>
        <w:rPr>
          <w:rFonts w:hint="eastAsia"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outlineLvl w:val="9"/>
        <w:rPr>
          <w:rFonts w:ascii="楷体" w:hAnsi="楷体" w:eastAsia="楷体"/>
          <w:sz w:val="24"/>
        </w:rPr>
      </w:pPr>
      <w:r>
        <w:rPr>
          <w:rFonts w:hint="eastAsia" w:ascii="楷体" w:hAnsi="楷体" w:eastAsia="楷体"/>
          <w:sz w:val="24"/>
        </w:rPr>
        <w:t>1.7.1 将争议提交</w:t>
      </w:r>
      <w:r>
        <w:rPr>
          <w:rFonts w:hint="eastAsia"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outlineLvl w:val="9"/>
        <w:rPr>
          <w:rFonts w:ascii="楷体" w:hAnsi="楷体" w:eastAsia="楷体"/>
          <w:sz w:val="24"/>
        </w:rPr>
      </w:pPr>
      <w:r>
        <w:rPr>
          <w:rFonts w:hint="eastAsia" w:ascii="楷体" w:hAnsi="楷体" w:eastAsia="楷体"/>
          <w:sz w:val="24"/>
        </w:rPr>
        <w:t>1.7.2 向</w:t>
      </w:r>
      <w:r>
        <w:rPr>
          <w:rFonts w:hint="eastAsia" w:ascii="楷体" w:hAnsi="楷体" w:eastAsia="楷体"/>
          <w:sz w:val="24"/>
          <w:u w:val="single"/>
        </w:rPr>
        <w:t xml:space="preserve">   （被告住所地、合同履行地、合同签订地、原告住所地、标的物所在地等与争议有实际联系的地点中选出的人民法院名称）    </w:t>
      </w:r>
      <w:r>
        <w:rPr>
          <w:rFonts w:hint="eastAsia" w:ascii="楷体" w:hAnsi="楷体" w:eastAsia="楷体"/>
          <w:sz w:val="24"/>
        </w:rPr>
        <w:t>人民法院起诉。</w:t>
      </w:r>
    </w:p>
    <w:p>
      <w:pPr>
        <w:spacing w:line="560" w:lineRule="exact"/>
        <w:ind w:firstLine="482" w:firstLineChars="200"/>
        <w:outlineLvl w:val="9"/>
        <w:rPr>
          <w:rFonts w:ascii="楷体" w:hAnsi="楷体" w:eastAsia="楷体"/>
          <w:b/>
          <w:sz w:val="24"/>
        </w:rPr>
      </w:pPr>
      <w:bookmarkStart w:id="74" w:name="_Toc26227"/>
      <w:bookmarkStart w:id="75" w:name="_Toc12273"/>
      <w:bookmarkStart w:id="76" w:name="_Toc23784"/>
      <w:bookmarkStart w:id="77" w:name="_Toc16417"/>
      <w:bookmarkStart w:id="78" w:name="_Toc15827"/>
      <w:r>
        <w:rPr>
          <w:rFonts w:hint="eastAsia" w:ascii="楷体" w:hAnsi="楷体" w:eastAsia="楷体"/>
          <w:b/>
          <w:sz w:val="24"/>
        </w:rPr>
        <w:t xml:space="preserve">1.8 </w:t>
      </w:r>
      <w:r>
        <w:rPr>
          <w:rFonts w:ascii="楷体" w:hAnsi="楷体" w:eastAsia="楷体"/>
          <w:b/>
          <w:sz w:val="24"/>
        </w:rPr>
        <w:t>合同生效</w:t>
      </w:r>
      <w:bookmarkEnd w:id="74"/>
      <w:bookmarkEnd w:id="75"/>
      <w:bookmarkEnd w:id="76"/>
      <w:bookmarkEnd w:id="77"/>
      <w:bookmarkEnd w:id="78"/>
    </w:p>
    <w:p>
      <w:pPr>
        <w:spacing w:line="560" w:lineRule="exact"/>
        <w:ind w:firstLine="480" w:firstLineChars="200"/>
        <w:outlineLvl w:val="9"/>
        <w:rPr>
          <w:rFonts w:ascii="楷体" w:hAnsi="楷体" w:eastAsia="楷体"/>
          <w:b/>
          <w:sz w:val="24"/>
        </w:rPr>
      </w:pPr>
      <w:r>
        <w:rPr>
          <w:rFonts w:ascii="楷体" w:hAnsi="楷体" w:eastAsia="楷体"/>
          <w:sz w:val="24"/>
        </w:rPr>
        <w:t>本合同自</w:t>
      </w:r>
      <w:r>
        <w:rPr>
          <w:rFonts w:hint="eastAsia" w:ascii="楷体" w:hAnsi="楷体" w:eastAsia="楷体"/>
          <w:sz w:val="24"/>
        </w:rPr>
        <w:t>双方当事人盖章或者签字时</w:t>
      </w:r>
      <w:r>
        <w:rPr>
          <w:rFonts w:ascii="楷体" w:hAnsi="楷体" w:eastAsia="楷体"/>
          <w:sz w:val="24"/>
        </w:rPr>
        <w:t>生效。</w:t>
      </w:r>
    </w:p>
    <w:p>
      <w:pPr>
        <w:autoSpaceDE w:val="0"/>
        <w:autoSpaceDN w:val="0"/>
        <w:adjustRightInd w:val="0"/>
        <w:spacing w:line="560" w:lineRule="exact"/>
        <w:outlineLvl w:val="9"/>
        <w:rPr>
          <w:rFonts w:ascii="楷体" w:hAnsi="楷体" w:eastAsia="楷体"/>
          <w:sz w:val="24"/>
          <w:lang w:val="zh-CN"/>
        </w:rPr>
      </w:pPr>
    </w:p>
    <w:p>
      <w:pPr>
        <w:autoSpaceDE w:val="0"/>
        <w:autoSpaceDN w:val="0"/>
        <w:adjustRightInd w:val="0"/>
        <w:spacing w:line="560" w:lineRule="exact"/>
        <w:outlineLvl w:val="9"/>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 xml:space="preserve">：                             </w:t>
      </w:r>
      <w:r>
        <w:rPr>
          <w:rFonts w:hint="eastAsia" w:ascii="楷体" w:hAnsi="楷体" w:eastAsia="楷体"/>
          <w:b/>
          <w:sz w:val="24"/>
          <w:lang w:val="zh-CN"/>
        </w:rPr>
        <w:t xml:space="preserve">      乙方</w:t>
      </w:r>
      <w:r>
        <w:rPr>
          <w:rFonts w:hint="eastAsia" w:ascii="楷体" w:hAnsi="楷体" w:eastAsia="楷体"/>
          <w:sz w:val="24"/>
          <w:lang w:val="zh-CN"/>
        </w:rPr>
        <w:t>：</w:t>
      </w:r>
    </w:p>
    <w:p>
      <w:pPr>
        <w:autoSpaceDE w:val="0"/>
        <w:autoSpaceDN w:val="0"/>
        <w:adjustRightInd w:val="0"/>
        <w:spacing w:line="560" w:lineRule="exact"/>
        <w:outlineLvl w:val="9"/>
        <w:rPr>
          <w:rFonts w:ascii="楷体" w:hAnsi="楷体" w:eastAsia="楷体"/>
          <w:sz w:val="24"/>
          <w:lang w:val="zh-CN"/>
        </w:rPr>
      </w:pPr>
      <w:r>
        <w:rPr>
          <w:rFonts w:hint="eastAsia" w:ascii="楷体" w:hAnsi="楷体" w:eastAsia="楷体"/>
          <w:sz w:val="24"/>
          <w:lang w:val="zh-CN"/>
        </w:rPr>
        <w:t>统一社会信用代码：                        统一社会信用代码或身份证号码：</w:t>
      </w:r>
    </w:p>
    <w:p>
      <w:pPr>
        <w:autoSpaceDE w:val="0"/>
        <w:autoSpaceDN w:val="0"/>
        <w:adjustRightInd w:val="0"/>
        <w:spacing w:line="560" w:lineRule="exact"/>
        <w:outlineLvl w:val="9"/>
        <w:rPr>
          <w:rFonts w:ascii="楷体" w:hAnsi="楷体" w:eastAsia="楷体"/>
          <w:sz w:val="24"/>
          <w:lang w:val="zh-CN"/>
        </w:rPr>
      </w:pPr>
    </w:p>
    <w:p>
      <w:pPr>
        <w:autoSpaceDE w:val="0"/>
        <w:autoSpaceDN w:val="0"/>
        <w:adjustRightInd w:val="0"/>
        <w:spacing w:line="560" w:lineRule="exact"/>
        <w:outlineLvl w:val="9"/>
        <w:rPr>
          <w:rFonts w:ascii="楷体" w:hAnsi="楷体" w:eastAsia="楷体"/>
          <w:sz w:val="24"/>
          <w:lang w:val="zh-CN"/>
        </w:rPr>
      </w:pPr>
      <w:r>
        <w:rPr>
          <w:rFonts w:hint="eastAsia" w:ascii="楷体" w:hAnsi="楷体" w:eastAsia="楷体"/>
          <w:sz w:val="24"/>
          <w:lang w:val="zh-CN"/>
        </w:rPr>
        <w:t>住所：                                   住所：</w:t>
      </w:r>
    </w:p>
    <w:p>
      <w:pPr>
        <w:autoSpaceDE w:val="0"/>
        <w:autoSpaceDN w:val="0"/>
        <w:adjustRightInd w:val="0"/>
        <w:spacing w:line="560" w:lineRule="exact"/>
        <w:outlineLvl w:val="9"/>
        <w:rPr>
          <w:rFonts w:ascii="楷体" w:hAnsi="楷体" w:eastAsia="楷体"/>
          <w:sz w:val="24"/>
          <w:lang w:val="zh-CN"/>
        </w:rPr>
      </w:pPr>
      <w:r>
        <w:rPr>
          <w:rFonts w:hint="eastAsia" w:ascii="楷体" w:hAnsi="楷体" w:eastAsia="楷体"/>
          <w:sz w:val="24"/>
          <w:lang w:val="zh-CN"/>
        </w:rPr>
        <w:t>法定代表人或                             法定代表人</w:t>
      </w:r>
    </w:p>
    <w:p>
      <w:pPr>
        <w:autoSpaceDE w:val="0"/>
        <w:autoSpaceDN w:val="0"/>
        <w:adjustRightInd w:val="0"/>
        <w:spacing w:line="560" w:lineRule="exact"/>
        <w:outlineLvl w:val="9"/>
        <w:rPr>
          <w:rFonts w:ascii="楷体" w:hAnsi="楷体" w:eastAsia="楷体"/>
          <w:sz w:val="24"/>
          <w:lang w:val="zh-CN"/>
        </w:rPr>
      </w:pPr>
      <w:r>
        <w:rPr>
          <w:rFonts w:hint="eastAsia" w:ascii="楷体" w:hAnsi="楷体" w:eastAsia="楷体"/>
          <w:sz w:val="24"/>
          <w:lang w:val="zh-CN"/>
        </w:rPr>
        <w:t xml:space="preserve">授权代表（签字）：                        或授权代表（签字）: </w:t>
      </w:r>
    </w:p>
    <w:p>
      <w:pPr>
        <w:autoSpaceDE w:val="0"/>
        <w:autoSpaceDN w:val="0"/>
        <w:adjustRightInd w:val="0"/>
        <w:spacing w:line="560" w:lineRule="exact"/>
        <w:outlineLvl w:val="9"/>
        <w:rPr>
          <w:rFonts w:ascii="楷体" w:hAnsi="楷体" w:eastAsia="楷体"/>
          <w:sz w:val="24"/>
          <w:lang w:val="zh-CN"/>
        </w:rPr>
      </w:pPr>
      <w:r>
        <w:rPr>
          <w:rFonts w:hint="eastAsia" w:ascii="楷体" w:hAnsi="楷体" w:eastAsia="楷体"/>
          <w:sz w:val="24"/>
          <w:lang w:val="zh-CN"/>
        </w:rPr>
        <w:t>联系人：                                 联系人：</w:t>
      </w:r>
    </w:p>
    <w:p>
      <w:pPr>
        <w:autoSpaceDE w:val="0"/>
        <w:autoSpaceDN w:val="0"/>
        <w:adjustRightInd w:val="0"/>
        <w:spacing w:line="560" w:lineRule="exact"/>
        <w:outlineLvl w:val="9"/>
        <w:rPr>
          <w:rFonts w:ascii="楷体" w:hAnsi="楷体" w:eastAsia="楷体"/>
          <w:sz w:val="24"/>
          <w:lang w:val="zh-CN"/>
        </w:rPr>
      </w:pPr>
      <w:r>
        <w:rPr>
          <w:rFonts w:hint="eastAsia" w:ascii="楷体" w:hAnsi="楷体" w:eastAsia="楷体"/>
          <w:sz w:val="24"/>
          <w:lang w:val="zh-CN"/>
        </w:rPr>
        <w:t>约定送达地址：                           约定送达地址：</w:t>
      </w:r>
    </w:p>
    <w:p>
      <w:pPr>
        <w:autoSpaceDE w:val="0"/>
        <w:autoSpaceDN w:val="0"/>
        <w:adjustRightInd w:val="0"/>
        <w:spacing w:line="560" w:lineRule="exact"/>
        <w:outlineLvl w:val="9"/>
        <w:rPr>
          <w:rFonts w:ascii="楷体" w:hAnsi="楷体" w:eastAsia="楷体"/>
          <w:sz w:val="24"/>
          <w:lang w:val="zh-CN"/>
        </w:rPr>
      </w:pPr>
      <w:r>
        <w:rPr>
          <w:rFonts w:hint="eastAsia" w:ascii="楷体" w:hAnsi="楷体" w:eastAsia="楷体"/>
          <w:sz w:val="24"/>
          <w:lang w:val="zh-CN"/>
        </w:rPr>
        <w:t>邮政编码：                               邮政编码：</w:t>
      </w:r>
    </w:p>
    <w:p>
      <w:pPr>
        <w:autoSpaceDE w:val="0"/>
        <w:autoSpaceDN w:val="0"/>
        <w:adjustRightInd w:val="0"/>
        <w:spacing w:line="560" w:lineRule="exact"/>
        <w:outlineLvl w:val="9"/>
        <w:rPr>
          <w:rFonts w:ascii="楷体" w:hAnsi="楷体" w:eastAsia="楷体"/>
          <w:sz w:val="24"/>
          <w:lang w:val="zh-CN"/>
        </w:rPr>
      </w:pPr>
      <w:r>
        <w:rPr>
          <w:rFonts w:hint="eastAsia" w:ascii="楷体" w:hAnsi="楷体" w:eastAsia="楷体"/>
          <w:sz w:val="24"/>
          <w:lang w:val="zh-CN"/>
        </w:rPr>
        <w:t xml:space="preserve">电话:                                    电话: </w:t>
      </w:r>
    </w:p>
    <w:p>
      <w:pPr>
        <w:autoSpaceDE w:val="0"/>
        <w:autoSpaceDN w:val="0"/>
        <w:adjustRightInd w:val="0"/>
        <w:spacing w:line="560" w:lineRule="exact"/>
        <w:outlineLvl w:val="9"/>
        <w:rPr>
          <w:rFonts w:ascii="楷体" w:hAnsi="楷体" w:eastAsia="楷体"/>
          <w:sz w:val="24"/>
          <w:lang w:val="zh-CN"/>
        </w:rPr>
      </w:pPr>
      <w:r>
        <w:rPr>
          <w:rFonts w:hint="eastAsia" w:ascii="楷体" w:hAnsi="楷体" w:eastAsia="楷体"/>
          <w:sz w:val="24"/>
          <w:lang w:val="zh-CN"/>
        </w:rPr>
        <w:t>传真:                                    传真:</w:t>
      </w:r>
    </w:p>
    <w:p>
      <w:pPr>
        <w:autoSpaceDE w:val="0"/>
        <w:autoSpaceDN w:val="0"/>
        <w:adjustRightInd w:val="0"/>
        <w:spacing w:line="560" w:lineRule="exact"/>
        <w:outlineLvl w:val="9"/>
        <w:rPr>
          <w:rFonts w:ascii="楷体" w:hAnsi="楷体" w:eastAsia="楷体"/>
          <w:sz w:val="24"/>
        </w:rPr>
      </w:pPr>
      <w:r>
        <w:rPr>
          <w:rFonts w:hint="eastAsia" w:ascii="楷体" w:hAnsi="楷体" w:eastAsia="楷体"/>
          <w:sz w:val="24"/>
          <w:lang w:val="zh-CN"/>
        </w:rPr>
        <w:t>电子邮箱：                               电子邮箱：</w:t>
      </w:r>
    </w:p>
    <w:p>
      <w:pPr>
        <w:autoSpaceDE w:val="0"/>
        <w:autoSpaceDN w:val="0"/>
        <w:adjustRightInd w:val="0"/>
        <w:spacing w:line="560" w:lineRule="exact"/>
        <w:outlineLvl w:val="9"/>
        <w:rPr>
          <w:rFonts w:ascii="楷体" w:hAnsi="楷体" w:eastAsia="楷体"/>
          <w:sz w:val="24"/>
        </w:rPr>
      </w:pPr>
      <w:r>
        <w:rPr>
          <w:rFonts w:hint="eastAsia" w:ascii="楷体" w:hAnsi="楷体" w:eastAsia="楷体"/>
          <w:sz w:val="24"/>
        </w:rPr>
        <w:t xml:space="preserve">开户银行：                               开户银行： </w:t>
      </w:r>
    </w:p>
    <w:p>
      <w:pPr>
        <w:autoSpaceDE w:val="0"/>
        <w:autoSpaceDN w:val="0"/>
        <w:adjustRightInd w:val="0"/>
        <w:spacing w:line="560" w:lineRule="exact"/>
        <w:outlineLvl w:val="9"/>
        <w:rPr>
          <w:rFonts w:ascii="楷体" w:hAnsi="楷体" w:eastAsia="楷体"/>
          <w:sz w:val="24"/>
        </w:rPr>
      </w:pPr>
      <w:r>
        <w:rPr>
          <w:rFonts w:hint="eastAsia" w:ascii="楷体" w:hAnsi="楷体" w:eastAsia="楷体"/>
          <w:sz w:val="24"/>
        </w:rPr>
        <w:t xml:space="preserve">开户名称：                               开户名称： </w:t>
      </w:r>
    </w:p>
    <w:p>
      <w:pPr>
        <w:autoSpaceDE w:val="0"/>
        <w:autoSpaceDN w:val="0"/>
        <w:adjustRightInd w:val="0"/>
        <w:spacing w:line="560" w:lineRule="exact"/>
        <w:outlineLvl w:val="9"/>
        <w:rPr>
          <w:rFonts w:ascii="楷体" w:hAnsi="楷体" w:eastAsia="楷体"/>
          <w:sz w:val="24"/>
        </w:rPr>
      </w:pPr>
      <w:r>
        <w:rPr>
          <w:rFonts w:hint="eastAsia" w:ascii="楷体" w:hAnsi="楷体" w:eastAsia="楷体"/>
          <w:sz w:val="24"/>
        </w:rPr>
        <w:t>开户账号：</w:t>
      </w:r>
      <w:r>
        <w:rPr>
          <w:rFonts w:hint="eastAsia"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outlineLvl w:val="9"/>
        <w:rPr>
          <w:rFonts w:ascii="楷体" w:hAnsi="楷体" w:eastAsia="楷体"/>
          <w:b/>
        </w:rPr>
      </w:pPr>
      <w:bookmarkStart w:id="79" w:name="_Toc331685783"/>
    </w:p>
    <w:p>
      <w:pPr>
        <w:widowControl/>
        <w:spacing w:line="560" w:lineRule="exact"/>
        <w:jc w:val="left"/>
        <w:outlineLvl w:val="9"/>
        <w:rPr>
          <w:rFonts w:ascii="楷体" w:hAnsi="楷体" w:eastAsia="楷体"/>
          <w:b/>
        </w:rPr>
      </w:pPr>
    </w:p>
    <w:p>
      <w:pPr>
        <w:widowControl/>
        <w:spacing w:line="560" w:lineRule="exact"/>
        <w:jc w:val="left"/>
        <w:outlineLvl w:val="9"/>
        <w:rPr>
          <w:rFonts w:ascii="楷体" w:hAnsi="楷体" w:eastAsia="楷体"/>
          <w:b/>
          <w:kern w:val="0"/>
          <w:sz w:val="24"/>
        </w:rPr>
      </w:pPr>
    </w:p>
    <w:p>
      <w:pPr>
        <w:widowControl/>
        <w:spacing w:line="560" w:lineRule="exact"/>
        <w:jc w:val="left"/>
        <w:outlineLvl w:val="9"/>
        <w:rPr>
          <w:rFonts w:ascii="楷体" w:hAnsi="楷体" w:eastAsia="楷体"/>
          <w:b/>
          <w:kern w:val="0"/>
          <w:sz w:val="24"/>
        </w:rPr>
      </w:pPr>
    </w:p>
    <w:p>
      <w:pPr>
        <w:widowControl/>
        <w:spacing w:line="560" w:lineRule="exact"/>
        <w:jc w:val="left"/>
        <w:outlineLvl w:val="9"/>
        <w:rPr>
          <w:rFonts w:ascii="楷体" w:hAnsi="楷体" w:eastAsia="楷体"/>
          <w:b/>
          <w:kern w:val="0"/>
          <w:sz w:val="24"/>
        </w:rPr>
      </w:pPr>
    </w:p>
    <w:p>
      <w:pPr>
        <w:widowControl/>
        <w:spacing w:line="560" w:lineRule="exact"/>
        <w:jc w:val="left"/>
        <w:outlineLvl w:val="9"/>
        <w:rPr>
          <w:rFonts w:ascii="楷体" w:hAnsi="楷体" w:eastAsia="楷体"/>
          <w:b/>
          <w:kern w:val="0"/>
          <w:sz w:val="24"/>
        </w:rPr>
      </w:pPr>
    </w:p>
    <w:p>
      <w:pPr>
        <w:outlineLvl w:val="9"/>
        <w:rPr>
          <w:rFonts w:hint="eastAsia" w:ascii="楷体" w:hAnsi="楷体" w:eastAsia="楷体"/>
          <w:b/>
          <w:szCs w:val="24"/>
        </w:rPr>
      </w:pPr>
      <w:r>
        <w:rPr>
          <w:rFonts w:hint="eastAsia" w:ascii="楷体" w:hAnsi="楷体" w:eastAsia="楷体"/>
          <w:b/>
          <w:szCs w:val="24"/>
        </w:rPr>
        <w:br w:type="page"/>
      </w:r>
    </w:p>
    <w:p>
      <w:pPr>
        <w:pStyle w:val="479"/>
        <w:spacing w:line="560" w:lineRule="exact"/>
        <w:ind w:firstLine="200"/>
        <w:jc w:val="center"/>
        <w:outlineLvl w:val="9"/>
        <w:rPr>
          <w:rFonts w:ascii="楷体" w:hAnsi="楷体" w:eastAsia="楷体"/>
          <w:b/>
          <w:szCs w:val="24"/>
        </w:rPr>
      </w:pPr>
      <w:r>
        <w:rPr>
          <w:rFonts w:hint="eastAsia" w:ascii="楷体" w:hAnsi="楷体" w:eastAsia="楷体"/>
          <w:b/>
          <w:szCs w:val="24"/>
        </w:rPr>
        <w:t>第二部分 合同一般条款</w:t>
      </w:r>
      <w:bookmarkEnd w:id="79"/>
    </w:p>
    <w:p>
      <w:pPr>
        <w:spacing w:line="560" w:lineRule="exact"/>
        <w:ind w:firstLine="482" w:firstLineChars="200"/>
        <w:outlineLvl w:val="9"/>
        <w:rPr>
          <w:rFonts w:ascii="楷体" w:hAnsi="楷体" w:eastAsia="楷体"/>
          <w:b/>
          <w:sz w:val="24"/>
        </w:rPr>
      </w:pPr>
      <w:bookmarkStart w:id="80" w:name="_Toc14021"/>
      <w:bookmarkStart w:id="81" w:name="_Ref467378499"/>
      <w:bookmarkStart w:id="82" w:name="_Ref467379101"/>
      <w:bookmarkStart w:id="83" w:name="_Ref467379225"/>
      <w:bookmarkStart w:id="84" w:name="_Ref467379109"/>
      <w:bookmarkStart w:id="85" w:name="_Toc5228"/>
      <w:bookmarkStart w:id="86" w:name="_Toc25079"/>
      <w:bookmarkStart w:id="87" w:name="_Toc19680"/>
      <w:bookmarkStart w:id="88" w:name="_Toc487900349"/>
      <w:bookmarkStart w:id="89" w:name="_Ref467379214"/>
      <w:bookmarkStart w:id="90" w:name="_Ref467379205"/>
      <w:bookmarkStart w:id="91" w:name="_Ref467378463"/>
      <w:bookmarkStart w:id="92" w:name="_Toc31297"/>
      <w:bookmarkStart w:id="93" w:name="_Toc259093669"/>
      <w:bookmarkStart w:id="94" w:name="_Ref467379094"/>
      <w:bookmarkStart w:id="95" w:name="_Ref467379195"/>
      <w:bookmarkStart w:id="96" w:name="_Toc279701240"/>
      <w:bookmarkStart w:id="97" w:name="_Ref467378404"/>
      <w:r>
        <w:rPr>
          <w:rFonts w:hint="eastAsia" w:ascii="楷体" w:hAnsi="楷体" w:eastAsia="楷体"/>
          <w:b/>
          <w:sz w:val="24"/>
        </w:rPr>
        <w:t xml:space="preserve">2.1 </w:t>
      </w:r>
      <w:r>
        <w:rPr>
          <w:rFonts w:ascii="楷体" w:hAnsi="楷体" w:eastAsia="楷体"/>
          <w:b/>
          <w:sz w:val="24"/>
        </w:rPr>
        <w:t>定义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spacing w:line="560" w:lineRule="exact"/>
        <w:ind w:firstLine="480" w:firstLineChars="200"/>
        <w:outlineLvl w:val="9"/>
        <w:rPr>
          <w:rFonts w:ascii="楷体" w:hAnsi="楷体" w:eastAsia="楷体"/>
          <w:sz w:val="24"/>
        </w:rPr>
      </w:pPr>
      <w:r>
        <w:rPr>
          <w:rFonts w:ascii="楷体" w:hAnsi="楷体" w:eastAsia="楷体"/>
          <w:sz w:val="24"/>
        </w:rPr>
        <w:t>本合同中的下列</w:t>
      </w:r>
      <w:r>
        <w:rPr>
          <w:rFonts w:hint="eastAsia" w:ascii="楷体" w:hAnsi="楷体" w:eastAsia="楷体"/>
          <w:sz w:val="24"/>
        </w:rPr>
        <w:t>词</w:t>
      </w:r>
      <w:r>
        <w:rPr>
          <w:rFonts w:ascii="楷体" w:hAnsi="楷体" w:eastAsia="楷体"/>
          <w:sz w:val="24"/>
        </w:rPr>
        <w:t>语应</w:t>
      </w:r>
      <w:r>
        <w:rPr>
          <w:rFonts w:hint="eastAsia" w:ascii="楷体" w:hAnsi="楷体" w:eastAsia="楷体"/>
          <w:sz w:val="24"/>
        </w:rPr>
        <w:t>按以下内容进行</w:t>
      </w:r>
      <w:r>
        <w:rPr>
          <w:rFonts w:ascii="楷体" w:hAnsi="楷体" w:eastAsia="楷体"/>
          <w:sz w:val="24"/>
        </w:rPr>
        <w:t>解释：</w:t>
      </w:r>
    </w:p>
    <w:p>
      <w:pPr>
        <w:spacing w:line="560" w:lineRule="exact"/>
        <w:ind w:firstLine="480" w:firstLineChars="200"/>
        <w:outlineLvl w:val="9"/>
        <w:rPr>
          <w:rFonts w:ascii="楷体" w:hAnsi="楷体" w:eastAsia="楷体"/>
          <w:sz w:val="24"/>
        </w:rPr>
      </w:pPr>
      <w:r>
        <w:rPr>
          <w:rFonts w:hint="eastAsia" w:ascii="楷体" w:hAnsi="楷体" w:eastAsia="楷体"/>
          <w:sz w:val="24"/>
        </w:rPr>
        <w:t>2</w:t>
      </w:r>
      <w:r>
        <w:rPr>
          <w:rFonts w:ascii="楷体" w:hAnsi="楷体" w:eastAsia="楷体"/>
          <w:sz w:val="24"/>
        </w:rPr>
        <w:t>.1</w:t>
      </w:r>
      <w:r>
        <w:rPr>
          <w:rFonts w:hint="eastAsia" w:ascii="楷体" w:hAnsi="楷体" w:eastAsia="楷体"/>
          <w:sz w:val="24"/>
        </w:rPr>
        <w:t>.1</w:t>
      </w:r>
      <w:r>
        <w:rPr>
          <w:rFonts w:ascii="楷体" w:hAnsi="楷体" w:eastAsia="楷体"/>
          <w:sz w:val="24"/>
        </w:rPr>
        <w:t xml:space="preserve"> “合同”系指采购人和中标供应商签订的载明双方当事人所达成的协议，并包括所有的附件、附录和构成合同的其他文件。</w:t>
      </w:r>
    </w:p>
    <w:p>
      <w:pPr>
        <w:spacing w:line="560" w:lineRule="exact"/>
        <w:ind w:firstLine="480" w:firstLineChars="200"/>
        <w:outlineLvl w:val="9"/>
        <w:rPr>
          <w:rFonts w:ascii="楷体" w:hAnsi="楷体" w:eastAsia="楷体"/>
          <w:sz w:val="24"/>
        </w:rPr>
      </w:pPr>
      <w:r>
        <w:rPr>
          <w:rFonts w:hint="eastAsia" w:ascii="楷体" w:hAnsi="楷体" w:eastAsia="楷体"/>
          <w:sz w:val="24"/>
        </w:rPr>
        <w:t>2.</w:t>
      </w:r>
      <w:r>
        <w:rPr>
          <w:rFonts w:ascii="楷体" w:hAnsi="楷体" w:eastAsia="楷体"/>
          <w:sz w:val="24"/>
        </w:rPr>
        <w:t>1.2 “合同价”系指根据合同约定，中标供应商在完全履行合同义务后</w:t>
      </w:r>
      <w:r>
        <w:rPr>
          <w:rFonts w:hint="eastAsia" w:ascii="楷体" w:hAnsi="楷体" w:eastAsia="楷体"/>
          <w:sz w:val="24"/>
        </w:rPr>
        <w:t>，</w:t>
      </w:r>
      <w:r>
        <w:rPr>
          <w:rFonts w:ascii="楷体" w:hAnsi="楷体" w:eastAsia="楷体"/>
          <w:sz w:val="24"/>
        </w:rPr>
        <w:t>采购人应支付给中标供应商的价格。</w:t>
      </w:r>
    </w:p>
    <w:p>
      <w:pPr>
        <w:spacing w:line="560" w:lineRule="exact"/>
        <w:ind w:firstLine="480" w:firstLineChars="200"/>
        <w:outlineLvl w:val="9"/>
        <w:rPr>
          <w:rFonts w:ascii="楷体" w:hAnsi="楷体" w:eastAsia="楷体"/>
          <w:sz w:val="24"/>
        </w:rPr>
      </w:pPr>
      <w:r>
        <w:rPr>
          <w:rFonts w:hint="eastAsia" w:ascii="楷体" w:hAnsi="楷体" w:eastAsia="楷体"/>
          <w:sz w:val="24"/>
        </w:rPr>
        <w:t>2.</w:t>
      </w:r>
      <w:r>
        <w:rPr>
          <w:rFonts w:ascii="楷体" w:hAnsi="楷体" w:eastAsia="楷体"/>
          <w:sz w:val="24"/>
        </w:rPr>
        <w:t>1.3 “</w:t>
      </w:r>
      <w:r>
        <w:rPr>
          <w:rFonts w:hint="eastAsia" w:ascii="楷体" w:hAnsi="楷体" w:eastAsia="楷体"/>
          <w:sz w:val="24"/>
        </w:rPr>
        <w:t>服务</w:t>
      </w:r>
      <w:r>
        <w:rPr>
          <w:rFonts w:ascii="楷体" w:hAnsi="楷体" w:eastAsia="楷体"/>
          <w:sz w:val="24"/>
        </w:rPr>
        <w:t>”系指</w:t>
      </w:r>
      <w:r>
        <w:rPr>
          <w:rFonts w:hint="eastAsia" w:ascii="楷体" w:hAnsi="楷体" w:eastAsia="楷体"/>
          <w:sz w:val="24"/>
        </w:rPr>
        <w:t>中标供应商</w:t>
      </w:r>
      <w:r>
        <w:rPr>
          <w:rFonts w:ascii="楷体" w:hAnsi="楷体" w:eastAsia="楷体"/>
          <w:sz w:val="24"/>
        </w:rPr>
        <w:t>根据合同约定应向采购人</w:t>
      </w:r>
      <w:r>
        <w:rPr>
          <w:rFonts w:hint="eastAsia" w:ascii="楷体" w:hAnsi="楷体" w:eastAsia="楷体"/>
          <w:sz w:val="24"/>
        </w:rPr>
        <w:t>履行</w:t>
      </w:r>
      <w:r>
        <w:rPr>
          <w:rFonts w:ascii="楷体" w:hAnsi="楷体" w:eastAsia="楷体"/>
          <w:sz w:val="24"/>
        </w:rPr>
        <w:t>的</w:t>
      </w:r>
      <w:r>
        <w:rPr>
          <w:rFonts w:hint="eastAsia" w:ascii="楷体" w:hAnsi="楷体" w:eastAsia="楷体"/>
          <w:sz w:val="24"/>
        </w:rPr>
        <w:t>除货物和工程以外的其他政府采购对象，包括采购人自身需要的服务和向社会公众提供的公共服务。</w:t>
      </w:r>
    </w:p>
    <w:p>
      <w:pPr>
        <w:spacing w:line="560" w:lineRule="exact"/>
        <w:ind w:firstLine="480" w:firstLineChars="200"/>
        <w:outlineLvl w:val="9"/>
        <w:rPr>
          <w:rFonts w:ascii="楷体" w:hAnsi="楷体" w:eastAsia="楷体"/>
          <w:sz w:val="24"/>
        </w:rPr>
      </w:pPr>
      <w:bookmarkStart w:id="98" w:name="_Ref467378840"/>
      <w:r>
        <w:rPr>
          <w:rFonts w:hint="eastAsia" w:ascii="楷体" w:hAnsi="楷体" w:eastAsia="楷体"/>
          <w:sz w:val="24"/>
        </w:rPr>
        <w:t>2.</w:t>
      </w:r>
      <w:r>
        <w:rPr>
          <w:rFonts w:ascii="楷体" w:hAnsi="楷体" w:eastAsia="楷体"/>
          <w:sz w:val="24"/>
        </w:rPr>
        <w:t>1.</w:t>
      </w:r>
      <w:r>
        <w:rPr>
          <w:rFonts w:hint="eastAsia" w:ascii="楷体" w:hAnsi="楷体" w:eastAsia="楷体"/>
          <w:sz w:val="24"/>
        </w:rPr>
        <w:t>4</w:t>
      </w:r>
      <w:r>
        <w:rPr>
          <w:rFonts w:ascii="楷体" w:hAnsi="楷体" w:eastAsia="楷体"/>
          <w:sz w:val="24"/>
        </w:rPr>
        <w:t xml:space="preserve"> “</w:t>
      </w:r>
      <w:r>
        <w:rPr>
          <w:rFonts w:hint="eastAsia" w:ascii="楷体" w:hAnsi="楷体" w:eastAsia="楷体"/>
          <w:sz w:val="24"/>
        </w:rPr>
        <w:t>甲方</w:t>
      </w:r>
      <w:r>
        <w:rPr>
          <w:rFonts w:ascii="楷体" w:hAnsi="楷体" w:eastAsia="楷体"/>
          <w:sz w:val="24"/>
        </w:rPr>
        <w:t>”系指与</w:t>
      </w:r>
      <w:r>
        <w:rPr>
          <w:rFonts w:hint="eastAsia" w:ascii="楷体" w:hAnsi="楷体" w:eastAsia="楷体"/>
          <w:sz w:val="24"/>
        </w:rPr>
        <w:t>中标供应商</w:t>
      </w:r>
      <w:r>
        <w:rPr>
          <w:rFonts w:ascii="楷体" w:hAnsi="楷体" w:eastAsia="楷体"/>
          <w:sz w:val="24"/>
        </w:rPr>
        <w:t>签署合同的采购人</w:t>
      </w:r>
      <w:bookmarkEnd w:id="98"/>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outlineLvl w:val="9"/>
        <w:rPr>
          <w:rFonts w:ascii="楷体" w:hAnsi="楷体" w:eastAsia="楷体"/>
          <w:sz w:val="24"/>
        </w:rPr>
      </w:pPr>
      <w:bookmarkStart w:id="99" w:name="_Ref467379400"/>
      <w:r>
        <w:rPr>
          <w:rFonts w:hint="eastAsia" w:ascii="楷体" w:hAnsi="楷体" w:eastAsia="楷体"/>
          <w:sz w:val="24"/>
        </w:rPr>
        <w:t>2.</w:t>
      </w:r>
      <w:r>
        <w:rPr>
          <w:rFonts w:ascii="楷体" w:hAnsi="楷体" w:eastAsia="楷体"/>
          <w:sz w:val="24"/>
        </w:rPr>
        <w:t>1.</w:t>
      </w:r>
      <w:r>
        <w:rPr>
          <w:rFonts w:hint="eastAsia" w:ascii="楷体" w:hAnsi="楷体" w:eastAsia="楷体"/>
          <w:sz w:val="24"/>
        </w:rPr>
        <w:t>5</w:t>
      </w:r>
      <w:r>
        <w:rPr>
          <w:rFonts w:ascii="楷体" w:hAnsi="楷体" w:eastAsia="楷体"/>
          <w:sz w:val="24"/>
        </w:rPr>
        <w:t xml:space="preserve"> “乙方”系指根据合同约定提供服务的中标供应商</w:t>
      </w:r>
      <w:bookmarkEnd w:id="99"/>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outlineLvl w:val="9"/>
        <w:rPr>
          <w:rFonts w:ascii="楷体" w:hAnsi="楷体" w:eastAsia="楷体"/>
          <w:sz w:val="24"/>
        </w:rPr>
      </w:pPr>
      <w:bookmarkStart w:id="100" w:name="_Ref467379436"/>
      <w:r>
        <w:rPr>
          <w:rFonts w:hint="eastAsia" w:ascii="楷体" w:hAnsi="楷体" w:eastAsia="楷体"/>
          <w:sz w:val="24"/>
        </w:rPr>
        <w:t>2.</w:t>
      </w:r>
      <w:r>
        <w:rPr>
          <w:rFonts w:ascii="楷体" w:hAnsi="楷体" w:eastAsia="楷体"/>
          <w:sz w:val="24"/>
        </w:rPr>
        <w:t>1.</w:t>
      </w:r>
      <w:r>
        <w:rPr>
          <w:rFonts w:hint="eastAsia" w:ascii="楷体" w:hAnsi="楷体" w:eastAsia="楷体"/>
          <w:sz w:val="24"/>
        </w:rPr>
        <w:t>6</w:t>
      </w:r>
      <w:r>
        <w:rPr>
          <w:rFonts w:ascii="楷体" w:hAnsi="楷体" w:eastAsia="楷体"/>
          <w:sz w:val="24"/>
        </w:rPr>
        <w:t xml:space="preserve"> “现场”系指合同约定提供服务的地点。</w:t>
      </w:r>
      <w:bookmarkEnd w:id="100"/>
    </w:p>
    <w:p>
      <w:pPr>
        <w:spacing w:line="560" w:lineRule="exact"/>
        <w:ind w:firstLine="482" w:firstLineChars="200"/>
        <w:outlineLvl w:val="9"/>
        <w:rPr>
          <w:rFonts w:ascii="楷体" w:hAnsi="楷体" w:eastAsia="楷体"/>
          <w:b/>
          <w:sz w:val="24"/>
        </w:rPr>
      </w:pPr>
      <w:bookmarkStart w:id="101" w:name="_Toc23289"/>
      <w:bookmarkStart w:id="102" w:name="_Toc259093670"/>
      <w:bookmarkStart w:id="103" w:name="_Toc31402"/>
      <w:bookmarkStart w:id="104" w:name="_Toc16752"/>
      <w:bookmarkStart w:id="105" w:name="_Toc487900350"/>
      <w:bookmarkStart w:id="106" w:name="_Toc3769"/>
      <w:bookmarkStart w:id="107" w:name="_Toc279701241"/>
      <w:bookmarkStart w:id="108" w:name="_Toc19539"/>
      <w:r>
        <w:rPr>
          <w:rFonts w:hint="eastAsia" w:ascii="楷体" w:hAnsi="楷体" w:eastAsia="楷体"/>
          <w:b/>
          <w:sz w:val="24"/>
        </w:rPr>
        <w:t>2.</w:t>
      </w:r>
      <w:r>
        <w:rPr>
          <w:rFonts w:ascii="楷体" w:hAnsi="楷体" w:eastAsia="楷体"/>
          <w:b/>
          <w:sz w:val="24"/>
        </w:rPr>
        <w:t>2</w:t>
      </w:r>
      <w:r>
        <w:rPr>
          <w:rFonts w:hint="eastAsia" w:ascii="楷体" w:hAnsi="楷体" w:eastAsia="楷体"/>
          <w:b/>
          <w:sz w:val="24"/>
        </w:rPr>
        <w:t xml:space="preserve"> </w:t>
      </w:r>
      <w:r>
        <w:rPr>
          <w:rFonts w:ascii="楷体" w:hAnsi="楷体" w:eastAsia="楷体"/>
          <w:b/>
          <w:sz w:val="24"/>
        </w:rPr>
        <w:t>技术规范</w:t>
      </w:r>
      <w:bookmarkEnd w:id="101"/>
      <w:bookmarkEnd w:id="102"/>
      <w:bookmarkEnd w:id="103"/>
      <w:bookmarkEnd w:id="104"/>
      <w:bookmarkEnd w:id="105"/>
      <w:bookmarkEnd w:id="106"/>
      <w:bookmarkEnd w:id="107"/>
      <w:bookmarkEnd w:id="108"/>
    </w:p>
    <w:p>
      <w:pPr>
        <w:spacing w:line="560" w:lineRule="exact"/>
        <w:ind w:firstLine="480" w:firstLineChars="200"/>
        <w:outlineLvl w:val="9"/>
        <w:rPr>
          <w:rFonts w:ascii="楷体" w:hAnsi="楷体" w:eastAsia="楷体"/>
          <w:sz w:val="24"/>
        </w:rPr>
      </w:pPr>
      <w:r>
        <w:rPr>
          <w:rFonts w:hint="eastAsia" w:ascii="楷体" w:hAnsi="楷体" w:eastAsia="楷体"/>
          <w:sz w:val="24"/>
        </w:rPr>
        <w:t>服务</w:t>
      </w:r>
      <w:r>
        <w:rPr>
          <w:rFonts w:ascii="楷体" w:hAnsi="楷体" w:eastAsia="楷体"/>
          <w:sz w:val="24"/>
        </w:rPr>
        <w:t>所应遵守的技术规范应与采购文件规定的技术规范和技术规范附件(如果有的话)及其技术规范偏差表(如果被甲方接受的话)相一致</w:t>
      </w:r>
      <w:r>
        <w:rPr>
          <w:rFonts w:hint="eastAsia" w:ascii="楷体" w:hAnsi="楷体" w:eastAsia="楷体"/>
          <w:sz w:val="24"/>
        </w:rPr>
        <w:t>；</w:t>
      </w:r>
      <w:r>
        <w:rPr>
          <w:rFonts w:ascii="楷体" w:hAnsi="楷体" w:eastAsia="楷体"/>
          <w:sz w:val="24"/>
        </w:rPr>
        <w:t>如果采购文件中没有技术规范的相应说明，那么应以国家有关部门最新颁布的相应标准</w:t>
      </w:r>
      <w:r>
        <w:rPr>
          <w:rFonts w:hint="eastAsia" w:ascii="楷体" w:hAnsi="楷体" w:eastAsia="楷体"/>
          <w:sz w:val="24"/>
        </w:rPr>
        <w:t>和</w:t>
      </w:r>
      <w:r>
        <w:rPr>
          <w:rFonts w:ascii="楷体" w:hAnsi="楷体" w:eastAsia="楷体"/>
          <w:sz w:val="24"/>
        </w:rPr>
        <w:t>规范为准。</w:t>
      </w:r>
    </w:p>
    <w:p>
      <w:pPr>
        <w:spacing w:line="560" w:lineRule="exact"/>
        <w:ind w:firstLine="482" w:firstLineChars="200"/>
        <w:outlineLvl w:val="9"/>
        <w:rPr>
          <w:rFonts w:ascii="楷体" w:hAnsi="楷体" w:eastAsia="楷体"/>
          <w:b/>
          <w:sz w:val="24"/>
        </w:rPr>
      </w:pPr>
      <w:bookmarkStart w:id="109" w:name="_Toc12412"/>
      <w:bookmarkStart w:id="110" w:name="_Toc27945"/>
      <w:bookmarkStart w:id="111" w:name="_Toc487900351"/>
      <w:bookmarkStart w:id="112" w:name="_Toc259093671"/>
      <w:bookmarkStart w:id="113" w:name="_Toc4133"/>
      <w:bookmarkStart w:id="114" w:name="_Toc9161"/>
      <w:bookmarkStart w:id="115" w:name="_Toc279701242"/>
      <w:bookmarkStart w:id="116" w:name="_Toc13673"/>
      <w:r>
        <w:rPr>
          <w:rFonts w:hint="eastAsia" w:ascii="楷体" w:hAnsi="楷体" w:eastAsia="楷体"/>
          <w:b/>
          <w:sz w:val="24"/>
        </w:rPr>
        <w:t>2.</w:t>
      </w:r>
      <w:r>
        <w:rPr>
          <w:rFonts w:ascii="楷体" w:hAnsi="楷体" w:eastAsia="楷体"/>
          <w:b/>
          <w:sz w:val="24"/>
        </w:rPr>
        <w:t>3</w:t>
      </w:r>
      <w:r>
        <w:rPr>
          <w:rFonts w:hint="eastAsia" w:ascii="楷体" w:hAnsi="楷体" w:eastAsia="楷体"/>
          <w:b/>
          <w:sz w:val="24"/>
        </w:rPr>
        <w:t xml:space="preserve"> </w:t>
      </w:r>
      <w:r>
        <w:rPr>
          <w:rFonts w:ascii="楷体" w:hAnsi="楷体" w:eastAsia="楷体"/>
          <w:b/>
          <w:sz w:val="24"/>
        </w:rPr>
        <w:t>知识产权</w:t>
      </w:r>
      <w:bookmarkEnd w:id="109"/>
      <w:bookmarkEnd w:id="110"/>
      <w:bookmarkEnd w:id="111"/>
      <w:bookmarkEnd w:id="112"/>
      <w:bookmarkEnd w:id="113"/>
      <w:bookmarkEnd w:id="114"/>
      <w:bookmarkEnd w:id="115"/>
      <w:bookmarkEnd w:id="116"/>
    </w:p>
    <w:p>
      <w:pPr>
        <w:spacing w:line="560" w:lineRule="exact"/>
        <w:ind w:firstLine="480" w:firstLineChars="200"/>
        <w:outlineLvl w:val="9"/>
        <w:rPr>
          <w:rFonts w:ascii="楷体" w:hAnsi="楷体" w:eastAsia="楷体"/>
          <w:sz w:val="24"/>
        </w:rPr>
      </w:pPr>
      <w:r>
        <w:rPr>
          <w:rFonts w:hint="eastAsia" w:ascii="楷体" w:hAnsi="楷体" w:eastAsia="楷体"/>
          <w:sz w:val="24"/>
        </w:rPr>
        <w:t>2.3.1 乙</w:t>
      </w:r>
      <w:r>
        <w:rPr>
          <w:rFonts w:ascii="楷体" w:hAnsi="楷体" w:eastAsia="楷体"/>
          <w:sz w:val="24"/>
        </w:rPr>
        <w:t>方应保证</w:t>
      </w:r>
      <w:r>
        <w:rPr>
          <w:rFonts w:hint="eastAsia" w:ascii="楷体" w:hAnsi="楷体" w:eastAsia="楷体"/>
          <w:sz w:val="24"/>
        </w:rPr>
        <w:t>其提供的服务</w:t>
      </w:r>
      <w:r>
        <w:rPr>
          <w:rFonts w:ascii="楷体" w:hAnsi="楷体" w:eastAsia="楷体"/>
          <w:sz w:val="24"/>
        </w:rPr>
        <w:t>不受任何第三方提出的侵犯其著作权、商标权、专利权等知识产权方面的起诉</w:t>
      </w:r>
      <w:r>
        <w:rPr>
          <w:rFonts w:hint="eastAsia" w:ascii="楷体" w:hAnsi="楷体" w:eastAsia="楷体"/>
          <w:sz w:val="24"/>
        </w:rPr>
        <w:t>；</w:t>
      </w:r>
      <w:r>
        <w:rPr>
          <w:rFonts w:ascii="楷体" w:hAnsi="楷体" w:eastAsia="楷体"/>
          <w:sz w:val="24"/>
        </w:rPr>
        <w:t>如果任何第三方提出侵权</w:t>
      </w:r>
      <w:r>
        <w:rPr>
          <w:rFonts w:hint="eastAsia" w:ascii="楷体" w:hAnsi="楷体" w:eastAsia="楷体"/>
          <w:sz w:val="24"/>
        </w:rPr>
        <w:t>指控</w:t>
      </w:r>
      <w:r>
        <w:rPr>
          <w:rFonts w:ascii="楷体" w:hAnsi="楷体" w:eastAsia="楷体"/>
          <w:sz w:val="24"/>
        </w:rPr>
        <w:t>，那么乙方须与该第三方交涉并承担由此发生的一切责任、费用和赔偿</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2.3.2 合同涉及技术成果的归属和收益的分成办法的，</w:t>
      </w:r>
      <w:r>
        <w:rPr>
          <w:rFonts w:ascii="楷体" w:hAnsi="楷体" w:eastAsia="楷体"/>
          <w:sz w:val="24"/>
        </w:rPr>
        <w:t>详见</w:t>
      </w:r>
      <w:r>
        <w:rPr>
          <w:rFonts w:ascii="楷体" w:hAnsi="楷体" w:eastAsia="楷体"/>
          <w:b/>
          <w:i/>
          <w:sz w:val="24"/>
          <w:u w:val="single"/>
        </w:rPr>
        <w:t>合同专用条款</w:t>
      </w:r>
      <w:r>
        <w:rPr>
          <w:rFonts w:ascii="楷体" w:hAnsi="楷体" w:eastAsia="楷体"/>
          <w:sz w:val="24"/>
        </w:rPr>
        <w:t>。</w:t>
      </w:r>
    </w:p>
    <w:p>
      <w:pPr>
        <w:spacing w:line="560" w:lineRule="exact"/>
        <w:ind w:firstLine="482" w:firstLineChars="200"/>
        <w:outlineLvl w:val="9"/>
        <w:rPr>
          <w:rFonts w:ascii="楷体" w:hAnsi="楷体" w:eastAsia="楷体"/>
          <w:b/>
          <w:sz w:val="24"/>
        </w:rPr>
      </w:pPr>
      <w:r>
        <w:rPr>
          <w:rFonts w:hint="eastAsia" w:ascii="楷体" w:hAnsi="楷体" w:eastAsia="楷体"/>
          <w:b/>
          <w:sz w:val="24"/>
        </w:rPr>
        <w:t>2.4 履约检查和问题反馈</w:t>
      </w:r>
    </w:p>
    <w:p>
      <w:pPr>
        <w:spacing w:line="560" w:lineRule="exact"/>
        <w:ind w:firstLine="480" w:firstLineChars="200"/>
        <w:outlineLvl w:val="9"/>
        <w:rPr>
          <w:rFonts w:ascii="楷体" w:hAnsi="楷体" w:eastAsia="楷体"/>
          <w:sz w:val="24"/>
        </w:rPr>
      </w:pPr>
      <w:bookmarkStart w:id="117" w:name="_Ref467379657"/>
      <w:r>
        <w:rPr>
          <w:rFonts w:hint="eastAsia" w:ascii="楷体" w:hAnsi="楷体" w:eastAsia="楷体"/>
          <w:sz w:val="24"/>
        </w:rPr>
        <w:t>2.4</w:t>
      </w:r>
      <w:r>
        <w:rPr>
          <w:rFonts w:ascii="楷体" w:hAnsi="楷体" w:eastAsia="楷体"/>
          <w:sz w:val="24"/>
        </w:rPr>
        <w:t>.1</w:t>
      </w:r>
      <w:bookmarkEnd w:id="117"/>
      <w:bookmarkStart w:id="118" w:name="_Toc186431854"/>
      <w:bookmarkStart w:id="119" w:name="_Toc279701247"/>
      <w:bookmarkStart w:id="120" w:name="_Ref467379807"/>
      <w:bookmarkStart w:id="121" w:name="_Toc487900357"/>
      <w:bookmarkStart w:id="122" w:name="_Ref467379793"/>
      <w:bookmarkStart w:id="123" w:name="_Toc259093676"/>
      <w:r>
        <w:rPr>
          <w:rFonts w:ascii="楷体" w:hAnsi="楷体" w:eastAsia="楷体"/>
          <w:sz w:val="24"/>
        </w:rPr>
        <w:t>甲方</w:t>
      </w:r>
      <w:r>
        <w:rPr>
          <w:rFonts w:hint="eastAsia" w:ascii="楷体" w:hAnsi="楷体" w:eastAsia="楷体"/>
          <w:sz w:val="24"/>
        </w:rPr>
        <w:t>有权</w:t>
      </w:r>
      <w:r>
        <w:rPr>
          <w:rFonts w:ascii="楷体" w:hAnsi="楷体" w:eastAsia="楷体"/>
          <w:sz w:val="24"/>
        </w:rPr>
        <w:t>在其认为必要时</w:t>
      </w:r>
      <w:r>
        <w:rPr>
          <w:rFonts w:hint="eastAsia" w:ascii="楷体" w:hAnsi="楷体" w:eastAsia="楷体"/>
          <w:sz w:val="24"/>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outlineLvl w:val="9"/>
        <w:rPr>
          <w:rFonts w:ascii="楷体" w:hAnsi="楷体" w:eastAsia="楷体"/>
          <w:sz w:val="24"/>
        </w:rPr>
      </w:pPr>
      <w:r>
        <w:rPr>
          <w:rFonts w:hint="eastAsia" w:ascii="楷体" w:hAnsi="楷体" w:eastAsia="楷体"/>
          <w:sz w:val="24"/>
        </w:rPr>
        <w:t>2.4.2 合同履行期间，甲方有权将履行过程中出现的问题反馈给乙方，双方当事人应以书面形式约定需要完善和改进的内容</w:t>
      </w:r>
      <w:bookmarkEnd w:id="118"/>
      <w:bookmarkStart w:id="124" w:name="_Toc186431855"/>
      <w:r>
        <w:rPr>
          <w:rFonts w:hint="eastAsia" w:ascii="楷体" w:hAnsi="楷体" w:eastAsia="楷体"/>
          <w:sz w:val="24"/>
        </w:rPr>
        <w:t>。</w:t>
      </w:r>
    </w:p>
    <w:bookmarkEnd w:id="124"/>
    <w:p>
      <w:pPr>
        <w:spacing w:line="560" w:lineRule="exact"/>
        <w:ind w:firstLine="482" w:firstLineChars="200"/>
        <w:outlineLvl w:val="9"/>
        <w:rPr>
          <w:rFonts w:ascii="楷体" w:hAnsi="楷体" w:eastAsia="楷体"/>
          <w:b/>
          <w:sz w:val="24"/>
        </w:rPr>
      </w:pPr>
      <w:bookmarkStart w:id="125" w:name="_Toc22011"/>
      <w:bookmarkStart w:id="126" w:name="_Toc31233"/>
      <w:bookmarkStart w:id="127" w:name="_Toc15447"/>
      <w:bookmarkStart w:id="128" w:name="_Toc26555"/>
      <w:bookmarkStart w:id="129" w:name="_Toc32670"/>
      <w:r>
        <w:rPr>
          <w:rFonts w:hint="eastAsia" w:ascii="楷体" w:hAnsi="楷体" w:eastAsia="楷体"/>
          <w:b/>
          <w:sz w:val="24"/>
        </w:rPr>
        <w:t xml:space="preserve">2.5 </w:t>
      </w:r>
      <w:r>
        <w:rPr>
          <w:rFonts w:ascii="楷体" w:hAnsi="楷体" w:eastAsia="楷体"/>
          <w:b/>
          <w:sz w:val="24"/>
        </w:rPr>
        <w:t>结算方式和付款条件</w:t>
      </w:r>
      <w:bookmarkEnd w:id="119"/>
      <w:bookmarkEnd w:id="120"/>
      <w:bookmarkEnd w:id="121"/>
      <w:bookmarkEnd w:id="122"/>
      <w:bookmarkEnd w:id="123"/>
      <w:bookmarkEnd w:id="125"/>
      <w:bookmarkEnd w:id="126"/>
      <w:bookmarkEnd w:id="127"/>
      <w:bookmarkEnd w:id="128"/>
      <w:bookmarkEnd w:id="129"/>
    </w:p>
    <w:p>
      <w:pPr>
        <w:spacing w:line="560" w:lineRule="exact"/>
        <w:ind w:firstLine="480" w:firstLineChars="200"/>
        <w:outlineLvl w:val="9"/>
        <w:rPr>
          <w:rFonts w:ascii="楷体" w:hAnsi="楷体" w:eastAsia="楷体"/>
          <w:sz w:val="24"/>
        </w:rPr>
      </w:pPr>
      <w:r>
        <w:rPr>
          <w:rFonts w:ascii="楷体" w:hAnsi="楷体" w:eastAsia="楷体"/>
          <w:sz w:val="24"/>
        </w:rPr>
        <w:t>详见</w:t>
      </w:r>
      <w:r>
        <w:rPr>
          <w:rFonts w:ascii="楷体" w:hAnsi="楷体" w:eastAsia="楷体"/>
          <w:b/>
          <w:i/>
          <w:sz w:val="24"/>
          <w:u w:val="single"/>
        </w:rPr>
        <w:t>合同专用条款</w:t>
      </w:r>
      <w:r>
        <w:rPr>
          <w:rFonts w:ascii="楷体" w:hAnsi="楷体" w:eastAsia="楷体"/>
          <w:sz w:val="24"/>
        </w:rPr>
        <w:t>。</w:t>
      </w:r>
    </w:p>
    <w:p>
      <w:pPr>
        <w:spacing w:line="560" w:lineRule="exact"/>
        <w:ind w:firstLine="482" w:firstLineChars="200"/>
        <w:outlineLvl w:val="9"/>
        <w:rPr>
          <w:rFonts w:ascii="楷体" w:hAnsi="楷体" w:eastAsia="楷体"/>
          <w:b/>
          <w:sz w:val="24"/>
        </w:rPr>
      </w:pPr>
      <w:bookmarkStart w:id="130" w:name="_Toc259093677"/>
      <w:bookmarkStart w:id="131" w:name="_Toc487900358"/>
      <w:bookmarkStart w:id="132" w:name="_Ref467379852"/>
      <w:bookmarkStart w:id="133" w:name="_Ref467379923"/>
      <w:bookmarkStart w:id="134" w:name="_Ref467379863"/>
      <w:bookmarkStart w:id="135" w:name="_Toc279701248"/>
      <w:bookmarkStart w:id="136" w:name="_Toc13467"/>
      <w:bookmarkStart w:id="137" w:name="_Toc30507"/>
      <w:bookmarkStart w:id="138" w:name="_Toc16163"/>
      <w:bookmarkStart w:id="139" w:name="_Toc13154"/>
      <w:bookmarkStart w:id="140" w:name="_Toc18990"/>
      <w:r>
        <w:rPr>
          <w:rFonts w:hint="eastAsia" w:ascii="楷体" w:hAnsi="楷体" w:eastAsia="楷体"/>
          <w:b/>
          <w:sz w:val="24"/>
        </w:rPr>
        <w:t xml:space="preserve">2.6 </w:t>
      </w:r>
      <w:r>
        <w:rPr>
          <w:rFonts w:ascii="楷体" w:hAnsi="楷体" w:eastAsia="楷体"/>
          <w:b/>
          <w:sz w:val="24"/>
        </w:rPr>
        <w:t>技术资料</w:t>
      </w:r>
      <w:bookmarkEnd w:id="130"/>
      <w:bookmarkEnd w:id="131"/>
      <w:bookmarkEnd w:id="132"/>
      <w:bookmarkEnd w:id="133"/>
      <w:bookmarkEnd w:id="134"/>
      <w:bookmarkEnd w:id="135"/>
      <w:r>
        <w:rPr>
          <w:rFonts w:ascii="楷体" w:hAnsi="楷体" w:eastAsia="楷体"/>
          <w:b/>
          <w:sz w:val="24"/>
        </w:rPr>
        <w:t>和保密义务</w:t>
      </w:r>
      <w:bookmarkEnd w:id="136"/>
      <w:bookmarkEnd w:id="137"/>
      <w:bookmarkEnd w:id="138"/>
      <w:bookmarkEnd w:id="139"/>
      <w:bookmarkEnd w:id="140"/>
    </w:p>
    <w:p>
      <w:pPr>
        <w:spacing w:line="560" w:lineRule="exact"/>
        <w:ind w:firstLine="480" w:firstLineChars="200"/>
        <w:outlineLvl w:val="9"/>
        <w:rPr>
          <w:rFonts w:ascii="楷体" w:hAnsi="楷体" w:eastAsia="楷体"/>
          <w:sz w:val="24"/>
        </w:rPr>
      </w:pPr>
      <w:r>
        <w:rPr>
          <w:rFonts w:hint="eastAsia" w:ascii="楷体" w:hAnsi="楷体" w:eastAsia="楷体"/>
          <w:sz w:val="24"/>
        </w:rPr>
        <w:t>2.6</w:t>
      </w:r>
      <w:r>
        <w:rPr>
          <w:rFonts w:ascii="楷体" w:hAnsi="楷体" w:eastAsia="楷体"/>
          <w:sz w:val="24"/>
        </w:rPr>
        <w:t>.1</w:t>
      </w:r>
      <w:r>
        <w:rPr>
          <w:rFonts w:hint="eastAsia" w:ascii="楷体" w:hAnsi="楷体" w:eastAsia="楷体"/>
          <w:sz w:val="24"/>
        </w:rPr>
        <w:t xml:space="preserve"> 乙方有权依据合同约定和项目需要，向甲方了解有关情况，调阅有关资料等，甲方应予积极配合；</w:t>
      </w:r>
    </w:p>
    <w:p>
      <w:pPr>
        <w:spacing w:line="560" w:lineRule="exact"/>
        <w:ind w:firstLine="480" w:firstLineChars="200"/>
        <w:outlineLvl w:val="9"/>
        <w:rPr>
          <w:rFonts w:ascii="楷体" w:hAnsi="楷体" w:eastAsia="楷体"/>
          <w:sz w:val="24"/>
        </w:rPr>
      </w:pPr>
      <w:r>
        <w:rPr>
          <w:rFonts w:hint="eastAsia" w:ascii="楷体" w:hAnsi="楷体" w:eastAsia="楷体"/>
          <w:sz w:val="24"/>
        </w:rPr>
        <w:t>2.6.2 乙方有义务妥善保管和保护由甲方提供的前款信息和资料等；</w:t>
      </w:r>
    </w:p>
    <w:p>
      <w:pPr>
        <w:spacing w:line="560" w:lineRule="exact"/>
        <w:ind w:firstLine="480" w:firstLineChars="200"/>
        <w:outlineLvl w:val="9"/>
        <w:rPr>
          <w:rFonts w:ascii="楷体" w:hAnsi="楷体" w:eastAsia="楷体"/>
          <w:sz w:val="24"/>
        </w:rPr>
      </w:pPr>
      <w:r>
        <w:rPr>
          <w:rFonts w:hint="eastAsia" w:ascii="楷体" w:hAnsi="楷体" w:eastAsia="楷体"/>
          <w:sz w:val="24"/>
        </w:rPr>
        <w:t>2.6</w:t>
      </w:r>
      <w:r>
        <w:rPr>
          <w:rFonts w:ascii="楷体" w:hAnsi="楷体" w:eastAsia="楷体"/>
          <w:sz w:val="24"/>
        </w:rPr>
        <w:t>.</w:t>
      </w:r>
      <w:r>
        <w:rPr>
          <w:rFonts w:hint="eastAsia" w:ascii="楷体" w:hAnsi="楷体" w:eastAsia="楷体"/>
          <w:sz w:val="24"/>
        </w:rPr>
        <w:t>3 除非依照法律规定或者对方当事人的书面同意，任何一方均应保证不向任何第三方提供或披露有关合同的或者履行合同过程中知悉的对方当事人任何未公开的信息和资料，包括但不限于</w:t>
      </w:r>
      <w:r>
        <w:rPr>
          <w:rFonts w:ascii="楷体" w:hAnsi="楷体" w:eastAsia="楷体"/>
          <w:sz w:val="24"/>
        </w:rPr>
        <w:t>技术情报</w:t>
      </w:r>
      <w:r>
        <w:rPr>
          <w:rFonts w:hint="eastAsia" w:ascii="楷体" w:hAnsi="楷体" w:eastAsia="楷体"/>
          <w:sz w:val="24"/>
        </w:rPr>
        <w:t>、</w:t>
      </w:r>
      <w:r>
        <w:rPr>
          <w:rFonts w:ascii="楷体" w:hAnsi="楷体" w:eastAsia="楷体"/>
          <w:sz w:val="24"/>
        </w:rPr>
        <w:t>技术资料</w:t>
      </w:r>
      <w:r>
        <w:rPr>
          <w:rFonts w:hint="eastAsia" w:ascii="楷体" w:hAnsi="楷体" w:eastAsia="楷体"/>
          <w:sz w:val="24"/>
        </w:rPr>
        <w:t>、商业秘密和商业信息等，并采取一切合理和必要措施和方式防止任何第三方接触到对方当事人的上述保密信息和资料。</w:t>
      </w:r>
    </w:p>
    <w:p>
      <w:pPr>
        <w:spacing w:line="560" w:lineRule="exact"/>
        <w:ind w:firstLine="482" w:firstLineChars="200"/>
        <w:outlineLvl w:val="9"/>
        <w:rPr>
          <w:rFonts w:ascii="楷体" w:hAnsi="楷体" w:eastAsia="楷体"/>
          <w:b/>
          <w:sz w:val="24"/>
        </w:rPr>
      </w:pPr>
      <w:bookmarkStart w:id="141" w:name="_Toc19069"/>
      <w:bookmarkStart w:id="142" w:name="_Toc279701252"/>
      <w:bookmarkStart w:id="143" w:name="_Toc487900362"/>
      <w:bookmarkStart w:id="144" w:name="_Toc259093681"/>
      <w:r>
        <w:rPr>
          <w:rFonts w:hint="eastAsia" w:ascii="楷体" w:hAnsi="楷体" w:eastAsia="楷体"/>
          <w:b/>
          <w:sz w:val="24"/>
        </w:rPr>
        <w:t>2.7 质量保证</w:t>
      </w:r>
      <w:bookmarkEnd w:id="141"/>
    </w:p>
    <w:p>
      <w:pPr>
        <w:spacing w:line="560" w:lineRule="exact"/>
        <w:ind w:firstLine="480" w:firstLineChars="200"/>
        <w:outlineLvl w:val="9"/>
        <w:rPr>
          <w:rFonts w:ascii="楷体" w:hAnsi="楷体" w:eastAsia="楷体"/>
          <w:sz w:val="24"/>
        </w:rPr>
      </w:pPr>
      <w:r>
        <w:rPr>
          <w:rFonts w:hint="eastAsia" w:ascii="楷体" w:hAnsi="楷体" w:eastAsia="楷体"/>
          <w:sz w:val="24"/>
        </w:rPr>
        <w:t>2.7.1 乙方应建立和完善履行合同的内部质量保证体系，并提供相关内部规章制度给甲方，以便甲方进行监督检查；</w:t>
      </w:r>
    </w:p>
    <w:p>
      <w:pPr>
        <w:spacing w:line="560" w:lineRule="exact"/>
        <w:ind w:firstLine="480" w:firstLineChars="200"/>
        <w:outlineLvl w:val="9"/>
        <w:rPr>
          <w:rFonts w:ascii="楷体" w:hAnsi="楷体" w:eastAsia="楷体"/>
          <w:sz w:val="24"/>
        </w:rPr>
      </w:pPr>
      <w:r>
        <w:rPr>
          <w:rFonts w:hint="eastAsia" w:ascii="楷体" w:hAnsi="楷体" w:eastAsia="楷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9"/>
        <w:rPr>
          <w:rFonts w:ascii="楷体" w:hAnsi="楷体" w:eastAsia="楷体"/>
          <w:b/>
          <w:sz w:val="24"/>
        </w:rPr>
      </w:pPr>
      <w:bookmarkStart w:id="145" w:name="_Toc22267"/>
      <w:r>
        <w:rPr>
          <w:rFonts w:hint="eastAsia" w:ascii="楷体" w:hAnsi="楷体" w:eastAsia="楷体"/>
          <w:b/>
          <w:sz w:val="24"/>
        </w:rPr>
        <w:t>2.8 延迟</w:t>
      </w:r>
      <w:bookmarkEnd w:id="142"/>
      <w:bookmarkEnd w:id="143"/>
      <w:bookmarkEnd w:id="144"/>
      <w:r>
        <w:rPr>
          <w:rFonts w:hint="eastAsia" w:ascii="楷体" w:hAnsi="楷体" w:eastAsia="楷体"/>
          <w:b/>
          <w:sz w:val="24"/>
        </w:rPr>
        <w:t>履行</w:t>
      </w:r>
      <w:bookmarkEnd w:id="145"/>
    </w:p>
    <w:p>
      <w:pPr>
        <w:spacing w:line="560" w:lineRule="exact"/>
        <w:ind w:firstLine="480" w:firstLineChars="200"/>
        <w:outlineLvl w:val="9"/>
        <w:rPr>
          <w:rFonts w:ascii="楷体" w:hAnsi="楷体" w:eastAsia="楷体"/>
          <w:sz w:val="24"/>
        </w:rPr>
      </w:pPr>
      <w:r>
        <w:rPr>
          <w:rFonts w:ascii="楷体" w:hAnsi="楷体" w:eastAsia="楷体"/>
          <w:sz w:val="24"/>
        </w:rPr>
        <w:t>在合同履行过程中，如果乙方遇到不能按时</w:t>
      </w:r>
      <w:r>
        <w:rPr>
          <w:rFonts w:hint="eastAsia" w:ascii="楷体" w:hAnsi="楷体" w:eastAsia="楷体"/>
          <w:sz w:val="24"/>
        </w:rPr>
        <w:t>提供服务</w:t>
      </w:r>
      <w:r>
        <w:rPr>
          <w:rFonts w:ascii="楷体" w:hAnsi="楷体" w:eastAsia="楷体"/>
          <w:sz w:val="24"/>
        </w:rPr>
        <w:t>的情况，应及时以书面形式将不能按时</w:t>
      </w:r>
      <w:r>
        <w:rPr>
          <w:rFonts w:hint="eastAsia" w:ascii="楷体" w:hAnsi="楷体" w:eastAsia="楷体"/>
          <w:sz w:val="24"/>
        </w:rPr>
        <w:t>提供服务</w:t>
      </w:r>
      <w:r>
        <w:rPr>
          <w:rFonts w:ascii="楷体" w:hAnsi="楷体" w:eastAsia="楷体"/>
          <w:sz w:val="24"/>
        </w:rPr>
        <w:t>的理由、预期延误时间通知甲方</w:t>
      </w:r>
      <w:r>
        <w:rPr>
          <w:rFonts w:hint="eastAsia" w:ascii="楷体" w:hAnsi="楷体" w:eastAsia="楷体"/>
          <w:sz w:val="24"/>
        </w:rPr>
        <w:t>；甲</w:t>
      </w:r>
      <w:r>
        <w:rPr>
          <w:rFonts w:ascii="楷体" w:hAnsi="楷体" w:eastAsia="楷体"/>
          <w:sz w:val="24"/>
        </w:rPr>
        <w:t>方收到乙方通知后，认为其理由正当的，可以书面形式酌情同意乙方可以延长</w:t>
      </w:r>
      <w:r>
        <w:rPr>
          <w:rFonts w:hint="eastAsia" w:ascii="楷体" w:hAnsi="楷体" w:eastAsia="楷体"/>
          <w:sz w:val="24"/>
        </w:rPr>
        <w:t>履行</w:t>
      </w:r>
      <w:r>
        <w:rPr>
          <w:rFonts w:ascii="楷体" w:hAnsi="楷体" w:eastAsia="楷体"/>
          <w:sz w:val="24"/>
        </w:rPr>
        <w:t>的具体时间。</w:t>
      </w:r>
    </w:p>
    <w:p>
      <w:pPr>
        <w:spacing w:line="560" w:lineRule="exact"/>
        <w:ind w:firstLine="482" w:firstLineChars="200"/>
        <w:outlineLvl w:val="9"/>
        <w:rPr>
          <w:rFonts w:ascii="楷体" w:hAnsi="楷体" w:eastAsia="楷体"/>
          <w:b/>
          <w:sz w:val="24"/>
        </w:rPr>
      </w:pPr>
      <w:bookmarkStart w:id="146" w:name="_Toc10611"/>
      <w:bookmarkStart w:id="147" w:name="_Toc259093683"/>
      <w:bookmarkStart w:id="148" w:name="_Toc487900364"/>
      <w:bookmarkStart w:id="149" w:name="_Toc279701254"/>
      <w:bookmarkStart w:id="150" w:name="_Ref467378121"/>
      <w:r>
        <w:rPr>
          <w:rFonts w:hint="eastAsia" w:ascii="楷体" w:hAnsi="楷体" w:eastAsia="楷体"/>
          <w:b/>
          <w:sz w:val="24"/>
        </w:rPr>
        <w:t>2.9 合同变更</w:t>
      </w:r>
      <w:bookmarkEnd w:id="146"/>
    </w:p>
    <w:p>
      <w:pPr>
        <w:spacing w:line="560" w:lineRule="exact"/>
        <w:ind w:firstLine="480" w:firstLineChars="200"/>
        <w:outlineLvl w:val="9"/>
        <w:rPr>
          <w:rFonts w:ascii="楷体" w:hAnsi="楷体" w:eastAsia="楷体"/>
          <w:sz w:val="24"/>
        </w:rPr>
      </w:pPr>
      <w:r>
        <w:rPr>
          <w:rFonts w:hint="eastAsia" w:ascii="楷体" w:hAnsi="楷体" w:eastAsia="楷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outlineLvl w:val="9"/>
        <w:rPr>
          <w:rFonts w:ascii="楷体" w:hAnsi="楷体" w:eastAsia="楷体"/>
          <w:sz w:val="24"/>
        </w:rPr>
      </w:pPr>
      <w:r>
        <w:rPr>
          <w:rFonts w:hint="eastAsia" w:ascii="楷体" w:hAnsi="楷体" w:eastAsia="楷体"/>
          <w:sz w:val="24"/>
        </w:rPr>
        <w:t>2.9.2 合同继续履行将损害国家利益和社会公共利益的，双方当事人应当以书面形式变更合同。有过错的一方应当承担赔偿责任，双方当事人都有过错的，各自承担相应的责任。</w:t>
      </w:r>
      <w:bookmarkStart w:id="151" w:name="_Toc279701259"/>
      <w:bookmarkStart w:id="152" w:name="_Toc487900369"/>
      <w:bookmarkStart w:id="153" w:name="_Toc259093688"/>
    </w:p>
    <w:p>
      <w:pPr>
        <w:spacing w:line="560" w:lineRule="exact"/>
        <w:ind w:firstLine="482" w:firstLineChars="200"/>
        <w:outlineLvl w:val="9"/>
        <w:rPr>
          <w:rFonts w:ascii="楷体" w:hAnsi="楷体" w:eastAsia="楷体"/>
          <w:b/>
          <w:sz w:val="24"/>
        </w:rPr>
      </w:pPr>
      <w:bookmarkStart w:id="154" w:name="_Toc21830"/>
      <w:bookmarkStart w:id="155" w:name="_Toc26689"/>
      <w:bookmarkStart w:id="156" w:name="_Toc10663"/>
      <w:bookmarkStart w:id="157" w:name="_Toc23368"/>
      <w:bookmarkStart w:id="158" w:name="_Toc42"/>
      <w:r>
        <w:rPr>
          <w:rFonts w:hint="eastAsia" w:ascii="楷体" w:hAnsi="楷体" w:eastAsia="楷体"/>
          <w:b/>
          <w:sz w:val="24"/>
        </w:rPr>
        <w:t xml:space="preserve">2.10 </w:t>
      </w:r>
      <w:r>
        <w:rPr>
          <w:rFonts w:ascii="楷体" w:hAnsi="楷体" w:eastAsia="楷体"/>
          <w:b/>
          <w:sz w:val="24"/>
        </w:rPr>
        <w:t>合同转让</w:t>
      </w:r>
      <w:bookmarkEnd w:id="151"/>
      <w:bookmarkEnd w:id="152"/>
      <w:bookmarkEnd w:id="153"/>
      <w:r>
        <w:rPr>
          <w:rFonts w:ascii="楷体" w:hAnsi="楷体" w:eastAsia="楷体"/>
          <w:b/>
          <w:sz w:val="24"/>
        </w:rPr>
        <w:t>和分包</w:t>
      </w:r>
      <w:bookmarkEnd w:id="154"/>
      <w:bookmarkEnd w:id="155"/>
      <w:bookmarkEnd w:id="156"/>
      <w:bookmarkEnd w:id="157"/>
      <w:bookmarkEnd w:id="158"/>
    </w:p>
    <w:p>
      <w:pPr>
        <w:spacing w:line="560" w:lineRule="exact"/>
        <w:ind w:firstLine="480" w:firstLineChars="200"/>
        <w:outlineLvl w:val="9"/>
        <w:rPr>
          <w:rFonts w:ascii="楷体" w:hAnsi="楷体" w:eastAsia="楷体"/>
          <w:sz w:val="24"/>
        </w:rPr>
      </w:pPr>
      <w:r>
        <w:rPr>
          <w:rFonts w:ascii="楷体" w:hAnsi="楷体" w:eastAsia="楷体"/>
          <w:sz w:val="24"/>
        </w:rPr>
        <w:t>合同的权利义务依法不</w:t>
      </w:r>
      <w:r>
        <w:rPr>
          <w:rFonts w:hint="eastAsia" w:ascii="楷体" w:hAnsi="楷体" w:eastAsia="楷体"/>
          <w:sz w:val="24"/>
        </w:rPr>
        <w:t>得</w:t>
      </w:r>
      <w:r>
        <w:rPr>
          <w:rFonts w:ascii="楷体" w:hAnsi="楷体" w:eastAsia="楷体"/>
          <w:sz w:val="24"/>
        </w:rPr>
        <w:t>转让</w:t>
      </w:r>
      <w:r>
        <w:rPr>
          <w:rFonts w:hint="eastAsia" w:ascii="楷体" w:hAnsi="楷体" w:eastAsia="楷体"/>
          <w:sz w:val="24"/>
        </w:rPr>
        <w:t>，</w:t>
      </w:r>
      <w:r>
        <w:rPr>
          <w:rFonts w:ascii="楷体" w:hAnsi="楷体" w:eastAsia="楷体"/>
          <w:sz w:val="24"/>
        </w:rPr>
        <w:t>但经甲方</w:t>
      </w:r>
      <w:r>
        <w:rPr>
          <w:rFonts w:hint="eastAsia" w:ascii="楷体" w:hAnsi="楷体" w:eastAsia="楷体"/>
          <w:sz w:val="24"/>
        </w:rPr>
        <w:t>同意，乙方可以依法采取分包方式履行合同，即：依法可以</w:t>
      </w:r>
      <w:r>
        <w:rPr>
          <w:rFonts w:ascii="楷体" w:hAnsi="楷体" w:eastAsia="楷体"/>
          <w:sz w:val="24"/>
        </w:rPr>
        <w:t>将合同项下的部分非主体、非关键性工作分包给他人完成</w:t>
      </w:r>
      <w:r>
        <w:rPr>
          <w:rFonts w:hint="eastAsia" w:ascii="楷体" w:hAnsi="楷体" w:eastAsia="楷体"/>
          <w:sz w:val="24"/>
        </w:rPr>
        <w:t>，</w:t>
      </w:r>
      <w:r>
        <w:rPr>
          <w:rFonts w:ascii="楷体" w:hAnsi="楷体" w:eastAsia="楷体"/>
          <w:sz w:val="24"/>
        </w:rPr>
        <w:t>接受分包的人应当具备相应的资格条件，并不得再次分包</w:t>
      </w:r>
      <w:r>
        <w:rPr>
          <w:rFonts w:hint="eastAsia" w:ascii="楷体" w:hAnsi="楷体" w:eastAsia="楷体"/>
          <w:sz w:val="24"/>
        </w:rPr>
        <w:t>，</w:t>
      </w:r>
      <w:r>
        <w:rPr>
          <w:rFonts w:ascii="楷体" w:hAnsi="楷体" w:eastAsia="楷体"/>
          <w:sz w:val="24"/>
        </w:rPr>
        <w:t>且乙方应就分包项目向甲方负责</w:t>
      </w:r>
      <w:r>
        <w:rPr>
          <w:rFonts w:hint="eastAsia" w:ascii="楷体" w:hAnsi="楷体" w:eastAsia="楷体"/>
          <w:sz w:val="24"/>
        </w:rPr>
        <w:t>，</w:t>
      </w:r>
      <w:r>
        <w:rPr>
          <w:rFonts w:ascii="楷体" w:hAnsi="楷体" w:eastAsia="楷体"/>
          <w:sz w:val="24"/>
        </w:rPr>
        <w:t>并</w:t>
      </w:r>
      <w:r>
        <w:rPr>
          <w:rFonts w:hint="eastAsia" w:ascii="楷体" w:hAnsi="楷体" w:eastAsia="楷体"/>
          <w:sz w:val="24"/>
        </w:rPr>
        <w:t>与分包供应商就分包项目向甲方承担连带责任。</w:t>
      </w:r>
    </w:p>
    <w:p>
      <w:pPr>
        <w:spacing w:line="560" w:lineRule="exact"/>
        <w:ind w:firstLine="482" w:firstLineChars="200"/>
        <w:outlineLvl w:val="9"/>
        <w:rPr>
          <w:rFonts w:ascii="楷体" w:hAnsi="楷体" w:eastAsia="楷体"/>
          <w:b/>
          <w:sz w:val="24"/>
        </w:rPr>
      </w:pPr>
      <w:bookmarkStart w:id="159" w:name="_Toc26633"/>
      <w:bookmarkStart w:id="160" w:name="_Toc25571"/>
      <w:bookmarkStart w:id="161" w:name="_Toc4720"/>
      <w:bookmarkStart w:id="162" w:name="_Toc14371"/>
      <w:bookmarkStart w:id="163" w:name="_Toc32494"/>
      <w:r>
        <w:rPr>
          <w:rFonts w:hint="eastAsia" w:ascii="楷体" w:hAnsi="楷体" w:eastAsia="楷体"/>
          <w:b/>
          <w:sz w:val="24"/>
        </w:rPr>
        <w:t>2.11</w:t>
      </w:r>
      <w:r>
        <w:rPr>
          <w:rFonts w:ascii="楷体" w:hAnsi="楷体" w:eastAsia="楷体"/>
          <w:b/>
          <w:sz w:val="24"/>
        </w:rPr>
        <w:t xml:space="preserve"> 不可抗力</w:t>
      </w:r>
      <w:bookmarkEnd w:id="159"/>
      <w:bookmarkEnd w:id="160"/>
      <w:bookmarkEnd w:id="161"/>
      <w:bookmarkEnd w:id="162"/>
      <w:bookmarkEnd w:id="163"/>
    </w:p>
    <w:p>
      <w:pPr>
        <w:spacing w:line="560" w:lineRule="exact"/>
        <w:ind w:firstLine="480" w:firstLineChars="200"/>
        <w:outlineLvl w:val="9"/>
        <w:rPr>
          <w:rFonts w:ascii="楷体" w:hAnsi="楷体" w:eastAsia="楷体"/>
          <w:sz w:val="24"/>
        </w:rPr>
      </w:pPr>
      <w:r>
        <w:rPr>
          <w:rFonts w:hint="eastAsia" w:ascii="楷体" w:hAnsi="楷体" w:eastAsia="楷体"/>
          <w:sz w:val="24"/>
        </w:rPr>
        <w:t>2.11</w:t>
      </w:r>
      <w:r>
        <w:rPr>
          <w:rFonts w:ascii="楷体" w:hAnsi="楷体" w:eastAsia="楷体"/>
          <w:sz w:val="24"/>
        </w:rPr>
        <w:t>.1如果任何一方遭遇法律规定的不可抗力，致使合同履行受阻时，履行合同的期限应予延长，延长的期限应相当于不可抗力所影响的时间</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2.11.2 因不可抗力致使不能实现合同目的的，当事人可以解除合同；</w:t>
      </w:r>
    </w:p>
    <w:p>
      <w:pPr>
        <w:spacing w:line="560" w:lineRule="exact"/>
        <w:ind w:firstLine="480" w:firstLineChars="200"/>
        <w:outlineLvl w:val="9"/>
        <w:rPr>
          <w:rFonts w:ascii="楷体" w:hAnsi="楷体" w:eastAsia="楷体"/>
          <w:sz w:val="24"/>
        </w:rPr>
      </w:pPr>
      <w:r>
        <w:rPr>
          <w:rFonts w:hint="eastAsia" w:ascii="楷体" w:hAnsi="楷体" w:eastAsia="楷体"/>
          <w:sz w:val="24"/>
        </w:rPr>
        <w:t>2.11.3 因</w:t>
      </w:r>
      <w:r>
        <w:rPr>
          <w:rFonts w:ascii="楷体" w:hAnsi="楷体" w:eastAsia="楷体"/>
          <w:sz w:val="24"/>
        </w:rPr>
        <w:t>不可抗力致使合同有变更必要的，双方当事人应在</w:t>
      </w:r>
      <w:r>
        <w:rPr>
          <w:rFonts w:ascii="楷体" w:hAnsi="楷体" w:eastAsia="楷体"/>
          <w:b/>
          <w:i/>
          <w:sz w:val="24"/>
          <w:u w:val="single"/>
        </w:rPr>
        <w:t>合同专用条款</w:t>
      </w:r>
      <w:r>
        <w:rPr>
          <w:rFonts w:ascii="楷体" w:hAnsi="楷体" w:eastAsia="楷体"/>
          <w:sz w:val="24"/>
        </w:rPr>
        <w:t>约定时间内以书面形式变更合同</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2.11</w:t>
      </w:r>
      <w:r>
        <w:rPr>
          <w:rFonts w:ascii="楷体" w:hAnsi="楷体" w:eastAsia="楷体"/>
          <w:sz w:val="24"/>
        </w:rPr>
        <w:t>.</w:t>
      </w:r>
      <w:r>
        <w:rPr>
          <w:rFonts w:hint="eastAsia" w:ascii="楷体" w:hAnsi="楷体" w:eastAsia="楷体"/>
          <w:sz w:val="24"/>
        </w:rPr>
        <w:t>4</w:t>
      </w:r>
      <w:r>
        <w:rPr>
          <w:rFonts w:ascii="楷体" w:hAnsi="楷体" w:eastAsia="楷体"/>
          <w:sz w:val="24"/>
        </w:rPr>
        <w:t>受</w:t>
      </w:r>
      <w:r>
        <w:rPr>
          <w:rFonts w:hint="eastAsia" w:ascii="楷体" w:hAnsi="楷体" w:eastAsia="楷体"/>
          <w:sz w:val="24"/>
        </w:rPr>
        <w:t>不可抗力</w:t>
      </w:r>
      <w:r>
        <w:rPr>
          <w:rFonts w:ascii="楷体" w:hAnsi="楷体" w:eastAsia="楷体"/>
          <w:sz w:val="24"/>
        </w:rPr>
        <w:t>影响的一方在不可抗力发生后</w:t>
      </w:r>
      <w:r>
        <w:rPr>
          <w:rFonts w:hint="eastAsia" w:ascii="楷体" w:hAnsi="楷体" w:eastAsia="楷体"/>
          <w:sz w:val="24"/>
        </w:rPr>
        <w:t>，</w:t>
      </w:r>
      <w:r>
        <w:rPr>
          <w:rFonts w:ascii="楷体" w:hAnsi="楷体" w:eastAsia="楷体"/>
          <w:sz w:val="24"/>
        </w:rPr>
        <w:t>应在</w:t>
      </w:r>
      <w:r>
        <w:rPr>
          <w:rFonts w:ascii="楷体" w:hAnsi="楷体" w:eastAsia="楷体"/>
          <w:b/>
          <w:i/>
          <w:sz w:val="24"/>
          <w:u w:val="single"/>
        </w:rPr>
        <w:t>合同专用条款</w:t>
      </w:r>
      <w:r>
        <w:rPr>
          <w:rFonts w:ascii="楷体" w:hAnsi="楷体" w:eastAsia="楷体"/>
          <w:sz w:val="24"/>
        </w:rPr>
        <w:t>约定时间内以书面形式通知</w:t>
      </w:r>
      <w:r>
        <w:rPr>
          <w:rFonts w:hint="eastAsia" w:ascii="楷体" w:hAnsi="楷体" w:eastAsia="楷体"/>
          <w:sz w:val="24"/>
        </w:rPr>
        <w:t>对</w:t>
      </w:r>
      <w:r>
        <w:rPr>
          <w:rFonts w:ascii="楷体" w:hAnsi="楷体" w:eastAsia="楷体"/>
          <w:sz w:val="24"/>
        </w:rPr>
        <w:t>方当事人，并在</w:t>
      </w:r>
      <w:r>
        <w:rPr>
          <w:rFonts w:ascii="楷体" w:hAnsi="楷体" w:eastAsia="楷体"/>
          <w:b/>
          <w:i/>
          <w:sz w:val="24"/>
          <w:u w:val="single"/>
        </w:rPr>
        <w:t>合同专用条款</w:t>
      </w:r>
      <w:r>
        <w:rPr>
          <w:rFonts w:ascii="楷体" w:hAnsi="楷体" w:eastAsia="楷体"/>
          <w:sz w:val="24"/>
        </w:rPr>
        <w:t>约定时间内，将有关部门出具的证明文件送达</w:t>
      </w:r>
      <w:r>
        <w:rPr>
          <w:rFonts w:hint="eastAsia" w:ascii="楷体" w:hAnsi="楷体" w:eastAsia="楷体"/>
          <w:sz w:val="24"/>
        </w:rPr>
        <w:t>对方当事人</w:t>
      </w:r>
      <w:r>
        <w:rPr>
          <w:rFonts w:ascii="楷体" w:hAnsi="楷体" w:eastAsia="楷体"/>
          <w:sz w:val="24"/>
        </w:rPr>
        <w:t>。</w:t>
      </w:r>
    </w:p>
    <w:p>
      <w:pPr>
        <w:spacing w:line="560" w:lineRule="exact"/>
        <w:ind w:firstLine="482" w:firstLineChars="200"/>
        <w:outlineLvl w:val="9"/>
        <w:rPr>
          <w:rFonts w:ascii="楷体" w:hAnsi="楷体" w:eastAsia="楷体"/>
          <w:b/>
          <w:sz w:val="24"/>
        </w:rPr>
      </w:pPr>
      <w:bookmarkStart w:id="164" w:name="_Toc14115"/>
      <w:bookmarkStart w:id="165" w:name="_Toc25783"/>
      <w:bookmarkStart w:id="166" w:name="_Toc3638"/>
      <w:bookmarkStart w:id="167" w:name="_Toc279701255"/>
      <w:bookmarkStart w:id="168" w:name="_Toc487900365"/>
      <w:bookmarkStart w:id="169" w:name="_Toc24465"/>
      <w:bookmarkStart w:id="170" w:name="_Toc259093684"/>
      <w:bookmarkStart w:id="171" w:name="_Toc23854"/>
      <w:r>
        <w:rPr>
          <w:rFonts w:hint="eastAsia" w:ascii="楷体" w:hAnsi="楷体" w:eastAsia="楷体"/>
          <w:b/>
          <w:sz w:val="24"/>
        </w:rPr>
        <w:t>2.</w:t>
      </w:r>
      <w:r>
        <w:rPr>
          <w:rFonts w:ascii="楷体" w:hAnsi="楷体" w:eastAsia="楷体"/>
          <w:b/>
          <w:sz w:val="24"/>
        </w:rPr>
        <w:t>1</w:t>
      </w:r>
      <w:r>
        <w:rPr>
          <w:rFonts w:hint="eastAsia" w:ascii="楷体" w:hAnsi="楷体" w:eastAsia="楷体"/>
          <w:b/>
          <w:sz w:val="24"/>
        </w:rPr>
        <w:t xml:space="preserve">2 </w:t>
      </w:r>
      <w:r>
        <w:rPr>
          <w:rFonts w:ascii="楷体" w:hAnsi="楷体" w:eastAsia="楷体"/>
          <w:b/>
          <w:sz w:val="24"/>
        </w:rPr>
        <w:t>税费</w:t>
      </w:r>
      <w:bookmarkEnd w:id="164"/>
      <w:bookmarkEnd w:id="165"/>
      <w:bookmarkEnd w:id="166"/>
      <w:bookmarkEnd w:id="167"/>
      <w:bookmarkEnd w:id="168"/>
      <w:bookmarkEnd w:id="169"/>
      <w:bookmarkEnd w:id="170"/>
      <w:bookmarkEnd w:id="171"/>
    </w:p>
    <w:p>
      <w:pPr>
        <w:spacing w:line="560" w:lineRule="exact"/>
        <w:ind w:firstLine="480" w:firstLineChars="200"/>
        <w:outlineLvl w:val="9"/>
        <w:rPr>
          <w:rFonts w:ascii="楷体" w:hAnsi="楷体" w:eastAsia="楷体"/>
          <w:sz w:val="24"/>
        </w:rPr>
      </w:pPr>
      <w:r>
        <w:rPr>
          <w:rFonts w:ascii="楷体" w:hAnsi="楷体" w:eastAsia="楷体"/>
          <w:sz w:val="24"/>
        </w:rPr>
        <w:t>与合同有关的一切税费</w:t>
      </w:r>
      <w:r>
        <w:rPr>
          <w:rFonts w:hint="eastAsia" w:ascii="楷体" w:hAnsi="楷体" w:eastAsia="楷体"/>
          <w:sz w:val="24"/>
        </w:rPr>
        <w:t>，</w:t>
      </w:r>
      <w:r>
        <w:rPr>
          <w:rFonts w:ascii="楷体" w:hAnsi="楷体" w:eastAsia="楷体"/>
          <w:sz w:val="24"/>
        </w:rPr>
        <w:t>均按照中华人民共和国法律的相关规定缴纳。</w:t>
      </w:r>
    </w:p>
    <w:p>
      <w:pPr>
        <w:spacing w:line="560" w:lineRule="exact"/>
        <w:ind w:firstLine="482" w:firstLineChars="200"/>
        <w:outlineLvl w:val="9"/>
        <w:rPr>
          <w:rFonts w:ascii="楷体" w:hAnsi="楷体" w:eastAsia="楷体"/>
          <w:b/>
          <w:sz w:val="24"/>
        </w:rPr>
      </w:pPr>
      <w:bookmarkStart w:id="172" w:name="_Toc7315"/>
      <w:bookmarkStart w:id="173" w:name="_Toc30105"/>
      <w:bookmarkStart w:id="174" w:name="_Toc25525"/>
      <w:bookmarkStart w:id="175" w:name="_Toc259093687"/>
      <w:bookmarkStart w:id="176" w:name="_Toc487900368"/>
      <w:bookmarkStart w:id="177" w:name="_Toc279701258"/>
      <w:bookmarkStart w:id="178" w:name="_Toc26883"/>
      <w:bookmarkStart w:id="179" w:name="_Toc14814"/>
      <w:r>
        <w:rPr>
          <w:rFonts w:hint="eastAsia" w:ascii="楷体" w:hAnsi="楷体" w:eastAsia="楷体"/>
          <w:b/>
          <w:sz w:val="24"/>
        </w:rPr>
        <w:t>2.</w:t>
      </w:r>
      <w:r>
        <w:rPr>
          <w:rFonts w:ascii="楷体" w:hAnsi="楷体" w:eastAsia="楷体"/>
          <w:b/>
          <w:sz w:val="24"/>
        </w:rPr>
        <w:t>1</w:t>
      </w:r>
      <w:r>
        <w:rPr>
          <w:rFonts w:hint="eastAsia" w:ascii="楷体" w:hAnsi="楷体" w:eastAsia="楷体"/>
          <w:b/>
          <w:sz w:val="24"/>
        </w:rPr>
        <w:t xml:space="preserve">3 </w:t>
      </w:r>
      <w:r>
        <w:rPr>
          <w:rFonts w:ascii="楷体" w:hAnsi="楷体" w:eastAsia="楷体"/>
          <w:b/>
          <w:sz w:val="24"/>
        </w:rPr>
        <w:t>乙方破产</w:t>
      </w:r>
      <w:bookmarkEnd w:id="172"/>
      <w:bookmarkEnd w:id="173"/>
      <w:bookmarkEnd w:id="174"/>
      <w:bookmarkEnd w:id="175"/>
      <w:bookmarkEnd w:id="176"/>
      <w:bookmarkEnd w:id="177"/>
      <w:bookmarkEnd w:id="178"/>
      <w:bookmarkEnd w:id="179"/>
    </w:p>
    <w:p>
      <w:pPr>
        <w:spacing w:line="560" w:lineRule="exact"/>
        <w:ind w:firstLine="480" w:firstLineChars="200"/>
        <w:outlineLvl w:val="9"/>
        <w:rPr>
          <w:rFonts w:ascii="楷体" w:hAnsi="楷体" w:eastAsia="楷体"/>
          <w:sz w:val="24"/>
        </w:rPr>
      </w:pPr>
      <w:r>
        <w:rPr>
          <w:rFonts w:ascii="楷体" w:hAnsi="楷体" w:eastAsia="楷体"/>
          <w:sz w:val="24"/>
        </w:rPr>
        <w:t>如果乙方破产导致合同无法履行时，甲方可以书面形式通知乙方终止合同且不给予乙方任何补偿和赔偿</w:t>
      </w:r>
      <w:r>
        <w:rPr>
          <w:rFonts w:hint="eastAsia" w:ascii="楷体" w:hAnsi="楷体" w:eastAsia="楷体"/>
          <w:sz w:val="24"/>
        </w:rPr>
        <w:t>，但合同的</w:t>
      </w:r>
      <w:r>
        <w:rPr>
          <w:rFonts w:ascii="楷体" w:hAnsi="楷体" w:eastAsia="楷体"/>
          <w:sz w:val="24"/>
        </w:rPr>
        <w:t>终止不损害或不影响甲方已经采取或将要采取的任何要求乙方支付违约金</w:t>
      </w:r>
      <w:r>
        <w:rPr>
          <w:rFonts w:hint="eastAsia" w:ascii="楷体" w:hAnsi="楷体" w:eastAsia="楷体"/>
          <w:sz w:val="24"/>
        </w:rPr>
        <w:t>、</w:t>
      </w:r>
      <w:r>
        <w:rPr>
          <w:rFonts w:ascii="楷体" w:hAnsi="楷体" w:eastAsia="楷体"/>
          <w:sz w:val="24"/>
        </w:rPr>
        <w:t>赔偿损失等的行动或补救措施的权利</w:t>
      </w:r>
      <w:r>
        <w:rPr>
          <w:rFonts w:hint="eastAsia" w:ascii="楷体" w:hAnsi="楷体" w:eastAsia="楷体"/>
          <w:sz w:val="24"/>
        </w:rPr>
        <w:t>。</w:t>
      </w:r>
    </w:p>
    <w:p>
      <w:pPr>
        <w:spacing w:line="560" w:lineRule="exact"/>
        <w:ind w:firstLine="482" w:firstLineChars="200"/>
        <w:outlineLvl w:val="9"/>
        <w:rPr>
          <w:rFonts w:ascii="楷体" w:hAnsi="楷体" w:eastAsia="楷体"/>
          <w:b/>
          <w:sz w:val="24"/>
        </w:rPr>
      </w:pPr>
      <w:bookmarkStart w:id="180" w:name="_Toc23323"/>
      <w:bookmarkStart w:id="181" w:name="_Toc1123"/>
      <w:bookmarkStart w:id="182" w:name="_Toc2016"/>
      <w:r>
        <w:rPr>
          <w:rFonts w:ascii="楷体" w:hAnsi="楷体" w:eastAsia="楷体"/>
          <w:b/>
          <w:sz w:val="24"/>
        </w:rPr>
        <w:t>2.14 合同中止、终止</w:t>
      </w:r>
      <w:bookmarkEnd w:id="180"/>
      <w:bookmarkEnd w:id="181"/>
      <w:bookmarkEnd w:id="182"/>
    </w:p>
    <w:p>
      <w:pPr>
        <w:spacing w:line="560" w:lineRule="exact"/>
        <w:ind w:firstLine="480" w:firstLineChars="200"/>
        <w:outlineLvl w:val="9"/>
        <w:rPr>
          <w:rFonts w:ascii="楷体" w:hAnsi="楷体" w:eastAsia="楷体"/>
          <w:sz w:val="24"/>
        </w:rPr>
      </w:pPr>
      <w:r>
        <w:rPr>
          <w:rFonts w:hint="eastAsia" w:ascii="楷体" w:hAnsi="楷体" w:eastAsia="楷体"/>
          <w:sz w:val="24"/>
        </w:rPr>
        <w:t>2.14.1 双方当事人不得擅自中止或者终止合同；</w:t>
      </w:r>
    </w:p>
    <w:p>
      <w:pPr>
        <w:spacing w:line="560" w:lineRule="exact"/>
        <w:ind w:firstLine="480" w:firstLineChars="200"/>
        <w:outlineLvl w:val="9"/>
        <w:rPr>
          <w:rFonts w:ascii="楷体" w:hAnsi="楷体" w:eastAsia="楷体"/>
          <w:sz w:val="24"/>
        </w:rPr>
      </w:pPr>
      <w:r>
        <w:rPr>
          <w:rFonts w:hint="eastAsia" w:ascii="楷体" w:hAnsi="楷体" w:eastAsia="楷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9"/>
        <w:rPr>
          <w:rFonts w:ascii="楷体" w:hAnsi="楷体" w:eastAsia="楷体"/>
          <w:b/>
          <w:sz w:val="24"/>
        </w:rPr>
      </w:pPr>
      <w:bookmarkStart w:id="183" w:name="_Toc14525"/>
      <w:bookmarkStart w:id="184" w:name="_Toc17363"/>
      <w:bookmarkStart w:id="185" w:name="_Toc1969"/>
      <w:r>
        <w:rPr>
          <w:rFonts w:ascii="楷体" w:hAnsi="楷体" w:eastAsia="楷体"/>
          <w:b/>
          <w:sz w:val="24"/>
        </w:rPr>
        <w:t>2.15 检验和验收</w:t>
      </w:r>
      <w:bookmarkEnd w:id="183"/>
      <w:bookmarkEnd w:id="184"/>
      <w:bookmarkEnd w:id="185"/>
    </w:p>
    <w:p>
      <w:pPr>
        <w:tabs>
          <w:tab w:val="left" w:pos="360"/>
          <w:tab w:val="left" w:pos="540"/>
          <w:tab w:val="left" w:pos="1080"/>
        </w:tabs>
        <w:spacing w:line="560" w:lineRule="exact"/>
        <w:ind w:firstLine="480" w:firstLineChars="200"/>
        <w:outlineLvl w:val="9"/>
        <w:rPr>
          <w:rFonts w:ascii="楷体" w:hAnsi="楷体" w:eastAsia="楷体"/>
          <w:sz w:val="24"/>
        </w:rPr>
      </w:pPr>
      <w:r>
        <w:rPr>
          <w:rFonts w:hint="eastAsia" w:ascii="楷体" w:hAnsi="楷体" w:eastAsia="楷体"/>
          <w:sz w:val="24"/>
        </w:rPr>
        <w:t>2.</w:t>
      </w:r>
      <w:r>
        <w:rPr>
          <w:rFonts w:ascii="楷体" w:hAnsi="楷体" w:eastAsia="楷体"/>
          <w:sz w:val="24"/>
        </w:rPr>
        <w:t>1</w:t>
      </w:r>
      <w:r>
        <w:rPr>
          <w:rFonts w:hint="eastAsia" w:ascii="楷体" w:hAnsi="楷体" w:eastAsia="楷体"/>
          <w:sz w:val="24"/>
        </w:rPr>
        <w:t>5</w:t>
      </w:r>
      <w:r>
        <w:rPr>
          <w:rFonts w:ascii="楷体" w:hAnsi="楷体" w:eastAsia="楷体"/>
          <w:sz w:val="24"/>
        </w:rPr>
        <w:t>.</w:t>
      </w:r>
      <w:r>
        <w:rPr>
          <w:rFonts w:hint="eastAsia" w:ascii="楷体" w:hAnsi="楷体" w:eastAsia="楷体"/>
          <w:sz w:val="24"/>
        </w:rPr>
        <w:t>1 乙方按照</w:t>
      </w:r>
      <w:r>
        <w:rPr>
          <w:rFonts w:ascii="楷体" w:hAnsi="楷体" w:eastAsia="楷体"/>
          <w:b/>
          <w:i/>
          <w:sz w:val="24"/>
          <w:u w:val="single"/>
        </w:rPr>
        <w:t>合同专用条款</w:t>
      </w:r>
      <w:r>
        <w:rPr>
          <w:rFonts w:ascii="楷体" w:hAnsi="楷体" w:eastAsia="楷体"/>
          <w:sz w:val="24"/>
        </w:rPr>
        <w:t>的约定</w:t>
      </w:r>
      <w:r>
        <w:rPr>
          <w:rFonts w:hint="eastAsia" w:ascii="楷体" w:hAnsi="楷体" w:eastAsia="楷体"/>
          <w:sz w:val="24"/>
        </w:rPr>
        <w:t>，</w:t>
      </w:r>
      <w:r>
        <w:rPr>
          <w:rFonts w:ascii="楷体" w:hAnsi="楷体" w:eastAsia="楷体"/>
          <w:sz w:val="24"/>
        </w:rPr>
        <w:t>定期提交服务报告</w:t>
      </w:r>
      <w:r>
        <w:rPr>
          <w:rFonts w:hint="eastAsia" w:ascii="楷体" w:hAnsi="楷体" w:eastAsia="楷体"/>
          <w:sz w:val="24"/>
        </w:rPr>
        <w:t>，甲方按照</w:t>
      </w:r>
      <w:r>
        <w:rPr>
          <w:rFonts w:ascii="楷体" w:hAnsi="楷体" w:eastAsia="楷体"/>
          <w:b/>
          <w:i/>
          <w:sz w:val="24"/>
          <w:u w:val="single"/>
        </w:rPr>
        <w:t>合同专用条款</w:t>
      </w:r>
      <w:r>
        <w:rPr>
          <w:rFonts w:ascii="楷体" w:hAnsi="楷体" w:eastAsia="楷体"/>
          <w:sz w:val="24"/>
        </w:rPr>
        <w:t>的约定进行定期验收</w:t>
      </w:r>
      <w:r>
        <w:rPr>
          <w:rFonts w:hint="eastAsia" w:ascii="楷体" w:hAnsi="楷体" w:eastAsia="楷体"/>
          <w:sz w:val="24"/>
        </w:rPr>
        <w:t>；</w:t>
      </w:r>
    </w:p>
    <w:p>
      <w:pPr>
        <w:tabs>
          <w:tab w:val="left" w:pos="360"/>
          <w:tab w:val="left" w:pos="540"/>
          <w:tab w:val="left" w:pos="1080"/>
        </w:tabs>
        <w:spacing w:line="560" w:lineRule="exact"/>
        <w:ind w:firstLine="480" w:firstLineChars="200"/>
        <w:outlineLvl w:val="9"/>
        <w:rPr>
          <w:rFonts w:ascii="楷体" w:hAnsi="楷体" w:eastAsia="楷体"/>
          <w:sz w:val="24"/>
        </w:rPr>
      </w:pPr>
      <w:r>
        <w:rPr>
          <w:rFonts w:hint="eastAsia" w:ascii="楷体" w:hAnsi="楷体" w:eastAsia="楷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outlineLvl w:val="9"/>
        <w:rPr>
          <w:rFonts w:ascii="楷体" w:hAnsi="楷体" w:eastAsia="楷体"/>
          <w:sz w:val="24"/>
        </w:rPr>
      </w:pPr>
      <w:r>
        <w:rPr>
          <w:rFonts w:hint="eastAsia" w:ascii="楷体" w:hAnsi="楷体" w:eastAsia="楷体"/>
          <w:sz w:val="24"/>
        </w:rPr>
        <w:t>2.15.3 检验和验收标准、程序等具体内容以及前述验收书的效力详见</w:t>
      </w:r>
      <w:r>
        <w:rPr>
          <w:rFonts w:ascii="楷体" w:hAnsi="楷体" w:eastAsia="楷体"/>
          <w:b/>
          <w:i/>
          <w:sz w:val="24"/>
          <w:u w:val="single"/>
        </w:rPr>
        <w:t>合同专用条款</w:t>
      </w:r>
      <w:r>
        <w:rPr>
          <w:rFonts w:hint="eastAsia" w:ascii="楷体" w:hAnsi="楷体" w:eastAsia="楷体"/>
          <w:i/>
          <w:sz w:val="24"/>
        </w:rPr>
        <w:t>。</w:t>
      </w:r>
    </w:p>
    <w:bookmarkEnd w:id="147"/>
    <w:bookmarkEnd w:id="148"/>
    <w:bookmarkEnd w:id="149"/>
    <w:bookmarkEnd w:id="150"/>
    <w:p>
      <w:pPr>
        <w:spacing w:line="560" w:lineRule="exact"/>
        <w:ind w:firstLine="482" w:firstLineChars="200"/>
        <w:outlineLvl w:val="9"/>
        <w:rPr>
          <w:rFonts w:ascii="楷体" w:hAnsi="楷体" w:eastAsia="楷体"/>
          <w:b/>
          <w:sz w:val="24"/>
        </w:rPr>
      </w:pPr>
      <w:bookmarkStart w:id="186" w:name="_Toc487900371"/>
      <w:bookmarkStart w:id="187" w:name="_Toc279701261"/>
      <w:bookmarkStart w:id="188" w:name="_Toc259093690"/>
      <w:bookmarkStart w:id="189" w:name="_Toc25198"/>
      <w:bookmarkStart w:id="190" w:name="_Toc9808"/>
      <w:bookmarkStart w:id="191" w:name="_Toc12666"/>
      <w:bookmarkStart w:id="192" w:name="_Toc2308"/>
      <w:bookmarkStart w:id="193" w:name="_Toc31892"/>
      <w:r>
        <w:rPr>
          <w:rFonts w:hint="eastAsia" w:ascii="楷体" w:hAnsi="楷体" w:eastAsia="楷体"/>
          <w:b/>
          <w:sz w:val="24"/>
        </w:rPr>
        <w:t xml:space="preserve">2.16 </w:t>
      </w:r>
      <w:r>
        <w:rPr>
          <w:rFonts w:ascii="楷体" w:hAnsi="楷体" w:eastAsia="楷体"/>
          <w:b/>
          <w:sz w:val="24"/>
        </w:rPr>
        <w:t>通知</w:t>
      </w:r>
      <w:bookmarkEnd w:id="186"/>
      <w:bookmarkEnd w:id="187"/>
      <w:bookmarkEnd w:id="188"/>
      <w:r>
        <w:rPr>
          <w:rFonts w:ascii="楷体" w:hAnsi="楷体" w:eastAsia="楷体"/>
          <w:b/>
          <w:sz w:val="24"/>
        </w:rPr>
        <w:t>和送达</w:t>
      </w:r>
      <w:bookmarkEnd w:id="189"/>
      <w:bookmarkEnd w:id="190"/>
      <w:bookmarkEnd w:id="191"/>
      <w:bookmarkEnd w:id="192"/>
      <w:bookmarkEnd w:id="193"/>
    </w:p>
    <w:p>
      <w:pPr>
        <w:spacing w:line="560" w:lineRule="exact"/>
        <w:ind w:firstLine="480" w:firstLineChars="200"/>
        <w:outlineLvl w:val="9"/>
        <w:rPr>
          <w:rFonts w:ascii="楷体" w:hAnsi="楷体" w:eastAsia="楷体"/>
          <w:sz w:val="24"/>
        </w:rPr>
      </w:pPr>
      <w:bookmarkStart w:id="194" w:name="_Toc29220"/>
      <w:bookmarkStart w:id="195" w:name="_Toc7073"/>
      <w:bookmarkStart w:id="196" w:name="_Toc259093691"/>
      <w:bookmarkStart w:id="197" w:name="_Toc279701262"/>
      <w:bookmarkStart w:id="198" w:name="_Toc487900372"/>
      <w:r>
        <w:rPr>
          <w:rFonts w:hint="eastAsia" w:ascii="楷体" w:hAnsi="楷体" w:eastAsia="楷体"/>
          <w:sz w:val="24"/>
        </w:rPr>
        <w:t>2.16.1 任何一方因履行合同而以合同第一部分尾部所列明的</w:t>
      </w:r>
      <w:r>
        <w:rPr>
          <w:rFonts w:hint="eastAsia"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hint="eastAsia"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194"/>
      <w:bookmarkEnd w:id="195"/>
    </w:p>
    <w:p>
      <w:pPr>
        <w:spacing w:line="560" w:lineRule="exact"/>
        <w:ind w:firstLine="480" w:firstLineChars="200"/>
        <w:outlineLvl w:val="9"/>
        <w:rPr>
          <w:rFonts w:ascii="楷体" w:hAnsi="楷体" w:eastAsia="楷体"/>
          <w:sz w:val="24"/>
        </w:rPr>
      </w:pPr>
      <w:bookmarkStart w:id="199" w:name="_Toc27674"/>
      <w:bookmarkStart w:id="200" w:name="_Toc18401"/>
      <w:r>
        <w:rPr>
          <w:rFonts w:hint="eastAsia" w:ascii="楷体" w:hAnsi="楷体" w:eastAsia="楷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9"/>
      <w:bookmarkEnd w:id="200"/>
    </w:p>
    <w:bookmarkEnd w:id="196"/>
    <w:bookmarkEnd w:id="197"/>
    <w:bookmarkEnd w:id="198"/>
    <w:p>
      <w:pPr>
        <w:spacing w:line="560" w:lineRule="exact"/>
        <w:ind w:firstLine="482" w:firstLineChars="200"/>
        <w:outlineLvl w:val="9"/>
        <w:rPr>
          <w:rFonts w:ascii="楷体" w:hAnsi="楷体" w:eastAsia="楷体"/>
          <w:b/>
          <w:sz w:val="24"/>
        </w:rPr>
      </w:pPr>
      <w:bookmarkStart w:id="201" w:name="_Toc28906"/>
      <w:bookmarkStart w:id="202" w:name="_Toc5063"/>
      <w:bookmarkStart w:id="203" w:name="_Toc487900373"/>
      <w:bookmarkStart w:id="204" w:name="_Toc279701263"/>
      <w:bookmarkStart w:id="205" w:name="_Toc27644"/>
      <w:bookmarkStart w:id="206" w:name="_Toc12254"/>
      <w:bookmarkStart w:id="207" w:name="_Toc20808"/>
      <w:bookmarkStart w:id="208" w:name="_Toc259093692"/>
      <w:r>
        <w:rPr>
          <w:rFonts w:hint="eastAsia" w:ascii="楷体" w:hAnsi="楷体" w:eastAsia="楷体"/>
          <w:b/>
          <w:sz w:val="24"/>
        </w:rPr>
        <w:t>2.17 合同使用的文字和</w:t>
      </w:r>
      <w:r>
        <w:rPr>
          <w:rFonts w:ascii="楷体" w:hAnsi="楷体" w:eastAsia="楷体"/>
          <w:b/>
          <w:sz w:val="24"/>
        </w:rPr>
        <w:t>适用的法律</w:t>
      </w:r>
      <w:bookmarkEnd w:id="201"/>
      <w:bookmarkEnd w:id="202"/>
      <w:bookmarkEnd w:id="203"/>
      <w:bookmarkEnd w:id="204"/>
      <w:bookmarkEnd w:id="205"/>
      <w:bookmarkEnd w:id="206"/>
      <w:bookmarkEnd w:id="207"/>
      <w:bookmarkEnd w:id="208"/>
    </w:p>
    <w:p>
      <w:pPr>
        <w:spacing w:line="560" w:lineRule="exact"/>
        <w:ind w:firstLine="480" w:firstLineChars="200"/>
        <w:outlineLvl w:val="9"/>
        <w:rPr>
          <w:rFonts w:ascii="楷体" w:hAnsi="楷体" w:eastAsia="楷体"/>
          <w:sz w:val="24"/>
        </w:rPr>
      </w:pPr>
      <w:r>
        <w:rPr>
          <w:rFonts w:hint="eastAsia" w:ascii="楷体" w:hAnsi="楷体" w:eastAsia="楷体"/>
          <w:sz w:val="24"/>
        </w:rPr>
        <w:t>2.17</w:t>
      </w:r>
      <w:r>
        <w:rPr>
          <w:rFonts w:ascii="楷体" w:hAnsi="楷体" w:eastAsia="楷体"/>
          <w:sz w:val="24"/>
        </w:rPr>
        <w:t>.1</w:t>
      </w:r>
      <w:r>
        <w:rPr>
          <w:rFonts w:hint="eastAsia" w:ascii="楷体" w:hAnsi="楷体" w:eastAsia="楷体"/>
          <w:sz w:val="24"/>
        </w:rPr>
        <w:t xml:space="preserve"> </w:t>
      </w:r>
      <w:r>
        <w:rPr>
          <w:rFonts w:ascii="楷体" w:hAnsi="楷体" w:eastAsia="楷体"/>
          <w:sz w:val="24"/>
        </w:rPr>
        <w:t>合同使用汉语书就</w:t>
      </w:r>
      <w:r>
        <w:rPr>
          <w:rFonts w:hint="eastAsia" w:ascii="楷体" w:hAnsi="楷体" w:eastAsia="楷体"/>
          <w:sz w:val="24"/>
        </w:rPr>
        <w:t>、</w:t>
      </w:r>
      <w:r>
        <w:rPr>
          <w:rFonts w:ascii="楷体" w:hAnsi="楷体" w:eastAsia="楷体"/>
          <w:sz w:val="24"/>
        </w:rPr>
        <w:t>变更和解释</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2.17.2 合同适用</w:t>
      </w:r>
      <w:r>
        <w:rPr>
          <w:rFonts w:ascii="楷体" w:hAnsi="楷体" w:eastAsia="楷体"/>
          <w:sz w:val="24"/>
        </w:rPr>
        <w:t>中华人民共和国法律。</w:t>
      </w:r>
    </w:p>
    <w:p>
      <w:pPr>
        <w:spacing w:line="560" w:lineRule="exact"/>
        <w:ind w:firstLine="482" w:firstLineChars="200"/>
        <w:outlineLvl w:val="9"/>
        <w:rPr>
          <w:rFonts w:ascii="楷体" w:hAnsi="楷体" w:eastAsia="楷体"/>
          <w:b/>
          <w:sz w:val="24"/>
        </w:rPr>
      </w:pPr>
      <w:bookmarkStart w:id="209" w:name="_Toc27127"/>
      <w:bookmarkStart w:id="210" w:name="_Toc27403"/>
      <w:bookmarkStart w:id="211" w:name="_Toc30096"/>
      <w:bookmarkStart w:id="212" w:name="_Toc22266"/>
      <w:bookmarkStart w:id="213" w:name="_Toc279701264"/>
      <w:bookmarkStart w:id="214" w:name="_Toc1492"/>
      <w:bookmarkStart w:id="215" w:name="_Toc259093693"/>
      <w:bookmarkStart w:id="216" w:name="_Toc487900374"/>
      <w:r>
        <w:rPr>
          <w:rFonts w:hint="eastAsia" w:ascii="楷体" w:hAnsi="楷体" w:eastAsia="楷体"/>
          <w:b/>
          <w:sz w:val="24"/>
        </w:rPr>
        <w:t xml:space="preserve">2.18 </w:t>
      </w:r>
      <w:r>
        <w:rPr>
          <w:rFonts w:ascii="楷体" w:hAnsi="楷体" w:eastAsia="楷体"/>
          <w:b/>
          <w:sz w:val="24"/>
        </w:rPr>
        <w:t>履约保证金</w:t>
      </w:r>
      <w:bookmarkEnd w:id="209"/>
      <w:bookmarkEnd w:id="210"/>
      <w:bookmarkEnd w:id="211"/>
      <w:bookmarkEnd w:id="212"/>
      <w:bookmarkEnd w:id="213"/>
      <w:bookmarkEnd w:id="214"/>
      <w:bookmarkEnd w:id="215"/>
    </w:p>
    <w:p>
      <w:pPr>
        <w:spacing w:line="560" w:lineRule="exact"/>
        <w:ind w:firstLine="480" w:firstLineChars="200"/>
        <w:outlineLvl w:val="9"/>
        <w:rPr>
          <w:rFonts w:ascii="楷体" w:hAnsi="楷体" w:eastAsia="楷体"/>
          <w:sz w:val="24"/>
        </w:rPr>
      </w:pPr>
      <w:r>
        <w:rPr>
          <w:rFonts w:hint="eastAsia" w:ascii="楷体" w:hAnsi="楷体" w:eastAsia="楷体"/>
          <w:sz w:val="24"/>
        </w:rPr>
        <w:t>2.18.1 采购文件要求乙方提交履约保证金的，乙方</w:t>
      </w:r>
      <w:r>
        <w:rPr>
          <w:rFonts w:ascii="楷体" w:hAnsi="楷体" w:eastAsia="楷体"/>
          <w:sz w:val="24"/>
        </w:rPr>
        <w:t>应按</w:t>
      </w:r>
      <w:r>
        <w:rPr>
          <w:rFonts w:ascii="楷体" w:hAnsi="楷体" w:eastAsia="楷体"/>
          <w:b/>
          <w:i/>
          <w:sz w:val="24"/>
          <w:u w:val="single"/>
        </w:rPr>
        <w:t>合同专用条款</w:t>
      </w:r>
      <w:r>
        <w:rPr>
          <w:rFonts w:ascii="楷体" w:hAnsi="楷体" w:eastAsia="楷体"/>
          <w:sz w:val="24"/>
        </w:rPr>
        <w:t>约定的方式</w:t>
      </w:r>
      <w:r>
        <w:rPr>
          <w:rFonts w:hint="eastAsia" w:ascii="楷体" w:hAnsi="楷体" w:eastAsia="楷体"/>
          <w:sz w:val="24"/>
        </w:rPr>
        <w:t>，以支票、汇票、本票或者金融机构、担保机构出具的保函等非现金形式，提交不超过合同价10%的履约保证金；</w:t>
      </w:r>
    </w:p>
    <w:p>
      <w:pPr>
        <w:spacing w:line="560" w:lineRule="exact"/>
        <w:ind w:firstLine="480" w:firstLineChars="200"/>
        <w:outlineLvl w:val="9"/>
        <w:rPr>
          <w:rFonts w:ascii="楷体" w:hAnsi="楷体" w:eastAsia="楷体"/>
          <w:sz w:val="24"/>
        </w:rPr>
      </w:pPr>
      <w:r>
        <w:rPr>
          <w:rFonts w:hint="eastAsia" w:ascii="楷体" w:hAnsi="楷体" w:eastAsia="楷体"/>
          <w:sz w:val="24"/>
        </w:rPr>
        <w:t>2.18</w:t>
      </w:r>
      <w:r>
        <w:rPr>
          <w:rFonts w:ascii="楷体" w:hAnsi="楷体" w:eastAsia="楷体"/>
          <w:sz w:val="24"/>
        </w:rPr>
        <w:t>.2</w:t>
      </w:r>
      <w:r>
        <w:rPr>
          <w:rFonts w:hint="eastAsia" w:ascii="楷体" w:hAnsi="楷体" w:eastAsia="楷体"/>
          <w:sz w:val="24"/>
        </w:rPr>
        <w:t xml:space="preserve"> </w:t>
      </w:r>
      <w:r>
        <w:rPr>
          <w:rFonts w:ascii="楷体" w:hAnsi="楷体" w:eastAsia="楷体"/>
          <w:sz w:val="24"/>
        </w:rPr>
        <w:t>履约保证金在</w:t>
      </w:r>
      <w:r>
        <w:rPr>
          <w:rFonts w:ascii="楷体" w:hAnsi="楷体" w:eastAsia="楷体"/>
          <w:b/>
          <w:i/>
          <w:sz w:val="24"/>
          <w:u w:val="single"/>
        </w:rPr>
        <w:t>合同专用条款</w:t>
      </w:r>
      <w:r>
        <w:rPr>
          <w:rFonts w:ascii="楷体" w:hAnsi="楷体" w:eastAsia="楷体"/>
          <w:sz w:val="24"/>
        </w:rPr>
        <w:t>约定期间</w:t>
      </w:r>
      <w:r>
        <w:rPr>
          <w:rFonts w:hint="eastAsia" w:ascii="楷体" w:hAnsi="楷体" w:eastAsia="楷体"/>
          <w:sz w:val="24"/>
        </w:rPr>
        <w:t>内</w:t>
      </w:r>
      <w:r>
        <w:rPr>
          <w:rFonts w:ascii="楷体" w:hAnsi="楷体" w:eastAsia="楷体"/>
          <w:sz w:val="24"/>
        </w:rPr>
        <w:t>不予退还或者应完全有效</w:t>
      </w:r>
      <w:r>
        <w:rPr>
          <w:rFonts w:hint="eastAsia" w:ascii="楷体" w:hAnsi="楷体" w:eastAsia="楷体"/>
          <w:sz w:val="24"/>
        </w:rPr>
        <w:t>，前述约定期间</w:t>
      </w:r>
      <w:r>
        <w:rPr>
          <w:rFonts w:ascii="楷体" w:hAnsi="楷体" w:eastAsia="楷体"/>
          <w:sz w:val="24"/>
        </w:rPr>
        <w:t>届满之日起</w:t>
      </w:r>
      <w:r>
        <w:rPr>
          <w:rFonts w:hint="eastAsia" w:ascii="楷体" w:hAnsi="楷体" w:eastAsia="楷体"/>
          <w:sz w:val="24"/>
          <w:u w:val="single"/>
        </w:rPr>
        <w:t xml:space="preserve">  2  </w:t>
      </w:r>
      <w:r>
        <w:rPr>
          <w:rFonts w:hint="eastAsia" w:ascii="楷体" w:hAnsi="楷体" w:eastAsia="楷体"/>
          <w:sz w:val="24"/>
        </w:rPr>
        <w:t>个</w:t>
      </w:r>
      <w:r>
        <w:rPr>
          <w:rFonts w:ascii="楷体" w:hAnsi="楷体" w:eastAsia="楷体"/>
          <w:sz w:val="24"/>
        </w:rPr>
        <w:t>工作日内，甲方应将履约保证金退还乙方</w:t>
      </w:r>
      <w:r>
        <w:rPr>
          <w:rFonts w:hint="eastAsia" w:ascii="楷体" w:hAnsi="楷体" w:eastAsia="楷体"/>
          <w:sz w:val="24"/>
        </w:rPr>
        <w:t>；</w:t>
      </w:r>
    </w:p>
    <w:p>
      <w:pPr>
        <w:spacing w:line="560" w:lineRule="exact"/>
        <w:ind w:firstLine="480" w:firstLineChars="200"/>
        <w:outlineLvl w:val="9"/>
        <w:rPr>
          <w:rFonts w:ascii="楷体" w:hAnsi="楷体" w:eastAsia="楷体"/>
          <w:sz w:val="24"/>
        </w:rPr>
      </w:pPr>
      <w:r>
        <w:rPr>
          <w:rFonts w:hint="eastAsia" w:ascii="楷体" w:hAnsi="楷体" w:eastAsia="楷体"/>
          <w:sz w:val="24"/>
        </w:rPr>
        <w:t xml:space="preserve">2.18.3 </w:t>
      </w:r>
      <w:r>
        <w:rPr>
          <w:rFonts w:ascii="楷体" w:hAnsi="楷体" w:eastAsia="楷体"/>
          <w:sz w:val="24"/>
        </w:rPr>
        <w:t>如果乙方不履行合同</w:t>
      </w:r>
      <w:r>
        <w:rPr>
          <w:rFonts w:hint="eastAsia" w:ascii="楷体" w:hAnsi="楷体" w:eastAsia="楷体"/>
          <w:sz w:val="24"/>
        </w:rPr>
        <w:t>，履约保证金不予退还；如果乙方</w:t>
      </w:r>
      <w:r>
        <w:rPr>
          <w:rFonts w:ascii="楷体" w:hAnsi="楷体" w:eastAsia="楷体"/>
          <w:sz w:val="24"/>
        </w:rPr>
        <w:t>未能按合同</w:t>
      </w:r>
      <w:r>
        <w:rPr>
          <w:rFonts w:hint="eastAsia" w:ascii="楷体" w:hAnsi="楷体" w:eastAsia="楷体"/>
          <w:sz w:val="24"/>
        </w:rPr>
        <w:t>约</w:t>
      </w:r>
      <w:r>
        <w:rPr>
          <w:rFonts w:ascii="楷体" w:hAnsi="楷体" w:eastAsia="楷体"/>
          <w:sz w:val="24"/>
        </w:rPr>
        <w:t>定全面履行义务，那么甲方有权从履约保证金中取得补偿或赔偿</w:t>
      </w:r>
      <w:r>
        <w:rPr>
          <w:rFonts w:hint="eastAsia" w:ascii="楷体" w:hAnsi="楷体" w:eastAsia="楷体"/>
          <w:sz w:val="24"/>
        </w:rPr>
        <w:t>，同时不影响甲方要求乙方承担合同约定的超过履约保证金的违约责任的权利。</w:t>
      </w:r>
    </w:p>
    <w:bookmarkEnd w:id="216"/>
    <w:p>
      <w:pPr>
        <w:spacing w:line="560" w:lineRule="exact"/>
        <w:ind w:firstLine="482" w:firstLineChars="200"/>
        <w:outlineLvl w:val="9"/>
        <w:rPr>
          <w:rFonts w:ascii="楷体" w:hAnsi="楷体" w:eastAsia="楷体"/>
          <w:b/>
          <w:sz w:val="24"/>
        </w:rPr>
      </w:pPr>
      <w:r>
        <w:rPr>
          <w:rFonts w:hint="eastAsia" w:ascii="楷体" w:hAnsi="楷体" w:eastAsia="楷体"/>
          <w:b/>
          <w:sz w:val="24"/>
        </w:rPr>
        <w:t>2.19 合同份数</w:t>
      </w:r>
    </w:p>
    <w:p>
      <w:pPr>
        <w:spacing w:line="560" w:lineRule="exact"/>
        <w:ind w:firstLine="480" w:firstLineChars="200"/>
        <w:outlineLvl w:val="9"/>
        <w:rPr>
          <w:rFonts w:ascii="楷体" w:hAnsi="楷体" w:eastAsia="楷体"/>
          <w:sz w:val="24"/>
        </w:rPr>
      </w:pPr>
      <w:r>
        <w:rPr>
          <w:rFonts w:ascii="楷体" w:hAnsi="楷体" w:eastAsia="楷体"/>
          <w:sz w:val="24"/>
        </w:rPr>
        <w:t>合同份数按</w:t>
      </w:r>
      <w:r>
        <w:rPr>
          <w:rFonts w:ascii="楷体" w:hAnsi="楷体" w:eastAsia="楷体"/>
          <w:b/>
          <w:i/>
          <w:sz w:val="24"/>
          <w:u w:val="single"/>
        </w:rPr>
        <w:t>合同专用条款</w:t>
      </w:r>
      <w:r>
        <w:rPr>
          <w:rFonts w:ascii="楷体" w:hAnsi="楷体" w:eastAsia="楷体"/>
          <w:sz w:val="24"/>
        </w:rPr>
        <w:t>规定</w:t>
      </w:r>
      <w:r>
        <w:rPr>
          <w:rFonts w:hint="eastAsia" w:ascii="楷体" w:hAnsi="楷体" w:eastAsia="楷体"/>
          <w:sz w:val="24"/>
        </w:rPr>
        <w:t>，</w:t>
      </w:r>
      <w:r>
        <w:rPr>
          <w:rFonts w:ascii="楷体" w:hAnsi="楷体" w:eastAsia="楷体"/>
          <w:sz w:val="24"/>
        </w:rPr>
        <w:t>每份均具有同等法律效力</w:t>
      </w:r>
      <w:r>
        <w:rPr>
          <w:rFonts w:hint="eastAsia" w:ascii="楷体" w:hAnsi="楷体" w:eastAsia="楷体"/>
          <w:sz w:val="24"/>
        </w:rPr>
        <w:t>。</w:t>
      </w:r>
    </w:p>
    <w:p>
      <w:pPr>
        <w:pStyle w:val="479"/>
        <w:spacing w:line="560" w:lineRule="exact"/>
        <w:ind w:firstLine="0"/>
        <w:jc w:val="center"/>
        <w:outlineLvl w:val="9"/>
        <w:rPr>
          <w:rFonts w:ascii="楷体" w:hAnsi="楷体" w:eastAsia="楷体"/>
          <w:b/>
          <w:szCs w:val="24"/>
        </w:rPr>
      </w:pPr>
      <w:r>
        <w:rPr>
          <w:rFonts w:ascii="楷体" w:hAnsi="楷体" w:eastAsia="楷体"/>
          <w:szCs w:val="24"/>
        </w:rPr>
        <w:br w:type="page"/>
      </w:r>
      <w:bookmarkStart w:id="217" w:name="_Toc331685784"/>
      <w:r>
        <w:rPr>
          <w:rFonts w:hint="eastAsia" w:ascii="楷体" w:hAnsi="楷体" w:eastAsia="楷体"/>
          <w:b/>
          <w:szCs w:val="24"/>
        </w:rPr>
        <w:t>第三部分  合同专用条款</w:t>
      </w:r>
      <w:bookmarkEnd w:id="217"/>
    </w:p>
    <w:p>
      <w:pPr>
        <w:spacing w:line="560" w:lineRule="exact"/>
        <w:ind w:firstLine="480" w:firstLineChars="200"/>
        <w:outlineLvl w:val="9"/>
        <w:rPr>
          <w:rFonts w:ascii="楷体" w:hAnsi="楷体" w:eastAsia="楷体"/>
          <w:sz w:val="24"/>
        </w:rPr>
      </w:pPr>
      <w:r>
        <w:rPr>
          <w:rFonts w:hint="eastAsia" w:ascii="楷体" w:hAnsi="楷体" w:eastAsia="楷体"/>
          <w:sz w:val="24"/>
        </w:rPr>
        <w:t>本部分</w:t>
      </w:r>
      <w:r>
        <w:rPr>
          <w:rFonts w:ascii="楷体" w:hAnsi="楷体" w:eastAsia="楷体"/>
          <w:sz w:val="24"/>
        </w:rPr>
        <w:t>是对</w:t>
      </w:r>
      <w:r>
        <w:rPr>
          <w:rFonts w:hint="eastAsia" w:ascii="楷体" w:hAnsi="楷体" w:eastAsia="楷体"/>
          <w:sz w:val="24"/>
        </w:rPr>
        <w:t>前两</w:t>
      </w:r>
      <w:r>
        <w:rPr>
          <w:rFonts w:ascii="楷体" w:hAnsi="楷体" w:eastAsia="楷体"/>
          <w:sz w:val="24"/>
        </w:rPr>
        <w:t>部分的补充和修改</w:t>
      </w:r>
      <w:r>
        <w:rPr>
          <w:rFonts w:hint="eastAsia" w:ascii="楷体" w:hAnsi="楷体" w:eastAsia="楷体"/>
          <w:sz w:val="24"/>
        </w:rPr>
        <w:t>，</w:t>
      </w:r>
      <w:r>
        <w:rPr>
          <w:rFonts w:ascii="楷体" w:hAnsi="楷体" w:eastAsia="楷体"/>
          <w:sz w:val="24"/>
        </w:rPr>
        <w:t>如果</w:t>
      </w:r>
      <w:r>
        <w:rPr>
          <w:rFonts w:hint="eastAsia" w:ascii="楷体" w:hAnsi="楷体" w:eastAsia="楷体"/>
          <w:sz w:val="24"/>
        </w:rPr>
        <w:t>前两</w:t>
      </w:r>
      <w:r>
        <w:rPr>
          <w:rFonts w:ascii="楷体" w:hAnsi="楷体" w:eastAsia="楷体"/>
          <w:sz w:val="24"/>
        </w:rPr>
        <w:t>部分和本部分的约定不一致</w:t>
      </w:r>
      <w:r>
        <w:rPr>
          <w:rFonts w:hint="eastAsia" w:ascii="楷体" w:hAnsi="楷体" w:eastAsia="楷体"/>
          <w:sz w:val="24"/>
        </w:rPr>
        <w:t>，</w:t>
      </w:r>
      <w:r>
        <w:rPr>
          <w:rFonts w:ascii="楷体" w:hAnsi="楷体" w:eastAsia="楷体"/>
          <w:sz w:val="24"/>
        </w:rPr>
        <w:t>应以本部分的约定为准</w:t>
      </w:r>
      <w:r>
        <w:rPr>
          <w:rFonts w:hint="eastAsia" w:ascii="楷体" w:hAnsi="楷体" w:eastAsia="楷体"/>
          <w:sz w:val="24"/>
        </w:rPr>
        <w:t>。</w:t>
      </w:r>
      <w:r>
        <w:rPr>
          <w:rFonts w:ascii="楷体" w:hAnsi="楷体" w:eastAsia="楷体"/>
          <w:sz w:val="24"/>
        </w:rPr>
        <w:t>本部分的条款号应与</w:t>
      </w:r>
      <w:r>
        <w:rPr>
          <w:rFonts w:hint="eastAsia" w:ascii="楷体" w:hAnsi="楷体" w:eastAsia="楷体"/>
          <w:sz w:val="24"/>
        </w:rPr>
        <w:t>前两部分</w:t>
      </w:r>
      <w:r>
        <w:rPr>
          <w:rFonts w:ascii="楷体" w:hAnsi="楷体" w:eastAsia="楷体"/>
          <w:sz w:val="24"/>
        </w:rPr>
        <w:t>的条款号保持对应</w:t>
      </w:r>
      <w:r>
        <w:rPr>
          <w:rFonts w:hint="eastAsia" w:ascii="楷体" w:hAnsi="楷体" w:eastAsia="楷体"/>
          <w:sz w:val="24"/>
        </w:rPr>
        <w:t>；与前两部分</w:t>
      </w:r>
      <w:r>
        <w:rPr>
          <w:rFonts w:ascii="楷体" w:hAnsi="楷体" w:eastAsia="楷体"/>
          <w:sz w:val="24"/>
        </w:rPr>
        <w:t>无对应关系的内容可另行编制条款号</w:t>
      </w:r>
      <w:r>
        <w:rPr>
          <w:rFonts w:hint="eastAsia" w:ascii="楷体" w:hAnsi="楷体" w:eastAsia="楷体"/>
          <w:sz w:val="24"/>
        </w:rPr>
        <w:t>。</w:t>
      </w:r>
    </w:p>
    <w:tbl>
      <w:tblPr>
        <w:tblStyle w:val="6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outlineLvl w:val="9"/>
              <w:rPr>
                <w:rFonts w:ascii="楷体" w:hAnsi="楷体" w:eastAsia="楷体"/>
                <w:b/>
                <w:sz w:val="24"/>
              </w:rPr>
            </w:pPr>
            <w:r>
              <w:rPr>
                <w:rFonts w:ascii="楷体" w:hAnsi="楷体" w:eastAsia="楷体"/>
                <w:b/>
                <w:sz w:val="24"/>
              </w:rPr>
              <w:t>条款号</w:t>
            </w:r>
          </w:p>
        </w:tc>
        <w:tc>
          <w:tcPr>
            <w:tcW w:w="7633" w:type="dxa"/>
            <w:noWrap w:val="0"/>
            <w:vAlign w:val="center"/>
          </w:tcPr>
          <w:p>
            <w:pPr>
              <w:spacing w:line="560" w:lineRule="exact"/>
              <w:jc w:val="center"/>
              <w:outlineLvl w:val="9"/>
              <w:rPr>
                <w:rFonts w:ascii="楷体" w:hAnsi="楷体" w:eastAsia="楷体"/>
                <w:b/>
                <w:sz w:val="24"/>
              </w:rPr>
            </w:pPr>
            <w:r>
              <w:rPr>
                <w:rFonts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outlineLvl w:val="9"/>
              <w:rPr>
                <w:rFonts w:ascii="楷体" w:hAnsi="楷体" w:eastAsia="楷体"/>
                <w:sz w:val="24"/>
              </w:rPr>
            </w:pPr>
          </w:p>
        </w:tc>
        <w:tc>
          <w:tcPr>
            <w:tcW w:w="7633" w:type="dxa"/>
            <w:noWrap w:val="0"/>
            <w:vAlign w:val="center"/>
          </w:tcPr>
          <w:p>
            <w:pPr>
              <w:spacing w:line="560" w:lineRule="exact"/>
              <w:outlineLvl w:val="9"/>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ascii="楷体" w:hAnsi="楷体" w:eastAsia="楷体"/>
                <w:sz w:val="24"/>
              </w:rPr>
            </w:pPr>
          </w:p>
        </w:tc>
        <w:tc>
          <w:tcPr>
            <w:tcW w:w="7633" w:type="dxa"/>
            <w:noWrap w:val="0"/>
            <w:vAlign w:val="center"/>
          </w:tcPr>
          <w:p>
            <w:pPr>
              <w:spacing w:line="560" w:lineRule="exact"/>
              <w:outlineLvl w:val="9"/>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ascii="楷体" w:hAnsi="楷体" w:eastAsia="楷体"/>
                <w:sz w:val="24"/>
              </w:rPr>
            </w:pPr>
          </w:p>
        </w:tc>
        <w:tc>
          <w:tcPr>
            <w:tcW w:w="7633" w:type="dxa"/>
            <w:noWrap w:val="0"/>
            <w:vAlign w:val="center"/>
          </w:tcPr>
          <w:p>
            <w:pPr>
              <w:spacing w:line="560" w:lineRule="exact"/>
              <w:outlineLvl w:val="9"/>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ascii="楷体" w:hAnsi="楷体" w:eastAsia="楷体"/>
                <w:sz w:val="24"/>
              </w:rPr>
            </w:pPr>
          </w:p>
        </w:tc>
        <w:tc>
          <w:tcPr>
            <w:tcW w:w="7633" w:type="dxa"/>
            <w:noWrap w:val="0"/>
            <w:vAlign w:val="center"/>
          </w:tcPr>
          <w:p>
            <w:pPr>
              <w:spacing w:line="560" w:lineRule="exact"/>
              <w:outlineLvl w:val="9"/>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ascii="楷体" w:hAnsi="楷体" w:eastAsia="楷体"/>
                <w:sz w:val="24"/>
              </w:rPr>
            </w:pPr>
          </w:p>
        </w:tc>
        <w:tc>
          <w:tcPr>
            <w:tcW w:w="7633" w:type="dxa"/>
            <w:noWrap w:val="0"/>
            <w:vAlign w:val="center"/>
          </w:tcPr>
          <w:p>
            <w:pPr>
              <w:spacing w:line="560" w:lineRule="exact"/>
              <w:outlineLvl w:val="9"/>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ascii="楷体" w:hAnsi="楷体" w:eastAsia="楷体"/>
                <w:sz w:val="24"/>
              </w:rPr>
            </w:pPr>
          </w:p>
        </w:tc>
        <w:tc>
          <w:tcPr>
            <w:tcW w:w="7633" w:type="dxa"/>
            <w:noWrap w:val="0"/>
            <w:vAlign w:val="center"/>
          </w:tcPr>
          <w:p>
            <w:pPr>
              <w:spacing w:line="560" w:lineRule="exact"/>
              <w:outlineLvl w:val="9"/>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ascii="楷体" w:hAnsi="楷体" w:eastAsia="楷体"/>
                <w:sz w:val="24"/>
              </w:rPr>
            </w:pPr>
          </w:p>
        </w:tc>
        <w:tc>
          <w:tcPr>
            <w:tcW w:w="7633" w:type="dxa"/>
            <w:noWrap w:val="0"/>
            <w:vAlign w:val="center"/>
          </w:tcPr>
          <w:p>
            <w:pPr>
              <w:spacing w:line="560" w:lineRule="exact"/>
              <w:outlineLvl w:val="9"/>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ascii="楷体" w:hAnsi="楷体" w:eastAsia="楷体"/>
                <w:sz w:val="24"/>
              </w:rPr>
            </w:pPr>
          </w:p>
        </w:tc>
        <w:tc>
          <w:tcPr>
            <w:tcW w:w="7633" w:type="dxa"/>
            <w:noWrap w:val="0"/>
            <w:vAlign w:val="center"/>
          </w:tcPr>
          <w:p>
            <w:pPr>
              <w:spacing w:line="560" w:lineRule="exact"/>
              <w:outlineLvl w:val="9"/>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ascii="楷体" w:hAnsi="楷体" w:eastAsia="楷体"/>
                <w:sz w:val="24"/>
              </w:rPr>
            </w:pPr>
          </w:p>
        </w:tc>
        <w:tc>
          <w:tcPr>
            <w:tcW w:w="7633" w:type="dxa"/>
            <w:noWrap w:val="0"/>
            <w:vAlign w:val="center"/>
          </w:tcPr>
          <w:p>
            <w:pPr>
              <w:spacing w:line="560" w:lineRule="exact"/>
              <w:outlineLvl w:val="9"/>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ascii="楷体" w:hAnsi="楷体" w:eastAsia="楷体"/>
                <w:sz w:val="24"/>
              </w:rPr>
            </w:pPr>
          </w:p>
        </w:tc>
        <w:tc>
          <w:tcPr>
            <w:tcW w:w="7633" w:type="dxa"/>
            <w:noWrap w:val="0"/>
            <w:vAlign w:val="center"/>
          </w:tcPr>
          <w:p>
            <w:pPr>
              <w:spacing w:line="560" w:lineRule="exact"/>
              <w:outlineLvl w:val="9"/>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outlineLvl w:val="9"/>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outlineLvl w:val="9"/>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outlineLvl w:val="9"/>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outlineLvl w:val="9"/>
              <w:rPr>
                <w:rFonts w:ascii="楷体" w:hAnsi="楷体" w:eastAsia="楷体"/>
                <w:sz w:val="24"/>
              </w:rPr>
            </w:pPr>
          </w:p>
        </w:tc>
      </w:tr>
    </w:tbl>
    <w:p>
      <w:pPr>
        <w:spacing w:after="156" w:line="560" w:lineRule="exact"/>
        <w:ind w:firstLine="480"/>
        <w:outlineLvl w:val="9"/>
      </w:pPr>
    </w:p>
    <w:p>
      <w:pPr>
        <w:rPr>
          <w:rFonts w:ascii="仿宋" w:hAnsi="仿宋" w:eastAsia="仿宋" w:cs="仿宋"/>
          <w:b/>
          <w:szCs w:val="21"/>
        </w:rPr>
      </w:pPr>
      <w:r>
        <w:rPr>
          <w:rFonts w:hint="eastAsia" w:ascii="仿宋" w:hAnsi="仿宋" w:eastAsia="仿宋" w:cs="仿宋"/>
          <w:b/>
          <w:kern w:val="0"/>
          <w:sz w:val="32"/>
          <w:szCs w:val="32"/>
        </w:rPr>
        <w:br w:type="page"/>
      </w:r>
    </w:p>
    <w:p>
      <w:pPr>
        <w:spacing w:line="460" w:lineRule="exact"/>
        <w:jc w:val="center"/>
        <w:outlineLvl w:val="0"/>
        <w:rPr>
          <w:rFonts w:ascii="仿宋" w:hAnsi="仿宋" w:eastAsia="仿宋" w:cs="仿宋"/>
          <w:b/>
          <w:kern w:val="0"/>
          <w:sz w:val="32"/>
          <w:szCs w:val="32"/>
        </w:rPr>
      </w:pPr>
      <w:bookmarkStart w:id="218" w:name="_Toc22435"/>
      <w:r>
        <w:rPr>
          <w:rFonts w:hint="eastAsia" w:ascii="仿宋" w:hAnsi="仿宋" w:eastAsia="仿宋" w:cs="仿宋"/>
          <w:b/>
          <w:kern w:val="0"/>
          <w:sz w:val="32"/>
          <w:szCs w:val="32"/>
        </w:rPr>
        <w:t>第五章  响应文件部分格式</w:t>
      </w:r>
      <w:bookmarkEnd w:id="218"/>
    </w:p>
    <w:p>
      <w:pPr>
        <w:widowControl/>
        <w:jc w:val="center"/>
        <w:rPr>
          <w:rFonts w:ascii="仿宋" w:hAnsi="仿宋" w:eastAsia="仿宋" w:cs="仿宋"/>
          <w:b/>
          <w:kern w:val="0"/>
          <w:sz w:val="24"/>
        </w:rPr>
      </w:pPr>
    </w:p>
    <w:p>
      <w:pPr>
        <w:widowControl/>
        <w:jc w:val="center"/>
        <w:rPr>
          <w:rFonts w:ascii="仿宋" w:hAnsi="仿宋" w:eastAsia="仿宋" w:cs="仿宋"/>
          <w:b/>
          <w:kern w:val="0"/>
          <w:sz w:val="24"/>
        </w:rPr>
      </w:pPr>
      <w:r>
        <w:rPr>
          <w:rFonts w:hint="eastAsia" w:ascii="仿宋" w:hAnsi="仿宋" w:eastAsia="仿宋" w:cs="仿宋"/>
          <w:b/>
          <w:kern w:val="0"/>
          <w:sz w:val="24"/>
        </w:rPr>
        <w:t>响应文件封面格式</w:t>
      </w:r>
    </w:p>
    <w:p>
      <w:pPr>
        <w:widowControl/>
        <w:jc w:val="center"/>
        <w:rPr>
          <w:rFonts w:ascii="仿宋" w:hAnsi="仿宋" w:eastAsia="仿宋" w:cs="仿宋"/>
          <w:kern w:val="0"/>
          <w:sz w:val="24"/>
        </w:rPr>
      </w:pPr>
    </w:p>
    <w:p>
      <w:pPr>
        <w:widowControl/>
        <w:pBdr>
          <w:top w:val="single" w:color="auto" w:sz="4" w:space="1"/>
          <w:left w:val="single" w:color="auto" w:sz="4" w:space="4"/>
          <w:bottom w:val="single" w:color="auto" w:sz="4" w:space="31"/>
          <w:right w:val="single" w:color="auto" w:sz="4" w:space="4"/>
        </w:pBdr>
        <w:spacing w:line="480" w:lineRule="auto"/>
        <w:jc w:val="right"/>
        <w:rPr>
          <w:rFonts w:ascii="仿宋" w:hAnsi="仿宋" w:eastAsia="仿宋" w:cs="仿宋"/>
          <w:szCs w:val="21"/>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仿宋" w:hAnsi="仿宋" w:eastAsia="仿宋" w:cs="仿宋"/>
          <w:b/>
          <w:kern w:val="0"/>
          <w:sz w:val="24"/>
        </w:rPr>
      </w:pPr>
      <w:r>
        <w:rPr>
          <w:rFonts w:hint="eastAsia" w:ascii="仿宋" w:hAnsi="仿宋" w:eastAsia="仿宋" w:cs="仿宋"/>
          <w:b/>
          <w:kern w:val="0"/>
          <w:sz w:val="24"/>
        </w:rPr>
        <w:t>项目名称</w:t>
      </w:r>
    </w:p>
    <w:p>
      <w:pPr>
        <w:widowControl/>
        <w:pBdr>
          <w:top w:val="single" w:color="auto" w:sz="4" w:space="1"/>
          <w:left w:val="single" w:color="auto" w:sz="4" w:space="4"/>
          <w:bottom w:val="single" w:color="auto" w:sz="4" w:space="31"/>
          <w:right w:val="single" w:color="auto" w:sz="4" w:space="4"/>
        </w:pBdr>
        <w:spacing w:line="480" w:lineRule="auto"/>
        <w:jc w:val="center"/>
        <w:rPr>
          <w:rFonts w:ascii="仿宋" w:hAnsi="仿宋" w:eastAsia="仿宋"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仿宋" w:hAnsi="仿宋" w:eastAsia="仿宋" w:cs="仿宋"/>
          <w:b/>
          <w:kern w:val="0"/>
          <w:sz w:val="24"/>
        </w:rPr>
      </w:pPr>
      <w:r>
        <w:rPr>
          <w:rFonts w:hint="eastAsia" w:ascii="仿宋" w:hAnsi="仿宋" w:eastAsia="仿宋" w:cs="仿宋"/>
          <w:b/>
          <w:kern w:val="0"/>
          <w:sz w:val="24"/>
        </w:rPr>
        <w:t>响应文件</w:t>
      </w:r>
    </w:p>
    <w:p>
      <w:pPr>
        <w:widowControl/>
        <w:pBdr>
          <w:top w:val="single" w:color="auto" w:sz="4" w:space="1"/>
          <w:left w:val="single" w:color="auto" w:sz="4" w:space="4"/>
          <w:bottom w:val="single" w:color="auto" w:sz="4" w:space="31"/>
          <w:right w:val="single" w:color="auto" w:sz="4" w:space="4"/>
        </w:pBdr>
        <w:spacing w:line="480" w:lineRule="auto"/>
        <w:jc w:val="center"/>
        <w:rPr>
          <w:rFonts w:ascii="仿宋" w:hAnsi="仿宋" w:eastAsia="仿宋"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仿宋" w:hAnsi="仿宋" w:eastAsia="仿宋"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仿宋" w:hAnsi="仿宋" w:eastAsia="仿宋"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仿宋" w:hAnsi="仿宋" w:eastAsia="仿宋"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仿宋" w:hAnsi="仿宋" w:eastAsia="仿宋"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仿宋" w:hAnsi="仿宋" w:eastAsia="仿宋"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仿宋" w:hAnsi="仿宋" w:eastAsia="仿宋" w:cs="仿宋"/>
          <w:b/>
          <w:kern w:val="0"/>
          <w:sz w:val="24"/>
        </w:rPr>
      </w:pPr>
      <w:r>
        <w:rPr>
          <w:rFonts w:hint="eastAsia" w:ascii="仿宋" w:hAnsi="仿宋" w:eastAsia="仿宋" w:cs="仿宋"/>
          <w:b/>
          <w:kern w:val="0"/>
          <w:sz w:val="24"/>
        </w:rPr>
        <w:t>项目编号：</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仿宋" w:hAnsi="仿宋" w:eastAsia="仿宋" w:cs="仿宋"/>
          <w:b/>
          <w:kern w:val="0"/>
          <w:sz w:val="24"/>
        </w:rPr>
      </w:pPr>
      <w:r>
        <w:rPr>
          <w:rFonts w:hint="eastAsia" w:ascii="仿宋" w:hAnsi="仿宋" w:eastAsia="仿宋" w:cs="仿宋"/>
          <w:b/>
          <w:kern w:val="0"/>
          <w:sz w:val="24"/>
        </w:rPr>
        <w:t>供应商名称：（盖章）</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仿宋" w:hAnsi="仿宋" w:eastAsia="仿宋" w:cs="仿宋"/>
          <w:b/>
          <w:kern w:val="0"/>
          <w:sz w:val="24"/>
        </w:rPr>
      </w:pPr>
      <w:r>
        <w:rPr>
          <w:rFonts w:hint="eastAsia" w:ascii="仿宋" w:hAnsi="仿宋" w:eastAsia="仿宋" w:cs="仿宋"/>
          <w:b/>
          <w:kern w:val="0"/>
          <w:sz w:val="24"/>
        </w:rPr>
        <w:t>法定代表人或委托代理人：（签字或盖章）</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仿宋" w:hAnsi="仿宋" w:eastAsia="仿宋" w:cs="仿宋"/>
          <w:b/>
          <w:kern w:val="0"/>
          <w:sz w:val="24"/>
        </w:rPr>
      </w:pPr>
      <w:r>
        <w:rPr>
          <w:rFonts w:hint="eastAsia" w:ascii="仿宋" w:hAnsi="仿宋" w:eastAsia="仿宋" w:cs="仿宋"/>
          <w:b/>
          <w:kern w:val="0"/>
          <w:sz w:val="24"/>
        </w:rPr>
        <w:t>日  期：     年   月   日</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仿宋" w:hAnsi="仿宋" w:eastAsia="仿宋" w:cs="仿宋"/>
          <w:b/>
          <w:kern w:val="0"/>
          <w:sz w:val="24"/>
        </w:rPr>
      </w:pPr>
    </w:p>
    <w:p>
      <w:pPr>
        <w:widowControl/>
        <w:jc w:val="left"/>
        <w:rPr>
          <w:rFonts w:ascii="仿宋" w:hAnsi="仿宋" w:eastAsia="仿宋" w:cs="仿宋"/>
          <w:b/>
          <w:sz w:val="24"/>
        </w:rPr>
      </w:pPr>
      <w:bookmarkStart w:id="219" w:name="_Toc449027487"/>
      <w:bookmarkStart w:id="220" w:name="_Toc449027573"/>
      <w:bookmarkStart w:id="221" w:name="_Toc369002845"/>
      <w:r>
        <w:rPr>
          <w:rFonts w:hint="eastAsia" w:ascii="仿宋" w:hAnsi="仿宋" w:eastAsia="仿宋" w:cs="仿宋"/>
          <w:b/>
          <w:sz w:val="24"/>
        </w:rPr>
        <w:br w:type="page"/>
      </w:r>
    </w:p>
    <w:bookmarkEnd w:id="219"/>
    <w:bookmarkEnd w:id="220"/>
    <w:bookmarkEnd w:id="221"/>
    <w:p>
      <w:pPr>
        <w:rPr>
          <w:rFonts w:ascii="仿宋" w:hAnsi="仿宋" w:eastAsia="仿宋" w:cs="仿宋"/>
          <w:sz w:val="20"/>
        </w:rPr>
      </w:pPr>
    </w:p>
    <w:p>
      <w:pPr>
        <w:rPr>
          <w:rFonts w:ascii="仿宋" w:hAnsi="仿宋" w:eastAsia="仿宋" w:cs="仿宋"/>
          <w:b/>
          <w:szCs w:val="21"/>
        </w:rPr>
      </w:pPr>
      <w:bookmarkStart w:id="222" w:name="_Toc32835897"/>
      <w:r>
        <w:rPr>
          <w:rFonts w:hint="eastAsia" w:ascii="仿宋" w:hAnsi="仿宋" w:eastAsia="仿宋" w:cs="仿宋"/>
          <w:b/>
          <w:szCs w:val="21"/>
        </w:rPr>
        <w:t>附件1</w:t>
      </w:r>
      <w:bookmarkEnd w:id="222"/>
    </w:p>
    <w:p>
      <w:pPr>
        <w:snapToGrid w:val="0"/>
        <w:spacing w:line="360" w:lineRule="auto"/>
        <w:jc w:val="center"/>
        <w:rPr>
          <w:rFonts w:ascii="仿宋" w:hAnsi="仿宋" w:eastAsia="仿宋" w:cs="仿宋"/>
          <w:b/>
          <w:szCs w:val="21"/>
        </w:rPr>
      </w:pPr>
      <w:bookmarkStart w:id="223" w:name="_Toc32835898"/>
      <w:r>
        <w:rPr>
          <w:rFonts w:hint="eastAsia" w:ascii="仿宋" w:hAnsi="仿宋" w:eastAsia="仿宋" w:cs="仿宋"/>
          <w:b/>
          <w:szCs w:val="21"/>
        </w:rPr>
        <w:t>报 价 函</w:t>
      </w:r>
      <w:bookmarkEnd w:id="223"/>
    </w:p>
    <w:p>
      <w:pPr>
        <w:snapToGrid w:val="0"/>
        <w:spacing w:line="360" w:lineRule="auto"/>
        <w:rPr>
          <w:rFonts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（采购人）</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根据贵方为（</w:t>
      </w:r>
      <w:r>
        <w:rPr>
          <w:rFonts w:hint="eastAsia" w:ascii="仿宋" w:hAnsi="仿宋" w:eastAsia="仿宋" w:cs="仿宋"/>
          <w:szCs w:val="21"/>
          <w:u w:val="single"/>
        </w:rPr>
        <w:t>项目名称</w:t>
      </w:r>
      <w:r>
        <w:rPr>
          <w:rFonts w:hint="eastAsia" w:ascii="仿宋" w:hAnsi="仿宋" w:eastAsia="仿宋" w:cs="仿宋"/>
          <w:szCs w:val="21"/>
        </w:rPr>
        <w:t>）项目的竞争性磋商公告，签字代表（</w:t>
      </w:r>
      <w:r>
        <w:rPr>
          <w:rFonts w:hint="eastAsia" w:ascii="仿宋" w:hAnsi="仿宋" w:eastAsia="仿宋" w:cs="仿宋"/>
          <w:szCs w:val="21"/>
          <w:u w:val="single"/>
        </w:rPr>
        <w:t>姓名、职务</w:t>
      </w:r>
      <w:r>
        <w:rPr>
          <w:rFonts w:hint="eastAsia" w:ascii="仿宋" w:hAnsi="仿宋" w:eastAsia="仿宋" w:cs="仿宋"/>
          <w:szCs w:val="21"/>
        </w:rPr>
        <w:t>）经正式授权并代表供应商（</w:t>
      </w:r>
      <w:r>
        <w:rPr>
          <w:rFonts w:hint="eastAsia" w:ascii="仿宋" w:hAnsi="仿宋" w:eastAsia="仿宋" w:cs="仿宋"/>
          <w:szCs w:val="21"/>
          <w:u w:val="single"/>
        </w:rPr>
        <w:t>供应商名称</w:t>
      </w:r>
      <w:r>
        <w:rPr>
          <w:rFonts w:hint="eastAsia" w:ascii="仿宋" w:hAnsi="仿宋" w:eastAsia="仿宋" w:cs="仿宋"/>
          <w:szCs w:val="21"/>
        </w:rPr>
        <w:t>）提交响应文件一份：</w:t>
      </w:r>
    </w:p>
    <w:p>
      <w:pPr>
        <w:snapToGrid w:val="0"/>
        <w:spacing w:line="360" w:lineRule="auto"/>
        <w:rPr>
          <w:rFonts w:ascii="仿宋" w:hAnsi="仿宋" w:eastAsia="仿宋" w:cs="仿宋"/>
          <w:szCs w:val="21"/>
        </w:rPr>
      </w:pPr>
      <w:r>
        <w:rPr>
          <w:rFonts w:hint="eastAsia" w:ascii="仿宋" w:hAnsi="仿宋" w:eastAsia="仿宋" w:cs="仿宋"/>
          <w:szCs w:val="21"/>
        </w:rPr>
        <w:t>在此，签字代表宣布同意如下：</w:t>
      </w:r>
    </w:p>
    <w:p>
      <w:pPr>
        <w:snapToGrid w:val="0"/>
        <w:spacing w:line="360" w:lineRule="auto"/>
        <w:rPr>
          <w:rFonts w:ascii="仿宋" w:hAnsi="仿宋" w:eastAsia="仿宋" w:cs="仿宋"/>
          <w:szCs w:val="21"/>
          <w:u w:val="single"/>
        </w:rPr>
      </w:pPr>
      <w:r>
        <w:rPr>
          <w:rFonts w:hint="eastAsia" w:ascii="仿宋" w:hAnsi="仿宋" w:eastAsia="仿宋" w:cs="仿宋"/>
          <w:szCs w:val="21"/>
        </w:rPr>
        <w:t>1、我方总报价为</w:t>
      </w:r>
      <w:r>
        <w:rPr>
          <w:rFonts w:hint="eastAsia" w:ascii="仿宋" w:hAnsi="仿宋" w:eastAsia="仿宋" w:cs="仿宋"/>
          <w:szCs w:val="21"/>
          <w:u w:val="single"/>
        </w:rPr>
        <w:t xml:space="preserve">            元</w:t>
      </w:r>
      <w:r>
        <w:rPr>
          <w:rFonts w:hint="eastAsia" w:ascii="仿宋" w:hAnsi="仿宋" w:eastAsia="仿宋" w:cs="仿宋"/>
          <w:szCs w:val="21"/>
        </w:rPr>
        <w:t>。</w:t>
      </w:r>
    </w:p>
    <w:p>
      <w:pPr>
        <w:snapToGrid w:val="0"/>
        <w:spacing w:line="360" w:lineRule="auto"/>
        <w:rPr>
          <w:rFonts w:ascii="仿宋" w:hAnsi="仿宋" w:eastAsia="仿宋" w:cs="仿宋"/>
          <w:szCs w:val="21"/>
        </w:rPr>
      </w:pPr>
      <w:r>
        <w:rPr>
          <w:rFonts w:hint="eastAsia" w:ascii="仿宋" w:hAnsi="仿宋" w:eastAsia="仿宋" w:cs="仿宋"/>
          <w:szCs w:val="21"/>
        </w:rPr>
        <w:t>2、供应商将按磋商文件的规定履行合同责任和义务。</w:t>
      </w:r>
    </w:p>
    <w:p>
      <w:pPr>
        <w:snapToGrid w:val="0"/>
        <w:spacing w:line="360" w:lineRule="auto"/>
        <w:rPr>
          <w:rFonts w:ascii="仿宋" w:hAnsi="仿宋" w:eastAsia="仿宋" w:cs="仿宋"/>
          <w:szCs w:val="21"/>
        </w:rPr>
      </w:pPr>
      <w:r>
        <w:rPr>
          <w:rFonts w:hint="eastAsia" w:ascii="仿宋" w:hAnsi="仿宋" w:eastAsia="仿宋" w:cs="仿宋"/>
          <w:szCs w:val="21"/>
        </w:rPr>
        <w:t>3、供应商已详细审查全部磋商文件，包括补充通知(如有)。我们完全理解并同意放弃对这方面有不明及误解的权力。</w:t>
      </w:r>
    </w:p>
    <w:p>
      <w:pPr>
        <w:snapToGrid w:val="0"/>
        <w:spacing w:line="360" w:lineRule="auto"/>
        <w:rPr>
          <w:rFonts w:ascii="仿宋" w:hAnsi="仿宋" w:eastAsia="仿宋" w:cs="仿宋"/>
          <w:szCs w:val="21"/>
        </w:rPr>
      </w:pPr>
      <w:r>
        <w:rPr>
          <w:rFonts w:hint="eastAsia" w:ascii="仿宋" w:hAnsi="仿宋" w:eastAsia="仿宋" w:cs="仿宋"/>
          <w:szCs w:val="21"/>
        </w:rPr>
        <w:t>4、本响应文件有效期为自响应文件递交截止日起</w:t>
      </w:r>
      <w:r>
        <w:rPr>
          <w:rFonts w:hint="eastAsia" w:ascii="仿宋" w:hAnsi="仿宋" w:eastAsia="仿宋" w:cs="仿宋"/>
          <w:szCs w:val="21"/>
          <w:u w:val="single"/>
        </w:rPr>
        <w:t>__</w:t>
      </w:r>
      <w:r>
        <w:rPr>
          <w:rFonts w:hint="eastAsia" w:ascii="仿宋" w:hAnsi="仿宋" w:eastAsia="仿宋" w:cs="仿宋"/>
          <w:szCs w:val="21"/>
        </w:rPr>
        <w:t>天。</w:t>
      </w:r>
    </w:p>
    <w:p>
      <w:pPr>
        <w:snapToGrid w:val="0"/>
        <w:spacing w:line="360" w:lineRule="auto"/>
        <w:rPr>
          <w:rFonts w:ascii="仿宋" w:hAnsi="仿宋" w:eastAsia="仿宋" w:cs="仿宋"/>
          <w:szCs w:val="21"/>
        </w:rPr>
      </w:pPr>
      <w:r>
        <w:rPr>
          <w:rFonts w:hint="eastAsia" w:ascii="仿宋" w:hAnsi="仿宋" w:eastAsia="仿宋" w:cs="仿宋"/>
          <w:szCs w:val="21"/>
        </w:rPr>
        <w:t>5、根据供应商须知的规定，我方承诺，与采购单位聘请的为此项目提供咨询服务的公司及任何附属机构均无关联，我方不是采购单位的附属机构。</w:t>
      </w:r>
    </w:p>
    <w:p>
      <w:pPr>
        <w:snapToGrid w:val="0"/>
        <w:spacing w:line="360" w:lineRule="auto"/>
        <w:rPr>
          <w:rFonts w:ascii="仿宋" w:hAnsi="仿宋" w:eastAsia="仿宋" w:cs="仿宋"/>
          <w:szCs w:val="21"/>
        </w:rPr>
      </w:pPr>
      <w:r>
        <w:rPr>
          <w:rFonts w:hint="eastAsia" w:ascii="仿宋" w:hAnsi="仿宋" w:eastAsia="仿宋" w:cs="仿宋"/>
          <w:szCs w:val="21"/>
        </w:rPr>
        <w:t>6、供应商同意提供按照贵方可能要求的与其响应文件有关的一切数据或资料。</w:t>
      </w:r>
    </w:p>
    <w:p>
      <w:pPr>
        <w:snapToGrid w:val="0"/>
        <w:spacing w:line="360" w:lineRule="auto"/>
        <w:rPr>
          <w:rFonts w:ascii="仿宋" w:hAnsi="仿宋" w:eastAsia="仿宋" w:cs="仿宋"/>
          <w:szCs w:val="21"/>
        </w:rPr>
      </w:pPr>
    </w:p>
    <w:p>
      <w:pPr>
        <w:snapToGrid w:val="0"/>
        <w:spacing w:line="360" w:lineRule="auto"/>
        <w:rPr>
          <w:rFonts w:ascii="仿宋" w:hAnsi="仿宋" w:eastAsia="仿宋" w:cs="仿宋"/>
          <w:szCs w:val="21"/>
        </w:rPr>
      </w:pPr>
    </w:p>
    <w:p>
      <w:pPr>
        <w:snapToGrid w:val="0"/>
        <w:spacing w:line="360" w:lineRule="auto"/>
        <w:rPr>
          <w:rFonts w:ascii="仿宋" w:hAnsi="仿宋" w:eastAsia="仿宋" w:cs="仿宋"/>
          <w:szCs w:val="21"/>
        </w:rPr>
      </w:pPr>
      <w:r>
        <w:rPr>
          <w:rFonts w:hint="eastAsia" w:ascii="仿宋" w:hAnsi="仿宋" w:eastAsia="仿宋" w:cs="仿宋"/>
          <w:szCs w:val="21"/>
        </w:rPr>
        <w:t>供应商名称（盖章）：_________________</w:t>
      </w:r>
    </w:p>
    <w:p>
      <w:pPr>
        <w:snapToGrid w:val="0"/>
        <w:spacing w:line="360" w:lineRule="auto"/>
        <w:rPr>
          <w:rFonts w:ascii="仿宋" w:hAnsi="仿宋" w:eastAsia="仿宋" w:cs="仿宋"/>
          <w:szCs w:val="21"/>
          <w:u w:val="single"/>
        </w:rPr>
      </w:pPr>
      <w:r>
        <w:rPr>
          <w:rFonts w:hint="eastAsia" w:ascii="仿宋" w:hAnsi="仿宋" w:eastAsia="仿宋" w:cs="仿宋"/>
          <w:szCs w:val="21"/>
        </w:rPr>
        <w:t>法定代表人或委托代理人（签字或盖章）：_____________</w:t>
      </w:r>
    </w:p>
    <w:p>
      <w:pPr>
        <w:snapToGrid w:val="0"/>
        <w:spacing w:line="360" w:lineRule="auto"/>
        <w:rPr>
          <w:rFonts w:ascii="仿宋" w:hAnsi="仿宋" w:eastAsia="仿宋" w:cs="仿宋"/>
          <w:szCs w:val="21"/>
        </w:rPr>
      </w:pPr>
      <w:r>
        <w:rPr>
          <w:rFonts w:hint="eastAsia" w:ascii="仿宋" w:hAnsi="仿宋" w:eastAsia="仿宋" w:cs="仿宋"/>
          <w:szCs w:val="21"/>
        </w:rPr>
        <w:t>日期：</w:t>
      </w:r>
    </w:p>
    <w:p>
      <w:pPr>
        <w:rPr>
          <w:rFonts w:ascii="仿宋" w:hAnsi="仿宋" w:eastAsia="仿宋" w:cs="仿宋"/>
          <w:b/>
          <w:bCs/>
          <w:szCs w:val="21"/>
        </w:rPr>
      </w:pPr>
      <w:r>
        <w:rPr>
          <w:rFonts w:hint="eastAsia" w:ascii="仿宋" w:hAnsi="仿宋" w:eastAsia="仿宋" w:cs="仿宋"/>
          <w:szCs w:val="21"/>
        </w:rPr>
        <w:br w:type="page"/>
      </w:r>
      <w:bookmarkStart w:id="224" w:name="_Toc18214"/>
      <w:r>
        <w:rPr>
          <w:rFonts w:hint="eastAsia" w:ascii="仿宋" w:hAnsi="仿宋" w:eastAsia="仿宋" w:cs="仿宋"/>
          <w:b/>
          <w:bCs/>
          <w:szCs w:val="21"/>
        </w:rPr>
        <w:t>附件1.1</w:t>
      </w:r>
      <w:bookmarkEnd w:id="224"/>
    </w:p>
    <w:p>
      <w:pPr>
        <w:jc w:val="center"/>
        <w:rPr>
          <w:rFonts w:ascii="仿宋" w:hAnsi="仿宋" w:eastAsia="仿宋" w:cs="仿宋"/>
          <w:b/>
          <w:bCs/>
          <w:szCs w:val="21"/>
        </w:rPr>
      </w:pPr>
      <w:r>
        <w:rPr>
          <w:rFonts w:hint="eastAsia" w:ascii="仿宋" w:hAnsi="仿宋" w:eastAsia="仿宋" w:cs="仿宋"/>
          <w:b/>
          <w:bCs/>
          <w:szCs w:val="21"/>
        </w:rPr>
        <w:t>报价一览表</w:t>
      </w:r>
    </w:p>
    <w:p>
      <w:pPr>
        <w:rPr>
          <w:rFonts w:ascii="仿宋" w:hAnsi="仿宋" w:eastAsia="仿宋" w:cs="仿宋"/>
          <w:szCs w:val="21"/>
        </w:rPr>
      </w:pPr>
      <w:r>
        <w:rPr>
          <w:rFonts w:hint="eastAsia" w:ascii="仿宋" w:hAnsi="仿宋" w:eastAsia="仿宋" w:cs="仿宋"/>
          <w:szCs w:val="21"/>
        </w:rPr>
        <w:t>项目名称：___________</w:t>
      </w:r>
    </w:p>
    <w:p>
      <w:pPr>
        <w:rPr>
          <w:rFonts w:ascii="仿宋" w:hAnsi="仿宋" w:eastAsia="仿宋" w:cs="仿宋"/>
          <w:szCs w:val="21"/>
        </w:rPr>
      </w:pPr>
      <w:r>
        <w:rPr>
          <w:rFonts w:hint="eastAsia" w:ascii="仿宋" w:hAnsi="仿宋" w:eastAsia="仿宋" w:cs="仿宋"/>
          <w:szCs w:val="21"/>
        </w:rPr>
        <w:t>项目编号：___________单位：元</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Align w:val="center"/>
          </w:tcPr>
          <w:p>
            <w:pPr>
              <w:jc w:val="center"/>
              <w:rPr>
                <w:rFonts w:ascii="仿宋" w:hAnsi="仿宋" w:eastAsia="仿宋" w:cs="仿宋"/>
                <w:szCs w:val="21"/>
              </w:rPr>
            </w:pPr>
            <w:r>
              <w:rPr>
                <w:rFonts w:hint="eastAsia" w:ascii="仿宋" w:hAnsi="仿宋" w:eastAsia="仿宋" w:cs="仿宋"/>
                <w:szCs w:val="21"/>
              </w:rPr>
              <w:t>供应商名称</w:t>
            </w:r>
          </w:p>
        </w:tc>
        <w:tc>
          <w:tcPr>
            <w:tcW w:w="6838"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Merge w:val="restart"/>
            <w:vAlign w:val="center"/>
          </w:tcPr>
          <w:p>
            <w:pPr>
              <w:jc w:val="center"/>
              <w:rPr>
                <w:rFonts w:ascii="仿宋" w:hAnsi="仿宋" w:eastAsia="仿宋" w:cs="仿宋"/>
                <w:szCs w:val="21"/>
              </w:rPr>
            </w:pPr>
            <w:r>
              <w:rPr>
                <w:rFonts w:hint="eastAsia" w:ascii="仿宋" w:hAnsi="仿宋" w:eastAsia="仿宋" w:cs="仿宋"/>
                <w:szCs w:val="21"/>
              </w:rPr>
              <w:t>总报价</w:t>
            </w:r>
          </w:p>
        </w:tc>
        <w:tc>
          <w:tcPr>
            <w:tcW w:w="6838" w:type="dxa"/>
            <w:vAlign w:val="center"/>
          </w:tcPr>
          <w:p>
            <w:pPr>
              <w:rPr>
                <w:rFonts w:ascii="仿宋" w:hAnsi="仿宋" w:eastAsia="仿宋" w:cs="仿宋"/>
                <w:szCs w:val="21"/>
              </w:rPr>
            </w:pPr>
            <w:r>
              <w:rPr>
                <w:rFonts w:hint="eastAsia" w:ascii="仿宋" w:hAnsi="仿宋" w:eastAsia="仿宋" w:cs="仿宋"/>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448" w:type="dxa"/>
            <w:vMerge w:val="continue"/>
            <w:vAlign w:val="center"/>
          </w:tcPr>
          <w:p>
            <w:pPr>
              <w:jc w:val="center"/>
              <w:rPr>
                <w:rFonts w:ascii="仿宋" w:hAnsi="仿宋" w:eastAsia="仿宋" w:cs="仿宋"/>
                <w:szCs w:val="21"/>
              </w:rPr>
            </w:pPr>
          </w:p>
        </w:tc>
        <w:tc>
          <w:tcPr>
            <w:tcW w:w="6838" w:type="dxa"/>
            <w:vAlign w:val="center"/>
          </w:tcPr>
          <w:p>
            <w:pPr>
              <w:rPr>
                <w:rFonts w:ascii="仿宋" w:hAnsi="仿宋" w:eastAsia="仿宋" w:cs="仿宋"/>
                <w:szCs w:val="21"/>
              </w:rPr>
            </w:pPr>
            <w:r>
              <w:rPr>
                <w:rFonts w:hint="eastAsia" w:ascii="仿宋" w:hAnsi="仿宋" w:eastAsia="仿宋" w:cs="仿宋"/>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ascii="仿宋" w:hAnsi="仿宋" w:eastAsia="仿宋" w:cs="仿宋"/>
                <w:szCs w:val="21"/>
              </w:rPr>
            </w:pPr>
            <w:r>
              <w:rPr>
                <w:rFonts w:hint="eastAsia" w:ascii="仿宋" w:hAnsi="仿宋" w:eastAsia="仿宋" w:cs="仿宋"/>
                <w:szCs w:val="21"/>
              </w:rPr>
              <w:t>合同履行期限</w:t>
            </w:r>
          </w:p>
        </w:tc>
        <w:tc>
          <w:tcPr>
            <w:tcW w:w="6838"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ascii="仿宋" w:hAnsi="仿宋" w:eastAsia="仿宋" w:cs="仿宋"/>
                <w:szCs w:val="21"/>
              </w:rPr>
            </w:pPr>
            <w:r>
              <w:rPr>
                <w:rFonts w:hint="eastAsia" w:ascii="仿宋" w:hAnsi="仿宋" w:eastAsia="仿宋" w:cs="仿宋"/>
                <w:szCs w:val="21"/>
              </w:rPr>
              <w:t>项目负责人</w:t>
            </w:r>
          </w:p>
        </w:tc>
        <w:tc>
          <w:tcPr>
            <w:tcW w:w="6838"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ascii="仿宋" w:hAnsi="仿宋" w:eastAsia="仿宋" w:cs="仿宋"/>
                <w:szCs w:val="21"/>
              </w:rPr>
            </w:pPr>
            <w:r>
              <w:rPr>
                <w:rFonts w:hint="eastAsia" w:ascii="仿宋" w:hAnsi="仿宋" w:eastAsia="仿宋" w:cs="仿宋"/>
                <w:szCs w:val="21"/>
              </w:rPr>
              <w:t>质量</w:t>
            </w:r>
          </w:p>
        </w:tc>
        <w:tc>
          <w:tcPr>
            <w:tcW w:w="6838" w:type="dxa"/>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ascii="仿宋" w:hAnsi="仿宋" w:eastAsia="仿宋" w:cs="仿宋"/>
                <w:szCs w:val="21"/>
              </w:rPr>
            </w:pPr>
            <w:r>
              <w:rPr>
                <w:rFonts w:hint="eastAsia" w:ascii="仿宋" w:hAnsi="仿宋" w:eastAsia="仿宋" w:cs="仿宋"/>
                <w:szCs w:val="21"/>
              </w:rPr>
              <w:t>付款方式</w:t>
            </w:r>
          </w:p>
        </w:tc>
        <w:tc>
          <w:tcPr>
            <w:tcW w:w="6838" w:type="dxa"/>
            <w:vAlign w:val="center"/>
          </w:tcPr>
          <w:p>
            <w:pPr>
              <w:rPr>
                <w:rFonts w:ascii="仿宋" w:hAnsi="仿宋" w:eastAsia="仿宋" w:cs="仿宋"/>
                <w:szCs w:val="21"/>
              </w:rPr>
            </w:pPr>
            <w:r>
              <w:rPr>
                <w:rFonts w:hint="eastAsia" w:ascii="仿宋" w:hAnsi="仿宋" w:eastAsia="仿宋" w:cs="仿宋"/>
                <w:szCs w:val="21"/>
              </w:rPr>
              <w:t>同磋商文件要求</w:t>
            </w:r>
          </w:p>
        </w:tc>
      </w:tr>
    </w:tbl>
    <w:p>
      <w:pPr>
        <w:rPr>
          <w:rFonts w:ascii="仿宋" w:hAnsi="仿宋" w:eastAsia="仿宋" w:cs="仿宋"/>
          <w:szCs w:val="21"/>
        </w:rPr>
      </w:pPr>
    </w:p>
    <w:p>
      <w:pPr>
        <w:rPr>
          <w:rFonts w:ascii="仿宋" w:hAnsi="仿宋" w:eastAsia="仿宋" w:cs="仿宋"/>
          <w:szCs w:val="21"/>
        </w:rPr>
      </w:pPr>
    </w:p>
    <w:p>
      <w:pPr>
        <w:snapToGrid w:val="0"/>
        <w:spacing w:line="480" w:lineRule="auto"/>
        <w:rPr>
          <w:rFonts w:ascii="仿宋" w:hAnsi="仿宋" w:eastAsia="仿宋" w:cs="仿宋"/>
        </w:rPr>
      </w:pPr>
      <w:r>
        <w:rPr>
          <w:rFonts w:hint="eastAsia" w:ascii="仿宋" w:hAnsi="仿宋" w:eastAsia="仿宋" w:cs="仿宋"/>
        </w:rPr>
        <w:t>供应商名称（盖章）：_________________</w:t>
      </w:r>
    </w:p>
    <w:p>
      <w:pPr>
        <w:snapToGrid w:val="0"/>
        <w:spacing w:line="480" w:lineRule="auto"/>
        <w:rPr>
          <w:rFonts w:ascii="仿宋" w:hAnsi="仿宋" w:eastAsia="仿宋" w:cs="仿宋"/>
          <w:u w:val="single"/>
        </w:rPr>
      </w:pPr>
      <w:r>
        <w:rPr>
          <w:rFonts w:hint="eastAsia" w:ascii="仿宋" w:hAnsi="仿宋" w:eastAsia="仿宋" w:cs="仿宋"/>
        </w:rPr>
        <w:t>法定代表人或委托代理人（签字或盖章）：_____________</w:t>
      </w:r>
    </w:p>
    <w:p>
      <w:pPr>
        <w:snapToGrid w:val="0"/>
        <w:spacing w:line="480" w:lineRule="auto"/>
        <w:rPr>
          <w:rFonts w:ascii="仿宋" w:hAnsi="仿宋" w:eastAsia="仿宋" w:cs="仿宋"/>
          <w:szCs w:val="21"/>
        </w:rPr>
      </w:pPr>
      <w:r>
        <w:rPr>
          <w:rFonts w:hint="eastAsia" w:ascii="仿宋" w:hAnsi="仿宋" w:eastAsia="仿宋" w:cs="仿宋"/>
          <w:szCs w:val="21"/>
        </w:rPr>
        <w:t>日期：</w:t>
      </w: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附件1.2  报价明细表（格式自拟）</w:t>
      </w:r>
    </w:p>
    <w:p>
      <w:pPr>
        <w:spacing w:line="360" w:lineRule="auto"/>
        <w:rPr>
          <w:rFonts w:ascii="仿宋" w:hAnsi="仿宋" w:eastAsia="仿宋" w:cs="仿宋"/>
          <w:szCs w:val="21"/>
        </w:rPr>
      </w:pPr>
      <w:r>
        <w:rPr>
          <w:rFonts w:hint="eastAsia" w:ascii="仿宋" w:hAnsi="仿宋" w:eastAsia="仿宋" w:cs="仿宋"/>
          <w:szCs w:val="21"/>
        </w:rPr>
        <w:t>附件1.3  服务方案（格式自拟）</w:t>
      </w:r>
    </w:p>
    <w:p>
      <w:pPr>
        <w:widowControl/>
        <w:jc w:val="left"/>
        <w:rPr>
          <w:rFonts w:ascii="仿宋" w:hAnsi="仿宋" w:eastAsia="仿宋" w:cs="仿宋"/>
          <w:szCs w:val="21"/>
        </w:rPr>
      </w:pPr>
      <w:r>
        <w:rPr>
          <w:rFonts w:hint="eastAsia" w:ascii="仿宋" w:hAnsi="仿宋" w:eastAsia="仿宋" w:cs="仿宋"/>
          <w:szCs w:val="21"/>
        </w:rPr>
        <w:t>附件1.4  服务承诺（格式自拟）</w:t>
      </w:r>
      <w:bookmarkStart w:id="225" w:name="_Toc32835899"/>
      <w:r>
        <w:rPr>
          <w:rFonts w:hint="eastAsia" w:ascii="仿宋" w:hAnsi="仿宋" w:eastAsia="仿宋" w:cs="仿宋"/>
          <w:szCs w:val="21"/>
        </w:rPr>
        <w:br w:type="page"/>
      </w:r>
    </w:p>
    <w:p>
      <w:pPr>
        <w:spacing w:line="480" w:lineRule="auto"/>
        <w:rPr>
          <w:rFonts w:ascii="仿宋" w:hAnsi="仿宋" w:eastAsia="仿宋" w:cs="仿宋"/>
          <w:b/>
          <w:bCs/>
          <w:szCs w:val="21"/>
        </w:rPr>
      </w:pPr>
      <w:r>
        <w:rPr>
          <w:rFonts w:hint="eastAsia" w:ascii="仿宋" w:hAnsi="仿宋" w:eastAsia="仿宋" w:cs="仿宋"/>
          <w:b/>
          <w:bCs/>
          <w:szCs w:val="21"/>
        </w:rPr>
        <w:t>附件2</w:t>
      </w:r>
      <w:bookmarkEnd w:id="225"/>
    </w:p>
    <w:p>
      <w:pPr>
        <w:rPr>
          <w:rFonts w:ascii="仿宋" w:hAnsi="仿宋" w:eastAsia="仿宋" w:cs="仿宋"/>
          <w:b/>
          <w:bCs/>
          <w:szCs w:val="21"/>
        </w:rPr>
      </w:pPr>
      <w:r>
        <w:rPr>
          <w:rFonts w:hint="eastAsia" w:ascii="仿宋" w:hAnsi="仿宋" w:eastAsia="仿宋" w:cs="仿宋"/>
          <w:b/>
          <w:bCs/>
          <w:szCs w:val="21"/>
        </w:rPr>
        <w:t xml:space="preserve">附件2.1     </w:t>
      </w:r>
    </w:p>
    <w:p>
      <w:pPr>
        <w:jc w:val="center"/>
        <w:rPr>
          <w:rFonts w:ascii="仿宋" w:hAnsi="仿宋" w:eastAsia="仿宋" w:cs="仿宋"/>
          <w:b/>
          <w:bCs/>
          <w:szCs w:val="21"/>
        </w:rPr>
      </w:pPr>
      <w:r>
        <w:rPr>
          <w:rFonts w:hint="eastAsia" w:ascii="仿宋" w:hAnsi="仿宋" w:eastAsia="仿宋" w:cs="仿宋"/>
          <w:b/>
          <w:bCs/>
          <w:szCs w:val="21"/>
        </w:rPr>
        <w:t>法定代表人身份证明（供应商代表为法定代表人时须提供此项）</w:t>
      </w:r>
    </w:p>
    <w:p>
      <w:pPr>
        <w:rPr>
          <w:rFonts w:ascii="仿宋" w:hAnsi="仿宋" w:eastAsia="仿宋" w:cs="仿宋"/>
          <w:b/>
          <w:bCs/>
          <w:szCs w:val="21"/>
        </w:rPr>
      </w:pPr>
    </w:p>
    <w:p>
      <w:pPr>
        <w:snapToGrid w:val="0"/>
        <w:spacing w:line="360" w:lineRule="auto"/>
        <w:rPr>
          <w:rFonts w:ascii="仿宋" w:hAnsi="仿宋" w:eastAsia="仿宋" w:cs="仿宋"/>
          <w:szCs w:val="21"/>
        </w:rPr>
      </w:pPr>
      <w:r>
        <w:rPr>
          <w:rFonts w:hint="eastAsia" w:ascii="仿宋" w:hAnsi="仿宋" w:eastAsia="仿宋" w:cs="仿宋"/>
          <w:szCs w:val="21"/>
        </w:rPr>
        <w:t>供应商名称：______________</w:t>
      </w:r>
    </w:p>
    <w:p>
      <w:pPr>
        <w:snapToGrid w:val="0"/>
        <w:spacing w:line="360" w:lineRule="auto"/>
        <w:rPr>
          <w:rFonts w:ascii="仿宋" w:hAnsi="仿宋" w:eastAsia="仿宋" w:cs="仿宋"/>
          <w:szCs w:val="21"/>
        </w:rPr>
      </w:pPr>
      <w:r>
        <w:rPr>
          <w:rFonts w:hint="eastAsia" w:ascii="仿宋" w:hAnsi="仿宋" w:eastAsia="仿宋" w:cs="仿宋"/>
          <w:szCs w:val="21"/>
        </w:rPr>
        <w:t>单位性质：________________</w:t>
      </w:r>
    </w:p>
    <w:p>
      <w:pPr>
        <w:snapToGrid w:val="0"/>
        <w:spacing w:line="360" w:lineRule="auto"/>
        <w:rPr>
          <w:rFonts w:ascii="仿宋" w:hAnsi="仿宋" w:eastAsia="仿宋" w:cs="仿宋"/>
          <w:szCs w:val="21"/>
        </w:rPr>
      </w:pPr>
      <w:r>
        <w:rPr>
          <w:rFonts w:hint="eastAsia" w:ascii="仿宋" w:hAnsi="仿宋" w:eastAsia="仿宋" w:cs="仿宋"/>
          <w:szCs w:val="21"/>
        </w:rPr>
        <w:t>地址：____________________</w:t>
      </w:r>
    </w:p>
    <w:p>
      <w:pPr>
        <w:snapToGrid w:val="0"/>
        <w:spacing w:line="360" w:lineRule="auto"/>
        <w:rPr>
          <w:rFonts w:ascii="仿宋" w:hAnsi="仿宋" w:eastAsia="仿宋" w:cs="仿宋"/>
          <w:szCs w:val="21"/>
        </w:rPr>
      </w:pPr>
      <w:r>
        <w:rPr>
          <w:rFonts w:hint="eastAsia" w:ascii="仿宋" w:hAnsi="仿宋" w:eastAsia="仿宋" w:cs="仿宋"/>
          <w:szCs w:val="21"/>
        </w:rPr>
        <w:t>成立时间：______年__月__日</w:t>
      </w:r>
    </w:p>
    <w:p>
      <w:pPr>
        <w:snapToGrid w:val="0"/>
        <w:spacing w:line="360" w:lineRule="auto"/>
        <w:rPr>
          <w:rFonts w:ascii="仿宋" w:hAnsi="仿宋" w:eastAsia="仿宋" w:cs="仿宋"/>
          <w:szCs w:val="21"/>
        </w:rPr>
      </w:pPr>
      <w:r>
        <w:rPr>
          <w:rFonts w:hint="eastAsia" w:ascii="仿宋" w:hAnsi="仿宋" w:eastAsia="仿宋" w:cs="仿宋"/>
          <w:szCs w:val="21"/>
        </w:rPr>
        <w:t>经营期限：________________</w:t>
      </w:r>
    </w:p>
    <w:p>
      <w:pPr>
        <w:snapToGrid w:val="0"/>
        <w:spacing w:line="360" w:lineRule="auto"/>
        <w:rPr>
          <w:rFonts w:ascii="仿宋" w:hAnsi="仿宋" w:eastAsia="仿宋" w:cs="仿宋"/>
          <w:szCs w:val="21"/>
        </w:rPr>
      </w:pPr>
      <w:r>
        <w:rPr>
          <w:rFonts w:hint="eastAsia" w:ascii="仿宋" w:hAnsi="仿宋" w:eastAsia="仿宋" w:cs="仿宋"/>
          <w:szCs w:val="21"/>
        </w:rPr>
        <w:t>姓名：_________性别：_____年龄：______职务：________</w:t>
      </w:r>
    </w:p>
    <w:p>
      <w:pPr>
        <w:snapToGrid w:val="0"/>
        <w:spacing w:line="360" w:lineRule="auto"/>
        <w:rPr>
          <w:rFonts w:ascii="仿宋" w:hAnsi="仿宋" w:eastAsia="仿宋" w:cs="仿宋"/>
          <w:szCs w:val="21"/>
        </w:rPr>
      </w:pPr>
      <w:r>
        <w:rPr>
          <w:rFonts w:hint="eastAsia" w:ascii="仿宋" w:hAnsi="仿宋" w:eastAsia="仿宋" w:cs="仿宋"/>
          <w:szCs w:val="21"/>
        </w:rPr>
        <w:t>系________________（供应商名称）的法定代表人。</w:t>
      </w:r>
    </w:p>
    <w:p>
      <w:pPr>
        <w:snapToGrid w:val="0"/>
        <w:spacing w:line="360" w:lineRule="auto"/>
        <w:ind w:firstLine="315" w:firstLineChars="150"/>
        <w:rPr>
          <w:rFonts w:ascii="仿宋" w:hAnsi="仿宋" w:eastAsia="仿宋" w:cs="仿宋"/>
          <w:szCs w:val="21"/>
        </w:rPr>
      </w:pPr>
    </w:p>
    <w:p>
      <w:pPr>
        <w:snapToGrid w:val="0"/>
        <w:spacing w:line="360" w:lineRule="auto"/>
        <w:ind w:firstLine="630" w:firstLineChars="300"/>
        <w:rPr>
          <w:rFonts w:ascii="仿宋" w:hAnsi="仿宋" w:eastAsia="仿宋" w:cs="仿宋"/>
          <w:szCs w:val="21"/>
        </w:rPr>
      </w:pPr>
      <w:r>
        <w:rPr>
          <w:rFonts w:hint="eastAsia" w:ascii="仿宋" w:hAnsi="仿宋" w:eastAsia="仿宋" w:cs="仿宋"/>
          <w:szCs w:val="21"/>
        </w:rPr>
        <w:t>特此证明。</w:t>
      </w:r>
    </w:p>
    <w:p>
      <w:pPr>
        <w:snapToGrid w:val="0"/>
        <w:spacing w:line="360" w:lineRule="auto"/>
        <w:rPr>
          <w:rFonts w:ascii="仿宋" w:hAnsi="仿宋" w:eastAsia="仿宋" w:cs="仿宋"/>
          <w:szCs w:val="21"/>
        </w:rPr>
      </w:pPr>
    </w:p>
    <w:p>
      <w:pPr>
        <w:snapToGrid w:val="0"/>
        <w:spacing w:line="360" w:lineRule="auto"/>
        <w:rPr>
          <w:rFonts w:ascii="仿宋" w:hAnsi="仿宋" w:eastAsia="仿宋" w:cs="仿宋"/>
          <w:szCs w:val="21"/>
        </w:rPr>
      </w:pPr>
    </w:p>
    <w:p>
      <w:pPr>
        <w:snapToGrid w:val="0"/>
        <w:spacing w:line="360" w:lineRule="auto"/>
        <w:rPr>
          <w:rFonts w:ascii="仿宋" w:hAnsi="仿宋" w:eastAsia="仿宋" w:cs="仿宋"/>
          <w:szCs w:val="21"/>
        </w:rPr>
      </w:pPr>
    </w:p>
    <w:p>
      <w:pPr>
        <w:snapToGrid w:val="0"/>
        <w:spacing w:line="360" w:lineRule="auto"/>
        <w:ind w:firstLine="4410" w:firstLineChars="2100"/>
        <w:rPr>
          <w:rFonts w:ascii="仿宋" w:hAnsi="仿宋" w:eastAsia="仿宋" w:cs="仿宋"/>
          <w:szCs w:val="21"/>
        </w:rPr>
      </w:pPr>
      <w:r>
        <w:rPr>
          <w:rFonts w:hint="eastAsia" w:ascii="仿宋" w:hAnsi="仿宋" w:eastAsia="仿宋" w:cs="仿宋"/>
          <w:szCs w:val="21"/>
        </w:rPr>
        <w:t>供应商：________________（盖单位章）</w:t>
      </w:r>
    </w:p>
    <w:p>
      <w:pPr>
        <w:snapToGrid w:val="0"/>
        <w:spacing w:line="360" w:lineRule="auto"/>
        <w:ind w:firstLine="2520" w:firstLineChars="1200"/>
        <w:rPr>
          <w:rFonts w:ascii="仿宋" w:hAnsi="仿宋" w:eastAsia="仿宋" w:cs="仿宋"/>
          <w:szCs w:val="21"/>
        </w:rPr>
      </w:pPr>
    </w:p>
    <w:p>
      <w:pPr>
        <w:snapToGrid w:val="0"/>
        <w:spacing w:line="360" w:lineRule="auto"/>
        <w:ind w:firstLine="5250" w:firstLineChars="2500"/>
        <w:rPr>
          <w:rFonts w:ascii="仿宋" w:hAnsi="仿宋" w:eastAsia="仿宋" w:cs="仿宋"/>
          <w:szCs w:val="21"/>
        </w:rPr>
      </w:pPr>
      <w:r>
        <w:rPr>
          <w:rFonts w:hint="eastAsia" w:ascii="仿宋" w:hAnsi="仿宋" w:eastAsia="仿宋" w:cs="仿宋"/>
          <w:szCs w:val="21"/>
        </w:rPr>
        <w:t>________年__月__日</w:t>
      </w:r>
    </w:p>
    <w:p>
      <w:pPr>
        <w:rPr>
          <w:rFonts w:ascii="仿宋" w:hAnsi="仿宋" w:eastAsia="仿宋" w:cs="仿宋"/>
          <w:szCs w:val="21"/>
        </w:rPr>
      </w:pPr>
      <w:r>
        <w:rPr>
          <w:rFonts w:hint="eastAsia" w:ascii="仿宋" w:hAnsi="仿宋" w:eastAsia="仿宋" w:cs="仿宋"/>
          <w:szCs w:val="21"/>
        </w:rPr>
        <w:t>附：法定代表人身份证明复印件（正反两面）</w:t>
      </w:r>
    </w:p>
    <w:p>
      <w:pPr>
        <w:rPr>
          <w:rFonts w:ascii="仿宋" w:hAnsi="仿宋" w:eastAsia="仿宋" w:cs="仿宋"/>
          <w:b/>
          <w:bCs/>
          <w:szCs w:val="21"/>
        </w:rPr>
      </w:pPr>
      <w:r>
        <w:rPr>
          <w:rFonts w:hint="eastAsia" w:ascii="仿宋" w:hAnsi="仿宋" w:eastAsia="仿宋" w:cs="仿宋"/>
          <w:b/>
          <w:bCs/>
          <w:szCs w:val="21"/>
        </w:rPr>
        <w:br w:type="page"/>
      </w:r>
      <w:r>
        <w:rPr>
          <w:rFonts w:hint="eastAsia" w:ascii="仿宋" w:hAnsi="仿宋" w:eastAsia="仿宋" w:cs="仿宋"/>
          <w:b/>
          <w:bCs/>
          <w:szCs w:val="21"/>
        </w:rPr>
        <w:t>附件2.2</w:t>
      </w:r>
    </w:p>
    <w:p>
      <w:pPr>
        <w:jc w:val="center"/>
        <w:rPr>
          <w:rFonts w:ascii="仿宋" w:hAnsi="仿宋" w:eastAsia="仿宋" w:cs="仿宋"/>
          <w:b/>
          <w:szCs w:val="21"/>
        </w:rPr>
      </w:pPr>
      <w:r>
        <w:rPr>
          <w:rFonts w:hint="eastAsia" w:ascii="仿宋" w:hAnsi="仿宋" w:eastAsia="仿宋" w:cs="仿宋"/>
          <w:b/>
          <w:szCs w:val="21"/>
        </w:rPr>
        <w:t>法定代表人授权书（供应商</w:t>
      </w:r>
      <w:r>
        <w:rPr>
          <w:rFonts w:hint="eastAsia" w:ascii="仿宋" w:hAnsi="仿宋" w:eastAsia="仿宋" w:cs="仿宋"/>
          <w:b/>
          <w:bCs/>
          <w:szCs w:val="21"/>
        </w:rPr>
        <w:t>代表为委托代理人时须提供此项</w:t>
      </w:r>
      <w:r>
        <w:rPr>
          <w:rFonts w:hint="eastAsia" w:ascii="仿宋" w:hAnsi="仿宋" w:eastAsia="仿宋" w:cs="仿宋"/>
          <w:b/>
          <w:szCs w:val="21"/>
        </w:rPr>
        <w:t>）</w:t>
      </w:r>
    </w:p>
    <w:p>
      <w:pPr>
        <w:rPr>
          <w:rFonts w:ascii="仿宋" w:hAnsi="仿宋" w:eastAsia="仿宋" w:cs="仿宋"/>
          <w:b/>
          <w:szCs w:val="21"/>
        </w:rPr>
      </w:pPr>
    </w:p>
    <w:p>
      <w:pPr>
        <w:rPr>
          <w:rFonts w:ascii="仿宋" w:hAnsi="仿宋" w:eastAsia="仿宋" w:cs="仿宋"/>
          <w:b/>
          <w:szCs w:val="21"/>
        </w:rPr>
      </w:pP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本人________（姓名）系________________（供应商名称）的法定代表人（或负责人），现委托________（姓名）为我方委托代理人。委托代理人根据授权，以我方名义签署、澄清、说明、补正、递交、撤回、修改________</w:t>
      </w:r>
      <w:r>
        <w:rPr>
          <w:rFonts w:hint="eastAsia" w:ascii="仿宋" w:hAnsi="仿宋" w:eastAsia="仿宋" w:cs="仿宋"/>
          <w:szCs w:val="21"/>
          <w:u w:val="single"/>
        </w:rPr>
        <w:t>（项目名称）</w:t>
      </w:r>
      <w:r>
        <w:rPr>
          <w:rFonts w:hint="eastAsia" w:ascii="仿宋" w:hAnsi="仿宋" w:eastAsia="仿宋" w:cs="仿宋"/>
          <w:szCs w:val="21"/>
        </w:rPr>
        <w:t>________的响应文件、签订合同和处理有关事宜，其法律后果由我方承担。</w:t>
      </w:r>
    </w:p>
    <w:p>
      <w:pPr>
        <w:snapToGrid w:val="0"/>
        <w:spacing w:line="360" w:lineRule="auto"/>
        <w:rPr>
          <w:rFonts w:ascii="仿宋" w:hAnsi="仿宋" w:eastAsia="仿宋" w:cs="仿宋"/>
          <w:szCs w:val="21"/>
        </w:rPr>
      </w:pPr>
      <w:r>
        <w:rPr>
          <w:rFonts w:hint="eastAsia" w:ascii="仿宋" w:hAnsi="仿宋" w:eastAsia="仿宋" w:cs="仿宋"/>
          <w:szCs w:val="21"/>
        </w:rPr>
        <w:t>委托期限：自委托之日起至</w:t>
      </w:r>
      <w:r>
        <w:rPr>
          <w:rFonts w:hint="eastAsia" w:ascii="仿宋" w:hAnsi="仿宋" w:eastAsia="仿宋" w:cs="仿宋"/>
          <w:szCs w:val="21"/>
          <w:u w:val="single"/>
        </w:rPr>
        <w:t>_</w:t>
      </w:r>
      <w:r>
        <w:rPr>
          <w:rFonts w:hint="eastAsia" w:ascii="仿宋" w:hAnsi="仿宋" w:eastAsia="仿宋" w:cs="仿宋"/>
          <w:szCs w:val="21"/>
        </w:rPr>
        <w:t>______。</w:t>
      </w:r>
    </w:p>
    <w:p>
      <w:pPr>
        <w:snapToGrid w:val="0"/>
        <w:spacing w:line="360" w:lineRule="auto"/>
        <w:rPr>
          <w:rFonts w:ascii="仿宋" w:hAnsi="仿宋" w:eastAsia="仿宋" w:cs="仿宋"/>
          <w:szCs w:val="21"/>
        </w:rPr>
      </w:pPr>
      <w:r>
        <w:rPr>
          <w:rFonts w:hint="eastAsia" w:ascii="仿宋" w:hAnsi="仿宋" w:eastAsia="仿宋" w:cs="仿宋"/>
          <w:szCs w:val="21"/>
        </w:rPr>
        <w:t>委托代理人无转委托权。</w:t>
      </w:r>
    </w:p>
    <w:p>
      <w:pPr>
        <w:snapToGrid w:val="0"/>
        <w:spacing w:line="360" w:lineRule="auto"/>
        <w:rPr>
          <w:rFonts w:ascii="仿宋" w:hAnsi="仿宋" w:eastAsia="仿宋" w:cs="仿宋"/>
          <w:szCs w:val="21"/>
        </w:rPr>
      </w:pPr>
    </w:p>
    <w:p>
      <w:pPr>
        <w:snapToGrid w:val="0"/>
        <w:spacing w:line="360" w:lineRule="auto"/>
        <w:rPr>
          <w:rFonts w:ascii="仿宋" w:hAnsi="仿宋" w:eastAsia="仿宋" w:cs="仿宋"/>
          <w:szCs w:val="21"/>
        </w:rPr>
      </w:pPr>
      <w:r>
        <w:rPr>
          <w:rFonts w:hint="eastAsia" w:ascii="仿宋" w:hAnsi="仿宋" w:eastAsia="仿宋" w:cs="仿宋"/>
          <w:szCs w:val="21"/>
        </w:rPr>
        <w:t>附：法定代表人身份证明及委托代理人身份证明复印件（正反两面）</w:t>
      </w:r>
    </w:p>
    <w:p>
      <w:pPr>
        <w:snapToGrid w:val="0"/>
        <w:spacing w:line="360" w:lineRule="auto"/>
        <w:rPr>
          <w:rFonts w:ascii="仿宋" w:hAnsi="仿宋" w:eastAsia="仿宋" w:cs="仿宋"/>
          <w:szCs w:val="21"/>
        </w:rPr>
      </w:pPr>
    </w:p>
    <w:p>
      <w:pPr>
        <w:spacing w:line="480" w:lineRule="auto"/>
        <w:rPr>
          <w:rFonts w:ascii="仿宋" w:hAnsi="仿宋" w:eastAsia="仿宋" w:cs="仿宋"/>
        </w:rPr>
      </w:pPr>
      <w:r>
        <w:rPr>
          <w:rFonts w:hint="eastAsia" w:ascii="仿宋" w:hAnsi="仿宋" w:eastAsia="仿宋" w:cs="仿宋"/>
        </w:rPr>
        <w:t>供应商：________________（盖单位章）</w:t>
      </w:r>
    </w:p>
    <w:p>
      <w:pPr>
        <w:spacing w:line="480" w:lineRule="auto"/>
        <w:rPr>
          <w:rFonts w:ascii="仿宋" w:hAnsi="仿宋" w:eastAsia="仿宋" w:cs="仿宋"/>
        </w:rPr>
      </w:pPr>
      <w:r>
        <w:rPr>
          <w:rFonts w:hint="eastAsia" w:ascii="仿宋" w:hAnsi="仿宋" w:eastAsia="仿宋" w:cs="仿宋"/>
        </w:rPr>
        <w:t>法定代表人：________________（签字）</w:t>
      </w:r>
    </w:p>
    <w:p>
      <w:pPr>
        <w:spacing w:line="480" w:lineRule="auto"/>
        <w:rPr>
          <w:rFonts w:ascii="仿宋" w:hAnsi="仿宋" w:eastAsia="仿宋" w:cs="仿宋"/>
        </w:rPr>
      </w:pPr>
      <w:r>
        <w:rPr>
          <w:rFonts w:hint="eastAsia" w:ascii="仿宋" w:hAnsi="仿宋" w:eastAsia="仿宋" w:cs="仿宋"/>
        </w:rPr>
        <w:t>身份证号码：________________________</w:t>
      </w:r>
    </w:p>
    <w:p>
      <w:pPr>
        <w:spacing w:line="480" w:lineRule="auto"/>
        <w:rPr>
          <w:rFonts w:ascii="仿宋" w:hAnsi="仿宋" w:eastAsia="仿宋" w:cs="仿宋"/>
        </w:rPr>
      </w:pPr>
      <w:r>
        <w:rPr>
          <w:rFonts w:hint="eastAsia" w:ascii="仿宋" w:hAnsi="仿宋" w:eastAsia="仿宋" w:cs="仿宋"/>
        </w:rPr>
        <w:t>委托代理人：________________（签字）</w:t>
      </w:r>
    </w:p>
    <w:p>
      <w:pPr>
        <w:spacing w:line="480" w:lineRule="auto"/>
        <w:rPr>
          <w:rFonts w:ascii="仿宋" w:hAnsi="仿宋" w:eastAsia="仿宋" w:cs="仿宋"/>
        </w:rPr>
      </w:pPr>
      <w:r>
        <w:rPr>
          <w:rFonts w:hint="eastAsia" w:ascii="仿宋" w:hAnsi="仿宋" w:eastAsia="仿宋" w:cs="仿宋"/>
        </w:rPr>
        <w:t>身份证号码：________________________</w:t>
      </w:r>
    </w:p>
    <w:p>
      <w:pPr>
        <w:snapToGrid w:val="0"/>
        <w:spacing w:line="360" w:lineRule="auto"/>
        <w:rPr>
          <w:rFonts w:ascii="仿宋" w:hAnsi="仿宋" w:eastAsia="仿宋" w:cs="仿宋"/>
          <w:szCs w:val="21"/>
        </w:rPr>
      </w:pPr>
    </w:p>
    <w:p>
      <w:pPr>
        <w:snapToGrid w:val="0"/>
        <w:spacing w:line="360" w:lineRule="auto"/>
        <w:ind w:firstLine="4620" w:firstLineChars="2200"/>
        <w:rPr>
          <w:rFonts w:ascii="仿宋" w:hAnsi="仿宋" w:eastAsia="仿宋" w:cs="仿宋"/>
          <w:szCs w:val="21"/>
        </w:rPr>
      </w:pPr>
      <w:r>
        <w:rPr>
          <w:rFonts w:hint="eastAsia" w:ascii="仿宋" w:hAnsi="仿宋" w:eastAsia="仿宋" w:cs="仿宋"/>
          <w:szCs w:val="21"/>
        </w:rPr>
        <w:t>________年__月__日</w:t>
      </w:r>
    </w:p>
    <w:p>
      <w:pPr>
        <w:snapToGrid w:val="0"/>
        <w:spacing w:line="360" w:lineRule="auto"/>
        <w:rPr>
          <w:rFonts w:ascii="仿宋" w:hAnsi="仿宋" w:eastAsia="仿宋" w:cs="仿宋"/>
          <w:b/>
          <w:bCs/>
          <w:szCs w:val="21"/>
        </w:rPr>
      </w:pPr>
      <w:r>
        <w:rPr>
          <w:rFonts w:hint="eastAsia" w:ascii="仿宋" w:hAnsi="仿宋" w:eastAsia="仿宋" w:cs="仿宋"/>
          <w:b/>
          <w:bCs/>
          <w:szCs w:val="21"/>
        </w:rPr>
        <w:t>注：委托期限不得少于磋商有效期。</w:t>
      </w:r>
    </w:p>
    <w:p>
      <w:pPr>
        <w:snapToGrid w:val="0"/>
        <w:spacing w:line="360" w:lineRule="auto"/>
        <w:rPr>
          <w:rFonts w:ascii="仿宋" w:hAnsi="仿宋" w:eastAsia="仿宋" w:cs="仿宋"/>
          <w:b/>
          <w:bCs/>
          <w:szCs w:val="21"/>
        </w:rPr>
      </w:pPr>
    </w:p>
    <w:p>
      <w:pPr>
        <w:rPr>
          <w:rFonts w:ascii="仿宋" w:hAnsi="仿宋" w:eastAsia="仿宋" w:cs="仿宋"/>
          <w:b/>
          <w:bCs/>
          <w:szCs w:val="21"/>
        </w:rPr>
      </w:pPr>
    </w:p>
    <w:p>
      <w:pPr>
        <w:rPr>
          <w:rFonts w:ascii="仿宋" w:hAnsi="仿宋" w:eastAsia="仿宋" w:cs="仿宋"/>
          <w:b/>
          <w:bCs/>
          <w:szCs w:val="21"/>
        </w:rPr>
      </w:pPr>
    </w:p>
    <w:p>
      <w:pPr>
        <w:rPr>
          <w:rFonts w:ascii="仿宋" w:hAnsi="仿宋" w:eastAsia="仿宋" w:cs="仿宋"/>
          <w:szCs w:val="21"/>
        </w:rPr>
      </w:pPr>
      <w:r>
        <w:rPr>
          <w:rFonts w:hint="eastAsia" w:ascii="仿宋" w:hAnsi="仿宋" w:eastAsia="仿宋" w:cs="仿宋"/>
          <w:b/>
          <w:bCs/>
          <w:szCs w:val="21"/>
        </w:rPr>
        <w:br w:type="page"/>
      </w:r>
    </w:p>
    <w:p>
      <w:pPr>
        <w:rPr>
          <w:rFonts w:ascii="仿宋" w:hAnsi="仿宋" w:eastAsia="仿宋" w:cs="仿宋"/>
          <w:b/>
          <w:bCs/>
          <w:szCs w:val="21"/>
        </w:rPr>
      </w:pPr>
      <w:bookmarkStart w:id="226" w:name="_Toc32835900"/>
      <w:r>
        <w:rPr>
          <w:rFonts w:hint="eastAsia" w:ascii="仿宋" w:hAnsi="仿宋" w:eastAsia="仿宋" w:cs="仿宋"/>
          <w:b/>
          <w:bCs/>
          <w:szCs w:val="21"/>
        </w:rPr>
        <w:t>附件3</w:t>
      </w:r>
      <w:bookmarkEnd w:id="226"/>
      <w:bookmarkStart w:id="227" w:name="_Toc32835901"/>
      <w:bookmarkStart w:id="228" w:name="_Toc411427419"/>
      <w:bookmarkStart w:id="229" w:name="_Toc394334708"/>
      <w:bookmarkStart w:id="230" w:name="_Toc428782251"/>
      <w:bookmarkStart w:id="231" w:name="_Toc394334464"/>
      <w:r>
        <w:rPr>
          <w:rFonts w:hint="eastAsia" w:ascii="仿宋" w:hAnsi="仿宋" w:eastAsia="仿宋" w:cs="仿宋"/>
          <w:b/>
          <w:bCs/>
          <w:szCs w:val="21"/>
        </w:rPr>
        <w:t>资格审查材料</w:t>
      </w:r>
      <w:bookmarkEnd w:id="227"/>
      <w:r>
        <w:rPr>
          <w:rFonts w:hint="eastAsia" w:ascii="仿宋" w:hAnsi="仿宋" w:eastAsia="仿宋" w:cs="仿宋"/>
          <w:b/>
          <w:bCs/>
          <w:szCs w:val="21"/>
        </w:rPr>
        <w:t>格式要求见供应商须知前附表</w:t>
      </w:r>
    </w:p>
    <w:p>
      <w:pPr>
        <w:rPr>
          <w:rFonts w:ascii="仿宋" w:hAnsi="仿宋" w:eastAsia="仿宋" w:cs="仿宋"/>
          <w:b/>
          <w:bCs/>
          <w:szCs w:val="21"/>
        </w:rPr>
      </w:pPr>
    </w:p>
    <w:p>
      <w:pPr>
        <w:rPr>
          <w:rFonts w:ascii="仿宋" w:hAnsi="仿宋" w:eastAsia="仿宋" w:cs="仿宋"/>
          <w:b/>
          <w:szCs w:val="21"/>
        </w:rPr>
      </w:pPr>
      <w:bookmarkStart w:id="232" w:name="_Toc32835902"/>
      <w:r>
        <w:rPr>
          <w:rFonts w:hint="eastAsia" w:ascii="仿宋" w:hAnsi="仿宋" w:eastAsia="仿宋" w:cs="仿宋"/>
          <w:b/>
          <w:szCs w:val="21"/>
        </w:rPr>
        <w:t>附件4</w:t>
      </w:r>
      <w:bookmarkEnd w:id="232"/>
      <w:bookmarkStart w:id="233" w:name="_Toc32835903"/>
      <w:r>
        <w:rPr>
          <w:rFonts w:hint="eastAsia" w:ascii="仿宋" w:hAnsi="仿宋" w:eastAsia="仿宋" w:cs="仿宋"/>
          <w:b/>
          <w:szCs w:val="21"/>
        </w:rPr>
        <w:t xml:space="preserve">  中小企业声明函</w:t>
      </w:r>
      <w:bookmarkEnd w:id="233"/>
    </w:p>
    <w:p>
      <w:pPr>
        <w:rPr>
          <w:rFonts w:ascii="仿宋" w:hAnsi="仿宋" w:eastAsia="仿宋" w:cs="仿宋"/>
          <w:b/>
          <w:szCs w:val="21"/>
        </w:rPr>
      </w:pPr>
    </w:p>
    <w:bookmarkEnd w:id="228"/>
    <w:bookmarkEnd w:id="229"/>
    <w:bookmarkEnd w:id="230"/>
    <w:bookmarkEnd w:id="231"/>
    <w:p>
      <w:pPr>
        <w:pStyle w:val="3"/>
        <w:rPr>
          <w:rFonts w:ascii="仿宋" w:hAnsi="仿宋" w:eastAsia="仿宋" w:cs="仿宋"/>
        </w:rPr>
      </w:pPr>
      <w:bookmarkStart w:id="234" w:name="_Toc31121"/>
      <w:r>
        <w:rPr>
          <w:rFonts w:hint="eastAsia" w:ascii="仿宋" w:hAnsi="仿宋" w:eastAsia="仿宋" w:cs="仿宋"/>
        </w:rPr>
        <w:t>中小企业声明函（工程、服务）</w:t>
      </w:r>
      <w:bookmarkEnd w:id="234"/>
    </w:p>
    <w:p>
      <w:pPr>
        <w:pStyle w:val="24"/>
        <w:spacing w:line="328" w:lineRule="auto"/>
        <w:ind w:right="420" w:firstLine="708"/>
        <w:rPr>
          <w:rFonts w:ascii="仿宋" w:hAnsi="仿宋" w:eastAsia="仿宋" w:cs="仿宋"/>
          <w:spacing w:val="-4"/>
        </w:rPr>
      </w:pPr>
      <w:r>
        <w:rPr>
          <w:rFonts w:hint="eastAsia" w:ascii="仿宋" w:hAnsi="仿宋" w:eastAsia="仿宋" w:cs="仿宋"/>
          <w:spacing w:val="-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pStyle w:val="24"/>
        <w:spacing w:line="328" w:lineRule="auto"/>
        <w:ind w:right="420" w:firstLine="708"/>
        <w:rPr>
          <w:rFonts w:ascii="仿宋" w:hAnsi="仿宋" w:eastAsia="仿宋" w:cs="仿宋"/>
          <w:spacing w:val="-4"/>
        </w:rPr>
      </w:pPr>
      <w:r>
        <w:rPr>
          <w:rFonts w:hint="eastAsia" w:ascii="仿宋" w:hAnsi="仿宋" w:eastAsia="仿宋" w:cs="仿宋"/>
          <w:spacing w:val="-4"/>
        </w:rPr>
        <w:t>（标的名称），属于（采购文件中明确的所属行业）；</w:t>
      </w:r>
    </w:p>
    <w:p>
      <w:pPr>
        <w:pStyle w:val="24"/>
        <w:spacing w:line="328" w:lineRule="auto"/>
        <w:ind w:right="420" w:firstLine="708"/>
        <w:rPr>
          <w:rFonts w:ascii="仿宋" w:hAnsi="仿宋" w:eastAsia="仿宋" w:cs="仿宋"/>
          <w:spacing w:val="-4"/>
        </w:rPr>
      </w:pPr>
      <w:r>
        <w:rPr>
          <w:rFonts w:hint="eastAsia" w:ascii="仿宋" w:hAnsi="仿宋" w:eastAsia="仿宋" w:cs="仿宋"/>
          <w:spacing w:val="-4"/>
        </w:rPr>
        <w:t xml:space="preserve">承建（承接）企业为（企业名称），从业人员 </w:t>
      </w:r>
      <w:r>
        <w:rPr>
          <w:rFonts w:hint="eastAsia" w:ascii="仿宋" w:hAnsi="仿宋" w:eastAsia="仿宋" w:cs="仿宋"/>
          <w:spacing w:val="-4"/>
        </w:rPr>
        <w:tab/>
      </w:r>
      <w:r>
        <w:rPr>
          <w:rFonts w:hint="eastAsia" w:ascii="仿宋" w:hAnsi="仿宋" w:eastAsia="仿宋" w:cs="仿宋"/>
          <w:spacing w:val="-4"/>
        </w:rPr>
        <w:t xml:space="preserve">人，营业收入为 </w:t>
      </w:r>
      <w:r>
        <w:rPr>
          <w:rFonts w:hint="eastAsia" w:ascii="仿宋" w:hAnsi="仿宋" w:eastAsia="仿宋" w:cs="仿宋"/>
          <w:spacing w:val="-4"/>
        </w:rPr>
        <w:tab/>
      </w:r>
      <w:r>
        <w:rPr>
          <w:rFonts w:hint="eastAsia" w:ascii="仿宋" w:hAnsi="仿宋" w:eastAsia="仿宋" w:cs="仿宋"/>
          <w:spacing w:val="-4"/>
        </w:rPr>
        <w:t xml:space="preserve">万元，资产总额为 </w:t>
      </w:r>
      <w:r>
        <w:rPr>
          <w:rFonts w:hint="eastAsia" w:ascii="仿宋" w:hAnsi="仿宋" w:eastAsia="仿宋" w:cs="仿宋"/>
          <w:spacing w:val="-4"/>
        </w:rPr>
        <w:tab/>
      </w:r>
      <w:r>
        <w:rPr>
          <w:rFonts w:hint="eastAsia" w:ascii="仿宋" w:hAnsi="仿宋" w:eastAsia="仿宋" w:cs="仿宋"/>
          <w:spacing w:val="-4"/>
        </w:rPr>
        <w:t>万元</w:t>
      </w:r>
      <w:r>
        <w:fldChar w:fldCharType="begin"/>
      </w:r>
      <w:r>
        <w:instrText xml:space="preserve"> HYPERLINK \l "_bookmark1" </w:instrText>
      </w:r>
      <w:r>
        <w:fldChar w:fldCharType="separate"/>
      </w:r>
      <w:r>
        <w:rPr>
          <w:rFonts w:hint="eastAsia" w:ascii="仿宋" w:hAnsi="仿宋" w:eastAsia="仿宋" w:cs="仿宋"/>
          <w:spacing w:val="-6"/>
          <w:vertAlign w:val="superscript"/>
        </w:rPr>
        <w:t>1</w:t>
      </w:r>
      <w:r>
        <w:rPr>
          <w:rFonts w:hint="eastAsia" w:ascii="仿宋" w:hAnsi="仿宋" w:eastAsia="仿宋" w:cs="仿宋"/>
          <w:spacing w:val="-6"/>
          <w:vertAlign w:val="superscript"/>
        </w:rPr>
        <w:fldChar w:fldCharType="end"/>
      </w:r>
      <w:r>
        <w:rPr>
          <w:rFonts w:hint="eastAsia" w:ascii="仿宋" w:hAnsi="仿宋" w:eastAsia="仿宋" w:cs="仿宋"/>
          <w:spacing w:val="-4"/>
        </w:rPr>
        <w:t>，属于（中型企业、小型企业、微型企业）；</w:t>
      </w:r>
    </w:p>
    <w:p>
      <w:pPr>
        <w:pStyle w:val="24"/>
        <w:spacing w:line="328" w:lineRule="auto"/>
        <w:ind w:right="420" w:firstLine="708"/>
        <w:rPr>
          <w:rFonts w:ascii="仿宋" w:hAnsi="仿宋" w:eastAsia="仿宋" w:cs="仿宋"/>
          <w:spacing w:val="-4"/>
        </w:rPr>
      </w:pPr>
      <w:r>
        <w:rPr>
          <w:rFonts w:hint="eastAsia" w:ascii="仿宋" w:hAnsi="仿宋" w:eastAsia="仿宋" w:cs="仿宋"/>
          <w:spacing w:val="-4"/>
        </w:rPr>
        <w:t xml:space="preserve">（标的名称），属于（采购文件中明确的所属行业）；           承建（承接）企业为（企业名称），从业人员 </w:t>
      </w:r>
      <w:r>
        <w:rPr>
          <w:rFonts w:hint="eastAsia" w:ascii="仿宋" w:hAnsi="仿宋" w:eastAsia="仿宋" w:cs="仿宋"/>
          <w:spacing w:val="-4"/>
        </w:rPr>
        <w:tab/>
      </w:r>
      <w:r>
        <w:rPr>
          <w:rFonts w:hint="eastAsia" w:ascii="仿宋" w:hAnsi="仿宋" w:eastAsia="仿宋" w:cs="仿宋"/>
          <w:spacing w:val="-4"/>
        </w:rPr>
        <w:t xml:space="preserve">人，营业收入为 </w:t>
      </w:r>
      <w:r>
        <w:rPr>
          <w:rFonts w:hint="eastAsia" w:ascii="仿宋" w:hAnsi="仿宋" w:eastAsia="仿宋" w:cs="仿宋"/>
          <w:spacing w:val="-4"/>
        </w:rPr>
        <w:tab/>
      </w:r>
      <w:r>
        <w:rPr>
          <w:rFonts w:hint="eastAsia" w:ascii="仿宋" w:hAnsi="仿宋" w:eastAsia="仿宋" w:cs="仿宋"/>
          <w:spacing w:val="-4"/>
        </w:rPr>
        <w:t xml:space="preserve">万元，资产总额为 </w:t>
      </w:r>
      <w:r>
        <w:rPr>
          <w:rFonts w:hint="eastAsia" w:ascii="仿宋" w:hAnsi="仿宋" w:eastAsia="仿宋" w:cs="仿宋"/>
          <w:spacing w:val="-4"/>
        </w:rPr>
        <w:tab/>
      </w:r>
      <w:r>
        <w:rPr>
          <w:rFonts w:hint="eastAsia" w:ascii="仿宋" w:hAnsi="仿宋" w:eastAsia="仿宋" w:cs="仿宋"/>
          <w:spacing w:val="-4"/>
        </w:rPr>
        <w:t>万元，属于（中型企业、小型企业、微型企业）；</w:t>
      </w:r>
    </w:p>
    <w:p>
      <w:pPr>
        <w:pStyle w:val="24"/>
        <w:spacing w:line="328" w:lineRule="auto"/>
        <w:ind w:right="420" w:firstLine="708"/>
        <w:rPr>
          <w:rFonts w:ascii="仿宋" w:hAnsi="仿宋" w:eastAsia="仿宋" w:cs="仿宋"/>
          <w:spacing w:val="-4"/>
        </w:rPr>
      </w:pPr>
      <w:r>
        <w:rPr>
          <w:rFonts w:hint="eastAsia" w:ascii="仿宋" w:hAnsi="仿宋" w:eastAsia="仿宋" w:cs="仿宋"/>
          <w:spacing w:val="-4"/>
        </w:rPr>
        <w:t>……</w:t>
      </w:r>
    </w:p>
    <w:p>
      <w:pPr>
        <w:pStyle w:val="24"/>
        <w:spacing w:line="328" w:lineRule="auto"/>
        <w:ind w:right="420" w:firstLine="708"/>
        <w:rPr>
          <w:rFonts w:ascii="仿宋" w:hAnsi="仿宋" w:eastAsia="仿宋" w:cs="仿宋"/>
          <w:spacing w:val="-4"/>
        </w:rPr>
      </w:pPr>
      <w:r>
        <w:rPr>
          <w:rFonts w:hint="eastAsia" w:ascii="仿宋" w:hAnsi="仿宋" w:eastAsia="仿宋" w:cs="仿宋"/>
          <w:spacing w:val="-4"/>
        </w:rPr>
        <w:t>以上企业，不属于大企业的分支机构，不存在控股股东为大企业的情形，也不存在与大企业的负责人为同一人的情形。</w:t>
      </w:r>
    </w:p>
    <w:p>
      <w:pPr>
        <w:pStyle w:val="24"/>
        <w:spacing w:line="328" w:lineRule="auto"/>
        <w:ind w:right="420" w:firstLine="708"/>
        <w:rPr>
          <w:rFonts w:ascii="仿宋" w:hAnsi="仿宋" w:eastAsia="仿宋" w:cs="仿宋"/>
          <w:spacing w:val="-4"/>
        </w:rPr>
      </w:pPr>
      <w:r>
        <w:rPr>
          <w:rFonts w:hint="eastAsia" w:ascii="仿宋" w:hAnsi="仿宋" w:eastAsia="仿宋" w:cs="仿宋"/>
          <w:spacing w:val="-4"/>
        </w:rPr>
        <w:t>本企业对上述声明内容的真实性负责。如有虚假，将依法承担相应责任。</w:t>
      </w:r>
    </w:p>
    <w:p>
      <w:pPr>
        <w:pStyle w:val="24"/>
        <w:spacing w:before="29" w:line="316" w:lineRule="auto"/>
        <w:ind w:left="4060" w:right="2166"/>
        <w:rPr>
          <w:rFonts w:ascii="仿宋" w:hAnsi="仿宋" w:eastAsia="仿宋" w:cs="仿宋"/>
          <w:spacing w:val="-8"/>
          <w:w w:val="99"/>
        </w:rPr>
      </w:pPr>
      <w:r>
        <w:rPr>
          <w:rFonts w:hint="eastAsia" w:ascii="仿宋" w:hAnsi="仿宋" w:eastAsia="仿宋" w:cs="仿宋"/>
          <w:w w:val="99"/>
        </w:rPr>
        <w:t>企业名称</w:t>
      </w:r>
      <w:r>
        <w:rPr>
          <w:rFonts w:hint="eastAsia" w:ascii="仿宋" w:hAnsi="仿宋" w:eastAsia="仿宋" w:cs="仿宋"/>
          <w:spacing w:val="2"/>
          <w:w w:val="99"/>
        </w:rPr>
        <w:t>（</w:t>
      </w:r>
      <w:r>
        <w:rPr>
          <w:rFonts w:hint="eastAsia" w:ascii="仿宋" w:hAnsi="仿宋" w:eastAsia="仿宋" w:cs="仿宋"/>
          <w:w w:val="99"/>
        </w:rPr>
        <w:t>盖章</w:t>
      </w:r>
      <w:r>
        <w:rPr>
          <w:rFonts w:hint="eastAsia" w:ascii="仿宋" w:hAnsi="仿宋" w:eastAsia="仿宋" w:cs="仿宋"/>
          <w:spacing w:val="2"/>
          <w:w w:val="99"/>
        </w:rPr>
        <w:t>）：</w:t>
      </w:r>
    </w:p>
    <w:p>
      <w:pPr>
        <w:pStyle w:val="24"/>
        <w:spacing w:before="29" w:line="316" w:lineRule="auto"/>
        <w:ind w:left="4060" w:right="2166"/>
        <w:rPr>
          <w:rFonts w:ascii="仿宋" w:hAnsi="仿宋" w:eastAsia="仿宋" w:cs="仿宋"/>
        </w:rPr>
      </w:pPr>
      <w:r>
        <w:rPr>
          <w:rFonts w:hint="eastAsia" w:ascii="仿宋" w:hAnsi="仿宋" w:eastAsia="仿宋" w:cs="仿宋"/>
          <w:spacing w:val="24"/>
        </w:rPr>
        <w:t>日期：</w:t>
      </w:r>
    </w:p>
    <w:p>
      <w:pPr>
        <w:spacing w:line="360" w:lineRule="auto"/>
        <w:ind w:firstLine="482"/>
        <w:rPr>
          <w:rFonts w:ascii="仿宋" w:hAnsi="仿宋" w:eastAsia="仿宋" w:cs="仿宋"/>
          <w:b/>
          <w:szCs w:val="21"/>
        </w:rPr>
      </w:pPr>
    </w:p>
    <w:p>
      <w:pPr>
        <w:spacing w:line="360" w:lineRule="auto"/>
        <w:ind w:firstLine="482"/>
        <w:rPr>
          <w:rFonts w:ascii="仿宋" w:hAnsi="仿宋" w:eastAsia="仿宋" w:cs="仿宋"/>
          <w:b/>
          <w:szCs w:val="21"/>
        </w:rPr>
      </w:pPr>
    </w:p>
    <w:p>
      <w:pPr>
        <w:spacing w:line="360" w:lineRule="auto"/>
        <w:ind w:firstLine="482"/>
        <w:rPr>
          <w:rFonts w:ascii="仿宋" w:hAnsi="仿宋" w:eastAsia="仿宋" w:cs="仿宋"/>
          <w:b/>
          <w:szCs w:val="21"/>
        </w:rPr>
      </w:pPr>
      <w:r>
        <w:rPr>
          <w:rFonts w:hint="eastAsia" w:ascii="仿宋" w:hAnsi="仿宋" w:eastAsia="仿宋" w:cs="仿宋"/>
          <w:b/>
          <w:sz w:val="24"/>
        </w:rPr>
        <w:t>注：</w:t>
      </w:r>
      <w:r>
        <w:rPr>
          <w:rFonts w:hint="eastAsia" w:ascii="仿宋" w:hAnsi="仿宋" w:eastAsia="仿宋" w:cs="仿宋"/>
          <w:sz w:val="18"/>
        </w:rPr>
        <w:t>从业人员、营业收入、资产总额填报上一年度数据，无上一年度数据的新成立企业可不填报。</w:t>
      </w:r>
    </w:p>
    <w:p>
      <w:pPr>
        <w:rPr>
          <w:rFonts w:ascii="仿宋" w:hAnsi="仿宋" w:eastAsia="仿宋" w:cs="仿宋"/>
          <w:b/>
          <w:szCs w:val="21"/>
        </w:rPr>
      </w:pPr>
    </w:p>
    <w:p>
      <w:pPr>
        <w:rPr>
          <w:rFonts w:ascii="仿宋" w:hAnsi="仿宋" w:eastAsia="仿宋" w:cs="仿宋"/>
          <w:b/>
          <w:szCs w:val="21"/>
        </w:rPr>
      </w:pPr>
    </w:p>
    <w:p>
      <w:pPr>
        <w:rPr>
          <w:rFonts w:ascii="仿宋" w:hAnsi="仿宋" w:eastAsia="仿宋" w:cs="仿宋"/>
          <w:b/>
          <w:szCs w:val="21"/>
        </w:rPr>
      </w:pPr>
      <w:r>
        <w:rPr>
          <w:rFonts w:hint="eastAsia" w:ascii="仿宋" w:hAnsi="仿宋" w:eastAsia="仿宋" w:cs="仿宋"/>
          <w:b/>
          <w:szCs w:val="21"/>
        </w:rPr>
        <w:br w:type="page"/>
      </w:r>
      <w:bookmarkStart w:id="235" w:name="_Toc32835904"/>
      <w:r>
        <w:rPr>
          <w:rFonts w:hint="eastAsia" w:ascii="仿宋" w:hAnsi="仿宋" w:eastAsia="仿宋" w:cs="仿宋"/>
          <w:b/>
          <w:szCs w:val="21"/>
        </w:rPr>
        <w:t>附件5</w:t>
      </w:r>
      <w:bookmarkEnd w:id="235"/>
      <w:bookmarkStart w:id="236" w:name="_Toc32835905"/>
      <w:r>
        <w:rPr>
          <w:rFonts w:hint="eastAsia" w:ascii="仿宋" w:hAnsi="仿宋" w:eastAsia="仿宋" w:cs="仿宋"/>
          <w:b/>
          <w:szCs w:val="21"/>
        </w:rPr>
        <w:t xml:space="preserve">  残疾人福利性单位声明函（非残疾人福利性单位可不附此表）</w:t>
      </w:r>
      <w:bookmarkEnd w:id="236"/>
    </w:p>
    <w:p>
      <w:pPr>
        <w:rPr>
          <w:rFonts w:ascii="仿宋" w:hAnsi="仿宋" w:eastAsia="仿宋" w:cs="仿宋"/>
          <w:b/>
          <w:szCs w:val="21"/>
        </w:rPr>
      </w:pPr>
      <w:bookmarkStart w:id="237" w:name="OLE_LINK13"/>
    </w:p>
    <w:p>
      <w:pPr>
        <w:jc w:val="center"/>
        <w:rPr>
          <w:rFonts w:ascii="仿宋" w:hAnsi="仿宋" w:eastAsia="仿宋" w:cs="仿宋"/>
          <w:b/>
          <w:szCs w:val="21"/>
        </w:rPr>
      </w:pPr>
      <w:r>
        <w:rPr>
          <w:rFonts w:hint="eastAsia" w:ascii="仿宋" w:hAnsi="仿宋" w:eastAsia="仿宋" w:cs="仿宋"/>
          <w:b/>
          <w:szCs w:val="21"/>
        </w:rPr>
        <w:t>残疾人福利性单位声明函</w:t>
      </w:r>
      <w:bookmarkEnd w:id="237"/>
    </w:p>
    <w:p>
      <w:pPr>
        <w:rPr>
          <w:rFonts w:ascii="仿宋" w:hAnsi="仿宋" w:eastAsia="仿宋" w:cs="仿宋"/>
          <w:b/>
          <w:szCs w:val="21"/>
        </w:rPr>
      </w:pP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本单位对上述声明的真实性负责。如有虚假，将依法承担相应责任。</w:t>
      </w:r>
    </w:p>
    <w:p>
      <w:pPr>
        <w:snapToGrid w:val="0"/>
        <w:spacing w:line="360" w:lineRule="auto"/>
        <w:rPr>
          <w:rFonts w:ascii="仿宋" w:hAnsi="仿宋" w:eastAsia="仿宋" w:cs="仿宋"/>
          <w:szCs w:val="21"/>
        </w:rPr>
      </w:pPr>
      <w:r>
        <w:rPr>
          <w:rFonts w:hint="eastAsia" w:ascii="仿宋" w:hAnsi="仿宋" w:eastAsia="仿宋" w:cs="仿宋"/>
          <w:szCs w:val="21"/>
        </w:rPr>
        <w:t> </w:t>
      </w:r>
    </w:p>
    <w:p>
      <w:pPr>
        <w:snapToGrid w:val="0"/>
        <w:spacing w:line="360" w:lineRule="auto"/>
        <w:rPr>
          <w:rFonts w:ascii="仿宋" w:hAnsi="仿宋" w:eastAsia="仿宋" w:cs="仿宋"/>
          <w:szCs w:val="21"/>
        </w:rPr>
      </w:pPr>
      <w:r>
        <w:rPr>
          <w:rFonts w:hint="eastAsia" w:ascii="仿宋" w:hAnsi="仿宋" w:eastAsia="仿宋" w:cs="仿宋"/>
          <w:szCs w:val="21"/>
        </w:rPr>
        <w:t>               单位名称（盖章）：</w:t>
      </w:r>
    </w:p>
    <w:p>
      <w:pPr>
        <w:snapToGrid w:val="0"/>
        <w:spacing w:line="360" w:lineRule="auto"/>
        <w:rPr>
          <w:rFonts w:ascii="仿宋" w:hAnsi="仿宋" w:eastAsia="仿宋" w:cs="仿宋"/>
          <w:szCs w:val="21"/>
        </w:rPr>
      </w:pPr>
      <w:r>
        <w:rPr>
          <w:rFonts w:hint="eastAsia" w:ascii="仿宋" w:hAnsi="仿宋" w:eastAsia="仿宋" w:cs="仿宋"/>
          <w:szCs w:val="21"/>
        </w:rPr>
        <w:t>                               日  期：</w:t>
      </w:r>
    </w:p>
    <w:p>
      <w:pPr>
        <w:rPr>
          <w:rFonts w:ascii="仿宋" w:hAnsi="仿宋" w:eastAsia="仿宋" w:cs="仿宋"/>
          <w:szCs w:val="21"/>
        </w:rPr>
      </w:pPr>
    </w:p>
    <w:p>
      <w:pPr>
        <w:rPr>
          <w:rFonts w:ascii="仿宋" w:hAnsi="仿宋" w:eastAsia="仿宋" w:cs="仿宋"/>
          <w:b/>
          <w:szCs w:val="21"/>
        </w:rPr>
      </w:pPr>
    </w:p>
    <w:p>
      <w:pPr>
        <w:rPr>
          <w:rFonts w:ascii="仿宋" w:hAnsi="仿宋" w:eastAsia="仿宋" w:cs="仿宋"/>
          <w:b/>
          <w:szCs w:val="21"/>
        </w:rPr>
      </w:pPr>
      <w:bookmarkStart w:id="238" w:name="_Toc32835906"/>
      <w:r>
        <w:rPr>
          <w:rFonts w:hint="eastAsia" w:ascii="仿宋" w:hAnsi="仿宋" w:eastAsia="仿宋" w:cs="仿宋"/>
          <w:b/>
          <w:szCs w:val="21"/>
        </w:rPr>
        <w:t>附件6</w:t>
      </w:r>
      <w:bookmarkEnd w:id="238"/>
      <w:bookmarkStart w:id="239" w:name="_Toc32835909"/>
      <w:r>
        <w:rPr>
          <w:rFonts w:hint="eastAsia" w:ascii="仿宋" w:hAnsi="仿宋" w:eastAsia="仿宋" w:cs="仿宋"/>
          <w:b/>
          <w:szCs w:val="21"/>
        </w:rPr>
        <w:t xml:space="preserve">  </w:t>
      </w:r>
      <w:r>
        <w:rPr>
          <w:rFonts w:hint="eastAsia" w:ascii="仿宋" w:hAnsi="仿宋" w:eastAsia="仿宋" w:cs="仿宋"/>
          <w:b/>
          <w:szCs w:val="21"/>
          <w:lang w:val="en-US" w:eastAsia="zh-CN"/>
        </w:rPr>
        <w:t>磋商文件</w:t>
      </w:r>
      <w:r>
        <w:rPr>
          <w:rFonts w:hint="eastAsia" w:ascii="仿宋" w:hAnsi="仿宋" w:eastAsia="仿宋" w:cs="仿宋"/>
          <w:b/>
          <w:szCs w:val="21"/>
        </w:rPr>
        <w:t>要求提供的其他证明材料</w:t>
      </w:r>
      <w:bookmarkEnd w:id="239"/>
    </w:p>
    <w:p>
      <w:pPr>
        <w:rPr>
          <w:rFonts w:ascii="仿宋" w:hAnsi="仿宋" w:eastAsia="仿宋" w:cs="仿宋"/>
          <w:b/>
          <w:szCs w:val="21"/>
        </w:rPr>
      </w:pPr>
    </w:p>
    <w:p>
      <w:pPr>
        <w:rPr>
          <w:rFonts w:ascii="仿宋" w:hAnsi="仿宋" w:eastAsia="仿宋" w:cs="仿宋"/>
          <w:b/>
          <w:szCs w:val="21"/>
        </w:rPr>
      </w:pPr>
    </w:p>
    <w:p>
      <w:pPr>
        <w:rPr>
          <w:rFonts w:ascii="仿宋" w:hAnsi="仿宋" w:eastAsia="仿宋" w:cs="仿宋"/>
          <w:b/>
          <w:szCs w:val="21"/>
        </w:rPr>
      </w:pPr>
      <w:r>
        <w:rPr>
          <w:rFonts w:hint="eastAsia" w:ascii="仿宋" w:hAnsi="仿宋" w:eastAsia="仿宋" w:cs="仿宋"/>
          <w:b/>
          <w:szCs w:val="21"/>
        </w:rPr>
        <w:t>附件7  供应商认为需要提交的其他证明材料</w:t>
      </w:r>
    </w:p>
    <w:p>
      <w:pPr>
        <w:rPr>
          <w:rFonts w:ascii="仿宋" w:hAnsi="仿宋" w:eastAsia="仿宋" w:cs="仿宋"/>
          <w:b/>
          <w:szCs w:val="21"/>
        </w:rPr>
      </w:pPr>
    </w:p>
    <w:p>
      <w:pPr>
        <w:rPr>
          <w:rFonts w:ascii="仿宋" w:hAnsi="仿宋" w:eastAsia="仿宋" w:cs="仿宋"/>
          <w:b/>
          <w:szCs w:val="21"/>
        </w:rPr>
      </w:pPr>
    </w:p>
    <w:sectPr>
      <w:headerReference r:id="rId8" w:type="first"/>
      <w:footerReference r:id="rId10" w:type="first"/>
      <w:footerReference r:id="rId9" w:type="default"/>
      <w:pgSz w:w="11906" w:h="16838"/>
      <w:pgMar w:top="1418" w:right="1304" w:bottom="1418"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00" w:usb3="00000000" w:csb0="003E0000" w:csb1="00000000"/>
  </w:font>
  <w:font w:name="隶书">
    <w:altName w:val="微软雅黑"/>
    <w:panose1 w:val="0201050906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lotte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s?">
    <w:altName w:val="Segoe Print"/>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长城楷体">
    <w:altName w:val="宋体"/>
    <w:panose1 w:val="00000000000000000000"/>
    <w:charset w:val="86"/>
    <w:family w:val="modern"/>
    <w:pitch w:val="default"/>
    <w:sig w:usb0="00000000" w:usb1="00000000" w:usb2="00000010" w:usb3="00000000" w:csb0="00040008" w:csb1="00000000"/>
  </w:font>
  <w:font w:name="长城仿宋">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INMAB J+ Univers">
    <w:altName w:val="宋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昆仑仿宋">
    <w:altName w:val="仿宋"/>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top w:val="single" w:color="auto" w:sz="4" w:space="1"/>
      </w:pBdr>
      <w:jc w:val="center"/>
    </w:pPr>
    <w:r>
      <w:rPr>
        <w:lang w:val="zh-CN"/>
      </w:rPr>
      <w:fldChar w:fldCharType="begin"/>
    </w:r>
    <w:r>
      <w:rPr>
        <w:lang w:val="zh-CN"/>
      </w:rPr>
      <w:instrText xml:space="preserve"> PAGE   \* MERGEFORMAT </w:instrText>
    </w:r>
    <w:r>
      <w:rPr>
        <w:lang w:val="zh-CN"/>
      </w:rPr>
      <w:fldChar w:fldCharType="separate"/>
    </w:r>
    <w:r>
      <w:rPr>
        <w:lang w:val="zh-CN"/>
      </w:rPr>
      <w:t>-</w:t>
    </w:r>
    <w:r>
      <w:t xml:space="preserve"> 37 -</w:t>
    </w:r>
    <w:r>
      <w:fldChar w:fldCharType="end"/>
    </w:r>
  </w:p>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9"/>
                      <w:jc w:val="center"/>
                    </w:pPr>
                  </w:p>
                </w:txbxContent>
              </v:textbox>
            </v:shape>
          </w:pict>
        </mc:Fallback>
      </mc:AlternateContent>
    </w:r>
  </w:p>
  <w:p>
    <w:pPr>
      <w:pStyle w:val="3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- 1 -</w:t>
                    </w:r>
                    <w:r>
                      <w:fldChar w:fldCharType="end"/>
                    </w:r>
                  </w:p>
                </w:txbxContent>
              </v:textbox>
            </v:shape>
          </w:pict>
        </mc:Fallback>
      </mc:AlternateContent>
    </w:r>
  </w:p>
  <w:p>
    <w:pPr>
      <w:pStyle w:val="3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- 27 -</w:t>
                    </w:r>
                    <w:r>
                      <w:fldChar w:fldCharType="end"/>
                    </w:r>
                  </w:p>
                </w:txbxContent>
              </v:textbox>
            </v:shape>
          </w:pict>
        </mc:Fallback>
      </mc:AlternateContent>
    </w:r>
  </w:p>
  <w:p>
    <w:pPr>
      <w:pStyle w:val="3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left"/>
    </w:pPr>
    <w:r>
      <w:rPr>
        <w:rFonts w:hint="eastAsia" w:ascii="宋体" w:hAnsi="宋体"/>
        <w:bCs/>
        <w:szCs w:val="21"/>
      </w:rPr>
      <w:t>安阳市城区饮用水水源地调整替代方案编制项目</w:t>
    </w:r>
    <w:r>
      <w:rPr>
        <w:rFonts w:hint="eastAsia" w:ascii="宋体" w:hAnsi="宋体"/>
        <w:bCs/>
        <w:szCs w:val="21"/>
        <w:lang w:eastAsia="zh-CN"/>
      </w:rPr>
      <w:t>（</w:t>
    </w:r>
    <w:r>
      <w:rPr>
        <w:rFonts w:hint="eastAsia" w:ascii="宋体" w:hAnsi="宋体"/>
        <w:bCs/>
        <w:szCs w:val="21"/>
        <w:lang w:val="en-US" w:eastAsia="zh-CN"/>
      </w:rPr>
      <w:t>二次</w:t>
    </w:r>
    <w:r>
      <w:rPr>
        <w:rFonts w:hint="eastAsia" w:ascii="宋体" w:hAnsi="宋体"/>
        <w:bCs/>
        <w:szCs w:val="21"/>
        <w:lang w:eastAsia="zh-CN"/>
      </w:rPr>
      <w:t>）</w:t>
    </w:r>
    <w:r>
      <w:rPr>
        <w:rFonts w:hint="eastAsia" w:ascii="宋体" w:hAnsi="宋体"/>
        <w:bCs/>
        <w:szCs w:val="21"/>
      </w:rPr>
      <w:t xml:space="preserve">                      </w:t>
    </w:r>
    <w:r>
      <w:rPr>
        <w:rFonts w:hint="eastAsia" w:ascii="宋体" w:hAnsi="宋体"/>
        <w:bCs/>
        <w:szCs w:val="21"/>
        <w:lang w:val="en-US" w:eastAsia="zh-CN"/>
      </w:rPr>
      <w:t xml:space="preserve">            </w:t>
    </w:r>
    <w:r>
      <w:rPr>
        <w:rFonts w:hint="eastAsia" w:ascii="宋体" w:hAnsi="宋体"/>
        <w:bCs/>
        <w:szCs w:val="21"/>
      </w:rPr>
      <w:t xml:space="preserve">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left"/>
    </w:pPr>
    <w:bookmarkStart w:id="240" w:name="_Hlk524992259"/>
    <w:r>
      <w:rPr>
        <w:rFonts w:hint="eastAsia" w:ascii="宋体" w:hAnsi="宋体"/>
        <w:bCs/>
        <w:szCs w:val="21"/>
      </w:rPr>
      <w:t>安阳市城区饮用水水源地调整替代方案编制项目</w:t>
    </w:r>
    <w:bookmarkEnd w:id="240"/>
    <w:r>
      <w:rPr>
        <w:rFonts w:hint="eastAsia" w:ascii="宋体" w:hAnsi="宋体"/>
        <w:bCs/>
        <w:szCs w:val="21"/>
        <w:lang w:eastAsia="zh-CN"/>
      </w:rPr>
      <w:t>（</w:t>
    </w:r>
    <w:r>
      <w:rPr>
        <w:rFonts w:hint="eastAsia" w:ascii="宋体" w:hAnsi="宋体"/>
        <w:bCs/>
        <w:szCs w:val="21"/>
        <w:lang w:val="en-US" w:eastAsia="zh-CN"/>
      </w:rPr>
      <w:t>二次</w:t>
    </w:r>
    <w:r>
      <w:rPr>
        <w:rFonts w:hint="eastAsia" w:ascii="宋体" w:hAnsi="宋体"/>
        <w:bCs/>
        <w:szCs w:val="21"/>
        <w:lang w:eastAsia="zh-CN"/>
      </w:rPr>
      <w:t>）</w:t>
    </w:r>
    <w:r>
      <w:rPr>
        <w:rFonts w:hint="eastAsia" w:ascii="宋体" w:hAnsi="宋体"/>
        <w:bCs/>
        <w:szCs w:val="21"/>
      </w:rPr>
      <w:t xml:space="preserve">                                           磋商文件</w:t>
    </w:r>
  </w:p>
  <w:p>
    <w:pPr>
      <w:pStyle w:val="40"/>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NmUxNDdlZTU3YzZhMjJlNzhjNmJkODk4M2EzYmEifQ=="/>
  </w:docVars>
  <w:rsids>
    <w:rsidRoot w:val="00172A27"/>
    <w:rsid w:val="00000410"/>
    <w:rsid w:val="0000173D"/>
    <w:rsid w:val="00002545"/>
    <w:rsid w:val="00004B32"/>
    <w:rsid w:val="00005621"/>
    <w:rsid w:val="000062E1"/>
    <w:rsid w:val="000066CA"/>
    <w:rsid w:val="0001267D"/>
    <w:rsid w:val="00013100"/>
    <w:rsid w:val="0002037D"/>
    <w:rsid w:val="0002117A"/>
    <w:rsid w:val="00021AD4"/>
    <w:rsid w:val="00021B9D"/>
    <w:rsid w:val="00023ADC"/>
    <w:rsid w:val="000244F4"/>
    <w:rsid w:val="00025872"/>
    <w:rsid w:val="0003118E"/>
    <w:rsid w:val="00031E76"/>
    <w:rsid w:val="000341D7"/>
    <w:rsid w:val="00036A09"/>
    <w:rsid w:val="00036EF2"/>
    <w:rsid w:val="000437F4"/>
    <w:rsid w:val="000463DD"/>
    <w:rsid w:val="00046AC0"/>
    <w:rsid w:val="00047746"/>
    <w:rsid w:val="00047F24"/>
    <w:rsid w:val="0005012D"/>
    <w:rsid w:val="000505CD"/>
    <w:rsid w:val="00050D6C"/>
    <w:rsid w:val="000522C8"/>
    <w:rsid w:val="00052487"/>
    <w:rsid w:val="00052AB2"/>
    <w:rsid w:val="00053CE8"/>
    <w:rsid w:val="0005461F"/>
    <w:rsid w:val="00054A4B"/>
    <w:rsid w:val="0005648E"/>
    <w:rsid w:val="000575E1"/>
    <w:rsid w:val="00063DCD"/>
    <w:rsid w:val="00064563"/>
    <w:rsid w:val="00072610"/>
    <w:rsid w:val="00075F1E"/>
    <w:rsid w:val="00076E90"/>
    <w:rsid w:val="00077C84"/>
    <w:rsid w:val="00081567"/>
    <w:rsid w:val="00083FF6"/>
    <w:rsid w:val="00085684"/>
    <w:rsid w:val="00085EAA"/>
    <w:rsid w:val="00087039"/>
    <w:rsid w:val="0008708E"/>
    <w:rsid w:val="000901DE"/>
    <w:rsid w:val="0009158E"/>
    <w:rsid w:val="00094BAD"/>
    <w:rsid w:val="000974DA"/>
    <w:rsid w:val="000A0CE8"/>
    <w:rsid w:val="000A181C"/>
    <w:rsid w:val="000A1DB1"/>
    <w:rsid w:val="000A256F"/>
    <w:rsid w:val="000A3594"/>
    <w:rsid w:val="000A5217"/>
    <w:rsid w:val="000B4512"/>
    <w:rsid w:val="000B4813"/>
    <w:rsid w:val="000B5DC7"/>
    <w:rsid w:val="000B6742"/>
    <w:rsid w:val="000B6787"/>
    <w:rsid w:val="000C36FA"/>
    <w:rsid w:val="000C49BE"/>
    <w:rsid w:val="000C5340"/>
    <w:rsid w:val="000C6301"/>
    <w:rsid w:val="000C675F"/>
    <w:rsid w:val="000C74CA"/>
    <w:rsid w:val="000D2E9D"/>
    <w:rsid w:val="000D2EE8"/>
    <w:rsid w:val="000D3159"/>
    <w:rsid w:val="000D5D67"/>
    <w:rsid w:val="000D693A"/>
    <w:rsid w:val="000E0F6A"/>
    <w:rsid w:val="000E158A"/>
    <w:rsid w:val="000E1A62"/>
    <w:rsid w:val="000E27A7"/>
    <w:rsid w:val="000E2AB9"/>
    <w:rsid w:val="000E307B"/>
    <w:rsid w:val="000E3426"/>
    <w:rsid w:val="000E7644"/>
    <w:rsid w:val="000F1387"/>
    <w:rsid w:val="000F18A5"/>
    <w:rsid w:val="000F19CA"/>
    <w:rsid w:val="000F1C48"/>
    <w:rsid w:val="000F3559"/>
    <w:rsid w:val="000F38C0"/>
    <w:rsid w:val="000F50A5"/>
    <w:rsid w:val="000F57F4"/>
    <w:rsid w:val="000F645B"/>
    <w:rsid w:val="001005AE"/>
    <w:rsid w:val="00102D26"/>
    <w:rsid w:val="001048FB"/>
    <w:rsid w:val="001056B3"/>
    <w:rsid w:val="001058D1"/>
    <w:rsid w:val="0010662A"/>
    <w:rsid w:val="00107127"/>
    <w:rsid w:val="00112C7A"/>
    <w:rsid w:val="001138F8"/>
    <w:rsid w:val="00113DDF"/>
    <w:rsid w:val="0011520D"/>
    <w:rsid w:val="00115CA5"/>
    <w:rsid w:val="00121A23"/>
    <w:rsid w:val="00121A37"/>
    <w:rsid w:val="0012220E"/>
    <w:rsid w:val="00122545"/>
    <w:rsid w:val="001236B3"/>
    <w:rsid w:val="00125D17"/>
    <w:rsid w:val="00125F86"/>
    <w:rsid w:val="00126E7D"/>
    <w:rsid w:val="001271B9"/>
    <w:rsid w:val="00135F99"/>
    <w:rsid w:val="00141316"/>
    <w:rsid w:val="00141EA7"/>
    <w:rsid w:val="0014483F"/>
    <w:rsid w:val="001466FB"/>
    <w:rsid w:val="00147CAE"/>
    <w:rsid w:val="00150451"/>
    <w:rsid w:val="00155B71"/>
    <w:rsid w:val="0015660C"/>
    <w:rsid w:val="0015727A"/>
    <w:rsid w:val="00157BA1"/>
    <w:rsid w:val="00161C96"/>
    <w:rsid w:val="00162412"/>
    <w:rsid w:val="00166214"/>
    <w:rsid w:val="0016635D"/>
    <w:rsid w:val="00172A27"/>
    <w:rsid w:val="00174F78"/>
    <w:rsid w:val="001753F0"/>
    <w:rsid w:val="00175983"/>
    <w:rsid w:val="00175D66"/>
    <w:rsid w:val="00176316"/>
    <w:rsid w:val="00177ED2"/>
    <w:rsid w:val="00181ACF"/>
    <w:rsid w:val="001844DD"/>
    <w:rsid w:val="0018511A"/>
    <w:rsid w:val="00185CCB"/>
    <w:rsid w:val="00187DED"/>
    <w:rsid w:val="0019038B"/>
    <w:rsid w:val="001909B4"/>
    <w:rsid w:val="00190E72"/>
    <w:rsid w:val="0019126C"/>
    <w:rsid w:val="001919C7"/>
    <w:rsid w:val="001920B2"/>
    <w:rsid w:val="00193B0F"/>
    <w:rsid w:val="00196392"/>
    <w:rsid w:val="0019663D"/>
    <w:rsid w:val="00196678"/>
    <w:rsid w:val="00196C0E"/>
    <w:rsid w:val="00196C89"/>
    <w:rsid w:val="001A0FC0"/>
    <w:rsid w:val="001A2414"/>
    <w:rsid w:val="001A33E6"/>
    <w:rsid w:val="001A39AE"/>
    <w:rsid w:val="001A4216"/>
    <w:rsid w:val="001A5FBE"/>
    <w:rsid w:val="001A638C"/>
    <w:rsid w:val="001A6B5F"/>
    <w:rsid w:val="001B2EA2"/>
    <w:rsid w:val="001B3F9B"/>
    <w:rsid w:val="001B52A0"/>
    <w:rsid w:val="001C1F34"/>
    <w:rsid w:val="001C2389"/>
    <w:rsid w:val="001C2761"/>
    <w:rsid w:val="001C2B24"/>
    <w:rsid w:val="001C2B2B"/>
    <w:rsid w:val="001C3C54"/>
    <w:rsid w:val="001D0ABE"/>
    <w:rsid w:val="001D4799"/>
    <w:rsid w:val="001D4FAF"/>
    <w:rsid w:val="001D6278"/>
    <w:rsid w:val="001D6E17"/>
    <w:rsid w:val="001D6F7C"/>
    <w:rsid w:val="001E0BF1"/>
    <w:rsid w:val="001E1E9F"/>
    <w:rsid w:val="001E3088"/>
    <w:rsid w:val="001E6880"/>
    <w:rsid w:val="001F09DA"/>
    <w:rsid w:val="001F2AFC"/>
    <w:rsid w:val="001F4876"/>
    <w:rsid w:val="001F4B7C"/>
    <w:rsid w:val="001F5280"/>
    <w:rsid w:val="001F5723"/>
    <w:rsid w:val="001F68B9"/>
    <w:rsid w:val="001F7280"/>
    <w:rsid w:val="00200228"/>
    <w:rsid w:val="0020025A"/>
    <w:rsid w:val="00202E01"/>
    <w:rsid w:val="00202F98"/>
    <w:rsid w:val="0020338C"/>
    <w:rsid w:val="00203ECE"/>
    <w:rsid w:val="00205079"/>
    <w:rsid w:val="0020514C"/>
    <w:rsid w:val="00206EA7"/>
    <w:rsid w:val="00207514"/>
    <w:rsid w:val="0021328A"/>
    <w:rsid w:val="00214187"/>
    <w:rsid w:val="00215E03"/>
    <w:rsid w:val="00216045"/>
    <w:rsid w:val="00216652"/>
    <w:rsid w:val="00216E23"/>
    <w:rsid w:val="00217594"/>
    <w:rsid w:val="00217C93"/>
    <w:rsid w:val="0022029B"/>
    <w:rsid w:val="0022077F"/>
    <w:rsid w:val="00220E72"/>
    <w:rsid w:val="00222BA5"/>
    <w:rsid w:val="00222E98"/>
    <w:rsid w:val="00225582"/>
    <w:rsid w:val="00227A47"/>
    <w:rsid w:val="00230BE3"/>
    <w:rsid w:val="00233370"/>
    <w:rsid w:val="00240FFC"/>
    <w:rsid w:val="00242AC8"/>
    <w:rsid w:val="00243E22"/>
    <w:rsid w:val="00243FC4"/>
    <w:rsid w:val="00244221"/>
    <w:rsid w:val="00250940"/>
    <w:rsid w:val="00251335"/>
    <w:rsid w:val="00252581"/>
    <w:rsid w:val="00254DFB"/>
    <w:rsid w:val="002569CB"/>
    <w:rsid w:val="00257FD3"/>
    <w:rsid w:val="002617F2"/>
    <w:rsid w:val="00261B2C"/>
    <w:rsid w:val="0027123A"/>
    <w:rsid w:val="00271A7A"/>
    <w:rsid w:val="00272077"/>
    <w:rsid w:val="002730FB"/>
    <w:rsid w:val="00273591"/>
    <w:rsid w:val="002735B9"/>
    <w:rsid w:val="00277655"/>
    <w:rsid w:val="00280238"/>
    <w:rsid w:val="00282201"/>
    <w:rsid w:val="002828C1"/>
    <w:rsid w:val="002839B0"/>
    <w:rsid w:val="00283BB1"/>
    <w:rsid w:val="0028465C"/>
    <w:rsid w:val="00284774"/>
    <w:rsid w:val="00285717"/>
    <w:rsid w:val="0028724A"/>
    <w:rsid w:val="00287E38"/>
    <w:rsid w:val="00290D21"/>
    <w:rsid w:val="002929C8"/>
    <w:rsid w:val="00296622"/>
    <w:rsid w:val="00296790"/>
    <w:rsid w:val="002A1DE6"/>
    <w:rsid w:val="002A1FEA"/>
    <w:rsid w:val="002A2503"/>
    <w:rsid w:val="002A2D36"/>
    <w:rsid w:val="002A41B4"/>
    <w:rsid w:val="002A5114"/>
    <w:rsid w:val="002A73E1"/>
    <w:rsid w:val="002B0D8F"/>
    <w:rsid w:val="002B185B"/>
    <w:rsid w:val="002B26E4"/>
    <w:rsid w:val="002B274E"/>
    <w:rsid w:val="002B45DF"/>
    <w:rsid w:val="002C148E"/>
    <w:rsid w:val="002C1638"/>
    <w:rsid w:val="002C3BE7"/>
    <w:rsid w:val="002C4422"/>
    <w:rsid w:val="002C56CD"/>
    <w:rsid w:val="002C59CC"/>
    <w:rsid w:val="002D2532"/>
    <w:rsid w:val="002D4E4B"/>
    <w:rsid w:val="002D6F74"/>
    <w:rsid w:val="002E073A"/>
    <w:rsid w:val="002E093A"/>
    <w:rsid w:val="002E1C95"/>
    <w:rsid w:val="002E1E68"/>
    <w:rsid w:val="002E22F7"/>
    <w:rsid w:val="002E3794"/>
    <w:rsid w:val="002E5C32"/>
    <w:rsid w:val="002E6396"/>
    <w:rsid w:val="002E6700"/>
    <w:rsid w:val="002E7C11"/>
    <w:rsid w:val="002F33A7"/>
    <w:rsid w:val="002F76F1"/>
    <w:rsid w:val="003053A3"/>
    <w:rsid w:val="00305EAC"/>
    <w:rsid w:val="003077C8"/>
    <w:rsid w:val="00311B67"/>
    <w:rsid w:val="003154D2"/>
    <w:rsid w:val="00315715"/>
    <w:rsid w:val="00317617"/>
    <w:rsid w:val="00317D50"/>
    <w:rsid w:val="00320B45"/>
    <w:rsid w:val="00321352"/>
    <w:rsid w:val="00321D54"/>
    <w:rsid w:val="0032295D"/>
    <w:rsid w:val="003241D7"/>
    <w:rsid w:val="00324233"/>
    <w:rsid w:val="00324D76"/>
    <w:rsid w:val="003264A3"/>
    <w:rsid w:val="00326E95"/>
    <w:rsid w:val="00333F58"/>
    <w:rsid w:val="00335741"/>
    <w:rsid w:val="00335ABA"/>
    <w:rsid w:val="00341AB6"/>
    <w:rsid w:val="00342715"/>
    <w:rsid w:val="00346782"/>
    <w:rsid w:val="00346988"/>
    <w:rsid w:val="00346991"/>
    <w:rsid w:val="00347A6B"/>
    <w:rsid w:val="003506F7"/>
    <w:rsid w:val="003509C8"/>
    <w:rsid w:val="00353DA9"/>
    <w:rsid w:val="00354C87"/>
    <w:rsid w:val="0035633B"/>
    <w:rsid w:val="003577A2"/>
    <w:rsid w:val="003606AA"/>
    <w:rsid w:val="00360BD3"/>
    <w:rsid w:val="0036263F"/>
    <w:rsid w:val="00374EF3"/>
    <w:rsid w:val="00375760"/>
    <w:rsid w:val="003761ED"/>
    <w:rsid w:val="00377424"/>
    <w:rsid w:val="003808F9"/>
    <w:rsid w:val="00381567"/>
    <w:rsid w:val="00381E17"/>
    <w:rsid w:val="0038252F"/>
    <w:rsid w:val="00384448"/>
    <w:rsid w:val="00384958"/>
    <w:rsid w:val="003853E0"/>
    <w:rsid w:val="00385429"/>
    <w:rsid w:val="00385711"/>
    <w:rsid w:val="00386769"/>
    <w:rsid w:val="0038689F"/>
    <w:rsid w:val="00391576"/>
    <w:rsid w:val="00393E6B"/>
    <w:rsid w:val="00395BF5"/>
    <w:rsid w:val="00395DFC"/>
    <w:rsid w:val="003968B1"/>
    <w:rsid w:val="003972D2"/>
    <w:rsid w:val="00397BD1"/>
    <w:rsid w:val="003A233A"/>
    <w:rsid w:val="003A3169"/>
    <w:rsid w:val="003A5731"/>
    <w:rsid w:val="003A65DA"/>
    <w:rsid w:val="003A745E"/>
    <w:rsid w:val="003A76A5"/>
    <w:rsid w:val="003B00AB"/>
    <w:rsid w:val="003B0580"/>
    <w:rsid w:val="003B0F25"/>
    <w:rsid w:val="003B0FE8"/>
    <w:rsid w:val="003B3EBE"/>
    <w:rsid w:val="003B447A"/>
    <w:rsid w:val="003B667B"/>
    <w:rsid w:val="003C01D7"/>
    <w:rsid w:val="003C069F"/>
    <w:rsid w:val="003C0DE0"/>
    <w:rsid w:val="003C159B"/>
    <w:rsid w:val="003C1AE3"/>
    <w:rsid w:val="003C379D"/>
    <w:rsid w:val="003C3D33"/>
    <w:rsid w:val="003C7434"/>
    <w:rsid w:val="003D2118"/>
    <w:rsid w:val="003D3D8C"/>
    <w:rsid w:val="003D7679"/>
    <w:rsid w:val="003E1E37"/>
    <w:rsid w:val="003E1E59"/>
    <w:rsid w:val="003E2C2F"/>
    <w:rsid w:val="003E47D5"/>
    <w:rsid w:val="003E4AC4"/>
    <w:rsid w:val="003E4DEF"/>
    <w:rsid w:val="003E5ADA"/>
    <w:rsid w:val="003E5B50"/>
    <w:rsid w:val="003E6857"/>
    <w:rsid w:val="003F1F29"/>
    <w:rsid w:val="003F30D7"/>
    <w:rsid w:val="003F3B7E"/>
    <w:rsid w:val="003F4F29"/>
    <w:rsid w:val="00400656"/>
    <w:rsid w:val="00400787"/>
    <w:rsid w:val="00400C22"/>
    <w:rsid w:val="00401E74"/>
    <w:rsid w:val="0040281A"/>
    <w:rsid w:val="004034C5"/>
    <w:rsid w:val="00404A12"/>
    <w:rsid w:val="00407799"/>
    <w:rsid w:val="0041340F"/>
    <w:rsid w:val="004141DA"/>
    <w:rsid w:val="004147B6"/>
    <w:rsid w:val="0041627E"/>
    <w:rsid w:val="00417F20"/>
    <w:rsid w:val="00420D76"/>
    <w:rsid w:val="004224FE"/>
    <w:rsid w:val="0042475E"/>
    <w:rsid w:val="004247F6"/>
    <w:rsid w:val="00425786"/>
    <w:rsid w:val="00431B6B"/>
    <w:rsid w:val="00431BFA"/>
    <w:rsid w:val="004342B6"/>
    <w:rsid w:val="00437005"/>
    <w:rsid w:val="0044035E"/>
    <w:rsid w:val="0044099F"/>
    <w:rsid w:val="004412A5"/>
    <w:rsid w:val="004418A0"/>
    <w:rsid w:val="0044245D"/>
    <w:rsid w:val="004442CE"/>
    <w:rsid w:val="004446AD"/>
    <w:rsid w:val="00450619"/>
    <w:rsid w:val="0045079C"/>
    <w:rsid w:val="00451C82"/>
    <w:rsid w:val="0045261E"/>
    <w:rsid w:val="00452EC4"/>
    <w:rsid w:val="00453B00"/>
    <w:rsid w:val="00453C61"/>
    <w:rsid w:val="0045457C"/>
    <w:rsid w:val="00454730"/>
    <w:rsid w:val="0046170B"/>
    <w:rsid w:val="0046195D"/>
    <w:rsid w:val="004626DD"/>
    <w:rsid w:val="004645E2"/>
    <w:rsid w:val="004720B0"/>
    <w:rsid w:val="00472B60"/>
    <w:rsid w:val="0047644C"/>
    <w:rsid w:val="004777C2"/>
    <w:rsid w:val="004779AC"/>
    <w:rsid w:val="00480C2E"/>
    <w:rsid w:val="00480D45"/>
    <w:rsid w:val="00482910"/>
    <w:rsid w:val="00485C0C"/>
    <w:rsid w:val="00485F27"/>
    <w:rsid w:val="004866DA"/>
    <w:rsid w:val="00491050"/>
    <w:rsid w:val="00492510"/>
    <w:rsid w:val="00493108"/>
    <w:rsid w:val="00494CF3"/>
    <w:rsid w:val="00494FFB"/>
    <w:rsid w:val="0049680F"/>
    <w:rsid w:val="004A0DCB"/>
    <w:rsid w:val="004A151F"/>
    <w:rsid w:val="004A2C4C"/>
    <w:rsid w:val="004A45F1"/>
    <w:rsid w:val="004A5D9A"/>
    <w:rsid w:val="004A6266"/>
    <w:rsid w:val="004A7099"/>
    <w:rsid w:val="004A7646"/>
    <w:rsid w:val="004B01A1"/>
    <w:rsid w:val="004B08A5"/>
    <w:rsid w:val="004B2218"/>
    <w:rsid w:val="004B22C7"/>
    <w:rsid w:val="004B4BDB"/>
    <w:rsid w:val="004C0149"/>
    <w:rsid w:val="004C0FF1"/>
    <w:rsid w:val="004C1A99"/>
    <w:rsid w:val="004C2604"/>
    <w:rsid w:val="004C319A"/>
    <w:rsid w:val="004C44D0"/>
    <w:rsid w:val="004C5A99"/>
    <w:rsid w:val="004C77F1"/>
    <w:rsid w:val="004D1953"/>
    <w:rsid w:val="004D1D1E"/>
    <w:rsid w:val="004D47FC"/>
    <w:rsid w:val="004D523D"/>
    <w:rsid w:val="004D547F"/>
    <w:rsid w:val="004D5CE6"/>
    <w:rsid w:val="004D6069"/>
    <w:rsid w:val="004E18E5"/>
    <w:rsid w:val="004E2D23"/>
    <w:rsid w:val="004E3BD6"/>
    <w:rsid w:val="004E437F"/>
    <w:rsid w:val="004E4505"/>
    <w:rsid w:val="004E53FC"/>
    <w:rsid w:val="004F0A72"/>
    <w:rsid w:val="004F1C26"/>
    <w:rsid w:val="004F20FE"/>
    <w:rsid w:val="004F56CB"/>
    <w:rsid w:val="004F6E83"/>
    <w:rsid w:val="005029DB"/>
    <w:rsid w:val="00512C62"/>
    <w:rsid w:val="0051652D"/>
    <w:rsid w:val="005165B0"/>
    <w:rsid w:val="00516D7D"/>
    <w:rsid w:val="0051704B"/>
    <w:rsid w:val="005201BA"/>
    <w:rsid w:val="00522DDC"/>
    <w:rsid w:val="005249BC"/>
    <w:rsid w:val="00525801"/>
    <w:rsid w:val="00527764"/>
    <w:rsid w:val="005306D7"/>
    <w:rsid w:val="00530C25"/>
    <w:rsid w:val="00531382"/>
    <w:rsid w:val="005409C3"/>
    <w:rsid w:val="00541A03"/>
    <w:rsid w:val="00541B3D"/>
    <w:rsid w:val="005430E4"/>
    <w:rsid w:val="0054362D"/>
    <w:rsid w:val="00543D95"/>
    <w:rsid w:val="005449CE"/>
    <w:rsid w:val="005461A6"/>
    <w:rsid w:val="00546AD0"/>
    <w:rsid w:val="00546F36"/>
    <w:rsid w:val="00551674"/>
    <w:rsid w:val="00554B7C"/>
    <w:rsid w:val="00554FE3"/>
    <w:rsid w:val="005557F0"/>
    <w:rsid w:val="00557C25"/>
    <w:rsid w:val="00560BE4"/>
    <w:rsid w:val="00564563"/>
    <w:rsid w:val="0057035A"/>
    <w:rsid w:val="00570731"/>
    <w:rsid w:val="005710D2"/>
    <w:rsid w:val="00571FF4"/>
    <w:rsid w:val="00572A30"/>
    <w:rsid w:val="0057520A"/>
    <w:rsid w:val="00577593"/>
    <w:rsid w:val="00582580"/>
    <w:rsid w:val="00583676"/>
    <w:rsid w:val="00583AAB"/>
    <w:rsid w:val="0059037C"/>
    <w:rsid w:val="00591B31"/>
    <w:rsid w:val="005926C3"/>
    <w:rsid w:val="00592D9C"/>
    <w:rsid w:val="0059409F"/>
    <w:rsid w:val="00594686"/>
    <w:rsid w:val="00594989"/>
    <w:rsid w:val="0059558E"/>
    <w:rsid w:val="005A0A69"/>
    <w:rsid w:val="005A22F0"/>
    <w:rsid w:val="005A2B5E"/>
    <w:rsid w:val="005A4352"/>
    <w:rsid w:val="005A69F2"/>
    <w:rsid w:val="005B038A"/>
    <w:rsid w:val="005B05DE"/>
    <w:rsid w:val="005B29F8"/>
    <w:rsid w:val="005B2A56"/>
    <w:rsid w:val="005B3CA9"/>
    <w:rsid w:val="005B592A"/>
    <w:rsid w:val="005B5D59"/>
    <w:rsid w:val="005C2543"/>
    <w:rsid w:val="005C34BE"/>
    <w:rsid w:val="005C4E1F"/>
    <w:rsid w:val="005C61DF"/>
    <w:rsid w:val="005C689C"/>
    <w:rsid w:val="005D0CE1"/>
    <w:rsid w:val="005D227E"/>
    <w:rsid w:val="005D3801"/>
    <w:rsid w:val="005D588B"/>
    <w:rsid w:val="005E1E93"/>
    <w:rsid w:val="005E2B65"/>
    <w:rsid w:val="005E5D62"/>
    <w:rsid w:val="005F3F01"/>
    <w:rsid w:val="005F41F5"/>
    <w:rsid w:val="006007F7"/>
    <w:rsid w:val="006013FD"/>
    <w:rsid w:val="006015F5"/>
    <w:rsid w:val="0060448D"/>
    <w:rsid w:val="006115DD"/>
    <w:rsid w:val="00611BBF"/>
    <w:rsid w:val="00612BB3"/>
    <w:rsid w:val="00613182"/>
    <w:rsid w:val="0061596E"/>
    <w:rsid w:val="00616D53"/>
    <w:rsid w:val="006209DB"/>
    <w:rsid w:val="00621FA0"/>
    <w:rsid w:val="00622D9A"/>
    <w:rsid w:val="0062384F"/>
    <w:rsid w:val="006248A7"/>
    <w:rsid w:val="006318E3"/>
    <w:rsid w:val="00633340"/>
    <w:rsid w:val="006346D4"/>
    <w:rsid w:val="0063645A"/>
    <w:rsid w:val="00637369"/>
    <w:rsid w:val="0064044F"/>
    <w:rsid w:val="006407A0"/>
    <w:rsid w:val="00641B0F"/>
    <w:rsid w:val="00642921"/>
    <w:rsid w:val="00643143"/>
    <w:rsid w:val="00643315"/>
    <w:rsid w:val="00644E4B"/>
    <w:rsid w:val="00646B5F"/>
    <w:rsid w:val="00652ACB"/>
    <w:rsid w:val="00652CB8"/>
    <w:rsid w:val="00652F54"/>
    <w:rsid w:val="00655858"/>
    <w:rsid w:val="00661BBC"/>
    <w:rsid w:val="00667D9C"/>
    <w:rsid w:val="00673DAB"/>
    <w:rsid w:val="006741A3"/>
    <w:rsid w:val="006764D8"/>
    <w:rsid w:val="00677246"/>
    <w:rsid w:val="00680380"/>
    <w:rsid w:val="00682F13"/>
    <w:rsid w:val="0068773C"/>
    <w:rsid w:val="00690495"/>
    <w:rsid w:val="006905EB"/>
    <w:rsid w:val="006914F2"/>
    <w:rsid w:val="00691740"/>
    <w:rsid w:val="006929F6"/>
    <w:rsid w:val="006932AB"/>
    <w:rsid w:val="006938F6"/>
    <w:rsid w:val="00694ADD"/>
    <w:rsid w:val="00696010"/>
    <w:rsid w:val="00696642"/>
    <w:rsid w:val="006A4400"/>
    <w:rsid w:val="006A5D62"/>
    <w:rsid w:val="006A5DEB"/>
    <w:rsid w:val="006A6CAB"/>
    <w:rsid w:val="006A742E"/>
    <w:rsid w:val="006A7C6F"/>
    <w:rsid w:val="006B083C"/>
    <w:rsid w:val="006B0C8A"/>
    <w:rsid w:val="006B2338"/>
    <w:rsid w:val="006B3724"/>
    <w:rsid w:val="006B3D3D"/>
    <w:rsid w:val="006B7BE9"/>
    <w:rsid w:val="006C1BDE"/>
    <w:rsid w:val="006C4D69"/>
    <w:rsid w:val="006C50E1"/>
    <w:rsid w:val="006C641C"/>
    <w:rsid w:val="006D135A"/>
    <w:rsid w:val="006D2A01"/>
    <w:rsid w:val="006E234D"/>
    <w:rsid w:val="006E2875"/>
    <w:rsid w:val="006E40EC"/>
    <w:rsid w:val="006E5095"/>
    <w:rsid w:val="006E7715"/>
    <w:rsid w:val="006F020B"/>
    <w:rsid w:val="006F0840"/>
    <w:rsid w:val="006F0D31"/>
    <w:rsid w:val="006F1B6A"/>
    <w:rsid w:val="006F25CB"/>
    <w:rsid w:val="006F68CC"/>
    <w:rsid w:val="006F7FB1"/>
    <w:rsid w:val="006F7FC9"/>
    <w:rsid w:val="0070035D"/>
    <w:rsid w:val="007003C2"/>
    <w:rsid w:val="00702A87"/>
    <w:rsid w:val="00702B0D"/>
    <w:rsid w:val="0070440E"/>
    <w:rsid w:val="00704BE2"/>
    <w:rsid w:val="0070736C"/>
    <w:rsid w:val="00714F88"/>
    <w:rsid w:val="0071705E"/>
    <w:rsid w:val="00717CF7"/>
    <w:rsid w:val="00720590"/>
    <w:rsid w:val="00721235"/>
    <w:rsid w:val="00722131"/>
    <w:rsid w:val="007247A6"/>
    <w:rsid w:val="007248EE"/>
    <w:rsid w:val="00725A2D"/>
    <w:rsid w:val="00730375"/>
    <w:rsid w:val="00732AD8"/>
    <w:rsid w:val="007336F7"/>
    <w:rsid w:val="007337D6"/>
    <w:rsid w:val="00735044"/>
    <w:rsid w:val="00736DDE"/>
    <w:rsid w:val="007412E4"/>
    <w:rsid w:val="007413A6"/>
    <w:rsid w:val="00744039"/>
    <w:rsid w:val="00745F9D"/>
    <w:rsid w:val="00747F27"/>
    <w:rsid w:val="00750AF5"/>
    <w:rsid w:val="0075110C"/>
    <w:rsid w:val="007520DB"/>
    <w:rsid w:val="0075231F"/>
    <w:rsid w:val="00752390"/>
    <w:rsid w:val="00752AEB"/>
    <w:rsid w:val="007538E2"/>
    <w:rsid w:val="0075499A"/>
    <w:rsid w:val="0076027E"/>
    <w:rsid w:val="0076282F"/>
    <w:rsid w:val="00763882"/>
    <w:rsid w:val="0076559F"/>
    <w:rsid w:val="00767B83"/>
    <w:rsid w:val="00767F12"/>
    <w:rsid w:val="00770F03"/>
    <w:rsid w:val="00771A2E"/>
    <w:rsid w:val="00771EA4"/>
    <w:rsid w:val="00774F6A"/>
    <w:rsid w:val="00775681"/>
    <w:rsid w:val="00775B48"/>
    <w:rsid w:val="00776B81"/>
    <w:rsid w:val="00780E70"/>
    <w:rsid w:val="007815E3"/>
    <w:rsid w:val="007820A5"/>
    <w:rsid w:val="007850D9"/>
    <w:rsid w:val="0078638F"/>
    <w:rsid w:val="0078646B"/>
    <w:rsid w:val="007870C9"/>
    <w:rsid w:val="007920E1"/>
    <w:rsid w:val="0079248E"/>
    <w:rsid w:val="00793409"/>
    <w:rsid w:val="00793633"/>
    <w:rsid w:val="007947B3"/>
    <w:rsid w:val="00794C95"/>
    <w:rsid w:val="00795063"/>
    <w:rsid w:val="00795480"/>
    <w:rsid w:val="007962F1"/>
    <w:rsid w:val="00797391"/>
    <w:rsid w:val="007A26A6"/>
    <w:rsid w:val="007A2B98"/>
    <w:rsid w:val="007A516F"/>
    <w:rsid w:val="007A61AA"/>
    <w:rsid w:val="007B024F"/>
    <w:rsid w:val="007B0554"/>
    <w:rsid w:val="007B1444"/>
    <w:rsid w:val="007B1BAE"/>
    <w:rsid w:val="007B1E94"/>
    <w:rsid w:val="007B2AD4"/>
    <w:rsid w:val="007B381F"/>
    <w:rsid w:val="007B400C"/>
    <w:rsid w:val="007B47D4"/>
    <w:rsid w:val="007B5526"/>
    <w:rsid w:val="007B5A3E"/>
    <w:rsid w:val="007B5B57"/>
    <w:rsid w:val="007C0BDA"/>
    <w:rsid w:val="007C3D3A"/>
    <w:rsid w:val="007C4E23"/>
    <w:rsid w:val="007C7783"/>
    <w:rsid w:val="007D0707"/>
    <w:rsid w:val="007D346B"/>
    <w:rsid w:val="007D4AA8"/>
    <w:rsid w:val="007D4ABA"/>
    <w:rsid w:val="007D5BBB"/>
    <w:rsid w:val="007D6836"/>
    <w:rsid w:val="007D6E4F"/>
    <w:rsid w:val="007D7D6C"/>
    <w:rsid w:val="007E043C"/>
    <w:rsid w:val="007E1250"/>
    <w:rsid w:val="007E15FE"/>
    <w:rsid w:val="007E2137"/>
    <w:rsid w:val="007E2A14"/>
    <w:rsid w:val="007E3AA8"/>
    <w:rsid w:val="007E4EF9"/>
    <w:rsid w:val="007E51C5"/>
    <w:rsid w:val="007F0FD6"/>
    <w:rsid w:val="007F1DDC"/>
    <w:rsid w:val="007F3A4D"/>
    <w:rsid w:val="007F4FEB"/>
    <w:rsid w:val="007F6085"/>
    <w:rsid w:val="007F6873"/>
    <w:rsid w:val="007F6C8D"/>
    <w:rsid w:val="007F6D5D"/>
    <w:rsid w:val="007F71B3"/>
    <w:rsid w:val="00805177"/>
    <w:rsid w:val="00805F88"/>
    <w:rsid w:val="00811C25"/>
    <w:rsid w:val="008151A5"/>
    <w:rsid w:val="00815F69"/>
    <w:rsid w:val="0082284A"/>
    <w:rsid w:val="0082291C"/>
    <w:rsid w:val="008244A5"/>
    <w:rsid w:val="008251E9"/>
    <w:rsid w:val="00826080"/>
    <w:rsid w:val="008266BD"/>
    <w:rsid w:val="00826B3F"/>
    <w:rsid w:val="00826FAE"/>
    <w:rsid w:val="008302B7"/>
    <w:rsid w:val="00830815"/>
    <w:rsid w:val="0083147C"/>
    <w:rsid w:val="008317CA"/>
    <w:rsid w:val="00832E60"/>
    <w:rsid w:val="00833C63"/>
    <w:rsid w:val="008372E0"/>
    <w:rsid w:val="008379B2"/>
    <w:rsid w:val="008403B4"/>
    <w:rsid w:val="0084366B"/>
    <w:rsid w:val="00846B33"/>
    <w:rsid w:val="00850982"/>
    <w:rsid w:val="00850C67"/>
    <w:rsid w:val="008517DF"/>
    <w:rsid w:val="008537BB"/>
    <w:rsid w:val="00853BE1"/>
    <w:rsid w:val="0086181C"/>
    <w:rsid w:val="00862869"/>
    <w:rsid w:val="0086405D"/>
    <w:rsid w:val="00864E62"/>
    <w:rsid w:val="00865F8F"/>
    <w:rsid w:val="00866133"/>
    <w:rsid w:val="008671DE"/>
    <w:rsid w:val="00867391"/>
    <w:rsid w:val="0086765D"/>
    <w:rsid w:val="00870353"/>
    <w:rsid w:val="00870ABA"/>
    <w:rsid w:val="00871153"/>
    <w:rsid w:val="00872A28"/>
    <w:rsid w:val="00873134"/>
    <w:rsid w:val="008738B6"/>
    <w:rsid w:val="0087543F"/>
    <w:rsid w:val="00876DEF"/>
    <w:rsid w:val="00877959"/>
    <w:rsid w:val="008806BC"/>
    <w:rsid w:val="00881537"/>
    <w:rsid w:val="00883898"/>
    <w:rsid w:val="008842E8"/>
    <w:rsid w:val="0088483F"/>
    <w:rsid w:val="00886F5D"/>
    <w:rsid w:val="00887514"/>
    <w:rsid w:val="00887D36"/>
    <w:rsid w:val="008908C9"/>
    <w:rsid w:val="00890B1E"/>
    <w:rsid w:val="00894415"/>
    <w:rsid w:val="00897019"/>
    <w:rsid w:val="008976C5"/>
    <w:rsid w:val="00897F1E"/>
    <w:rsid w:val="008A18D4"/>
    <w:rsid w:val="008A55AA"/>
    <w:rsid w:val="008A57BE"/>
    <w:rsid w:val="008A57ED"/>
    <w:rsid w:val="008A66D2"/>
    <w:rsid w:val="008B032D"/>
    <w:rsid w:val="008B0F68"/>
    <w:rsid w:val="008B1A7B"/>
    <w:rsid w:val="008B1BC2"/>
    <w:rsid w:val="008B33B3"/>
    <w:rsid w:val="008B3FF9"/>
    <w:rsid w:val="008B42A1"/>
    <w:rsid w:val="008B4EA8"/>
    <w:rsid w:val="008B7528"/>
    <w:rsid w:val="008C0782"/>
    <w:rsid w:val="008C328A"/>
    <w:rsid w:val="008C3B6F"/>
    <w:rsid w:val="008C437F"/>
    <w:rsid w:val="008C6B72"/>
    <w:rsid w:val="008D007D"/>
    <w:rsid w:val="008D037E"/>
    <w:rsid w:val="008D2BF5"/>
    <w:rsid w:val="008D5F41"/>
    <w:rsid w:val="008D746D"/>
    <w:rsid w:val="008E1E6A"/>
    <w:rsid w:val="008E5E99"/>
    <w:rsid w:val="008F0F12"/>
    <w:rsid w:val="008F4DDC"/>
    <w:rsid w:val="008F5C52"/>
    <w:rsid w:val="008F5E53"/>
    <w:rsid w:val="00901827"/>
    <w:rsid w:val="0090194E"/>
    <w:rsid w:val="009022E3"/>
    <w:rsid w:val="009029A8"/>
    <w:rsid w:val="00903656"/>
    <w:rsid w:val="00904B74"/>
    <w:rsid w:val="00904FF4"/>
    <w:rsid w:val="00905D4E"/>
    <w:rsid w:val="00906068"/>
    <w:rsid w:val="0091014D"/>
    <w:rsid w:val="00914CFE"/>
    <w:rsid w:val="00917604"/>
    <w:rsid w:val="00917ED8"/>
    <w:rsid w:val="00921C80"/>
    <w:rsid w:val="0092395F"/>
    <w:rsid w:val="009239CA"/>
    <w:rsid w:val="00931108"/>
    <w:rsid w:val="00932EFD"/>
    <w:rsid w:val="009344B8"/>
    <w:rsid w:val="0093524D"/>
    <w:rsid w:val="00935ED0"/>
    <w:rsid w:val="0093603F"/>
    <w:rsid w:val="00937F1B"/>
    <w:rsid w:val="00940D06"/>
    <w:rsid w:val="009413F1"/>
    <w:rsid w:val="009421D4"/>
    <w:rsid w:val="0094234B"/>
    <w:rsid w:val="009426EC"/>
    <w:rsid w:val="00942B9D"/>
    <w:rsid w:val="00944A80"/>
    <w:rsid w:val="009469EF"/>
    <w:rsid w:val="0095027B"/>
    <w:rsid w:val="00951687"/>
    <w:rsid w:val="00951852"/>
    <w:rsid w:val="0095305D"/>
    <w:rsid w:val="009543B3"/>
    <w:rsid w:val="00955A74"/>
    <w:rsid w:val="0095716F"/>
    <w:rsid w:val="00961F37"/>
    <w:rsid w:val="00963175"/>
    <w:rsid w:val="00964E6C"/>
    <w:rsid w:val="00970AA1"/>
    <w:rsid w:val="00971F90"/>
    <w:rsid w:val="00972D33"/>
    <w:rsid w:val="00973A53"/>
    <w:rsid w:val="00973D41"/>
    <w:rsid w:val="009748CE"/>
    <w:rsid w:val="0097620E"/>
    <w:rsid w:val="00976D96"/>
    <w:rsid w:val="0097723C"/>
    <w:rsid w:val="009777D2"/>
    <w:rsid w:val="00983B23"/>
    <w:rsid w:val="00985AAD"/>
    <w:rsid w:val="00990D7F"/>
    <w:rsid w:val="009911B0"/>
    <w:rsid w:val="00992FE1"/>
    <w:rsid w:val="00993025"/>
    <w:rsid w:val="00993218"/>
    <w:rsid w:val="0099363F"/>
    <w:rsid w:val="00996AAC"/>
    <w:rsid w:val="00997C8F"/>
    <w:rsid w:val="00997D0F"/>
    <w:rsid w:val="00997FCA"/>
    <w:rsid w:val="009A1544"/>
    <w:rsid w:val="009A1CEC"/>
    <w:rsid w:val="009A1D29"/>
    <w:rsid w:val="009A1DF7"/>
    <w:rsid w:val="009A2269"/>
    <w:rsid w:val="009A29DF"/>
    <w:rsid w:val="009A4C13"/>
    <w:rsid w:val="009B1EB2"/>
    <w:rsid w:val="009B458A"/>
    <w:rsid w:val="009B4D20"/>
    <w:rsid w:val="009B4F08"/>
    <w:rsid w:val="009B6B3A"/>
    <w:rsid w:val="009C0D08"/>
    <w:rsid w:val="009C35C1"/>
    <w:rsid w:val="009C3FCA"/>
    <w:rsid w:val="009C440A"/>
    <w:rsid w:val="009C49E7"/>
    <w:rsid w:val="009C5F51"/>
    <w:rsid w:val="009C6A84"/>
    <w:rsid w:val="009C7D29"/>
    <w:rsid w:val="009C7E04"/>
    <w:rsid w:val="009D20C3"/>
    <w:rsid w:val="009D2EC0"/>
    <w:rsid w:val="009D3BBE"/>
    <w:rsid w:val="009E02E8"/>
    <w:rsid w:val="009E24BD"/>
    <w:rsid w:val="009E297A"/>
    <w:rsid w:val="009E75A7"/>
    <w:rsid w:val="009E762C"/>
    <w:rsid w:val="009E79D6"/>
    <w:rsid w:val="009F30FB"/>
    <w:rsid w:val="009F378E"/>
    <w:rsid w:val="009F3EC4"/>
    <w:rsid w:val="009F7291"/>
    <w:rsid w:val="009F7719"/>
    <w:rsid w:val="00A01548"/>
    <w:rsid w:val="00A01614"/>
    <w:rsid w:val="00A0292F"/>
    <w:rsid w:val="00A03923"/>
    <w:rsid w:val="00A03BC9"/>
    <w:rsid w:val="00A0557B"/>
    <w:rsid w:val="00A06549"/>
    <w:rsid w:val="00A114AE"/>
    <w:rsid w:val="00A1473F"/>
    <w:rsid w:val="00A151CB"/>
    <w:rsid w:val="00A17171"/>
    <w:rsid w:val="00A22B25"/>
    <w:rsid w:val="00A235AD"/>
    <w:rsid w:val="00A24394"/>
    <w:rsid w:val="00A25147"/>
    <w:rsid w:val="00A25566"/>
    <w:rsid w:val="00A31A3F"/>
    <w:rsid w:val="00A31D64"/>
    <w:rsid w:val="00A3287A"/>
    <w:rsid w:val="00A34AFF"/>
    <w:rsid w:val="00A35B2E"/>
    <w:rsid w:val="00A37679"/>
    <w:rsid w:val="00A400CD"/>
    <w:rsid w:val="00A40139"/>
    <w:rsid w:val="00A40DBF"/>
    <w:rsid w:val="00A4167B"/>
    <w:rsid w:val="00A469E8"/>
    <w:rsid w:val="00A51A46"/>
    <w:rsid w:val="00A51B2F"/>
    <w:rsid w:val="00A5288C"/>
    <w:rsid w:val="00A537E4"/>
    <w:rsid w:val="00A53C38"/>
    <w:rsid w:val="00A53F68"/>
    <w:rsid w:val="00A57A50"/>
    <w:rsid w:val="00A60575"/>
    <w:rsid w:val="00A60EF4"/>
    <w:rsid w:val="00A60FEF"/>
    <w:rsid w:val="00A61475"/>
    <w:rsid w:val="00A62170"/>
    <w:rsid w:val="00A622FA"/>
    <w:rsid w:val="00A62E38"/>
    <w:rsid w:val="00A63DCF"/>
    <w:rsid w:val="00A63DF5"/>
    <w:rsid w:val="00A66877"/>
    <w:rsid w:val="00A66CB8"/>
    <w:rsid w:val="00A671D6"/>
    <w:rsid w:val="00A718FD"/>
    <w:rsid w:val="00A741A1"/>
    <w:rsid w:val="00A76EC4"/>
    <w:rsid w:val="00A82627"/>
    <w:rsid w:val="00A83811"/>
    <w:rsid w:val="00A8528E"/>
    <w:rsid w:val="00A90404"/>
    <w:rsid w:val="00A90DA9"/>
    <w:rsid w:val="00A947C5"/>
    <w:rsid w:val="00A954B8"/>
    <w:rsid w:val="00AA1ECB"/>
    <w:rsid w:val="00AA3B20"/>
    <w:rsid w:val="00AA5E2E"/>
    <w:rsid w:val="00AB0855"/>
    <w:rsid w:val="00AB383B"/>
    <w:rsid w:val="00AB4198"/>
    <w:rsid w:val="00AB4479"/>
    <w:rsid w:val="00AB5175"/>
    <w:rsid w:val="00AB79AB"/>
    <w:rsid w:val="00AC31D9"/>
    <w:rsid w:val="00AC32D4"/>
    <w:rsid w:val="00AC3E97"/>
    <w:rsid w:val="00AC4821"/>
    <w:rsid w:val="00AC55EA"/>
    <w:rsid w:val="00AC6473"/>
    <w:rsid w:val="00AC769E"/>
    <w:rsid w:val="00AC7D9B"/>
    <w:rsid w:val="00AD202A"/>
    <w:rsid w:val="00AD25BC"/>
    <w:rsid w:val="00AD4B7F"/>
    <w:rsid w:val="00AD5705"/>
    <w:rsid w:val="00AD61B7"/>
    <w:rsid w:val="00AD688F"/>
    <w:rsid w:val="00AD6A28"/>
    <w:rsid w:val="00AE0963"/>
    <w:rsid w:val="00AE0D4C"/>
    <w:rsid w:val="00AE37E9"/>
    <w:rsid w:val="00AF00F4"/>
    <w:rsid w:val="00AF098A"/>
    <w:rsid w:val="00AF0B9B"/>
    <w:rsid w:val="00AF1A42"/>
    <w:rsid w:val="00AF1E63"/>
    <w:rsid w:val="00AF2077"/>
    <w:rsid w:val="00AF5B1D"/>
    <w:rsid w:val="00AF7EDE"/>
    <w:rsid w:val="00B019BE"/>
    <w:rsid w:val="00B025A8"/>
    <w:rsid w:val="00B03B4A"/>
    <w:rsid w:val="00B057B8"/>
    <w:rsid w:val="00B06717"/>
    <w:rsid w:val="00B06BA7"/>
    <w:rsid w:val="00B101C4"/>
    <w:rsid w:val="00B14223"/>
    <w:rsid w:val="00B15F35"/>
    <w:rsid w:val="00B1709C"/>
    <w:rsid w:val="00B20B05"/>
    <w:rsid w:val="00B20C4C"/>
    <w:rsid w:val="00B21386"/>
    <w:rsid w:val="00B227FE"/>
    <w:rsid w:val="00B23496"/>
    <w:rsid w:val="00B276F7"/>
    <w:rsid w:val="00B31A87"/>
    <w:rsid w:val="00B32D39"/>
    <w:rsid w:val="00B33A61"/>
    <w:rsid w:val="00B34F28"/>
    <w:rsid w:val="00B35216"/>
    <w:rsid w:val="00B36ED9"/>
    <w:rsid w:val="00B40CAD"/>
    <w:rsid w:val="00B42980"/>
    <w:rsid w:val="00B42D1C"/>
    <w:rsid w:val="00B45AE8"/>
    <w:rsid w:val="00B5083C"/>
    <w:rsid w:val="00B50EE9"/>
    <w:rsid w:val="00B51486"/>
    <w:rsid w:val="00B530B4"/>
    <w:rsid w:val="00B5389D"/>
    <w:rsid w:val="00B551FC"/>
    <w:rsid w:val="00B554A4"/>
    <w:rsid w:val="00B5673F"/>
    <w:rsid w:val="00B61CEC"/>
    <w:rsid w:val="00B652DB"/>
    <w:rsid w:val="00B70A81"/>
    <w:rsid w:val="00B717E2"/>
    <w:rsid w:val="00B74453"/>
    <w:rsid w:val="00B7523E"/>
    <w:rsid w:val="00B75307"/>
    <w:rsid w:val="00B77450"/>
    <w:rsid w:val="00B8138C"/>
    <w:rsid w:val="00B91570"/>
    <w:rsid w:val="00B91789"/>
    <w:rsid w:val="00B9587C"/>
    <w:rsid w:val="00B959C2"/>
    <w:rsid w:val="00B975A3"/>
    <w:rsid w:val="00BA10F3"/>
    <w:rsid w:val="00BA1603"/>
    <w:rsid w:val="00BA2F0F"/>
    <w:rsid w:val="00BA30BB"/>
    <w:rsid w:val="00BA3B40"/>
    <w:rsid w:val="00BA61B1"/>
    <w:rsid w:val="00BA64F0"/>
    <w:rsid w:val="00BB261C"/>
    <w:rsid w:val="00BB2A6A"/>
    <w:rsid w:val="00BB2E38"/>
    <w:rsid w:val="00BB2E56"/>
    <w:rsid w:val="00BB4D5E"/>
    <w:rsid w:val="00BB6324"/>
    <w:rsid w:val="00BB670E"/>
    <w:rsid w:val="00BC176F"/>
    <w:rsid w:val="00BC1A03"/>
    <w:rsid w:val="00BC1AEB"/>
    <w:rsid w:val="00BC2A83"/>
    <w:rsid w:val="00BC3649"/>
    <w:rsid w:val="00BC3C03"/>
    <w:rsid w:val="00BC57F3"/>
    <w:rsid w:val="00BC7545"/>
    <w:rsid w:val="00BC782E"/>
    <w:rsid w:val="00BC7DF9"/>
    <w:rsid w:val="00BC7ECC"/>
    <w:rsid w:val="00BD14D1"/>
    <w:rsid w:val="00BD1692"/>
    <w:rsid w:val="00BD1CD8"/>
    <w:rsid w:val="00BD1D2D"/>
    <w:rsid w:val="00BD6652"/>
    <w:rsid w:val="00BE0BAF"/>
    <w:rsid w:val="00BE11B1"/>
    <w:rsid w:val="00BF0EDE"/>
    <w:rsid w:val="00BF22C0"/>
    <w:rsid w:val="00BF2F84"/>
    <w:rsid w:val="00BF3C19"/>
    <w:rsid w:val="00C00161"/>
    <w:rsid w:val="00C02454"/>
    <w:rsid w:val="00C02C5E"/>
    <w:rsid w:val="00C03FD0"/>
    <w:rsid w:val="00C0434A"/>
    <w:rsid w:val="00C05484"/>
    <w:rsid w:val="00C07937"/>
    <w:rsid w:val="00C1046C"/>
    <w:rsid w:val="00C1069E"/>
    <w:rsid w:val="00C120A9"/>
    <w:rsid w:val="00C126DF"/>
    <w:rsid w:val="00C14646"/>
    <w:rsid w:val="00C14C3A"/>
    <w:rsid w:val="00C150D4"/>
    <w:rsid w:val="00C15AC6"/>
    <w:rsid w:val="00C20D12"/>
    <w:rsid w:val="00C21E13"/>
    <w:rsid w:val="00C223EE"/>
    <w:rsid w:val="00C240B0"/>
    <w:rsid w:val="00C244D6"/>
    <w:rsid w:val="00C26716"/>
    <w:rsid w:val="00C26F64"/>
    <w:rsid w:val="00C2773E"/>
    <w:rsid w:val="00C31648"/>
    <w:rsid w:val="00C34D09"/>
    <w:rsid w:val="00C36097"/>
    <w:rsid w:val="00C403B0"/>
    <w:rsid w:val="00C40ED7"/>
    <w:rsid w:val="00C40F88"/>
    <w:rsid w:val="00C41033"/>
    <w:rsid w:val="00C4386B"/>
    <w:rsid w:val="00C44894"/>
    <w:rsid w:val="00C4683F"/>
    <w:rsid w:val="00C46B97"/>
    <w:rsid w:val="00C53129"/>
    <w:rsid w:val="00C541FE"/>
    <w:rsid w:val="00C62F89"/>
    <w:rsid w:val="00C647DB"/>
    <w:rsid w:val="00C76FDA"/>
    <w:rsid w:val="00C806BA"/>
    <w:rsid w:val="00C812BC"/>
    <w:rsid w:val="00C8139A"/>
    <w:rsid w:val="00C816F1"/>
    <w:rsid w:val="00C81E66"/>
    <w:rsid w:val="00C82F34"/>
    <w:rsid w:val="00C84092"/>
    <w:rsid w:val="00C84537"/>
    <w:rsid w:val="00C8615D"/>
    <w:rsid w:val="00C9140B"/>
    <w:rsid w:val="00C92C27"/>
    <w:rsid w:val="00C93292"/>
    <w:rsid w:val="00C94919"/>
    <w:rsid w:val="00C94A6E"/>
    <w:rsid w:val="00C94A8E"/>
    <w:rsid w:val="00C95505"/>
    <w:rsid w:val="00C97E84"/>
    <w:rsid w:val="00CA0AC2"/>
    <w:rsid w:val="00CA56CB"/>
    <w:rsid w:val="00CA5CA0"/>
    <w:rsid w:val="00CA6869"/>
    <w:rsid w:val="00CB145B"/>
    <w:rsid w:val="00CB288A"/>
    <w:rsid w:val="00CB446D"/>
    <w:rsid w:val="00CB5073"/>
    <w:rsid w:val="00CB728D"/>
    <w:rsid w:val="00CC19EE"/>
    <w:rsid w:val="00CC3993"/>
    <w:rsid w:val="00CC4D72"/>
    <w:rsid w:val="00CC52B9"/>
    <w:rsid w:val="00CC5987"/>
    <w:rsid w:val="00CC7857"/>
    <w:rsid w:val="00CC7879"/>
    <w:rsid w:val="00CD104F"/>
    <w:rsid w:val="00CD1162"/>
    <w:rsid w:val="00CD3879"/>
    <w:rsid w:val="00CD3ACD"/>
    <w:rsid w:val="00CD61E1"/>
    <w:rsid w:val="00CD7E63"/>
    <w:rsid w:val="00CD7FFA"/>
    <w:rsid w:val="00CE0F6C"/>
    <w:rsid w:val="00CE0F9C"/>
    <w:rsid w:val="00CE2519"/>
    <w:rsid w:val="00CE34CD"/>
    <w:rsid w:val="00CE484A"/>
    <w:rsid w:val="00CE49FB"/>
    <w:rsid w:val="00CE53FB"/>
    <w:rsid w:val="00CE71B5"/>
    <w:rsid w:val="00CE7509"/>
    <w:rsid w:val="00CE78D7"/>
    <w:rsid w:val="00CF0FEF"/>
    <w:rsid w:val="00CF2609"/>
    <w:rsid w:val="00CF28EC"/>
    <w:rsid w:val="00CF2A2E"/>
    <w:rsid w:val="00CF2C19"/>
    <w:rsid w:val="00CF50C3"/>
    <w:rsid w:val="00CF61C9"/>
    <w:rsid w:val="00CF69F8"/>
    <w:rsid w:val="00CF7D0F"/>
    <w:rsid w:val="00D04D8F"/>
    <w:rsid w:val="00D05922"/>
    <w:rsid w:val="00D05BE9"/>
    <w:rsid w:val="00D06B34"/>
    <w:rsid w:val="00D077F6"/>
    <w:rsid w:val="00D169B9"/>
    <w:rsid w:val="00D17553"/>
    <w:rsid w:val="00D206D1"/>
    <w:rsid w:val="00D2235B"/>
    <w:rsid w:val="00D22F63"/>
    <w:rsid w:val="00D25E95"/>
    <w:rsid w:val="00D27B49"/>
    <w:rsid w:val="00D308C9"/>
    <w:rsid w:val="00D31732"/>
    <w:rsid w:val="00D31FB5"/>
    <w:rsid w:val="00D32048"/>
    <w:rsid w:val="00D32E13"/>
    <w:rsid w:val="00D3421C"/>
    <w:rsid w:val="00D3432A"/>
    <w:rsid w:val="00D355B6"/>
    <w:rsid w:val="00D366E4"/>
    <w:rsid w:val="00D37D92"/>
    <w:rsid w:val="00D40F0D"/>
    <w:rsid w:val="00D41BC0"/>
    <w:rsid w:val="00D420F7"/>
    <w:rsid w:val="00D4341D"/>
    <w:rsid w:val="00D450D8"/>
    <w:rsid w:val="00D45531"/>
    <w:rsid w:val="00D46144"/>
    <w:rsid w:val="00D466FA"/>
    <w:rsid w:val="00D5019F"/>
    <w:rsid w:val="00D51599"/>
    <w:rsid w:val="00D51CB5"/>
    <w:rsid w:val="00D57607"/>
    <w:rsid w:val="00D5760B"/>
    <w:rsid w:val="00D635A4"/>
    <w:rsid w:val="00D64B64"/>
    <w:rsid w:val="00D64BFD"/>
    <w:rsid w:val="00D669C4"/>
    <w:rsid w:val="00D672D1"/>
    <w:rsid w:val="00D67BA5"/>
    <w:rsid w:val="00D71FA1"/>
    <w:rsid w:val="00D72FB9"/>
    <w:rsid w:val="00D75D91"/>
    <w:rsid w:val="00D76746"/>
    <w:rsid w:val="00D77E7C"/>
    <w:rsid w:val="00D77EA6"/>
    <w:rsid w:val="00D843FE"/>
    <w:rsid w:val="00D86E06"/>
    <w:rsid w:val="00D93919"/>
    <w:rsid w:val="00D96373"/>
    <w:rsid w:val="00D97B3F"/>
    <w:rsid w:val="00DA5BB1"/>
    <w:rsid w:val="00DA6312"/>
    <w:rsid w:val="00DB0220"/>
    <w:rsid w:val="00DB04A8"/>
    <w:rsid w:val="00DB135D"/>
    <w:rsid w:val="00DB1BAF"/>
    <w:rsid w:val="00DB312F"/>
    <w:rsid w:val="00DB3359"/>
    <w:rsid w:val="00DB4975"/>
    <w:rsid w:val="00DB545C"/>
    <w:rsid w:val="00DB56B5"/>
    <w:rsid w:val="00DB6775"/>
    <w:rsid w:val="00DC04D8"/>
    <w:rsid w:val="00DC0AF3"/>
    <w:rsid w:val="00DC2FE3"/>
    <w:rsid w:val="00DC3E86"/>
    <w:rsid w:val="00DC4A8A"/>
    <w:rsid w:val="00DC5427"/>
    <w:rsid w:val="00DD014B"/>
    <w:rsid w:val="00DD0EC4"/>
    <w:rsid w:val="00DD1CB7"/>
    <w:rsid w:val="00DD3297"/>
    <w:rsid w:val="00DD3F5D"/>
    <w:rsid w:val="00DD422E"/>
    <w:rsid w:val="00DD5463"/>
    <w:rsid w:val="00DD62BE"/>
    <w:rsid w:val="00DD6328"/>
    <w:rsid w:val="00DD6E91"/>
    <w:rsid w:val="00DE04EB"/>
    <w:rsid w:val="00DE6004"/>
    <w:rsid w:val="00DF1FA8"/>
    <w:rsid w:val="00DF343C"/>
    <w:rsid w:val="00E02B3F"/>
    <w:rsid w:val="00E02F5D"/>
    <w:rsid w:val="00E03E5B"/>
    <w:rsid w:val="00E06453"/>
    <w:rsid w:val="00E068CB"/>
    <w:rsid w:val="00E07842"/>
    <w:rsid w:val="00E07DDC"/>
    <w:rsid w:val="00E15C0A"/>
    <w:rsid w:val="00E1659C"/>
    <w:rsid w:val="00E168F8"/>
    <w:rsid w:val="00E16BF8"/>
    <w:rsid w:val="00E203BE"/>
    <w:rsid w:val="00E21155"/>
    <w:rsid w:val="00E21EF3"/>
    <w:rsid w:val="00E223C1"/>
    <w:rsid w:val="00E22B0B"/>
    <w:rsid w:val="00E2512C"/>
    <w:rsid w:val="00E2616C"/>
    <w:rsid w:val="00E30A6B"/>
    <w:rsid w:val="00E30EE0"/>
    <w:rsid w:val="00E31596"/>
    <w:rsid w:val="00E31F4F"/>
    <w:rsid w:val="00E3680A"/>
    <w:rsid w:val="00E370CE"/>
    <w:rsid w:val="00E37A05"/>
    <w:rsid w:val="00E41570"/>
    <w:rsid w:val="00E431EB"/>
    <w:rsid w:val="00E4376C"/>
    <w:rsid w:val="00E44C8A"/>
    <w:rsid w:val="00E47A36"/>
    <w:rsid w:val="00E50627"/>
    <w:rsid w:val="00E50FD5"/>
    <w:rsid w:val="00E53CF1"/>
    <w:rsid w:val="00E54073"/>
    <w:rsid w:val="00E563C7"/>
    <w:rsid w:val="00E57C77"/>
    <w:rsid w:val="00E60BCE"/>
    <w:rsid w:val="00E6548E"/>
    <w:rsid w:val="00E65ED1"/>
    <w:rsid w:val="00E678CB"/>
    <w:rsid w:val="00E67C70"/>
    <w:rsid w:val="00E67D72"/>
    <w:rsid w:val="00E67DE8"/>
    <w:rsid w:val="00E71324"/>
    <w:rsid w:val="00E74064"/>
    <w:rsid w:val="00E751A0"/>
    <w:rsid w:val="00E76025"/>
    <w:rsid w:val="00E764FB"/>
    <w:rsid w:val="00E77BB4"/>
    <w:rsid w:val="00E80216"/>
    <w:rsid w:val="00E82225"/>
    <w:rsid w:val="00E826B4"/>
    <w:rsid w:val="00E83562"/>
    <w:rsid w:val="00E842BD"/>
    <w:rsid w:val="00E854C3"/>
    <w:rsid w:val="00E90806"/>
    <w:rsid w:val="00E91CB1"/>
    <w:rsid w:val="00E92897"/>
    <w:rsid w:val="00E970A5"/>
    <w:rsid w:val="00E97A3A"/>
    <w:rsid w:val="00EA085D"/>
    <w:rsid w:val="00EA2B06"/>
    <w:rsid w:val="00EA2BCF"/>
    <w:rsid w:val="00EA4947"/>
    <w:rsid w:val="00EA52A6"/>
    <w:rsid w:val="00EA5BCF"/>
    <w:rsid w:val="00EA6A49"/>
    <w:rsid w:val="00EA6F4D"/>
    <w:rsid w:val="00EA716E"/>
    <w:rsid w:val="00EA7B39"/>
    <w:rsid w:val="00EB0231"/>
    <w:rsid w:val="00EB216F"/>
    <w:rsid w:val="00EB246C"/>
    <w:rsid w:val="00EB25DC"/>
    <w:rsid w:val="00EB4A1F"/>
    <w:rsid w:val="00EC464C"/>
    <w:rsid w:val="00EC5239"/>
    <w:rsid w:val="00EC688E"/>
    <w:rsid w:val="00EC6FA4"/>
    <w:rsid w:val="00ED0617"/>
    <w:rsid w:val="00ED2054"/>
    <w:rsid w:val="00ED3077"/>
    <w:rsid w:val="00ED5ED6"/>
    <w:rsid w:val="00ED5EF1"/>
    <w:rsid w:val="00EE2925"/>
    <w:rsid w:val="00EE31AE"/>
    <w:rsid w:val="00EE3CE0"/>
    <w:rsid w:val="00EE4502"/>
    <w:rsid w:val="00EE63DC"/>
    <w:rsid w:val="00EE6B3A"/>
    <w:rsid w:val="00EE7542"/>
    <w:rsid w:val="00EF4024"/>
    <w:rsid w:val="00EF7E60"/>
    <w:rsid w:val="00F00CD5"/>
    <w:rsid w:val="00F0176C"/>
    <w:rsid w:val="00F023C8"/>
    <w:rsid w:val="00F04F08"/>
    <w:rsid w:val="00F11CFF"/>
    <w:rsid w:val="00F12322"/>
    <w:rsid w:val="00F13AFB"/>
    <w:rsid w:val="00F13C58"/>
    <w:rsid w:val="00F14F43"/>
    <w:rsid w:val="00F15294"/>
    <w:rsid w:val="00F179F6"/>
    <w:rsid w:val="00F179F9"/>
    <w:rsid w:val="00F17B11"/>
    <w:rsid w:val="00F20427"/>
    <w:rsid w:val="00F21B6B"/>
    <w:rsid w:val="00F21C9A"/>
    <w:rsid w:val="00F24588"/>
    <w:rsid w:val="00F2553C"/>
    <w:rsid w:val="00F30BC4"/>
    <w:rsid w:val="00F316E7"/>
    <w:rsid w:val="00F32A6B"/>
    <w:rsid w:val="00F367FC"/>
    <w:rsid w:val="00F410C2"/>
    <w:rsid w:val="00F427F7"/>
    <w:rsid w:val="00F45BA2"/>
    <w:rsid w:val="00F45DAA"/>
    <w:rsid w:val="00F45F2D"/>
    <w:rsid w:val="00F462EC"/>
    <w:rsid w:val="00F51509"/>
    <w:rsid w:val="00F53AA6"/>
    <w:rsid w:val="00F540D3"/>
    <w:rsid w:val="00F56A02"/>
    <w:rsid w:val="00F6027C"/>
    <w:rsid w:val="00F62282"/>
    <w:rsid w:val="00F622ED"/>
    <w:rsid w:val="00F62DB3"/>
    <w:rsid w:val="00F64DA8"/>
    <w:rsid w:val="00F65A8B"/>
    <w:rsid w:val="00F676BF"/>
    <w:rsid w:val="00F7019A"/>
    <w:rsid w:val="00F70644"/>
    <w:rsid w:val="00F706AB"/>
    <w:rsid w:val="00F716DA"/>
    <w:rsid w:val="00F7267F"/>
    <w:rsid w:val="00F739D7"/>
    <w:rsid w:val="00F748F9"/>
    <w:rsid w:val="00F8028D"/>
    <w:rsid w:val="00F816CA"/>
    <w:rsid w:val="00F83CC9"/>
    <w:rsid w:val="00F84A81"/>
    <w:rsid w:val="00F855BB"/>
    <w:rsid w:val="00F856EE"/>
    <w:rsid w:val="00F86F06"/>
    <w:rsid w:val="00F8749D"/>
    <w:rsid w:val="00F909C3"/>
    <w:rsid w:val="00F9100A"/>
    <w:rsid w:val="00F9568A"/>
    <w:rsid w:val="00F963E4"/>
    <w:rsid w:val="00FA080F"/>
    <w:rsid w:val="00FA4007"/>
    <w:rsid w:val="00FA564A"/>
    <w:rsid w:val="00FA6482"/>
    <w:rsid w:val="00FA6654"/>
    <w:rsid w:val="00FA78E0"/>
    <w:rsid w:val="00FB265D"/>
    <w:rsid w:val="00FB291E"/>
    <w:rsid w:val="00FB310B"/>
    <w:rsid w:val="00FB488F"/>
    <w:rsid w:val="00FB537B"/>
    <w:rsid w:val="00FB78C6"/>
    <w:rsid w:val="00FC0EEC"/>
    <w:rsid w:val="00FC4222"/>
    <w:rsid w:val="00FC5B9C"/>
    <w:rsid w:val="00FC664E"/>
    <w:rsid w:val="00FD112F"/>
    <w:rsid w:val="00FD5111"/>
    <w:rsid w:val="00FD5D56"/>
    <w:rsid w:val="00FE04D0"/>
    <w:rsid w:val="00FE0560"/>
    <w:rsid w:val="00FE0AFC"/>
    <w:rsid w:val="00FE123A"/>
    <w:rsid w:val="00FE25E5"/>
    <w:rsid w:val="00FE664B"/>
    <w:rsid w:val="00FE69FD"/>
    <w:rsid w:val="00FE6FB0"/>
    <w:rsid w:val="00FF017E"/>
    <w:rsid w:val="00FF1249"/>
    <w:rsid w:val="00FF1C32"/>
    <w:rsid w:val="00FF3949"/>
    <w:rsid w:val="00FF587E"/>
    <w:rsid w:val="01802C9E"/>
    <w:rsid w:val="018C33F1"/>
    <w:rsid w:val="01C43769"/>
    <w:rsid w:val="035D2430"/>
    <w:rsid w:val="038F26B5"/>
    <w:rsid w:val="040E6340"/>
    <w:rsid w:val="040F3E66"/>
    <w:rsid w:val="04464F87"/>
    <w:rsid w:val="049525BD"/>
    <w:rsid w:val="04CF7CDA"/>
    <w:rsid w:val="05271D7F"/>
    <w:rsid w:val="05545FD4"/>
    <w:rsid w:val="05CF7265"/>
    <w:rsid w:val="06325209"/>
    <w:rsid w:val="0683791E"/>
    <w:rsid w:val="0754675F"/>
    <w:rsid w:val="08033CE1"/>
    <w:rsid w:val="08591B53"/>
    <w:rsid w:val="08A74FB5"/>
    <w:rsid w:val="091F4B4B"/>
    <w:rsid w:val="09C31E1C"/>
    <w:rsid w:val="09D76693"/>
    <w:rsid w:val="0A1026E6"/>
    <w:rsid w:val="0A9D041D"/>
    <w:rsid w:val="0ACA2F86"/>
    <w:rsid w:val="0B103C1E"/>
    <w:rsid w:val="0B371288"/>
    <w:rsid w:val="0B511543"/>
    <w:rsid w:val="0B6D2A5B"/>
    <w:rsid w:val="0B9B0D50"/>
    <w:rsid w:val="0DA43871"/>
    <w:rsid w:val="0DA87805"/>
    <w:rsid w:val="0DD56120"/>
    <w:rsid w:val="0E1B0B65"/>
    <w:rsid w:val="0F604DF6"/>
    <w:rsid w:val="100B7BD7"/>
    <w:rsid w:val="10E84E7D"/>
    <w:rsid w:val="11572401"/>
    <w:rsid w:val="11D61B23"/>
    <w:rsid w:val="13C20EF5"/>
    <w:rsid w:val="17773DA4"/>
    <w:rsid w:val="181B6E25"/>
    <w:rsid w:val="197E55D4"/>
    <w:rsid w:val="1A187AC0"/>
    <w:rsid w:val="1A4E5290"/>
    <w:rsid w:val="1A537799"/>
    <w:rsid w:val="1B7C222E"/>
    <w:rsid w:val="1C9378D2"/>
    <w:rsid w:val="1C976FB2"/>
    <w:rsid w:val="1CAC44F0"/>
    <w:rsid w:val="1CC25AC1"/>
    <w:rsid w:val="1D157A37"/>
    <w:rsid w:val="1D195F78"/>
    <w:rsid w:val="1D9B4C90"/>
    <w:rsid w:val="1E1862E1"/>
    <w:rsid w:val="1E2C3B3A"/>
    <w:rsid w:val="1F7B6CEC"/>
    <w:rsid w:val="1F8F25D3"/>
    <w:rsid w:val="1FD10A87"/>
    <w:rsid w:val="200308CB"/>
    <w:rsid w:val="20DB1848"/>
    <w:rsid w:val="211014F1"/>
    <w:rsid w:val="21DE2FBF"/>
    <w:rsid w:val="221C13DC"/>
    <w:rsid w:val="223E1B72"/>
    <w:rsid w:val="232474D6"/>
    <w:rsid w:val="243B563E"/>
    <w:rsid w:val="24D80578"/>
    <w:rsid w:val="24EE7D9B"/>
    <w:rsid w:val="24F5112A"/>
    <w:rsid w:val="26E546BA"/>
    <w:rsid w:val="26F51886"/>
    <w:rsid w:val="27E63F92"/>
    <w:rsid w:val="27F608F7"/>
    <w:rsid w:val="288F5AAE"/>
    <w:rsid w:val="291E0523"/>
    <w:rsid w:val="29A13FDE"/>
    <w:rsid w:val="29CE019B"/>
    <w:rsid w:val="29E474D0"/>
    <w:rsid w:val="2A9F38E6"/>
    <w:rsid w:val="2C0F4E75"/>
    <w:rsid w:val="2CC633AC"/>
    <w:rsid w:val="2D60110A"/>
    <w:rsid w:val="2D834DF9"/>
    <w:rsid w:val="2D98003A"/>
    <w:rsid w:val="2E04418C"/>
    <w:rsid w:val="2E327945"/>
    <w:rsid w:val="2E734E6D"/>
    <w:rsid w:val="2E8C4181"/>
    <w:rsid w:val="2F903F13"/>
    <w:rsid w:val="2FEC137B"/>
    <w:rsid w:val="309B32CF"/>
    <w:rsid w:val="30A457B2"/>
    <w:rsid w:val="30B36B5F"/>
    <w:rsid w:val="30EE176E"/>
    <w:rsid w:val="311B7355"/>
    <w:rsid w:val="312132A7"/>
    <w:rsid w:val="31670614"/>
    <w:rsid w:val="3199108F"/>
    <w:rsid w:val="31C61758"/>
    <w:rsid w:val="31CB5148"/>
    <w:rsid w:val="31F12C79"/>
    <w:rsid w:val="326403CC"/>
    <w:rsid w:val="327A0EC0"/>
    <w:rsid w:val="32E1112A"/>
    <w:rsid w:val="32F01183"/>
    <w:rsid w:val="33AD497E"/>
    <w:rsid w:val="342F7A89"/>
    <w:rsid w:val="35757B2E"/>
    <w:rsid w:val="35A9527B"/>
    <w:rsid w:val="36257395"/>
    <w:rsid w:val="367E6C64"/>
    <w:rsid w:val="36914A2B"/>
    <w:rsid w:val="38E556F2"/>
    <w:rsid w:val="397D3044"/>
    <w:rsid w:val="3A371445"/>
    <w:rsid w:val="3A7A562B"/>
    <w:rsid w:val="3C1A0659"/>
    <w:rsid w:val="3C2459F9"/>
    <w:rsid w:val="3C355E58"/>
    <w:rsid w:val="3C6535B4"/>
    <w:rsid w:val="3C6F5F9A"/>
    <w:rsid w:val="3CD967E3"/>
    <w:rsid w:val="3E0C4997"/>
    <w:rsid w:val="3E52684D"/>
    <w:rsid w:val="3EB76FF8"/>
    <w:rsid w:val="3EBC5CC4"/>
    <w:rsid w:val="3F454604"/>
    <w:rsid w:val="3F78436B"/>
    <w:rsid w:val="3F9B7B66"/>
    <w:rsid w:val="404E1BDF"/>
    <w:rsid w:val="41970A1B"/>
    <w:rsid w:val="41F15F43"/>
    <w:rsid w:val="41FF6CEC"/>
    <w:rsid w:val="42D70CCC"/>
    <w:rsid w:val="44336FC9"/>
    <w:rsid w:val="452847AC"/>
    <w:rsid w:val="45A51959"/>
    <w:rsid w:val="460756E5"/>
    <w:rsid w:val="469D2F78"/>
    <w:rsid w:val="46A77952"/>
    <w:rsid w:val="47EA4C6C"/>
    <w:rsid w:val="485F029D"/>
    <w:rsid w:val="48D03190"/>
    <w:rsid w:val="48DA400F"/>
    <w:rsid w:val="4996512A"/>
    <w:rsid w:val="4A4E0B63"/>
    <w:rsid w:val="4AC76815"/>
    <w:rsid w:val="4B23475D"/>
    <w:rsid w:val="4B49722A"/>
    <w:rsid w:val="4C080E93"/>
    <w:rsid w:val="4C995F8F"/>
    <w:rsid w:val="4CE27936"/>
    <w:rsid w:val="4CEF795D"/>
    <w:rsid w:val="4E2B0E69"/>
    <w:rsid w:val="4E2F0E84"/>
    <w:rsid w:val="4E67584E"/>
    <w:rsid w:val="4EA74993"/>
    <w:rsid w:val="4EAA6232"/>
    <w:rsid w:val="4EE259CC"/>
    <w:rsid w:val="4F133265"/>
    <w:rsid w:val="4F496D9A"/>
    <w:rsid w:val="4F5A57A4"/>
    <w:rsid w:val="4FB6551A"/>
    <w:rsid w:val="5012682C"/>
    <w:rsid w:val="50694D1B"/>
    <w:rsid w:val="50A82C45"/>
    <w:rsid w:val="512322CB"/>
    <w:rsid w:val="51C4585C"/>
    <w:rsid w:val="51DE1040"/>
    <w:rsid w:val="51E22D68"/>
    <w:rsid w:val="528B537C"/>
    <w:rsid w:val="53F51CFD"/>
    <w:rsid w:val="546A146D"/>
    <w:rsid w:val="547C6E38"/>
    <w:rsid w:val="548F5D55"/>
    <w:rsid w:val="54E81862"/>
    <w:rsid w:val="580C3AB9"/>
    <w:rsid w:val="58EE4DF0"/>
    <w:rsid w:val="595079D6"/>
    <w:rsid w:val="5AAE70AA"/>
    <w:rsid w:val="5AE26D53"/>
    <w:rsid w:val="5B2630E4"/>
    <w:rsid w:val="5BEA6EE1"/>
    <w:rsid w:val="5C2515ED"/>
    <w:rsid w:val="5C82527E"/>
    <w:rsid w:val="5C86235C"/>
    <w:rsid w:val="5D015BB7"/>
    <w:rsid w:val="5D2F17EC"/>
    <w:rsid w:val="5D746389"/>
    <w:rsid w:val="5E9B16F3"/>
    <w:rsid w:val="5F2142EE"/>
    <w:rsid w:val="5F2C67EF"/>
    <w:rsid w:val="5F451E22"/>
    <w:rsid w:val="5F4A5652"/>
    <w:rsid w:val="610F66A7"/>
    <w:rsid w:val="6115578D"/>
    <w:rsid w:val="61734BA9"/>
    <w:rsid w:val="622668B9"/>
    <w:rsid w:val="630C7063"/>
    <w:rsid w:val="642B4FAE"/>
    <w:rsid w:val="64631FC9"/>
    <w:rsid w:val="648844C8"/>
    <w:rsid w:val="64A854E2"/>
    <w:rsid w:val="64C23E7D"/>
    <w:rsid w:val="656D260F"/>
    <w:rsid w:val="65B220AE"/>
    <w:rsid w:val="667117E4"/>
    <w:rsid w:val="669B5D2F"/>
    <w:rsid w:val="66A31138"/>
    <w:rsid w:val="67096815"/>
    <w:rsid w:val="67C80AE4"/>
    <w:rsid w:val="683A1F7D"/>
    <w:rsid w:val="6881195A"/>
    <w:rsid w:val="68833924"/>
    <w:rsid w:val="68B41D2F"/>
    <w:rsid w:val="68FB5E1E"/>
    <w:rsid w:val="69360996"/>
    <w:rsid w:val="696279DD"/>
    <w:rsid w:val="6AA858C3"/>
    <w:rsid w:val="6C3D07FA"/>
    <w:rsid w:val="6CD31597"/>
    <w:rsid w:val="6DEB6A5B"/>
    <w:rsid w:val="6DF602DE"/>
    <w:rsid w:val="6EAC5256"/>
    <w:rsid w:val="6F502086"/>
    <w:rsid w:val="6F8A5598"/>
    <w:rsid w:val="6F997ED1"/>
    <w:rsid w:val="70D854CE"/>
    <w:rsid w:val="71257C6E"/>
    <w:rsid w:val="71592BDF"/>
    <w:rsid w:val="717D44C3"/>
    <w:rsid w:val="718F50E7"/>
    <w:rsid w:val="71E76CD1"/>
    <w:rsid w:val="729E2AAE"/>
    <w:rsid w:val="737F6BBC"/>
    <w:rsid w:val="742F302F"/>
    <w:rsid w:val="75866801"/>
    <w:rsid w:val="75931266"/>
    <w:rsid w:val="7608190C"/>
    <w:rsid w:val="76E83614"/>
    <w:rsid w:val="76EB7C9B"/>
    <w:rsid w:val="771358C0"/>
    <w:rsid w:val="77B358A8"/>
    <w:rsid w:val="77B76072"/>
    <w:rsid w:val="77C133C2"/>
    <w:rsid w:val="79BE0C60"/>
    <w:rsid w:val="79CD1B02"/>
    <w:rsid w:val="7ACD0A2E"/>
    <w:rsid w:val="7C0D0A4F"/>
    <w:rsid w:val="7C9C2DAE"/>
    <w:rsid w:val="7C9E08D4"/>
    <w:rsid w:val="7CE86E38"/>
    <w:rsid w:val="7E2D63B4"/>
    <w:rsid w:val="7E525E1A"/>
    <w:rsid w:val="7E6E2528"/>
    <w:rsid w:val="7EB22491"/>
    <w:rsid w:val="7EE06F82"/>
    <w:rsid w:val="7F3C6183"/>
    <w:rsid w:val="7F4734A5"/>
    <w:rsid w:val="BCDF8B2F"/>
    <w:rsid w:val="FF95E4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6"/>
    <w:qFormat/>
    <w:uiPriority w:val="0"/>
    <w:pPr>
      <w:keepNext/>
      <w:keepLines/>
      <w:spacing w:before="340" w:after="330"/>
      <w:jc w:val="center"/>
      <w:outlineLvl w:val="0"/>
    </w:pPr>
    <w:rPr>
      <w:rFonts w:eastAsia="楷体_GB2312"/>
      <w:b/>
      <w:bCs/>
      <w:kern w:val="44"/>
      <w:sz w:val="32"/>
      <w:szCs w:val="44"/>
    </w:rPr>
  </w:style>
  <w:style w:type="paragraph" w:styleId="2">
    <w:name w:val="heading 2"/>
    <w:basedOn w:val="1"/>
    <w:next w:val="1"/>
    <w:link w:val="17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1"/>
    <w:qFormat/>
    <w:uiPriority w:val="0"/>
    <w:pPr>
      <w:keepNext/>
      <w:keepLines/>
      <w:spacing w:before="260" w:after="260" w:line="416" w:lineRule="auto"/>
      <w:outlineLvl w:val="2"/>
    </w:pPr>
    <w:rPr>
      <w:b/>
      <w:bCs/>
      <w:sz w:val="32"/>
      <w:szCs w:val="32"/>
    </w:rPr>
  </w:style>
  <w:style w:type="paragraph" w:styleId="5">
    <w:name w:val="heading 4"/>
    <w:basedOn w:val="1"/>
    <w:next w:val="1"/>
    <w:link w:val="97"/>
    <w:qFormat/>
    <w:uiPriority w:val="0"/>
    <w:pPr>
      <w:keepNext/>
      <w:outlineLvl w:val="3"/>
    </w:pPr>
    <w:rPr>
      <w:sz w:val="32"/>
      <w:szCs w:val="20"/>
    </w:rPr>
  </w:style>
  <w:style w:type="paragraph" w:styleId="6">
    <w:name w:val="heading 5"/>
    <w:basedOn w:val="1"/>
    <w:next w:val="1"/>
    <w:link w:val="98"/>
    <w:qFormat/>
    <w:uiPriority w:val="0"/>
    <w:pPr>
      <w:spacing w:before="120" w:line="60" w:lineRule="atLeast"/>
      <w:outlineLvl w:val="4"/>
    </w:pPr>
    <w:rPr>
      <w:rFonts w:ascii="Arial" w:hAnsi="Arial"/>
      <w:b/>
      <w:sz w:val="28"/>
      <w:szCs w:val="20"/>
    </w:rPr>
  </w:style>
  <w:style w:type="paragraph" w:styleId="7">
    <w:name w:val="heading 6"/>
    <w:basedOn w:val="1"/>
    <w:next w:val="1"/>
    <w:link w:val="99"/>
    <w:qFormat/>
    <w:uiPriority w:val="0"/>
    <w:pPr>
      <w:keepNext/>
      <w:keepLines/>
      <w:spacing w:before="240" w:after="64" w:line="320" w:lineRule="auto"/>
      <w:outlineLvl w:val="5"/>
    </w:pPr>
    <w:rPr>
      <w:rFonts w:ascii="宋体" w:hAnsi="宋体"/>
      <w:b/>
      <w:sz w:val="24"/>
      <w:szCs w:val="20"/>
    </w:rPr>
  </w:style>
  <w:style w:type="paragraph" w:styleId="8">
    <w:name w:val="heading 7"/>
    <w:basedOn w:val="1"/>
    <w:next w:val="1"/>
    <w:link w:val="100"/>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9">
    <w:name w:val="heading 8"/>
    <w:basedOn w:val="1"/>
    <w:next w:val="1"/>
    <w:link w:val="101"/>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0">
    <w:name w:val="heading 9"/>
    <w:basedOn w:val="1"/>
    <w:next w:val="1"/>
    <w:link w:val="102"/>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jc w:val="left"/>
    </w:pPr>
    <w:rPr>
      <w:sz w:val="24"/>
    </w:rPr>
  </w:style>
  <w:style w:type="paragraph" w:styleId="12">
    <w:name w:val="toc 7"/>
    <w:basedOn w:val="1"/>
    <w:next w:val="1"/>
    <w:qFormat/>
    <w:uiPriority w:val="0"/>
    <w:pPr>
      <w:ind w:left="1260"/>
      <w:jc w:val="left"/>
    </w:pPr>
    <w:rPr>
      <w:sz w:val="18"/>
      <w:szCs w:val="20"/>
    </w:rPr>
  </w:style>
  <w:style w:type="paragraph" w:styleId="13">
    <w:name w:val="Note Heading"/>
    <w:basedOn w:val="1"/>
    <w:next w:val="1"/>
    <w:link w:val="311"/>
    <w:qFormat/>
    <w:uiPriority w:val="0"/>
    <w:pPr>
      <w:widowControl/>
      <w:spacing w:before="100" w:beforeAutospacing="1" w:after="100" w:afterAutospacing="1"/>
      <w:jc w:val="left"/>
    </w:pPr>
    <w:rPr>
      <w:rFonts w:ascii="宋体" w:hAnsi="宋体" w:cs="宋体"/>
      <w:kern w:val="0"/>
      <w:sz w:val="24"/>
    </w:rPr>
  </w:style>
  <w:style w:type="paragraph" w:styleId="14">
    <w:name w:val="List Bullet 4"/>
    <w:basedOn w:val="1"/>
    <w:qFormat/>
    <w:uiPriority w:val="0"/>
    <w:pPr>
      <w:tabs>
        <w:tab w:val="left" w:pos="435"/>
        <w:tab w:val="left" w:pos="1620"/>
      </w:tabs>
      <w:ind w:left="600" w:leftChars="600" w:hanging="200" w:hangingChars="200"/>
      <w:jc w:val="left"/>
    </w:pPr>
    <w:rPr>
      <w:sz w:val="24"/>
    </w:rPr>
  </w:style>
  <w:style w:type="paragraph" w:styleId="15">
    <w:name w:val="List Number"/>
    <w:basedOn w:val="1"/>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6">
    <w:name w:val="Normal Indent"/>
    <w:basedOn w:val="1"/>
    <w:link w:val="214"/>
    <w:qFormat/>
    <w:uiPriority w:val="0"/>
    <w:pPr>
      <w:ind w:firstLine="420" w:firstLineChars="200"/>
    </w:pPr>
    <w:rPr>
      <w:szCs w:val="20"/>
    </w:rPr>
  </w:style>
  <w:style w:type="paragraph" w:styleId="17">
    <w:name w:val="caption"/>
    <w:basedOn w:val="1"/>
    <w:next w:val="1"/>
    <w:qFormat/>
    <w:uiPriority w:val="0"/>
    <w:pPr>
      <w:jc w:val="left"/>
    </w:pPr>
    <w:rPr>
      <w:rFonts w:ascii="Arial" w:hAnsi="Arial" w:eastAsia="黑体" w:cs="Arial"/>
      <w:sz w:val="20"/>
      <w:szCs w:val="20"/>
    </w:rPr>
  </w:style>
  <w:style w:type="paragraph" w:styleId="18">
    <w:name w:val="Document Map"/>
    <w:basedOn w:val="1"/>
    <w:link w:val="119"/>
    <w:qFormat/>
    <w:uiPriority w:val="0"/>
    <w:pPr>
      <w:shd w:val="clear" w:color="auto" w:fill="000080"/>
    </w:pPr>
  </w:style>
  <w:style w:type="paragraph" w:styleId="19">
    <w:name w:val="toa heading"/>
    <w:basedOn w:val="1"/>
    <w:next w:val="1"/>
    <w:qFormat/>
    <w:uiPriority w:val="0"/>
    <w:pPr>
      <w:spacing w:before="120"/>
    </w:pPr>
    <w:rPr>
      <w:rFonts w:ascii="Arial" w:hAnsi="Arial"/>
      <w:sz w:val="24"/>
      <w:szCs w:val="20"/>
    </w:rPr>
  </w:style>
  <w:style w:type="paragraph" w:styleId="20">
    <w:name w:val="annotation text"/>
    <w:basedOn w:val="1"/>
    <w:link w:val="259"/>
    <w:qFormat/>
    <w:uiPriority w:val="0"/>
    <w:pPr>
      <w:jc w:val="left"/>
    </w:pPr>
  </w:style>
  <w:style w:type="paragraph" w:styleId="21">
    <w:name w:val="Salutation"/>
    <w:basedOn w:val="1"/>
    <w:next w:val="1"/>
    <w:link w:val="178"/>
    <w:qFormat/>
    <w:uiPriority w:val="0"/>
    <w:pPr>
      <w:adjustRightInd w:val="0"/>
      <w:spacing w:line="360" w:lineRule="atLeast"/>
      <w:jc w:val="left"/>
      <w:textAlignment w:val="baseline"/>
    </w:pPr>
    <w:rPr>
      <w:rFonts w:ascii="宋体"/>
      <w:kern w:val="0"/>
      <w:sz w:val="28"/>
      <w:szCs w:val="20"/>
    </w:rPr>
  </w:style>
  <w:style w:type="paragraph" w:styleId="22">
    <w:name w:val="Body Text 3"/>
    <w:basedOn w:val="1"/>
    <w:link w:val="154"/>
    <w:qFormat/>
    <w:uiPriority w:val="0"/>
    <w:rPr>
      <w:b/>
      <w:bCs/>
      <w:sz w:val="24"/>
    </w:rPr>
  </w:style>
  <w:style w:type="paragraph" w:styleId="23">
    <w:name w:val="List Bullet 3"/>
    <w:basedOn w:val="1"/>
    <w:qFormat/>
    <w:uiPriority w:val="0"/>
    <w:pPr>
      <w:tabs>
        <w:tab w:val="left" w:pos="360"/>
        <w:tab w:val="left" w:pos="1200"/>
      </w:tabs>
      <w:ind w:left="400" w:leftChars="400" w:hanging="200" w:hangingChars="200"/>
      <w:jc w:val="left"/>
    </w:pPr>
    <w:rPr>
      <w:sz w:val="24"/>
    </w:rPr>
  </w:style>
  <w:style w:type="paragraph" w:styleId="24">
    <w:name w:val="Body Text"/>
    <w:basedOn w:val="1"/>
    <w:next w:val="25"/>
    <w:link w:val="291"/>
    <w:qFormat/>
    <w:uiPriority w:val="0"/>
    <w:pPr>
      <w:spacing w:after="120"/>
    </w:pPr>
  </w:style>
  <w:style w:type="paragraph" w:styleId="25">
    <w:name w:val="Body Text 2"/>
    <w:basedOn w:val="1"/>
    <w:link w:val="121"/>
    <w:qFormat/>
    <w:uiPriority w:val="0"/>
    <w:pPr>
      <w:jc w:val="center"/>
    </w:pPr>
    <w:rPr>
      <w:rFonts w:ascii="楷体_GB2312" w:eastAsia="楷体_GB2312"/>
      <w:b/>
      <w:sz w:val="36"/>
      <w:szCs w:val="48"/>
    </w:rPr>
  </w:style>
  <w:style w:type="paragraph" w:styleId="26">
    <w:name w:val="Body Text Indent"/>
    <w:basedOn w:val="1"/>
    <w:link w:val="323"/>
    <w:qFormat/>
    <w:uiPriority w:val="0"/>
    <w:pPr>
      <w:spacing w:after="120"/>
      <w:ind w:left="420" w:leftChars="200"/>
    </w:pPr>
  </w:style>
  <w:style w:type="paragraph" w:styleId="27">
    <w:name w:val="List 2"/>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8">
    <w:name w:val="List Continue"/>
    <w:basedOn w:val="1"/>
    <w:qFormat/>
    <w:uiPriority w:val="0"/>
    <w:pPr>
      <w:spacing w:after="120"/>
      <w:ind w:left="420"/>
    </w:pPr>
    <w:rPr>
      <w:rFonts w:eastAsia="楷体_GB2312"/>
      <w:sz w:val="32"/>
      <w:szCs w:val="20"/>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widowControl/>
      <w:spacing w:line="0" w:lineRule="atLeast"/>
    </w:pPr>
    <w:rPr>
      <w:rFonts w:ascii="宋体" w:hAnsi="宋体"/>
      <w:kern w:val="0"/>
      <w:sz w:val="24"/>
    </w:rPr>
  </w:style>
  <w:style w:type="paragraph" w:styleId="31">
    <w:name w:val="toc 5"/>
    <w:basedOn w:val="1"/>
    <w:next w:val="1"/>
    <w:qFormat/>
    <w:uiPriority w:val="0"/>
    <w:pPr>
      <w:ind w:left="840"/>
      <w:jc w:val="left"/>
    </w:pPr>
    <w:rPr>
      <w:sz w:val="18"/>
      <w:szCs w:val="20"/>
    </w:rPr>
  </w:style>
  <w:style w:type="paragraph" w:styleId="32">
    <w:name w:val="toc 3"/>
    <w:basedOn w:val="1"/>
    <w:next w:val="1"/>
    <w:qFormat/>
    <w:uiPriority w:val="39"/>
    <w:pPr>
      <w:ind w:left="840" w:leftChars="400"/>
    </w:pPr>
  </w:style>
  <w:style w:type="paragraph" w:styleId="33">
    <w:name w:val="Plain Text"/>
    <w:basedOn w:val="1"/>
    <w:link w:val="84"/>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4">
    <w:name w:val="toc 8"/>
    <w:basedOn w:val="1"/>
    <w:next w:val="1"/>
    <w:qFormat/>
    <w:uiPriority w:val="0"/>
    <w:pPr>
      <w:ind w:left="1470"/>
      <w:jc w:val="left"/>
    </w:pPr>
    <w:rPr>
      <w:sz w:val="18"/>
      <w:szCs w:val="20"/>
    </w:rPr>
  </w:style>
  <w:style w:type="paragraph" w:styleId="35">
    <w:name w:val="Date"/>
    <w:basedOn w:val="1"/>
    <w:next w:val="1"/>
    <w:link w:val="213"/>
    <w:qFormat/>
    <w:uiPriority w:val="0"/>
    <w:rPr>
      <w:sz w:val="24"/>
      <w:szCs w:val="20"/>
    </w:rPr>
  </w:style>
  <w:style w:type="paragraph" w:styleId="36">
    <w:name w:val="Body Text Indent 2"/>
    <w:basedOn w:val="1"/>
    <w:link w:val="179"/>
    <w:qFormat/>
    <w:uiPriority w:val="0"/>
    <w:pPr>
      <w:ind w:left="424" w:leftChars="202"/>
    </w:pPr>
    <w:rPr>
      <w:rFonts w:eastAsia="楷体_GB2312"/>
      <w:sz w:val="28"/>
    </w:rPr>
  </w:style>
  <w:style w:type="paragraph" w:styleId="37">
    <w:name w:val="endnote text"/>
    <w:basedOn w:val="1"/>
    <w:link w:val="192"/>
    <w:qFormat/>
    <w:uiPriority w:val="0"/>
    <w:pPr>
      <w:widowControl/>
      <w:snapToGrid w:val="0"/>
      <w:jc w:val="left"/>
    </w:pPr>
    <w:rPr>
      <w:kern w:val="0"/>
      <w:sz w:val="20"/>
      <w:szCs w:val="20"/>
    </w:rPr>
  </w:style>
  <w:style w:type="paragraph" w:styleId="38">
    <w:name w:val="Balloon Text"/>
    <w:basedOn w:val="1"/>
    <w:link w:val="152"/>
    <w:qFormat/>
    <w:uiPriority w:val="0"/>
    <w:rPr>
      <w:sz w:val="18"/>
      <w:szCs w:val="18"/>
    </w:rPr>
  </w:style>
  <w:style w:type="paragraph" w:styleId="39">
    <w:name w:val="footer"/>
    <w:basedOn w:val="1"/>
    <w:link w:val="172"/>
    <w:qFormat/>
    <w:uiPriority w:val="99"/>
    <w:pPr>
      <w:tabs>
        <w:tab w:val="center" w:pos="4153"/>
        <w:tab w:val="right" w:pos="8306"/>
      </w:tabs>
      <w:snapToGrid w:val="0"/>
      <w:jc w:val="left"/>
    </w:pPr>
    <w:rPr>
      <w:sz w:val="18"/>
      <w:szCs w:val="18"/>
    </w:rPr>
  </w:style>
  <w:style w:type="paragraph" w:styleId="40">
    <w:name w:val="header"/>
    <w:basedOn w:val="1"/>
    <w:link w:val="155"/>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47"/>
    <w:qFormat/>
    <w:uiPriority w:val="0"/>
    <w:pPr>
      <w:widowControl/>
      <w:ind w:left="100" w:leftChars="2100"/>
      <w:jc w:val="left"/>
    </w:pPr>
    <w:rPr>
      <w:kern w:val="0"/>
      <w:sz w:val="20"/>
      <w:szCs w:val="20"/>
    </w:rPr>
  </w:style>
  <w:style w:type="paragraph" w:styleId="42">
    <w:name w:val="toc 1"/>
    <w:basedOn w:val="1"/>
    <w:next w:val="1"/>
    <w:qFormat/>
    <w:uiPriority w:val="39"/>
    <w:pPr>
      <w:tabs>
        <w:tab w:val="right" w:leader="dot" w:pos="9060"/>
      </w:tabs>
      <w:spacing w:line="400" w:lineRule="exact"/>
    </w:pPr>
    <w:rPr>
      <w:rFonts w:ascii="宋体" w:hAnsi="宋体"/>
      <w:caps/>
      <w:sz w:val="24"/>
    </w:rPr>
  </w:style>
  <w:style w:type="paragraph" w:styleId="43">
    <w:name w:val="toc 4"/>
    <w:basedOn w:val="1"/>
    <w:next w:val="1"/>
    <w:qFormat/>
    <w:uiPriority w:val="0"/>
    <w:pPr>
      <w:ind w:left="630"/>
      <w:jc w:val="left"/>
    </w:pPr>
    <w:rPr>
      <w:sz w:val="18"/>
      <w:szCs w:val="20"/>
    </w:rPr>
  </w:style>
  <w:style w:type="paragraph" w:styleId="44">
    <w:name w:val="index heading"/>
    <w:basedOn w:val="1"/>
    <w:next w:val="45"/>
    <w:qFormat/>
    <w:uiPriority w:val="0"/>
    <w:rPr>
      <w:szCs w:val="20"/>
    </w:rPr>
  </w:style>
  <w:style w:type="paragraph" w:styleId="45">
    <w:name w:val="index 1"/>
    <w:basedOn w:val="1"/>
    <w:next w:val="1"/>
    <w:qFormat/>
    <w:uiPriority w:val="0"/>
    <w:rPr>
      <w:szCs w:val="20"/>
    </w:rPr>
  </w:style>
  <w:style w:type="paragraph" w:styleId="46">
    <w:name w:val="List"/>
    <w:basedOn w:val="1"/>
    <w:qFormat/>
    <w:uiPriority w:val="0"/>
    <w:pPr>
      <w:ind w:left="420" w:hanging="420"/>
    </w:pPr>
    <w:rPr>
      <w:rFonts w:eastAsia="楷体_GB2312"/>
      <w:sz w:val="32"/>
      <w:szCs w:val="20"/>
    </w:rPr>
  </w:style>
  <w:style w:type="paragraph" w:styleId="47">
    <w:name w:val="footnote text"/>
    <w:basedOn w:val="1"/>
    <w:link w:val="190"/>
    <w:qFormat/>
    <w:uiPriority w:val="0"/>
    <w:pPr>
      <w:widowControl/>
      <w:jc w:val="left"/>
    </w:pPr>
    <w:rPr>
      <w:kern w:val="0"/>
      <w:sz w:val="20"/>
      <w:szCs w:val="20"/>
      <w:lang w:eastAsia="en-US"/>
    </w:rPr>
  </w:style>
  <w:style w:type="paragraph" w:styleId="48">
    <w:name w:val="toc 6"/>
    <w:basedOn w:val="1"/>
    <w:next w:val="1"/>
    <w:qFormat/>
    <w:uiPriority w:val="0"/>
    <w:pPr>
      <w:ind w:left="1050"/>
      <w:jc w:val="left"/>
    </w:pPr>
    <w:rPr>
      <w:sz w:val="18"/>
      <w:szCs w:val="20"/>
    </w:rPr>
  </w:style>
  <w:style w:type="paragraph" w:styleId="49">
    <w:name w:val="List 5"/>
    <w:basedOn w:val="1"/>
    <w:qFormat/>
    <w:uiPriority w:val="0"/>
    <w:pPr>
      <w:ind w:left="2100" w:hanging="420"/>
    </w:pPr>
    <w:rPr>
      <w:rFonts w:eastAsia="楷体_GB2312"/>
      <w:sz w:val="32"/>
      <w:szCs w:val="20"/>
    </w:rPr>
  </w:style>
  <w:style w:type="paragraph" w:styleId="50">
    <w:name w:val="Body Text Indent 3"/>
    <w:basedOn w:val="1"/>
    <w:link w:val="191"/>
    <w:qFormat/>
    <w:uiPriority w:val="0"/>
    <w:pPr>
      <w:ind w:left="425"/>
    </w:pPr>
    <w:rPr>
      <w:rFonts w:eastAsia="楷体_GB2312"/>
      <w:sz w:val="28"/>
    </w:rPr>
  </w:style>
  <w:style w:type="paragraph" w:styleId="51">
    <w:name w:val="toc 2"/>
    <w:basedOn w:val="1"/>
    <w:next w:val="1"/>
    <w:qFormat/>
    <w:uiPriority w:val="39"/>
    <w:pPr>
      <w:ind w:left="420" w:leftChars="200"/>
    </w:pPr>
  </w:style>
  <w:style w:type="paragraph" w:styleId="52">
    <w:name w:val="toc 9"/>
    <w:basedOn w:val="1"/>
    <w:next w:val="1"/>
    <w:qFormat/>
    <w:uiPriority w:val="0"/>
    <w:pPr>
      <w:ind w:left="1680"/>
      <w:jc w:val="left"/>
    </w:pPr>
    <w:rPr>
      <w:sz w:val="18"/>
      <w:szCs w:val="20"/>
    </w:rPr>
  </w:style>
  <w:style w:type="paragraph" w:styleId="53">
    <w:name w:val="List 4"/>
    <w:basedOn w:val="1"/>
    <w:qFormat/>
    <w:uiPriority w:val="0"/>
    <w:pPr>
      <w:ind w:left="1680" w:hanging="420"/>
    </w:pPr>
    <w:rPr>
      <w:rFonts w:eastAsia="楷体_GB2312"/>
      <w:sz w:val="32"/>
      <w:szCs w:val="20"/>
    </w:rPr>
  </w:style>
  <w:style w:type="paragraph" w:styleId="54">
    <w:name w:val="List Continue 2"/>
    <w:basedOn w:val="1"/>
    <w:qFormat/>
    <w:uiPriority w:val="0"/>
    <w:pPr>
      <w:spacing w:after="120"/>
      <w:ind w:left="840" w:leftChars="400"/>
      <w:jc w:val="left"/>
    </w:pPr>
    <w:rPr>
      <w:sz w:val="24"/>
    </w:rPr>
  </w:style>
  <w:style w:type="paragraph" w:styleId="55">
    <w:name w:val="HTML Preformatted"/>
    <w:basedOn w:val="1"/>
    <w:link w:val="3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styleId="56">
    <w:name w:val="Normal (Web)"/>
    <w:basedOn w:val="1"/>
    <w:qFormat/>
    <w:uiPriority w:val="99"/>
    <w:rPr>
      <w:rFonts w:eastAsia="仿宋_GB2312"/>
      <w:sz w:val="24"/>
    </w:rPr>
  </w:style>
  <w:style w:type="paragraph" w:styleId="57">
    <w:name w:val="Title"/>
    <w:basedOn w:val="1"/>
    <w:link w:val="221"/>
    <w:qFormat/>
    <w:uiPriority w:val="0"/>
    <w:pPr>
      <w:spacing w:before="240" w:after="60"/>
      <w:jc w:val="center"/>
      <w:outlineLvl w:val="0"/>
    </w:pPr>
    <w:rPr>
      <w:rFonts w:ascii="Arial" w:hAnsi="Arial" w:eastAsia="隶书"/>
      <w:b/>
      <w:sz w:val="32"/>
      <w:szCs w:val="20"/>
    </w:rPr>
  </w:style>
  <w:style w:type="paragraph" w:styleId="58">
    <w:name w:val="annotation subject"/>
    <w:basedOn w:val="20"/>
    <w:next w:val="20"/>
    <w:link w:val="196"/>
    <w:qFormat/>
    <w:uiPriority w:val="0"/>
    <w:rPr>
      <w:b/>
      <w:bCs/>
    </w:rPr>
  </w:style>
  <w:style w:type="paragraph" w:styleId="59">
    <w:name w:val="Body Text First Indent"/>
    <w:basedOn w:val="24"/>
    <w:next w:val="60"/>
    <w:link w:val="165"/>
    <w:qFormat/>
    <w:uiPriority w:val="0"/>
    <w:pPr>
      <w:ind w:firstLine="420"/>
    </w:pPr>
    <w:rPr>
      <w:rFonts w:eastAsia="楷体_GB2312"/>
      <w:sz w:val="32"/>
      <w:szCs w:val="20"/>
    </w:rPr>
  </w:style>
  <w:style w:type="paragraph" w:styleId="60">
    <w:name w:val="Body Text First Indent 2"/>
    <w:basedOn w:val="26"/>
    <w:link w:val="138"/>
    <w:qFormat/>
    <w:uiPriority w:val="0"/>
    <w:pPr>
      <w:ind w:firstLine="420"/>
      <w:jc w:val="left"/>
    </w:pPr>
    <w:rPr>
      <w:szCs w:val="20"/>
    </w:r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basedOn w:val="63"/>
    <w:qFormat/>
    <w:uiPriority w:val="0"/>
    <w:rPr>
      <w:b/>
      <w:bCs/>
    </w:rPr>
  </w:style>
  <w:style w:type="character" w:styleId="65">
    <w:name w:val="endnote reference"/>
    <w:qFormat/>
    <w:uiPriority w:val="0"/>
    <w:rPr>
      <w:rFonts w:cs="Times New Roman"/>
      <w:vertAlign w:val="superscript"/>
    </w:rPr>
  </w:style>
  <w:style w:type="character" w:styleId="66">
    <w:name w:val="page number"/>
    <w:basedOn w:val="63"/>
    <w:qFormat/>
    <w:uiPriority w:val="0"/>
  </w:style>
  <w:style w:type="character" w:styleId="67">
    <w:name w:val="FollowedHyperlink"/>
    <w:basedOn w:val="63"/>
    <w:qFormat/>
    <w:uiPriority w:val="0"/>
    <w:rPr>
      <w:color w:val="800080"/>
      <w:u w:val="single"/>
    </w:rPr>
  </w:style>
  <w:style w:type="character" w:styleId="68">
    <w:name w:val="Emphasis"/>
    <w:basedOn w:val="63"/>
    <w:qFormat/>
    <w:uiPriority w:val="0"/>
    <w:rPr>
      <w:i/>
    </w:rPr>
  </w:style>
  <w:style w:type="character" w:styleId="69">
    <w:name w:val="HTML Definition"/>
    <w:basedOn w:val="63"/>
    <w:qFormat/>
    <w:uiPriority w:val="0"/>
  </w:style>
  <w:style w:type="character" w:styleId="70">
    <w:name w:val="HTML Typewriter"/>
    <w:basedOn w:val="63"/>
    <w:qFormat/>
    <w:uiPriority w:val="0"/>
    <w:rPr>
      <w:rFonts w:hint="eastAsia" w:ascii="宋体" w:hAnsi="宋体" w:eastAsia="宋体" w:cs="宋体"/>
      <w:sz w:val="18"/>
      <w:szCs w:val="18"/>
    </w:rPr>
  </w:style>
  <w:style w:type="character" w:styleId="71">
    <w:name w:val="HTML Acronym"/>
    <w:basedOn w:val="63"/>
    <w:qFormat/>
    <w:uiPriority w:val="0"/>
  </w:style>
  <w:style w:type="character" w:styleId="72">
    <w:name w:val="HTML Variable"/>
    <w:basedOn w:val="63"/>
    <w:qFormat/>
    <w:uiPriority w:val="0"/>
  </w:style>
  <w:style w:type="character" w:styleId="73">
    <w:name w:val="Hyperlink"/>
    <w:qFormat/>
    <w:uiPriority w:val="99"/>
    <w:rPr>
      <w:color w:val="0000FF"/>
      <w:u w:val="single"/>
    </w:rPr>
  </w:style>
  <w:style w:type="character" w:styleId="74">
    <w:name w:val="HTML Code"/>
    <w:basedOn w:val="63"/>
    <w:qFormat/>
    <w:uiPriority w:val="0"/>
    <w:rPr>
      <w:rFonts w:ascii="monospace" w:hAnsi="monospace" w:eastAsia="monospace" w:cs="monospace"/>
      <w:sz w:val="24"/>
      <w:szCs w:val="24"/>
    </w:rPr>
  </w:style>
  <w:style w:type="character" w:styleId="75">
    <w:name w:val="annotation reference"/>
    <w:qFormat/>
    <w:uiPriority w:val="0"/>
    <w:rPr>
      <w:sz w:val="21"/>
      <w:szCs w:val="21"/>
    </w:rPr>
  </w:style>
  <w:style w:type="character" w:styleId="76">
    <w:name w:val="HTML Cite"/>
    <w:basedOn w:val="63"/>
    <w:qFormat/>
    <w:uiPriority w:val="0"/>
  </w:style>
  <w:style w:type="character" w:styleId="77">
    <w:name w:val="footnote reference"/>
    <w:qFormat/>
    <w:uiPriority w:val="0"/>
    <w:rPr>
      <w:rFonts w:cs="Times New Roman"/>
      <w:vertAlign w:val="superscript"/>
    </w:rPr>
  </w:style>
  <w:style w:type="character" w:styleId="78">
    <w:name w:val="HTML Keyboard"/>
    <w:basedOn w:val="63"/>
    <w:qFormat/>
    <w:uiPriority w:val="0"/>
    <w:rPr>
      <w:rFonts w:hint="default" w:ascii="monospace" w:hAnsi="monospace" w:eastAsia="monospace" w:cs="monospace"/>
      <w:sz w:val="24"/>
      <w:szCs w:val="24"/>
    </w:rPr>
  </w:style>
  <w:style w:type="character" w:styleId="79">
    <w:name w:val="HTML Sample"/>
    <w:qFormat/>
    <w:uiPriority w:val="0"/>
    <w:rPr>
      <w:rFonts w:ascii="Courier New" w:hAnsi="Courier New" w:cs="Times New Roman"/>
    </w:rPr>
  </w:style>
  <w:style w:type="character" w:customStyle="1" w:styleId="80">
    <w:name w:val="ca-112"/>
    <w:basedOn w:val="63"/>
    <w:qFormat/>
    <w:uiPriority w:val="0"/>
  </w:style>
  <w:style w:type="character" w:customStyle="1" w:styleId="81">
    <w:name w:val="标题 3 Char"/>
    <w:link w:val="4"/>
    <w:qFormat/>
    <w:uiPriority w:val="0"/>
    <w:rPr>
      <w:rFonts w:eastAsia="宋体"/>
      <w:b/>
      <w:bCs/>
      <w:kern w:val="2"/>
      <w:sz w:val="32"/>
      <w:szCs w:val="32"/>
      <w:lang w:val="en-US" w:eastAsia="zh-CN" w:bidi="ar-SA"/>
    </w:rPr>
  </w:style>
  <w:style w:type="character" w:customStyle="1" w:styleId="82">
    <w:name w:val="tpc_content1"/>
    <w:qFormat/>
    <w:uiPriority w:val="0"/>
    <w:rPr>
      <w:sz w:val="20"/>
      <w:szCs w:val="20"/>
    </w:rPr>
  </w:style>
  <w:style w:type="character" w:customStyle="1" w:styleId="83">
    <w:name w:val="f141"/>
    <w:qFormat/>
    <w:uiPriority w:val="0"/>
    <w:rPr>
      <w:sz w:val="21"/>
      <w:szCs w:val="21"/>
    </w:rPr>
  </w:style>
  <w:style w:type="character" w:customStyle="1" w:styleId="84">
    <w:name w:val="纯文本 Char1"/>
    <w:basedOn w:val="63"/>
    <w:link w:val="33"/>
    <w:qFormat/>
    <w:uiPriority w:val="0"/>
    <w:rPr>
      <w:rFonts w:ascii="宋体" w:hAnsi="Courier New" w:eastAsia="宋体"/>
      <w:sz w:val="21"/>
      <w:szCs w:val="21"/>
      <w:lang w:val="en-US" w:eastAsia="zh-CN" w:bidi="ar-SA"/>
    </w:rPr>
  </w:style>
  <w:style w:type="character" w:customStyle="1" w:styleId="85">
    <w:name w:val="main_tdbg_760"/>
    <w:basedOn w:val="63"/>
    <w:qFormat/>
    <w:uiPriority w:val="0"/>
  </w:style>
  <w:style w:type="paragraph" w:customStyle="1" w:styleId="86">
    <w:name w:val="pa-34"/>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styleId="88">
    <w:name w:val="List Paragraph"/>
    <w:basedOn w:val="1"/>
    <w:qFormat/>
    <w:uiPriority w:val="99"/>
    <w:pPr>
      <w:ind w:firstLine="420" w:firstLineChars="200"/>
    </w:pPr>
    <w:rPr>
      <w:rFonts w:ascii="Calibri" w:hAnsi="Calibri"/>
      <w:szCs w:val="22"/>
    </w:rPr>
  </w:style>
  <w:style w:type="paragraph" w:customStyle="1" w:styleId="89">
    <w:name w:val="默认段落字体 Para Char Char Char Char Char Char Char Char Char Char"/>
    <w:basedOn w:val="18"/>
    <w:qFormat/>
    <w:uiPriority w:val="0"/>
    <w:rPr>
      <w:rFonts w:ascii="Tahoma" w:hAnsi="Tahoma"/>
      <w:sz w:val="24"/>
    </w:rPr>
  </w:style>
  <w:style w:type="paragraph" w:customStyle="1" w:styleId="90">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91">
    <w:name w:val="Char Char Char"/>
    <w:basedOn w:val="1"/>
    <w:qFormat/>
    <w:uiPriority w:val="0"/>
    <w:rPr>
      <w:rFonts w:ascii="Tahoma" w:hAnsi="Tahoma"/>
      <w:sz w:val="24"/>
      <w:szCs w:val="20"/>
    </w:rPr>
  </w:style>
  <w:style w:type="paragraph" w:customStyle="1" w:styleId="92">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93">
    <w:name w:val="Char121"/>
    <w:basedOn w:val="1"/>
    <w:qFormat/>
    <w:uiPriority w:val="0"/>
    <w:rPr>
      <w:rFonts w:ascii="仿宋_GB2312" w:eastAsia="仿宋_GB2312"/>
      <w:b/>
      <w:sz w:val="32"/>
      <w:szCs w:val="32"/>
    </w:rPr>
  </w:style>
  <w:style w:type="paragraph" w:customStyle="1" w:styleId="94">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95">
    <w:name w:val="Char1 Char Char Char Char Char Char Char Char Char Char Char Char Char Char Char Char Char Char"/>
    <w:basedOn w:val="1"/>
    <w:qFormat/>
    <w:uiPriority w:val="0"/>
  </w:style>
  <w:style w:type="character" w:customStyle="1" w:styleId="96">
    <w:name w:val="font31"/>
    <w:basedOn w:val="63"/>
    <w:qFormat/>
    <w:uiPriority w:val="0"/>
    <w:rPr>
      <w:rFonts w:hint="eastAsia" w:ascii="宋体" w:hAnsi="宋体" w:eastAsia="宋体" w:cs="宋体"/>
      <w:color w:val="000000"/>
      <w:sz w:val="18"/>
      <w:szCs w:val="18"/>
      <w:u w:val="none"/>
    </w:rPr>
  </w:style>
  <w:style w:type="character" w:customStyle="1" w:styleId="97">
    <w:name w:val="标题 4 Char"/>
    <w:basedOn w:val="63"/>
    <w:link w:val="5"/>
    <w:qFormat/>
    <w:uiPriority w:val="0"/>
    <w:rPr>
      <w:kern w:val="2"/>
      <w:sz w:val="32"/>
    </w:rPr>
  </w:style>
  <w:style w:type="character" w:customStyle="1" w:styleId="98">
    <w:name w:val="标题 5 Char"/>
    <w:basedOn w:val="63"/>
    <w:link w:val="6"/>
    <w:qFormat/>
    <w:uiPriority w:val="0"/>
    <w:rPr>
      <w:rFonts w:ascii="Arial" w:hAnsi="Arial"/>
      <w:b/>
      <w:kern w:val="2"/>
      <w:sz w:val="28"/>
    </w:rPr>
  </w:style>
  <w:style w:type="character" w:customStyle="1" w:styleId="99">
    <w:name w:val="标题 6 Char"/>
    <w:basedOn w:val="63"/>
    <w:link w:val="7"/>
    <w:qFormat/>
    <w:uiPriority w:val="0"/>
    <w:rPr>
      <w:rFonts w:ascii="宋体" w:hAnsi="宋体"/>
      <w:b/>
      <w:kern w:val="2"/>
      <w:sz w:val="24"/>
    </w:rPr>
  </w:style>
  <w:style w:type="character" w:customStyle="1" w:styleId="100">
    <w:name w:val="标题 7 Char"/>
    <w:basedOn w:val="63"/>
    <w:link w:val="8"/>
    <w:qFormat/>
    <w:uiPriority w:val="0"/>
    <w:rPr>
      <w:rFonts w:ascii="宋体" w:eastAsia="仿宋_GB2312"/>
      <w:b/>
      <w:sz w:val="24"/>
    </w:rPr>
  </w:style>
  <w:style w:type="character" w:customStyle="1" w:styleId="101">
    <w:name w:val="标题 8 Char"/>
    <w:basedOn w:val="63"/>
    <w:link w:val="9"/>
    <w:qFormat/>
    <w:uiPriority w:val="0"/>
    <w:rPr>
      <w:rFonts w:ascii="Arial" w:hAnsi="Arial" w:eastAsia="黑体"/>
      <w:sz w:val="24"/>
    </w:rPr>
  </w:style>
  <w:style w:type="character" w:customStyle="1" w:styleId="102">
    <w:name w:val="标题 9 Char"/>
    <w:basedOn w:val="63"/>
    <w:link w:val="10"/>
    <w:qFormat/>
    <w:uiPriority w:val="0"/>
    <w:rPr>
      <w:rFonts w:ascii="Arial" w:hAnsi="Arial" w:eastAsia="黑体"/>
      <w:sz w:val="28"/>
    </w:rPr>
  </w:style>
  <w:style w:type="character" w:customStyle="1" w:styleId="103">
    <w:name w:val="称呼 Char1"/>
    <w:basedOn w:val="63"/>
    <w:qFormat/>
    <w:uiPriority w:val="0"/>
    <w:rPr>
      <w:kern w:val="2"/>
      <w:sz w:val="21"/>
      <w:szCs w:val="24"/>
    </w:rPr>
  </w:style>
  <w:style w:type="character" w:customStyle="1" w:styleId="104">
    <w:name w:val="tip8"/>
    <w:basedOn w:val="63"/>
    <w:qFormat/>
    <w:uiPriority w:val="0"/>
    <w:rPr>
      <w:vanish/>
      <w:color w:val="FF0000"/>
      <w:sz w:val="18"/>
      <w:szCs w:val="18"/>
    </w:rPr>
  </w:style>
  <w:style w:type="character" w:customStyle="1" w:styleId="105">
    <w:name w:val="标题 3 Char Char"/>
    <w:qFormat/>
    <w:uiPriority w:val="0"/>
    <w:rPr>
      <w:rFonts w:ascii="宋体" w:hAnsi="宋体" w:cs="Arial"/>
    </w:rPr>
  </w:style>
  <w:style w:type="character" w:customStyle="1" w:styleId="106">
    <w:name w:val="标题 1 Char"/>
    <w:basedOn w:val="63"/>
    <w:link w:val="3"/>
    <w:qFormat/>
    <w:uiPriority w:val="0"/>
    <w:rPr>
      <w:rFonts w:eastAsia="楷体_GB2312"/>
      <w:b/>
      <w:bCs/>
      <w:kern w:val="44"/>
      <w:sz w:val="32"/>
      <w:szCs w:val="44"/>
    </w:rPr>
  </w:style>
  <w:style w:type="character" w:customStyle="1" w:styleId="107">
    <w:name w:val="Body Text Indent 2 Char"/>
    <w:qFormat/>
    <w:locked/>
    <w:uiPriority w:val="0"/>
    <w:rPr>
      <w:rFonts w:ascii="Times New Roman" w:hAnsi="Times New Roman" w:eastAsia="宋体" w:cs="Times New Roman"/>
      <w:sz w:val="24"/>
      <w:szCs w:val="24"/>
    </w:rPr>
  </w:style>
  <w:style w:type="character" w:customStyle="1" w:styleId="108">
    <w:name w:val="text11"/>
    <w:basedOn w:val="63"/>
    <w:qFormat/>
    <w:uiPriority w:val="0"/>
    <w:rPr>
      <w:rFonts w:hint="default" w:ascii="Verdana" w:hAnsi="Verdana"/>
      <w:color w:val="4E4E4E"/>
      <w:spacing w:val="270"/>
      <w:sz w:val="18"/>
      <w:szCs w:val="18"/>
    </w:rPr>
  </w:style>
  <w:style w:type="character" w:customStyle="1" w:styleId="109">
    <w:name w:val="样式 标题 3h3Heading 3 -Level 3 HeadH + 段前: 0 磅 段后: 0 磅 Char Char"/>
    <w:link w:val="110"/>
    <w:qFormat/>
    <w:locked/>
    <w:uiPriority w:val="0"/>
    <w:rPr>
      <w:rFonts w:cs="宋体"/>
      <w:b/>
      <w:bCs/>
      <w:kern w:val="2"/>
      <w:sz w:val="24"/>
      <w:szCs w:val="24"/>
    </w:rPr>
  </w:style>
  <w:style w:type="paragraph" w:customStyle="1" w:styleId="110">
    <w:name w:val="样式 标题 3h3Heading 3 -Level 3 HeadH + 段前: 0 磅 段后: 0 磅"/>
    <w:basedOn w:val="4"/>
    <w:link w:val="109"/>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111">
    <w:name w:val="style191"/>
    <w:qFormat/>
    <w:uiPriority w:val="0"/>
    <w:rPr>
      <w:rFonts w:ascii="Arial" w:hAnsi="Arial" w:cs="Arial"/>
      <w:b/>
      <w:bCs/>
      <w:color w:val="888888"/>
      <w:sz w:val="21"/>
      <w:szCs w:val="21"/>
    </w:rPr>
  </w:style>
  <w:style w:type="character" w:customStyle="1" w:styleId="112">
    <w:name w:val="style51"/>
    <w:basedOn w:val="63"/>
    <w:qFormat/>
    <w:uiPriority w:val="0"/>
    <w:rPr>
      <w:color w:val="000000"/>
      <w:sz w:val="18"/>
      <w:szCs w:val="18"/>
    </w:rPr>
  </w:style>
  <w:style w:type="character" w:customStyle="1" w:styleId="113">
    <w:name w:val="批注文字 Char"/>
    <w:basedOn w:val="63"/>
    <w:qFormat/>
    <w:uiPriority w:val="0"/>
    <w:rPr>
      <w:kern w:val="2"/>
      <w:sz w:val="21"/>
      <w:szCs w:val="24"/>
      <w:lang w:bidi="ar-SA"/>
    </w:rPr>
  </w:style>
  <w:style w:type="character" w:customStyle="1" w:styleId="114">
    <w:name w:val="bds_more"/>
    <w:basedOn w:val="63"/>
    <w:qFormat/>
    <w:uiPriority w:val="0"/>
  </w:style>
  <w:style w:type="character" w:customStyle="1" w:styleId="115">
    <w:name w:val="location1"/>
    <w:basedOn w:val="63"/>
    <w:qFormat/>
    <w:uiPriority w:val="0"/>
    <w:rPr>
      <w:rFonts w:hint="default" w:ascii="Verdana" w:hAnsi="Verdana"/>
      <w:sz w:val="20"/>
      <w:szCs w:val="20"/>
    </w:rPr>
  </w:style>
  <w:style w:type="character" w:customStyle="1" w:styleId="116">
    <w:name w:val="bds_nopic"/>
    <w:basedOn w:val="63"/>
    <w:qFormat/>
    <w:uiPriority w:val="0"/>
  </w:style>
  <w:style w:type="character" w:customStyle="1" w:styleId="117">
    <w:name w:val="Char Char1"/>
    <w:basedOn w:val="63"/>
    <w:qFormat/>
    <w:uiPriority w:val="0"/>
    <w:rPr>
      <w:sz w:val="18"/>
    </w:rPr>
  </w:style>
  <w:style w:type="character" w:customStyle="1" w:styleId="118">
    <w:name w:val="hui3"/>
    <w:qFormat/>
    <w:uiPriority w:val="0"/>
    <w:rPr>
      <w:color w:val="333333"/>
    </w:rPr>
  </w:style>
  <w:style w:type="character" w:customStyle="1" w:styleId="119">
    <w:name w:val="文档结构图 Char"/>
    <w:link w:val="18"/>
    <w:qFormat/>
    <w:uiPriority w:val="0"/>
    <w:rPr>
      <w:kern w:val="2"/>
      <w:sz w:val="21"/>
      <w:szCs w:val="24"/>
      <w:shd w:val="clear" w:color="auto" w:fill="000080"/>
    </w:rPr>
  </w:style>
  <w:style w:type="character" w:customStyle="1" w:styleId="120">
    <w:name w:val="Normal Indent Char"/>
    <w:qFormat/>
    <w:locked/>
    <w:uiPriority w:val="0"/>
    <w:rPr>
      <w:rFonts w:ascii="Plotter" w:hAnsi="Plotter" w:eastAsia="宋体" w:cs="Times New Roman"/>
      <w:sz w:val="24"/>
      <w:szCs w:val="24"/>
    </w:rPr>
  </w:style>
  <w:style w:type="character" w:customStyle="1" w:styleId="121">
    <w:name w:val="正文文本 2 Char"/>
    <w:link w:val="25"/>
    <w:qFormat/>
    <w:uiPriority w:val="0"/>
    <w:rPr>
      <w:rFonts w:ascii="楷体_GB2312" w:eastAsia="楷体_GB2312"/>
      <w:b/>
      <w:kern w:val="2"/>
      <w:sz w:val="36"/>
      <w:szCs w:val="48"/>
    </w:rPr>
  </w:style>
  <w:style w:type="character" w:customStyle="1" w:styleId="122">
    <w:name w:val="Heading 3 Char Char"/>
    <w:qFormat/>
    <w:locked/>
    <w:uiPriority w:val="0"/>
    <w:rPr>
      <w:rFonts w:ascii="Plotter" w:hAnsi="Plotter" w:eastAsia="宋体" w:cs="Plotter"/>
      <w:b/>
      <w:bCs/>
      <w:sz w:val="32"/>
      <w:szCs w:val="32"/>
    </w:rPr>
  </w:style>
  <w:style w:type="character" w:customStyle="1" w:styleId="123">
    <w:name w:val="Char Char Char Char Char Char Char Char Char Char Char Char Char"/>
    <w:basedOn w:val="63"/>
    <w:qFormat/>
    <w:uiPriority w:val="0"/>
    <w:rPr>
      <w:kern w:val="2"/>
      <w:sz w:val="18"/>
      <w:szCs w:val="18"/>
    </w:rPr>
  </w:style>
  <w:style w:type="character" w:customStyle="1" w:styleId="124">
    <w:name w:val="Anrede1IhrZeichen"/>
    <w:qFormat/>
    <w:uiPriority w:val="0"/>
    <w:rPr>
      <w:rFonts w:ascii="Arial" w:hAnsi="Arial"/>
      <w:sz w:val="20"/>
    </w:rPr>
  </w:style>
  <w:style w:type="character" w:customStyle="1" w:styleId="125">
    <w:name w:val="ui-bz-bg-hover1"/>
    <w:basedOn w:val="63"/>
    <w:qFormat/>
    <w:uiPriority w:val="0"/>
  </w:style>
  <w:style w:type="character" w:customStyle="1" w:styleId="126">
    <w:name w:val="font91"/>
    <w:qFormat/>
    <w:uiPriority w:val="0"/>
    <w:rPr>
      <w:rFonts w:cs="Times New Roman"/>
      <w:color w:val="000000"/>
      <w:sz w:val="18"/>
      <w:szCs w:val="18"/>
    </w:rPr>
  </w:style>
  <w:style w:type="character" w:customStyle="1" w:styleId="127">
    <w:name w:val="文字 Char Char"/>
    <w:link w:val="128"/>
    <w:qFormat/>
    <w:locked/>
    <w:uiPriority w:val="0"/>
    <w:rPr>
      <w:rFonts w:ascii="宋体" w:hAnsi="宋体"/>
      <w:sz w:val="28"/>
    </w:rPr>
  </w:style>
  <w:style w:type="paragraph" w:customStyle="1" w:styleId="128">
    <w:name w:val="文字"/>
    <w:basedOn w:val="1"/>
    <w:link w:val="127"/>
    <w:qFormat/>
    <w:uiPriority w:val="0"/>
    <w:pPr>
      <w:tabs>
        <w:tab w:val="left" w:pos="8520"/>
      </w:tabs>
      <w:spacing w:line="312" w:lineRule="auto"/>
      <w:ind w:right="-210" w:firstLine="556"/>
      <w:jc w:val="left"/>
    </w:pPr>
    <w:rPr>
      <w:rFonts w:ascii="宋体" w:hAnsi="宋体"/>
      <w:kern w:val="0"/>
      <w:sz w:val="28"/>
      <w:szCs w:val="20"/>
    </w:rPr>
  </w:style>
  <w:style w:type="character" w:customStyle="1" w:styleId="129">
    <w:name w:val="c13px1"/>
    <w:qFormat/>
    <w:uiPriority w:val="0"/>
    <w:rPr>
      <w:rFonts w:cs="Times New Roman"/>
      <w:spacing w:val="480"/>
      <w:sz w:val="20"/>
      <w:szCs w:val="20"/>
    </w:rPr>
  </w:style>
  <w:style w:type="character" w:customStyle="1" w:styleId="130">
    <w:name w:val="标题 1 Char Char"/>
    <w:qFormat/>
    <w:uiPriority w:val="0"/>
    <w:rPr>
      <w:rFonts w:hint="default" w:ascii="Times New Roman" w:hAnsi="Times New Roman" w:cs="Times New Roman"/>
      <w:b/>
      <w:kern w:val="44"/>
      <w:sz w:val="44"/>
    </w:rPr>
  </w:style>
  <w:style w:type="character" w:customStyle="1" w:styleId="131">
    <w:name w:val="正文文本缩进 Char Char"/>
    <w:qFormat/>
    <w:uiPriority w:val="0"/>
    <w:rPr>
      <w:rFonts w:eastAsia="宋体"/>
      <w:kern w:val="2"/>
      <w:sz w:val="24"/>
      <w:lang w:val="en-US" w:eastAsia="zh-CN" w:bidi="ar-SA"/>
    </w:rPr>
  </w:style>
  <w:style w:type="character" w:customStyle="1" w:styleId="132">
    <w:name w:val="no52"/>
    <w:basedOn w:val="63"/>
    <w:qFormat/>
    <w:uiPriority w:val="0"/>
  </w:style>
  <w:style w:type="character" w:customStyle="1" w:styleId="133">
    <w:name w:val="style41"/>
    <w:qFormat/>
    <w:uiPriority w:val="0"/>
    <w:rPr>
      <w:rFonts w:hint="eastAsia" w:ascii="新宋体" w:hAnsi="新宋体" w:eastAsia="新宋体"/>
      <w:sz w:val="21"/>
      <w:szCs w:val="21"/>
    </w:rPr>
  </w:style>
  <w:style w:type="character" w:customStyle="1" w:styleId="134">
    <w:name w:val="f-star"/>
    <w:basedOn w:val="63"/>
    <w:qFormat/>
    <w:uiPriority w:val="0"/>
    <w:rPr>
      <w:color w:val="999999"/>
      <w:sz w:val="21"/>
      <w:szCs w:val="21"/>
    </w:rPr>
  </w:style>
  <w:style w:type="character" w:customStyle="1" w:styleId="135">
    <w:name w:val="样式1 Char Char"/>
    <w:link w:val="136"/>
    <w:qFormat/>
    <w:locked/>
    <w:uiPriority w:val="0"/>
    <w:rPr>
      <w:kern w:val="2"/>
      <w:sz w:val="18"/>
      <w:szCs w:val="18"/>
    </w:rPr>
  </w:style>
  <w:style w:type="paragraph" w:customStyle="1" w:styleId="136">
    <w:name w:val="样式1"/>
    <w:basedOn w:val="40"/>
    <w:link w:val="135"/>
    <w:qFormat/>
    <w:uiPriority w:val="0"/>
  </w:style>
  <w:style w:type="character" w:customStyle="1" w:styleId="137">
    <w:name w:val="style61"/>
    <w:qFormat/>
    <w:uiPriority w:val="0"/>
    <w:rPr>
      <w:rFonts w:ascii="Arial" w:hAnsi="Arial" w:cs="Arial"/>
      <w:b/>
      <w:bCs/>
      <w:color w:val="888888"/>
      <w:sz w:val="21"/>
      <w:szCs w:val="21"/>
    </w:rPr>
  </w:style>
  <w:style w:type="character" w:customStyle="1" w:styleId="138">
    <w:name w:val="正文首行缩进 2 Char"/>
    <w:link w:val="60"/>
    <w:qFormat/>
    <w:uiPriority w:val="0"/>
    <w:rPr>
      <w:kern w:val="2"/>
      <w:sz w:val="21"/>
    </w:rPr>
  </w:style>
  <w:style w:type="character" w:customStyle="1" w:styleId="139">
    <w:name w:val="font1"/>
    <w:qFormat/>
    <w:uiPriority w:val="0"/>
    <w:rPr>
      <w:rFonts w:cs="Times New Roman"/>
      <w:spacing w:val="300"/>
      <w:sz w:val="18"/>
      <w:szCs w:val="18"/>
    </w:rPr>
  </w:style>
  <w:style w:type="character" w:customStyle="1" w:styleId="140">
    <w:name w:val="text_121"/>
    <w:qFormat/>
    <w:uiPriority w:val="0"/>
    <w:rPr>
      <w:rFonts w:ascii="s?" w:hAnsi="s?" w:cs="Times New Roman"/>
      <w:color w:val="000000"/>
      <w:spacing w:val="321"/>
      <w:sz w:val="15"/>
      <w:szCs w:val="15"/>
    </w:rPr>
  </w:style>
  <w:style w:type="character" w:customStyle="1" w:styleId="141">
    <w:name w:val="location"/>
    <w:basedOn w:val="63"/>
    <w:qFormat/>
    <w:uiPriority w:val="0"/>
  </w:style>
  <w:style w:type="character" w:customStyle="1" w:styleId="142">
    <w:name w:val="正文首行缩进 2 Char1"/>
    <w:basedOn w:val="143"/>
    <w:qFormat/>
    <w:uiPriority w:val="0"/>
    <w:rPr>
      <w:rFonts w:ascii="楷体_GB2312" w:eastAsia="楷体_GB2312"/>
      <w:sz w:val="28"/>
    </w:rPr>
  </w:style>
  <w:style w:type="character" w:customStyle="1" w:styleId="143">
    <w:name w:val="正文文本缩进 Char"/>
    <w:basedOn w:val="63"/>
    <w:qFormat/>
    <w:uiPriority w:val="0"/>
    <w:rPr>
      <w:rFonts w:ascii="楷体_GB2312" w:eastAsia="楷体_GB2312"/>
      <w:sz w:val="28"/>
    </w:rPr>
  </w:style>
  <w:style w:type="character" w:customStyle="1" w:styleId="144">
    <w:name w:val="样式8 Char Char"/>
    <w:qFormat/>
    <w:uiPriority w:val="0"/>
    <w:rPr>
      <w:rFonts w:ascii="宋体" w:hAnsi="宋体" w:eastAsia="宋体"/>
      <w:b/>
      <w:kern w:val="44"/>
      <w:sz w:val="32"/>
      <w:lang w:val="en-US" w:eastAsia="zh-CN" w:bidi="ar-SA"/>
    </w:rPr>
  </w:style>
  <w:style w:type="character" w:customStyle="1" w:styleId="145">
    <w:name w:val="Char Char Char Char Char"/>
    <w:basedOn w:val="63"/>
    <w:qFormat/>
    <w:uiPriority w:val="0"/>
    <w:rPr>
      <w:kern w:val="2"/>
      <w:sz w:val="18"/>
      <w:szCs w:val="18"/>
    </w:rPr>
  </w:style>
  <w:style w:type="character" w:customStyle="1" w:styleId="146">
    <w:name w:val="my-class2"/>
    <w:basedOn w:val="63"/>
    <w:qFormat/>
    <w:uiPriority w:val="0"/>
  </w:style>
  <w:style w:type="character" w:customStyle="1" w:styleId="147">
    <w:name w:val="签名 Char"/>
    <w:link w:val="41"/>
    <w:qFormat/>
    <w:uiPriority w:val="0"/>
  </w:style>
  <w:style w:type="character" w:customStyle="1" w:styleId="148">
    <w:name w:val="l151"/>
    <w:basedOn w:val="63"/>
    <w:qFormat/>
    <w:uiPriority w:val="0"/>
  </w:style>
  <w:style w:type="character" w:customStyle="1" w:styleId="149">
    <w:name w:val="org_name2"/>
    <w:basedOn w:val="63"/>
    <w:qFormat/>
    <w:uiPriority w:val="0"/>
  </w:style>
  <w:style w:type="character" w:customStyle="1" w:styleId="150">
    <w:name w:val="my-notice1"/>
    <w:basedOn w:val="63"/>
    <w:qFormat/>
    <w:uiPriority w:val="0"/>
  </w:style>
  <w:style w:type="character" w:customStyle="1" w:styleId="151">
    <w:name w:val="font61"/>
    <w:basedOn w:val="63"/>
    <w:qFormat/>
    <w:uiPriority w:val="0"/>
    <w:rPr>
      <w:rFonts w:hint="eastAsia" w:ascii="宋体" w:hAnsi="宋体" w:eastAsia="宋体" w:cs="宋体"/>
      <w:color w:val="000000"/>
      <w:sz w:val="20"/>
      <w:szCs w:val="20"/>
      <w:u w:val="none"/>
    </w:rPr>
  </w:style>
  <w:style w:type="character" w:customStyle="1" w:styleId="152">
    <w:name w:val="批注框文本 Char"/>
    <w:link w:val="38"/>
    <w:qFormat/>
    <w:uiPriority w:val="0"/>
    <w:rPr>
      <w:kern w:val="2"/>
      <w:sz w:val="18"/>
      <w:szCs w:val="18"/>
    </w:rPr>
  </w:style>
  <w:style w:type="character" w:customStyle="1" w:styleId="153">
    <w:name w:val="orange"/>
    <w:basedOn w:val="63"/>
    <w:qFormat/>
    <w:uiPriority w:val="0"/>
    <w:rPr>
      <w:color w:val="3FB58F"/>
    </w:rPr>
  </w:style>
  <w:style w:type="character" w:customStyle="1" w:styleId="154">
    <w:name w:val="正文文本 3 Char"/>
    <w:link w:val="22"/>
    <w:qFormat/>
    <w:uiPriority w:val="0"/>
    <w:rPr>
      <w:b/>
      <w:bCs/>
      <w:kern w:val="2"/>
      <w:sz w:val="24"/>
      <w:szCs w:val="24"/>
    </w:rPr>
  </w:style>
  <w:style w:type="character" w:customStyle="1" w:styleId="155">
    <w:name w:val="页眉 Char"/>
    <w:link w:val="40"/>
    <w:qFormat/>
    <w:uiPriority w:val="99"/>
    <w:rPr>
      <w:kern w:val="2"/>
      <w:sz w:val="18"/>
      <w:szCs w:val="18"/>
    </w:rPr>
  </w:style>
  <w:style w:type="character" w:customStyle="1" w:styleId="156">
    <w:name w:val="search_content1"/>
    <w:basedOn w:val="63"/>
    <w:qFormat/>
    <w:uiPriority w:val="0"/>
    <w:rPr>
      <w:sz w:val="20"/>
      <w:szCs w:val="20"/>
    </w:rPr>
  </w:style>
  <w:style w:type="character" w:customStyle="1" w:styleId="157">
    <w:name w:val="no62"/>
    <w:basedOn w:val="63"/>
    <w:qFormat/>
    <w:uiPriority w:val="0"/>
  </w:style>
  <w:style w:type="character" w:customStyle="1" w:styleId="158">
    <w:name w:val="no42"/>
    <w:basedOn w:val="63"/>
    <w:qFormat/>
    <w:uiPriority w:val="0"/>
  </w:style>
  <w:style w:type="character" w:customStyle="1" w:styleId="159">
    <w:name w:val="ca-51"/>
    <w:qFormat/>
    <w:uiPriority w:val="0"/>
    <w:rPr>
      <w:rFonts w:hint="eastAsia" w:ascii="宋体" w:hAnsi="宋体" w:eastAsia="宋体"/>
      <w:sz w:val="24"/>
      <w:szCs w:val="24"/>
    </w:rPr>
  </w:style>
  <w:style w:type="character" w:customStyle="1" w:styleId="160">
    <w:name w:val="正文（缩进） Char Char"/>
    <w:link w:val="161"/>
    <w:qFormat/>
    <w:uiPriority w:val="0"/>
    <w:rPr>
      <w:kern w:val="2"/>
      <w:sz w:val="24"/>
      <w:szCs w:val="24"/>
    </w:rPr>
  </w:style>
  <w:style w:type="paragraph" w:customStyle="1" w:styleId="161">
    <w:name w:val="正文（缩进）"/>
    <w:basedOn w:val="1"/>
    <w:link w:val="160"/>
    <w:qFormat/>
    <w:uiPriority w:val="0"/>
    <w:pPr>
      <w:spacing w:beforeLines="50" w:afterLines="50" w:line="360" w:lineRule="auto"/>
      <w:ind w:firstLine="480" w:firstLineChars="200"/>
    </w:pPr>
    <w:rPr>
      <w:sz w:val="24"/>
    </w:rPr>
  </w:style>
  <w:style w:type="character" w:customStyle="1" w:styleId="162">
    <w:name w:val="point_normal"/>
    <w:basedOn w:val="63"/>
    <w:qFormat/>
    <w:uiPriority w:val="0"/>
  </w:style>
  <w:style w:type="character" w:customStyle="1" w:styleId="163">
    <w:name w:val="f71"/>
    <w:basedOn w:val="63"/>
    <w:qFormat/>
    <w:uiPriority w:val="0"/>
    <w:rPr>
      <w:spacing w:val="375"/>
      <w:sz w:val="18"/>
      <w:szCs w:val="18"/>
    </w:rPr>
  </w:style>
  <w:style w:type="character" w:customStyle="1" w:styleId="164">
    <w:name w:val="文章标题 Char Char"/>
    <w:qFormat/>
    <w:uiPriority w:val="0"/>
    <w:rPr>
      <w:rFonts w:ascii="宋体" w:eastAsia="宋体"/>
    </w:rPr>
  </w:style>
  <w:style w:type="character" w:customStyle="1" w:styleId="165">
    <w:name w:val="正文首行缩进 Char"/>
    <w:link w:val="59"/>
    <w:qFormat/>
    <w:uiPriority w:val="0"/>
    <w:rPr>
      <w:rFonts w:eastAsia="楷体_GB2312"/>
      <w:kern w:val="2"/>
      <w:sz w:val="32"/>
    </w:rPr>
  </w:style>
  <w:style w:type="character" w:customStyle="1" w:styleId="166">
    <w:name w:val="正文-2 Char Char"/>
    <w:link w:val="167"/>
    <w:qFormat/>
    <w:uiPriority w:val="0"/>
    <w:rPr>
      <w:rFonts w:ascii="宋体"/>
      <w:kern w:val="2"/>
      <w:sz w:val="28"/>
      <w:szCs w:val="28"/>
    </w:rPr>
  </w:style>
  <w:style w:type="paragraph" w:customStyle="1" w:styleId="167">
    <w:name w:val="正文-2"/>
    <w:basedOn w:val="1"/>
    <w:link w:val="166"/>
    <w:qFormat/>
    <w:uiPriority w:val="0"/>
    <w:pPr>
      <w:spacing w:line="500" w:lineRule="exact"/>
      <w:ind w:firstLine="200" w:firstLineChars="200"/>
    </w:pPr>
    <w:rPr>
      <w:rFonts w:ascii="宋体"/>
      <w:sz w:val="28"/>
      <w:szCs w:val="28"/>
    </w:rPr>
  </w:style>
  <w:style w:type="character" w:customStyle="1" w:styleId="168">
    <w:name w:val="标五 Char Char"/>
    <w:qFormat/>
    <w:uiPriority w:val="0"/>
    <w:rPr>
      <w:rFonts w:ascii="仿宋_GB2312" w:hAnsi="Plotter" w:eastAsia="仿宋_GB2312" w:cs="Plotter"/>
      <w:kern w:val="2"/>
      <w:sz w:val="24"/>
      <w:szCs w:val="24"/>
      <w:lang w:val="en-US" w:eastAsia="zh-CN" w:bidi="ar-SA"/>
    </w:rPr>
  </w:style>
  <w:style w:type="character" w:customStyle="1" w:styleId="169">
    <w:name w:val="Para head"/>
    <w:qFormat/>
    <w:uiPriority w:val="0"/>
    <w:rPr>
      <w:rFonts w:ascii="Arial" w:hAnsi="Arial" w:cs="Times New Roman"/>
      <w:sz w:val="20"/>
    </w:rPr>
  </w:style>
  <w:style w:type="character" w:customStyle="1" w:styleId="170">
    <w:name w:val="v151"/>
    <w:qFormat/>
    <w:uiPriority w:val="0"/>
    <w:rPr>
      <w:rFonts w:cs="Times New Roman"/>
      <w:sz w:val="18"/>
      <w:szCs w:val="18"/>
    </w:rPr>
  </w:style>
  <w:style w:type="character" w:customStyle="1" w:styleId="171">
    <w:name w:val="正文文本 Char"/>
    <w:qFormat/>
    <w:uiPriority w:val="0"/>
    <w:rPr>
      <w:kern w:val="2"/>
      <w:sz w:val="21"/>
      <w:szCs w:val="24"/>
    </w:rPr>
  </w:style>
  <w:style w:type="character" w:customStyle="1" w:styleId="172">
    <w:name w:val="页脚 Char"/>
    <w:basedOn w:val="63"/>
    <w:link w:val="39"/>
    <w:qFormat/>
    <w:uiPriority w:val="99"/>
    <w:rPr>
      <w:kern w:val="2"/>
      <w:sz w:val="18"/>
      <w:szCs w:val="18"/>
    </w:rPr>
  </w:style>
  <w:style w:type="character" w:customStyle="1" w:styleId="173">
    <w:name w:val="Plain Text Char"/>
    <w:qFormat/>
    <w:locked/>
    <w:uiPriority w:val="0"/>
    <w:rPr>
      <w:rFonts w:ascii="宋体" w:hAnsi="Courier New" w:eastAsia="宋体" w:cs="Times New Roman"/>
      <w:sz w:val="20"/>
      <w:szCs w:val="20"/>
    </w:rPr>
  </w:style>
  <w:style w:type="character" w:customStyle="1" w:styleId="174">
    <w:name w:val="top-icon"/>
    <w:basedOn w:val="63"/>
    <w:qFormat/>
    <w:uiPriority w:val="0"/>
  </w:style>
  <w:style w:type="character" w:customStyle="1" w:styleId="175">
    <w:name w:val="apple-style-span"/>
    <w:basedOn w:val="63"/>
    <w:qFormat/>
    <w:uiPriority w:val="0"/>
  </w:style>
  <w:style w:type="character" w:customStyle="1" w:styleId="176">
    <w:name w:val="proshowid1"/>
    <w:qFormat/>
    <w:uiPriority w:val="0"/>
    <w:rPr>
      <w:b/>
      <w:bCs/>
      <w:color w:val="4C5D65"/>
    </w:rPr>
  </w:style>
  <w:style w:type="character" w:customStyle="1" w:styleId="177">
    <w:name w:val="标题 2 Char"/>
    <w:basedOn w:val="63"/>
    <w:link w:val="2"/>
    <w:qFormat/>
    <w:uiPriority w:val="0"/>
    <w:rPr>
      <w:rFonts w:ascii="Arial" w:hAnsi="Arial" w:eastAsia="黑体"/>
      <w:b/>
      <w:bCs/>
      <w:kern w:val="2"/>
      <w:sz w:val="32"/>
      <w:szCs w:val="32"/>
    </w:rPr>
  </w:style>
  <w:style w:type="character" w:customStyle="1" w:styleId="178">
    <w:name w:val="称呼 Char"/>
    <w:link w:val="21"/>
    <w:qFormat/>
    <w:uiPriority w:val="0"/>
    <w:rPr>
      <w:rFonts w:ascii="宋体"/>
      <w:sz w:val="28"/>
    </w:rPr>
  </w:style>
  <w:style w:type="character" w:customStyle="1" w:styleId="179">
    <w:name w:val="正文文本缩进 2 Char"/>
    <w:link w:val="36"/>
    <w:qFormat/>
    <w:uiPriority w:val="0"/>
    <w:rPr>
      <w:rFonts w:eastAsia="楷体_GB2312"/>
      <w:kern w:val="2"/>
      <w:sz w:val="28"/>
      <w:szCs w:val="24"/>
    </w:rPr>
  </w:style>
  <w:style w:type="character" w:customStyle="1" w:styleId="180">
    <w:name w:val="style141"/>
    <w:qFormat/>
    <w:uiPriority w:val="0"/>
    <w:rPr>
      <w:rFonts w:ascii="宋体" w:hAnsi="宋体" w:eastAsia="宋体" w:cs="Times New Roman"/>
      <w:b/>
      <w:bCs/>
      <w:color w:val="888888"/>
      <w:sz w:val="21"/>
      <w:szCs w:val="21"/>
    </w:rPr>
  </w:style>
  <w:style w:type="character" w:customStyle="1" w:styleId="181">
    <w:name w:val="标题 21 Char Char"/>
    <w:qFormat/>
    <w:uiPriority w:val="0"/>
    <w:rPr>
      <w:rFonts w:ascii="宋体" w:eastAsia="宋体"/>
      <w:sz w:val="24"/>
    </w:rPr>
  </w:style>
  <w:style w:type="character" w:customStyle="1" w:styleId="182">
    <w:name w:val="bds_more1"/>
    <w:basedOn w:val="63"/>
    <w:qFormat/>
    <w:uiPriority w:val="0"/>
    <w:rPr>
      <w:rFonts w:hint="eastAsia" w:ascii="宋体" w:hAnsi="宋体" w:eastAsia="宋体" w:cs="宋体"/>
    </w:rPr>
  </w:style>
  <w:style w:type="character" w:customStyle="1" w:styleId="183">
    <w:name w:val="font121"/>
    <w:qFormat/>
    <w:uiPriority w:val="0"/>
    <w:rPr>
      <w:rFonts w:cs="Times New Roman"/>
      <w:spacing w:val="330"/>
      <w:sz w:val="18"/>
      <w:szCs w:val="18"/>
      <w:u w:val="none"/>
    </w:rPr>
  </w:style>
  <w:style w:type="character" w:customStyle="1" w:styleId="184">
    <w:name w:val="style8 style20"/>
    <w:qFormat/>
    <w:uiPriority w:val="0"/>
    <w:rPr>
      <w:rFonts w:cs="Times New Roman"/>
    </w:rPr>
  </w:style>
  <w:style w:type="character" w:customStyle="1" w:styleId="185">
    <w:name w:val="hg1"/>
    <w:qFormat/>
    <w:uiPriority w:val="0"/>
    <w:rPr>
      <w:rFonts w:cs="Times New Roman"/>
      <w:spacing w:val="480"/>
      <w:sz w:val="24"/>
      <w:szCs w:val="24"/>
    </w:rPr>
  </w:style>
  <w:style w:type="character" w:customStyle="1" w:styleId="186">
    <w:name w:val="Normal Char"/>
    <w:qFormat/>
    <w:uiPriority w:val="0"/>
    <w:rPr>
      <w:rFonts w:ascii="宋体" w:eastAsia="宋体" w:cs="Times New Roman"/>
      <w:sz w:val="24"/>
      <w:lang w:val="en-US" w:eastAsia="zh-CN"/>
    </w:rPr>
  </w:style>
  <w:style w:type="character" w:customStyle="1" w:styleId="187">
    <w:name w:val="正文 1 Char Char"/>
    <w:link w:val="188"/>
    <w:qFormat/>
    <w:locked/>
    <w:uiPriority w:val="0"/>
    <w:rPr>
      <w:sz w:val="24"/>
    </w:rPr>
  </w:style>
  <w:style w:type="paragraph" w:customStyle="1" w:styleId="188">
    <w:name w:val="正文 1"/>
    <w:basedOn w:val="1"/>
    <w:link w:val="187"/>
    <w:qFormat/>
    <w:uiPriority w:val="0"/>
    <w:pPr>
      <w:autoSpaceDE w:val="0"/>
      <w:autoSpaceDN w:val="0"/>
      <w:adjustRightInd w:val="0"/>
      <w:spacing w:before="80" w:after="80"/>
      <w:ind w:left="1417"/>
      <w:jc w:val="left"/>
    </w:pPr>
    <w:rPr>
      <w:kern w:val="0"/>
      <w:sz w:val="24"/>
      <w:szCs w:val="20"/>
    </w:rPr>
  </w:style>
  <w:style w:type="character" w:customStyle="1" w:styleId="189">
    <w:name w:val="五号正文（标准） Char Char"/>
    <w:qFormat/>
    <w:uiPriority w:val="0"/>
    <w:rPr>
      <w:rFonts w:ascii="仿宋_GB2312" w:hAnsi="宋体" w:eastAsia="仿宋_GB2312" w:cs="Plotter"/>
      <w:kern w:val="2"/>
      <w:sz w:val="24"/>
      <w:szCs w:val="24"/>
      <w:lang w:val="en-US" w:eastAsia="zh-CN" w:bidi="ar-SA"/>
    </w:rPr>
  </w:style>
  <w:style w:type="character" w:customStyle="1" w:styleId="190">
    <w:name w:val="脚注文本 Char"/>
    <w:link w:val="47"/>
    <w:qFormat/>
    <w:uiPriority w:val="0"/>
    <w:rPr>
      <w:lang w:eastAsia="en-US"/>
    </w:rPr>
  </w:style>
  <w:style w:type="character" w:customStyle="1" w:styleId="191">
    <w:name w:val="正文文本缩进 3 Char"/>
    <w:link w:val="50"/>
    <w:qFormat/>
    <w:uiPriority w:val="0"/>
    <w:rPr>
      <w:rFonts w:eastAsia="楷体_GB2312"/>
      <w:kern w:val="2"/>
      <w:sz w:val="28"/>
      <w:szCs w:val="24"/>
    </w:rPr>
  </w:style>
  <w:style w:type="character" w:customStyle="1" w:styleId="192">
    <w:name w:val="尾注文本 Char"/>
    <w:link w:val="37"/>
    <w:qFormat/>
    <w:uiPriority w:val="0"/>
  </w:style>
  <w:style w:type="character" w:customStyle="1" w:styleId="193">
    <w:name w:val="indent1 Char Char"/>
    <w:basedOn w:val="63"/>
    <w:link w:val="194"/>
    <w:qFormat/>
    <w:uiPriority w:val="0"/>
    <w:rPr>
      <w:rFonts w:ascii="宋体" w:hAnsi="宋体"/>
      <w:color w:val="5E5E5E"/>
      <w:sz w:val="18"/>
      <w:szCs w:val="18"/>
    </w:rPr>
  </w:style>
  <w:style w:type="paragraph" w:customStyle="1" w:styleId="194">
    <w:name w:val="indent1"/>
    <w:basedOn w:val="1"/>
    <w:link w:val="193"/>
    <w:qFormat/>
    <w:uiPriority w:val="0"/>
    <w:pPr>
      <w:widowControl/>
      <w:spacing w:after="15" w:line="240" w:lineRule="atLeast"/>
      <w:ind w:firstLine="360"/>
      <w:jc w:val="left"/>
    </w:pPr>
    <w:rPr>
      <w:rFonts w:ascii="宋体" w:hAnsi="宋体"/>
      <w:color w:val="5E5E5E"/>
      <w:kern w:val="0"/>
      <w:sz w:val="18"/>
      <w:szCs w:val="18"/>
    </w:rPr>
  </w:style>
  <w:style w:type="character" w:customStyle="1" w:styleId="195">
    <w:name w:val="unnamed11"/>
    <w:qFormat/>
    <w:uiPriority w:val="0"/>
    <w:rPr>
      <w:rFonts w:cs="Times New Roman"/>
      <w:spacing w:val="280"/>
      <w:sz w:val="18"/>
      <w:szCs w:val="18"/>
    </w:rPr>
  </w:style>
  <w:style w:type="character" w:customStyle="1" w:styleId="196">
    <w:name w:val="批注主题 Char"/>
    <w:basedOn w:val="113"/>
    <w:link w:val="58"/>
    <w:qFormat/>
    <w:uiPriority w:val="0"/>
    <w:rPr>
      <w:b/>
      <w:bCs/>
      <w:kern w:val="2"/>
      <w:sz w:val="21"/>
      <w:szCs w:val="24"/>
      <w:lang w:bidi="ar-SA"/>
    </w:rPr>
  </w:style>
  <w:style w:type="character" w:customStyle="1" w:styleId="197">
    <w:name w:val="huei12b1"/>
    <w:basedOn w:val="63"/>
    <w:qFormat/>
    <w:uiPriority w:val="0"/>
    <w:rPr>
      <w:b/>
      <w:bCs/>
      <w:color w:val="333333"/>
      <w:sz w:val="18"/>
      <w:szCs w:val="18"/>
    </w:rPr>
  </w:style>
  <w:style w:type="character" w:customStyle="1" w:styleId="198">
    <w:name w:val="签名 Char1"/>
    <w:basedOn w:val="63"/>
    <w:qFormat/>
    <w:uiPriority w:val="0"/>
    <w:rPr>
      <w:kern w:val="2"/>
      <w:sz w:val="21"/>
      <w:szCs w:val="24"/>
    </w:rPr>
  </w:style>
  <w:style w:type="character" w:customStyle="1" w:styleId="199">
    <w:name w:val="bds_more2"/>
    <w:basedOn w:val="63"/>
    <w:qFormat/>
    <w:uiPriority w:val="0"/>
  </w:style>
  <w:style w:type="character" w:customStyle="1" w:styleId="200">
    <w:name w:val="t-tag"/>
    <w:basedOn w:val="63"/>
    <w:qFormat/>
    <w:uiPriority w:val="0"/>
    <w:rPr>
      <w:color w:val="FFFFFF"/>
      <w:sz w:val="18"/>
      <w:szCs w:val="18"/>
      <w:shd w:val="clear" w:color="auto" w:fill="FE8833"/>
    </w:rPr>
  </w:style>
  <w:style w:type="character" w:customStyle="1" w:styleId="201">
    <w:name w:val="无间隔 Char"/>
    <w:link w:val="202"/>
    <w:qFormat/>
    <w:locked/>
    <w:uiPriority w:val="0"/>
    <w:rPr>
      <w:kern w:val="2"/>
      <w:sz w:val="21"/>
      <w:szCs w:val="24"/>
      <w:lang w:val="en-US" w:eastAsia="zh-CN" w:bidi="ar-SA"/>
    </w:rPr>
  </w:style>
  <w:style w:type="paragraph" w:customStyle="1" w:styleId="202">
    <w:name w:val="No Spacing1"/>
    <w:link w:val="20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3">
    <w:name w:val="样式 小四 段前: 3 磅 段后: 3 磅 行距: 1.5 倍行距 Char Char"/>
    <w:link w:val="204"/>
    <w:qFormat/>
    <w:locked/>
    <w:uiPriority w:val="0"/>
    <w:rPr>
      <w:rFonts w:cs="宋体"/>
      <w:kern w:val="2"/>
      <w:sz w:val="24"/>
    </w:rPr>
  </w:style>
  <w:style w:type="paragraph" w:customStyle="1" w:styleId="204">
    <w:name w:val="样式 小四 段前: 3 磅 段后: 3 磅 行距: 1.5 倍行距"/>
    <w:basedOn w:val="1"/>
    <w:link w:val="203"/>
    <w:qFormat/>
    <w:uiPriority w:val="0"/>
    <w:pPr>
      <w:spacing w:before="60" w:after="60"/>
      <w:ind w:firstLine="540" w:firstLineChars="225"/>
      <w:jc w:val="left"/>
    </w:pPr>
    <w:rPr>
      <w:sz w:val="24"/>
      <w:szCs w:val="20"/>
    </w:rPr>
  </w:style>
  <w:style w:type="character" w:customStyle="1" w:styleId="205">
    <w:name w:val="Footer Char"/>
    <w:qFormat/>
    <w:locked/>
    <w:uiPriority w:val="0"/>
    <w:rPr>
      <w:rFonts w:cs="Times New Roman"/>
      <w:sz w:val="18"/>
      <w:szCs w:val="18"/>
    </w:rPr>
  </w:style>
  <w:style w:type="character" w:customStyle="1" w:styleId="206">
    <w:name w:val="font51"/>
    <w:basedOn w:val="63"/>
    <w:qFormat/>
    <w:uiPriority w:val="0"/>
    <w:rPr>
      <w:rFonts w:hint="default" w:ascii="Times New Roman" w:hAnsi="Times New Roman" w:cs="Times New Roman"/>
      <w:color w:val="000000"/>
      <w:sz w:val="20"/>
      <w:szCs w:val="20"/>
      <w:u w:val="none"/>
    </w:rPr>
  </w:style>
  <w:style w:type="character" w:customStyle="1" w:styleId="207">
    <w:name w:val="text1"/>
    <w:basedOn w:val="63"/>
    <w:qFormat/>
    <w:uiPriority w:val="0"/>
    <w:rPr>
      <w:color w:val="000000"/>
      <w:spacing w:val="432"/>
      <w:sz w:val="20"/>
      <w:szCs w:val="20"/>
    </w:rPr>
  </w:style>
  <w:style w:type="character" w:customStyle="1" w:styleId="208">
    <w:name w:val="ui-bz-bg-hover"/>
    <w:basedOn w:val="63"/>
    <w:qFormat/>
    <w:uiPriority w:val="0"/>
    <w:rPr>
      <w:shd w:val="clear" w:color="auto" w:fill="000000"/>
    </w:rPr>
  </w:style>
  <w:style w:type="character" w:customStyle="1" w:styleId="209">
    <w:name w:val="my正文 Char Char"/>
    <w:link w:val="210"/>
    <w:qFormat/>
    <w:uiPriority w:val="0"/>
    <w:rPr>
      <w:kern w:val="2"/>
      <w:sz w:val="24"/>
      <w:szCs w:val="24"/>
    </w:rPr>
  </w:style>
  <w:style w:type="paragraph" w:customStyle="1" w:styleId="210">
    <w:name w:val="my正文"/>
    <w:basedOn w:val="1"/>
    <w:link w:val="209"/>
    <w:qFormat/>
    <w:uiPriority w:val="0"/>
    <w:pPr>
      <w:spacing w:line="360" w:lineRule="auto"/>
      <w:ind w:firstLine="480" w:firstLineChars="200"/>
    </w:pPr>
    <w:rPr>
      <w:sz w:val="24"/>
    </w:rPr>
  </w:style>
  <w:style w:type="character" w:customStyle="1" w:styleId="211">
    <w:name w:val="para"/>
    <w:basedOn w:val="63"/>
    <w:qFormat/>
    <w:uiPriority w:val="0"/>
  </w:style>
  <w:style w:type="character" w:customStyle="1" w:styleId="212">
    <w:name w:val="尾注文本 Char1"/>
    <w:basedOn w:val="63"/>
    <w:qFormat/>
    <w:uiPriority w:val="0"/>
    <w:rPr>
      <w:kern w:val="2"/>
      <w:sz w:val="21"/>
      <w:szCs w:val="24"/>
    </w:rPr>
  </w:style>
  <w:style w:type="character" w:customStyle="1" w:styleId="213">
    <w:name w:val="日期 Char"/>
    <w:link w:val="35"/>
    <w:qFormat/>
    <w:uiPriority w:val="0"/>
    <w:rPr>
      <w:kern w:val="2"/>
      <w:sz w:val="24"/>
    </w:rPr>
  </w:style>
  <w:style w:type="character" w:customStyle="1" w:styleId="214">
    <w:name w:val="正文缩进 Char1"/>
    <w:link w:val="16"/>
    <w:qFormat/>
    <w:uiPriority w:val="0"/>
    <w:rPr>
      <w:kern w:val="2"/>
      <w:sz w:val="21"/>
    </w:rPr>
  </w:style>
  <w:style w:type="character" w:customStyle="1" w:styleId="215">
    <w:name w:val="正文文字 Char"/>
    <w:qFormat/>
    <w:uiPriority w:val="0"/>
    <w:rPr>
      <w:rFonts w:eastAsia="宋体" w:cs="Times New Roman"/>
      <w:kern w:val="2"/>
      <w:sz w:val="30"/>
      <w:lang w:val="en-US" w:eastAsia="zh-CN"/>
    </w:rPr>
  </w:style>
  <w:style w:type="character" w:customStyle="1" w:styleId="216">
    <w:name w:val="标三 Char Char"/>
    <w:qFormat/>
    <w:uiPriority w:val="0"/>
    <w:rPr>
      <w:rFonts w:ascii="黑体" w:hAnsi="Plotter" w:eastAsia="黑体" w:cs="Plotter"/>
      <w:b/>
      <w:bCs/>
      <w:kern w:val="2"/>
      <w:sz w:val="32"/>
      <w:szCs w:val="32"/>
      <w:lang w:val="en-US" w:eastAsia="zh-CN" w:bidi="ar-SA"/>
    </w:rPr>
  </w:style>
  <w:style w:type="character" w:customStyle="1" w:styleId="217">
    <w:name w:val="标二 Char Char"/>
    <w:qFormat/>
    <w:uiPriority w:val="0"/>
    <w:rPr>
      <w:rFonts w:ascii="黑体" w:hAnsi="Arial" w:eastAsia="黑体" w:cs="Plotter"/>
      <w:bCs/>
      <w:kern w:val="2"/>
      <w:sz w:val="30"/>
      <w:szCs w:val="30"/>
      <w:lang w:val="en-US" w:eastAsia="zh-CN" w:bidi="ar-SA"/>
    </w:rPr>
  </w:style>
  <w:style w:type="character" w:customStyle="1" w:styleId="218">
    <w:name w:val="标题 31 Char Char"/>
    <w:qFormat/>
    <w:uiPriority w:val="0"/>
    <w:rPr>
      <w:kern w:val="2"/>
    </w:rPr>
  </w:style>
  <w:style w:type="character" w:customStyle="1" w:styleId="219">
    <w:name w:val="lineitems1"/>
    <w:basedOn w:val="63"/>
    <w:qFormat/>
    <w:uiPriority w:val="0"/>
    <w:rPr>
      <w:sz w:val="17"/>
      <w:szCs w:val="17"/>
    </w:rPr>
  </w:style>
  <w:style w:type="character" w:customStyle="1" w:styleId="220">
    <w:name w:val="black1"/>
    <w:qFormat/>
    <w:uiPriority w:val="0"/>
    <w:rPr>
      <w:rFonts w:cs="Times New Roman"/>
      <w:color w:val="000000"/>
      <w:spacing w:val="330"/>
    </w:rPr>
  </w:style>
  <w:style w:type="character" w:customStyle="1" w:styleId="221">
    <w:name w:val="标题 Char"/>
    <w:link w:val="57"/>
    <w:qFormat/>
    <w:uiPriority w:val="0"/>
    <w:rPr>
      <w:rFonts w:ascii="Arial" w:hAnsi="Arial" w:eastAsia="隶书"/>
      <w:b/>
      <w:kern w:val="2"/>
      <w:sz w:val="32"/>
    </w:rPr>
  </w:style>
  <w:style w:type="character" w:customStyle="1" w:styleId="222">
    <w:name w:val="no72"/>
    <w:basedOn w:val="63"/>
    <w:qFormat/>
    <w:uiPriority w:val="0"/>
  </w:style>
  <w:style w:type="character" w:customStyle="1" w:styleId="223">
    <w:name w:val="普通文字 Char1"/>
    <w:basedOn w:val="63"/>
    <w:qFormat/>
    <w:uiPriority w:val="0"/>
    <w:rPr>
      <w:rFonts w:ascii="宋体" w:hAnsi="Courier New" w:eastAsia="宋体"/>
      <w:kern w:val="2"/>
      <w:sz w:val="24"/>
      <w:lang w:val="en-US" w:eastAsia="zh-CN" w:bidi="ar-SA"/>
    </w:rPr>
  </w:style>
  <w:style w:type="character" w:customStyle="1" w:styleId="224">
    <w:name w:val="标四 Char Char"/>
    <w:qFormat/>
    <w:uiPriority w:val="0"/>
    <w:rPr>
      <w:rFonts w:ascii="仿宋_GB2312" w:hAnsi="Plotter" w:eastAsia="仿宋_GB2312" w:cs="Plotter"/>
      <w:kern w:val="2"/>
      <w:sz w:val="24"/>
      <w:szCs w:val="24"/>
      <w:lang w:val="en-US" w:eastAsia="zh-CN" w:bidi="ar-SA"/>
    </w:rPr>
  </w:style>
  <w:style w:type="paragraph" w:customStyle="1" w:styleId="225">
    <w:name w:val="正文文本1"/>
    <w:basedOn w:val="1"/>
    <w:qFormat/>
    <w:uiPriority w:val="0"/>
    <w:pPr>
      <w:adjustRightInd w:val="0"/>
      <w:spacing w:after="120"/>
      <w:ind w:right="74" w:firstLine="482"/>
      <w:jc w:val="left"/>
      <w:textAlignment w:val="baseline"/>
    </w:pPr>
    <w:rPr>
      <w:rFonts w:cs="Plotter"/>
      <w:kern w:val="0"/>
      <w:sz w:val="24"/>
      <w:szCs w:val="20"/>
    </w:rPr>
  </w:style>
  <w:style w:type="paragraph" w:customStyle="1" w:styleId="226">
    <w:name w:val="xl50"/>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227">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228">
    <w:name w:val="标题2 + 居中"/>
    <w:basedOn w:val="3"/>
    <w:qFormat/>
    <w:uiPriority w:val="0"/>
    <w:pPr>
      <w:spacing w:before="0" w:after="0" w:line="360" w:lineRule="auto"/>
    </w:pPr>
    <w:rPr>
      <w:rFonts w:eastAsia="宋体"/>
      <w:b w:val="0"/>
      <w:sz w:val="44"/>
    </w:rPr>
  </w:style>
  <w:style w:type="paragraph" w:customStyle="1" w:styleId="229">
    <w:name w:val="graph"/>
    <w:basedOn w:val="24"/>
    <w:qFormat/>
    <w:uiPriority w:val="0"/>
    <w:pPr>
      <w:autoSpaceDE w:val="0"/>
      <w:autoSpaceDN w:val="0"/>
      <w:adjustRightInd w:val="0"/>
      <w:ind w:right="74"/>
      <w:jc w:val="center"/>
      <w:textAlignment w:val="baseline"/>
    </w:pPr>
    <w:rPr>
      <w:rFonts w:cs="Plotter"/>
      <w:kern w:val="0"/>
      <w:sz w:val="24"/>
      <w:szCs w:val="20"/>
    </w:rPr>
  </w:style>
  <w:style w:type="paragraph" w:customStyle="1" w:styleId="230">
    <w:name w:val="USE 4"/>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231">
    <w:name w:val="_Style 68"/>
    <w:basedOn w:val="1"/>
    <w:next w:val="24"/>
    <w:qFormat/>
    <w:uiPriority w:val="0"/>
    <w:pPr>
      <w:spacing w:line="240" w:lineRule="atLeast"/>
      <w:jc w:val="left"/>
    </w:pPr>
    <w:rPr>
      <w:sz w:val="30"/>
      <w:szCs w:val="20"/>
    </w:rPr>
  </w:style>
  <w:style w:type="paragraph" w:customStyle="1" w:styleId="23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33">
    <w:name w:val="样式 行距: 1.5 倍行距"/>
    <w:basedOn w:val="1"/>
    <w:qFormat/>
    <w:uiPriority w:val="0"/>
    <w:pPr>
      <w:spacing w:line="360" w:lineRule="auto"/>
    </w:pPr>
    <w:rPr>
      <w:rFonts w:ascii="宋体" w:hAnsi="宋体"/>
      <w:szCs w:val="20"/>
    </w:rPr>
  </w:style>
  <w:style w:type="paragraph" w:customStyle="1" w:styleId="23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23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7">
    <w:name w:val="Char1 Char Char Char"/>
    <w:basedOn w:val="1"/>
    <w:qFormat/>
    <w:uiPriority w:val="0"/>
    <w:rPr>
      <w:rFonts w:ascii="Tahoma" w:hAnsi="Tahoma"/>
      <w:sz w:val="24"/>
      <w:szCs w:val="20"/>
    </w:rPr>
  </w:style>
  <w:style w:type="paragraph" w:customStyle="1" w:styleId="238">
    <w:name w:val="Para 1"/>
    <w:basedOn w:val="24"/>
    <w:qFormat/>
    <w:uiPriority w:val="0"/>
    <w:pPr>
      <w:widowControl/>
      <w:ind w:left="720"/>
    </w:pPr>
    <w:rPr>
      <w:rFonts w:ascii="Arial" w:hAnsi="Arial"/>
      <w:kern w:val="0"/>
      <w:sz w:val="22"/>
      <w:szCs w:val="22"/>
      <w:lang w:eastAsia="en-US"/>
    </w:rPr>
  </w:style>
  <w:style w:type="paragraph" w:customStyle="1" w:styleId="239">
    <w:name w:val="xl53"/>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40">
    <w:name w:val="xl35"/>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41">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242">
    <w:name w:val="正文111"/>
    <w:basedOn w:val="1"/>
    <w:qFormat/>
    <w:uiPriority w:val="0"/>
    <w:pPr>
      <w:spacing w:line="360" w:lineRule="auto"/>
      <w:ind w:left="1260" w:leftChars="600" w:firstLine="540" w:firstLineChars="257"/>
    </w:pPr>
    <w:rPr>
      <w:rFonts w:ascii="宋体" w:hAnsi="宋体"/>
    </w:rPr>
  </w:style>
  <w:style w:type="paragraph" w:customStyle="1" w:styleId="243">
    <w:name w:val="xl66"/>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44">
    <w:name w:val="xl36"/>
    <w:basedOn w:val="1"/>
    <w:qFormat/>
    <w:uiPriority w:val="0"/>
    <w:pPr>
      <w:widowControl/>
      <w:spacing w:before="100" w:after="100"/>
      <w:jc w:val="center"/>
    </w:pPr>
    <w:rPr>
      <w:rFonts w:ascii="宋体" w:hAnsi="宋体"/>
      <w:kern w:val="0"/>
      <w:sz w:val="24"/>
      <w:szCs w:val="20"/>
    </w:rPr>
  </w:style>
  <w:style w:type="paragraph" w:customStyle="1" w:styleId="245">
    <w:name w:val="xl61"/>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46">
    <w:name w:val="Default Text"/>
    <w:basedOn w:val="1"/>
    <w:qFormat/>
    <w:uiPriority w:val="0"/>
    <w:pPr>
      <w:autoSpaceDE w:val="0"/>
      <w:autoSpaceDN w:val="0"/>
      <w:adjustRightInd w:val="0"/>
      <w:jc w:val="left"/>
    </w:pPr>
    <w:rPr>
      <w:kern w:val="0"/>
      <w:sz w:val="24"/>
      <w:szCs w:val="20"/>
    </w:rPr>
  </w:style>
  <w:style w:type="paragraph" w:customStyle="1" w:styleId="247">
    <w:name w:val="p15"/>
    <w:basedOn w:val="1"/>
    <w:qFormat/>
    <w:uiPriority w:val="0"/>
    <w:pPr>
      <w:widowControl/>
      <w:ind w:firstLine="420"/>
      <w:jc w:val="left"/>
    </w:pPr>
    <w:rPr>
      <w:kern w:val="0"/>
      <w:sz w:val="20"/>
      <w:szCs w:val="20"/>
    </w:rPr>
  </w:style>
  <w:style w:type="paragraph" w:customStyle="1" w:styleId="248">
    <w:name w:val="正文列表"/>
    <w:basedOn w:val="1"/>
    <w:qFormat/>
    <w:uiPriority w:val="0"/>
    <w:pPr>
      <w:spacing w:line="360" w:lineRule="auto"/>
      <w:jc w:val="center"/>
    </w:pPr>
    <w:rPr>
      <w:rFonts w:ascii="宋体" w:hAnsi="宋体"/>
      <w:kern w:val="0"/>
      <w:position w:val="24"/>
      <w:szCs w:val="20"/>
    </w:rPr>
  </w:style>
  <w:style w:type="paragraph" w:customStyle="1" w:styleId="249">
    <w:name w:val="Char2"/>
    <w:basedOn w:val="18"/>
    <w:qFormat/>
    <w:uiPriority w:val="0"/>
    <w:rPr>
      <w:rFonts w:ascii="Tahoma" w:hAnsi="Tahoma"/>
      <w:sz w:val="24"/>
      <w:szCs w:val="20"/>
    </w:rPr>
  </w:style>
  <w:style w:type="paragraph" w:customStyle="1" w:styleId="250">
    <w:name w:val="普通正文"/>
    <w:basedOn w:val="1"/>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251">
    <w:name w:val="注："/>
    <w:next w:val="252"/>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customStyle="1" w:styleId="2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3">
    <w:name w:val="三级标题"/>
    <w:basedOn w:val="1"/>
    <w:qFormat/>
    <w:uiPriority w:val="0"/>
    <w:pPr>
      <w:spacing w:line="360" w:lineRule="auto"/>
      <w:jc w:val="center"/>
    </w:pPr>
    <w:rPr>
      <w:rFonts w:eastAsia="黑体"/>
      <w:sz w:val="24"/>
      <w:szCs w:val="20"/>
    </w:rPr>
  </w:style>
  <w:style w:type="paragraph" w:customStyle="1" w:styleId="254">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character" w:customStyle="1" w:styleId="255">
    <w:name w:val="正文文本 3 Char1"/>
    <w:basedOn w:val="63"/>
    <w:qFormat/>
    <w:uiPriority w:val="0"/>
    <w:rPr>
      <w:kern w:val="2"/>
      <w:sz w:val="16"/>
      <w:szCs w:val="16"/>
    </w:rPr>
  </w:style>
  <w:style w:type="character" w:customStyle="1" w:styleId="256">
    <w:name w:val="称呼 Char2"/>
    <w:basedOn w:val="63"/>
    <w:qFormat/>
    <w:uiPriority w:val="0"/>
    <w:rPr>
      <w:kern w:val="2"/>
      <w:sz w:val="21"/>
      <w:szCs w:val="24"/>
    </w:rPr>
  </w:style>
  <w:style w:type="paragraph" w:customStyle="1" w:styleId="257">
    <w:name w:val="编号二"/>
    <w:basedOn w:val="1"/>
    <w:qFormat/>
    <w:uiPriority w:val="0"/>
    <w:rPr>
      <w:szCs w:val="20"/>
    </w:rPr>
  </w:style>
  <w:style w:type="paragraph" w:customStyle="1" w:styleId="258">
    <w:name w:val="正文段"/>
    <w:basedOn w:val="1"/>
    <w:qFormat/>
    <w:uiPriority w:val="0"/>
    <w:pPr>
      <w:widowControl/>
      <w:adjustRightInd w:val="0"/>
      <w:spacing w:after="240" w:line="360" w:lineRule="atLeast"/>
      <w:jc w:val="left"/>
    </w:pPr>
    <w:rPr>
      <w:rFonts w:ascii="宋体"/>
      <w:kern w:val="0"/>
      <w:sz w:val="24"/>
      <w:szCs w:val="20"/>
    </w:rPr>
  </w:style>
  <w:style w:type="character" w:customStyle="1" w:styleId="259">
    <w:name w:val="批注文字 Char1"/>
    <w:basedOn w:val="63"/>
    <w:link w:val="20"/>
    <w:qFormat/>
    <w:uiPriority w:val="0"/>
    <w:rPr>
      <w:kern w:val="2"/>
      <w:sz w:val="21"/>
      <w:szCs w:val="24"/>
    </w:rPr>
  </w:style>
  <w:style w:type="character" w:customStyle="1" w:styleId="260">
    <w:name w:val="批注主题 Char1"/>
    <w:basedOn w:val="259"/>
    <w:qFormat/>
    <w:uiPriority w:val="0"/>
    <w:rPr>
      <w:b/>
      <w:bCs/>
      <w:kern w:val="2"/>
      <w:sz w:val="21"/>
      <w:szCs w:val="24"/>
    </w:rPr>
  </w:style>
  <w:style w:type="paragraph" w:customStyle="1" w:styleId="261">
    <w:name w:val="List Paragraph1"/>
    <w:basedOn w:val="1"/>
    <w:qFormat/>
    <w:uiPriority w:val="0"/>
    <w:pPr>
      <w:widowControl/>
      <w:ind w:firstLine="420"/>
      <w:jc w:val="left"/>
    </w:pPr>
    <w:rPr>
      <w:kern w:val="0"/>
      <w:sz w:val="20"/>
      <w:szCs w:val="20"/>
    </w:rPr>
  </w:style>
  <w:style w:type="paragraph" w:customStyle="1" w:styleId="262">
    <w:name w:val="CM41"/>
    <w:basedOn w:val="1"/>
    <w:next w:val="1"/>
    <w:qFormat/>
    <w:uiPriority w:val="0"/>
    <w:pPr>
      <w:autoSpaceDE w:val="0"/>
      <w:autoSpaceDN w:val="0"/>
      <w:adjustRightInd w:val="0"/>
      <w:spacing w:line="468" w:lineRule="atLeast"/>
      <w:jc w:val="left"/>
    </w:pPr>
    <w:rPr>
      <w:rFonts w:ascii="宋体"/>
      <w:kern w:val="0"/>
      <w:sz w:val="24"/>
    </w:rPr>
  </w:style>
  <w:style w:type="paragraph" w:customStyle="1" w:styleId="263">
    <w:name w:val="样式 USE 1 + 行距: 单倍行距"/>
    <w:basedOn w:val="264"/>
    <w:qFormat/>
    <w:uiPriority w:val="0"/>
    <w:pPr>
      <w:tabs>
        <w:tab w:val="left" w:pos="435"/>
      </w:tabs>
      <w:spacing w:line="180" w:lineRule="atLeast"/>
      <w:ind w:left="435" w:hanging="435"/>
    </w:pPr>
  </w:style>
  <w:style w:type="paragraph" w:customStyle="1" w:styleId="264">
    <w:name w:val="USE 1"/>
    <w:basedOn w:val="1"/>
    <w:qFormat/>
    <w:uiPriority w:val="0"/>
    <w:pPr>
      <w:spacing w:line="200" w:lineRule="atLeast"/>
      <w:jc w:val="left"/>
    </w:pPr>
    <w:rPr>
      <w:rFonts w:ascii="宋体" w:hAnsi="宋体"/>
      <w:b/>
      <w:sz w:val="24"/>
      <w:szCs w:val="20"/>
    </w:rPr>
  </w:style>
  <w:style w:type="paragraph" w:customStyle="1" w:styleId="26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266">
    <w:name w:val="菲页1"/>
    <w:basedOn w:val="2"/>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267">
    <w:name w:val="样式 标题 2标题 1.1H2Heading 2 HiddenHeading 2 CCBSheading 2第一章 ...1"/>
    <w:basedOn w:val="2"/>
    <w:qFormat/>
    <w:uiPriority w:val="0"/>
    <w:pPr>
      <w:tabs>
        <w:tab w:val="left" w:pos="840"/>
      </w:tabs>
      <w:spacing w:before="156" w:after="156" w:line="360" w:lineRule="auto"/>
      <w:outlineLvl w:val="9"/>
    </w:pPr>
    <w:rPr>
      <w:rFonts w:eastAsia="宋体"/>
      <w:bCs w:val="0"/>
      <w:kern w:val="0"/>
      <w:sz w:val="21"/>
      <w:szCs w:val="20"/>
    </w:rPr>
  </w:style>
  <w:style w:type="paragraph" w:customStyle="1" w:styleId="268">
    <w:name w:val="USE 2"/>
    <w:basedOn w:val="1"/>
    <w:qFormat/>
    <w:uiPriority w:val="0"/>
    <w:pPr>
      <w:tabs>
        <w:tab w:val="left" w:pos="360"/>
      </w:tabs>
      <w:spacing w:line="360" w:lineRule="auto"/>
      <w:ind w:left="360" w:hanging="360"/>
      <w:jc w:val="left"/>
    </w:pPr>
    <w:rPr>
      <w:rFonts w:ascii="宋体" w:hAnsi="宋体"/>
      <w:sz w:val="24"/>
      <w:szCs w:val="20"/>
    </w:rPr>
  </w:style>
  <w:style w:type="paragraph" w:customStyle="1" w:styleId="269">
    <w:name w:val="Char Char1 Char Char Char Char Char Char Char Char Char Char"/>
    <w:basedOn w:val="1"/>
    <w:qFormat/>
    <w:uiPriority w:val="0"/>
    <w:pPr>
      <w:jc w:val="left"/>
    </w:pPr>
    <w:rPr>
      <w:rFonts w:ascii="Tahoma" w:hAnsi="Tahoma"/>
      <w:sz w:val="24"/>
      <w:szCs w:val="20"/>
    </w:rPr>
  </w:style>
  <w:style w:type="paragraph" w:customStyle="1" w:styleId="27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71">
    <w:name w:val="样式 样式 宋体 小四 行距: 1.5 倍行距 + 首行缩进:  2.25 字符"/>
    <w:basedOn w:val="1"/>
    <w:qFormat/>
    <w:uiPriority w:val="0"/>
    <w:pPr>
      <w:ind w:firstLine="540" w:firstLineChars="225"/>
      <w:jc w:val="left"/>
    </w:pPr>
    <w:rPr>
      <w:rFonts w:ascii="宋体" w:hAnsi="宋体" w:cs="宋体"/>
      <w:sz w:val="24"/>
      <w:szCs w:val="20"/>
    </w:rPr>
  </w:style>
  <w:style w:type="paragraph" w:customStyle="1" w:styleId="272">
    <w:name w:val="Bullet Level 1"/>
    <w:basedOn w:val="1"/>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273">
    <w:name w:val="默认段落字体 Para Char Char Char Char"/>
    <w:basedOn w:val="1"/>
    <w:qFormat/>
    <w:uiPriority w:val="0"/>
    <w:rPr>
      <w:szCs w:val="20"/>
    </w:rPr>
  </w:style>
  <w:style w:type="paragraph" w:customStyle="1" w:styleId="274">
    <w:name w:val="样式 表头 + 首行缩进:  2 字符"/>
    <w:basedOn w:val="1"/>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275">
    <w:name w:val="表格内容"/>
    <w:next w:val="1"/>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276">
    <w:name w:val="Char Char Char11"/>
    <w:basedOn w:val="1"/>
    <w:qFormat/>
    <w:uiPriority w:val="0"/>
    <w:rPr>
      <w:rFonts w:ascii="Tahoma" w:hAnsi="Tahoma"/>
      <w:sz w:val="24"/>
      <w:szCs w:val="20"/>
    </w:rPr>
  </w:style>
  <w:style w:type="paragraph" w:customStyle="1" w:styleId="277">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278">
    <w:name w:val="xl63"/>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79">
    <w:name w:val="font8"/>
    <w:basedOn w:val="1"/>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280">
    <w:name w:val="xl62"/>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81">
    <w:name w:val="xl58"/>
    <w:basedOn w:val="1"/>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82">
    <w:name w:val="注"/>
    <w:basedOn w:val="283"/>
    <w:qFormat/>
    <w:uiPriority w:val="0"/>
    <w:rPr>
      <w:rFonts w:ascii="长城楷体" w:eastAsia="长城楷体"/>
      <w:sz w:val="21"/>
    </w:rPr>
  </w:style>
  <w:style w:type="paragraph" w:customStyle="1" w:styleId="283">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84">
    <w:name w:val="正文1"/>
    <w:basedOn w:val="1"/>
    <w:qFormat/>
    <w:uiPriority w:val="0"/>
    <w:pPr>
      <w:spacing w:line="360" w:lineRule="auto"/>
      <w:ind w:left="1260" w:leftChars="600" w:firstLine="540" w:firstLineChars="257"/>
    </w:pPr>
    <w:rPr>
      <w:rFonts w:ascii="宋体" w:hAnsi="宋体"/>
    </w:rPr>
  </w:style>
  <w:style w:type="paragraph" w:customStyle="1" w:styleId="285">
    <w:name w:val="USE 3"/>
    <w:basedOn w:val="1"/>
    <w:qFormat/>
    <w:uiPriority w:val="0"/>
    <w:pPr>
      <w:tabs>
        <w:tab w:val="left" w:pos="720"/>
      </w:tabs>
      <w:spacing w:line="360" w:lineRule="auto"/>
      <w:ind w:left="720" w:hanging="720"/>
      <w:jc w:val="left"/>
    </w:pPr>
    <w:rPr>
      <w:rFonts w:ascii="宋体" w:hAnsi="宋体"/>
      <w:sz w:val="24"/>
      <w:szCs w:val="20"/>
    </w:rPr>
  </w:style>
  <w:style w:type="paragraph" w:customStyle="1" w:styleId="286">
    <w:name w:val="前言、引言标题"/>
    <w:next w:val="1"/>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287">
    <w:name w:val="样式 标题 2H2Heading 2 HiddenHeading 2 CCBS2nd levelh22Header..."/>
    <w:basedOn w:val="2"/>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288">
    <w:name w:val="缺省文本:1"/>
    <w:basedOn w:val="1"/>
    <w:qFormat/>
    <w:uiPriority w:val="0"/>
    <w:pPr>
      <w:autoSpaceDE w:val="0"/>
      <w:autoSpaceDN w:val="0"/>
      <w:adjustRightInd w:val="0"/>
      <w:jc w:val="left"/>
    </w:pPr>
    <w:rPr>
      <w:rFonts w:ascii="宋体"/>
      <w:kern w:val="0"/>
      <w:sz w:val="24"/>
      <w:szCs w:val="20"/>
    </w:rPr>
  </w:style>
  <w:style w:type="paragraph" w:customStyle="1" w:styleId="289">
    <w:name w:val="Char2 Char Char Char"/>
    <w:basedOn w:val="1"/>
    <w:qFormat/>
    <w:uiPriority w:val="0"/>
    <w:rPr>
      <w:rFonts w:ascii="仿宋_GB2312"/>
      <w:b/>
      <w:sz w:val="30"/>
      <w:szCs w:val="32"/>
    </w:rPr>
  </w:style>
  <w:style w:type="paragraph" w:customStyle="1" w:styleId="290">
    <w:name w:val="默认段落字体 Para Char"/>
    <w:basedOn w:val="1"/>
    <w:qFormat/>
    <w:uiPriority w:val="0"/>
    <w:pPr>
      <w:tabs>
        <w:tab w:val="left" w:pos="360"/>
      </w:tabs>
      <w:ind w:left="420" w:hanging="420"/>
    </w:pPr>
    <w:rPr>
      <w:sz w:val="24"/>
    </w:rPr>
  </w:style>
  <w:style w:type="character" w:customStyle="1" w:styleId="291">
    <w:name w:val="正文文本 Char1"/>
    <w:basedOn w:val="63"/>
    <w:link w:val="24"/>
    <w:qFormat/>
    <w:uiPriority w:val="0"/>
    <w:rPr>
      <w:kern w:val="2"/>
      <w:sz w:val="21"/>
      <w:szCs w:val="24"/>
    </w:rPr>
  </w:style>
  <w:style w:type="character" w:customStyle="1" w:styleId="292">
    <w:name w:val="正文首行缩进 Char1"/>
    <w:basedOn w:val="291"/>
    <w:qFormat/>
    <w:uiPriority w:val="0"/>
    <w:rPr>
      <w:kern w:val="2"/>
      <w:sz w:val="21"/>
      <w:szCs w:val="24"/>
    </w:rPr>
  </w:style>
  <w:style w:type="paragraph" w:customStyle="1" w:styleId="293">
    <w:name w:val="font9"/>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294">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295">
    <w:name w:val="xl42"/>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296">
    <w:name w:val="Char Char Char Char Char Char1 Char Char Char Char Char1"/>
    <w:basedOn w:val="18"/>
    <w:qFormat/>
    <w:uiPriority w:val="0"/>
    <w:pPr>
      <w:jc w:val="left"/>
    </w:pPr>
    <w:rPr>
      <w:rFonts w:ascii="Tahoma" w:hAnsi="Tahoma"/>
      <w:sz w:val="24"/>
    </w:rPr>
  </w:style>
  <w:style w:type="paragraph" w:customStyle="1" w:styleId="297">
    <w:name w:val="font10"/>
    <w:basedOn w:val="1"/>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character" w:customStyle="1" w:styleId="298">
    <w:name w:val="标题 Char1"/>
    <w:basedOn w:val="63"/>
    <w:qFormat/>
    <w:uiPriority w:val="0"/>
    <w:rPr>
      <w:rFonts w:ascii="Cambria" w:hAnsi="Cambria" w:cs="Times New Roman"/>
      <w:b/>
      <w:bCs/>
      <w:kern w:val="2"/>
      <w:sz w:val="32"/>
      <w:szCs w:val="32"/>
    </w:rPr>
  </w:style>
  <w:style w:type="paragraph" w:customStyle="1" w:styleId="299">
    <w:name w:val="xl6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00">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01">
    <w:name w:val="xl41"/>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02">
    <w:name w:val="Numbered list 2.3"/>
    <w:basedOn w:val="4"/>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303">
    <w:name w:val="三级条标题"/>
    <w:basedOn w:val="304"/>
    <w:next w:val="252"/>
    <w:qFormat/>
    <w:uiPriority w:val="0"/>
    <w:pPr>
      <w:tabs>
        <w:tab w:val="left" w:pos="735"/>
      </w:tabs>
      <w:outlineLvl w:val="4"/>
    </w:pPr>
  </w:style>
  <w:style w:type="paragraph" w:customStyle="1" w:styleId="304">
    <w:name w:val="二级条标题"/>
    <w:basedOn w:val="305"/>
    <w:next w:val="252"/>
    <w:qFormat/>
    <w:uiPriority w:val="0"/>
    <w:pPr>
      <w:tabs>
        <w:tab w:val="left" w:pos="735"/>
      </w:tabs>
      <w:outlineLvl w:val="3"/>
    </w:pPr>
  </w:style>
  <w:style w:type="paragraph" w:customStyle="1" w:styleId="305">
    <w:name w:val="一级条标题"/>
    <w:next w:val="252"/>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306">
    <w:name w:val="Char11"/>
    <w:basedOn w:val="18"/>
    <w:qFormat/>
    <w:uiPriority w:val="0"/>
    <w:rPr>
      <w:rFonts w:ascii="Tahoma" w:hAnsi="Tahoma"/>
      <w:sz w:val="24"/>
      <w:szCs w:val="20"/>
    </w:rPr>
  </w:style>
  <w:style w:type="paragraph" w:customStyle="1" w:styleId="307">
    <w:name w:val="标题 31"/>
    <w:basedOn w:val="284"/>
    <w:next w:val="16"/>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308">
    <w:name w:val="保留正文"/>
    <w:basedOn w:val="24"/>
    <w:qFormat/>
    <w:uiPriority w:val="0"/>
    <w:pPr>
      <w:keepNext/>
      <w:spacing w:after="160"/>
    </w:pPr>
  </w:style>
  <w:style w:type="paragraph" w:customStyle="1" w:styleId="309">
    <w:name w:val="目录文字"/>
    <w:basedOn w:val="1"/>
    <w:qFormat/>
    <w:uiPriority w:val="0"/>
    <w:pPr>
      <w:widowControl/>
      <w:spacing w:line="480" w:lineRule="auto"/>
      <w:jc w:val="left"/>
    </w:pPr>
    <w:rPr>
      <w:rFonts w:ascii="宋体" w:hAnsi="宋体"/>
      <w:kern w:val="0"/>
      <w:sz w:val="24"/>
      <w:szCs w:val="20"/>
    </w:rPr>
  </w:style>
  <w:style w:type="paragraph" w:customStyle="1" w:styleId="310">
    <w:name w:val="四级条标题"/>
    <w:basedOn w:val="303"/>
    <w:next w:val="252"/>
    <w:qFormat/>
    <w:uiPriority w:val="0"/>
    <w:pPr>
      <w:outlineLvl w:val="5"/>
    </w:pPr>
  </w:style>
  <w:style w:type="character" w:customStyle="1" w:styleId="311">
    <w:name w:val="注释标题 Char"/>
    <w:basedOn w:val="63"/>
    <w:link w:val="13"/>
    <w:qFormat/>
    <w:uiPriority w:val="0"/>
    <w:rPr>
      <w:rFonts w:ascii="宋体" w:hAnsi="宋体" w:cs="宋体"/>
      <w:sz w:val="24"/>
      <w:szCs w:val="24"/>
    </w:rPr>
  </w:style>
  <w:style w:type="character" w:customStyle="1" w:styleId="312">
    <w:name w:val="签名 Char2"/>
    <w:basedOn w:val="63"/>
    <w:qFormat/>
    <w:uiPriority w:val="0"/>
    <w:rPr>
      <w:kern w:val="2"/>
      <w:sz w:val="21"/>
      <w:szCs w:val="24"/>
    </w:rPr>
  </w:style>
  <w:style w:type="paragraph" w:customStyle="1" w:styleId="313">
    <w:name w:val="Char Char Char Char Char Char1 Char Char Char Char Char"/>
    <w:basedOn w:val="18"/>
    <w:qFormat/>
    <w:uiPriority w:val="0"/>
    <w:pPr>
      <w:jc w:val="left"/>
    </w:pPr>
    <w:rPr>
      <w:rFonts w:ascii="Tahoma" w:hAnsi="Tahoma"/>
      <w:sz w:val="24"/>
    </w:rPr>
  </w:style>
  <w:style w:type="paragraph" w:customStyle="1" w:styleId="314">
    <w:name w:val="样式 (西文) 宋体 行距: 1.5 倍行距"/>
    <w:basedOn w:val="1"/>
    <w:qFormat/>
    <w:uiPriority w:val="0"/>
    <w:pPr>
      <w:spacing w:line="360" w:lineRule="auto"/>
    </w:pPr>
    <w:rPr>
      <w:rFonts w:ascii="宋体" w:hAnsi="宋体"/>
      <w:szCs w:val="20"/>
    </w:rPr>
  </w:style>
  <w:style w:type="paragraph" w:customStyle="1" w:styleId="315">
    <w:name w:val="xl69"/>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16">
    <w:name w:val="样式 标题 3Level 3 HeadH3Heading 3 - oldh3sect1.2.3Head33l3...2"/>
    <w:basedOn w:val="4"/>
    <w:qFormat/>
    <w:uiPriority w:val="0"/>
    <w:pPr>
      <w:spacing w:before="120" w:after="120" w:line="413" w:lineRule="auto"/>
      <w:jc w:val="center"/>
      <w:outlineLvl w:val="9"/>
    </w:pPr>
    <w:rPr>
      <w:rFonts w:ascii="宋体" w:hAnsi="宋体"/>
      <w:bCs w:val="0"/>
      <w:sz w:val="28"/>
      <w:szCs w:val="20"/>
    </w:rPr>
  </w:style>
  <w:style w:type="paragraph" w:customStyle="1" w:styleId="317">
    <w:name w:val="标四"/>
    <w:next w:val="1"/>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318">
    <w:name w:val="标三"/>
    <w:next w:val="1"/>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character" w:customStyle="1" w:styleId="319">
    <w:name w:val="脚注文本 Char1"/>
    <w:basedOn w:val="63"/>
    <w:qFormat/>
    <w:uiPriority w:val="0"/>
    <w:rPr>
      <w:kern w:val="2"/>
      <w:sz w:val="18"/>
      <w:szCs w:val="18"/>
    </w:rPr>
  </w:style>
  <w:style w:type="paragraph" w:customStyle="1" w:styleId="320">
    <w:name w:val="表格文字"/>
    <w:basedOn w:val="1"/>
    <w:qFormat/>
    <w:uiPriority w:val="0"/>
    <w:pPr>
      <w:spacing w:line="360" w:lineRule="auto"/>
      <w:jc w:val="left"/>
    </w:pPr>
    <w:rPr>
      <w:rFonts w:ascii="Calibri" w:hAnsi="Calibri"/>
      <w:szCs w:val="21"/>
    </w:rPr>
  </w:style>
  <w:style w:type="paragraph" w:customStyle="1" w:styleId="321">
    <w:name w:val="样式 样式 (中文) 仿宋_GB2312 四号 行距: 多倍行距 1.25 字行2 + 首行缩进:  2 字符"/>
    <w:basedOn w:val="1"/>
    <w:qFormat/>
    <w:uiPriority w:val="0"/>
    <w:pPr>
      <w:snapToGrid w:val="0"/>
      <w:spacing w:line="300" w:lineRule="auto"/>
      <w:ind w:firstLine="560" w:firstLineChars="200"/>
    </w:pPr>
    <w:rPr>
      <w:rFonts w:eastAsia="仿宋_GB2312"/>
      <w:color w:val="000000"/>
      <w:kern w:val="0"/>
      <w:sz w:val="28"/>
      <w:szCs w:val="20"/>
    </w:rPr>
  </w:style>
  <w:style w:type="character" w:customStyle="1" w:styleId="322">
    <w:name w:val="尾注文本 Char2"/>
    <w:basedOn w:val="63"/>
    <w:qFormat/>
    <w:uiPriority w:val="0"/>
    <w:rPr>
      <w:kern w:val="2"/>
      <w:sz w:val="21"/>
      <w:szCs w:val="24"/>
    </w:rPr>
  </w:style>
  <w:style w:type="character" w:customStyle="1" w:styleId="323">
    <w:name w:val="正文文本缩进 Char1"/>
    <w:basedOn w:val="63"/>
    <w:link w:val="26"/>
    <w:qFormat/>
    <w:uiPriority w:val="0"/>
    <w:rPr>
      <w:kern w:val="2"/>
      <w:sz w:val="21"/>
      <w:szCs w:val="24"/>
    </w:rPr>
  </w:style>
  <w:style w:type="character" w:customStyle="1" w:styleId="324">
    <w:name w:val="正文首行缩进 2 Char2"/>
    <w:basedOn w:val="323"/>
    <w:qFormat/>
    <w:uiPriority w:val="0"/>
    <w:rPr>
      <w:kern w:val="2"/>
      <w:sz w:val="21"/>
      <w:szCs w:val="24"/>
    </w:rPr>
  </w:style>
  <w:style w:type="paragraph" w:customStyle="1" w:styleId="325">
    <w:name w:val="Char3"/>
    <w:basedOn w:val="1"/>
    <w:qFormat/>
    <w:uiPriority w:val="0"/>
    <w:rPr>
      <w:rFonts w:ascii="Tahoma" w:hAnsi="Tahoma"/>
      <w:sz w:val="24"/>
      <w:szCs w:val="20"/>
    </w:rPr>
  </w:style>
  <w:style w:type="character" w:customStyle="1" w:styleId="326">
    <w:name w:val="HTML 预设格式 Char"/>
    <w:basedOn w:val="63"/>
    <w:link w:val="55"/>
    <w:qFormat/>
    <w:uiPriority w:val="0"/>
    <w:rPr>
      <w:rFonts w:ascii="Arial Unicode MS" w:hAnsi="Arial Unicode MS" w:eastAsia="Courier New" w:cs="Courier New"/>
    </w:rPr>
  </w:style>
  <w:style w:type="paragraph" w:customStyle="1" w:styleId="327">
    <w:name w:val="Char Char Char Char Char Char Char Char Char Char Char"/>
    <w:basedOn w:val="1"/>
    <w:qFormat/>
    <w:uiPriority w:val="0"/>
    <w:rPr>
      <w:rFonts w:ascii="Tahoma" w:hAnsi="Tahoma"/>
      <w:sz w:val="24"/>
      <w:szCs w:val="20"/>
    </w:rPr>
  </w:style>
  <w:style w:type="paragraph" w:customStyle="1" w:styleId="328">
    <w:name w:val="Normal1"/>
    <w:basedOn w:val="3"/>
    <w:next w:val="3"/>
    <w:qFormat/>
    <w:uiPriority w:val="0"/>
    <w:pPr>
      <w:tabs>
        <w:tab w:val="left" w:pos="951"/>
        <w:tab w:val="left" w:pos="2907"/>
      </w:tabs>
      <w:adjustRightInd w:val="0"/>
      <w:spacing w:before="0" w:after="0"/>
      <w:ind w:left="2907" w:hanging="1755"/>
      <w:jc w:val="left"/>
      <w:textAlignment w:val="baseline"/>
    </w:pPr>
    <w:rPr>
      <w:rFonts w:ascii="宋体" w:hAnsi="宋体" w:eastAsia="宋体"/>
      <w:bCs w:val="0"/>
      <w:kern w:val="0"/>
      <w:sz w:val="24"/>
      <w:szCs w:val="20"/>
    </w:rPr>
  </w:style>
  <w:style w:type="paragraph" w:customStyle="1" w:styleId="329">
    <w:name w:val="标题 32"/>
    <w:basedOn w:val="1"/>
    <w:next w:val="16"/>
    <w:qFormat/>
    <w:uiPriority w:val="0"/>
    <w:pPr>
      <w:widowControl/>
      <w:jc w:val="left"/>
    </w:pPr>
    <w:rPr>
      <w:sz w:val="24"/>
      <w:szCs w:val="20"/>
    </w:rPr>
  </w:style>
  <w:style w:type="paragraph" w:customStyle="1" w:styleId="330">
    <w:name w:val="xl32"/>
    <w:basedOn w:val="1"/>
    <w:qFormat/>
    <w:uiPriority w:val="0"/>
    <w:pPr>
      <w:widowControl/>
      <w:pBdr>
        <w:bottom w:val="single" w:color="auto" w:sz="4" w:space="0"/>
      </w:pBdr>
      <w:spacing w:before="100" w:after="100"/>
      <w:jc w:val="center"/>
    </w:pPr>
    <w:rPr>
      <w:rFonts w:ascii="宋体" w:hAnsi="宋体"/>
      <w:kern w:val="0"/>
      <w:sz w:val="24"/>
    </w:rPr>
  </w:style>
  <w:style w:type="paragraph" w:customStyle="1" w:styleId="331">
    <w:name w:val="表项"/>
    <w:next w:val="332"/>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332">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33">
    <w:name w:val="文章标题"/>
    <w:basedOn w:val="57"/>
    <w:next w:val="57"/>
    <w:qFormat/>
    <w:uiPriority w:val="0"/>
    <w:pPr>
      <w:widowControl/>
      <w:tabs>
        <w:tab w:val="left" w:pos="0"/>
      </w:tabs>
      <w:outlineLvl w:val="9"/>
    </w:pPr>
    <w:rPr>
      <w:rFonts w:ascii="宋体" w:hAnsi="宋体" w:eastAsia="宋体"/>
      <w:kern w:val="0"/>
    </w:rPr>
  </w:style>
  <w:style w:type="paragraph" w:customStyle="1" w:styleId="334">
    <w:name w:val="样式 样式 样式 样式 标题 2 + 宋体 五号 非加粗 黑色 + 段前: 6 磅 段后: 0 磅 行距: 单倍行距 + 段前:..."/>
    <w:basedOn w:val="1"/>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335">
    <w:name w:val="缺省文本"/>
    <w:basedOn w:val="1"/>
    <w:qFormat/>
    <w:uiPriority w:val="0"/>
    <w:pPr>
      <w:autoSpaceDE w:val="0"/>
      <w:autoSpaceDN w:val="0"/>
      <w:adjustRightInd w:val="0"/>
      <w:jc w:val="left"/>
    </w:pPr>
    <w:rPr>
      <w:kern w:val="0"/>
      <w:sz w:val="24"/>
      <w:szCs w:val="20"/>
    </w:rPr>
  </w:style>
  <w:style w:type="paragraph" w:customStyle="1" w:styleId="336">
    <w:name w:val="样式 标题 4 + (西文) Times New Roman (中文) 宋体 (复杂脚本) Times New Roman..."/>
    <w:basedOn w:val="5"/>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37">
    <w:name w:val="p0"/>
    <w:basedOn w:val="1"/>
    <w:qFormat/>
    <w:uiPriority w:val="0"/>
    <w:pPr>
      <w:widowControl/>
    </w:pPr>
    <w:rPr>
      <w:rFonts w:hint="eastAsia" w:ascii="宋体" w:hAnsi="宋体"/>
      <w:kern w:val="0"/>
      <w:szCs w:val="21"/>
    </w:rPr>
  </w:style>
  <w:style w:type="paragraph" w:customStyle="1" w:styleId="338">
    <w:name w:val="font11"/>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39">
    <w:name w:val="Char Char Char Char Char Char Char Char Char Char Char Char Char Char Char Char"/>
    <w:basedOn w:val="1"/>
    <w:qFormat/>
    <w:uiPriority w:val="0"/>
    <w:pPr>
      <w:tabs>
        <w:tab w:val="left" w:pos="360"/>
      </w:tabs>
      <w:jc w:val="left"/>
    </w:pPr>
    <w:rPr>
      <w:sz w:val="24"/>
      <w:szCs w:val="20"/>
    </w:rPr>
  </w:style>
  <w:style w:type="paragraph" w:customStyle="1" w:styleId="340">
    <w:name w:val="xl29"/>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341">
    <w:name w:val="样式11"/>
    <w:basedOn w:val="9"/>
    <w:next w:val="1"/>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34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43">
    <w:name w:val="正文1.2"/>
    <w:basedOn w:val="1"/>
    <w:qFormat/>
    <w:uiPriority w:val="0"/>
    <w:pPr>
      <w:spacing w:line="288" w:lineRule="auto"/>
      <w:jc w:val="left"/>
    </w:pPr>
    <w:rPr>
      <w:rFonts w:ascii="宋体"/>
      <w:kern w:val="0"/>
      <w:sz w:val="28"/>
      <w:szCs w:val="20"/>
      <w:lang w:eastAsia="en-US"/>
    </w:rPr>
  </w:style>
  <w:style w:type="paragraph" w:customStyle="1" w:styleId="344">
    <w:name w:val="样式4"/>
    <w:basedOn w:val="39"/>
    <w:next w:val="39"/>
    <w:qFormat/>
    <w:uiPriority w:val="0"/>
    <w:rPr>
      <w:kern w:val="0"/>
      <w:szCs w:val="20"/>
    </w:rPr>
  </w:style>
  <w:style w:type="paragraph" w:customStyle="1" w:styleId="345">
    <w:name w:val="xl49"/>
    <w:basedOn w:val="1"/>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46">
    <w:name w:val="样式 2册标题2 + 段前: 0.5 行 段后: 0.5 行"/>
    <w:basedOn w:val="227"/>
    <w:qFormat/>
    <w:uiPriority w:val="0"/>
    <w:pPr>
      <w:spacing w:beforeLines="0" w:line="240" w:lineRule="auto"/>
    </w:pPr>
    <w:rPr>
      <w:sz w:val="32"/>
    </w:rPr>
  </w:style>
  <w:style w:type="paragraph" w:customStyle="1" w:styleId="34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48">
    <w:name w:val="标五"/>
    <w:next w:val="1"/>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349">
    <w:name w:val="样式 宋体 五号 行距: 单倍行距"/>
    <w:basedOn w:val="1"/>
    <w:qFormat/>
    <w:uiPriority w:val="0"/>
    <w:pPr>
      <w:adjustRightInd w:val="0"/>
      <w:jc w:val="left"/>
      <w:textAlignment w:val="baseline"/>
    </w:pPr>
    <w:rPr>
      <w:rFonts w:ascii="宋体" w:hAnsi="宋体"/>
      <w:kern w:val="0"/>
      <w:sz w:val="24"/>
      <w:szCs w:val="20"/>
    </w:rPr>
  </w:style>
  <w:style w:type="paragraph" w:customStyle="1" w:styleId="350">
    <w:name w:val="Char1 Char Char Char Char Char Char"/>
    <w:basedOn w:val="1"/>
    <w:qFormat/>
    <w:uiPriority w:val="0"/>
    <w:rPr>
      <w:rFonts w:ascii="Tahoma" w:hAnsi="Tahoma"/>
      <w:sz w:val="24"/>
      <w:szCs w:val="20"/>
    </w:rPr>
  </w:style>
  <w:style w:type="paragraph" w:customStyle="1" w:styleId="351">
    <w:name w:val="四级标题"/>
    <w:basedOn w:val="35"/>
    <w:qFormat/>
    <w:uiPriority w:val="0"/>
    <w:pPr>
      <w:spacing w:line="360" w:lineRule="auto"/>
    </w:pPr>
    <w:rPr>
      <w:rFonts w:eastAsia="黑体"/>
    </w:rPr>
  </w:style>
  <w:style w:type="paragraph" w:customStyle="1" w:styleId="352">
    <w:name w:val="列出段落1"/>
    <w:basedOn w:val="1"/>
    <w:qFormat/>
    <w:uiPriority w:val="0"/>
    <w:pPr>
      <w:ind w:firstLine="420" w:firstLineChars="200"/>
    </w:pPr>
    <w:rPr>
      <w:szCs w:val="20"/>
    </w:rPr>
  </w:style>
  <w:style w:type="paragraph" w:customStyle="1" w:styleId="353">
    <w:name w:val="xl33"/>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54">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55">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56">
    <w:name w:val="样式 标题 2 + 宋体 五号 行距: 单倍行距"/>
    <w:basedOn w:val="2"/>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57">
    <w:name w:val="样式9"/>
    <w:basedOn w:val="3"/>
    <w:qFormat/>
    <w:uiPriority w:val="0"/>
    <w:pPr>
      <w:tabs>
        <w:tab w:val="left" w:pos="780"/>
        <w:tab w:val="left" w:pos="2000"/>
      </w:tabs>
      <w:overflowPunct w:val="0"/>
      <w:spacing w:before="0" w:after="0"/>
      <w:ind w:left="780" w:hanging="420"/>
      <w:jc w:val="left"/>
    </w:pPr>
    <w:rPr>
      <w:rFonts w:ascii="宋体" w:hAnsi="宋体" w:eastAsia="宋体"/>
      <w:bCs w:val="0"/>
      <w:kern w:val="0"/>
      <w:sz w:val="28"/>
      <w:szCs w:val="20"/>
    </w:rPr>
  </w:style>
  <w:style w:type="paragraph" w:customStyle="1" w:styleId="358">
    <w:name w:val="xl43"/>
    <w:basedOn w:val="1"/>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359">
    <w:name w:val="标题 3正文"/>
    <w:basedOn w:val="1"/>
    <w:qFormat/>
    <w:uiPriority w:val="0"/>
    <w:pPr>
      <w:spacing w:beforeLines="50" w:line="440" w:lineRule="exact"/>
      <w:ind w:left="900"/>
      <w:jc w:val="left"/>
    </w:pPr>
    <w:rPr>
      <w:rFonts w:ascii="宋体" w:hAnsi="宋体"/>
      <w:sz w:val="24"/>
    </w:rPr>
  </w:style>
  <w:style w:type="paragraph" w:customStyle="1" w:styleId="360">
    <w:name w:val="样式 宋体 行距: 1.5 倍行距"/>
    <w:basedOn w:val="1"/>
    <w:qFormat/>
    <w:uiPriority w:val="0"/>
    <w:pPr>
      <w:tabs>
        <w:tab w:val="left" w:pos="360"/>
        <w:tab w:val="left" w:pos="420"/>
      </w:tabs>
      <w:ind w:left="360" w:hanging="360"/>
    </w:pPr>
    <w:rPr>
      <w:szCs w:val="20"/>
    </w:rPr>
  </w:style>
  <w:style w:type="paragraph" w:customStyle="1" w:styleId="361">
    <w:name w:val="Char2 Char Char Char Char Char Char1"/>
    <w:basedOn w:val="1"/>
    <w:qFormat/>
    <w:uiPriority w:val="0"/>
    <w:rPr>
      <w:rFonts w:ascii="仿宋_GB2312"/>
      <w:b/>
      <w:sz w:val="30"/>
      <w:szCs w:val="32"/>
    </w:rPr>
  </w:style>
  <w:style w:type="paragraph" w:customStyle="1" w:styleId="362">
    <w:name w:val="样式 标题 2标题 1.1H2Heading 2 HiddenHeading 2 CCBSheading 2第一章 ..."/>
    <w:basedOn w:val="2"/>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363">
    <w:name w:val="样式 (中文) 仿宋_GB2312 四号 行距: 多倍行距 1.25 字行1"/>
    <w:basedOn w:val="1"/>
    <w:qFormat/>
    <w:uiPriority w:val="0"/>
    <w:pPr>
      <w:snapToGrid w:val="0"/>
      <w:spacing w:line="300" w:lineRule="auto"/>
      <w:ind w:firstLine="560" w:firstLineChars="200"/>
    </w:pPr>
    <w:rPr>
      <w:rFonts w:eastAsia="仿宋_GB2312"/>
      <w:color w:val="000000"/>
      <w:kern w:val="0"/>
      <w:sz w:val="28"/>
      <w:szCs w:val="20"/>
    </w:rPr>
  </w:style>
  <w:style w:type="paragraph" w:customStyle="1" w:styleId="364">
    <w:name w:val="xl71"/>
    <w:basedOn w:val="1"/>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65">
    <w:name w:val="样式 标题 3Level 3 HeadH3Heading 3 - oldh3sect1.2.3Head33l3...1"/>
    <w:basedOn w:val="4"/>
    <w:qFormat/>
    <w:uiPriority w:val="0"/>
    <w:pPr>
      <w:spacing w:line="413" w:lineRule="auto"/>
      <w:jc w:val="left"/>
      <w:outlineLvl w:val="9"/>
    </w:pPr>
    <w:rPr>
      <w:rFonts w:ascii="宋体" w:hAnsi="宋体"/>
      <w:bCs w:val="0"/>
      <w:sz w:val="24"/>
      <w:szCs w:val="20"/>
    </w:rPr>
  </w:style>
  <w:style w:type="paragraph" w:customStyle="1" w:styleId="366">
    <w:name w:val="样式 标题 2【标题2】 + 宋体"/>
    <w:basedOn w:val="2"/>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67">
    <w:name w:val="章标题"/>
    <w:next w:val="252"/>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68">
    <w:name w:val="Char1"/>
    <w:basedOn w:val="18"/>
    <w:qFormat/>
    <w:uiPriority w:val="0"/>
    <w:rPr>
      <w:rFonts w:ascii="Tahoma" w:hAnsi="Tahoma"/>
      <w:sz w:val="24"/>
      <w:szCs w:val="20"/>
    </w:rPr>
  </w:style>
  <w:style w:type="paragraph" w:customStyle="1" w:styleId="369">
    <w:name w:val="样式 标题 3Level 3 HeadH3Heading 3 - oldh3sect1.2.3Head33l3..."/>
    <w:basedOn w:val="4"/>
    <w:qFormat/>
    <w:uiPriority w:val="0"/>
    <w:pPr>
      <w:spacing w:line="300" w:lineRule="auto"/>
      <w:jc w:val="left"/>
      <w:outlineLvl w:val="9"/>
    </w:pPr>
    <w:rPr>
      <w:rFonts w:ascii="宋体" w:hAnsi="宋体"/>
      <w:bCs w:val="0"/>
      <w:sz w:val="28"/>
      <w:szCs w:val="20"/>
    </w:rPr>
  </w:style>
  <w:style w:type="paragraph" w:customStyle="1" w:styleId="370">
    <w:name w:val="xl40"/>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71">
    <w:name w:val="符合标题4"/>
    <w:basedOn w:val="1"/>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372">
    <w:name w:val="xl51"/>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7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74">
    <w:name w:val="USE 5"/>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375">
    <w:name w:val="五号正文（标准）"/>
    <w:basedOn w:val="1"/>
    <w:qFormat/>
    <w:uiPriority w:val="0"/>
    <w:pPr>
      <w:jc w:val="left"/>
    </w:pPr>
    <w:rPr>
      <w:rFonts w:ascii="仿宋_GB2312" w:hAnsi="宋体" w:eastAsia="仿宋_GB2312" w:cs="Plotter"/>
      <w:sz w:val="24"/>
    </w:rPr>
  </w:style>
  <w:style w:type="paragraph" w:customStyle="1" w:styleId="376">
    <w:name w:val="样式 标题 2 + 左侧:  0 厘米 首行缩进:  0 厘米"/>
    <w:basedOn w:val="377"/>
    <w:qFormat/>
    <w:uiPriority w:val="0"/>
    <w:pPr>
      <w:tabs>
        <w:tab w:val="left" w:pos="425"/>
        <w:tab w:val="left" w:pos="851"/>
        <w:tab w:val="left" w:pos="1140"/>
      </w:tabs>
      <w:ind w:left="1140" w:hanging="240"/>
    </w:pPr>
  </w:style>
  <w:style w:type="paragraph" w:customStyle="1" w:styleId="377">
    <w:name w:val="标题 21"/>
    <w:basedOn w:val="1"/>
    <w:next w:val="16"/>
    <w:qFormat/>
    <w:uiPriority w:val="0"/>
    <w:pPr>
      <w:tabs>
        <w:tab w:val="left" w:pos="851"/>
      </w:tabs>
      <w:ind w:left="840" w:hanging="420"/>
      <w:jc w:val="left"/>
    </w:pPr>
    <w:rPr>
      <w:rFonts w:ascii="宋体" w:hAnsi="宋体"/>
      <w:kern w:val="0"/>
      <w:sz w:val="24"/>
      <w:szCs w:val="20"/>
    </w:rPr>
  </w:style>
  <w:style w:type="paragraph" w:customStyle="1" w:styleId="378">
    <w:name w:val="标准1 段落"/>
    <w:basedOn w:val="1"/>
    <w:qFormat/>
    <w:uiPriority w:val="0"/>
    <w:pPr>
      <w:tabs>
        <w:tab w:val="left" w:pos="360"/>
      </w:tabs>
      <w:spacing w:beforeLines="50" w:line="360" w:lineRule="auto"/>
      <w:ind w:left="360" w:hanging="360"/>
    </w:pPr>
    <w:rPr>
      <w:sz w:val="24"/>
    </w:rPr>
  </w:style>
  <w:style w:type="paragraph" w:customStyle="1" w:styleId="379">
    <w:name w:val="表身（中）"/>
    <w:basedOn w:val="332"/>
    <w:qFormat/>
    <w:uiPriority w:val="0"/>
    <w:pPr>
      <w:jc w:val="center"/>
    </w:pPr>
  </w:style>
  <w:style w:type="paragraph" w:customStyle="1" w:styleId="380">
    <w:name w:val="样式3"/>
    <w:basedOn w:val="39"/>
    <w:next w:val="39"/>
    <w:qFormat/>
    <w:uiPriority w:val="0"/>
    <w:pPr>
      <w:jc w:val="both"/>
    </w:pPr>
    <w:rPr>
      <w:kern w:val="0"/>
      <w:szCs w:val="20"/>
    </w:rPr>
  </w:style>
  <w:style w:type="paragraph" w:customStyle="1" w:styleId="381">
    <w:name w:val="xl39"/>
    <w:basedOn w:val="1"/>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82">
    <w:name w:val="我的征文"/>
    <w:basedOn w:val="1"/>
    <w:qFormat/>
    <w:uiPriority w:val="0"/>
    <w:pPr>
      <w:tabs>
        <w:tab w:val="left" w:pos="851"/>
      </w:tabs>
      <w:spacing w:before="360" w:after="360"/>
      <w:ind w:left="851" w:right="113" w:hanging="851"/>
    </w:pPr>
  </w:style>
  <w:style w:type="paragraph" w:customStyle="1" w:styleId="383">
    <w:name w:val="封面上部"/>
    <w:basedOn w:val="1"/>
    <w:qFormat/>
    <w:uiPriority w:val="0"/>
    <w:pPr>
      <w:adjustRightInd w:val="0"/>
      <w:spacing w:line="360" w:lineRule="auto"/>
      <w:jc w:val="center"/>
      <w:textAlignment w:val="baseline"/>
    </w:pPr>
    <w:rPr>
      <w:rFonts w:ascii="Arial" w:eastAsia="黑体"/>
      <w:kern w:val="0"/>
      <w:sz w:val="32"/>
      <w:szCs w:val="20"/>
    </w:rPr>
  </w:style>
  <w:style w:type="paragraph" w:customStyle="1" w:styleId="384">
    <w:name w:val="font7"/>
    <w:basedOn w:val="1"/>
    <w:qFormat/>
    <w:uiPriority w:val="0"/>
    <w:pPr>
      <w:widowControl/>
      <w:spacing w:before="100" w:beforeAutospacing="1" w:after="100" w:afterAutospacing="1"/>
      <w:jc w:val="left"/>
    </w:pPr>
    <w:rPr>
      <w:kern w:val="0"/>
      <w:sz w:val="22"/>
      <w:szCs w:val="22"/>
    </w:rPr>
  </w:style>
  <w:style w:type="paragraph" w:customStyle="1" w:styleId="385">
    <w:name w:val="CM16"/>
    <w:basedOn w:val="1"/>
    <w:next w:val="1"/>
    <w:qFormat/>
    <w:uiPriority w:val="0"/>
    <w:pPr>
      <w:autoSpaceDE w:val="0"/>
      <w:autoSpaceDN w:val="0"/>
      <w:adjustRightInd w:val="0"/>
      <w:spacing w:after="163"/>
      <w:jc w:val="left"/>
    </w:pPr>
    <w:rPr>
      <w:rFonts w:ascii="INMAB J+ Univers" w:eastAsia="INMAB J+ Univers"/>
      <w:kern w:val="0"/>
      <w:sz w:val="24"/>
    </w:rPr>
  </w:style>
  <w:style w:type="paragraph" w:customStyle="1" w:styleId="386">
    <w:name w:val="c12px"/>
    <w:basedOn w:val="1"/>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387">
    <w:name w:val="Char12"/>
    <w:basedOn w:val="1"/>
    <w:qFormat/>
    <w:uiPriority w:val="0"/>
    <w:rPr>
      <w:rFonts w:ascii="Tahoma" w:hAnsi="Tahoma"/>
      <w:sz w:val="24"/>
      <w:szCs w:val="20"/>
    </w:rPr>
  </w:style>
  <w:style w:type="paragraph" w:customStyle="1" w:styleId="388">
    <w:name w:val="菲页2"/>
    <w:basedOn w:val="4"/>
    <w:qFormat/>
    <w:uiPriority w:val="0"/>
    <w:pPr>
      <w:widowControl/>
      <w:spacing w:before="0" w:after="0" w:line="240" w:lineRule="auto"/>
      <w:jc w:val="center"/>
    </w:pPr>
    <w:rPr>
      <w:rFonts w:ascii="黑体" w:hAnsi="宋体" w:eastAsia="黑体"/>
      <w:b w:val="0"/>
      <w:bCs w:val="0"/>
      <w:sz w:val="44"/>
      <w:szCs w:val="20"/>
    </w:rPr>
  </w:style>
  <w:style w:type="paragraph" w:customStyle="1" w:styleId="389">
    <w:name w:val="xl60"/>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90">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91">
    <w:name w:val="5"/>
    <w:basedOn w:val="1"/>
    <w:next w:val="25"/>
    <w:qFormat/>
    <w:uiPriority w:val="0"/>
    <w:pPr>
      <w:jc w:val="left"/>
    </w:pPr>
    <w:rPr>
      <w:rFonts w:cs="Plotter"/>
      <w:sz w:val="28"/>
      <w:szCs w:val="20"/>
    </w:rPr>
  </w:style>
  <w:style w:type="paragraph" w:customStyle="1" w:styleId="392">
    <w:name w:val="节标题"/>
    <w:basedOn w:val="1"/>
    <w:qFormat/>
    <w:uiPriority w:val="0"/>
    <w:pPr>
      <w:ind w:firstLine="461" w:firstLineChars="192"/>
      <w:jc w:val="left"/>
    </w:pPr>
    <w:rPr>
      <w:rFonts w:ascii="黑体" w:eastAsia="黑体"/>
      <w:sz w:val="24"/>
    </w:rPr>
  </w:style>
  <w:style w:type="paragraph" w:customStyle="1" w:styleId="393">
    <w:name w:val="项目1"/>
    <w:basedOn w:val="1"/>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394">
    <w:name w:val="样式5"/>
    <w:basedOn w:val="344"/>
    <w:qFormat/>
    <w:uiPriority w:val="0"/>
    <w:pPr>
      <w:keepNext/>
      <w:keepLines/>
      <w:tabs>
        <w:tab w:val="left" w:pos="567"/>
        <w:tab w:val="left" w:pos="1200"/>
        <w:tab w:val="clear" w:pos="4153"/>
        <w:tab w:val="clear" w:pos="8306"/>
      </w:tabs>
      <w:overflowPunct w:val="0"/>
      <w:snapToGrid/>
      <w:ind w:left="1200" w:leftChars="400" w:hanging="360" w:hangingChars="200"/>
      <w:outlineLvl w:val="0"/>
    </w:pPr>
    <w:rPr>
      <w:rFonts w:ascii="宋体" w:hAnsi="宋体"/>
      <w:b/>
      <w:sz w:val="24"/>
    </w:rPr>
  </w:style>
  <w:style w:type="paragraph" w:customStyle="1" w:styleId="395">
    <w:name w:val="1 Char Char Char Char"/>
    <w:basedOn w:val="1"/>
    <w:qFormat/>
    <w:uiPriority w:val="0"/>
    <w:rPr>
      <w:rFonts w:ascii="Tahoma" w:hAnsi="Tahoma"/>
      <w:sz w:val="24"/>
      <w:szCs w:val="20"/>
    </w:rPr>
  </w:style>
  <w:style w:type="paragraph" w:customStyle="1" w:styleId="396">
    <w:name w:val="Char2 Char Char Char Char Char Char"/>
    <w:basedOn w:val="1"/>
    <w:qFormat/>
    <w:uiPriority w:val="0"/>
    <w:rPr>
      <w:rFonts w:ascii="仿宋_GB2312"/>
      <w:b/>
      <w:sz w:val="30"/>
      <w:szCs w:val="32"/>
    </w:rPr>
  </w:style>
  <w:style w:type="paragraph" w:customStyle="1" w:styleId="397">
    <w:name w:val="xl48"/>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398">
    <w:name w:val="样式 宋体 一号 加粗 居中 行距: 最小值 25 磅"/>
    <w:basedOn w:val="1"/>
    <w:qFormat/>
    <w:uiPriority w:val="0"/>
    <w:pPr>
      <w:spacing w:line="500" w:lineRule="atLeast"/>
      <w:jc w:val="center"/>
    </w:pPr>
    <w:rPr>
      <w:rFonts w:ascii="宋体" w:hAnsi="宋体"/>
      <w:b/>
      <w:sz w:val="52"/>
      <w:szCs w:val="20"/>
    </w:rPr>
  </w:style>
  <w:style w:type="paragraph" w:customStyle="1" w:styleId="399">
    <w:name w:val="xl59"/>
    <w:basedOn w:val="1"/>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00">
    <w:name w:val="xl47"/>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401">
    <w:name w:val="6'"/>
    <w:basedOn w:val="1"/>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02">
    <w:name w:val="Char Char1 Char Char Char Char Char Char Char Char"/>
    <w:basedOn w:val="1"/>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403">
    <w:name w:val="样式 样式 标题 2标题2H2h2Heading 2 HiddenHeading 2 CCBSheading 2第一章 ...1..."/>
    <w:basedOn w:val="1"/>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404">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405">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406">
    <w:name w:val="恒智正文"/>
    <w:basedOn w:val="1"/>
    <w:qFormat/>
    <w:uiPriority w:val="0"/>
    <w:pPr>
      <w:ind w:firstLine="540" w:firstLineChars="225"/>
      <w:jc w:val="left"/>
    </w:pPr>
    <w:rPr>
      <w:rFonts w:ascii="宋体" w:hAnsi="宋体"/>
      <w:sz w:val="24"/>
    </w:rPr>
  </w:style>
  <w:style w:type="paragraph" w:customStyle="1" w:styleId="407">
    <w:name w:val="Char Char Char1"/>
    <w:basedOn w:val="1"/>
    <w:qFormat/>
    <w:uiPriority w:val="0"/>
    <w:rPr>
      <w:rFonts w:ascii="Tahoma" w:hAnsi="Tahoma"/>
      <w:sz w:val="24"/>
      <w:szCs w:val="20"/>
    </w:rPr>
  </w:style>
  <w:style w:type="paragraph" w:customStyle="1" w:styleId="408">
    <w:name w:val="符号标题3"/>
    <w:basedOn w:val="1"/>
    <w:qFormat/>
    <w:uiPriority w:val="0"/>
    <w:pPr>
      <w:spacing w:before="50"/>
      <w:ind w:firstLine="359" w:firstLineChars="171"/>
      <w:jc w:val="left"/>
    </w:pPr>
    <w:rPr>
      <w:rFonts w:ascii="宋体" w:hAnsi="宋体"/>
      <w:sz w:val="24"/>
    </w:rPr>
  </w:style>
  <w:style w:type="paragraph" w:customStyle="1" w:styleId="409">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410">
    <w:name w:val="style50"/>
    <w:basedOn w:val="1"/>
    <w:qFormat/>
    <w:uiPriority w:val="0"/>
    <w:pPr>
      <w:widowControl/>
      <w:spacing w:before="75" w:after="75" w:line="384" w:lineRule="auto"/>
      <w:jc w:val="left"/>
    </w:pPr>
    <w:rPr>
      <w:rFonts w:ascii="黑体" w:hAnsi="宋体" w:eastAsia="黑体" w:cs="宋体"/>
      <w:kern w:val="0"/>
      <w:sz w:val="24"/>
    </w:rPr>
  </w:style>
  <w:style w:type="paragraph" w:customStyle="1" w:styleId="41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2">
    <w:name w:val="xl52"/>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13">
    <w:name w:val="样式 段后: 3 磅 行距: 1.5 倍行距"/>
    <w:basedOn w:val="1"/>
    <w:qFormat/>
    <w:uiPriority w:val="0"/>
    <w:pPr>
      <w:spacing w:after="60" w:line="360" w:lineRule="auto"/>
    </w:pPr>
    <w:rPr>
      <w:szCs w:val="20"/>
    </w:rPr>
  </w:style>
  <w:style w:type="paragraph" w:customStyle="1" w:styleId="414">
    <w:name w:val="xl55"/>
    <w:basedOn w:val="1"/>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415">
    <w:name w:val="Default 123  Text1"/>
    <w:basedOn w:val="1"/>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4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17">
    <w:name w:val="目录"/>
    <w:basedOn w:val="1"/>
    <w:next w:val="283"/>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418">
    <w:name w:val="xl81"/>
    <w:basedOn w:val="1"/>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419">
    <w:name w:val="样式10"/>
    <w:basedOn w:val="3"/>
    <w:next w:val="3"/>
    <w:qFormat/>
    <w:uiPriority w:val="0"/>
    <w:pPr>
      <w:tabs>
        <w:tab w:val="left" w:pos="420"/>
        <w:tab w:val="left" w:pos="567"/>
      </w:tabs>
      <w:spacing w:before="0" w:after="0"/>
      <w:ind w:left="420" w:hanging="420"/>
      <w:jc w:val="left"/>
    </w:pPr>
    <w:rPr>
      <w:rFonts w:ascii="宋体" w:hAnsi="宋体" w:eastAsia="宋体"/>
      <w:bCs w:val="0"/>
      <w:kern w:val="0"/>
      <w:sz w:val="24"/>
      <w:szCs w:val="20"/>
    </w:rPr>
  </w:style>
  <w:style w:type="paragraph" w:customStyle="1" w:styleId="420">
    <w:name w:val="xl31"/>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21">
    <w:name w:val="xl30"/>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22">
    <w:name w:val="【标题1】"/>
    <w:basedOn w:val="1"/>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23">
    <w:name w:val="xl37"/>
    <w:basedOn w:val="1"/>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24">
    <w:name w:val="xl44"/>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5">
    <w:name w:val="菲页(卷)"/>
    <w:basedOn w:val="3"/>
    <w:next w:val="284"/>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426">
    <w:name w:val="xl5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27">
    <w:name w:val="五级条标题"/>
    <w:basedOn w:val="310"/>
    <w:next w:val="252"/>
    <w:qFormat/>
    <w:uiPriority w:val="0"/>
    <w:pPr>
      <w:outlineLvl w:val="6"/>
    </w:pPr>
  </w:style>
  <w:style w:type="paragraph" w:customStyle="1" w:styleId="428">
    <w:name w:val="一般文字"/>
    <w:basedOn w:val="1"/>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429">
    <w:name w:val="Char Char Char Char Char Char1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430">
    <w:name w:val="样式12"/>
    <w:basedOn w:val="380"/>
    <w:qFormat/>
    <w:uiPriority w:val="0"/>
    <w:pPr>
      <w:tabs>
        <w:tab w:val="left" w:pos="0"/>
        <w:tab w:val="left" w:pos="719"/>
        <w:tab w:val="clear" w:pos="4153"/>
        <w:tab w:val="clear"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431">
    <w:name w:val="标二"/>
    <w:next w:val="1"/>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432">
    <w:name w:val="编号1"/>
    <w:basedOn w:val="1"/>
    <w:qFormat/>
    <w:uiPriority w:val="0"/>
    <w:pPr>
      <w:tabs>
        <w:tab w:val="left" w:pos="1344"/>
      </w:tabs>
      <w:spacing w:line="360" w:lineRule="auto"/>
      <w:outlineLvl w:val="0"/>
    </w:pPr>
    <w:rPr>
      <w:rFonts w:ascii="宋体" w:hAnsi="宋体"/>
      <w:sz w:val="24"/>
      <w:szCs w:val="20"/>
    </w:rPr>
  </w:style>
  <w:style w:type="paragraph" w:customStyle="1" w:styleId="433">
    <w:name w:val="xl64"/>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34">
    <w:name w:val="xl46"/>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5">
    <w:name w:val="f9"/>
    <w:basedOn w:val="1"/>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436">
    <w:name w:val="表格"/>
    <w:basedOn w:val="1"/>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paragraph" w:customStyle="1" w:styleId="43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38">
    <w:name w:val="xl68"/>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39">
    <w:name w:val="正文文字1"/>
    <w:basedOn w:val="1"/>
    <w:next w:val="50"/>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440">
    <w:name w:val="6"/>
    <w:basedOn w:val="1"/>
    <w:next w:val="33"/>
    <w:qFormat/>
    <w:uiPriority w:val="0"/>
    <w:pPr>
      <w:jc w:val="left"/>
    </w:pPr>
    <w:rPr>
      <w:rFonts w:ascii="宋体" w:hAnsi="Courier New" w:cs="Plotter"/>
      <w:sz w:val="24"/>
      <w:szCs w:val="20"/>
    </w:rPr>
  </w:style>
  <w:style w:type="paragraph" w:customStyle="1" w:styleId="441">
    <w:name w:val="Char Char Char Char Char Char Char Char Char"/>
    <w:basedOn w:val="18"/>
    <w:qFormat/>
    <w:uiPriority w:val="0"/>
    <w:pPr>
      <w:jc w:val="left"/>
    </w:pPr>
    <w:rPr>
      <w:rFonts w:ascii="Tahoma" w:hAnsi="Tahoma"/>
      <w:sz w:val="24"/>
      <w:szCs w:val="20"/>
    </w:rPr>
  </w:style>
  <w:style w:type="paragraph" w:customStyle="1" w:styleId="44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443">
    <w:name w:val="文章副标题"/>
    <w:basedOn w:val="1"/>
    <w:next w:val="1"/>
    <w:qFormat/>
    <w:uiPriority w:val="0"/>
    <w:pPr>
      <w:widowControl/>
      <w:spacing w:before="187" w:after="175" w:line="1870" w:lineRule="atLeast"/>
      <w:jc w:val="center"/>
      <w:textAlignment w:val="baseline"/>
    </w:pPr>
    <w:rPr>
      <w:color w:val="000000"/>
      <w:kern w:val="0"/>
      <w:sz w:val="36"/>
    </w:rPr>
  </w:style>
  <w:style w:type="paragraph" w:customStyle="1" w:styleId="444">
    <w:name w:val="标题样式"/>
    <w:basedOn w:val="1"/>
    <w:qFormat/>
    <w:uiPriority w:val="0"/>
    <w:pPr>
      <w:tabs>
        <w:tab w:val="left" w:pos="420"/>
      </w:tabs>
      <w:jc w:val="left"/>
    </w:pPr>
    <w:rPr>
      <w:rFonts w:ascii="宋体" w:hAnsi="宋体"/>
      <w:sz w:val="24"/>
    </w:rPr>
  </w:style>
  <w:style w:type="paragraph" w:customStyle="1" w:styleId="445">
    <w:name w:val="样式8"/>
    <w:basedOn w:val="1"/>
    <w:qFormat/>
    <w:uiPriority w:val="0"/>
    <w:pPr>
      <w:tabs>
        <w:tab w:val="left" w:pos="720"/>
      </w:tabs>
      <w:spacing w:line="360" w:lineRule="auto"/>
      <w:ind w:left="720" w:hanging="720"/>
      <w:jc w:val="left"/>
      <w:outlineLvl w:val="0"/>
    </w:pPr>
    <w:rPr>
      <w:szCs w:val="20"/>
    </w:rPr>
  </w:style>
  <w:style w:type="paragraph" w:customStyle="1" w:styleId="446">
    <w:name w:val="xl56"/>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47">
    <w:name w:val="xl45"/>
    <w:basedOn w:val="1"/>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48">
    <w:name w:val="xl2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49">
    <w:name w:val="xl65"/>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50">
    <w:name w:val="xl54"/>
    <w:basedOn w:val="1"/>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51">
    <w:name w:val="标题 33"/>
    <w:basedOn w:val="1"/>
    <w:qFormat/>
    <w:uiPriority w:val="0"/>
    <w:pPr>
      <w:widowControl/>
      <w:jc w:val="left"/>
    </w:pPr>
    <w:rPr>
      <w:kern w:val="0"/>
      <w:sz w:val="20"/>
      <w:szCs w:val="20"/>
    </w:rPr>
  </w:style>
  <w:style w:type="paragraph" w:customStyle="1" w:styleId="45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3">
    <w:name w:val="列表1"/>
    <w:basedOn w:val="1"/>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454">
    <w:name w:val="maint"/>
    <w:basedOn w:val="1"/>
    <w:qFormat/>
    <w:uiPriority w:val="0"/>
    <w:pPr>
      <w:widowControl/>
      <w:jc w:val="left"/>
    </w:pPr>
    <w:rPr>
      <w:rFonts w:ascii="宋体" w:hAnsi="宋体" w:cs="宋体"/>
      <w:kern w:val="0"/>
      <w:sz w:val="24"/>
    </w:rPr>
  </w:style>
  <w:style w:type="paragraph" w:customStyle="1" w:styleId="455">
    <w:name w:val="Char Char Char Char Char Char Char Char1"/>
    <w:basedOn w:val="1"/>
    <w:qFormat/>
    <w:uiPriority w:val="0"/>
    <w:pPr>
      <w:tabs>
        <w:tab w:val="left" w:pos="360"/>
      </w:tabs>
    </w:pPr>
    <w:rPr>
      <w:sz w:val="24"/>
    </w:rPr>
  </w:style>
  <w:style w:type="paragraph" w:customStyle="1" w:styleId="4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57">
    <w:name w:val="Char Char Char Char Char Char Char"/>
    <w:basedOn w:val="1"/>
    <w:qFormat/>
    <w:uiPriority w:val="0"/>
    <w:pPr>
      <w:tabs>
        <w:tab w:val="left" w:pos="432"/>
      </w:tabs>
      <w:ind w:left="432" w:hanging="432"/>
    </w:pPr>
    <w:rPr>
      <w:rFonts w:ascii="Tahoma" w:hAnsi="Tahoma"/>
      <w:sz w:val="24"/>
      <w:szCs w:val="20"/>
    </w:rPr>
  </w:style>
  <w:style w:type="paragraph" w:customStyle="1" w:styleId="458">
    <w:name w:val="样式7"/>
    <w:basedOn w:val="3"/>
    <w:next w:val="3"/>
    <w:qFormat/>
    <w:uiPriority w:val="0"/>
    <w:pPr>
      <w:tabs>
        <w:tab w:val="left" w:pos="951"/>
        <w:tab w:val="left" w:pos="2907"/>
      </w:tabs>
      <w:spacing w:before="0" w:after="0"/>
      <w:ind w:left="2907" w:hanging="1755"/>
      <w:jc w:val="left"/>
    </w:pPr>
    <w:rPr>
      <w:rFonts w:ascii="宋体" w:hAnsi="宋体" w:eastAsia="宋体"/>
      <w:bCs w:val="0"/>
      <w:kern w:val="0"/>
      <w:sz w:val="24"/>
      <w:szCs w:val="20"/>
    </w:rPr>
  </w:style>
  <w:style w:type="paragraph" w:customStyle="1" w:styleId="459">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60">
    <w:name w:val="样式6"/>
    <w:basedOn w:val="3"/>
    <w:qFormat/>
    <w:uiPriority w:val="0"/>
    <w:pPr>
      <w:tabs>
        <w:tab w:val="left" w:pos="780"/>
        <w:tab w:val="left" w:pos="851"/>
      </w:tabs>
      <w:spacing w:before="0" w:after="0"/>
      <w:ind w:left="840" w:hanging="840"/>
      <w:jc w:val="left"/>
    </w:pPr>
    <w:rPr>
      <w:rFonts w:ascii="宋体" w:hAnsi="宋体" w:eastAsia="宋体"/>
      <w:bCs w:val="0"/>
      <w:kern w:val="0"/>
      <w:sz w:val="28"/>
      <w:szCs w:val="20"/>
    </w:rPr>
  </w:style>
  <w:style w:type="paragraph" w:customStyle="1" w:styleId="461">
    <w:name w:val="小标题 1"/>
    <w:basedOn w:val="1"/>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462">
    <w:name w:val="框下空行"/>
    <w:basedOn w:val="1"/>
    <w:next w:val="1"/>
    <w:qFormat/>
    <w:uiPriority w:val="0"/>
    <w:pPr>
      <w:widowControl/>
      <w:adjustRightInd w:val="0"/>
      <w:snapToGrid w:val="0"/>
      <w:spacing w:line="200" w:lineRule="exact"/>
      <w:ind w:left="680"/>
      <w:jc w:val="left"/>
    </w:pPr>
    <w:rPr>
      <w:sz w:val="18"/>
      <w:szCs w:val="20"/>
    </w:rPr>
  </w:style>
  <w:style w:type="paragraph" w:customStyle="1" w:styleId="463">
    <w:name w:val="默认段落"/>
    <w:basedOn w:val="1"/>
    <w:qFormat/>
    <w:uiPriority w:val="0"/>
    <w:pPr>
      <w:spacing w:after="120" w:line="360" w:lineRule="auto"/>
      <w:ind w:firstLine="480" w:firstLineChars="200"/>
    </w:pPr>
    <w:rPr>
      <w:sz w:val="24"/>
      <w:szCs w:val="20"/>
    </w:rPr>
  </w:style>
  <w:style w:type="paragraph" w:customStyle="1" w:styleId="464">
    <w:name w:val="Char Char Char Char Char Char Char Char Char Char Char Char Char Char Char Char1"/>
    <w:basedOn w:val="1"/>
    <w:qFormat/>
    <w:uiPriority w:val="0"/>
    <w:pPr>
      <w:tabs>
        <w:tab w:val="left" w:pos="360"/>
      </w:tabs>
      <w:jc w:val="left"/>
    </w:pPr>
    <w:rPr>
      <w:sz w:val="24"/>
      <w:szCs w:val="20"/>
    </w:rPr>
  </w:style>
  <w:style w:type="paragraph" w:customStyle="1" w:styleId="465">
    <w:name w:val="样式 首行缩进:  0.85 厘米"/>
    <w:basedOn w:val="1"/>
    <w:qFormat/>
    <w:uiPriority w:val="0"/>
    <w:pPr>
      <w:adjustRightInd w:val="0"/>
      <w:ind w:firstLine="480"/>
      <w:jc w:val="left"/>
      <w:textAlignment w:val="baseline"/>
    </w:pPr>
    <w:rPr>
      <w:rFonts w:ascii="Arial" w:hAnsi="Arial"/>
      <w:sz w:val="24"/>
      <w:szCs w:val="20"/>
    </w:rPr>
  </w:style>
  <w:style w:type="paragraph" w:customStyle="1" w:styleId="466">
    <w:name w:val="列出段落 Char Char"/>
    <w:basedOn w:val="1"/>
    <w:qFormat/>
    <w:uiPriority w:val="0"/>
    <w:pPr>
      <w:ind w:firstLine="420" w:firstLineChars="200"/>
    </w:pPr>
    <w:rPr>
      <w:szCs w:val="20"/>
    </w:rPr>
  </w:style>
  <w:style w:type="paragraph" w:customStyle="1" w:styleId="467">
    <w:name w:val="样式2"/>
    <w:basedOn w:val="39"/>
    <w:qFormat/>
    <w:uiPriority w:val="0"/>
    <w:pPr>
      <w:jc w:val="both"/>
    </w:pPr>
    <w:rPr>
      <w:kern w:val="0"/>
      <w:szCs w:val="20"/>
    </w:rPr>
  </w:style>
  <w:style w:type="paragraph" w:customStyle="1" w:styleId="468">
    <w:name w:val="样式 USE 2 + 行距: 单倍行距"/>
    <w:basedOn w:val="268"/>
    <w:qFormat/>
    <w:uiPriority w:val="0"/>
  </w:style>
  <w:style w:type="paragraph" w:customStyle="1" w:styleId="469">
    <w:name w:val="TOC 标题1"/>
    <w:basedOn w:val="3"/>
    <w:next w:val="1"/>
    <w:semiHidden/>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47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71">
    <w:name w:val="标题 331"/>
    <w:basedOn w:val="1"/>
    <w:qFormat/>
    <w:uiPriority w:val="0"/>
    <w:pPr>
      <w:widowControl/>
      <w:jc w:val="left"/>
    </w:pPr>
    <w:rPr>
      <w:kern w:val="0"/>
      <w:sz w:val="20"/>
      <w:szCs w:val="20"/>
    </w:rPr>
  </w:style>
  <w:style w:type="character" w:customStyle="1" w:styleId="472">
    <w:name w:val="Unresolved Mention"/>
    <w:basedOn w:val="63"/>
    <w:semiHidden/>
    <w:unhideWhenUsed/>
    <w:qFormat/>
    <w:uiPriority w:val="99"/>
    <w:rPr>
      <w:color w:val="605E5C"/>
      <w:shd w:val="clear" w:color="auto" w:fill="E1DFDD"/>
    </w:rPr>
  </w:style>
  <w:style w:type="character" w:customStyle="1" w:styleId="473">
    <w:name w:val="纯文本 Char"/>
    <w:qFormat/>
    <w:uiPriority w:val="0"/>
    <w:rPr>
      <w:rFonts w:ascii="宋体" w:hAnsi="Courier New" w:eastAsia="宋体"/>
      <w:kern w:val="2"/>
      <w:sz w:val="21"/>
      <w:lang w:val="en-US" w:eastAsia="zh-CN" w:bidi="ar-SA"/>
    </w:rPr>
  </w:style>
  <w:style w:type="character" w:customStyle="1" w:styleId="474">
    <w:name w:val="正文缩进 Char"/>
    <w:qFormat/>
    <w:uiPriority w:val="0"/>
    <w:rPr>
      <w:kern w:val="2"/>
      <w:sz w:val="21"/>
    </w:rPr>
  </w:style>
  <w:style w:type="character" w:customStyle="1" w:styleId="475">
    <w:name w:val="font71"/>
    <w:basedOn w:val="63"/>
    <w:qFormat/>
    <w:uiPriority w:val="0"/>
    <w:rPr>
      <w:rFonts w:hint="eastAsia" w:ascii="微软雅黑" w:hAnsi="微软雅黑" w:eastAsia="微软雅黑" w:cs="微软雅黑"/>
      <w:color w:val="000000"/>
      <w:sz w:val="20"/>
      <w:szCs w:val="20"/>
      <w:u w:val="none"/>
    </w:rPr>
  </w:style>
  <w:style w:type="character" w:customStyle="1" w:styleId="476">
    <w:name w:val="font41"/>
    <w:basedOn w:val="63"/>
    <w:qFormat/>
    <w:uiPriority w:val="0"/>
    <w:rPr>
      <w:rFonts w:hint="eastAsia" w:ascii="微软雅黑" w:hAnsi="微软雅黑" w:eastAsia="微软雅黑" w:cs="微软雅黑"/>
      <w:color w:val="000000"/>
      <w:sz w:val="20"/>
      <w:szCs w:val="20"/>
      <w:u w:val="none"/>
    </w:rPr>
  </w:style>
  <w:style w:type="paragraph" w:customStyle="1" w:styleId="47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Table Paragraph"/>
    <w:basedOn w:val="1"/>
    <w:qFormat/>
    <w:uiPriority w:val="1"/>
    <w:rPr>
      <w:rFonts w:ascii="宋体" w:hAnsi="宋体" w:eastAsia="宋体" w:cs="宋体"/>
      <w:lang w:val="zh-CN" w:eastAsia="zh-CN" w:bidi="zh-CN"/>
    </w:rPr>
  </w:style>
  <w:style w:type="paragraph" w:customStyle="1" w:styleId="479">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480">
    <w:name w:val="索引 11"/>
    <w:basedOn w:val="1"/>
    <w:next w:val="1"/>
    <w:qFormat/>
    <w:uiPriority w:val="0"/>
    <w:pPr>
      <w:spacing w:line="360" w:lineRule="auto"/>
    </w:pPr>
    <w:rPr>
      <w:rFonts w:ascii="仿宋_GB2312" w:eastAsia="仿宋_GB2312"/>
      <w:sz w:val="24"/>
      <w:szCs w:val="20"/>
    </w:rPr>
  </w:style>
  <w:style w:type="paragraph" w:customStyle="1" w:styleId="481">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23510</Words>
  <Characters>26253</Characters>
  <Lines>284</Lines>
  <Paragraphs>80</Paragraphs>
  <TotalTime>1</TotalTime>
  <ScaleCrop>false</ScaleCrop>
  <LinksUpToDate>false</LinksUpToDate>
  <CharactersWithSpaces>27880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2018-02-22T09:08:00Z</dcterms:created>
  <dc:creator>微软用户</dc:creator>
  <cp:lastModifiedBy>落尘</cp:lastModifiedBy>
  <cp:lastPrinted>2018-02-23T18:15:00Z</cp:lastPrinted>
  <dcterms:modified xsi:type="dcterms:W3CDTF">2023-12-11T06:37:30Z</dcterms:modified>
  <dc:title>郑州高新技术产业开发区  购置课桌椅、教师办公桌椅项目</dc:title>
  <cp:revision>470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6C90A843624C4E888ECA365C28B2520C_13</vt:lpwstr>
  </property>
</Properties>
</file>