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241" w:firstLineChars="50"/>
        <w:rPr>
          <w:rFonts w:eastAsia="黑体"/>
          <w:b/>
          <w:color w:val="auto"/>
          <w:spacing w:val="40"/>
          <w:sz w:val="40"/>
          <w:szCs w:val="40"/>
        </w:rPr>
      </w:pPr>
      <w:bookmarkStart w:id="62" w:name="_GoBack"/>
      <w:bookmarkEnd w:id="62"/>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jc w:val="center"/>
        <w:rPr>
          <w:rFonts w:ascii="黑体" w:eastAsia="黑体"/>
          <w:b/>
          <w:color w:val="auto"/>
          <w:spacing w:val="-20"/>
          <w:sz w:val="44"/>
          <w:szCs w:val="44"/>
        </w:rPr>
      </w:pPr>
      <w:r>
        <w:rPr>
          <w:rFonts w:hint="eastAsia" w:ascii="黑体" w:eastAsia="黑体"/>
          <w:b/>
          <w:color w:val="auto"/>
          <w:spacing w:val="-20"/>
          <w:sz w:val="44"/>
          <w:szCs w:val="44"/>
        </w:rPr>
        <w:t>安阳市自然资源和规划局安阳市2023至2025年国土空间监测及国土变更调查市级核查项目（二次）</w:t>
      </w:r>
    </w:p>
    <w:p>
      <w:pPr>
        <w:widowControl w:val="0"/>
        <w:snapToGrid w:val="0"/>
        <w:spacing w:line="560" w:lineRule="exact"/>
        <w:jc w:val="center"/>
        <w:rPr>
          <w:rFonts w:ascii="黑体" w:eastAsia="黑体"/>
          <w:b/>
          <w:color w:val="auto"/>
          <w:spacing w:val="-20"/>
          <w:sz w:val="44"/>
          <w:szCs w:val="44"/>
        </w:rPr>
      </w:pPr>
    </w:p>
    <w:p>
      <w:pPr>
        <w:widowControl w:val="0"/>
        <w:snapToGrid w:val="0"/>
        <w:spacing w:beforeLines="100" w:line="560" w:lineRule="exact"/>
        <w:jc w:val="center"/>
        <w:rPr>
          <w:rFonts w:eastAsia="黑体"/>
          <w:b/>
          <w:color w:val="auto"/>
          <w:sz w:val="44"/>
        </w:rPr>
      </w:pPr>
    </w:p>
    <w:p>
      <w:pPr>
        <w:widowControl w:val="0"/>
        <w:snapToGrid w:val="0"/>
        <w:spacing w:beforeLines="100" w:line="240" w:lineRule="auto"/>
        <w:jc w:val="center"/>
        <w:rPr>
          <w:rFonts w:eastAsia="黑体"/>
          <w:b/>
          <w:color w:val="auto"/>
          <w:sz w:val="44"/>
        </w:rPr>
      </w:pPr>
    </w:p>
    <w:p>
      <w:pPr>
        <w:widowControl w:val="0"/>
        <w:snapToGrid w:val="0"/>
        <w:spacing w:beforeLines="100" w:line="240" w:lineRule="auto"/>
        <w:jc w:val="center"/>
        <w:rPr>
          <w:rFonts w:eastAsia="黑体"/>
          <w:b/>
          <w:color w:val="auto"/>
          <w:sz w:val="44"/>
        </w:rPr>
      </w:pPr>
    </w:p>
    <w:p>
      <w:pPr>
        <w:widowControl w:val="0"/>
        <w:snapToGrid w:val="0"/>
        <w:spacing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招</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pPr>
        <w:widowControl w:val="0"/>
        <w:snapToGrid w:val="0"/>
        <w:spacing w:beforeLines="100" w:line="560" w:lineRule="exact"/>
        <w:jc w:val="center"/>
        <w:rPr>
          <w:rFonts w:ascii="宋体" w:hAnsi="宋体"/>
          <w:color w:val="auto"/>
          <w:sz w:val="32"/>
          <w:szCs w:val="32"/>
        </w:rPr>
      </w:pPr>
      <w:r>
        <w:rPr>
          <w:rFonts w:hint="eastAsia" w:ascii="宋体" w:hAnsi="宋体"/>
          <w:color w:val="auto"/>
          <w:sz w:val="32"/>
          <w:szCs w:val="32"/>
        </w:rPr>
        <w:t xml:space="preserve">项目编号：安财招标采购-2023-58 </w:t>
      </w: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rPr>
          <w:rFonts w:eastAsia="黑体"/>
          <w:b/>
          <w:color w:val="auto"/>
          <w:sz w:val="44"/>
        </w:rPr>
      </w:pPr>
    </w:p>
    <w:p>
      <w:pPr>
        <w:widowControl w:val="0"/>
        <w:snapToGrid w:val="0"/>
        <w:spacing w:beforeLines="100" w:line="560" w:lineRule="exact"/>
        <w:rPr>
          <w:rFonts w:eastAsia="黑体"/>
          <w:b/>
          <w:color w:val="auto"/>
          <w:sz w:val="44"/>
        </w:rPr>
      </w:pPr>
    </w:p>
    <w:p>
      <w:pPr>
        <w:widowControl w:val="0"/>
        <w:snapToGrid w:val="0"/>
        <w:spacing w:beforeLines="100" w:line="560" w:lineRule="exact"/>
        <w:rPr>
          <w:rFonts w:eastAsia="黑体"/>
          <w:b/>
          <w:color w:val="auto"/>
          <w:sz w:val="44"/>
        </w:rPr>
      </w:pPr>
    </w:p>
    <w:p>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采购人：安阳市自然资源和规划局</w:t>
      </w:r>
    </w:p>
    <w:p>
      <w:pPr>
        <w:widowControl w:val="0"/>
        <w:snapToGrid w:val="0"/>
        <w:spacing w:line="660" w:lineRule="exact"/>
        <w:ind w:firstLine="540" w:firstLineChars="168"/>
        <w:rPr>
          <w:rFonts w:ascii="黑体" w:hAnsi="黑体" w:eastAsia="黑体"/>
          <w:b/>
          <w:color w:val="auto"/>
          <w:sz w:val="32"/>
          <w:szCs w:val="32"/>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代理机构：安阳市方正招标采购服务有限责任公司</w:t>
      </w:r>
    </w:p>
    <w:p>
      <w:pPr>
        <w:widowControl w:val="0"/>
        <w:snapToGrid w:val="0"/>
        <w:spacing w:line="660" w:lineRule="exact"/>
        <w:rPr>
          <w:rFonts w:ascii="黑体" w:hAnsi="黑体" w:eastAsia="黑体"/>
          <w:b/>
          <w:color w:val="auto"/>
          <w:sz w:val="36"/>
          <w:szCs w:val="36"/>
        </w:rPr>
      </w:pPr>
    </w:p>
    <w:p>
      <w:pPr>
        <w:pStyle w:val="55"/>
        <w:jc w:val="center"/>
        <w:rPr>
          <w:rFonts w:ascii="黑体" w:hAnsi="黑体" w:eastAsia="黑体"/>
          <w:color w:val="auto"/>
          <w:sz w:val="36"/>
          <w:szCs w:val="36"/>
          <w:lang w:val="zh-CN"/>
        </w:rPr>
      </w:pPr>
      <w:r>
        <w:rPr>
          <w:rFonts w:hint="eastAsia" w:ascii="黑体" w:hAnsi="黑体" w:eastAsia="黑体"/>
          <w:color w:val="auto"/>
          <w:sz w:val="36"/>
          <w:szCs w:val="36"/>
          <w:lang w:val="zh-CN"/>
        </w:rPr>
        <w:t>目</w:t>
      </w:r>
      <w:r>
        <w:rPr>
          <w:rFonts w:ascii="黑体" w:hAnsi="黑体" w:eastAsia="黑体"/>
          <w:color w:val="auto"/>
          <w:sz w:val="36"/>
          <w:szCs w:val="36"/>
          <w:lang w:val="zh-CN"/>
        </w:rPr>
        <w:t xml:space="preserve"> </w:t>
      </w:r>
      <w:r>
        <w:rPr>
          <w:rFonts w:hint="eastAsia" w:ascii="黑体" w:hAnsi="黑体" w:eastAsia="黑体"/>
          <w:color w:val="auto"/>
          <w:sz w:val="36"/>
          <w:szCs w:val="36"/>
          <w:lang w:val="zh-CN"/>
        </w:rPr>
        <w:t>录</w:t>
      </w:r>
    </w:p>
    <w:p>
      <w:pPr>
        <w:pStyle w:val="13"/>
        <w:tabs>
          <w:tab w:val="right" w:leader="dot" w:pos="9371"/>
        </w:tabs>
        <w:rPr>
          <w:rFonts w:asciiTheme="minorHAnsi" w:hAnsiTheme="minorHAnsi" w:eastAsiaTheme="minorEastAsia" w:cstheme="minorBidi"/>
          <w:color w:val="auto"/>
          <w:kern w:val="2"/>
          <w:szCs w:val="22"/>
        </w:rPr>
      </w:pPr>
      <w:r>
        <w:rPr>
          <w:color w:val="auto"/>
        </w:rPr>
        <w:fldChar w:fldCharType="begin"/>
      </w:r>
      <w:r>
        <w:rPr>
          <w:color w:val="auto"/>
        </w:rPr>
        <w:instrText xml:space="preserve"> TOC \o "1-3" \h \z \u </w:instrText>
      </w:r>
      <w:r>
        <w:rPr>
          <w:color w:val="auto"/>
        </w:rPr>
        <w:fldChar w:fldCharType="separate"/>
      </w:r>
      <w:r>
        <w:fldChar w:fldCharType="begin"/>
      </w:r>
      <w:r>
        <w:instrText xml:space="preserve"> HYPERLINK \l "_Toc153542581" </w:instrText>
      </w:r>
      <w:r>
        <w:fldChar w:fldCharType="separate"/>
      </w:r>
      <w:r>
        <w:rPr>
          <w:rStyle w:val="24"/>
          <w:rFonts w:hint="eastAsia" w:eastAsia="黑体"/>
          <w:b/>
          <w:color w:val="auto"/>
        </w:rPr>
        <w:t>第一章</w:t>
      </w:r>
      <w:r>
        <w:rPr>
          <w:rStyle w:val="24"/>
          <w:rFonts w:eastAsia="黑体"/>
          <w:b/>
          <w:color w:val="auto"/>
        </w:rPr>
        <w:t xml:space="preserve">  </w:t>
      </w:r>
      <w:r>
        <w:rPr>
          <w:rStyle w:val="24"/>
          <w:rFonts w:hint="eastAsia" w:eastAsia="黑体"/>
          <w:b/>
          <w:color w:val="auto"/>
        </w:rPr>
        <w:t>招标公告</w:t>
      </w:r>
      <w:r>
        <w:rPr>
          <w:color w:val="auto"/>
        </w:rPr>
        <w:tab/>
      </w:r>
      <w:r>
        <w:rPr>
          <w:color w:val="auto"/>
        </w:rPr>
        <w:fldChar w:fldCharType="begin"/>
      </w:r>
      <w:r>
        <w:rPr>
          <w:color w:val="auto"/>
        </w:rPr>
        <w:instrText xml:space="preserve"> PAGEREF _Toc153542581 \h </w:instrText>
      </w:r>
      <w:r>
        <w:rPr>
          <w:color w:val="auto"/>
        </w:rPr>
        <w:fldChar w:fldCharType="separate"/>
      </w:r>
      <w:r>
        <w:rPr>
          <w:color w:val="auto"/>
        </w:rPr>
        <w:t>- 1 -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"_Toc153542582" </w:instrText>
      </w:r>
      <w:r>
        <w:fldChar w:fldCharType="separate"/>
      </w:r>
      <w:r>
        <w:rPr>
          <w:rStyle w:val="24"/>
          <w:rFonts w:hint="eastAsia" w:eastAsia="黑体"/>
          <w:b/>
          <w:color w:val="auto"/>
        </w:rPr>
        <w:t>第二章</w:t>
      </w:r>
      <w:r>
        <w:rPr>
          <w:rStyle w:val="24"/>
          <w:rFonts w:eastAsia="黑体"/>
          <w:b/>
          <w:color w:val="auto"/>
        </w:rPr>
        <w:t xml:space="preserve">  </w:t>
      </w:r>
      <w:r>
        <w:rPr>
          <w:rStyle w:val="24"/>
          <w:rFonts w:hint="eastAsia" w:eastAsia="黑体"/>
          <w:b/>
          <w:color w:val="auto"/>
        </w:rPr>
        <w:t>招标项目要求及采购需求</w:t>
      </w:r>
      <w:r>
        <w:rPr>
          <w:color w:val="auto"/>
        </w:rPr>
        <w:tab/>
      </w:r>
      <w:r>
        <w:rPr>
          <w:color w:val="auto"/>
        </w:rPr>
        <w:fldChar w:fldCharType="begin"/>
      </w:r>
      <w:r>
        <w:rPr>
          <w:color w:val="auto"/>
        </w:rPr>
        <w:instrText xml:space="preserve"> PAGEREF _Toc153542582 \h </w:instrText>
      </w:r>
      <w:r>
        <w:rPr>
          <w:color w:val="auto"/>
        </w:rPr>
        <w:fldChar w:fldCharType="separate"/>
      </w:r>
      <w:r>
        <w:rPr>
          <w:color w:val="auto"/>
        </w:rPr>
        <w:t>- 5 -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"_Toc153542583" </w:instrText>
      </w:r>
      <w:r>
        <w:fldChar w:fldCharType="separate"/>
      </w:r>
      <w:r>
        <w:rPr>
          <w:rStyle w:val="24"/>
          <w:rFonts w:ascii="黑体" w:hAnsi="黑体" w:eastAsia="黑体"/>
          <w:b/>
          <w:color w:val="auto"/>
        </w:rPr>
        <w:t xml:space="preserve">1. </w:t>
      </w:r>
      <w:r>
        <w:rPr>
          <w:rStyle w:val="24"/>
          <w:rFonts w:hint="eastAsia" w:ascii="黑体" w:hAnsi="黑体" w:eastAsia="黑体"/>
          <w:b/>
          <w:color w:val="auto"/>
        </w:rPr>
        <w:t>招标项目、标段（包）划分、投标报价</w:t>
      </w:r>
      <w:r>
        <w:rPr>
          <w:color w:val="auto"/>
        </w:rPr>
        <w:tab/>
      </w:r>
      <w:r>
        <w:rPr>
          <w:color w:val="auto"/>
        </w:rPr>
        <w:fldChar w:fldCharType="begin"/>
      </w:r>
      <w:r>
        <w:rPr>
          <w:color w:val="auto"/>
        </w:rPr>
        <w:instrText xml:space="preserve"> PAGEREF _Toc153542583 \h </w:instrText>
      </w:r>
      <w:r>
        <w:rPr>
          <w:color w:val="auto"/>
        </w:rPr>
        <w:fldChar w:fldCharType="separate"/>
      </w:r>
      <w:r>
        <w:rPr>
          <w:color w:val="auto"/>
        </w:rPr>
        <w:t>- 5 -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"_Toc153542584" </w:instrText>
      </w:r>
      <w:r>
        <w:fldChar w:fldCharType="separate"/>
      </w:r>
      <w:r>
        <w:rPr>
          <w:rStyle w:val="24"/>
          <w:rFonts w:ascii="黑体" w:hAnsi="黑体" w:eastAsia="黑体"/>
          <w:b/>
          <w:color w:val="auto"/>
        </w:rPr>
        <w:t xml:space="preserve">2. </w:t>
      </w:r>
      <w:r>
        <w:rPr>
          <w:rStyle w:val="24"/>
          <w:rFonts w:hint="eastAsia" w:ascii="黑体" w:hAnsi="黑体" w:eastAsia="黑体"/>
          <w:b/>
          <w:color w:val="auto"/>
        </w:rPr>
        <w:t>标段（包）内容（范围）及具体采购需求</w:t>
      </w:r>
      <w:r>
        <w:rPr>
          <w:color w:val="auto"/>
        </w:rPr>
        <w:tab/>
      </w:r>
      <w:r>
        <w:rPr>
          <w:color w:val="auto"/>
        </w:rPr>
        <w:fldChar w:fldCharType="begin"/>
      </w:r>
      <w:r>
        <w:rPr>
          <w:color w:val="auto"/>
        </w:rPr>
        <w:instrText xml:space="preserve"> PAGEREF _Toc153542584 \h </w:instrText>
      </w:r>
      <w:r>
        <w:rPr>
          <w:color w:val="auto"/>
        </w:rPr>
        <w:fldChar w:fldCharType="separate"/>
      </w:r>
      <w:r>
        <w:rPr>
          <w:color w:val="auto"/>
        </w:rPr>
        <w:t>- 5 -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"_Toc153542585" </w:instrText>
      </w:r>
      <w:r>
        <w:fldChar w:fldCharType="separate"/>
      </w:r>
      <w:r>
        <w:rPr>
          <w:rStyle w:val="24"/>
          <w:rFonts w:ascii="黑体" w:hAnsi="黑体" w:eastAsia="黑体"/>
          <w:b/>
          <w:color w:val="auto"/>
        </w:rPr>
        <w:t xml:space="preserve">3. </w:t>
      </w:r>
      <w:r>
        <w:rPr>
          <w:rStyle w:val="24"/>
          <w:rFonts w:hint="eastAsia" w:ascii="黑体" w:hAnsi="黑体" w:eastAsia="黑体"/>
          <w:b/>
          <w:color w:val="auto"/>
        </w:rPr>
        <w:t>项目其他要求</w:t>
      </w:r>
      <w:r>
        <w:rPr>
          <w:color w:val="auto"/>
        </w:rPr>
        <w:tab/>
      </w:r>
      <w:r>
        <w:rPr>
          <w:color w:val="auto"/>
        </w:rPr>
        <w:fldChar w:fldCharType="begin"/>
      </w:r>
      <w:r>
        <w:rPr>
          <w:color w:val="auto"/>
        </w:rPr>
        <w:instrText xml:space="preserve"> PAGEREF _Toc153542585 \h </w:instrText>
      </w:r>
      <w:r>
        <w:rPr>
          <w:color w:val="auto"/>
        </w:rPr>
        <w:fldChar w:fldCharType="separate"/>
      </w:r>
      <w:r>
        <w:rPr>
          <w:color w:val="auto"/>
        </w:rPr>
        <w:t>- 12 -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"_Toc153542586" </w:instrText>
      </w:r>
      <w:r>
        <w:fldChar w:fldCharType="separate"/>
      </w:r>
      <w:r>
        <w:rPr>
          <w:rStyle w:val="24"/>
          <w:rFonts w:hint="eastAsia" w:eastAsia="黑体"/>
          <w:b/>
          <w:color w:val="auto"/>
        </w:rPr>
        <w:t>第三章</w:t>
      </w:r>
      <w:r>
        <w:rPr>
          <w:rStyle w:val="24"/>
          <w:rFonts w:eastAsia="黑体"/>
          <w:b/>
          <w:color w:val="auto"/>
        </w:rPr>
        <w:t xml:space="preserve">  </w:t>
      </w:r>
      <w:r>
        <w:rPr>
          <w:rStyle w:val="24"/>
          <w:rFonts w:hint="eastAsia" w:eastAsia="黑体"/>
          <w:b/>
          <w:color w:val="auto"/>
        </w:rPr>
        <w:t>投标人须知</w:t>
      </w:r>
      <w:r>
        <w:rPr>
          <w:color w:val="auto"/>
        </w:rPr>
        <w:tab/>
      </w:r>
      <w:r>
        <w:rPr>
          <w:color w:val="auto"/>
        </w:rPr>
        <w:fldChar w:fldCharType="begin"/>
      </w:r>
      <w:r>
        <w:rPr>
          <w:color w:val="auto"/>
        </w:rPr>
        <w:instrText xml:space="preserve"> PAGEREF _Toc153542586 \h </w:instrText>
      </w:r>
      <w:r>
        <w:rPr>
          <w:color w:val="auto"/>
        </w:rPr>
        <w:fldChar w:fldCharType="separate"/>
      </w:r>
      <w:r>
        <w:rPr>
          <w:color w:val="auto"/>
        </w:rPr>
        <w:t>- 13 -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"_Toc153542587" </w:instrText>
      </w:r>
      <w:r>
        <w:fldChar w:fldCharType="separate"/>
      </w:r>
      <w:r>
        <w:rPr>
          <w:rStyle w:val="24"/>
          <w:rFonts w:hint="eastAsia" w:eastAsia="黑体"/>
          <w:b/>
          <w:color w:val="auto"/>
        </w:rPr>
        <w:t>投标人须知前附表</w:t>
      </w:r>
      <w:r>
        <w:rPr>
          <w:color w:val="auto"/>
        </w:rPr>
        <w:tab/>
      </w:r>
      <w:r>
        <w:rPr>
          <w:color w:val="auto"/>
        </w:rPr>
        <w:fldChar w:fldCharType="begin"/>
      </w:r>
      <w:r>
        <w:rPr>
          <w:color w:val="auto"/>
        </w:rPr>
        <w:instrText xml:space="preserve"> PAGEREF _Toc153542587 \h </w:instrText>
      </w:r>
      <w:r>
        <w:rPr>
          <w:color w:val="auto"/>
        </w:rPr>
        <w:fldChar w:fldCharType="separate"/>
      </w:r>
      <w:r>
        <w:rPr>
          <w:color w:val="auto"/>
        </w:rPr>
        <w:t>- 13 -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"_Toc153542588" </w:instrText>
      </w:r>
      <w:r>
        <w:fldChar w:fldCharType="separate"/>
      </w:r>
      <w:r>
        <w:rPr>
          <w:rStyle w:val="24"/>
          <w:rFonts w:ascii="黑体" w:hAnsi="黑体" w:eastAsia="黑体" w:cs="楷体_GB2312"/>
          <w:b/>
          <w:bCs/>
          <w:color w:val="auto"/>
          <w:lang w:val="zh-CN"/>
        </w:rPr>
        <w:t xml:space="preserve">1 </w:t>
      </w:r>
      <w:r>
        <w:rPr>
          <w:rStyle w:val="24"/>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_Toc153542588 \h </w:instrText>
      </w:r>
      <w:r>
        <w:rPr>
          <w:color w:val="auto"/>
        </w:rPr>
        <w:fldChar w:fldCharType="separate"/>
      </w:r>
      <w:r>
        <w:rPr>
          <w:color w:val="auto"/>
        </w:rPr>
        <w:t>- 16 -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"_Toc153542589" </w:instrText>
      </w:r>
      <w:r>
        <w:fldChar w:fldCharType="separate"/>
      </w:r>
      <w:r>
        <w:rPr>
          <w:rStyle w:val="24"/>
          <w:rFonts w:ascii="黑体" w:hAnsi="黑体" w:eastAsia="黑体" w:cs="楷体_GB2312"/>
          <w:b/>
          <w:bCs/>
          <w:color w:val="auto"/>
          <w:lang w:val="zh-CN"/>
        </w:rPr>
        <w:t xml:space="preserve">2 </w:t>
      </w:r>
      <w:r>
        <w:rPr>
          <w:rStyle w:val="24"/>
          <w:rFonts w:hint="eastAsia" w:ascii="黑体" w:hAnsi="黑体" w:eastAsia="黑体" w:cs="楷体_GB2312"/>
          <w:b/>
          <w:bCs/>
          <w:color w:val="auto"/>
          <w:lang w:val="zh-CN"/>
        </w:rPr>
        <w:t>招标文件</w:t>
      </w:r>
      <w:r>
        <w:rPr>
          <w:color w:val="auto"/>
        </w:rPr>
        <w:tab/>
      </w:r>
      <w:r>
        <w:rPr>
          <w:color w:val="auto"/>
        </w:rPr>
        <w:fldChar w:fldCharType="begin"/>
      </w:r>
      <w:r>
        <w:rPr>
          <w:color w:val="auto"/>
        </w:rPr>
        <w:instrText xml:space="preserve"> PAGEREF _Toc153542589 \h </w:instrText>
      </w:r>
      <w:r>
        <w:rPr>
          <w:color w:val="auto"/>
        </w:rPr>
        <w:fldChar w:fldCharType="separate"/>
      </w:r>
      <w:r>
        <w:rPr>
          <w:color w:val="auto"/>
        </w:rPr>
        <w:t>- 19 -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"_Toc153542590" </w:instrText>
      </w:r>
      <w:r>
        <w:fldChar w:fldCharType="separate"/>
      </w:r>
      <w:r>
        <w:rPr>
          <w:rStyle w:val="24"/>
          <w:rFonts w:ascii="黑体" w:hAnsi="黑体" w:eastAsia="黑体" w:cs="楷体_GB2312"/>
          <w:b/>
          <w:bCs/>
          <w:color w:val="auto"/>
          <w:lang w:val="zh-CN"/>
        </w:rPr>
        <w:t xml:space="preserve">3 </w:t>
      </w:r>
      <w:r>
        <w:rPr>
          <w:rStyle w:val="24"/>
          <w:rFonts w:hint="eastAsia" w:ascii="黑体" w:hAnsi="黑体" w:eastAsia="黑体" w:cs="楷体_GB2312"/>
          <w:b/>
          <w:bCs/>
          <w:color w:val="auto"/>
          <w:lang w:val="zh-CN"/>
        </w:rPr>
        <w:t>投标文件</w:t>
      </w:r>
      <w:r>
        <w:rPr>
          <w:color w:val="auto"/>
        </w:rPr>
        <w:tab/>
      </w:r>
      <w:r>
        <w:rPr>
          <w:color w:val="auto"/>
        </w:rPr>
        <w:fldChar w:fldCharType="begin"/>
      </w:r>
      <w:r>
        <w:rPr>
          <w:color w:val="auto"/>
        </w:rPr>
        <w:instrText xml:space="preserve"> PAGEREF _Toc153542590 \h </w:instrText>
      </w:r>
      <w:r>
        <w:rPr>
          <w:color w:val="auto"/>
        </w:rPr>
        <w:fldChar w:fldCharType="separate"/>
      </w:r>
      <w:r>
        <w:rPr>
          <w:color w:val="auto"/>
        </w:rPr>
        <w:t>- 20 -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"_Toc153542591" </w:instrText>
      </w:r>
      <w:r>
        <w:fldChar w:fldCharType="separate"/>
      </w:r>
      <w:r>
        <w:rPr>
          <w:rStyle w:val="24"/>
          <w:rFonts w:ascii="黑体" w:hAnsi="黑体" w:eastAsia="黑体" w:cs="楷体_GB2312"/>
          <w:b/>
          <w:bCs/>
          <w:color w:val="auto"/>
          <w:lang w:val="zh-CN"/>
        </w:rPr>
        <w:t xml:space="preserve">4 </w:t>
      </w:r>
      <w:r>
        <w:rPr>
          <w:rStyle w:val="24"/>
          <w:rFonts w:hint="eastAsia" w:ascii="黑体" w:hAnsi="黑体" w:eastAsia="黑体" w:cs="楷体_GB2312"/>
          <w:b/>
          <w:bCs/>
          <w:color w:val="auto"/>
          <w:lang w:val="zh-CN"/>
        </w:rPr>
        <w:t>投标</w:t>
      </w:r>
      <w:r>
        <w:rPr>
          <w:color w:val="auto"/>
        </w:rPr>
        <w:tab/>
      </w:r>
      <w:r>
        <w:rPr>
          <w:color w:val="auto"/>
        </w:rPr>
        <w:fldChar w:fldCharType="begin"/>
      </w:r>
      <w:r>
        <w:rPr>
          <w:color w:val="auto"/>
        </w:rPr>
        <w:instrText xml:space="preserve"> PAGEREF _Toc153542591 \h </w:instrText>
      </w:r>
      <w:r>
        <w:rPr>
          <w:color w:val="auto"/>
        </w:rPr>
        <w:fldChar w:fldCharType="separate"/>
      </w:r>
      <w:r>
        <w:rPr>
          <w:color w:val="auto"/>
        </w:rPr>
        <w:t>- 23 -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"_Toc153542592" </w:instrText>
      </w:r>
      <w:r>
        <w:fldChar w:fldCharType="separate"/>
      </w:r>
      <w:r>
        <w:rPr>
          <w:rStyle w:val="24"/>
          <w:rFonts w:ascii="黑体" w:hAnsi="黑体" w:eastAsia="黑体" w:cs="楷体_GB2312"/>
          <w:b/>
          <w:bCs/>
          <w:color w:val="auto"/>
          <w:lang w:val="zh-CN"/>
        </w:rPr>
        <w:t xml:space="preserve">5 </w:t>
      </w:r>
      <w:r>
        <w:rPr>
          <w:rStyle w:val="24"/>
          <w:rFonts w:hint="eastAsia" w:ascii="黑体" w:hAnsi="黑体" w:eastAsia="黑体" w:cs="楷体_GB2312"/>
          <w:b/>
          <w:bCs/>
          <w:color w:val="auto"/>
          <w:lang w:val="zh-CN"/>
        </w:rPr>
        <w:t>开标</w:t>
      </w:r>
      <w:r>
        <w:rPr>
          <w:color w:val="auto"/>
        </w:rPr>
        <w:tab/>
      </w:r>
      <w:r>
        <w:rPr>
          <w:color w:val="auto"/>
        </w:rPr>
        <w:fldChar w:fldCharType="begin"/>
      </w:r>
      <w:r>
        <w:rPr>
          <w:color w:val="auto"/>
        </w:rPr>
        <w:instrText xml:space="preserve"> PAGEREF _Toc153542592 \h </w:instrText>
      </w:r>
      <w:r>
        <w:rPr>
          <w:color w:val="auto"/>
        </w:rPr>
        <w:fldChar w:fldCharType="separate"/>
      </w:r>
      <w:r>
        <w:rPr>
          <w:color w:val="auto"/>
        </w:rPr>
        <w:t>- 24 -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"_Toc153542593" </w:instrText>
      </w:r>
      <w:r>
        <w:fldChar w:fldCharType="separate"/>
      </w:r>
      <w:r>
        <w:rPr>
          <w:rStyle w:val="24"/>
          <w:rFonts w:ascii="黑体" w:hAnsi="黑体" w:eastAsia="黑体" w:cs="楷体_GB2312"/>
          <w:b/>
          <w:bCs/>
          <w:color w:val="auto"/>
          <w:lang w:val="zh-CN"/>
        </w:rPr>
        <w:t xml:space="preserve">6 </w:t>
      </w:r>
      <w:r>
        <w:rPr>
          <w:rStyle w:val="24"/>
          <w:rFonts w:hint="eastAsia" w:ascii="黑体" w:hAnsi="黑体" w:eastAsia="黑体" w:cs="楷体_GB2312"/>
          <w:b/>
          <w:bCs/>
          <w:color w:val="auto"/>
          <w:lang w:val="zh-CN"/>
        </w:rPr>
        <w:t>资格性审查</w:t>
      </w:r>
      <w:r>
        <w:rPr>
          <w:color w:val="auto"/>
        </w:rPr>
        <w:tab/>
      </w:r>
      <w:r>
        <w:rPr>
          <w:color w:val="auto"/>
        </w:rPr>
        <w:fldChar w:fldCharType="begin"/>
      </w:r>
      <w:r>
        <w:rPr>
          <w:color w:val="auto"/>
        </w:rPr>
        <w:instrText xml:space="preserve"> PAGEREF _Toc153542593 \h </w:instrText>
      </w:r>
      <w:r>
        <w:rPr>
          <w:color w:val="auto"/>
        </w:rPr>
        <w:fldChar w:fldCharType="separate"/>
      </w:r>
      <w:r>
        <w:rPr>
          <w:color w:val="auto"/>
        </w:rPr>
        <w:t>- 24 -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"_Toc153542594" </w:instrText>
      </w:r>
      <w:r>
        <w:fldChar w:fldCharType="separate"/>
      </w:r>
      <w:r>
        <w:rPr>
          <w:rStyle w:val="24"/>
          <w:rFonts w:ascii="黑体" w:hAnsi="黑体" w:eastAsia="黑体" w:cs="楷体_GB2312"/>
          <w:b/>
          <w:bCs/>
          <w:color w:val="auto"/>
          <w:lang w:val="zh-CN"/>
        </w:rPr>
        <w:t xml:space="preserve">8 </w:t>
      </w:r>
      <w:r>
        <w:rPr>
          <w:rStyle w:val="24"/>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_Toc153542594 \h </w:instrText>
      </w:r>
      <w:r>
        <w:rPr>
          <w:color w:val="auto"/>
        </w:rPr>
        <w:fldChar w:fldCharType="separate"/>
      </w:r>
      <w:r>
        <w:rPr>
          <w:color w:val="auto"/>
        </w:rPr>
        <w:t>- 26 -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"_Toc153542595" </w:instrText>
      </w:r>
      <w:r>
        <w:fldChar w:fldCharType="separate"/>
      </w:r>
      <w:r>
        <w:rPr>
          <w:rStyle w:val="24"/>
          <w:rFonts w:ascii="黑体" w:hAnsi="黑体" w:eastAsia="黑体" w:cs="楷体_GB2312"/>
          <w:b/>
          <w:bCs/>
          <w:color w:val="auto"/>
          <w:lang w:val="zh-CN"/>
        </w:rPr>
        <w:t xml:space="preserve">9 </w:t>
      </w:r>
      <w:r>
        <w:rPr>
          <w:rStyle w:val="24"/>
          <w:rFonts w:hint="eastAsia" w:ascii="黑体" w:hAnsi="黑体" w:eastAsia="黑体" w:cs="楷体_GB2312"/>
          <w:b/>
          <w:bCs/>
          <w:color w:val="auto"/>
          <w:lang w:val="zh-CN"/>
        </w:rPr>
        <w:t>验收</w:t>
      </w:r>
      <w:r>
        <w:rPr>
          <w:color w:val="auto"/>
        </w:rPr>
        <w:tab/>
      </w:r>
      <w:r>
        <w:rPr>
          <w:color w:val="auto"/>
        </w:rPr>
        <w:fldChar w:fldCharType="begin"/>
      </w:r>
      <w:r>
        <w:rPr>
          <w:color w:val="auto"/>
        </w:rPr>
        <w:instrText xml:space="preserve"> PAGEREF _Toc153542595 \h </w:instrText>
      </w:r>
      <w:r>
        <w:rPr>
          <w:color w:val="auto"/>
        </w:rPr>
        <w:fldChar w:fldCharType="separate"/>
      </w:r>
      <w:r>
        <w:rPr>
          <w:color w:val="auto"/>
        </w:rPr>
        <w:t>- 27 -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"_Toc153542596" </w:instrText>
      </w:r>
      <w:r>
        <w:fldChar w:fldCharType="separate"/>
      </w:r>
      <w:r>
        <w:rPr>
          <w:rStyle w:val="24"/>
          <w:rFonts w:ascii="黑体" w:hAnsi="黑体" w:eastAsia="黑体" w:cs="楷体_GB2312"/>
          <w:b/>
          <w:bCs/>
          <w:color w:val="auto"/>
          <w:lang w:val="zh-CN"/>
        </w:rPr>
        <w:t xml:space="preserve">10 </w:t>
      </w:r>
      <w:r>
        <w:rPr>
          <w:rStyle w:val="24"/>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_Toc153542596 \h </w:instrText>
      </w:r>
      <w:r>
        <w:rPr>
          <w:color w:val="auto"/>
        </w:rPr>
        <w:fldChar w:fldCharType="separate"/>
      </w:r>
      <w:r>
        <w:rPr>
          <w:color w:val="auto"/>
        </w:rPr>
        <w:t>- 28 -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"_Toc153542597" </w:instrText>
      </w:r>
      <w:r>
        <w:fldChar w:fldCharType="separate"/>
      </w:r>
      <w:r>
        <w:rPr>
          <w:rStyle w:val="24"/>
          <w:rFonts w:ascii="黑体" w:hAnsi="黑体" w:eastAsia="黑体" w:cs="楷体_GB2312"/>
          <w:b/>
          <w:bCs/>
          <w:color w:val="auto"/>
          <w:lang w:val="zh-CN"/>
        </w:rPr>
        <w:t xml:space="preserve">11 </w:t>
      </w:r>
      <w:r>
        <w:rPr>
          <w:rStyle w:val="24"/>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_Toc153542597 \h </w:instrText>
      </w:r>
      <w:r>
        <w:rPr>
          <w:color w:val="auto"/>
        </w:rPr>
        <w:fldChar w:fldCharType="separate"/>
      </w:r>
      <w:r>
        <w:rPr>
          <w:color w:val="auto"/>
        </w:rPr>
        <w:t>- 28 -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"_Toc153542598" </w:instrText>
      </w:r>
      <w:r>
        <w:fldChar w:fldCharType="separate"/>
      </w:r>
      <w:r>
        <w:rPr>
          <w:rStyle w:val="24"/>
          <w:rFonts w:ascii="黑体" w:hAnsi="黑体" w:eastAsia="黑体" w:cs="楷体_GB2312"/>
          <w:b/>
          <w:bCs/>
          <w:color w:val="auto"/>
          <w:lang w:val="zh-CN"/>
        </w:rPr>
        <w:t xml:space="preserve">12 </w:t>
      </w:r>
      <w:r>
        <w:rPr>
          <w:rStyle w:val="24"/>
          <w:rFonts w:hint="eastAsia" w:ascii="黑体" w:hAnsi="黑体" w:eastAsia="黑体" w:cs="楷体_GB2312"/>
          <w:b/>
          <w:bCs/>
          <w:color w:val="auto"/>
          <w:lang w:val="zh-CN"/>
        </w:rPr>
        <w:t>河南省政府采购合同融资政策告知函</w:t>
      </w:r>
      <w:r>
        <w:rPr>
          <w:color w:val="auto"/>
        </w:rPr>
        <w:tab/>
      </w:r>
      <w:r>
        <w:rPr>
          <w:color w:val="auto"/>
        </w:rPr>
        <w:fldChar w:fldCharType="begin"/>
      </w:r>
      <w:r>
        <w:rPr>
          <w:color w:val="auto"/>
        </w:rPr>
        <w:instrText xml:space="preserve"> PAGEREF _Toc153542598 \h </w:instrText>
      </w:r>
      <w:r>
        <w:rPr>
          <w:color w:val="auto"/>
        </w:rPr>
        <w:fldChar w:fldCharType="separate"/>
      </w:r>
      <w:r>
        <w:rPr>
          <w:color w:val="auto"/>
        </w:rPr>
        <w:t>- 29 -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"_Toc153542599" </w:instrText>
      </w:r>
      <w:r>
        <w:fldChar w:fldCharType="separate"/>
      </w:r>
      <w:r>
        <w:rPr>
          <w:rStyle w:val="24"/>
          <w:rFonts w:hint="eastAsia" w:ascii="黑体" w:hAnsi="黑体" w:eastAsia="黑体"/>
          <w:b/>
          <w:bCs/>
          <w:color w:val="auto"/>
          <w:kern w:val="44"/>
          <w:lang w:val="zh-CN"/>
        </w:rPr>
        <w:t>第四章</w:t>
      </w:r>
      <w:r>
        <w:rPr>
          <w:rStyle w:val="24"/>
          <w:rFonts w:ascii="黑体" w:hAnsi="黑体" w:eastAsia="黑体"/>
          <w:b/>
          <w:bCs/>
          <w:color w:val="auto"/>
          <w:kern w:val="44"/>
          <w:lang w:val="zh-CN"/>
        </w:rPr>
        <w:t xml:space="preserve">  </w:t>
      </w:r>
      <w:r>
        <w:rPr>
          <w:rStyle w:val="24"/>
          <w:rFonts w:hint="eastAsia" w:ascii="黑体" w:hAnsi="黑体" w:eastAsia="黑体"/>
          <w:b/>
          <w:bCs/>
          <w:color w:val="auto"/>
          <w:kern w:val="44"/>
          <w:lang w:val="zh-CN"/>
        </w:rPr>
        <w:t>评标办法（综合评分法）</w:t>
      </w:r>
      <w:r>
        <w:rPr>
          <w:color w:val="auto"/>
        </w:rPr>
        <w:tab/>
      </w:r>
      <w:r>
        <w:rPr>
          <w:color w:val="auto"/>
        </w:rPr>
        <w:fldChar w:fldCharType="begin"/>
      </w:r>
      <w:r>
        <w:rPr>
          <w:color w:val="auto"/>
        </w:rPr>
        <w:instrText xml:space="preserve"> PAGEREF _Toc153542599 \h </w:instrText>
      </w:r>
      <w:r>
        <w:rPr>
          <w:color w:val="auto"/>
        </w:rPr>
        <w:fldChar w:fldCharType="separate"/>
      </w:r>
      <w:r>
        <w:rPr>
          <w:color w:val="auto"/>
        </w:rPr>
        <w:t>- 30 -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"_Toc153542600" </w:instrText>
      </w:r>
      <w:r>
        <w:fldChar w:fldCharType="separate"/>
      </w:r>
      <w:r>
        <w:rPr>
          <w:rStyle w:val="24"/>
          <w:rFonts w:hint="eastAsia" w:ascii="黑体" w:hAnsi="黑体" w:eastAsia="黑体"/>
          <w:b/>
          <w:color w:val="auto"/>
        </w:rPr>
        <w:t>评标办法前附表</w:t>
      </w:r>
      <w:r>
        <w:rPr>
          <w:color w:val="auto"/>
        </w:rPr>
        <w:tab/>
      </w:r>
      <w:r>
        <w:rPr>
          <w:color w:val="auto"/>
        </w:rPr>
        <w:fldChar w:fldCharType="begin"/>
      </w:r>
      <w:r>
        <w:rPr>
          <w:color w:val="auto"/>
        </w:rPr>
        <w:instrText xml:space="preserve"> PAGEREF _Toc153542600 \h </w:instrText>
      </w:r>
      <w:r>
        <w:rPr>
          <w:color w:val="auto"/>
        </w:rPr>
        <w:fldChar w:fldCharType="separate"/>
      </w:r>
      <w:r>
        <w:rPr>
          <w:color w:val="auto"/>
        </w:rPr>
        <w:t>- 30 -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"_Toc153542601" </w:instrText>
      </w:r>
      <w:r>
        <w:fldChar w:fldCharType="separate"/>
      </w:r>
      <w:r>
        <w:rPr>
          <w:rStyle w:val="24"/>
          <w:rFonts w:ascii="黑体" w:hAnsi="黑体" w:eastAsia="黑体" w:cs="楷体_GB2312"/>
          <w:b/>
          <w:bCs/>
          <w:color w:val="auto"/>
          <w:lang w:val="zh-CN"/>
        </w:rPr>
        <w:t xml:space="preserve">1. </w:t>
      </w:r>
      <w:r>
        <w:rPr>
          <w:rStyle w:val="24"/>
          <w:rFonts w:hint="eastAsia" w:ascii="黑体" w:hAnsi="黑体" w:eastAsia="黑体" w:cs="楷体_GB2312"/>
          <w:b/>
          <w:bCs/>
          <w:color w:val="auto"/>
          <w:lang w:val="zh-CN"/>
        </w:rPr>
        <w:t>评标方法</w:t>
      </w:r>
      <w:r>
        <w:rPr>
          <w:color w:val="auto"/>
        </w:rPr>
        <w:tab/>
      </w:r>
      <w:r>
        <w:rPr>
          <w:color w:val="auto"/>
        </w:rPr>
        <w:fldChar w:fldCharType="begin"/>
      </w:r>
      <w:r>
        <w:rPr>
          <w:color w:val="auto"/>
        </w:rPr>
        <w:instrText xml:space="preserve"> PAGEREF _Toc153542601 \h </w:instrText>
      </w:r>
      <w:r>
        <w:rPr>
          <w:color w:val="auto"/>
        </w:rPr>
        <w:fldChar w:fldCharType="separate"/>
      </w:r>
      <w:r>
        <w:rPr>
          <w:color w:val="auto"/>
        </w:rPr>
        <w:t>- 34 -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"_Toc153542602" </w:instrText>
      </w:r>
      <w:r>
        <w:fldChar w:fldCharType="separate"/>
      </w:r>
      <w:r>
        <w:rPr>
          <w:rStyle w:val="24"/>
          <w:rFonts w:ascii="黑体" w:hAnsi="黑体" w:eastAsia="黑体" w:cs="楷体_GB2312"/>
          <w:b/>
          <w:bCs/>
          <w:color w:val="auto"/>
          <w:lang w:val="zh-CN"/>
        </w:rPr>
        <w:t xml:space="preserve">2. </w:t>
      </w:r>
      <w:r>
        <w:rPr>
          <w:rStyle w:val="24"/>
          <w:rFonts w:hint="eastAsia" w:ascii="黑体" w:hAnsi="黑体" w:eastAsia="黑体" w:cs="楷体_GB2312"/>
          <w:b/>
          <w:bCs/>
          <w:color w:val="auto"/>
          <w:lang w:val="zh-CN"/>
        </w:rPr>
        <w:t>评标标准</w:t>
      </w:r>
      <w:r>
        <w:rPr>
          <w:color w:val="auto"/>
        </w:rPr>
        <w:tab/>
      </w:r>
      <w:r>
        <w:rPr>
          <w:color w:val="auto"/>
        </w:rPr>
        <w:fldChar w:fldCharType="begin"/>
      </w:r>
      <w:r>
        <w:rPr>
          <w:color w:val="auto"/>
        </w:rPr>
        <w:instrText xml:space="preserve"> PAGEREF _Toc153542602 \h </w:instrText>
      </w:r>
      <w:r>
        <w:rPr>
          <w:color w:val="auto"/>
        </w:rPr>
        <w:fldChar w:fldCharType="separate"/>
      </w:r>
      <w:r>
        <w:rPr>
          <w:color w:val="auto"/>
        </w:rPr>
        <w:t>- 34 -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"_Toc153542603" </w:instrText>
      </w:r>
      <w:r>
        <w:fldChar w:fldCharType="separate"/>
      </w:r>
      <w:r>
        <w:rPr>
          <w:rStyle w:val="24"/>
          <w:rFonts w:ascii="黑体" w:hAnsi="黑体" w:eastAsia="黑体" w:cs="楷体_GB2312"/>
          <w:b/>
          <w:bCs/>
          <w:color w:val="auto"/>
          <w:lang w:val="zh-CN"/>
        </w:rPr>
        <w:t xml:space="preserve">3. </w:t>
      </w:r>
      <w:r>
        <w:rPr>
          <w:rStyle w:val="24"/>
          <w:rFonts w:hint="eastAsia" w:ascii="黑体" w:hAnsi="黑体" w:eastAsia="黑体" w:cs="楷体_GB2312"/>
          <w:b/>
          <w:bCs/>
          <w:color w:val="auto"/>
          <w:lang w:val="zh-CN"/>
        </w:rPr>
        <w:t>评标程序</w:t>
      </w:r>
      <w:r>
        <w:rPr>
          <w:color w:val="auto"/>
        </w:rPr>
        <w:tab/>
      </w:r>
      <w:r>
        <w:rPr>
          <w:color w:val="auto"/>
        </w:rPr>
        <w:fldChar w:fldCharType="begin"/>
      </w:r>
      <w:r>
        <w:rPr>
          <w:color w:val="auto"/>
        </w:rPr>
        <w:instrText xml:space="preserve"> PAGEREF _Toc153542603 \h </w:instrText>
      </w:r>
      <w:r>
        <w:rPr>
          <w:color w:val="auto"/>
        </w:rPr>
        <w:fldChar w:fldCharType="separate"/>
      </w:r>
      <w:r>
        <w:rPr>
          <w:color w:val="auto"/>
        </w:rPr>
        <w:t>- 34 -</w:t>
      </w:r>
      <w:r>
        <w:rPr>
          <w:color w:val="auto"/>
        </w:rPr>
        <w:fldChar w:fldCharType="end"/>
      </w:r>
      <w:r>
        <w:rPr>
          <w:color w:val="auto"/>
        </w:rPr>
        <w:fldChar w:fldCharType="end"/>
      </w:r>
    </w:p>
    <w:p>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"_Toc153542604" </w:instrText>
      </w:r>
      <w:r>
        <w:fldChar w:fldCharType="separate"/>
      </w:r>
      <w:r>
        <w:rPr>
          <w:rStyle w:val="24"/>
          <w:rFonts w:ascii="黑体" w:hAnsi="黑体" w:eastAsia="黑体" w:cs="楷体_GB2312"/>
          <w:b/>
          <w:bCs/>
          <w:color w:val="auto"/>
          <w:lang w:val="zh-CN"/>
        </w:rPr>
        <w:t xml:space="preserve">4. </w:t>
      </w:r>
      <w:r>
        <w:rPr>
          <w:rStyle w:val="24"/>
          <w:rFonts w:hint="eastAsia" w:ascii="黑体" w:hAnsi="黑体" w:eastAsia="黑体" w:cs="楷体_GB2312"/>
          <w:b/>
          <w:bCs/>
          <w:color w:val="auto"/>
          <w:lang w:val="zh-CN"/>
        </w:rPr>
        <w:t>政府采购促进中小企业发展扶持政策</w:t>
      </w:r>
      <w:r>
        <w:rPr>
          <w:color w:val="auto"/>
        </w:rPr>
        <w:tab/>
      </w:r>
      <w:r>
        <w:rPr>
          <w:color w:val="auto"/>
        </w:rPr>
        <w:fldChar w:fldCharType="begin"/>
      </w:r>
      <w:r>
        <w:rPr>
          <w:color w:val="auto"/>
        </w:rPr>
        <w:instrText xml:space="preserve"> PAGEREF _Toc153542604 \h </w:instrText>
      </w:r>
      <w:r>
        <w:rPr>
          <w:color w:val="auto"/>
        </w:rPr>
        <w:fldChar w:fldCharType="separate"/>
      </w:r>
      <w:r>
        <w:rPr>
          <w:color w:val="auto"/>
        </w:rPr>
        <w:t>- 38 -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"_Toc153542605" </w:instrText>
      </w:r>
      <w:r>
        <w:fldChar w:fldCharType="separate"/>
      </w:r>
      <w:r>
        <w:rPr>
          <w:rStyle w:val="24"/>
          <w:rFonts w:hint="eastAsia" w:ascii="黑体" w:eastAsia="黑体"/>
          <w:b/>
          <w:color w:val="auto"/>
        </w:rPr>
        <w:t>第五章</w:t>
      </w:r>
      <w:r>
        <w:rPr>
          <w:rStyle w:val="24"/>
          <w:rFonts w:ascii="黑体" w:eastAsia="黑体"/>
          <w:b/>
          <w:color w:val="auto"/>
        </w:rPr>
        <w:t xml:space="preserve">  </w:t>
      </w:r>
      <w:r>
        <w:rPr>
          <w:rStyle w:val="24"/>
          <w:rFonts w:hint="eastAsia" w:ascii="黑体" w:eastAsia="黑体"/>
          <w:b/>
          <w:color w:val="auto"/>
        </w:rPr>
        <w:t>合同主要条款</w:t>
      </w:r>
      <w:r>
        <w:rPr>
          <w:color w:val="auto"/>
        </w:rPr>
        <w:tab/>
      </w:r>
      <w:r>
        <w:rPr>
          <w:color w:val="auto"/>
        </w:rPr>
        <w:fldChar w:fldCharType="begin"/>
      </w:r>
      <w:r>
        <w:rPr>
          <w:color w:val="auto"/>
        </w:rPr>
        <w:instrText xml:space="preserve"> PAGEREF _Toc153542605 \h </w:instrText>
      </w:r>
      <w:r>
        <w:rPr>
          <w:color w:val="auto"/>
        </w:rPr>
        <w:fldChar w:fldCharType="separate"/>
      </w:r>
      <w:r>
        <w:rPr>
          <w:color w:val="auto"/>
        </w:rPr>
        <w:t>- 40 -</w:t>
      </w:r>
      <w:r>
        <w:rPr>
          <w:color w:val="auto"/>
        </w:rPr>
        <w:fldChar w:fldCharType="end"/>
      </w:r>
      <w:r>
        <w:rPr>
          <w:color w:val="auto"/>
        </w:rPr>
        <w:fldChar w:fldCharType="end"/>
      </w:r>
    </w:p>
    <w:p>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"_Toc153542606" </w:instrText>
      </w:r>
      <w:r>
        <w:fldChar w:fldCharType="separate"/>
      </w:r>
      <w:r>
        <w:rPr>
          <w:rStyle w:val="24"/>
          <w:rFonts w:hint="eastAsia" w:ascii="黑体" w:hAnsi="黑体" w:eastAsia="黑体"/>
          <w:b/>
          <w:color w:val="auto"/>
          <w:lang w:val="zh-CN"/>
        </w:rPr>
        <w:t>第六章</w:t>
      </w:r>
      <w:r>
        <w:rPr>
          <w:rStyle w:val="24"/>
          <w:rFonts w:ascii="黑体" w:hAnsi="黑体" w:eastAsia="黑体"/>
          <w:b/>
          <w:color w:val="auto"/>
          <w:lang w:val="zh-CN"/>
        </w:rPr>
        <w:t xml:space="preserve">  </w:t>
      </w:r>
      <w:r>
        <w:rPr>
          <w:rStyle w:val="24"/>
          <w:rFonts w:hint="eastAsia" w:ascii="黑体" w:hAnsi="黑体" w:eastAsia="黑体"/>
          <w:b/>
          <w:color w:val="auto"/>
          <w:lang w:val="zh-CN"/>
        </w:rPr>
        <w:t>投标文件格式</w:t>
      </w:r>
      <w:r>
        <w:rPr>
          <w:color w:val="auto"/>
        </w:rPr>
        <w:tab/>
      </w:r>
      <w:r>
        <w:rPr>
          <w:color w:val="auto"/>
        </w:rPr>
        <w:fldChar w:fldCharType="begin"/>
      </w:r>
      <w:r>
        <w:rPr>
          <w:color w:val="auto"/>
        </w:rPr>
        <w:instrText xml:space="preserve"> PAGEREF _Toc153542606 \h </w:instrText>
      </w:r>
      <w:r>
        <w:rPr>
          <w:color w:val="auto"/>
        </w:rPr>
        <w:fldChar w:fldCharType="separate"/>
      </w:r>
      <w:r>
        <w:rPr>
          <w:color w:val="auto"/>
        </w:rPr>
        <w:t>- 44 -</w:t>
      </w:r>
      <w:r>
        <w:rPr>
          <w:color w:val="auto"/>
        </w:rPr>
        <w:fldChar w:fldCharType="end"/>
      </w:r>
      <w:r>
        <w:rPr>
          <w:color w:val="auto"/>
        </w:rPr>
        <w:fldChar w:fldCharType="end"/>
      </w:r>
    </w:p>
    <w:p>
      <w:pPr>
        <w:rPr>
          <w:color w:val="auto"/>
        </w:rPr>
        <w:sectPr>
          <w:pgSz w:w="11905" w:h="16837"/>
          <w:pgMar w:top="1418" w:right="1106" w:bottom="1418" w:left="1418" w:header="567" w:footer="567" w:gutter="0"/>
          <w:pgNumType w:fmt="numberInDash" w:start="0"/>
          <w:cols w:space="720" w:num="1"/>
          <w:titlePg/>
        </w:sectPr>
      </w:pPr>
      <w:r>
        <w:rPr>
          <w:color w:val="auto"/>
        </w:rPr>
        <w:fldChar w:fldCharType="end"/>
      </w:r>
    </w:p>
    <w:p>
      <w:pPr>
        <w:widowControl w:val="0"/>
        <w:snapToGrid w:val="0"/>
        <w:spacing w:line="560" w:lineRule="exact"/>
        <w:jc w:val="center"/>
        <w:outlineLvl w:val="0"/>
        <w:rPr>
          <w:rFonts w:eastAsia="黑体"/>
          <w:b/>
          <w:color w:val="auto"/>
          <w:sz w:val="36"/>
          <w:szCs w:val="36"/>
        </w:rPr>
      </w:pPr>
      <w:bookmarkStart w:id="0" w:name="_Toc153542581"/>
    </w:p>
    <w:p>
      <w:pPr>
        <w:widowControl w:val="0"/>
        <w:snapToGrid w:val="0"/>
        <w:spacing w:line="560" w:lineRule="exact"/>
        <w:jc w:val="center"/>
        <w:outlineLvl w:val="0"/>
        <w:rPr>
          <w:color w:val="auto"/>
          <w:sz w:val="36"/>
          <w:szCs w:val="36"/>
        </w:rPr>
      </w:pPr>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招标公告</w:t>
      </w:r>
      <w:bookmarkEnd w:id="0"/>
    </w:p>
    <w:p>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rPr>
        <w:t xml:space="preserve">项目编号：安财招标采购-2023-58 </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1.2</w:t>
      </w:r>
      <w:r>
        <w:rPr>
          <w:rFonts w:hint="eastAsia" w:ascii="宋体" w:hAnsi="宋体"/>
          <w:color w:val="auto"/>
          <w:sz w:val="24"/>
          <w:szCs w:val="24"/>
        </w:rPr>
        <w:t>项目名称：安阳市自然资源和规划局安阳市2023至2025年国土空间监测及国土变更调查市级核查项目（二次）</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1.3采购方式：公开招标</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4预算金额：</w:t>
      </w:r>
      <w:r>
        <w:rPr>
          <w:rFonts w:asciiTheme="minorEastAsia" w:hAnsiTheme="minorEastAsia" w:eastAsiaTheme="minorEastAsia"/>
          <w:color w:val="auto"/>
          <w:sz w:val="24"/>
          <w:szCs w:val="24"/>
        </w:rPr>
        <w:t>597</w:t>
      </w:r>
      <w:r>
        <w:rPr>
          <w:rFonts w:hint="eastAsia" w:ascii="宋体" w:hAnsi="宋体"/>
          <w:color w:val="auto"/>
          <w:sz w:val="24"/>
          <w:szCs w:val="24"/>
        </w:rPr>
        <w:t>万元</w:t>
      </w: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1.5采购需求（详见法定媒体公告附件）：安阳市全域国土空间监测和国土变更调查工作、安阳市全域国土变更调查市级核查具体工作。</w:t>
      </w: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1.6合同履行期限：3年（具体要求详见招标文件相关条款）</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1.7本项目（是/否）接受联合体投标：否</w:t>
      </w:r>
    </w:p>
    <w:p>
      <w:pPr>
        <w:widowControl w:val="0"/>
        <w:adjustRightInd w:val="0"/>
        <w:snapToGrid w:val="0"/>
        <w:spacing w:line="360" w:lineRule="auto"/>
        <w:ind w:firstLine="540" w:firstLineChars="225"/>
        <w:jc w:val="left"/>
        <w:rPr>
          <w:rFonts w:ascii="宋体"/>
          <w:color w:val="auto"/>
          <w:sz w:val="24"/>
          <w:szCs w:val="24"/>
        </w:rPr>
      </w:pPr>
      <w:r>
        <w:rPr>
          <w:rFonts w:hint="eastAsia" w:ascii="宋体" w:hAnsi="宋体"/>
          <w:color w:val="auto"/>
          <w:sz w:val="24"/>
          <w:szCs w:val="24"/>
        </w:rPr>
        <w:t>1.8是否接受进口产品：否</w:t>
      </w:r>
    </w:p>
    <w:p>
      <w:pPr>
        <w:widowControl w:val="0"/>
        <w:snapToGrid w:val="0"/>
        <w:spacing w:line="360" w:lineRule="auto"/>
        <w:ind w:firstLine="562" w:firstLineChars="200"/>
        <w:rPr>
          <w:rFonts w:ascii="黑体" w:hAnsi="黑体" w:eastAsia="黑体"/>
          <w:b/>
          <w:color w:val="auto"/>
          <w:sz w:val="28"/>
          <w:szCs w:val="28"/>
        </w:rPr>
      </w:pPr>
      <w:bookmarkStart w:id="1" w:name="_Toc35393791"/>
      <w:bookmarkStart w:id="2" w:name="_Toc35393622"/>
      <w:bookmarkStart w:id="3" w:name="_Toc28359080"/>
      <w:bookmarkStart w:id="4" w:name="_Toc28359003"/>
      <w:r>
        <w:rPr>
          <w:rFonts w:hint="eastAsia" w:ascii="黑体" w:hAnsi="黑体" w:eastAsia="黑体"/>
          <w:b/>
          <w:color w:val="auto"/>
          <w:sz w:val="28"/>
          <w:szCs w:val="28"/>
        </w:rPr>
        <w:t>2.申请人的资格要求：</w:t>
      </w:r>
      <w:bookmarkEnd w:id="1"/>
      <w:bookmarkEnd w:id="2"/>
      <w:bookmarkEnd w:id="3"/>
      <w:bookmarkEnd w:id="4"/>
    </w:p>
    <w:p>
      <w:pPr>
        <w:spacing w:line="360" w:lineRule="auto"/>
        <w:ind w:firstLine="480" w:firstLineChars="200"/>
        <w:rPr>
          <w:rFonts w:ascii="宋体" w:hAnsi="宋体"/>
          <w:color w:val="auto"/>
          <w:sz w:val="24"/>
          <w:szCs w:val="24"/>
        </w:rPr>
      </w:pPr>
      <w:r>
        <w:rPr>
          <w:rFonts w:hint="eastAsia" w:ascii="宋体" w:hAnsi="宋体"/>
          <w:color w:val="auto"/>
          <w:sz w:val="24"/>
          <w:szCs w:val="24"/>
        </w:rPr>
        <w:t>2.1满足《中华人民共和国政府采购法》第二十二条规定；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落实政府采购政策需满足的资格要求：本项目专门面向中小企业采购，■提供《中小企业声明函》。</w:t>
      </w:r>
    </w:p>
    <w:p>
      <w:pPr>
        <w:ind w:firstLine="480" w:firstLineChars="200"/>
        <w:rPr>
          <w:rFonts w:ascii="宋体" w:hAnsi="宋体"/>
          <w:color w:val="auto"/>
          <w:sz w:val="24"/>
          <w:szCs w:val="24"/>
        </w:rPr>
      </w:pPr>
      <w:r>
        <w:rPr>
          <w:rFonts w:hint="eastAsia" w:ascii="宋体" w:hAnsi="宋体"/>
          <w:color w:val="auto"/>
          <w:sz w:val="24"/>
          <w:szCs w:val="24"/>
        </w:rPr>
        <w:t>2.3本项目的特定资格要求：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.1</w:t>
      </w:r>
      <w:r>
        <w:rPr>
          <w:rFonts w:hint="eastAsia" w:ascii="宋体" w:hAnsi="宋体"/>
          <w:color w:val="auto"/>
          <w:sz w:val="24"/>
          <w:szCs w:val="24"/>
        </w:rPr>
        <w:t>满足《中华人民共和国政府采购法》第二十二条第</w:t>
      </w:r>
      <w:r>
        <w:rPr>
          <w:rFonts w:ascii="宋体" w:hAnsi="宋体"/>
          <w:color w:val="auto"/>
          <w:sz w:val="24"/>
          <w:szCs w:val="24"/>
        </w:rPr>
        <w:t>一款</w:t>
      </w:r>
      <w:r>
        <w:rPr>
          <w:rFonts w:hint="eastAsia" w:ascii="宋体" w:hAnsi="宋体"/>
          <w:color w:val="auto"/>
          <w:sz w:val="24"/>
          <w:szCs w:val="24"/>
        </w:rPr>
        <w:t>规定的</w:t>
      </w:r>
      <w:r>
        <w:rPr>
          <w:rFonts w:ascii="宋体" w:hAnsi="宋体"/>
          <w:color w:val="auto"/>
          <w:sz w:val="24"/>
          <w:szCs w:val="24"/>
        </w:rPr>
        <w:t>供应商基础性</w:t>
      </w:r>
      <w:r>
        <w:rPr>
          <w:rFonts w:hint="eastAsia" w:ascii="宋体" w:hAnsi="宋体"/>
          <w:color w:val="auto"/>
          <w:sz w:val="24"/>
          <w:szCs w:val="24"/>
        </w:rPr>
        <w:t>资格要求；供应商自行承诺并承担后果，承诺书不实的，按《政府采购法》有关提供虚假材料的有关规定给予处罚。</w:t>
      </w:r>
    </w:p>
    <w:p>
      <w:pPr>
        <w:widowControl w:val="0"/>
        <w:snapToGrid w:val="0"/>
        <w:spacing w:line="360" w:lineRule="auto"/>
        <w:rPr>
          <w:rFonts w:ascii="宋体"/>
          <w:color w:val="auto"/>
          <w:sz w:val="24"/>
          <w:szCs w:val="24"/>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2对供</w:t>
      </w:r>
      <w:r>
        <w:rPr>
          <w:rFonts w:ascii="宋体" w:hAnsi="宋体"/>
          <w:color w:val="auto"/>
          <w:sz w:val="24"/>
          <w:szCs w:val="24"/>
        </w:rPr>
        <w:t>应商的限制性规定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（1）供应商应当无不良信用记录。</w:t>
      </w:r>
      <w:r>
        <w:rPr>
          <w:rFonts w:ascii="宋体" w:hAnsi="宋体"/>
          <w:color w:val="auto"/>
          <w:sz w:val="24"/>
          <w:szCs w:val="24"/>
        </w:rPr>
        <w:t>(</w:t>
      </w:r>
      <w:r>
        <w:rPr>
          <w:rFonts w:hint="eastAsia" w:ascii="宋体" w:hAnsi="宋体"/>
          <w:color w:val="auto"/>
          <w:sz w:val="24"/>
          <w:szCs w:val="24"/>
        </w:rPr>
        <w:t>未列入“信用中国”</w:t>
      </w:r>
      <w:r>
        <w:rPr>
          <w:rFonts w:ascii="宋体" w:hAnsi="宋体"/>
          <w:color w:val="auto"/>
          <w:sz w:val="24"/>
          <w:szCs w:val="24"/>
        </w:rPr>
        <w:t>&lt;www.creditchina.gov.cn&gt;</w:t>
      </w:r>
      <w:r>
        <w:rPr>
          <w:rFonts w:hint="eastAsia" w:ascii="宋体" w:hAnsi="宋体"/>
          <w:color w:val="auto"/>
          <w:sz w:val="24"/>
          <w:szCs w:val="24"/>
        </w:rPr>
        <w:t>网站的“失信被执行人”和“重大税收违法失信主体”及“中国政府采购网”</w:t>
      </w:r>
      <w:r>
        <w:rPr>
          <w:rFonts w:ascii="宋体" w:hAnsi="宋体"/>
          <w:color w:val="auto"/>
          <w:sz w:val="24"/>
          <w:szCs w:val="24"/>
        </w:rPr>
        <w:t>&lt;www.ccgp.gov.cn&gt;</w:t>
      </w:r>
      <w:r>
        <w:rPr>
          <w:rFonts w:hint="eastAsia" w:ascii="宋体" w:hAnsi="宋体"/>
          <w:color w:val="auto"/>
          <w:sz w:val="24"/>
          <w:szCs w:val="24"/>
        </w:rPr>
        <w:t>网站的“政府采购严重违法失信行为记录名单”</w:t>
      </w:r>
      <w:r>
        <w:rPr>
          <w:rFonts w:ascii="宋体" w:hAnsi="宋体"/>
          <w:color w:val="auto"/>
          <w:sz w:val="24"/>
          <w:szCs w:val="24"/>
        </w:rPr>
        <w:t>)</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rPr>
        <w:t>投标将被</w:t>
      </w:r>
      <w:r>
        <w:rPr>
          <w:rFonts w:hint="eastAsia" w:ascii="宋体" w:hAnsi="宋体"/>
          <w:color w:val="auto"/>
          <w:sz w:val="24"/>
          <w:szCs w:val="24"/>
        </w:rPr>
        <w:t>拒</w:t>
      </w:r>
      <w:r>
        <w:rPr>
          <w:rFonts w:ascii="宋体" w:hAnsi="宋体"/>
          <w:color w:val="auto"/>
          <w:sz w:val="24"/>
          <w:szCs w:val="24"/>
        </w:rPr>
        <w:t>绝</w:t>
      </w:r>
      <w:r>
        <w:rPr>
          <w:rFonts w:hint="eastAsia" w:ascii="宋体" w:hAnsi="宋体"/>
          <w:color w:val="auto"/>
          <w:sz w:val="24"/>
          <w:szCs w:val="24"/>
        </w:rPr>
        <w:t>、</w:t>
      </w:r>
      <w:r>
        <w:rPr>
          <w:rFonts w:ascii="宋体" w:hAnsi="宋体"/>
          <w:color w:val="auto"/>
          <w:sz w:val="24"/>
          <w:szCs w:val="24"/>
        </w:rPr>
        <w:t>为无效投</w:t>
      </w:r>
      <w:r>
        <w:rPr>
          <w:rFonts w:hint="eastAsia" w:ascii="宋体" w:hAnsi="宋体"/>
          <w:color w:val="auto"/>
          <w:sz w:val="24"/>
          <w:szCs w:val="24"/>
        </w:rPr>
        <w:t>标。查询的网页内容将以截图或者拍照作为证据留存。</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pPr>
        <w:widowControl w:val="0"/>
        <w:snapToGrid w:val="0"/>
        <w:spacing w:beforeLines="50" w:line="360" w:lineRule="auto"/>
        <w:ind w:firstLine="472" w:firstLineChars="225"/>
        <w:rPr>
          <w:color w:val="auto"/>
          <w:szCs w:val="21"/>
        </w:rPr>
      </w:pPr>
    </w:p>
    <w:p>
      <w:pPr>
        <w:widowControl w:val="0"/>
        <w:snapToGrid w:val="0"/>
        <w:spacing w:line="360" w:lineRule="auto"/>
        <w:ind w:firstLine="540" w:firstLineChars="225"/>
        <w:rPr>
          <w:color w:val="auto"/>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3项目的特定资格要求：</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（1）具备行政主管部门颁发的测绘甲级资质证书（必须包含以下专业：界线与不动产测绘、地理信息系统工程) ，■提供证书原件扫描件。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（2）项目负责人须同时具有测绘专业高级职称和国家注册测绘师证书，■提供职称和注册证书原件扫描件及本单位近6个月的养老保险缴纳证明。</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（3）具备法律、行政法规规定的其他条件。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（4）本项目（是/否）接受联合体投标：同“项目基本情况”1.7款要求</w:t>
      </w:r>
    </w:p>
    <w:p>
      <w:pPr>
        <w:widowControl w:val="0"/>
        <w:adjustRightInd w:val="0"/>
        <w:spacing w:beforeLines="50" w:line="300" w:lineRule="auto"/>
        <w:ind w:firstLine="540" w:firstLineChars="225"/>
        <w:rPr>
          <w:color w:val="auto"/>
          <w:sz w:val="24"/>
          <w:szCs w:val="24"/>
        </w:rPr>
      </w:pPr>
      <w:r>
        <w:rPr>
          <w:rFonts w:hint="eastAsia"/>
          <w:color w:val="auto"/>
          <w:sz w:val="24"/>
          <w:szCs w:val="24"/>
        </w:rPr>
        <w:t>注：（1）所有证照均应为有效的证照；文中“近”、“前”指距投标截止时间。</w:t>
      </w:r>
    </w:p>
    <w:p>
      <w:pPr>
        <w:widowControl w:val="0"/>
        <w:adjustRightInd w:val="0"/>
        <w:spacing w:beforeLines="50" w:line="300" w:lineRule="auto"/>
        <w:ind w:firstLine="540" w:firstLineChars="225"/>
        <w:rPr>
          <w:color w:val="auto"/>
          <w:sz w:val="24"/>
          <w:szCs w:val="24"/>
        </w:rPr>
      </w:pPr>
      <w:r>
        <w:rPr>
          <w:rFonts w:hint="eastAsia"/>
          <w:color w:val="auto"/>
          <w:sz w:val="24"/>
          <w:szCs w:val="24"/>
        </w:rPr>
        <w:t>（2）资格证明材料（文件）应附于投标文件中并经投</w:t>
      </w:r>
      <w:r>
        <w:rPr>
          <w:color w:val="auto"/>
          <w:sz w:val="24"/>
          <w:szCs w:val="24"/>
        </w:rPr>
        <w:t>标人</w:t>
      </w:r>
      <w:r>
        <w:rPr>
          <w:rFonts w:hint="eastAsia" w:ascii="宋体" w:hAnsi="宋体" w:cs="楷体_GB2312"/>
          <w:color w:val="auto"/>
          <w:sz w:val="24"/>
        </w:rPr>
        <w:t>电子签章</w:t>
      </w:r>
      <w:r>
        <w:rPr>
          <w:rFonts w:hint="eastAsia"/>
          <w:color w:val="auto"/>
          <w:sz w:val="24"/>
          <w:szCs w:val="24"/>
        </w:rPr>
        <w:t>。投标人对资格证明文件真实性有效合规承担责任，提供虚假材料的为无效投标并将进一步追究其责任。</w:t>
      </w:r>
    </w:p>
    <w:p>
      <w:pPr>
        <w:pStyle w:val="16"/>
        <w:shd w:val="clear" w:color="auto" w:fill="FFFFFF"/>
        <w:adjustRightInd w:val="0"/>
        <w:spacing w:before="50" w:beforeAutospacing="0" w:after="0" w:afterAutospacing="0" w:line="300" w:lineRule="auto"/>
        <w:ind w:firstLine="540" w:firstLineChars="225"/>
        <w:rPr>
          <w:color w:val="auto"/>
        </w:rPr>
      </w:pPr>
      <w:r>
        <w:rPr>
          <w:rFonts w:hint="eastAsia"/>
          <w:color w:val="auto"/>
        </w:rPr>
        <w:t>（3）</w:t>
      </w:r>
      <w:r>
        <w:rPr>
          <w:color w:val="auto"/>
        </w:rPr>
        <w:t xml:space="preserve"> </w:t>
      </w:r>
      <w:r>
        <w:rPr>
          <w:rFonts w:hint="eastAsia"/>
          <w:color w:val="auto"/>
        </w:rPr>
        <w:t>本项目采取资格后审，开标后，将由采购人或者采购代理机构对投标人的资格证明材料（文件）等进行资格审核，未按要求逐一提供、或资格审查不合格的为无效投标，投标人应自负其风险费用。</w:t>
      </w:r>
    </w:p>
    <w:p>
      <w:pPr>
        <w:widowControl w:val="0"/>
        <w:snapToGrid w:val="0"/>
        <w:spacing w:line="360" w:lineRule="auto"/>
        <w:ind w:firstLine="562" w:firstLineChars="200"/>
        <w:rPr>
          <w:rFonts w:ascii="黑体" w:hAnsi="黑体" w:eastAsia="黑体"/>
          <w:b/>
          <w:color w:val="auto"/>
          <w:sz w:val="28"/>
          <w:szCs w:val="28"/>
        </w:rPr>
      </w:pPr>
      <w:bookmarkStart w:id="5" w:name="_Toc35393792"/>
      <w:bookmarkStart w:id="6" w:name="_Toc35393623"/>
      <w:r>
        <w:rPr>
          <w:rFonts w:hint="eastAsia" w:ascii="黑体" w:hAnsi="黑体" w:eastAsia="黑体"/>
          <w:b/>
          <w:color w:val="auto"/>
          <w:sz w:val="28"/>
          <w:szCs w:val="28"/>
        </w:rPr>
        <w:t>3.获取招标文件</w:t>
      </w:r>
      <w:bookmarkEnd w:id="5"/>
      <w:bookmarkEnd w:id="6"/>
    </w:p>
    <w:p>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rPr>
        <w:t>时间：</w:t>
      </w:r>
      <w:r>
        <w:rPr>
          <w:rFonts w:hint="eastAsia"/>
          <w:color w:val="auto"/>
          <w:sz w:val="24"/>
          <w:szCs w:val="24"/>
          <w:u w:val="single"/>
        </w:rPr>
        <w:t>2024</w:t>
      </w:r>
      <w:r>
        <w:rPr>
          <w:rFonts w:hint="eastAsia"/>
          <w:color w:val="auto"/>
          <w:sz w:val="24"/>
          <w:szCs w:val="24"/>
        </w:rPr>
        <w:t>年</w:t>
      </w:r>
      <w:r>
        <w:rPr>
          <w:rFonts w:hint="eastAsia"/>
          <w:color w:val="auto"/>
          <w:sz w:val="24"/>
          <w:szCs w:val="24"/>
          <w:u w:val="single"/>
        </w:rPr>
        <w:t>1</w:t>
      </w:r>
      <w:r>
        <w:rPr>
          <w:rFonts w:hint="eastAsia"/>
          <w:color w:val="auto"/>
          <w:sz w:val="24"/>
          <w:szCs w:val="24"/>
        </w:rPr>
        <w:t>月</w:t>
      </w:r>
      <w:r>
        <w:rPr>
          <w:rFonts w:hint="eastAsia"/>
          <w:color w:val="auto"/>
          <w:sz w:val="24"/>
          <w:szCs w:val="24"/>
          <w:u w:val="single"/>
        </w:rPr>
        <w:t>24</w:t>
      </w:r>
      <w:r>
        <w:rPr>
          <w:rFonts w:hint="eastAsia"/>
          <w:color w:val="auto"/>
          <w:sz w:val="24"/>
          <w:szCs w:val="24"/>
        </w:rPr>
        <w:t>日至</w:t>
      </w:r>
      <w:r>
        <w:rPr>
          <w:rFonts w:hint="eastAsia"/>
          <w:color w:val="auto"/>
          <w:sz w:val="24"/>
          <w:szCs w:val="24"/>
          <w:u w:val="single"/>
        </w:rPr>
        <w:t>2024</w:t>
      </w:r>
      <w:r>
        <w:rPr>
          <w:rFonts w:hint="eastAsia"/>
          <w:color w:val="auto"/>
          <w:sz w:val="24"/>
          <w:szCs w:val="24"/>
        </w:rPr>
        <w:t>年</w:t>
      </w:r>
      <w:r>
        <w:rPr>
          <w:rFonts w:hint="eastAsia"/>
          <w:color w:val="auto"/>
          <w:sz w:val="24"/>
          <w:szCs w:val="24"/>
          <w:u w:val="single"/>
        </w:rPr>
        <w:t>1</w:t>
      </w:r>
      <w:r>
        <w:rPr>
          <w:rFonts w:hint="eastAsia"/>
          <w:color w:val="auto"/>
          <w:sz w:val="24"/>
          <w:szCs w:val="24"/>
        </w:rPr>
        <w:t>月</w:t>
      </w:r>
      <w:r>
        <w:rPr>
          <w:rFonts w:hint="eastAsia"/>
          <w:color w:val="auto"/>
          <w:sz w:val="24"/>
          <w:szCs w:val="24"/>
          <w:u w:val="single"/>
        </w:rPr>
        <w:t>30</w:t>
      </w:r>
      <w:r>
        <w:rPr>
          <w:rFonts w:hint="eastAsia"/>
          <w:color w:val="auto"/>
          <w:sz w:val="24"/>
          <w:szCs w:val="24"/>
        </w:rPr>
        <w:t>日，每天上午</w:t>
      </w:r>
      <w:r>
        <w:rPr>
          <w:rFonts w:hint="eastAsia"/>
          <w:color w:val="auto"/>
          <w:sz w:val="24"/>
          <w:szCs w:val="24"/>
          <w:u w:val="single"/>
        </w:rPr>
        <w:t>00:00</w:t>
      </w:r>
      <w:r>
        <w:rPr>
          <w:rFonts w:hint="eastAsia"/>
          <w:color w:val="auto"/>
          <w:sz w:val="24"/>
          <w:szCs w:val="24"/>
        </w:rPr>
        <w:t>至</w:t>
      </w:r>
      <w:r>
        <w:rPr>
          <w:rFonts w:hint="eastAsia"/>
          <w:color w:val="auto"/>
          <w:sz w:val="24"/>
          <w:szCs w:val="24"/>
          <w:u w:val="single"/>
        </w:rPr>
        <w:t>12:00</w:t>
      </w:r>
      <w:r>
        <w:rPr>
          <w:rFonts w:hint="eastAsia"/>
          <w:color w:val="auto"/>
          <w:sz w:val="24"/>
          <w:szCs w:val="24"/>
        </w:rPr>
        <w:t>，下午</w:t>
      </w:r>
      <w:r>
        <w:rPr>
          <w:rFonts w:hint="eastAsia"/>
          <w:color w:val="auto"/>
          <w:sz w:val="24"/>
          <w:szCs w:val="24"/>
          <w:u w:val="single"/>
        </w:rPr>
        <w:t>12:00</w:t>
      </w:r>
      <w:r>
        <w:rPr>
          <w:rFonts w:hint="eastAsia"/>
          <w:color w:val="auto"/>
          <w:sz w:val="24"/>
          <w:szCs w:val="24"/>
        </w:rPr>
        <w:t>至</w:t>
      </w:r>
      <w:r>
        <w:rPr>
          <w:rFonts w:hint="eastAsia"/>
          <w:color w:val="auto"/>
          <w:sz w:val="24"/>
          <w:szCs w:val="24"/>
          <w:u w:val="single"/>
        </w:rPr>
        <w:t>23:59</w:t>
      </w:r>
      <w:r>
        <w:rPr>
          <w:rFonts w:hint="eastAsia"/>
          <w:color w:val="auto"/>
          <w:sz w:val="24"/>
          <w:szCs w:val="24"/>
        </w:rPr>
        <w:t>（北京时间，</w:t>
      </w:r>
      <w:r>
        <w:rPr>
          <w:color w:val="auto"/>
          <w:sz w:val="24"/>
          <w:szCs w:val="24"/>
        </w:rPr>
        <w:t>法定节假日</w:t>
      </w:r>
      <w:r>
        <w:rPr>
          <w:rFonts w:hint="eastAsia"/>
          <w:color w:val="auto"/>
          <w:sz w:val="24"/>
          <w:szCs w:val="24"/>
        </w:rPr>
        <w:t>除外）</w:t>
      </w:r>
    </w:p>
    <w:p>
      <w:pPr>
        <w:widowControl w:val="0"/>
        <w:snapToGrid w:val="0"/>
        <w:spacing w:line="360" w:lineRule="auto"/>
        <w:ind w:left="55" w:leftChars="26" w:firstLine="540" w:firstLineChars="225"/>
        <w:rPr>
          <w:rFonts w:ascii="宋体" w:hAnsi="宋体"/>
          <w:b/>
          <w:color w:val="auto"/>
          <w:sz w:val="24"/>
          <w:szCs w:val="24"/>
        </w:rPr>
      </w:pPr>
      <w:r>
        <w:rPr>
          <w:rFonts w:hint="eastAsia" w:ascii="宋体" w:hAnsi="宋体"/>
          <w:color w:val="auto"/>
          <w:sz w:val="24"/>
          <w:szCs w:val="24"/>
        </w:rPr>
        <w:t>3.2地点</w:t>
      </w:r>
      <w:r>
        <w:rPr>
          <w:rFonts w:hint="eastAsia"/>
          <w:color w:val="auto"/>
          <w:sz w:val="24"/>
          <w:szCs w:val="24"/>
        </w:rPr>
        <w:t>：</w:t>
      </w:r>
      <w:r>
        <w:rPr>
          <w:rFonts w:hint="eastAsia"/>
          <w:b/>
          <w:bCs/>
          <w:color w:val="auto"/>
          <w:sz w:val="24"/>
          <w:szCs w:val="24"/>
        </w:rPr>
        <w:t>登陆安阳市公共资源交易中心网站（</w:t>
      </w:r>
      <w:r>
        <w:rPr>
          <w:b/>
          <w:bCs/>
          <w:color w:val="auto"/>
          <w:sz w:val="24"/>
          <w:szCs w:val="24"/>
        </w:rPr>
        <w:t>http://ggzy.anyang.gov.cn/</w:t>
      </w:r>
      <w:r>
        <w:rPr>
          <w:rFonts w:hint="eastAsia"/>
          <w:b/>
          <w:bCs/>
          <w:color w:val="auto"/>
          <w:sz w:val="24"/>
          <w:szCs w:val="24"/>
        </w:rPr>
        <w:t>），完成用户注册后、</w:t>
      </w:r>
      <w:r>
        <w:rPr>
          <w:rFonts w:hint="eastAsia" w:ascii="宋体" w:hAnsi="宋体"/>
          <w:b/>
          <w:color w:val="auto"/>
          <w:sz w:val="24"/>
          <w:szCs w:val="24"/>
        </w:rPr>
        <w:t>凭企业数字证书点击“投标用户入口”登录“政府采购”系统，获取电子版招标文件及其它资料。</w:t>
      </w:r>
    </w:p>
    <w:p>
      <w:pPr>
        <w:spacing w:line="360" w:lineRule="auto"/>
        <w:ind w:firstLine="540"/>
        <w:rPr>
          <w:rFonts w:ascii="仿宋" w:hAnsi="仿宋" w:eastAsia="仿宋" w:cs="宋体"/>
          <w:color w:val="auto"/>
          <w:sz w:val="28"/>
          <w:szCs w:val="28"/>
          <w:u w:val="single"/>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pPr>
        <w:widowControl w:val="0"/>
        <w:snapToGrid w:val="0"/>
        <w:spacing w:line="360" w:lineRule="auto"/>
        <w:ind w:firstLine="562" w:firstLineChars="200"/>
        <w:rPr>
          <w:rFonts w:ascii="黑体" w:hAnsi="黑体" w:eastAsia="黑体"/>
          <w:b/>
          <w:color w:val="auto"/>
          <w:sz w:val="28"/>
          <w:szCs w:val="28"/>
        </w:rPr>
      </w:pPr>
      <w:bookmarkStart w:id="7" w:name="_Toc28359005"/>
      <w:bookmarkStart w:id="8" w:name="_Toc28359082"/>
      <w:bookmarkStart w:id="9" w:name="_Toc35393624"/>
      <w:bookmarkStart w:id="10" w:name="_Toc35393793"/>
      <w:r>
        <w:rPr>
          <w:rFonts w:hint="eastAsia" w:ascii="黑体" w:hAnsi="黑体" w:eastAsia="黑体"/>
          <w:b/>
          <w:color w:val="auto"/>
          <w:sz w:val="28"/>
          <w:szCs w:val="28"/>
        </w:rPr>
        <w:t>4.提交投标文件</w:t>
      </w:r>
      <w:bookmarkEnd w:id="7"/>
      <w:bookmarkEnd w:id="8"/>
      <w:r>
        <w:rPr>
          <w:rFonts w:hint="eastAsia" w:ascii="黑体" w:hAnsi="黑体" w:eastAsia="黑体"/>
          <w:b/>
          <w:color w:val="auto"/>
          <w:sz w:val="28"/>
          <w:szCs w:val="28"/>
        </w:rPr>
        <w:t>截止时间</w:t>
      </w:r>
      <w:bookmarkEnd w:id="9"/>
      <w:bookmarkEnd w:id="10"/>
      <w:r>
        <w:rPr>
          <w:rFonts w:hint="eastAsia" w:ascii="黑体" w:hAnsi="黑体" w:eastAsia="黑体"/>
          <w:b/>
          <w:color w:val="auto"/>
          <w:sz w:val="28"/>
          <w:szCs w:val="28"/>
        </w:rPr>
        <w:t>（投标截止时间及地点）</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4.1时间：2024年2月19日09时00分（北京时间）</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4.2地点：于安阳市公共资源交易平台网上上传递交、并由投标人在规定时间远程解密。</w:t>
      </w: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5.开标时间和地点</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5.1时间：2024年2月19日09时00分（北京时间）</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5.2地点（管理员网上操作地点）：安阳市公共资源交易中心五楼集中开标大厅2室（安阳市文峰大道东段559号安阳市民之家）。</w:t>
      </w: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6.发布公告的媒介及招标公告期限</w:t>
      </w:r>
    </w:p>
    <w:p>
      <w:pPr>
        <w:widowControl w:val="0"/>
        <w:tabs>
          <w:tab w:val="left" w:pos="39"/>
          <w:tab w:val="left" w:pos="96"/>
        </w:tabs>
        <w:snapToGrid w:val="0"/>
        <w:spacing w:line="360" w:lineRule="auto"/>
        <w:ind w:firstLine="566" w:firstLineChars="236"/>
        <w:rPr>
          <w:rFonts w:ascii="宋体" w:hAnsi="宋体"/>
          <w:color w:val="auto"/>
          <w:sz w:val="24"/>
          <w:szCs w:val="24"/>
        </w:rPr>
      </w:pPr>
      <w:r>
        <w:rPr>
          <w:rFonts w:hint="eastAsia" w:ascii="宋体" w:hAnsi="宋体"/>
          <w:color w:val="auto"/>
          <w:sz w:val="24"/>
          <w:szCs w:val="24"/>
        </w:rPr>
        <w:t>本项目在“河南省政府采购网（安阳市政府采购网）</w:t>
      </w:r>
      <w:r>
        <w:rPr>
          <w:color w:val="auto"/>
          <w:sz w:val="24"/>
          <w:szCs w:val="24"/>
        </w:rPr>
        <w:t>zfcg.henan.gov.cn</w:t>
      </w:r>
      <w:r>
        <w:rPr>
          <w:rFonts w:hint="eastAsia" w:ascii="宋体" w:hAnsi="宋体"/>
          <w:color w:val="auto"/>
          <w:sz w:val="24"/>
          <w:szCs w:val="24"/>
        </w:rPr>
        <w:t>”、“安阳市公共资源交易中心网</w:t>
      </w:r>
      <w:r>
        <w:rPr>
          <w:color w:val="auto"/>
        </w:rPr>
        <w:t>http://ggzy.anyang.gov.cn/</w:t>
      </w:r>
      <w:r>
        <w:rPr>
          <w:rFonts w:hint="eastAsia" w:ascii="宋体" w:hAnsi="宋体"/>
          <w:color w:val="auto"/>
          <w:sz w:val="24"/>
          <w:szCs w:val="24"/>
        </w:rPr>
        <w:t>”</w:t>
      </w:r>
      <w:r>
        <w:rPr>
          <w:rFonts w:hint="eastAsia" w:ascii="宋体" w:hAnsi="宋体" w:cs="宋体"/>
          <w:color w:val="auto"/>
          <w:sz w:val="24"/>
          <w:szCs w:val="24"/>
        </w:rPr>
        <w:t>、</w:t>
      </w:r>
      <w:r>
        <w:rPr>
          <w:rFonts w:hint="eastAsia" w:ascii="宋体" w:hAnsi="宋体"/>
          <w:color w:val="auto"/>
          <w:sz w:val="24"/>
          <w:szCs w:val="24"/>
        </w:rPr>
        <w:t>“安阳招标采购网</w:t>
      </w:r>
      <w:r>
        <w:rPr>
          <w:color w:val="auto"/>
          <w:sz w:val="24"/>
          <w:szCs w:val="24"/>
        </w:rPr>
        <w:t>http://www.ayzbcg.com</w:t>
      </w:r>
      <w:r>
        <w:rPr>
          <w:rFonts w:hint="eastAsia" w:ascii="宋体" w:hAnsi="宋体"/>
          <w:color w:val="auto"/>
          <w:sz w:val="24"/>
          <w:szCs w:val="24"/>
        </w:rPr>
        <w:t>”网站上同期发布。</w:t>
      </w:r>
      <w:r>
        <w:rPr>
          <w:rFonts w:hint="eastAsia" w:ascii="宋体" w:hAnsi="宋体" w:cs="宋体"/>
          <w:color w:val="auto"/>
          <w:sz w:val="24"/>
          <w:szCs w:val="24"/>
        </w:rPr>
        <w:t>招标公告期限为五个工作日。</w:t>
      </w:r>
    </w:p>
    <w:p>
      <w:pPr>
        <w:widowControl w:val="0"/>
        <w:snapToGrid w:val="0"/>
        <w:spacing w:line="360" w:lineRule="auto"/>
        <w:ind w:firstLine="562" w:firstLineChars="200"/>
        <w:rPr>
          <w:rFonts w:ascii="黑体" w:hAnsi="黑体" w:eastAsia="黑体"/>
          <w:b/>
          <w:color w:val="auto"/>
          <w:sz w:val="28"/>
          <w:szCs w:val="28"/>
        </w:rPr>
      </w:pPr>
      <w:bookmarkStart w:id="11" w:name="_Toc35393795"/>
      <w:bookmarkStart w:id="12" w:name="_Toc35393626"/>
      <w:r>
        <w:rPr>
          <w:rFonts w:hint="eastAsia" w:ascii="黑体" w:hAnsi="黑体" w:eastAsia="黑体"/>
          <w:b/>
          <w:color w:val="auto"/>
          <w:sz w:val="28"/>
          <w:szCs w:val="28"/>
        </w:rPr>
        <w:t>7.其他补充事宜</w:t>
      </w:r>
      <w:bookmarkEnd w:id="11"/>
      <w:bookmarkEnd w:id="12"/>
    </w:p>
    <w:p>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rPr>
        <w:t>支持绿色建筑、绿色建材，支持不发达、少数民族地区的企业，促进自主创新产业发展，支持脱贫攻坚等</w:t>
      </w:r>
      <w:r>
        <w:rPr>
          <w:rFonts w:hint="eastAsia"/>
          <w:color w:val="auto"/>
          <w:sz w:val="24"/>
          <w:szCs w:val="24"/>
        </w:rPr>
        <w:t>。</w:t>
      </w:r>
    </w:p>
    <w:p>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pStyle w:val="16"/>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 xml:space="preserve">7.3 </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pPr>
        <w:widowControl w:val="0"/>
        <w:tabs>
          <w:tab w:val="left" w:pos="39"/>
          <w:tab w:val="left" w:pos="96"/>
        </w:tabs>
        <w:snapToGrid w:val="0"/>
        <w:spacing w:line="360" w:lineRule="auto"/>
        <w:ind w:firstLine="602" w:firstLineChars="250"/>
        <w:rPr>
          <w:rFonts w:ascii="宋体" w:hAnsi="宋体"/>
          <w:b/>
          <w:color w:val="auto"/>
          <w:sz w:val="24"/>
          <w:szCs w:val="24"/>
        </w:rPr>
      </w:pPr>
      <w:r>
        <w:rPr>
          <w:rFonts w:hint="eastAsia" w:ascii="宋体" w:hAnsi="宋体"/>
          <w:b/>
          <w:color w:val="auto"/>
          <w:sz w:val="24"/>
          <w:szCs w:val="24"/>
        </w:rPr>
        <w:t>7.3.1全国公共资源交易平</w:t>
      </w:r>
      <w:r>
        <w:rPr>
          <w:rFonts w:ascii="宋体" w:hAnsi="宋体"/>
          <w:b/>
          <w:color w:val="auto"/>
          <w:sz w:val="24"/>
          <w:szCs w:val="24"/>
        </w:rPr>
        <w:t>台</w:t>
      </w:r>
      <w:r>
        <w:rPr>
          <w:rFonts w:hint="eastAsia" w:ascii="宋体" w:hAnsi="宋体"/>
          <w:b/>
          <w:color w:val="auto"/>
          <w:sz w:val="24"/>
          <w:szCs w:val="24"/>
        </w:rPr>
        <w:t>（河南</w:t>
      </w:r>
      <w:r>
        <w:rPr>
          <w:rFonts w:ascii="宋体" w:hAnsi="宋体"/>
          <w:b/>
          <w:color w:val="auto"/>
          <w:sz w:val="24"/>
          <w:szCs w:val="24"/>
        </w:rPr>
        <w:t>省</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w:t>
      </w:r>
      <w:r>
        <w:rPr>
          <w:rFonts w:ascii="宋体" w:hAnsi="宋体"/>
          <w:b/>
          <w:color w:val="auto"/>
          <w:sz w:val="24"/>
          <w:szCs w:val="24"/>
        </w:rPr>
        <w:t>）</w:t>
      </w:r>
      <w:r>
        <w:rPr>
          <w:rFonts w:ascii="宋体" w:hAnsi="宋体"/>
          <w:b/>
          <w:bCs/>
          <w:color w:val="auto"/>
          <w:sz w:val="24"/>
          <w:szCs w:val="24"/>
        </w:rPr>
        <w:t>http://ggzy.anyang.gov.cn/</w:t>
      </w:r>
    </w:p>
    <w:p>
      <w:pPr>
        <w:widowControl w:val="0"/>
        <w:tabs>
          <w:tab w:val="left" w:pos="39"/>
          <w:tab w:val="left" w:pos="96"/>
          <w:tab w:val="left" w:pos="5700"/>
        </w:tabs>
        <w:snapToGrid w:val="0"/>
        <w:spacing w:line="360" w:lineRule="auto"/>
        <w:ind w:firstLine="602" w:firstLineChars="250"/>
        <w:rPr>
          <w:rFonts w:ascii="宋体"/>
          <w:b/>
          <w:color w:val="auto"/>
          <w:sz w:val="24"/>
          <w:szCs w:val="24"/>
        </w:rPr>
      </w:pPr>
      <w:r>
        <w:rPr>
          <w:rFonts w:hint="eastAsia" w:ascii="宋体" w:hAnsi="宋体"/>
          <w:b/>
          <w:color w:val="auto"/>
          <w:sz w:val="24"/>
          <w:szCs w:val="24"/>
        </w:rPr>
        <w:t>招标</w:t>
      </w:r>
      <w:r>
        <w:rPr>
          <w:rFonts w:ascii="宋体" w:hAnsi="宋体"/>
          <w:b/>
          <w:color w:val="auto"/>
          <w:sz w:val="24"/>
          <w:szCs w:val="24"/>
        </w:rPr>
        <w:t>文件简称“</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市公共资源交易平</w:t>
      </w:r>
      <w:r>
        <w:rPr>
          <w:rFonts w:ascii="宋体" w:hAnsi="宋体"/>
          <w:b/>
          <w:color w:val="auto"/>
          <w:sz w:val="24"/>
          <w:szCs w:val="24"/>
        </w:rPr>
        <w:t>台”</w:t>
      </w:r>
    </w:p>
    <w:p>
      <w:pPr>
        <w:widowControl w:val="0"/>
        <w:tabs>
          <w:tab w:val="left" w:pos="39"/>
          <w:tab w:val="left" w:pos="96"/>
        </w:tabs>
        <w:snapToGrid w:val="0"/>
        <w:spacing w:line="360" w:lineRule="auto"/>
        <w:ind w:firstLine="602" w:firstLineChars="250"/>
        <w:rPr>
          <w:rFonts w:ascii="宋体"/>
          <w:b/>
          <w:color w:val="auto"/>
          <w:sz w:val="24"/>
          <w:szCs w:val="24"/>
        </w:rPr>
      </w:pPr>
      <w:r>
        <w:rPr>
          <w:rFonts w:hint="eastAsia" w:ascii="宋体"/>
          <w:b/>
          <w:color w:val="auto"/>
          <w:sz w:val="24"/>
          <w:szCs w:val="24"/>
        </w:rPr>
        <w:t>7.3.2安</w:t>
      </w:r>
      <w:r>
        <w:rPr>
          <w:rFonts w:ascii="宋体"/>
          <w:b/>
          <w:color w:val="auto"/>
          <w:sz w:val="24"/>
          <w:szCs w:val="24"/>
        </w:rPr>
        <w:t>阳市</w:t>
      </w:r>
      <w:r>
        <w:rPr>
          <w:rFonts w:hint="eastAsia" w:ascii="宋体"/>
          <w:b/>
          <w:color w:val="auto"/>
          <w:sz w:val="24"/>
          <w:szCs w:val="24"/>
        </w:rPr>
        <w:t>政府采购投标文件编制系统：在安阳市公共资源交易平台进行下载</w:t>
      </w:r>
    </w:p>
    <w:p>
      <w:pPr>
        <w:widowControl w:val="0"/>
        <w:snapToGrid w:val="0"/>
        <w:spacing w:line="360" w:lineRule="auto"/>
        <w:ind w:firstLine="632" w:firstLineChars="225"/>
        <w:jc w:val="left"/>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bookmarkStart w:id="13" w:name="_Toc35393796"/>
      <w:bookmarkStart w:id="14" w:name="_Toc28359085"/>
      <w:bookmarkStart w:id="15" w:name="_Toc35393627"/>
      <w:bookmarkStart w:id="16" w:name="_Toc28359008"/>
      <w:r>
        <w:rPr>
          <w:rFonts w:hint="eastAsia" w:ascii="黑体" w:hAnsi="黑体" w:eastAsia="黑体"/>
          <w:b/>
          <w:color w:val="auto"/>
          <w:sz w:val="28"/>
          <w:szCs w:val="28"/>
        </w:rPr>
        <w:t>8.对本次招标提出询问，请按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13"/>
      <w:bookmarkEnd w:id="14"/>
      <w:bookmarkEnd w:id="15"/>
      <w:bookmarkEnd w:id="16"/>
    </w:p>
    <w:p>
      <w:pPr>
        <w:ind w:firstLine="480" w:firstLineChars="200"/>
        <w:jc w:val="left"/>
        <w:rPr>
          <w:rFonts w:ascii="宋体" w:hAnsi="宋体"/>
          <w:color w:val="auto"/>
          <w:sz w:val="24"/>
          <w:szCs w:val="24"/>
        </w:rPr>
      </w:pPr>
      <w:r>
        <w:rPr>
          <w:rFonts w:hint="eastAsia" w:ascii="宋体" w:hAnsi="宋体" w:cs="宋体"/>
          <w:color w:val="auto"/>
          <w:sz w:val="24"/>
          <w:szCs w:val="24"/>
        </w:rPr>
        <w:t>8.1 采购人信息</w:t>
      </w:r>
    </w:p>
    <w:p>
      <w:pPr>
        <w:spacing w:line="360" w:lineRule="auto"/>
        <w:ind w:left="1079" w:leftChars="428" w:hanging="180" w:hangingChars="75"/>
        <w:jc w:val="left"/>
        <w:rPr>
          <w:rFonts w:ascii="宋体" w:hAnsi="宋体"/>
          <w:color w:val="auto"/>
          <w:sz w:val="24"/>
          <w:szCs w:val="24"/>
        </w:rPr>
      </w:pPr>
      <w:r>
        <w:rPr>
          <w:rFonts w:hint="eastAsia" w:ascii="宋体" w:hAnsi="宋体"/>
          <w:color w:val="auto"/>
          <w:sz w:val="24"/>
          <w:szCs w:val="24"/>
        </w:rPr>
        <w:t>名 称：安阳市自然资源和规划局</w:t>
      </w:r>
    </w:p>
    <w:p>
      <w:pPr>
        <w:spacing w:line="360" w:lineRule="auto"/>
        <w:ind w:left="1079" w:leftChars="428" w:hanging="180" w:hangingChars="75"/>
        <w:jc w:val="left"/>
        <w:rPr>
          <w:rFonts w:ascii="宋体" w:hAnsi="宋体"/>
          <w:color w:val="auto"/>
          <w:sz w:val="24"/>
          <w:szCs w:val="24"/>
        </w:rPr>
      </w:pPr>
      <w:r>
        <w:rPr>
          <w:rFonts w:hint="eastAsia" w:ascii="宋体" w:hAnsi="宋体"/>
          <w:color w:val="auto"/>
          <w:sz w:val="24"/>
          <w:szCs w:val="24"/>
        </w:rPr>
        <w:t>地址：</w:t>
      </w:r>
      <w:r>
        <w:rPr>
          <w:rFonts w:hint="eastAsia" w:asciiTheme="minorEastAsia" w:hAnsiTheme="minorEastAsia" w:eastAsiaTheme="minorEastAsia"/>
          <w:color w:val="auto"/>
          <w:sz w:val="24"/>
          <w:szCs w:val="24"/>
        </w:rPr>
        <w:t>安阳市富源街6号</w:t>
      </w:r>
      <w:r>
        <w:rPr>
          <w:rFonts w:hint="eastAsia" w:ascii="宋体" w:hAnsi="宋体"/>
          <w:color w:val="auto"/>
          <w:sz w:val="24"/>
          <w:szCs w:val="24"/>
        </w:rPr>
        <w:t>　       　</w:t>
      </w:r>
    </w:p>
    <w:p>
      <w:pPr>
        <w:spacing w:line="360" w:lineRule="auto"/>
        <w:ind w:left="1079" w:leftChars="428" w:hanging="180" w:hangingChars="75"/>
        <w:jc w:val="left"/>
        <w:rPr>
          <w:rFonts w:ascii="宋体" w:hAnsi="宋体"/>
          <w:color w:val="auto"/>
          <w:sz w:val="24"/>
          <w:szCs w:val="24"/>
        </w:rPr>
      </w:pPr>
      <w:r>
        <w:rPr>
          <w:rFonts w:hint="eastAsia" w:ascii="宋体" w:hAnsi="宋体"/>
          <w:color w:val="auto"/>
          <w:sz w:val="24"/>
          <w:szCs w:val="24"/>
        </w:rPr>
        <w:t>联系人：</w:t>
      </w:r>
      <w:r>
        <w:rPr>
          <w:rFonts w:hint="eastAsia" w:asciiTheme="minorEastAsia" w:hAnsiTheme="minorEastAsia" w:eastAsiaTheme="minorEastAsia"/>
          <w:color w:val="auto"/>
          <w:sz w:val="24"/>
          <w:szCs w:val="24"/>
        </w:rPr>
        <w:t>耿建华</w:t>
      </w:r>
      <w:r>
        <w:rPr>
          <w:rFonts w:hint="eastAsia" w:ascii="宋体" w:hAnsi="宋体"/>
          <w:color w:val="auto"/>
          <w:sz w:val="24"/>
          <w:szCs w:val="24"/>
        </w:rPr>
        <w:t xml:space="preserve">    </w:t>
      </w:r>
    </w:p>
    <w:p>
      <w:pPr>
        <w:spacing w:line="360" w:lineRule="auto"/>
        <w:ind w:left="1079" w:leftChars="428" w:hanging="180" w:hangingChars="75"/>
        <w:jc w:val="left"/>
        <w:rPr>
          <w:rFonts w:ascii="宋体" w:hAnsi="宋体"/>
          <w:color w:val="auto"/>
          <w:sz w:val="24"/>
          <w:szCs w:val="24"/>
        </w:rPr>
      </w:pPr>
      <w:r>
        <w:rPr>
          <w:rFonts w:hint="eastAsia" w:ascii="宋体" w:hAnsi="宋体"/>
          <w:color w:val="auto"/>
          <w:sz w:val="24"/>
          <w:szCs w:val="24"/>
        </w:rPr>
        <w:t xml:space="preserve">联系方式：18203729968　  </w:t>
      </w:r>
      <w:bookmarkStart w:id="17" w:name="_Toc28359009"/>
      <w:bookmarkStart w:id="18" w:name="_Toc28359086"/>
    </w:p>
    <w:p>
      <w:pPr>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8.2 采购代理机构信息</w:t>
      </w:r>
      <w:bookmarkEnd w:id="17"/>
      <w:bookmarkEnd w:id="18"/>
    </w:p>
    <w:p>
      <w:pPr>
        <w:spacing w:line="360" w:lineRule="auto"/>
        <w:ind w:firstLine="840" w:firstLineChars="350"/>
        <w:rPr>
          <w:rFonts w:ascii="宋体" w:hAnsi="宋体"/>
          <w:color w:val="auto"/>
          <w:sz w:val="24"/>
          <w:szCs w:val="24"/>
        </w:rPr>
      </w:pPr>
      <w:r>
        <w:rPr>
          <w:rFonts w:hint="eastAsia" w:ascii="宋体" w:hAnsi="宋体"/>
          <w:color w:val="auto"/>
          <w:sz w:val="24"/>
          <w:szCs w:val="24"/>
        </w:rPr>
        <w:t>名 称：安阳市方正招标采购服务有限责任公司  　</w:t>
      </w:r>
    </w:p>
    <w:p>
      <w:pPr>
        <w:spacing w:line="360" w:lineRule="auto"/>
        <w:ind w:left="1798" w:leftChars="399" w:hanging="960" w:hangingChars="400"/>
        <w:rPr>
          <w:rFonts w:ascii="宋体" w:hAnsi="宋体"/>
          <w:color w:val="auto"/>
          <w:sz w:val="24"/>
          <w:szCs w:val="24"/>
        </w:rPr>
      </w:pPr>
      <w:r>
        <w:rPr>
          <w:rFonts w:hint="eastAsia" w:ascii="宋体" w:hAnsi="宋体"/>
          <w:color w:val="auto"/>
          <w:sz w:val="24"/>
          <w:szCs w:val="24"/>
        </w:rPr>
        <w:t>地　址：安阳市安钢大道39号（人民大道北地下道口南侧、安阳粮食产业集团-后院办公楼五楼）　　</w:t>
      </w:r>
    </w:p>
    <w:p>
      <w:pPr>
        <w:spacing w:line="360" w:lineRule="auto"/>
        <w:ind w:firstLine="840" w:firstLineChars="350"/>
        <w:rPr>
          <w:rFonts w:ascii="宋体" w:hAnsi="宋体"/>
          <w:color w:val="auto"/>
          <w:sz w:val="24"/>
          <w:szCs w:val="24"/>
        </w:rPr>
      </w:pPr>
      <w:r>
        <w:rPr>
          <w:rFonts w:hint="eastAsia" w:ascii="宋体" w:hAnsi="宋体"/>
          <w:color w:val="auto"/>
          <w:sz w:val="24"/>
          <w:szCs w:val="24"/>
        </w:rPr>
        <w:t xml:space="preserve">联系人：白杨  </w:t>
      </w:r>
    </w:p>
    <w:p>
      <w:pPr>
        <w:spacing w:line="360" w:lineRule="auto"/>
        <w:ind w:firstLine="840" w:firstLineChars="350"/>
        <w:rPr>
          <w:rFonts w:ascii="宋体" w:hAnsi="宋体"/>
          <w:color w:val="auto"/>
          <w:sz w:val="24"/>
          <w:szCs w:val="24"/>
        </w:rPr>
      </w:pPr>
      <w:r>
        <w:rPr>
          <w:rFonts w:hint="eastAsia" w:ascii="宋体" w:hAnsi="宋体"/>
          <w:color w:val="auto"/>
          <w:sz w:val="24"/>
          <w:szCs w:val="24"/>
        </w:rPr>
        <w:t>联系方式：</w:t>
      </w:r>
      <w:bookmarkStart w:id="19" w:name="_Toc28359087"/>
      <w:bookmarkStart w:id="20" w:name="_Toc28359010"/>
      <w:r>
        <w:rPr>
          <w:rFonts w:hint="eastAsia" w:ascii="宋体" w:hAnsi="宋体"/>
          <w:color w:val="auto"/>
          <w:sz w:val="24"/>
          <w:szCs w:val="24"/>
        </w:rPr>
        <w:t>0372-2283981、2283982   财务部咨询电话：0372-2283983　</w:t>
      </w:r>
    </w:p>
    <w:p>
      <w:pPr>
        <w:spacing w:line="360" w:lineRule="auto"/>
        <w:ind w:firstLine="480" w:firstLineChars="200"/>
        <w:rPr>
          <w:rFonts w:ascii="宋体" w:hAnsi="宋体"/>
          <w:color w:val="auto"/>
          <w:sz w:val="24"/>
          <w:szCs w:val="24"/>
          <w:u w:val="single"/>
        </w:rPr>
      </w:pPr>
      <w:r>
        <w:rPr>
          <w:rFonts w:hint="eastAsia" w:ascii="宋体" w:hAnsi="宋体" w:cs="宋体"/>
          <w:color w:val="auto"/>
          <w:sz w:val="24"/>
          <w:szCs w:val="24"/>
        </w:rPr>
        <w:t>8.3 项目</w:t>
      </w:r>
      <w:r>
        <w:rPr>
          <w:rFonts w:ascii="宋体" w:hAnsi="宋体" w:cs="宋体"/>
          <w:color w:val="auto"/>
          <w:sz w:val="24"/>
          <w:szCs w:val="24"/>
        </w:rPr>
        <w:t>联系方式</w:t>
      </w:r>
      <w:bookmarkEnd w:id="19"/>
      <w:bookmarkEnd w:id="20"/>
    </w:p>
    <w:p>
      <w:pPr>
        <w:pStyle w:val="8"/>
        <w:spacing w:line="360" w:lineRule="auto"/>
        <w:ind w:firstLine="840" w:firstLineChars="350"/>
        <w:rPr>
          <w:rFonts w:hAnsi="宋体"/>
          <w:color w:val="auto"/>
          <w:sz w:val="24"/>
          <w:szCs w:val="24"/>
        </w:rPr>
      </w:pPr>
      <w:r>
        <w:rPr>
          <w:rFonts w:hint="eastAsia" w:hAnsi="宋体"/>
          <w:color w:val="auto"/>
          <w:sz w:val="24"/>
          <w:szCs w:val="24"/>
        </w:rPr>
        <w:t xml:space="preserve">项目联系人：白杨  </w:t>
      </w:r>
    </w:p>
    <w:p>
      <w:pPr>
        <w:spacing w:line="360" w:lineRule="auto"/>
        <w:ind w:firstLine="840" w:firstLineChars="350"/>
        <w:rPr>
          <w:rFonts w:ascii="宋体" w:hAnsi="宋体"/>
          <w:color w:val="auto"/>
          <w:sz w:val="24"/>
          <w:szCs w:val="24"/>
        </w:rPr>
      </w:pPr>
      <w:r>
        <w:rPr>
          <w:rFonts w:hint="eastAsia" w:ascii="宋体" w:hAnsi="宋体"/>
          <w:color w:val="auto"/>
          <w:sz w:val="24"/>
          <w:szCs w:val="24"/>
        </w:rPr>
        <w:t>联系方式：</w:t>
      </w:r>
      <w:r>
        <w:rPr>
          <w:rFonts w:ascii="宋体" w:hAnsi="宋体"/>
          <w:color w:val="auto"/>
          <w:sz w:val="24"/>
          <w:szCs w:val="24"/>
        </w:rPr>
        <w:t>15737221608</w:t>
      </w: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9.网</w:t>
      </w:r>
      <w:r>
        <w:rPr>
          <w:rFonts w:ascii="黑体" w:hAnsi="黑体" w:eastAsia="黑体"/>
          <w:b/>
          <w:color w:val="auto"/>
          <w:sz w:val="28"/>
          <w:szCs w:val="28"/>
        </w:rPr>
        <w:t>上</w:t>
      </w:r>
      <w:r>
        <w:rPr>
          <w:rFonts w:hint="eastAsia" w:ascii="黑体" w:hAnsi="黑体" w:eastAsia="黑体"/>
          <w:b/>
          <w:color w:val="auto"/>
          <w:sz w:val="28"/>
          <w:szCs w:val="28"/>
        </w:rPr>
        <w:t>电子交易提示：</w:t>
      </w:r>
      <w:r>
        <w:rPr>
          <w:rFonts w:ascii="黑体" w:hAnsi="黑体" w:eastAsia="黑体"/>
          <w:b/>
          <w:color w:val="auto"/>
          <w:sz w:val="28"/>
          <w:szCs w:val="28"/>
        </w:rPr>
        <w:t xml:space="preserve"> </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9</w:t>
      </w:r>
      <w:r>
        <w:rPr>
          <w:rFonts w:ascii="宋体" w:hAnsi="宋体"/>
          <w:color w:val="auto"/>
          <w:sz w:val="24"/>
          <w:szCs w:val="24"/>
        </w:rPr>
        <w:t>.1</w:t>
      </w:r>
      <w:r>
        <w:rPr>
          <w:rFonts w:hint="eastAsia" w:ascii="宋体" w:hAnsi="宋体"/>
          <w:color w:val="auto"/>
          <w:sz w:val="24"/>
          <w:szCs w:val="24"/>
        </w:rPr>
        <w:t xml:space="preserve"> 注</w:t>
      </w:r>
      <w:r>
        <w:rPr>
          <w:rFonts w:ascii="宋体" w:hAnsi="宋体"/>
          <w:color w:val="auto"/>
          <w:sz w:val="24"/>
          <w:szCs w:val="24"/>
        </w:rPr>
        <w:t>册</w:t>
      </w:r>
      <w:r>
        <w:rPr>
          <w:rFonts w:hint="eastAsia" w:ascii="宋体" w:hAnsi="宋体"/>
          <w:color w:val="auto"/>
          <w:sz w:val="24"/>
          <w:szCs w:val="24"/>
        </w:rPr>
        <w:t>：投标人完成注</w:t>
      </w:r>
      <w:r>
        <w:rPr>
          <w:rFonts w:ascii="宋体" w:hAnsi="宋体"/>
          <w:color w:val="auto"/>
          <w:sz w:val="24"/>
          <w:szCs w:val="24"/>
        </w:rPr>
        <w:t>册</w:t>
      </w:r>
      <w:r>
        <w:rPr>
          <w:rFonts w:hint="eastAsia" w:ascii="宋体" w:hAnsi="宋体"/>
          <w:color w:val="auto"/>
          <w:sz w:val="24"/>
          <w:szCs w:val="24"/>
        </w:rPr>
        <w:t>、办理数字证书后</w:t>
      </w:r>
      <w:r>
        <w:rPr>
          <w:rFonts w:ascii="宋体" w:hAnsi="宋体"/>
          <w:color w:val="auto"/>
          <w:sz w:val="24"/>
          <w:szCs w:val="24"/>
        </w:rPr>
        <w:t>，方可</w:t>
      </w:r>
      <w:r>
        <w:rPr>
          <w:rFonts w:hint="eastAsia" w:ascii="宋体" w:hAnsi="宋体"/>
          <w:color w:val="auto"/>
          <w:sz w:val="24"/>
          <w:szCs w:val="24"/>
        </w:rPr>
        <w:t>获</w:t>
      </w:r>
      <w:r>
        <w:rPr>
          <w:rFonts w:ascii="宋体" w:hAnsi="宋体"/>
          <w:color w:val="auto"/>
          <w:sz w:val="24"/>
          <w:szCs w:val="24"/>
        </w:rPr>
        <w:t>取</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参</w:t>
      </w:r>
      <w:r>
        <w:rPr>
          <w:rFonts w:ascii="宋体" w:hAnsi="宋体"/>
          <w:color w:val="auto"/>
          <w:sz w:val="24"/>
          <w:szCs w:val="24"/>
        </w:rPr>
        <w:t>加</w:t>
      </w:r>
      <w:r>
        <w:rPr>
          <w:rFonts w:hint="eastAsia" w:ascii="宋体" w:hAnsi="宋体"/>
          <w:color w:val="auto"/>
          <w:sz w:val="24"/>
          <w:szCs w:val="24"/>
        </w:rPr>
        <w:t>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9</w:t>
      </w:r>
      <w:r>
        <w:rPr>
          <w:rFonts w:hint="eastAsia" w:ascii="宋体" w:hAnsi="宋体"/>
          <w:color w:val="auto"/>
          <w:sz w:val="24"/>
          <w:szCs w:val="24"/>
        </w:rPr>
        <w:t>.2 获取招标文件：</w:t>
      </w:r>
      <w:r>
        <w:rPr>
          <w:rFonts w:ascii="宋体" w:hAnsi="宋体"/>
          <w:color w:val="auto"/>
          <w:sz w:val="24"/>
          <w:szCs w:val="24"/>
        </w:rPr>
        <w:t>按</w:t>
      </w:r>
      <w:r>
        <w:rPr>
          <w:rFonts w:hint="eastAsia" w:ascii="宋体" w:hAnsi="宋体"/>
          <w:color w:val="auto"/>
          <w:sz w:val="24"/>
          <w:szCs w:val="24"/>
        </w:rPr>
        <w:t>本</w:t>
      </w:r>
      <w:r>
        <w:rPr>
          <w:rFonts w:ascii="宋体" w:hAnsi="宋体"/>
          <w:color w:val="auto"/>
          <w:sz w:val="24"/>
          <w:szCs w:val="24"/>
        </w:rPr>
        <w:t>章第</w:t>
      </w:r>
      <w:r>
        <w:rPr>
          <w:rFonts w:hint="eastAsia" w:ascii="宋体" w:hAnsi="宋体"/>
          <w:color w:val="auto"/>
          <w:sz w:val="24"/>
          <w:szCs w:val="24"/>
        </w:rPr>
        <w:t>3条</w:t>
      </w:r>
      <w:r>
        <w:rPr>
          <w:rFonts w:ascii="宋体" w:hAnsi="宋体"/>
          <w:color w:val="auto"/>
          <w:sz w:val="24"/>
          <w:szCs w:val="24"/>
        </w:rPr>
        <w:t>“</w:t>
      </w:r>
      <w:r>
        <w:rPr>
          <w:rFonts w:hint="eastAsia" w:ascii="宋体" w:hAnsi="宋体"/>
          <w:color w:val="auto"/>
          <w:sz w:val="24"/>
          <w:szCs w:val="24"/>
        </w:rPr>
        <w:t>获取招标文件</w:t>
      </w:r>
      <w:r>
        <w:rPr>
          <w:rFonts w:ascii="宋体" w:hAnsi="宋体"/>
          <w:color w:val="auto"/>
          <w:sz w:val="24"/>
          <w:szCs w:val="24"/>
        </w:rPr>
        <w:t>”</w:t>
      </w:r>
      <w:r>
        <w:rPr>
          <w:rFonts w:hint="eastAsia" w:ascii="宋体" w:hAnsi="宋体"/>
          <w:color w:val="auto"/>
          <w:sz w:val="24"/>
          <w:szCs w:val="24"/>
        </w:rPr>
        <w:t>办</w:t>
      </w:r>
      <w:r>
        <w:rPr>
          <w:rFonts w:ascii="宋体" w:hAnsi="宋体"/>
          <w:color w:val="auto"/>
          <w:sz w:val="24"/>
          <w:szCs w:val="24"/>
        </w:rPr>
        <w:t>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color w:val="auto"/>
          <w:sz w:val="24"/>
          <w:szCs w:val="24"/>
        </w:rPr>
        <w:t>9</w:t>
      </w:r>
      <w:r>
        <w:rPr>
          <w:rFonts w:hint="eastAsia" w:ascii="宋体" w:hAnsi="宋体"/>
          <w:color w:val="auto"/>
          <w:sz w:val="24"/>
          <w:szCs w:val="24"/>
        </w:rPr>
        <w:t>.3 招标文件的澄清与修改或延期的</w:t>
      </w:r>
      <w:r>
        <w:rPr>
          <w:rFonts w:ascii="宋体" w:hAnsi="宋体"/>
          <w:color w:val="auto"/>
          <w:sz w:val="24"/>
          <w:szCs w:val="24"/>
        </w:rPr>
        <w:t>通知</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2</w:t>
      </w:r>
      <w:r>
        <w:rPr>
          <w:rFonts w:hint="eastAsia" w:ascii="宋体" w:hAnsi="宋体"/>
          <w:color w:val="auto"/>
          <w:sz w:val="24"/>
          <w:szCs w:val="24"/>
        </w:rPr>
        <w:t>条“2.4 招标文件的澄清、修改、补充的通知，及相应时间变更</w:t>
      </w:r>
      <w:r>
        <w:rPr>
          <w:rFonts w:ascii="宋体" w:hAnsi="宋体"/>
          <w:color w:val="auto"/>
          <w:sz w:val="24"/>
          <w:szCs w:val="24"/>
        </w:rPr>
        <w:t>”执行</w:t>
      </w:r>
      <w:r>
        <w:rPr>
          <w:rFonts w:hint="eastAsia" w:ascii="宋体" w:hAnsi="宋体"/>
          <w:color w:val="auto"/>
          <w:sz w:val="24"/>
          <w:szCs w:val="24"/>
        </w:rPr>
        <w:t>。</w:t>
      </w:r>
      <w:r>
        <w:rPr>
          <w:rFonts w:hint="eastAsia" w:ascii="黑体" w:hAnsi="黑体" w:eastAsia="黑体" w:cs="楷体_GB2312"/>
          <w:b/>
          <w:color w:val="auto"/>
          <w:sz w:val="24"/>
          <w:lang w:val="zh-CN"/>
        </w:rPr>
        <w:t>不</w:t>
      </w:r>
      <w:r>
        <w:rPr>
          <w:rFonts w:ascii="黑体" w:hAnsi="黑体" w:eastAsia="黑体" w:cs="楷体_GB2312"/>
          <w:b/>
          <w:color w:val="auto"/>
          <w:sz w:val="24"/>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color w:val="auto"/>
          <w:sz w:val="24"/>
          <w:szCs w:val="24"/>
        </w:rPr>
        <w:t>9</w:t>
      </w:r>
      <w:r>
        <w:rPr>
          <w:rFonts w:ascii="宋体" w:hAnsi="宋体"/>
          <w:color w:val="auto"/>
          <w:sz w:val="24"/>
          <w:szCs w:val="24"/>
        </w:rPr>
        <w:t>.4</w:t>
      </w:r>
      <w:r>
        <w:rPr>
          <w:rFonts w:hint="eastAsia" w:ascii="宋体" w:hAnsi="宋体"/>
          <w:color w:val="auto"/>
          <w:sz w:val="24"/>
          <w:szCs w:val="24"/>
        </w:rPr>
        <w:t xml:space="preserve"> 投标文件编制：在安阳市公共资源交易系统内按</w:t>
      </w:r>
      <w:r>
        <w:rPr>
          <w:rFonts w:ascii="宋体" w:hAnsi="宋体"/>
          <w:color w:val="auto"/>
          <w:sz w:val="24"/>
          <w:szCs w:val="24"/>
        </w:rPr>
        <w:t>“</w:t>
      </w:r>
      <w:r>
        <w:rPr>
          <w:rFonts w:hint="eastAsia" w:ascii="宋体" w:hAnsi="宋体"/>
          <w:color w:val="auto"/>
          <w:sz w:val="24"/>
          <w:szCs w:val="24"/>
        </w:rPr>
        <w:t>安</w:t>
      </w:r>
      <w:r>
        <w:rPr>
          <w:rFonts w:ascii="宋体" w:hAnsi="宋体"/>
          <w:color w:val="auto"/>
          <w:sz w:val="24"/>
          <w:szCs w:val="24"/>
        </w:rPr>
        <w:t>阳市</w:t>
      </w:r>
      <w:r>
        <w:rPr>
          <w:rFonts w:hint="eastAsia" w:ascii="宋体" w:hAnsi="宋体"/>
          <w:color w:val="auto"/>
          <w:sz w:val="24"/>
          <w:szCs w:val="24"/>
        </w:rPr>
        <w:t>政府采购投标文件编制系统</w:t>
      </w:r>
      <w:r>
        <w:rPr>
          <w:rFonts w:ascii="宋体" w:hAnsi="宋体"/>
          <w:color w:val="auto"/>
          <w:sz w:val="24"/>
          <w:szCs w:val="24"/>
        </w:rPr>
        <w:t>”</w:t>
      </w:r>
      <w:r>
        <w:rPr>
          <w:rFonts w:hint="eastAsia" w:ascii="宋体" w:hAnsi="宋体"/>
          <w:color w:val="auto"/>
          <w:sz w:val="24"/>
          <w:szCs w:val="24"/>
        </w:rPr>
        <w:t>编制，按《招标文件》第三章“投标人须知”第3条第</w:t>
      </w:r>
      <w:r>
        <w:rPr>
          <w:rFonts w:ascii="宋体" w:hAnsi="宋体"/>
          <w:color w:val="auto"/>
          <w:sz w:val="24"/>
          <w:szCs w:val="24"/>
        </w:rPr>
        <w:t>7</w:t>
      </w:r>
      <w:r>
        <w:rPr>
          <w:rFonts w:hint="eastAsia" w:ascii="宋体" w:hAnsi="宋体"/>
          <w:color w:val="auto"/>
          <w:sz w:val="24"/>
          <w:szCs w:val="24"/>
        </w:rPr>
        <w:t>款“</w:t>
      </w:r>
      <w:r>
        <w:rPr>
          <w:rFonts w:ascii="宋体" w:hAnsi="宋体"/>
          <w:color w:val="auto"/>
          <w:sz w:val="24"/>
          <w:szCs w:val="24"/>
        </w:rPr>
        <w:t>3.7</w:t>
      </w:r>
      <w:r>
        <w:rPr>
          <w:rFonts w:hint="eastAsia" w:ascii="宋体" w:hAnsi="宋体"/>
          <w:color w:val="auto"/>
          <w:sz w:val="24"/>
          <w:szCs w:val="24"/>
        </w:rPr>
        <w:t>投标文件的编制”执行，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color w:val="auto"/>
          <w:sz w:val="24"/>
          <w:szCs w:val="24"/>
        </w:rPr>
        <w:t>9</w:t>
      </w:r>
      <w:r>
        <w:rPr>
          <w:rFonts w:hint="eastAsia" w:ascii="宋体" w:hAnsi="宋体"/>
          <w:color w:val="auto"/>
          <w:sz w:val="24"/>
          <w:szCs w:val="24"/>
        </w:rPr>
        <w:t>.5</w:t>
      </w:r>
      <w:r>
        <w:rPr>
          <w:rFonts w:hint="eastAsia" w:ascii="宋体"/>
          <w:color w:val="auto"/>
          <w:sz w:val="24"/>
          <w:szCs w:val="24"/>
        </w:rPr>
        <w:t>投标文件递交：</w:t>
      </w:r>
      <w:r>
        <w:rPr>
          <w:rFonts w:hint="eastAsia" w:ascii="宋体" w:hAnsi="宋体"/>
          <w:color w:val="auto"/>
          <w:sz w:val="24"/>
          <w:szCs w:val="24"/>
        </w:rPr>
        <w:t>在安阳市公共资源交易系统上传</w:t>
      </w:r>
      <w:r>
        <w:rPr>
          <w:rFonts w:ascii="宋体" w:hAnsi="宋体"/>
          <w:color w:val="auto"/>
          <w:sz w:val="24"/>
          <w:szCs w:val="24"/>
        </w:rPr>
        <w:t>、</w:t>
      </w:r>
      <w:r>
        <w:rPr>
          <w:rFonts w:hint="eastAsia" w:ascii="宋体" w:hAnsi="宋体"/>
          <w:color w:val="auto"/>
          <w:sz w:val="24"/>
          <w:szCs w:val="24"/>
        </w:rPr>
        <w:t>并签名及</w:t>
      </w:r>
      <w:r>
        <w:rPr>
          <w:rFonts w:ascii="宋体" w:hAnsi="宋体"/>
          <w:color w:val="auto"/>
          <w:sz w:val="24"/>
          <w:szCs w:val="24"/>
        </w:rPr>
        <w:t>加密</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4</w:t>
      </w:r>
      <w:r>
        <w:rPr>
          <w:rFonts w:hint="eastAsia" w:ascii="宋体" w:hAnsi="宋体"/>
          <w:color w:val="auto"/>
          <w:sz w:val="24"/>
          <w:szCs w:val="24"/>
        </w:rPr>
        <w:t>条</w:t>
      </w:r>
      <w:r>
        <w:rPr>
          <w:rFonts w:ascii="宋体" w:hAnsi="宋体"/>
          <w:color w:val="auto"/>
          <w:sz w:val="24"/>
          <w:szCs w:val="24"/>
        </w:rPr>
        <w:t xml:space="preserve"> “</w:t>
      </w:r>
      <w:r>
        <w:rPr>
          <w:rFonts w:hint="eastAsia" w:ascii="宋体" w:hAnsi="宋体"/>
          <w:color w:val="auto"/>
          <w:sz w:val="24"/>
          <w:szCs w:val="24"/>
        </w:rPr>
        <w:t>4. 投标”</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9.</w:t>
      </w:r>
      <w:r>
        <w:rPr>
          <w:rFonts w:ascii="宋体"/>
          <w:color w:val="auto"/>
          <w:sz w:val="24"/>
          <w:szCs w:val="24"/>
        </w:rPr>
        <w:t>6</w:t>
      </w:r>
      <w:r>
        <w:rPr>
          <w:rFonts w:hint="eastAsia" w:ascii="宋体"/>
          <w:color w:val="auto"/>
          <w:sz w:val="24"/>
          <w:szCs w:val="24"/>
        </w:rPr>
        <w:t>投标文件</w:t>
      </w:r>
      <w:r>
        <w:rPr>
          <w:rFonts w:hint="eastAsia" w:ascii="宋体" w:hAnsi="宋体"/>
          <w:color w:val="auto"/>
          <w:sz w:val="24"/>
          <w:szCs w:val="24"/>
        </w:rPr>
        <w:t>解密</w:t>
      </w:r>
      <w:r>
        <w:rPr>
          <w:rFonts w:hint="eastAsia" w:ascii="宋体"/>
          <w:color w:val="auto"/>
          <w:sz w:val="24"/>
          <w:szCs w:val="24"/>
        </w:rPr>
        <w:t>：</w:t>
      </w:r>
      <w:r>
        <w:rPr>
          <w:rFonts w:hint="eastAsia" w:ascii="宋体" w:hAnsi="宋体"/>
          <w:color w:val="auto"/>
          <w:sz w:val="24"/>
          <w:szCs w:val="24"/>
        </w:rPr>
        <w:t>供应商需在开标前登录“安阳市公共资源交易系统（投标方）”并进入本项目相匹配的网上开标室，在规定时限内解密投标文件，</w:t>
      </w:r>
      <w:r>
        <w:rPr>
          <w:rFonts w:ascii="宋体" w:hAnsi="宋体"/>
          <w:color w:val="auto"/>
          <w:sz w:val="24"/>
          <w:szCs w:val="24"/>
        </w:rPr>
        <w:t>按</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ascii="宋体" w:hAnsi="宋体"/>
          <w:color w:val="auto"/>
          <w:sz w:val="24"/>
          <w:szCs w:val="24"/>
        </w:rPr>
        <w:t xml:space="preserve">“5 </w:t>
      </w:r>
      <w:r>
        <w:rPr>
          <w:rFonts w:hint="eastAsia" w:ascii="宋体"/>
          <w:color w:val="auto"/>
          <w:sz w:val="24"/>
          <w:szCs w:val="24"/>
        </w:rPr>
        <w:t>开标</w:t>
      </w:r>
      <w:r>
        <w:rPr>
          <w:rFonts w:hint="eastAsia" w:ascii="宋体" w:hAnsi="宋体"/>
          <w:color w:val="auto"/>
          <w:sz w:val="24"/>
          <w:szCs w:val="24"/>
        </w:rPr>
        <w:t>”</w:t>
      </w:r>
      <w:r>
        <w:rPr>
          <w:rFonts w:ascii="宋体" w:hAnsi="宋体"/>
          <w:color w:val="auto"/>
          <w:sz w:val="24"/>
          <w:szCs w:val="24"/>
        </w:rPr>
        <w:t>执行，</w:t>
      </w:r>
      <w:r>
        <w:rPr>
          <w:rFonts w:hint="eastAsia" w:ascii="宋体" w:hAnsi="宋体" w:cs="楷体_GB2312"/>
          <w:color w:val="auto"/>
          <w:sz w:val="24"/>
          <w:lang w:val="zh-CN"/>
        </w:rPr>
        <w:t>否</w:t>
      </w:r>
      <w:r>
        <w:rPr>
          <w:rFonts w:ascii="宋体" w:hAnsi="宋体" w:cs="楷体_GB2312"/>
          <w:color w:val="auto"/>
          <w:sz w:val="24"/>
          <w:lang w:val="zh-CN"/>
        </w:rPr>
        <w:t>则</w:t>
      </w:r>
      <w:r>
        <w:rPr>
          <w:rFonts w:hint="eastAsia" w:ascii="宋体" w:hAnsi="宋体" w:cs="楷体_GB2312"/>
          <w:color w:val="auto"/>
          <w:sz w:val="24"/>
          <w:lang w:val="zh-CN"/>
        </w:rPr>
        <w:t>其投标将不能被接受</w:t>
      </w:r>
      <w:r>
        <w:rPr>
          <w:rFonts w:ascii="宋体" w:hAnsi="宋体" w:cs="楷体_GB2312"/>
          <w:color w:val="auto"/>
          <w:sz w:val="24"/>
          <w:lang w:val="zh-CN"/>
        </w:rPr>
        <w:t>。</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9.7政府采购电子交易中，投标人网上电子交易的系统操作规则应以安阳市公共资源交易平台即时发布的相关规则为准。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color w:val="auto"/>
          <w:sz w:val="24"/>
          <w:szCs w:val="24"/>
        </w:rPr>
      </w:pPr>
      <w:r>
        <w:rPr>
          <w:rFonts w:hint="eastAsia" w:ascii="宋体" w:hAnsi="宋体"/>
          <w:color w:val="auto"/>
          <w:sz w:val="24"/>
          <w:szCs w:val="24"/>
        </w:rPr>
        <w:t>9.8望投标人充分熟悉网上电子交易操作流程、以便有效投标。</w:t>
      </w:r>
    </w:p>
    <w:p>
      <w:pPr>
        <w:widowControl w:val="0"/>
        <w:tabs>
          <w:tab w:val="left" w:pos="39"/>
          <w:tab w:val="left" w:pos="96"/>
        </w:tabs>
        <w:snapToGrid w:val="0"/>
        <w:spacing w:line="360" w:lineRule="auto"/>
        <w:ind w:firstLine="540" w:firstLineChars="225"/>
        <w:rPr>
          <w:rFonts w:ascii="宋体"/>
          <w:color w:val="auto"/>
          <w:sz w:val="24"/>
          <w:szCs w:val="24"/>
        </w:rPr>
      </w:pPr>
    </w:p>
    <w:p>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安阳市方正招标采购服务有限责任公司</w:t>
      </w:r>
    </w:p>
    <w:p>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二〇二四年一月二十三日</w:t>
      </w:r>
    </w:p>
    <w:p>
      <w:pPr>
        <w:widowControl w:val="0"/>
        <w:tabs>
          <w:tab w:val="left" w:pos="39"/>
          <w:tab w:val="left" w:pos="96"/>
        </w:tabs>
        <w:snapToGrid w:val="0"/>
        <w:spacing w:line="360" w:lineRule="auto"/>
        <w:ind w:firstLine="630" w:firstLineChars="225"/>
        <w:rPr>
          <w:rFonts w:eastAsia="方正黑体简体"/>
          <w:color w:val="auto"/>
          <w:sz w:val="28"/>
          <w:szCs w:val="28"/>
        </w:rPr>
      </w:pPr>
      <w:r>
        <w:rPr>
          <w:rFonts w:eastAsia="方正黑体简体"/>
          <w:color w:val="auto"/>
          <w:sz w:val="28"/>
          <w:szCs w:val="28"/>
        </w:rPr>
        <w:br w:type="page"/>
      </w:r>
    </w:p>
    <w:p>
      <w:pPr>
        <w:widowControl w:val="0"/>
        <w:snapToGrid w:val="0"/>
        <w:spacing w:line="360" w:lineRule="auto"/>
        <w:jc w:val="center"/>
        <w:outlineLvl w:val="0"/>
        <w:rPr>
          <w:rFonts w:eastAsia="方正黑体简体"/>
          <w:color w:val="auto"/>
          <w:sz w:val="36"/>
          <w:szCs w:val="36"/>
        </w:rPr>
      </w:pPr>
      <w:bookmarkStart w:id="21" w:name="_Toc153542582"/>
      <w:r>
        <w:rPr>
          <w:rFonts w:hint="eastAsia" w:eastAsia="黑体"/>
          <w:b/>
          <w:color w:val="auto"/>
          <w:sz w:val="36"/>
          <w:szCs w:val="36"/>
        </w:rPr>
        <w:t>第二章</w:t>
      </w:r>
      <w:r>
        <w:rPr>
          <w:rFonts w:eastAsia="黑体"/>
          <w:b/>
          <w:color w:val="auto"/>
          <w:sz w:val="36"/>
          <w:szCs w:val="36"/>
        </w:rPr>
        <w:t xml:space="preserve">  </w:t>
      </w:r>
      <w:r>
        <w:rPr>
          <w:rFonts w:hint="eastAsia" w:eastAsia="黑体"/>
          <w:b/>
          <w:color w:val="auto"/>
          <w:sz w:val="36"/>
          <w:szCs w:val="36"/>
        </w:rPr>
        <w:t>招标项目要求及采购需求</w:t>
      </w:r>
      <w:bookmarkEnd w:id="21"/>
    </w:p>
    <w:p>
      <w:pPr>
        <w:widowControl w:val="0"/>
        <w:snapToGrid w:val="0"/>
        <w:spacing w:line="360" w:lineRule="auto"/>
        <w:jc w:val="center"/>
        <w:rPr>
          <w:b/>
          <w:color w:val="auto"/>
          <w:sz w:val="28"/>
        </w:rPr>
      </w:pPr>
    </w:p>
    <w:p>
      <w:pPr>
        <w:widowControl w:val="0"/>
        <w:snapToGrid w:val="0"/>
        <w:spacing w:line="360" w:lineRule="auto"/>
        <w:ind w:firstLine="422" w:firstLineChars="150"/>
        <w:jc w:val="left"/>
        <w:outlineLvl w:val="1"/>
        <w:rPr>
          <w:rFonts w:ascii="黑体" w:hAnsi="黑体" w:eastAsia="黑体"/>
          <w:b/>
          <w:color w:val="auto"/>
          <w:sz w:val="28"/>
        </w:rPr>
      </w:pPr>
      <w:bookmarkStart w:id="22" w:name="_Toc153542583"/>
      <w:r>
        <w:rPr>
          <w:rFonts w:ascii="黑体" w:hAnsi="黑体" w:eastAsia="黑体"/>
          <w:b/>
          <w:color w:val="auto"/>
          <w:sz w:val="28"/>
        </w:rPr>
        <w:t xml:space="preserve">1. </w:t>
      </w:r>
      <w:r>
        <w:rPr>
          <w:rFonts w:hint="eastAsia" w:ascii="黑体" w:hAnsi="黑体" w:eastAsia="黑体"/>
          <w:b/>
          <w:color w:val="auto"/>
          <w:sz w:val="28"/>
        </w:rPr>
        <w:t>招标项目、标段（包）划分、投标报价</w:t>
      </w:r>
      <w:bookmarkEnd w:id="22"/>
    </w:p>
    <w:p>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招标项目名称</w:t>
      </w:r>
      <w:r>
        <w:rPr>
          <w:rFonts w:hint="eastAsia"/>
          <w:color w:val="auto"/>
          <w:sz w:val="24"/>
          <w:szCs w:val="24"/>
        </w:rPr>
        <w:t>：</w:t>
      </w:r>
      <w:r>
        <w:rPr>
          <w:rFonts w:hint="eastAsia" w:ascii="宋体" w:hAnsi="宋体"/>
          <w:color w:val="auto"/>
          <w:sz w:val="24"/>
          <w:szCs w:val="24"/>
        </w:rPr>
        <w:t>安阳市自然资源和规划局安阳市2023至2025年国土空间监测及国土变更调查市级核查项目（二次）</w:t>
      </w:r>
    </w:p>
    <w:p>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标段（包）划分及其交付（实施）期交付（实施）地点</w:t>
      </w:r>
      <w:r>
        <w:rPr>
          <w:rFonts w:hint="eastAsia"/>
          <w:color w:val="auto"/>
          <w:sz w:val="24"/>
          <w:szCs w:val="24"/>
        </w:rPr>
        <w:t>：本次招标项目划分为</w:t>
      </w:r>
      <w:r>
        <w:rPr>
          <w:color w:val="auto"/>
          <w:sz w:val="24"/>
          <w:szCs w:val="24"/>
        </w:rPr>
        <w:t>1</w:t>
      </w:r>
      <w:r>
        <w:rPr>
          <w:rFonts w:hint="eastAsia"/>
          <w:color w:val="auto"/>
          <w:sz w:val="24"/>
          <w:szCs w:val="24"/>
        </w:rPr>
        <w:t>个标段（包）。</w:t>
      </w:r>
    </w:p>
    <w:tbl>
      <w:tblPr>
        <w:tblStyle w:val="19"/>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639"/>
        <w:gridCol w:w="1819"/>
        <w:gridCol w:w="354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709" w:type="dxa"/>
            <w:gridSpan w:val="5"/>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26" w:type="dxa"/>
            <w:vAlign w:val="center"/>
          </w:tcPr>
          <w:p>
            <w:pPr>
              <w:widowControl w:val="0"/>
              <w:snapToGrid w:val="0"/>
              <w:spacing w:line="240" w:lineRule="auto"/>
              <w:jc w:val="center"/>
              <w:rPr>
                <w:b/>
                <w:color w:val="auto"/>
                <w:sz w:val="24"/>
                <w:szCs w:val="24"/>
              </w:rPr>
            </w:pPr>
            <w:r>
              <w:rPr>
                <w:rFonts w:hint="eastAsia"/>
                <w:b/>
                <w:color w:val="auto"/>
                <w:sz w:val="24"/>
                <w:szCs w:val="24"/>
              </w:rPr>
              <w:t>项目名称</w:t>
            </w:r>
          </w:p>
        </w:tc>
        <w:tc>
          <w:tcPr>
            <w:tcW w:w="1639" w:type="dxa"/>
            <w:vAlign w:val="center"/>
          </w:tcPr>
          <w:p>
            <w:pPr>
              <w:widowControl w:val="0"/>
              <w:snapToGrid w:val="0"/>
              <w:spacing w:line="240" w:lineRule="auto"/>
              <w:jc w:val="center"/>
              <w:rPr>
                <w:b/>
                <w:color w:val="auto"/>
                <w:sz w:val="24"/>
                <w:szCs w:val="24"/>
              </w:rPr>
            </w:pPr>
            <w:r>
              <w:rPr>
                <w:rFonts w:hint="eastAsia"/>
                <w:b/>
                <w:color w:val="auto"/>
                <w:sz w:val="24"/>
                <w:szCs w:val="24"/>
              </w:rPr>
              <w:t>标段（包）名称</w:t>
            </w:r>
          </w:p>
        </w:tc>
        <w:tc>
          <w:tcPr>
            <w:tcW w:w="1819" w:type="dxa"/>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标段（包）内容（范围）</w:t>
            </w:r>
          </w:p>
        </w:tc>
        <w:tc>
          <w:tcPr>
            <w:tcW w:w="3544"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pPr>
              <w:widowControl w:val="0"/>
              <w:snapToGrid w:val="0"/>
              <w:spacing w:line="240" w:lineRule="auto"/>
              <w:jc w:val="center"/>
              <w:rPr>
                <w:b/>
                <w:color w:val="auto"/>
                <w:sz w:val="24"/>
                <w:szCs w:val="24"/>
              </w:rPr>
            </w:pPr>
            <w:r>
              <w:rPr>
                <w:rFonts w:hint="eastAsia" w:ascii="宋体" w:hAnsi="宋体"/>
                <w:b/>
                <w:color w:val="auto"/>
                <w:sz w:val="24"/>
                <w:szCs w:val="24"/>
              </w:rPr>
              <w:t>（交付&lt;实施&gt;期）</w:t>
            </w:r>
          </w:p>
        </w:tc>
        <w:tc>
          <w:tcPr>
            <w:tcW w:w="1181"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交付（实施）地点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526" w:type="dxa"/>
            <w:vAlign w:val="center"/>
          </w:tcPr>
          <w:p>
            <w:pPr>
              <w:widowControl w:val="0"/>
              <w:adjustRightInd w:val="0"/>
              <w:snapToGrid w:val="0"/>
              <w:spacing w:line="240" w:lineRule="auto"/>
              <w:rPr>
                <w:color w:val="auto"/>
                <w:sz w:val="24"/>
                <w:szCs w:val="24"/>
              </w:rPr>
            </w:pPr>
            <w:r>
              <w:rPr>
                <w:rFonts w:hint="eastAsia" w:ascii="宋体" w:hAnsi="宋体"/>
                <w:color w:val="auto"/>
                <w:sz w:val="24"/>
                <w:szCs w:val="24"/>
              </w:rPr>
              <w:t>安阳市自然资源和规划局安阳市2023至2025年国土空间监测及国土变更调查市级核查项目（二次）</w:t>
            </w:r>
          </w:p>
        </w:tc>
        <w:tc>
          <w:tcPr>
            <w:tcW w:w="1639" w:type="dxa"/>
            <w:vAlign w:val="center"/>
          </w:tcPr>
          <w:p>
            <w:pPr>
              <w:widowControl w:val="0"/>
              <w:adjustRightInd w:val="0"/>
              <w:snapToGrid w:val="0"/>
              <w:spacing w:line="240" w:lineRule="auto"/>
              <w:rPr>
                <w:color w:val="auto"/>
                <w:sz w:val="24"/>
                <w:szCs w:val="24"/>
              </w:rPr>
            </w:pPr>
            <w:r>
              <w:rPr>
                <w:rFonts w:hint="eastAsia"/>
                <w:color w:val="auto"/>
                <w:sz w:val="24"/>
                <w:szCs w:val="24"/>
              </w:rPr>
              <w:t>同项目名称</w:t>
            </w:r>
          </w:p>
        </w:tc>
        <w:tc>
          <w:tcPr>
            <w:tcW w:w="1819" w:type="dxa"/>
            <w:vAlign w:val="center"/>
          </w:tcPr>
          <w:p>
            <w:pPr>
              <w:widowControl w:val="0"/>
              <w:adjustRightInd w:val="0"/>
              <w:snapToGrid w:val="0"/>
              <w:spacing w:line="240" w:lineRule="auto"/>
              <w:rPr>
                <w:color w:val="auto"/>
                <w:sz w:val="24"/>
                <w:szCs w:val="24"/>
              </w:rPr>
            </w:pPr>
            <w:r>
              <w:rPr>
                <w:rFonts w:hint="eastAsia"/>
                <w:color w:val="auto"/>
                <w:sz w:val="24"/>
                <w:szCs w:val="24"/>
              </w:rPr>
              <w:t>见“第二章第</w:t>
            </w:r>
            <w:r>
              <w:rPr>
                <w:color w:val="auto"/>
                <w:sz w:val="24"/>
                <w:szCs w:val="24"/>
              </w:rPr>
              <w:t>2</w:t>
            </w:r>
            <w:r>
              <w:rPr>
                <w:rFonts w:hint="eastAsia"/>
                <w:color w:val="auto"/>
                <w:sz w:val="24"/>
                <w:szCs w:val="24"/>
              </w:rPr>
              <w:t>条：标段（包）内容（范围）及具体采购需求”</w:t>
            </w:r>
          </w:p>
        </w:tc>
        <w:tc>
          <w:tcPr>
            <w:tcW w:w="3544" w:type="dxa"/>
            <w:vAlign w:val="center"/>
          </w:tcPr>
          <w:p>
            <w:pPr>
              <w:widowControl w:val="0"/>
              <w:adjustRightInd w:val="0"/>
              <w:snapToGrid w:val="0"/>
              <w:spacing w:line="240" w:lineRule="auto"/>
              <w:rPr>
                <w:color w:val="auto"/>
                <w:sz w:val="24"/>
                <w:szCs w:val="24"/>
              </w:rPr>
            </w:pPr>
            <w:r>
              <w:rPr>
                <w:rFonts w:hint="eastAsia"/>
                <w:color w:val="auto"/>
                <w:sz w:val="24"/>
                <w:szCs w:val="24"/>
              </w:rPr>
              <w:t>三年，合同签订后20日内提交2023国土空间监测项目正式成果 ，40日内完成2023国土变更调查市级核查项目市级初步成果汇总，并于2</w:t>
            </w:r>
            <w:r>
              <w:rPr>
                <w:color w:val="auto"/>
                <w:sz w:val="24"/>
                <w:szCs w:val="24"/>
              </w:rPr>
              <w:t>024</w:t>
            </w:r>
            <w:r>
              <w:rPr>
                <w:rFonts w:hint="eastAsia"/>
                <w:color w:val="auto"/>
                <w:sz w:val="24"/>
                <w:szCs w:val="24"/>
              </w:rPr>
              <w:t xml:space="preserve">年8月底前完成全市数据的后续核查和数据库汇总工作；2024-2025年成果按照河南省自然资源厅要求时间提交成果。   </w:t>
            </w:r>
          </w:p>
        </w:tc>
        <w:tc>
          <w:tcPr>
            <w:tcW w:w="1181" w:type="dxa"/>
            <w:vAlign w:val="center"/>
          </w:tcPr>
          <w:p>
            <w:pPr>
              <w:widowControl w:val="0"/>
              <w:adjustRightInd w:val="0"/>
              <w:snapToGrid w:val="0"/>
              <w:spacing w:line="240" w:lineRule="auto"/>
              <w:rPr>
                <w:color w:val="auto"/>
                <w:sz w:val="24"/>
                <w:szCs w:val="24"/>
              </w:rPr>
            </w:pPr>
            <w:r>
              <w:rPr>
                <w:rFonts w:hint="eastAsia"/>
                <w:color w:val="auto"/>
                <w:sz w:val="24"/>
                <w:szCs w:val="24"/>
              </w:rPr>
              <w:t>采购人指定地点</w:t>
            </w:r>
          </w:p>
        </w:tc>
      </w:tr>
    </w:tbl>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rPr>
        <w:t>投标报价（价格构成）</w:t>
      </w:r>
    </w:p>
    <w:p>
      <w:pPr>
        <w:widowControl w:val="0"/>
        <w:snapToGrid w:val="0"/>
        <w:spacing w:line="360" w:lineRule="auto"/>
        <w:ind w:firstLine="480" w:firstLineChars="200"/>
        <w:jc w:val="left"/>
        <w:rPr>
          <w:color w:val="auto"/>
          <w:sz w:val="24"/>
          <w:szCs w:val="24"/>
        </w:rPr>
      </w:pPr>
      <w:r>
        <w:rPr>
          <w:color w:val="auto"/>
          <w:sz w:val="24"/>
          <w:szCs w:val="24"/>
        </w:rPr>
        <w:t>1.3.1</w:t>
      </w:r>
      <w:r>
        <w:rPr>
          <w:rFonts w:hint="eastAsia"/>
          <w:color w:val="auto"/>
          <w:sz w:val="24"/>
          <w:szCs w:val="24"/>
        </w:rPr>
        <w:t>投标人的投标报价应为达到服务要求下的目的地交验价，包括人工费、相关税费、交通费、材料费、知识产权（如有）、保险（如需）、所涉货物包装、技术服务费等与招标项目（标段&lt;包&gt;）相关的、必须的款项及费用（包括未列明而完成交验所必须的所有费用、材料、工具、设施）。</w:t>
      </w:r>
      <w:r>
        <w:rPr>
          <w:rFonts w:hint="eastAsia" w:ascii="宋体" w:hAnsi="宋体"/>
          <w:color w:val="auto"/>
          <w:sz w:val="24"/>
          <w:szCs w:val="24"/>
        </w:rPr>
        <w:t>中标价格在中标合同范围内固定不变。</w:t>
      </w:r>
    </w:p>
    <w:p>
      <w:pPr>
        <w:widowControl w:val="0"/>
        <w:snapToGrid w:val="0"/>
        <w:spacing w:line="360" w:lineRule="auto"/>
        <w:ind w:firstLine="480" w:firstLineChars="200"/>
        <w:jc w:val="left"/>
        <w:rPr>
          <w:color w:val="auto"/>
          <w:sz w:val="24"/>
          <w:szCs w:val="24"/>
        </w:rPr>
      </w:pPr>
      <w:r>
        <w:rPr>
          <w:color w:val="auto"/>
          <w:sz w:val="24"/>
          <w:szCs w:val="24"/>
        </w:rPr>
        <w:t>1.3.2</w:t>
      </w:r>
      <w:r>
        <w:rPr>
          <w:rFonts w:hint="eastAsia"/>
          <w:color w:val="auto"/>
          <w:sz w:val="24"/>
          <w:szCs w:val="24"/>
        </w:rPr>
        <w:t>投标报价为一次性报价，报价时间截止后对投标报价的任何承诺、修改，除法定修正或招标文件规定修正情形外，评标委员会将不予考虑。</w:t>
      </w:r>
    </w:p>
    <w:p>
      <w:pPr>
        <w:widowControl w:val="0"/>
        <w:snapToGrid w:val="0"/>
        <w:spacing w:line="360" w:lineRule="auto"/>
        <w:ind w:firstLine="480" w:firstLineChars="200"/>
        <w:jc w:val="left"/>
        <w:rPr>
          <w:color w:val="auto"/>
          <w:sz w:val="24"/>
          <w:szCs w:val="24"/>
        </w:rPr>
      </w:pPr>
      <w:r>
        <w:rPr>
          <w:color w:val="auto"/>
          <w:sz w:val="24"/>
          <w:szCs w:val="24"/>
        </w:rPr>
        <w:t xml:space="preserve">1.3.3 </w:t>
      </w:r>
      <w:r>
        <w:rPr>
          <w:rFonts w:hint="eastAsia"/>
          <w:color w:val="auto"/>
          <w:sz w:val="24"/>
          <w:szCs w:val="24"/>
        </w:rPr>
        <w:t>如投标人的投标报价未超过</w:t>
      </w:r>
      <w:r>
        <w:rPr>
          <w:rFonts w:hint="eastAsia" w:ascii="宋体" w:hAnsi="宋体" w:cs="楷体_GB2312"/>
          <w:bCs/>
          <w:color w:val="auto"/>
          <w:sz w:val="24"/>
          <w:lang w:val="zh-CN"/>
        </w:rPr>
        <w:t>预算金额</w:t>
      </w:r>
      <w:r>
        <w:rPr>
          <w:rFonts w:hint="eastAsia"/>
          <w:color w:val="auto"/>
          <w:sz w:val="24"/>
          <w:szCs w:val="24"/>
        </w:rPr>
        <w:t>（见招标公告</w:t>
      </w:r>
      <w:r>
        <w:rPr>
          <w:color w:val="auto"/>
          <w:sz w:val="24"/>
          <w:szCs w:val="24"/>
        </w:rPr>
        <w:t>1.</w:t>
      </w:r>
      <w:r>
        <w:rPr>
          <w:rFonts w:hint="eastAsia"/>
          <w:color w:val="auto"/>
          <w:sz w:val="24"/>
          <w:szCs w:val="24"/>
        </w:rPr>
        <w:t>4）的供应商不足三家的，该标段（包）做废标处理。</w:t>
      </w:r>
    </w:p>
    <w:p>
      <w:pPr>
        <w:widowControl w:val="0"/>
        <w:snapToGrid w:val="0"/>
        <w:spacing w:line="360" w:lineRule="auto"/>
        <w:ind w:firstLine="480" w:firstLineChars="200"/>
        <w:jc w:val="left"/>
        <w:rPr>
          <w:color w:val="auto"/>
          <w:sz w:val="24"/>
          <w:szCs w:val="24"/>
        </w:rPr>
      </w:pPr>
      <w:r>
        <w:rPr>
          <w:color w:val="auto"/>
          <w:sz w:val="24"/>
          <w:szCs w:val="24"/>
        </w:rPr>
        <w:t xml:space="preserve">1.3.4 </w:t>
      </w:r>
      <w:r>
        <w:rPr>
          <w:rFonts w:hint="eastAsia"/>
          <w:color w:val="auto"/>
          <w:sz w:val="24"/>
          <w:szCs w:val="24"/>
        </w:rPr>
        <w:t>遵循第三章投标人须知</w:t>
      </w:r>
      <w:r>
        <w:rPr>
          <w:color w:val="auto"/>
          <w:sz w:val="24"/>
          <w:szCs w:val="24"/>
        </w:rPr>
        <w:t>3.7.</w:t>
      </w:r>
      <w:r>
        <w:rPr>
          <w:rFonts w:hint="eastAsia"/>
          <w:color w:val="auto"/>
          <w:sz w:val="24"/>
          <w:szCs w:val="24"/>
        </w:rPr>
        <w:t>5项规定。</w:t>
      </w:r>
    </w:p>
    <w:p>
      <w:pPr>
        <w:spacing w:line="560" w:lineRule="exact"/>
        <w:ind w:firstLine="562" w:firstLineChars="200"/>
        <w:rPr>
          <w:rFonts w:ascii="黑体" w:hAnsi="黑体" w:eastAsia="黑体"/>
          <w:b/>
          <w:color w:val="auto"/>
          <w:sz w:val="28"/>
        </w:rPr>
      </w:pPr>
    </w:p>
    <w:p>
      <w:pPr>
        <w:spacing w:line="560" w:lineRule="exact"/>
        <w:ind w:firstLine="562" w:firstLineChars="200"/>
        <w:outlineLvl w:val="1"/>
        <w:rPr>
          <w:rFonts w:ascii="黑体" w:hAnsi="黑体" w:eastAsia="黑体"/>
          <w:b/>
          <w:color w:val="auto"/>
          <w:sz w:val="28"/>
        </w:rPr>
      </w:pPr>
      <w:bookmarkStart w:id="23" w:name="_Toc153542584"/>
      <w:r>
        <w:rPr>
          <w:rFonts w:ascii="黑体" w:hAnsi="黑体" w:eastAsia="黑体"/>
          <w:b/>
          <w:color w:val="auto"/>
          <w:sz w:val="28"/>
        </w:rPr>
        <w:t xml:space="preserve">2. </w:t>
      </w:r>
      <w:r>
        <w:rPr>
          <w:rFonts w:hint="eastAsia" w:ascii="黑体" w:hAnsi="黑体" w:eastAsia="黑体"/>
          <w:b/>
          <w:color w:val="auto"/>
          <w:sz w:val="28"/>
        </w:rPr>
        <w:t>标段（包）内容（范围）及具体采购需求</w:t>
      </w:r>
      <w:bookmarkEnd w:id="23"/>
    </w:p>
    <w:p>
      <w:pPr>
        <w:spacing w:line="560" w:lineRule="exact"/>
        <w:ind w:firstLine="482" w:firstLineChars="200"/>
        <w:rPr>
          <w:color w:val="auto"/>
          <w:sz w:val="24"/>
          <w:szCs w:val="24"/>
        </w:rPr>
      </w:pPr>
      <w:r>
        <w:rPr>
          <w:rFonts w:ascii="黑体" w:hAnsi="黑体" w:eastAsia="黑体"/>
          <w:b/>
          <w:color w:val="auto"/>
          <w:sz w:val="24"/>
          <w:szCs w:val="24"/>
        </w:rPr>
        <w:t>2.1</w:t>
      </w:r>
      <w:r>
        <w:rPr>
          <w:rFonts w:hint="eastAsia" w:ascii="黑体" w:hAnsi="黑体" w:eastAsia="黑体"/>
          <w:b/>
          <w:color w:val="auto"/>
          <w:sz w:val="24"/>
          <w:szCs w:val="24"/>
        </w:rPr>
        <w:t>采购标的需实现的功能或者目标，标段（包）总体范围：</w:t>
      </w:r>
      <w:r>
        <w:rPr>
          <w:color w:val="auto"/>
          <w:sz w:val="24"/>
          <w:szCs w:val="24"/>
        </w:rPr>
        <w:t xml:space="preserve"> </w:t>
      </w:r>
    </w:p>
    <w:p>
      <w:pPr>
        <w:adjustRightInd w:val="0"/>
        <w:snapToGrid w:val="0"/>
        <w:spacing w:line="300" w:lineRule="auto"/>
        <w:ind w:firstLine="600" w:firstLineChars="250"/>
        <w:jc w:val="left"/>
        <w:rPr>
          <w:rFonts w:ascii="宋体" w:hAnsi="宋体" w:cs="宋体"/>
          <w:color w:val="auto"/>
          <w:sz w:val="24"/>
        </w:rPr>
      </w:pPr>
      <w:r>
        <w:rPr>
          <w:rFonts w:hint="eastAsia" w:ascii="宋体" w:hAnsi="宋体" w:cs="宋体"/>
          <w:color w:val="auto"/>
          <w:sz w:val="24"/>
        </w:rPr>
        <w:t>1、满足采购人正常工作需要。</w:t>
      </w:r>
    </w:p>
    <w:p>
      <w:pPr>
        <w:spacing w:line="360" w:lineRule="auto"/>
        <w:ind w:firstLine="480" w:firstLineChars="200"/>
        <w:rPr>
          <w:rFonts w:cs="宋体" w:asciiTheme="minorEastAsia" w:hAnsiTheme="minorEastAsia" w:eastAsiaTheme="minorEastAsia"/>
          <w:color w:val="auto"/>
          <w:sz w:val="24"/>
          <w:szCs w:val="24"/>
        </w:rPr>
      </w:pPr>
      <w:r>
        <w:rPr>
          <w:rFonts w:hint="eastAsia" w:ascii="宋体" w:hAnsi="宋体"/>
          <w:color w:val="auto"/>
          <w:sz w:val="24"/>
          <w:szCs w:val="24"/>
        </w:rPr>
        <w:t>2、以年度国土变更调查成果为底图，参考使用历年地理国情监测、基础测绘、数字城市和智慧城市成果，对安阳市四个辖区内开展自然资源细化和补充相关内容，掌握自然资源和人文地理要素的类型、面积、范围、分布和变化等情况，以满足安阳市国土空间规划编制及实施监督、城市体检评估和用途管制等工作需要，高质量完成国家下达的安阳市城市国土空间监测目标任务。同时，</w:t>
      </w:r>
      <w:r>
        <w:rPr>
          <w:rFonts w:hint="eastAsia" w:cs="宋体" w:asciiTheme="minorEastAsia" w:hAnsiTheme="minorEastAsia" w:eastAsiaTheme="minorEastAsia"/>
          <w:color w:val="auto"/>
          <w:sz w:val="24"/>
          <w:szCs w:val="24"/>
        </w:rPr>
        <w:t>在各区县具体进行国土变更调查的基础上，完成各个阶段（包括资料收集、内业检查、外业复核）的市级质量检查和数据汇总工作，形成市级数据库，保证工作进度和数据质量满足国家和省的要求。</w:t>
      </w:r>
    </w:p>
    <w:p>
      <w:pPr>
        <w:adjustRightInd w:val="0"/>
        <w:snapToGrid w:val="0"/>
        <w:spacing w:beforeLines="50" w:line="300" w:lineRule="auto"/>
        <w:ind w:firstLine="480" w:firstLineChars="200"/>
        <w:rPr>
          <w:rFonts w:ascii="宋体" w:hAnsi="宋体"/>
          <w:color w:val="auto"/>
          <w:sz w:val="24"/>
          <w:szCs w:val="24"/>
        </w:rPr>
      </w:pPr>
    </w:p>
    <w:p>
      <w:pPr>
        <w:adjustRightInd w:val="0"/>
        <w:snapToGrid w:val="0"/>
        <w:spacing w:beforeLines="50" w:line="300" w:lineRule="auto"/>
        <w:ind w:firstLine="480" w:firstLineChars="200"/>
        <w:rPr>
          <w:rFonts w:ascii="宋体" w:hAnsi="宋体"/>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 xml:space="preserve">2.2 </w:t>
      </w:r>
      <w:r>
        <w:rPr>
          <w:rFonts w:hint="eastAsia" w:ascii="黑体" w:hAnsi="黑体" w:eastAsia="黑体"/>
          <w:b/>
          <w:color w:val="auto"/>
          <w:sz w:val="24"/>
          <w:szCs w:val="24"/>
        </w:rPr>
        <w:t>项目落实的政府采购政策（法规标准条款）</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pPr>
        <w:adjustRightInd w:val="0"/>
        <w:snapToGrid w:val="0"/>
        <w:spacing w:beforeLines="50" w:line="300" w:lineRule="auto"/>
        <w:ind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pPr>
        <w:adjustRightInd w:val="0"/>
        <w:snapToGrid w:val="0"/>
        <w:spacing w:beforeLines="50" w:line="300" w:lineRule="auto"/>
        <w:ind w:firstLine="480" w:firstLineChars="200"/>
        <w:rPr>
          <w:rFonts w:ascii="宋体" w:hAnsi="宋体" w:cs="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.2 </w:t>
      </w:r>
      <w:r>
        <w:rPr>
          <w:rFonts w:hint="eastAsia" w:ascii="宋体" w:hAnsi="宋体"/>
          <w:color w:val="auto"/>
          <w:sz w:val="24"/>
          <w:szCs w:val="24"/>
        </w:rPr>
        <w:t>同等条件下，</w:t>
      </w:r>
      <w:r>
        <w:rPr>
          <w:rFonts w:hint="eastAsia" w:ascii="宋体" w:hAnsi="宋体" w:cs="宋体"/>
          <w:color w:val="auto"/>
          <w:sz w:val="24"/>
          <w:szCs w:val="24"/>
        </w:rPr>
        <w:t>获得节能产品认证证书或环境标志产品认证证书的产品优先采购。(认证证书应</w:t>
      </w:r>
      <w:r>
        <w:rPr>
          <w:rFonts w:ascii="宋体" w:hAnsi="宋体" w:cs="宋体"/>
          <w:color w:val="auto"/>
          <w:sz w:val="24"/>
          <w:szCs w:val="24"/>
        </w:rPr>
        <w:t>当为</w:t>
      </w:r>
      <w:r>
        <w:rPr>
          <w:rFonts w:hint="eastAsia" w:ascii="宋体" w:hAnsi="宋体" w:cs="宋体"/>
          <w:color w:val="auto"/>
          <w:sz w:val="24"/>
          <w:szCs w:val="24"/>
        </w:rPr>
        <w:t>国家确定的认证机构出具、且</w:t>
      </w:r>
      <w:r>
        <w:rPr>
          <w:rFonts w:ascii="宋体" w:hAnsi="宋体" w:cs="宋体"/>
          <w:color w:val="auto"/>
          <w:sz w:val="24"/>
          <w:szCs w:val="24"/>
        </w:rPr>
        <w:t>应</w:t>
      </w:r>
      <w:r>
        <w:rPr>
          <w:rFonts w:hint="eastAsia" w:ascii="宋体" w:hAnsi="宋体" w:cs="宋体"/>
          <w:color w:val="auto"/>
          <w:sz w:val="24"/>
          <w:szCs w:val="24"/>
        </w:rPr>
        <w:t>处于有效期之内。)</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.3 </w:t>
      </w:r>
      <w:r>
        <w:rPr>
          <w:rFonts w:hint="eastAsia" w:ascii="宋体" w:hAnsi="宋体"/>
          <w:color w:val="auto"/>
          <w:sz w:val="24"/>
          <w:szCs w:val="24"/>
        </w:rPr>
        <w:t>本次采购不允许进口产品参加。</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.4</w:t>
      </w:r>
      <w:r>
        <w:rPr>
          <w:rFonts w:hint="eastAsia" w:ascii="宋体" w:hAnsi="宋体"/>
          <w:color w:val="auto"/>
          <w:sz w:val="24"/>
          <w:szCs w:val="24"/>
        </w:rPr>
        <w:t>信息安全产品须通过国家信息安全认证中心认证，计算机产品须预装正版操作系统软件。</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.5 </w:t>
      </w:r>
      <w:r>
        <w:rPr>
          <w:rFonts w:hint="eastAsia" w:ascii="宋体" w:hAnsi="宋体"/>
          <w:color w:val="auto"/>
          <w:sz w:val="24"/>
          <w:szCs w:val="24"/>
        </w:rPr>
        <w:t>促进中小企业发展扶持政策：见第四章“评审办法”第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.6</w:t>
      </w:r>
      <w:r>
        <w:rPr>
          <w:rFonts w:hint="eastAsia" w:ascii="宋体" w:hAnsi="宋体"/>
          <w:color w:val="auto"/>
          <w:sz w:val="24"/>
          <w:szCs w:val="24"/>
        </w:rPr>
        <w:t>促进残疾人就业、支持监狱企业发展：见第四章“评标办法”第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所供产品有商品包装的应当使用绿色包装。所供产品有其他环保政策要求的，应符合相关环保法律政策要求。</w:t>
      </w:r>
    </w:p>
    <w:p>
      <w:pPr>
        <w:adjustRightInd w:val="0"/>
        <w:snapToGrid w:val="0"/>
        <w:spacing w:beforeLines="50" w:line="300" w:lineRule="auto"/>
        <w:ind w:firstLine="480" w:firstLineChars="200"/>
        <w:rPr>
          <w:rFonts w:ascii="宋体" w:hAnsi="宋体"/>
          <w:color w:val="auto"/>
          <w:sz w:val="24"/>
          <w:szCs w:val="24"/>
        </w:rPr>
      </w:pPr>
      <w:r>
        <w:rPr>
          <w:rFonts w:hint="eastAsia" w:ascii="宋体" w:hAnsi="宋体"/>
          <w:color w:val="auto"/>
          <w:sz w:val="24"/>
          <w:szCs w:val="24"/>
        </w:rPr>
        <w:t>2.2.8</w:t>
      </w:r>
      <w:r>
        <w:rPr>
          <w:rFonts w:ascii="宋体" w:hAnsi="宋体"/>
          <w:color w:val="auto"/>
          <w:sz w:val="24"/>
          <w:szCs w:val="24"/>
        </w:rPr>
        <w:t xml:space="preserve"> </w:t>
      </w:r>
      <w:r>
        <w:rPr>
          <w:rFonts w:hint="eastAsia" w:ascii="宋体" w:hAnsi="宋体"/>
          <w:color w:val="auto"/>
          <w:sz w:val="24"/>
          <w:szCs w:val="24"/>
        </w:rPr>
        <w:t>支持绿色建筑、绿色建材，支持不发达、少数民族地区的企业，促进自主创新产业发展，支持脱贫攻坚等；同等条件下，优先采购。</w:t>
      </w:r>
    </w:p>
    <w:p>
      <w:pPr>
        <w:adjustRightInd w:val="0"/>
        <w:snapToGrid w:val="0"/>
        <w:spacing w:beforeLines="50" w:line="300" w:lineRule="auto"/>
        <w:ind w:firstLine="480" w:firstLineChars="200"/>
        <w:rPr>
          <w:rFonts w:ascii="宋体" w:hAnsi="宋体"/>
          <w:color w:val="auto"/>
          <w:sz w:val="24"/>
          <w:szCs w:val="24"/>
        </w:rPr>
      </w:pPr>
    </w:p>
    <w:p>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招标文件未列明事项为由，来降低投标服务（及所涉货物材料设施）的质量。</w:t>
      </w:r>
    </w:p>
    <w:p>
      <w:pPr>
        <w:widowControl w:val="0"/>
        <w:adjustRightInd w:val="0"/>
        <w:snapToGrid w:val="0"/>
        <w:spacing w:beforeLines="50" w:line="300" w:lineRule="auto"/>
        <w:ind w:left="22" w:firstLine="555"/>
        <w:jc w:val="left"/>
        <w:rPr>
          <w:color w:val="auto"/>
          <w:sz w:val="24"/>
          <w:szCs w:val="24"/>
        </w:rPr>
      </w:pPr>
    </w:p>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2.4</w:t>
      </w:r>
      <w:r>
        <w:rPr>
          <w:rFonts w:hint="eastAsia" w:ascii="黑体" w:hAnsi="黑体" w:eastAsia="黑体"/>
          <w:b/>
          <w:color w:val="auto"/>
          <w:sz w:val="24"/>
          <w:szCs w:val="24"/>
        </w:rPr>
        <w:t>标段（包）内容（具体范围、数量），具体服务（技术）要求（</w:t>
      </w:r>
      <w:r>
        <w:rPr>
          <w:rFonts w:hint="eastAsia" w:ascii="宋体" w:hAnsi="宋体" w:cs="宋体"/>
          <w:color w:val="auto"/>
          <w:sz w:val="24"/>
        </w:rPr>
        <w:t>采购标的需满足的质量、安全、技术规格、物理特性等）</w:t>
      </w:r>
    </w:p>
    <w:p>
      <w:pPr>
        <w:widowControl w:val="0"/>
        <w:numPr>
          <w:ilvl w:val="0"/>
          <w:numId w:val="1"/>
        </w:numPr>
        <w:spacing w:line="360" w:lineRule="auto"/>
        <w:textAlignment w:val="auto"/>
        <w:rPr>
          <w:rFonts w:ascii="黑体" w:hAnsi="黑体" w:eastAsia="黑体"/>
          <w:b/>
          <w:color w:val="auto"/>
          <w:sz w:val="24"/>
          <w:szCs w:val="24"/>
        </w:rPr>
      </w:pPr>
      <w:r>
        <w:rPr>
          <w:rFonts w:hint="eastAsia" w:ascii="黑体" w:hAnsi="黑体" w:eastAsia="黑体"/>
          <w:b/>
          <w:color w:val="auto"/>
          <w:sz w:val="24"/>
          <w:szCs w:val="24"/>
        </w:rPr>
        <w:t>项目背景</w:t>
      </w:r>
    </w:p>
    <w:p>
      <w:pPr>
        <w:spacing w:line="360" w:lineRule="auto"/>
        <w:ind w:firstLine="600" w:firstLineChars="250"/>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sz w:val="24"/>
          <w:szCs w:val="24"/>
        </w:rPr>
        <w:t>国土变更调查和城市国土空间监测是及时准确地掌握每年国土利用现状和变化趋势的必要手段，调查监测成果是科学制定自然资源管理政策、推动自然资源治理体系和治理能力现代化重要工作基础。依据国家自然资源部、河南省自然资源厅对城市国土空间监测和国土变更调查相关工作的通知、要求，全面组织实施安阳市城市国土空间监测和国土变更调查市级核查工作。</w:t>
      </w:r>
    </w:p>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b/>
          <w:color w:val="auto"/>
          <w:sz w:val="24"/>
          <w:szCs w:val="24"/>
        </w:rPr>
        <w:t>二、工作要求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根据国家自然资源部、河南省自然资源厅关于开展国土空间监测和国土变更调查工作成果提交时间节点及质量要求，本项目工期较为紧迫，需及时推进项目工作开展，并按期提交成果。为保障项目质量及进度，投标人应具备雄厚的技术实力、加大人员和物资投入、具备全天候作业能力，并对项目基本情况具有一定程度的了解和掌握，配备必要的内外业核查设备，相关成果需通过专业的质检软件进行质量检查，保证项目成果验收质量要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为便于采购人及时掌握各县区工作情况，在核查关键节点，工作开展需采取集中办公、分组核查模式进行；项目开展过程中投标人需配合采购人完成相关的会议准备、材料编写等工作；为便于工作及时协商沟通，以上工作应在项目所在地完成。国土空间监测和变更调查成果作为自然资源监管及国土空间规划编制实施过程中的基础数据支持，项目组应配备规划专业相关技术人员。</w:t>
      </w:r>
    </w:p>
    <w:p>
      <w:pPr>
        <w:spacing w:line="360" w:lineRule="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三、服务技术要求</w:t>
      </w:r>
    </w:p>
    <w:p>
      <w:pPr>
        <w:spacing w:line="360" w:lineRule="auto"/>
        <w:ind w:firstLine="482" w:firstLineChars="200"/>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（一）国土空间监测技术要求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1、工作任务</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依据国家下发的年度国土变更调查成果、高分辨率遥感影像和最新的相关专题资料，结合实地调查，将2023-2025年城市国土空间监测数据中相关监测要素的现势性更新到最新年份。同时，按照相关要求，采集增加的监测要素，核实完善国家下发的相关监测要素、相关属性等信息。</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2、监测范围与内容</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监测范围根据需要分为全域范围和城区监测范围两类。安阳市城市国土空间监测全域监测范围为安阳市文峰区、北关区、殷都区（含代管乡镇）、龙安区四个区，普查面积1218平方公里。城区监测范围为安阳市四个辖区城镇开发边界，面积约182平方公里。</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监测工作以土地利用现状为依据，在变更调查成果地类基础上进一步细化地类，并确定监测要素的空间位置、占地范围、面积（长度）、相关属性等。监测内容包括住宅情况、就学教育情况、医疗情况、社会福利情况、文体活动情况、交通情况、公用设施情况、公园与绿地情况、殡葬设施情况、水利设施情况、城市安全韧性情况、室外滑雪场情况、水域交通网络情况、建筑情况、城市更新情况。根据国家要求对变更调查地类二级类进行细化，按监测要素细化确定三级地类，以监测要素名称命名，同时，确定监测要素的空间位置、占地范围、面积及相关属性等。</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3、监测主要技术要求：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（1）空间信息细化与补充</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空间信息细化与补充时，应基于底图数据，以收集的资料为指引，套合最新遥感影像，利用多种技术手段，结合实地调查，采集监测对象的位置、范围和属性，以点、线或面的形式进行表达，并按要求存储到不同监测对象所对应的图层中。</w:t>
      </w:r>
    </w:p>
    <w:p>
      <w:pPr>
        <w:spacing w:line="360" w:lineRule="auto"/>
        <w:ind w:firstLine="480" w:firstLineChars="200"/>
        <w:rPr>
          <w:rFonts w:cs="宋体" w:asciiTheme="minorEastAsia" w:hAnsiTheme="minorEastAsia" w:eastAsiaTheme="minorEastAsia"/>
          <w:bCs/>
          <w:color w:val="auto"/>
          <w:sz w:val="24"/>
          <w:szCs w:val="24"/>
        </w:rPr>
      </w:pPr>
      <w:r>
        <w:rPr>
          <w:rFonts w:hint="eastAsia" w:cs="宋体" w:asciiTheme="minorEastAsia" w:hAnsiTheme="minorEastAsia" w:eastAsiaTheme="minorEastAsia"/>
          <w:color w:val="auto"/>
          <w:sz w:val="24"/>
          <w:szCs w:val="24"/>
        </w:rPr>
        <w:t>（2）单体房屋建筑与城镇住宅用地细化</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城区监测范围内，按单体建筑形式釆集占地面积200㎡以上的建筑物（地上），并赋属性，釆集内容存储在城区内房屋建筑面层。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（3）相关要素更新</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A、交通网络数据监测更新。</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B、水域网络监测更新。</w:t>
      </w:r>
    </w:p>
    <w:p>
      <w:pPr>
        <w:spacing w:line="360" w:lineRule="auto"/>
        <w:ind w:firstLine="480" w:firstLineChars="200"/>
        <w:rPr>
          <w:rFonts w:cs="宋体" w:asciiTheme="minorEastAsia" w:hAnsiTheme="minorEastAsia" w:eastAsiaTheme="minorEastAsia"/>
          <w:b/>
          <w:bCs/>
          <w:color w:val="auto"/>
          <w:sz w:val="24"/>
          <w:szCs w:val="24"/>
        </w:rPr>
      </w:pPr>
      <w:r>
        <w:rPr>
          <w:rFonts w:hint="eastAsia" w:cs="宋体" w:asciiTheme="minorEastAsia" w:hAnsiTheme="minorEastAsia" w:eastAsiaTheme="minorEastAsia"/>
          <w:color w:val="auto"/>
          <w:sz w:val="24"/>
          <w:szCs w:val="24"/>
        </w:rPr>
        <w:t>（4）其他监测要素</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按照国家相关技术要求，充分利用城市基础地理信息、城市地籍信息等已有数据，结合高分辨率航空航天遥感、低空倾斜摄影、地面测量、实地调查等多种方法，进行信息釆集与更新，获取相关数据。</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（5）外业调查</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对于细化釆集要素，监测时实地与年度国土变更调查成果地类二级类不一致的，即IFCON属性项标注“否”的要素，应按照国土变更调查外业举证相关要求实地拍照。</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（6）数据库建设</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按要求完成数据成果汇交，建立国土空间监测数据库，并对监测数据进行集成、处理、可视化表达。</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（7）质量控制</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按照全过程管理的原则开展质量控制，实行“两级检查、一级验收”制度，确保监测成果的真实性、准确性、完整性和规范性。</w:t>
      </w:r>
    </w:p>
    <w:p>
      <w:pPr>
        <w:spacing w:line="360" w:lineRule="auto"/>
        <w:ind w:firstLine="482" w:firstLineChars="200"/>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b/>
          <w:color w:val="auto"/>
          <w:sz w:val="24"/>
          <w:szCs w:val="24"/>
        </w:rPr>
        <w:t>（二）国土变更调查市级核查技术要求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1、技术要求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本次市级核查采用国家下发的年度国土变更调查县级数据库质量检查软件和年度国土变更调查成果内业核查软件。</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项目内容为市级在各区县具体进行国土变更调查更新的基础上，完成各个阶段（包括资料收 集、内业检查、外业复核）的市级质量检查和数据汇总工作，形成市级数据库，保证工作进度和数据质量满足国家和省的要求。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（1）区县工作督导。配合国家、省、市的计划，对各个区县进行开展督导并实地考察各区 县的项目进度，并进行汇总记录，形成正式的核查报告。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（2）数据核查。内业核查：对区县的变化图斑逐图斑进行内业检查，检查图斑属性信息是 否填写正确，线状地物、零星地物是否分图层、按类别进行更新，是否更新了地类图斑层、所有权层、基本农田层、耕地后备资源层。利用质检软件，对数据库进行整体质量检查并及 时反馈错误信息。外业实地核查：根据区县的总变化图斑量，抽取一定比例到实地进行检查， 并对区县的举证材料进行外业核实。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3）日常变更。日常变更调查成果核查主要对地类一致性、耕地种植属性及恢复属性开展检查。地类一致性检查主要对矢量图斑地类与遥感影像、举证照片是否一致进行检查；耕地种植属性主要检查耕地图斑是否填写种植属性以及种植属性填写是否正确；恢复属性主要结 合上一年度基础数据库耕地图斑、标注了恢复属性的图斑等对新增标注恢复属性的图斑进行 检查。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（4）密切配合采购人日常工作，共同研究、解决好年度国土变更调查市级核查工作中出现 的技术问题，商定完善修改技术要求。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（5）市级汇总。年度内各区县土地的利用变化情况；结合全市年度自然资源管理各项工作 情况和部综合监管平台用地管理信息套合结果，开展年度国土利用变化数据分析。 </w:t>
      </w:r>
    </w:p>
    <w:p>
      <w:pPr>
        <w:spacing w:line="360" w:lineRule="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四、主要成果要求</w:t>
      </w:r>
    </w:p>
    <w:p>
      <w:pPr>
        <w:spacing w:line="360" w:lineRule="auto"/>
        <w:ind w:firstLine="552" w:firstLineChars="200"/>
        <w:rPr>
          <w:rFonts w:cs="宋体" w:asciiTheme="minorEastAsia" w:hAnsiTheme="minorEastAsia" w:eastAsiaTheme="minorEastAsia"/>
          <w:color w:val="auto"/>
          <w:spacing w:val="18"/>
          <w:sz w:val="24"/>
          <w:szCs w:val="24"/>
        </w:rPr>
      </w:pPr>
      <w:r>
        <w:rPr>
          <w:rFonts w:hint="eastAsia" w:cs="宋体" w:asciiTheme="minorEastAsia" w:hAnsiTheme="minorEastAsia" w:eastAsiaTheme="minorEastAsia"/>
          <w:color w:val="auto"/>
          <w:spacing w:val="18"/>
          <w:sz w:val="24"/>
          <w:szCs w:val="24"/>
        </w:rPr>
        <w:t>1、国土空间监测提交成果</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基础成果，按照统一要求，通过整合、采集、细化与更新形成的空间数据成果。监测数据、生产元数据、实地照片、外业调查文件、实施方案、项目总结，能够证明项目成果合格的质量检验报告、生产技术总结等。</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（2）统计成果，基于基础成果进行汇总统计形成的数据成果，包括：城市自然资源和人文地理要素统计成果。</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（3）分析成果，根据相关管理需求，结合其他调查监测成果和经济社会数据，通过分析和计算形成数据成果及分析报告，包括：城市自然资源和人文地理要素数据集等成果。</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2、国土变更调查市级核查提交资料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（1）各区县每次通过省级核查的最终成果，核查标段提供最终数据的市总成果；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（2）核查报告；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（3）中标人项目验收的相关资料（电子版）；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（4）国家和省要求提交的其他项目成果；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（5）中标人向采购人提交成果数量和具体提交的样式及要求以国家和省要求为准。 </w:t>
      </w:r>
    </w:p>
    <w:p>
      <w:pPr>
        <w:spacing w:line="360" w:lineRule="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五、服务期要求</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1、2023年国土空间监测及国土变更调查市级核查项目，合同签订后20日内提交2023国土空间监测项目正式成果，40日内完成2023年国土变更调查市级核查项目初步成果汇总，保证在国家和省要求的时间点，完成上报。</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2、2024-2025年项目根据国家和省要求完成时间，完成项目全部成果编制及上报，直至国家核查确认通过，最终数据提交时间以国家和省具体要求为准。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3、年度成果验收交付用户后，中标人需提供验收后一年内数据修正服务和技术支持服务。 </w:t>
      </w:r>
    </w:p>
    <w:p>
      <w:pPr>
        <w:spacing w:line="360"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4、如有工期调整，根据工期顺延。 </w:t>
      </w:r>
    </w:p>
    <w:p>
      <w:pPr>
        <w:spacing w:line="360" w:lineRule="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六、质量要求</w:t>
      </w:r>
    </w:p>
    <w:p>
      <w:pPr>
        <w:spacing w:line="360" w:lineRule="auto"/>
        <w:ind w:firstLine="480" w:firstLineChars="200"/>
        <w:rPr>
          <w:rFonts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 符合国家、行业规定的合格标准和规范，满足相关文件要求。</w:t>
      </w:r>
    </w:p>
    <w:p>
      <w:pPr>
        <w:spacing w:line="560" w:lineRule="exact"/>
        <w:rPr>
          <w:rFonts w:ascii="黑体" w:hAnsi="黑体" w:eastAsia="黑体"/>
          <w:b/>
          <w:color w:val="auto"/>
          <w:sz w:val="24"/>
          <w:szCs w:val="24"/>
        </w:rPr>
      </w:pPr>
      <w:r>
        <w:rPr>
          <w:rFonts w:hint="eastAsia" w:ascii="黑体" w:hAnsi="黑体" w:eastAsia="黑体"/>
          <w:b/>
          <w:color w:val="auto"/>
          <w:sz w:val="24"/>
          <w:szCs w:val="24"/>
        </w:rPr>
        <w:t>七、保密要求</w:t>
      </w:r>
    </w:p>
    <w:p>
      <w:pPr>
        <w:pStyle w:val="66"/>
        <w:ind w:firstLine="480"/>
        <w:rPr>
          <w:rFonts w:ascii="宋体" w:hAnsi="宋体" w:cs="Arial"/>
          <w:szCs w:val="24"/>
          <w:shd w:val="clear" w:color="auto" w:fill="FFFFFF"/>
        </w:rPr>
      </w:pPr>
      <w:r>
        <w:rPr>
          <w:rFonts w:hint="eastAsia" w:ascii="宋体" w:hAnsi="宋体" w:cs="Arial"/>
          <w:szCs w:val="24"/>
          <w:shd w:val="clear" w:color="auto" w:fill="FFFFFF"/>
        </w:rPr>
        <w:t>投标人应做到下列保密义务：</w:t>
      </w:r>
    </w:p>
    <w:p>
      <w:pPr>
        <w:pStyle w:val="66"/>
        <w:ind w:firstLine="480"/>
        <w:rPr>
          <w:rFonts w:ascii="宋体" w:hAnsi="宋体" w:cs="Arial"/>
          <w:szCs w:val="24"/>
          <w:shd w:val="clear" w:color="auto" w:fill="FFFFFF"/>
        </w:rPr>
      </w:pPr>
      <w:r>
        <w:rPr>
          <w:rFonts w:hint="eastAsia" w:ascii="宋体" w:hAnsi="宋体" w:cs="Arial"/>
          <w:szCs w:val="24"/>
          <w:shd w:val="clear" w:color="auto" w:fill="FFFFFF"/>
        </w:rPr>
        <w:t>1、保密内容（包括技术信息）：所有项目相关的技术资料及商务文件。</w:t>
      </w:r>
    </w:p>
    <w:p>
      <w:pPr>
        <w:pStyle w:val="66"/>
        <w:ind w:firstLine="480"/>
        <w:rPr>
          <w:rFonts w:ascii="宋体" w:hAnsi="宋体" w:cs="Arial"/>
          <w:szCs w:val="24"/>
          <w:shd w:val="clear" w:color="auto" w:fill="FFFFFF"/>
        </w:rPr>
      </w:pPr>
      <w:r>
        <w:rPr>
          <w:rFonts w:hint="eastAsia" w:ascii="宋体" w:hAnsi="宋体" w:cs="Arial"/>
          <w:szCs w:val="24"/>
          <w:shd w:val="clear" w:color="auto" w:fill="FFFFFF"/>
        </w:rPr>
        <w:t>2、涉密人员范围：投标人所有项目参与成员。</w:t>
      </w:r>
    </w:p>
    <w:p>
      <w:pPr>
        <w:pStyle w:val="66"/>
        <w:ind w:firstLine="480"/>
        <w:rPr>
          <w:rFonts w:ascii="宋体" w:hAnsi="宋体" w:cs="Arial"/>
          <w:szCs w:val="24"/>
          <w:shd w:val="clear" w:color="auto" w:fill="FFFFFF"/>
        </w:rPr>
      </w:pPr>
      <w:r>
        <w:rPr>
          <w:rFonts w:hint="eastAsia" w:ascii="宋体" w:hAnsi="宋体" w:cs="Arial"/>
          <w:szCs w:val="24"/>
          <w:shd w:val="clear" w:color="auto" w:fill="FFFFFF"/>
        </w:rPr>
        <w:t>3、泄密责任：按照国家法律规定执行。</w:t>
      </w:r>
    </w:p>
    <w:p>
      <w:pPr>
        <w:spacing w:line="560" w:lineRule="exact"/>
        <w:ind w:firstLine="482" w:firstLineChars="200"/>
        <w:rPr>
          <w:rFonts w:ascii="黑体" w:hAnsi="黑体" w:eastAsia="黑体"/>
          <w:b/>
          <w:color w:val="auto"/>
          <w:sz w:val="24"/>
          <w:szCs w:val="24"/>
        </w:rPr>
      </w:pPr>
      <w:r>
        <w:rPr>
          <w:rFonts w:hint="eastAsia" w:ascii="宋体" w:hAnsi="宋体"/>
          <w:b/>
          <w:color w:val="auto"/>
          <w:sz w:val="24"/>
          <w:szCs w:val="24"/>
        </w:rPr>
        <w:t>注：</w:t>
      </w:r>
      <w:r>
        <w:rPr>
          <w:rFonts w:hint="eastAsia"/>
          <w:b/>
          <w:color w:val="auto"/>
          <w:sz w:val="24"/>
          <w:szCs w:val="24"/>
        </w:rPr>
        <w:t>安阳市自然资源和规划局安阳市市区城市国土空间监测的中小企业划分标准所属行业为：其他未列明行业</w:t>
      </w:r>
    </w:p>
    <w:p>
      <w:pPr>
        <w:adjustRightInd w:val="0"/>
        <w:snapToGrid w:val="0"/>
        <w:spacing w:beforeLines="50" w:line="300" w:lineRule="auto"/>
        <w:ind w:firstLine="482" w:firstLineChars="200"/>
        <w:rPr>
          <w:rFonts w:ascii="黑体" w:hAnsi="黑体" w:eastAsia="黑体"/>
          <w:b/>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5</w:t>
      </w:r>
      <w:r>
        <w:rPr>
          <w:rFonts w:ascii="黑体" w:hAnsi="黑体" w:eastAsia="黑体"/>
          <w:b/>
          <w:color w:val="auto"/>
          <w:sz w:val="24"/>
          <w:szCs w:val="24"/>
        </w:rPr>
        <w:t xml:space="preserve"> </w:t>
      </w:r>
      <w:r>
        <w:rPr>
          <w:rFonts w:hint="eastAsia" w:ascii="黑体" w:hAnsi="黑体" w:eastAsia="黑体"/>
          <w:b/>
          <w:color w:val="auto"/>
          <w:sz w:val="24"/>
          <w:szCs w:val="24"/>
        </w:rPr>
        <w:t>安</w:t>
      </w:r>
      <w:r>
        <w:rPr>
          <w:rFonts w:ascii="黑体" w:hAnsi="黑体" w:eastAsia="黑体"/>
          <w:b/>
          <w:color w:val="auto"/>
          <w:sz w:val="24"/>
          <w:szCs w:val="24"/>
        </w:rPr>
        <w:t>全</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投标服务（及所涉货物材料设施）应符合国家、行业的各</w:t>
      </w:r>
      <w:r>
        <w:rPr>
          <w:color w:val="auto"/>
          <w:sz w:val="24"/>
          <w:szCs w:val="24"/>
        </w:rPr>
        <w:t>项</w:t>
      </w:r>
      <w:r>
        <w:rPr>
          <w:rFonts w:hint="eastAsia"/>
          <w:color w:val="auto"/>
          <w:sz w:val="24"/>
          <w:szCs w:val="24"/>
        </w:rPr>
        <w:t>安全标准，投</w:t>
      </w:r>
      <w:r>
        <w:rPr>
          <w:color w:val="auto"/>
          <w:sz w:val="24"/>
          <w:szCs w:val="24"/>
        </w:rPr>
        <w:t>标</w:t>
      </w:r>
      <w:r>
        <w:rPr>
          <w:rFonts w:hint="eastAsia"/>
          <w:color w:val="auto"/>
          <w:sz w:val="24"/>
          <w:szCs w:val="24"/>
        </w:rPr>
        <w:t>人</w:t>
      </w:r>
      <w:r>
        <w:rPr>
          <w:color w:val="auto"/>
          <w:sz w:val="24"/>
          <w:szCs w:val="24"/>
        </w:rPr>
        <w:t>对</w:t>
      </w:r>
      <w:r>
        <w:rPr>
          <w:rFonts w:hint="eastAsia"/>
          <w:color w:val="auto"/>
          <w:sz w:val="24"/>
          <w:szCs w:val="24"/>
        </w:rPr>
        <w:t>投标服务（及所涉货物材料设施）的</w:t>
      </w:r>
      <w:r>
        <w:rPr>
          <w:color w:val="auto"/>
          <w:sz w:val="24"/>
          <w:szCs w:val="24"/>
        </w:rPr>
        <w:t>安全性承担全部责任。</w:t>
      </w:r>
      <w:r>
        <w:rPr>
          <w:rFonts w:hint="eastAsia"/>
          <w:color w:val="auto"/>
          <w:sz w:val="24"/>
          <w:szCs w:val="24"/>
        </w:rPr>
        <w:t>服务期内不符合保障人身、财产安全的国家标准、行业标准的服务（及所涉货物材料设施），将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同履行中的安全责任由中标人承担全部责任。</w:t>
      </w:r>
    </w:p>
    <w:p>
      <w:pPr>
        <w:adjustRightInd w:val="0"/>
        <w:snapToGrid w:val="0"/>
        <w:spacing w:beforeLines="50" w:line="300" w:lineRule="auto"/>
        <w:ind w:firstLine="482" w:firstLineChars="200"/>
        <w:rPr>
          <w:rFonts w:ascii="黑体" w:hAnsi="黑体" w:eastAsia="黑体"/>
          <w:b/>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投</w:t>
      </w:r>
      <w:r>
        <w:rPr>
          <w:rFonts w:ascii="黑体" w:hAnsi="黑体" w:eastAsia="黑体"/>
          <w:b/>
          <w:color w:val="auto"/>
          <w:sz w:val="24"/>
          <w:szCs w:val="24"/>
        </w:rPr>
        <w:t>标文件</w:t>
      </w:r>
      <w:r>
        <w:rPr>
          <w:rFonts w:hint="eastAsia" w:ascii="黑体" w:hAnsi="黑体" w:eastAsia="黑体"/>
          <w:b/>
          <w:color w:val="auto"/>
          <w:sz w:val="24"/>
          <w:szCs w:val="24"/>
        </w:rPr>
        <w:t>对“具体服务（技术）要求”的</w:t>
      </w:r>
      <w:r>
        <w:rPr>
          <w:rFonts w:ascii="黑体" w:hAnsi="黑体" w:eastAsia="黑体"/>
          <w:b/>
          <w:color w:val="auto"/>
          <w:sz w:val="24"/>
          <w:szCs w:val="24"/>
        </w:rPr>
        <w:t>响应</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w:t>
      </w:r>
      <w:r>
        <w:rPr>
          <w:rFonts w:ascii="宋体" w:hAnsi="宋体"/>
          <w:color w:val="auto"/>
          <w:sz w:val="24"/>
          <w:szCs w:val="24"/>
        </w:rPr>
        <w:t>2.4</w:t>
      </w:r>
      <w:r>
        <w:rPr>
          <w:rFonts w:hint="eastAsia" w:ascii="宋体" w:hAnsi="宋体"/>
          <w:color w:val="auto"/>
          <w:sz w:val="24"/>
          <w:szCs w:val="24"/>
        </w:rPr>
        <w:t>标段（包）内容（具体范围、数量），具体服务（技术）要求</w:t>
      </w:r>
      <w:r>
        <w:rPr>
          <w:rFonts w:hint="eastAsia"/>
          <w:color w:val="auto"/>
          <w:sz w:val="24"/>
          <w:szCs w:val="24"/>
        </w:rPr>
        <w:t>”为采购</w:t>
      </w:r>
      <w:r>
        <w:rPr>
          <w:color w:val="auto"/>
          <w:sz w:val="24"/>
          <w:szCs w:val="24"/>
        </w:rPr>
        <w:t>需求的</w:t>
      </w:r>
      <w:r>
        <w:rPr>
          <w:rFonts w:hint="eastAsia"/>
          <w:color w:val="auto"/>
          <w:sz w:val="24"/>
          <w:szCs w:val="24"/>
        </w:rPr>
        <w:t>基础</w:t>
      </w:r>
      <w:r>
        <w:rPr>
          <w:color w:val="auto"/>
          <w:sz w:val="24"/>
          <w:szCs w:val="24"/>
        </w:rPr>
        <w:t>性</w:t>
      </w:r>
      <w:r>
        <w:rPr>
          <w:rFonts w:hint="eastAsia"/>
          <w:color w:val="auto"/>
          <w:sz w:val="24"/>
          <w:szCs w:val="24"/>
        </w:rPr>
        <w:t>要求，服务内容</w:t>
      </w:r>
      <w:r>
        <w:rPr>
          <w:color w:val="auto"/>
          <w:sz w:val="24"/>
          <w:szCs w:val="24"/>
        </w:rPr>
        <w:t>应当明确</w:t>
      </w:r>
      <w:r>
        <w:rPr>
          <w:rFonts w:hint="eastAsia"/>
          <w:color w:val="auto"/>
          <w:sz w:val="24"/>
          <w:szCs w:val="24"/>
        </w:rPr>
        <w:t>，服务所涉产品及技术参数应当明确并最</w:t>
      </w:r>
      <w:r>
        <w:rPr>
          <w:color w:val="auto"/>
          <w:sz w:val="24"/>
          <w:szCs w:val="24"/>
        </w:rPr>
        <w:t>终指向具体明确的产</w:t>
      </w:r>
      <w:r>
        <w:rPr>
          <w:rFonts w:hint="eastAsia"/>
          <w:color w:val="auto"/>
          <w:sz w:val="24"/>
          <w:szCs w:val="24"/>
        </w:rPr>
        <w:t>品。投</w:t>
      </w:r>
      <w:r>
        <w:rPr>
          <w:color w:val="auto"/>
          <w:sz w:val="24"/>
          <w:szCs w:val="24"/>
        </w:rPr>
        <w:t>标</w:t>
      </w:r>
      <w:r>
        <w:rPr>
          <w:rFonts w:hint="eastAsia"/>
          <w:color w:val="auto"/>
          <w:sz w:val="24"/>
          <w:szCs w:val="24"/>
        </w:rPr>
        <w:t>文</w:t>
      </w:r>
      <w:r>
        <w:rPr>
          <w:color w:val="auto"/>
          <w:sz w:val="24"/>
          <w:szCs w:val="24"/>
        </w:rPr>
        <w:t>件</w:t>
      </w:r>
      <w:r>
        <w:rPr>
          <w:rFonts w:hint="eastAsia"/>
          <w:color w:val="auto"/>
          <w:sz w:val="24"/>
          <w:szCs w:val="24"/>
        </w:rPr>
        <w:t>技术参数抄袭招标文件“</w:t>
      </w:r>
      <w:r>
        <w:rPr>
          <w:rFonts w:hint="eastAsia" w:ascii="宋体" w:hAnsi="宋体"/>
          <w:color w:val="auto"/>
          <w:sz w:val="24"/>
          <w:szCs w:val="24"/>
        </w:rPr>
        <w:t>具体服务（技术）要求</w:t>
      </w:r>
      <w:r>
        <w:rPr>
          <w:rFonts w:hint="eastAsia"/>
          <w:color w:val="auto"/>
          <w:sz w:val="24"/>
          <w:szCs w:val="24"/>
        </w:rPr>
        <w:t>”，投</w:t>
      </w:r>
      <w:r>
        <w:rPr>
          <w:color w:val="auto"/>
          <w:sz w:val="24"/>
          <w:szCs w:val="24"/>
        </w:rPr>
        <w:t>标产品</w:t>
      </w:r>
      <w:r>
        <w:rPr>
          <w:rFonts w:hint="eastAsia"/>
          <w:color w:val="auto"/>
          <w:sz w:val="24"/>
          <w:szCs w:val="24"/>
        </w:rPr>
        <w:t>不</w:t>
      </w:r>
      <w:r>
        <w:rPr>
          <w:color w:val="auto"/>
          <w:sz w:val="24"/>
          <w:szCs w:val="24"/>
        </w:rPr>
        <w:t>明确</w:t>
      </w:r>
      <w:r>
        <w:rPr>
          <w:rFonts w:hint="eastAsia"/>
          <w:color w:val="auto"/>
          <w:sz w:val="24"/>
          <w:szCs w:val="24"/>
        </w:rPr>
        <w:t>的</w:t>
      </w:r>
      <w:r>
        <w:rPr>
          <w:color w:val="auto"/>
          <w:sz w:val="24"/>
          <w:szCs w:val="24"/>
        </w:rPr>
        <w:t>、或</w:t>
      </w:r>
      <w:r>
        <w:rPr>
          <w:rFonts w:hint="eastAsia"/>
          <w:color w:val="auto"/>
          <w:sz w:val="24"/>
          <w:szCs w:val="24"/>
        </w:rPr>
        <w:t>与投</w:t>
      </w:r>
      <w:r>
        <w:rPr>
          <w:color w:val="auto"/>
          <w:sz w:val="24"/>
          <w:szCs w:val="24"/>
        </w:rPr>
        <w:t>标产品</w:t>
      </w:r>
      <w:r>
        <w:rPr>
          <w:rFonts w:hint="eastAsia"/>
          <w:color w:val="auto"/>
          <w:sz w:val="24"/>
          <w:szCs w:val="24"/>
        </w:rPr>
        <w:t>不</w:t>
      </w:r>
      <w:r>
        <w:rPr>
          <w:color w:val="auto"/>
          <w:sz w:val="24"/>
          <w:szCs w:val="24"/>
        </w:rPr>
        <w:t>一致</w:t>
      </w:r>
      <w:r>
        <w:rPr>
          <w:rFonts w:hint="eastAsia"/>
          <w:color w:val="auto"/>
          <w:sz w:val="24"/>
          <w:szCs w:val="24"/>
        </w:rPr>
        <w:t>的</w:t>
      </w:r>
      <w:r>
        <w:rPr>
          <w:color w:val="auto"/>
          <w:sz w:val="24"/>
          <w:szCs w:val="24"/>
        </w:rPr>
        <w:t>，</w:t>
      </w:r>
      <w:r>
        <w:rPr>
          <w:rFonts w:hint="eastAsia"/>
          <w:color w:val="auto"/>
          <w:sz w:val="24"/>
          <w:szCs w:val="24"/>
        </w:rPr>
        <w:t>评标委员会有权按照实质性判断原则评定其为无效投标。</w:t>
      </w:r>
    </w:p>
    <w:p>
      <w:pPr>
        <w:widowControl w:val="0"/>
        <w:adjustRightInd w:val="0"/>
        <w:snapToGrid w:val="0"/>
        <w:spacing w:beforeLines="50" w:line="300" w:lineRule="auto"/>
        <w:ind w:firstLine="360" w:firstLineChars="150"/>
        <w:rPr>
          <w:rFonts w:ascii="宋体" w:cs="宋体"/>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pPr>
        <w:widowControl w:val="0"/>
        <w:adjustRightInd w:val="0"/>
        <w:snapToGrid w:val="0"/>
        <w:spacing w:beforeLines="50" w:line="300" w:lineRule="auto"/>
        <w:ind w:firstLine="540"/>
        <w:rPr>
          <w:rFonts w:ascii="宋体" w:hAnsi="宋体"/>
          <w:color w:val="auto"/>
          <w:sz w:val="24"/>
          <w:szCs w:val="24"/>
        </w:rPr>
      </w:pPr>
      <w:r>
        <w:rPr>
          <w:color w:val="auto"/>
          <w:sz w:val="24"/>
          <w:szCs w:val="24"/>
        </w:rPr>
        <w:t>2.7.</w:t>
      </w:r>
      <w:r>
        <w:rPr>
          <w:rFonts w:hint="eastAsia"/>
          <w:color w:val="auto"/>
          <w:sz w:val="24"/>
          <w:szCs w:val="24"/>
        </w:rPr>
        <w:t>1★服务所涉货物材料设施的</w:t>
      </w:r>
      <w:r>
        <w:rPr>
          <w:rFonts w:hint="eastAsia" w:ascii="黑体" w:hAnsi="黑体" w:eastAsia="黑体"/>
          <w:b/>
          <w:color w:val="auto"/>
          <w:sz w:val="24"/>
          <w:szCs w:val="24"/>
        </w:rPr>
        <w:t>不接受负偏差，低于“具体服务（技术）要求”的、为无效投标。</w:t>
      </w:r>
    </w:p>
    <w:p>
      <w:pPr>
        <w:widowControl w:val="0"/>
        <w:adjustRightInd w:val="0"/>
        <w:snapToGrid w:val="0"/>
        <w:spacing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2 除服务所涉货物材料设施的</w:t>
      </w:r>
      <w:r>
        <w:rPr>
          <w:rFonts w:hint="eastAsia" w:ascii="黑体" w:hAnsi="黑体" w:eastAsia="黑体"/>
          <w:b/>
          <w:color w:val="auto"/>
          <w:sz w:val="24"/>
          <w:szCs w:val="24"/>
        </w:rPr>
        <w:t>技术偏离外，其他内容不接受负偏差。</w:t>
      </w:r>
    </w:p>
    <w:p>
      <w:pPr>
        <w:widowControl w:val="0"/>
        <w:adjustRightInd w:val="0"/>
        <w:snapToGrid w:val="0"/>
        <w:spacing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3 投标文件对技术偏差的描述要求：见第三章投标人须知</w:t>
      </w:r>
      <w:r>
        <w:rPr>
          <w:color w:val="auto"/>
          <w:sz w:val="24"/>
          <w:szCs w:val="24"/>
        </w:rPr>
        <w:t>3.7.3</w:t>
      </w:r>
      <w:r>
        <w:rPr>
          <w:rFonts w:hint="eastAsia"/>
          <w:color w:val="auto"/>
          <w:sz w:val="24"/>
          <w:szCs w:val="24"/>
        </w:rPr>
        <w:t>项。</w:t>
      </w:r>
    </w:p>
    <w:p>
      <w:pPr>
        <w:widowControl w:val="0"/>
        <w:adjustRightInd w:val="0"/>
        <w:snapToGrid w:val="0"/>
        <w:spacing w:beforeLines="50" w:line="300" w:lineRule="auto"/>
        <w:rPr>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8</w:t>
      </w:r>
      <w:r>
        <w:rPr>
          <w:rFonts w:ascii="黑体" w:hAnsi="黑体" w:eastAsia="黑体"/>
          <w:b/>
          <w:color w:val="auto"/>
          <w:sz w:val="24"/>
          <w:szCs w:val="24"/>
        </w:rPr>
        <w:t xml:space="preserve"> </w:t>
      </w:r>
      <w:r>
        <w:rPr>
          <w:rFonts w:hint="eastAsia" w:ascii="黑体" w:hAnsi="黑体" w:eastAsia="黑体"/>
          <w:b/>
          <w:color w:val="auto"/>
          <w:sz w:val="24"/>
          <w:szCs w:val="24"/>
        </w:rPr>
        <w:t>合同履行期限后、服务项目所涉货物的售后服务</w:t>
      </w:r>
    </w:p>
    <w:p>
      <w:pPr>
        <w:adjustRightInd w:val="0"/>
        <w:snapToGrid w:val="0"/>
        <w:spacing w:line="300" w:lineRule="auto"/>
        <w:ind w:firstLine="564" w:firstLineChars="235"/>
        <w:jc w:val="left"/>
        <w:rPr>
          <w:color w:val="auto"/>
          <w:sz w:val="24"/>
          <w:szCs w:val="24"/>
        </w:rPr>
      </w:pPr>
      <w:r>
        <w:rPr>
          <w:rFonts w:hint="eastAsia"/>
          <w:color w:val="auto"/>
          <w:sz w:val="24"/>
          <w:szCs w:val="24"/>
        </w:rPr>
        <w:t>无特殊要求，服务要求中已作要求的从其要求。</w:t>
      </w:r>
    </w:p>
    <w:p>
      <w:pPr>
        <w:adjustRightInd w:val="0"/>
        <w:snapToGrid w:val="0"/>
        <w:spacing w:line="300" w:lineRule="auto"/>
        <w:ind w:firstLine="564" w:firstLineChars="235"/>
        <w:jc w:val="left"/>
        <w:rPr>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9保险、所涉货物包装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pPr>
        <w:adjustRightInd w:val="0"/>
        <w:snapToGrid w:val="0"/>
        <w:spacing w:line="300" w:lineRule="auto"/>
        <w:ind w:firstLine="564" w:firstLineChars="235"/>
        <w:jc w:val="left"/>
        <w:rPr>
          <w:color w:val="auto"/>
          <w:sz w:val="24"/>
          <w:szCs w:val="24"/>
        </w:rPr>
      </w:pPr>
      <w:r>
        <w:rPr>
          <w:rFonts w:hint="eastAsia"/>
          <w:color w:val="auto"/>
          <w:sz w:val="24"/>
          <w:szCs w:val="24"/>
        </w:rPr>
        <w:t>投标人应遵循国家相关保险的规定，依照法规规定，根据项目属性需要，办理货物设施等的财产保险、危险作业人员的工伤和意外伤害保险、设计和工程保险、第三方责任险，相关保险费用及相应责任由中标人承担。</w:t>
      </w:r>
    </w:p>
    <w:p>
      <w:pPr>
        <w:adjustRightInd w:val="0"/>
        <w:snapToGrid w:val="0"/>
        <w:spacing w:line="300" w:lineRule="auto"/>
        <w:ind w:firstLine="564" w:firstLineChars="235"/>
        <w:jc w:val="left"/>
        <w:rPr>
          <w:color w:val="auto"/>
          <w:sz w:val="24"/>
          <w:szCs w:val="24"/>
        </w:rPr>
      </w:pPr>
      <w:r>
        <w:rPr>
          <w:rFonts w:hint="eastAsia"/>
          <w:color w:val="auto"/>
          <w:sz w:val="24"/>
          <w:szCs w:val="24"/>
        </w:rPr>
        <w:t>2.9.2所涉货物包装：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中标人负责按国家相关标准进行货物包装，设备的包装均应有良好的防湿、防锈、防潮、防雨、防腐及防碰撞的措施，凡由于包装不良造成的损失和由此产生的费用均由中标人承担。</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w:t>
      </w:r>
      <w:r>
        <w:rPr>
          <w:rFonts w:ascii="黑体" w:hAnsi="黑体" w:eastAsia="黑体"/>
          <w:b/>
          <w:color w:val="auto"/>
          <w:sz w:val="24"/>
          <w:szCs w:val="24"/>
        </w:rPr>
        <w:t xml:space="preserve"> </w:t>
      </w:r>
      <w:r>
        <w:rPr>
          <w:rFonts w:hint="eastAsia" w:ascii="黑体" w:hAnsi="黑体" w:eastAsia="黑体"/>
          <w:b/>
          <w:color w:val="auto"/>
          <w:sz w:val="24"/>
          <w:szCs w:val="24"/>
        </w:rPr>
        <w:t>采购标的的验收标准</w:t>
      </w:r>
    </w:p>
    <w:p>
      <w:pPr>
        <w:adjustRightInd w:val="0"/>
        <w:snapToGrid w:val="0"/>
        <w:spacing w:line="300" w:lineRule="auto"/>
        <w:ind w:firstLine="564" w:firstLineChars="235"/>
        <w:jc w:val="left"/>
        <w:rPr>
          <w:rFonts w:ascii="宋体" w:hAns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第9条“验收”条款。</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pPr>
        <w:adjustRightInd w:val="0"/>
        <w:snapToGrid w:val="0"/>
        <w:spacing w:beforeLines="50" w:line="300" w:lineRule="auto"/>
        <w:rPr>
          <w:rFonts w:ascii="黑体" w:hAnsi="黑体" w:eastAsia="黑体"/>
          <w:b/>
          <w:color w:val="auto"/>
          <w:sz w:val="24"/>
          <w:szCs w:val="24"/>
        </w:rPr>
      </w:pPr>
      <w:r>
        <w:rPr>
          <w:rFonts w:hint="eastAsia" w:ascii="黑体" w:hAnsi="黑体" w:eastAsia="黑体"/>
          <w:b/>
          <w:color w:val="auto"/>
          <w:sz w:val="24"/>
          <w:szCs w:val="24"/>
        </w:rPr>
        <w:t xml:space="preserve">   </w:t>
      </w:r>
      <w:r>
        <w:rPr>
          <w:rFonts w:hint="eastAsia"/>
          <w:color w:val="auto"/>
          <w:sz w:val="24"/>
          <w:szCs w:val="24"/>
        </w:rPr>
        <w:t>无</w:t>
      </w:r>
    </w:p>
    <w:p>
      <w:pPr>
        <w:adjustRightInd w:val="0"/>
        <w:snapToGrid w:val="0"/>
        <w:spacing w:beforeLines="50" w:line="300" w:lineRule="auto"/>
        <w:rPr>
          <w:rFonts w:ascii="黑体" w:hAnsi="黑体" w:eastAsia="黑体"/>
          <w:b/>
          <w:color w:val="auto"/>
          <w:sz w:val="24"/>
          <w:szCs w:val="24"/>
        </w:rPr>
      </w:pPr>
    </w:p>
    <w:p>
      <w:pPr>
        <w:adjustRightInd w:val="0"/>
        <w:snapToGrid w:val="0"/>
        <w:spacing w:beforeLines="50" w:line="300" w:lineRule="auto"/>
        <w:ind w:firstLine="562" w:firstLineChars="200"/>
        <w:outlineLvl w:val="1"/>
        <w:rPr>
          <w:rFonts w:ascii="黑体" w:hAnsi="黑体" w:eastAsia="黑体"/>
          <w:b/>
          <w:color w:val="auto"/>
          <w:sz w:val="28"/>
        </w:rPr>
      </w:pPr>
      <w:bookmarkStart w:id="24" w:name="_Toc153542585"/>
      <w:bookmarkStart w:id="25" w:name="_Toc65676676"/>
      <w:r>
        <w:rPr>
          <w:rFonts w:hint="eastAsia" w:ascii="黑体" w:hAnsi="黑体" w:eastAsia="黑体"/>
          <w:b/>
          <w:color w:val="auto"/>
          <w:sz w:val="28"/>
        </w:rPr>
        <w:t>3</w:t>
      </w:r>
      <w:r>
        <w:rPr>
          <w:rFonts w:ascii="黑体" w:hAnsi="黑体" w:eastAsia="黑体"/>
          <w:b/>
          <w:color w:val="auto"/>
          <w:sz w:val="28"/>
        </w:rPr>
        <w:t xml:space="preserve">. </w:t>
      </w:r>
      <w:r>
        <w:rPr>
          <w:rFonts w:hint="eastAsia" w:ascii="黑体" w:hAnsi="黑体" w:eastAsia="黑体"/>
          <w:b/>
          <w:color w:val="auto"/>
          <w:sz w:val="28"/>
        </w:rPr>
        <w:t>项目其他要求</w:t>
      </w:r>
      <w:bookmarkEnd w:id="24"/>
      <w:bookmarkEnd w:id="25"/>
    </w:p>
    <w:p>
      <w:pPr>
        <w:adjustRightInd w:val="0"/>
        <w:snapToGrid w:val="0"/>
        <w:spacing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无</w:t>
      </w:r>
    </w:p>
    <w:p>
      <w:pPr>
        <w:spacing w:line="360" w:lineRule="auto"/>
        <w:ind w:right="238"/>
        <w:outlineLvl w:val="0"/>
        <w:rPr>
          <w:rFonts w:ascii="黑体" w:hAnsi="黑体" w:eastAsia="黑体"/>
          <w:b/>
          <w:color w:val="auto"/>
          <w:sz w:val="24"/>
          <w:szCs w:val="24"/>
        </w:rPr>
      </w:pPr>
      <w:r>
        <w:rPr>
          <w:rFonts w:ascii="黑体" w:hAnsi="黑体" w:eastAsia="黑体"/>
          <w:b/>
          <w:color w:val="auto"/>
          <w:sz w:val="24"/>
          <w:szCs w:val="24"/>
        </w:rPr>
        <w:br w:type="page"/>
      </w:r>
    </w:p>
    <w:p>
      <w:pPr>
        <w:spacing w:line="360" w:lineRule="auto"/>
        <w:ind w:right="238"/>
        <w:jc w:val="center"/>
        <w:outlineLvl w:val="0"/>
        <w:rPr>
          <w:rFonts w:eastAsia="黑体"/>
          <w:b/>
          <w:color w:val="auto"/>
          <w:sz w:val="36"/>
          <w:szCs w:val="36"/>
        </w:rPr>
      </w:pPr>
      <w:bookmarkStart w:id="26" w:name="_Toc153542586"/>
      <w:r>
        <w:rPr>
          <w:rFonts w:hint="eastAsia" w:eastAsia="黑体"/>
          <w:b/>
          <w:color w:val="auto"/>
          <w:sz w:val="36"/>
          <w:szCs w:val="36"/>
        </w:rPr>
        <w:t>第三章</w:t>
      </w:r>
      <w:r>
        <w:rPr>
          <w:rFonts w:eastAsia="黑体"/>
          <w:b/>
          <w:color w:val="auto"/>
          <w:sz w:val="36"/>
          <w:szCs w:val="36"/>
        </w:rPr>
        <w:t xml:space="preserve">  </w:t>
      </w:r>
      <w:r>
        <w:rPr>
          <w:rFonts w:hint="eastAsia" w:eastAsia="黑体"/>
          <w:b/>
          <w:color w:val="auto"/>
          <w:sz w:val="36"/>
          <w:szCs w:val="36"/>
        </w:rPr>
        <w:t>投标人须知</w:t>
      </w:r>
      <w:bookmarkEnd w:id="26"/>
    </w:p>
    <w:p>
      <w:pPr>
        <w:spacing w:line="360" w:lineRule="auto"/>
        <w:ind w:right="240"/>
        <w:jc w:val="center"/>
        <w:rPr>
          <w:rFonts w:eastAsia="黑体"/>
          <w:b/>
          <w:color w:val="auto"/>
          <w:spacing w:val="36"/>
          <w:sz w:val="36"/>
          <w:szCs w:val="36"/>
        </w:rPr>
      </w:pPr>
    </w:p>
    <w:p>
      <w:pPr>
        <w:spacing w:line="360" w:lineRule="auto"/>
        <w:ind w:right="238"/>
        <w:jc w:val="left"/>
        <w:outlineLvl w:val="1"/>
        <w:rPr>
          <w:rFonts w:eastAsia="黑体"/>
          <w:b/>
          <w:color w:val="auto"/>
          <w:sz w:val="28"/>
          <w:szCs w:val="28"/>
        </w:rPr>
      </w:pPr>
      <w:bookmarkStart w:id="27" w:name="_Toc153542587"/>
      <w:r>
        <w:rPr>
          <w:rFonts w:hint="eastAsia" w:eastAsia="黑体"/>
          <w:b/>
          <w:color w:val="auto"/>
          <w:sz w:val="28"/>
          <w:szCs w:val="28"/>
        </w:rPr>
        <w:t>投标人须知前附表</w:t>
      </w:r>
      <w:bookmarkEnd w:id="27"/>
    </w:p>
    <w:tbl>
      <w:tblPr>
        <w:tblStyle w:val="19"/>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99"/>
        <w:gridCol w:w="2386"/>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3" w:type="dxa"/>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vAlign w:val="center"/>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2386" w:type="dxa"/>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165" w:type="dxa"/>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restart"/>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2386" w:type="dxa"/>
            <w:vAlign w:val="center"/>
          </w:tcPr>
          <w:p>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招标项目名称</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pPr>
              <w:autoSpaceDE w:val="0"/>
              <w:autoSpaceDN w:val="0"/>
              <w:adjustRightInd w:val="0"/>
              <w:snapToGrid w:val="0"/>
              <w:spacing w:line="240" w:lineRule="auto"/>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pPr>
              <w:autoSpaceDE w:val="0"/>
              <w:autoSpaceDN w:val="0"/>
              <w:adjustRightInd w:val="0"/>
              <w:snapToGrid w:val="0"/>
              <w:spacing w:line="240" w:lineRule="auto"/>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公开</w:t>
            </w:r>
            <w:r>
              <w:rPr>
                <w:color w:val="auto"/>
                <w:sz w:val="24"/>
                <w:szCs w:val="24"/>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r>
              <w:rPr>
                <w:rFonts w:hint="eastAsia" w:ascii="宋体" w:hAnsi="宋体" w:cs="楷体_GB2312"/>
                <w:b/>
                <w:color w:val="auto"/>
                <w:sz w:val="24"/>
                <w:lang w:val="zh-CN"/>
              </w:rPr>
              <w:t>注：投标人的投标报价未超过</w:t>
            </w:r>
            <w:r>
              <w:rPr>
                <w:rFonts w:hint="eastAsia" w:ascii="宋体" w:hAnsi="宋体" w:cs="楷体_GB2312"/>
                <w:b/>
                <w:bCs/>
                <w:color w:val="auto"/>
                <w:sz w:val="24"/>
                <w:lang w:val="zh-CN"/>
              </w:rPr>
              <w:t>预算金额</w:t>
            </w:r>
            <w:r>
              <w:rPr>
                <w:rFonts w:hint="eastAsia" w:ascii="宋体" w:hAnsi="宋体" w:cs="楷体_GB2312"/>
                <w:b/>
                <w:color w:val="auto"/>
                <w:sz w:val="24"/>
                <w:lang w:val="zh-CN"/>
              </w:rPr>
              <w:t>的不足三家时，该标段（包）废标。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restart"/>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见“第二章招标项目要求及采购需求”相应条款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交付&lt;实施&gt;期</w:t>
            </w:r>
          </w:p>
        </w:tc>
        <w:tc>
          <w:tcPr>
            <w:tcW w:w="6165" w:type="dxa"/>
            <w:vAlign w:val="center"/>
          </w:tcPr>
          <w:p>
            <w:pPr>
              <w:autoSpaceDE w:val="0"/>
              <w:autoSpaceDN w:val="0"/>
              <w:adjustRightInd w:val="0"/>
              <w:snapToGrid w:val="0"/>
              <w:spacing w:beforeLines="50" w:line="240" w:lineRule="auto"/>
              <w:rPr>
                <w:rFonts w:ascii="宋体" w:cs="楷体_GB2312"/>
                <w:bCs/>
                <w:color w:val="auto"/>
                <w:sz w:val="24"/>
                <w:lang w:val="zh-CN"/>
              </w:rPr>
            </w:pPr>
            <w:r>
              <w:rPr>
                <w:rFonts w:hint="eastAsia" w:ascii="宋体" w:hAnsi="宋体"/>
                <w:color w:val="auto"/>
                <w:sz w:val="24"/>
              </w:rPr>
              <w:t>见“第二章招标项目要求及采购需求”</w:t>
            </w:r>
            <w:r>
              <w:rPr>
                <w:rFonts w:hint="eastAsia"/>
                <w:color w:val="auto"/>
                <w:sz w:val="24"/>
                <w:szCs w:val="24"/>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交付（实施）</w:t>
            </w:r>
            <w:r>
              <w:rPr>
                <w:rFonts w:hint="eastAsia" w:ascii="宋体" w:hAnsi="宋体" w:cs="楷体_GB2312"/>
                <w:b/>
                <w:bCs/>
                <w:color w:val="auto"/>
                <w:sz w:val="24"/>
                <w:lang w:val="zh-CN"/>
              </w:rPr>
              <w:t>地</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2386" w:type="dxa"/>
            <w:vAlign w:val="center"/>
          </w:tcPr>
          <w:p>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投标报价</w:t>
            </w:r>
          </w:p>
        </w:tc>
        <w:tc>
          <w:tcPr>
            <w:tcW w:w="6165" w:type="dxa"/>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见“第二章招标项目要求及采购需求”相应条款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标段（包）内容（范围）及具体采购需求</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开标前答疑会</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构成招标文件的其他材料</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2.2.1</w:t>
            </w:r>
          </w:p>
        </w:tc>
        <w:tc>
          <w:tcPr>
            <w:tcW w:w="2386" w:type="dxa"/>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165" w:type="dxa"/>
            <w:vAlign w:val="center"/>
          </w:tcPr>
          <w:p>
            <w:pPr>
              <w:autoSpaceDE w:val="0"/>
              <w:autoSpaceDN w:val="0"/>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公告期结束或获取招标文件</w:t>
            </w:r>
            <w:r>
              <w:rPr>
                <w:rFonts w:ascii="宋体" w:hAnsi="宋体" w:cs="楷体_GB2312"/>
                <w:color w:val="auto"/>
                <w:sz w:val="24"/>
                <w:lang w:val="zh-CN"/>
              </w:rPr>
              <w:t>7</w:t>
            </w:r>
            <w:r>
              <w:rPr>
                <w:rFonts w:hint="eastAsia" w:ascii="宋体" w:hAnsi="宋体" w:cs="楷体_GB2312"/>
                <w:color w:val="auto"/>
                <w:sz w:val="24"/>
                <w:lang w:val="zh-CN"/>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2.3</w:t>
            </w:r>
          </w:p>
        </w:tc>
        <w:tc>
          <w:tcPr>
            <w:tcW w:w="2386" w:type="dxa"/>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招标文件的澄清修改补充告知方式</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4</w:t>
            </w:r>
          </w:p>
        </w:tc>
        <w:tc>
          <w:tcPr>
            <w:tcW w:w="2386" w:type="dxa"/>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招标文件澄清修改补充时间</w:t>
            </w:r>
          </w:p>
        </w:tc>
        <w:tc>
          <w:tcPr>
            <w:tcW w:w="6165" w:type="dxa"/>
            <w:vAlign w:val="center"/>
          </w:tcPr>
          <w:p>
            <w:pPr>
              <w:autoSpaceDE w:val="0"/>
              <w:autoSpaceDN w:val="0"/>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15</w:t>
            </w:r>
            <w:r>
              <w:rPr>
                <w:rFonts w:hint="eastAsia" w:ascii="宋体" w:hAnsi="宋体" w:cs="楷体_GB2312"/>
                <w:color w:val="auto"/>
                <w:sz w:val="24"/>
                <w:lang w:val="zh-CN"/>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构成投标文件的其他材料</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restart"/>
          </w:tcPr>
          <w:p>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（替代投标保证金）</w:t>
            </w:r>
          </w:p>
        </w:tc>
        <w:tc>
          <w:tcPr>
            <w:tcW w:w="6165" w:type="dxa"/>
            <w:vAlign w:val="center"/>
          </w:tcPr>
          <w:p>
            <w:pPr>
              <w:widowControl w:val="0"/>
              <w:snapToGrid w:val="0"/>
              <w:spacing w:beforeLines="50" w:line="240" w:lineRule="auto"/>
              <w:rPr>
                <w:color w:val="auto"/>
                <w:sz w:val="24"/>
                <w:szCs w:val="24"/>
              </w:rPr>
            </w:pPr>
            <w:r>
              <w:rPr>
                <w:rFonts w:hint="eastAsia"/>
                <w:color w:val="auto"/>
                <w:sz w:val="24"/>
                <w:szCs w:val="24"/>
              </w:rPr>
              <w:t>以投标承诺函形式替代投标保证金。</w:t>
            </w:r>
          </w:p>
          <w:p>
            <w:pPr>
              <w:pStyle w:val="53"/>
              <w:snapToGrid w:val="0"/>
              <w:spacing w:beforeLines="50" w:beforeAutospacing="0" w:after="0" w:afterAutospacing="0"/>
              <w:jc w:val="both"/>
              <w:rPr>
                <w:sz w:val="24"/>
                <w:szCs w:val="24"/>
              </w:rPr>
            </w:pPr>
            <w:r>
              <w:rPr>
                <w:rFonts w:hint="eastAsia"/>
                <w:sz w:val="24"/>
                <w:szCs w:val="24"/>
              </w:rPr>
              <w:t>供应商应按附件格式进行投标承诺、违背承诺的责任追究。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165" w:type="dxa"/>
            <w:vAlign w:val="center"/>
          </w:tcPr>
          <w:p>
            <w:pPr>
              <w:widowControl w:val="0"/>
              <w:snapToGrid w:val="0"/>
              <w:spacing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w:t>
            </w:r>
            <w:r>
              <w:rPr>
                <w:rFonts w:hint="eastAsia" w:ascii="宋体" w:hAnsi="宋体" w:cs="楷体_GB2312"/>
                <w:b/>
                <w:bCs/>
                <w:color w:val="auto"/>
                <w:szCs w:val="21"/>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w:t>
            </w:r>
            <w:r>
              <w:rPr>
                <w:rFonts w:hint="eastAsia" w:ascii="宋体" w:hAnsi="宋体" w:cs="楷体_GB2312"/>
                <w:b/>
                <w:bCs/>
                <w:color w:val="auto"/>
                <w:szCs w:val="21"/>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7.1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评标委员会的组建</w:t>
            </w:r>
          </w:p>
        </w:tc>
        <w:tc>
          <w:tcPr>
            <w:tcW w:w="6165" w:type="dxa"/>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8.1</w:t>
            </w:r>
          </w:p>
        </w:tc>
        <w:tc>
          <w:tcPr>
            <w:tcW w:w="2386" w:type="dxa"/>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是否授权评标委员会确定中标人</w:t>
            </w:r>
          </w:p>
        </w:tc>
        <w:tc>
          <w:tcPr>
            <w:tcW w:w="6165" w:type="dxa"/>
            <w:vAlign w:val="center"/>
          </w:tcPr>
          <w:p>
            <w:pPr>
              <w:adjustRightInd w:val="0"/>
              <w:snapToGrid w:val="0"/>
              <w:spacing w:beforeLines="50" w:line="240" w:lineRule="auto"/>
              <w:rPr>
                <w:rFonts w:ascii="宋体"/>
                <w:color w:val="auto"/>
                <w:sz w:val="24"/>
              </w:rPr>
            </w:pPr>
            <w:r>
              <w:rPr>
                <w:rFonts w:hint="eastAsia" w:ascii="宋体" w:hAnsi="宋体"/>
                <w:color w:val="auto"/>
                <w:sz w:val="24"/>
              </w:rPr>
              <w:t>是。评标委员会按照综合得分由高到低的顺序提出</w:t>
            </w:r>
            <w:r>
              <w:rPr>
                <w:rFonts w:ascii="宋体" w:hAnsi="宋体"/>
                <w:color w:val="auto"/>
                <w:sz w:val="24"/>
              </w:rPr>
              <w:t>3</w:t>
            </w:r>
            <w:r>
              <w:rPr>
                <w:rFonts w:hint="eastAsia" w:ascii="宋体" w:hAnsi="宋体"/>
                <w:color w:val="auto"/>
                <w:sz w:val="24"/>
              </w:rPr>
              <w:t>名中标候选人，并确定排名第一的中标候选人为中标人。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8.2</w:t>
            </w:r>
          </w:p>
        </w:tc>
        <w:tc>
          <w:tcPr>
            <w:tcW w:w="2386" w:type="dxa"/>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中标结果公告</w:t>
            </w:r>
          </w:p>
        </w:tc>
        <w:tc>
          <w:tcPr>
            <w:tcW w:w="6165" w:type="dxa"/>
            <w:vAlign w:val="center"/>
          </w:tcPr>
          <w:p>
            <w:pPr>
              <w:adjustRightInd w:val="0"/>
              <w:snapToGrid w:val="0"/>
              <w:spacing w:beforeLines="50" w:line="240" w:lineRule="auto"/>
              <w:rPr>
                <w:rFonts w:ascii="宋体" w:hAnsi="宋体"/>
                <w:color w:val="auto"/>
                <w:sz w:val="24"/>
              </w:rPr>
            </w:pPr>
            <w:r>
              <w:rPr>
                <w:rFonts w:hint="eastAsia" w:ascii="宋体" w:hAnsi="宋体"/>
                <w:color w:val="auto"/>
                <w:sz w:val="24"/>
              </w:rPr>
              <w:t>本次公开招标的中标结果将在中标人确定之日当天在招标公告所述媒介公告</w:t>
            </w:r>
            <w:r>
              <w:rPr>
                <w:rFonts w:ascii="宋体" w:hAnsi="宋体"/>
                <w:color w:val="auto"/>
                <w:sz w:val="24"/>
              </w:rPr>
              <w:t>1</w:t>
            </w:r>
            <w:r>
              <w:rPr>
                <w:rFonts w:hint="eastAsia" w:ascii="宋体" w:hAnsi="宋体"/>
                <w:color w:val="auto"/>
                <w:sz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质疑、投诉</w:t>
            </w:r>
          </w:p>
        </w:tc>
        <w:tc>
          <w:tcPr>
            <w:tcW w:w="6165" w:type="dxa"/>
            <w:vAlign w:val="center"/>
          </w:tcPr>
          <w:p>
            <w:pPr>
              <w:rPr>
                <w:rFonts w:ascii="宋体" w:hAns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中标通知书</w:t>
            </w:r>
          </w:p>
        </w:tc>
        <w:tc>
          <w:tcPr>
            <w:tcW w:w="6165" w:type="dxa"/>
            <w:vAlign w:val="center"/>
          </w:tcPr>
          <w:p>
            <w:pPr>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采购代理机构在中标人确定当天向中标人发出中标通知书。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8.5</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165" w:type="dxa"/>
            <w:vAlign w:val="center"/>
          </w:tcPr>
          <w:p>
            <w:pPr>
              <w:widowControl w:val="0"/>
              <w:snapToGrid w:val="0"/>
              <w:spacing w:beforeLines="50" w:line="240" w:lineRule="auto"/>
              <w:rPr>
                <w:color w:val="auto"/>
                <w:sz w:val="24"/>
                <w:szCs w:val="24"/>
              </w:rPr>
            </w:pPr>
            <w:r>
              <w:rPr>
                <w:rFonts w:hint="eastAsia"/>
                <w:color w:val="auto"/>
                <w:sz w:val="24"/>
                <w:szCs w:val="24"/>
              </w:rPr>
              <w:t>不需缴纳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9</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165" w:type="dxa"/>
            <w:vAlign w:val="center"/>
          </w:tcPr>
          <w:p>
            <w:pPr>
              <w:widowControl w:val="0"/>
              <w:snapToGrid w:val="0"/>
              <w:spacing w:beforeLines="50" w:line="240" w:lineRule="auto"/>
              <w:rPr>
                <w:color w:val="auto"/>
                <w:sz w:val="24"/>
                <w:szCs w:val="24"/>
              </w:rPr>
            </w:pPr>
            <w:r>
              <w:rPr>
                <w:rFonts w:hint="eastAsia"/>
                <w:color w:val="auto"/>
                <w:sz w:val="24"/>
                <w:szCs w:val="24"/>
              </w:rPr>
              <w:t>见“第三章投标人须知”相应条款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pacing w:line="360" w:lineRule="auto"/>
              <w:rPr>
                <w:rFonts w:ascii="宋体" w:cs="楷体_GB2312"/>
                <w:b/>
                <w:bCs/>
                <w:color w:val="auto"/>
                <w:sz w:val="24"/>
              </w:rPr>
            </w:pPr>
          </w:p>
        </w:tc>
        <w:tc>
          <w:tcPr>
            <w:tcW w:w="699" w:type="dxa"/>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165" w:type="dxa"/>
            <w:vAlign w:val="center"/>
          </w:tcPr>
          <w:p>
            <w:pPr>
              <w:snapToGrid w:val="0"/>
              <w:spacing w:beforeLines="50" w:line="240" w:lineRule="auto"/>
              <w:ind w:firstLine="480" w:firstLineChars="200"/>
              <w:rPr>
                <w:color w:val="auto"/>
                <w:sz w:val="24"/>
                <w:szCs w:val="24"/>
              </w:rPr>
            </w:pPr>
            <w:bookmarkStart w:id="28" w:name="OLE_LINK11"/>
            <w:r>
              <w:rPr>
                <w:rFonts w:hint="eastAsia"/>
                <w:color w:val="auto"/>
                <w:sz w:val="24"/>
                <w:szCs w:val="24"/>
              </w:rPr>
              <w:t>为进一步优化营商环境，根据安财购﹝</w:t>
            </w:r>
            <w:r>
              <w:rPr>
                <w:color w:val="auto"/>
                <w:sz w:val="24"/>
                <w:szCs w:val="24"/>
              </w:rPr>
              <w:t>2022</w:t>
            </w:r>
            <w:r>
              <w:rPr>
                <w:rFonts w:hint="eastAsia"/>
                <w:color w:val="auto"/>
                <w:sz w:val="24"/>
                <w:szCs w:val="24"/>
              </w:rPr>
              <w:t>﹞</w:t>
            </w:r>
            <w:r>
              <w:rPr>
                <w:color w:val="auto"/>
                <w:sz w:val="24"/>
                <w:szCs w:val="24"/>
              </w:rPr>
              <w:t>8</w:t>
            </w:r>
            <w:r>
              <w:rPr>
                <w:rFonts w:hint="eastAsia"/>
                <w:color w:val="auto"/>
                <w:sz w:val="24"/>
                <w:szCs w:val="24"/>
              </w:rPr>
              <w:t>号文件落实政府采购中小企业预付款的规定，采购人可在政府采购合同签订后，向中标人原则上预付不低于合同金额</w:t>
            </w:r>
            <w:r>
              <w:rPr>
                <w:color w:val="auto"/>
                <w:sz w:val="24"/>
                <w:szCs w:val="24"/>
              </w:rPr>
              <w:t>50%</w:t>
            </w:r>
            <w:r>
              <w:rPr>
                <w:rFonts w:hint="eastAsia"/>
                <w:color w:val="auto"/>
                <w:sz w:val="24"/>
                <w:szCs w:val="24"/>
              </w:rPr>
              <w:t>的预付款，中标人应向采购人提交预付款保函，未提供保函的，视同其放弃项目预付款的支付。</w:t>
            </w:r>
          </w:p>
          <w:p>
            <w:pPr>
              <w:snapToGrid w:val="0"/>
              <w:spacing w:beforeLines="50" w:line="240" w:lineRule="auto"/>
              <w:ind w:firstLine="480" w:firstLineChars="200"/>
              <w:rPr>
                <w:color w:val="auto"/>
                <w:sz w:val="24"/>
                <w:szCs w:val="24"/>
              </w:rPr>
            </w:pPr>
            <w:r>
              <w:rPr>
                <w:rFonts w:hint="eastAsia"/>
                <w:color w:val="auto"/>
                <w:sz w:val="24"/>
                <w:szCs w:val="24"/>
              </w:rPr>
              <w:t>按年度支付，采购人需持从“安阳市政府采购网”登录系统下载本项目带水印的《安阳市市直政府采购资金申请表》和《安阳市市直政府采购申报表》，以及《政府采购验收报告》和发票等，作为付款依据，报安阳市财政国库支付中心审核确认后一次无息付清剩余项目款。</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tcPr>
          <w:p>
            <w:pPr>
              <w:autoSpaceDE w:val="0"/>
              <w:autoSpaceDN w:val="0"/>
              <w:adjustRightInd w:val="0"/>
              <w:spacing w:line="360" w:lineRule="auto"/>
              <w:rPr>
                <w:rFonts w:ascii="宋体" w:cs="楷体_GB2312"/>
                <w:b/>
                <w:bCs/>
                <w:color w:val="auto"/>
                <w:sz w:val="24"/>
              </w:rPr>
            </w:pPr>
          </w:p>
        </w:tc>
        <w:tc>
          <w:tcPr>
            <w:tcW w:w="699" w:type="dxa"/>
            <w:vAlign w:val="center"/>
          </w:tcPr>
          <w:p>
            <w:pPr>
              <w:autoSpaceDE w:val="0"/>
              <w:autoSpaceDN w:val="0"/>
              <w:adjustRightInd w:val="0"/>
              <w:spacing w:line="360" w:lineRule="auto"/>
              <w:jc w:val="center"/>
              <w:rPr>
                <w:rFonts w:ascii="宋体" w:hAnsi="宋体" w:cs="楷体_GB2312"/>
                <w:b/>
                <w:bCs/>
                <w:color w:val="auto"/>
                <w:sz w:val="24"/>
              </w:rPr>
            </w:pPr>
            <w:r>
              <w:rPr>
                <w:rFonts w:ascii="宋体" w:hAnsi="宋体" w:cs="楷体_GB2312"/>
                <w:b/>
                <w:bCs/>
                <w:color w:val="auto"/>
                <w:sz w:val="24"/>
              </w:rPr>
              <w:t>11</w:t>
            </w:r>
          </w:p>
        </w:tc>
        <w:tc>
          <w:tcPr>
            <w:tcW w:w="2386" w:type="dxa"/>
            <w:vAlign w:val="center"/>
          </w:tcPr>
          <w:p>
            <w:pPr>
              <w:autoSpaceDE w:val="0"/>
              <w:autoSpaceDN w:val="0"/>
              <w:adjustRightInd w:val="0"/>
              <w:snapToGrid w:val="0"/>
              <w:spacing w:line="240" w:lineRule="auto"/>
              <w:jc w:val="center"/>
              <w:rPr>
                <w:rFonts w:ascii="宋体" w:hAnsi="宋体"/>
                <w:b/>
                <w:color w:val="auto"/>
                <w:sz w:val="24"/>
              </w:rPr>
            </w:pPr>
            <w:r>
              <w:rPr>
                <w:rFonts w:hint="eastAsia" w:ascii="宋体" w:hAnsi="宋体"/>
                <w:b/>
                <w:color w:val="auto"/>
                <w:sz w:val="24"/>
              </w:rPr>
              <w:t>代理服务费</w:t>
            </w:r>
          </w:p>
        </w:tc>
        <w:tc>
          <w:tcPr>
            <w:tcW w:w="6165" w:type="dxa"/>
            <w:vAlign w:val="center"/>
          </w:tcPr>
          <w:p>
            <w:pPr>
              <w:adjustRightInd w:val="0"/>
              <w:snapToGrid w:val="0"/>
              <w:spacing w:beforeLines="50" w:line="240" w:lineRule="auto"/>
              <w:rPr>
                <w:rFonts w:ascii="宋体"/>
                <w:b/>
                <w:color w:val="auto"/>
                <w:sz w:val="24"/>
              </w:rPr>
            </w:pPr>
            <w:r>
              <w:rPr>
                <w:rFonts w:hint="eastAsia" w:ascii="宋体" w:hAnsi="宋体"/>
                <w:color w:val="auto"/>
                <w:sz w:val="24"/>
              </w:rPr>
              <w:t>参照国家计委《招标代理服务收费管理暂行办法》（计价格【</w:t>
            </w:r>
            <w:r>
              <w:rPr>
                <w:rFonts w:ascii="宋体" w:hAnsi="宋体"/>
                <w:color w:val="auto"/>
                <w:sz w:val="24"/>
              </w:rPr>
              <w:t>2002</w:t>
            </w:r>
            <w:r>
              <w:rPr>
                <w:rFonts w:hint="eastAsia" w:ascii="宋体" w:hAnsi="宋体"/>
                <w:color w:val="auto"/>
                <w:sz w:val="24"/>
              </w:rPr>
              <w:t>】</w:t>
            </w:r>
            <w:r>
              <w:rPr>
                <w:rFonts w:ascii="宋体" w:hAnsi="宋体"/>
                <w:color w:val="auto"/>
                <w:sz w:val="24"/>
              </w:rPr>
              <w:t>1980</w:t>
            </w:r>
            <w:r>
              <w:rPr>
                <w:rFonts w:hint="eastAsia" w:ascii="宋体" w:hAnsi="宋体"/>
                <w:color w:val="auto"/>
                <w:sz w:val="24"/>
              </w:rPr>
              <w:t>号）、《国家发展和改革委员会办公厅关于招标代理服务费有关问题的通知》（发改办价格【</w:t>
            </w:r>
            <w:r>
              <w:rPr>
                <w:rFonts w:ascii="宋体" w:hAnsi="宋体"/>
                <w:color w:val="auto"/>
                <w:sz w:val="24"/>
              </w:rPr>
              <w:t>2003</w:t>
            </w:r>
            <w:r>
              <w:rPr>
                <w:rFonts w:hint="eastAsia" w:ascii="宋体" w:hAnsi="宋体"/>
                <w:color w:val="auto"/>
                <w:sz w:val="24"/>
              </w:rPr>
              <w:t>】</w:t>
            </w:r>
            <w:r>
              <w:rPr>
                <w:rFonts w:ascii="宋体" w:hAnsi="宋体"/>
                <w:color w:val="auto"/>
                <w:sz w:val="24"/>
              </w:rPr>
              <w:t>857</w:t>
            </w:r>
            <w:r>
              <w:rPr>
                <w:rFonts w:hint="eastAsia" w:ascii="宋体" w:hAnsi="宋体"/>
                <w:color w:val="auto"/>
                <w:sz w:val="24"/>
              </w:rPr>
              <w:t>号）及发改价格【</w:t>
            </w:r>
            <w:r>
              <w:rPr>
                <w:rFonts w:ascii="宋体" w:hAnsi="宋体"/>
                <w:color w:val="auto"/>
                <w:sz w:val="24"/>
              </w:rPr>
              <w:t>2011</w:t>
            </w:r>
            <w:r>
              <w:rPr>
                <w:rFonts w:hint="eastAsia" w:ascii="宋体" w:hAnsi="宋体"/>
                <w:color w:val="auto"/>
                <w:sz w:val="24"/>
              </w:rPr>
              <w:t>】</w:t>
            </w:r>
            <w:r>
              <w:rPr>
                <w:rFonts w:ascii="宋体" w:hAnsi="宋体"/>
                <w:color w:val="auto"/>
                <w:sz w:val="24"/>
              </w:rPr>
              <w:t>534</w:t>
            </w:r>
            <w:r>
              <w:rPr>
                <w:rFonts w:hint="eastAsia" w:ascii="宋体" w:hAnsi="宋体"/>
                <w:color w:val="auto"/>
                <w:sz w:val="24"/>
              </w:rPr>
              <w:t>号文件的规定，招标代理服务费由中标供应商支付。</w:t>
            </w:r>
          </w:p>
        </w:tc>
      </w:tr>
    </w:tbl>
    <w:p>
      <w:pPr>
        <w:autoSpaceDE w:val="0"/>
        <w:autoSpaceDN w:val="0"/>
        <w:adjustRightInd w:val="0"/>
        <w:spacing w:line="360" w:lineRule="auto"/>
        <w:ind w:firstLine="539"/>
        <w:rPr>
          <w:color w:val="auto"/>
        </w:rPr>
      </w:pPr>
      <w:r>
        <w:rPr>
          <w:color w:val="auto"/>
        </w:rPr>
        <w:br w:type="page"/>
      </w:r>
    </w:p>
    <w:p>
      <w:pPr>
        <w:autoSpaceDE w:val="0"/>
        <w:autoSpaceDN w:val="0"/>
        <w:adjustRightInd w:val="0"/>
        <w:snapToGrid w:val="0"/>
        <w:spacing w:beforeLines="50" w:line="300" w:lineRule="auto"/>
        <w:ind w:firstLine="539"/>
        <w:outlineLvl w:val="1"/>
        <w:rPr>
          <w:rFonts w:ascii="黑体" w:hAnsi="黑体" w:eastAsia="黑体"/>
          <w:color w:val="auto"/>
          <w:sz w:val="28"/>
          <w:szCs w:val="28"/>
          <w:lang w:val="zh-CN"/>
        </w:rPr>
      </w:pPr>
      <w:bookmarkStart w:id="29" w:name="_Toc153542588"/>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9"/>
    </w:p>
    <w:p>
      <w:pPr>
        <w:autoSpaceDE w:val="0"/>
        <w:autoSpaceDN w:val="0"/>
        <w:adjustRightInd w:val="0"/>
        <w:snapToGrid w:val="0"/>
        <w:spacing w:beforeLines="50" w:line="300" w:lineRule="auto"/>
        <w:ind w:firstLine="539"/>
        <w:rPr>
          <w:rFonts w:ascii="宋体"/>
          <w:color w:val="auto"/>
          <w:sz w:val="24"/>
          <w:szCs w:val="24"/>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 xml:space="preserve"> </w:t>
      </w:r>
      <w:r>
        <w:rPr>
          <w:rFonts w:hint="eastAsia" w:ascii="宋体" w:hAnsi="宋体"/>
          <w:color w:val="auto"/>
          <w:sz w:val="24"/>
          <w:szCs w:val="24"/>
        </w:rPr>
        <w:t>根据《中华人民共和国政府采购法》、《中华人民共和国政府采购法实施条例》、《政府采购货物和服务招标投标管理办法》及相关政府采购法律法规等制定本文件。</w:t>
      </w:r>
    </w:p>
    <w:p>
      <w:pPr>
        <w:adjustRightInd w:val="0"/>
        <w:snapToGrid w:val="0"/>
        <w:spacing w:beforeLines="50" w:line="300" w:lineRule="auto"/>
        <w:ind w:right="240"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1.2</w:t>
      </w:r>
      <w:r>
        <w:rPr>
          <w:rFonts w:hint="eastAsia" w:ascii="黑体" w:hAnsi="黑体" w:eastAsia="黑体" w:cs="楷体_GB2312"/>
          <w:b/>
          <w:color w:val="auto"/>
          <w:sz w:val="24"/>
          <w:lang w:val="zh-CN"/>
        </w:rPr>
        <w:t>招标文件的法律适用及法律效力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所述内容，仅适用于本次项目采购。</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招标文件</w:t>
      </w:r>
      <w:r>
        <w:rPr>
          <w:rFonts w:hint="eastAsia" w:ascii="宋体" w:hAnsi="宋体"/>
          <w:color w:val="auto"/>
          <w:sz w:val="24"/>
          <w:szCs w:val="24"/>
        </w:rPr>
        <w:t>的修改性文件、补充文件、澄清文件或说明具有同等法律效力。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适用于并执行《政府采购法》和其它相关的法律、法规。</w:t>
      </w:r>
    </w:p>
    <w:p>
      <w:pPr>
        <w:adjustRightInd w:val="0"/>
        <w:snapToGrid w:val="0"/>
        <w:spacing w:beforeLines="50" w:line="300" w:lineRule="auto"/>
        <w:ind w:right="240" w:firstLine="600" w:firstLineChars="250"/>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的解释权属采购人及代理机构。</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1.3</w:t>
      </w:r>
      <w:r>
        <w:rPr>
          <w:rFonts w:hint="eastAsia" w:ascii="黑体" w:hAnsi="黑体" w:eastAsia="黑体" w:cs="楷体_GB2312"/>
          <w:b/>
          <w:color w:val="auto"/>
          <w:sz w:val="24"/>
          <w:lang w:val="zh-CN"/>
        </w:rPr>
        <w:t xml:space="preserve"> 合格的投标人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凡符合招标文件规定，承认本招标文件所有内容的投标人为合格的投标人。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为招标项目提供整体设计、规范编制或者项目管理、监理、检测等服务的供应商，不得再参加该招标项目的其他采购活动。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投标人应遵守国家法律、法规和招标文件的规定。不得违背国家利益、社会公众利益。</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投标人须知前附表规定接受联合体投标的，应遵守以下规定：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2</w:t>
      </w:r>
      <w:r>
        <w:rPr>
          <w:rFonts w:hint="eastAsia" w:ascii="宋体" w:cs="楷体_GB2312"/>
          <w:color w:val="auto"/>
          <w:sz w:val="24"/>
          <w:lang w:val="zh-CN"/>
        </w:rPr>
        <w:t>）</w:t>
      </w:r>
      <w:r>
        <w:rPr>
          <w:rFonts w:hint="eastAsia" w:ascii="宋体" w:hAnsi="宋体" w:cs="楷体_GB2312"/>
          <w:color w:val="auto"/>
          <w:sz w:val="24"/>
          <w:lang w:val="zh-CN"/>
        </w:rPr>
        <w:t>以联合体形式参加投标的</w:t>
      </w:r>
      <w:r>
        <w:rPr>
          <w:rFonts w:hint="eastAsia" w:ascii="宋体" w:cs="楷体_GB2312"/>
          <w:color w:val="auto"/>
          <w:sz w:val="24"/>
          <w:lang w:val="zh-CN"/>
        </w:rPr>
        <w:t>，将对所有的联合体成员进行信用记录查询，联合体成员存在不良信用记录的，视同联合体存在不良信用记录，为无效投标。</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招标项目（标段&lt;包&gt;）的相应能力、具备规定的相应资格条件。</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）联合体中标的，联合体各方应当共同与采购人签订合同，就中标项目（标段&lt;包&gt;）向采购人承担连带责任。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rPr>
      </w:pPr>
      <w:r>
        <w:rPr>
          <w:rFonts w:hint="eastAsia" w:ascii="宋体" w:hAnsi="宋体"/>
          <w:color w:val="auto"/>
          <w:sz w:val="24"/>
        </w:rPr>
        <w:t>1.5.3 除非招标文件特别规定，采购人享有本项目实施过程中产生的知识成果及知识产权。</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投标费用</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 xml:space="preserve">7 </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参与公开招标活动的各方应对招标文件和投标文件中的商业和技术等秘密保密，投标人应在投标文件中对需保密事项予以书面声明，否则视为非保密事项。</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依据政府采购中标结果及合同公告规定，中标（合同）标的名称、规格型号、单价及中标（合同）金额等内容不得作为商业秘密。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 xml:space="preserve">8 </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.1 </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.2 </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不组织踏勘现场的，招标文件不单独提供交付（实施）地自然环境、气候条件、交验安装条件等情况说明，投标人被视为熟悉前述与履行合同有关的一切情况，投标人可自行踏勘现场并自行了解相关情况。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开标前答疑会</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采购人或者采购代理机构可以在招标文件提供期限截止后，组织已获取招标文件的潜在投标人召开开标前答疑会。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召开答疑会的，将在招标文件中载明，或者在招标文件提供期限截止后以书面形式通知所有获取招标文件的潜在投标人。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答疑会后，采购人及代理机构在投标人须知前附表规定的时间内，将对投标人依法提出的重要问题的澄清，以本章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项方式通告潜在投标人。该澄清内容为招标文件的组成部分。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分包</w:t>
      </w:r>
    </w:p>
    <w:p>
      <w:pPr>
        <w:autoSpaceDE w:val="0"/>
        <w:autoSpaceDN w:val="0"/>
        <w:adjustRightInd w:val="0"/>
        <w:snapToGrid w:val="0"/>
        <w:spacing w:beforeLines="50" w:line="300" w:lineRule="auto"/>
        <w:ind w:firstLine="539"/>
        <w:rPr>
          <w:rFonts w:ascii="宋体" w:hAnsi="宋体" w:cs="宋体"/>
          <w:color w:val="auto"/>
          <w:sz w:val="24"/>
        </w:rPr>
      </w:pPr>
      <w:r>
        <w:rPr>
          <w:rFonts w:hint="eastAsia" w:ascii="宋体" w:hAnsi="宋体" w:cs="楷体_GB2312"/>
          <w:color w:val="auto"/>
          <w:sz w:val="24"/>
          <w:lang w:val="zh-CN"/>
        </w:rPr>
        <w:t>投标人拟中标后将中标项目（标段&lt;包&gt;）的部分非主体、非关键性工作进行分包的，应符合投标人须知前附表规定的分包内容、分包金额和接受分包的第三人资质要求等限制性条件。投标人</w:t>
      </w:r>
      <w:r>
        <w:rPr>
          <w:rFonts w:hint="eastAsia" w:ascii="宋体" w:hAnsi="宋体" w:cs="宋体"/>
          <w:color w:val="auto"/>
          <w:sz w:val="24"/>
        </w:rPr>
        <w:t>应当在投标文件中载明分包承担主体，分包承担主体应当具备相应资质条件且不得再次分包。</w:t>
      </w:r>
    </w:p>
    <w:p>
      <w:pPr>
        <w:autoSpaceDE w:val="0"/>
        <w:autoSpaceDN w:val="0"/>
        <w:adjustRightInd w:val="0"/>
        <w:snapToGrid w:val="0"/>
        <w:spacing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pPr>
        <w:autoSpaceDE w:val="0"/>
        <w:autoSpaceDN w:val="0"/>
        <w:adjustRightInd w:val="0"/>
        <w:snapToGrid w:val="0"/>
        <w:spacing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 偏离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招标文件允许投标文件偏离招标文件某些要求的，偏离应当符合招标文件规定的偏离范围和幅度。</w:t>
      </w:r>
    </w:p>
    <w:p>
      <w:pPr>
        <w:autoSpaceDE w:val="0"/>
        <w:autoSpaceDN w:val="0"/>
        <w:adjustRightInd w:val="0"/>
        <w:snapToGrid w:val="0"/>
        <w:spacing w:beforeLines="50" w:line="30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30" w:name="_Toc153542589"/>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招标文件</w:t>
      </w:r>
      <w:bookmarkEnd w:id="30"/>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2.1 </w:t>
      </w:r>
      <w:r>
        <w:rPr>
          <w:rFonts w:hint="eastAsia" w:ascii="黑体" w:hAnsi="黑体" w:eastAsia="黑体" w:cs="楷体_GB2312"/>
          <w:b/>
          <w:color w:val="auto"/>
          <w:sz w:val="24"/>
          <w:lang w:val="zh-CN"/>
        </w:rPr>
        <w:t>招标文件的组成</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招标文件用以阐明招标项目的内容、程序和合同主要条款。招标文件由下述部分组成：</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）招标公告</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）招标项目要求及采购需求</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）评标办法</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款、对招标文件的澄清、修改、补充书构成招标文件的组成部分，并取代招标文件中被澄清、修改处，对所有投标人均有约束力。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当招标文件、招标文件的澄清、修改、补充等在同一内容的表述上不一致时，以最后发出（发布）的文件为准。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投标人与任何人的口头协议不影响《招标文件》的任何条款和内容。</w:t>
      </w:r>
    </w:p>
    <w:p>
      <w:pPr>
        <w:autoSpaceDE w:val="0"/>
        <w:autoSpaceDN w:val="0"/>
        <w:adjustRightInd w:val="0"/>
        <w:snapToGrid w:val="0"/>
        <w:spacing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投标人应仔细阅读和检查招标文件的全部内容是否齐全，如发现缺页或附件不全等遗漏，应及时向采购代理机构提出并索取补齐，否则责任及风险自负。</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招标文件的澄清</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采购代理机构对潜在投标人在规定的时间内提出的疑问，将按投标人须知前附表规定予以答复。</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pPr>
        <w:adjustRightInd w:val="0"/>
        <w:snapToGrid w:val="0"/>
        <w:spacing w:beforeLines="50" w:line="300" w:lineRule="auto"/>
        <w:ind w:firstLine="480" w:firstLineChars="200"/>
        <w:jc w:val="left"/>
        <w:rPr>
          <w:rFonts w:asci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招标文件的澄清、修改、补充</w:t>
      </w:r>
    </w:p>
    <w:p>
      <w:pPr>
        <w:autoSpaceDE w:val="0"/>
        <w:autoSpaceDN w:val="0"/>
        <w:adjustRightInd w:val="0"/>
        <w:snapToGrid w:val="0"/>
        <w:spacing w:beforeLines="50" w:line="300" w:lineRule="auto"/>
        <w:ind w:firstLine="537" w:firstLineChars="224"/>
        <w:rPr>
          <w:rFonts w:ascii="宋体" w:cs="楷体_GB2312"/>
          <w:color w:val="auto"/>
          <w:sz w:val="24"/>
          <w:lang w:val="zh-CN"/>
        </w:rPr>
      </w:pPr>
      <w:r>
        <w:rPr>
          <w:rFonts w:hint="eastAsia" w:ascii="宋体" w:hAnsi="宋体" w:cs="楷体_GB2312"/>
          <w:color w:val="auto"/>
          <w:sz w:val="24"/>
          <w:lang w:val="zh-CN"/>
        </w:rPr>
        <w:t>采购人、代理机构在投标截止时间前有权澄清修改、补充已发售的招标文件。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招标文件的澄清、修改、补充的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招标文件在投标截止时间前的所有澄清、修改（包括时间变更等）、补充事项，均在“招标公告”所述媒体予以公告。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无权限获知或通知潜在投标人，潜在投标人应随时关注“招标公告”所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相关项目信息（为免各部门网站出现维护等情况，潜在投标人应对“招标公告”所述媒体逐一查阅），如有遗漏，后果自负。</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.2招标文件的澄清、修改、补充书构成招标文件的组成部分，并取代招标文件中被澄清、修改处，对所有投标人均有约束力。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31" w:name="_Toc153542590"/>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w:t>
      </w:r>
      <w:bookmarkEnd w:id="31"/>
    </w:p>
    <w:p>
      <w:pPr>
        <w:autoSpaceDE w:val="0"/>
        <w:autoSpaceDN w:val="0"/>
        <w:adjustRightInd w:val="0"/>
        <w:snapToGrid w:val="0"/>
        <w:spacing w:beforeLines="50" w:line="300" w:lineRule="auto"/>
        <w:ind w:firstLine="539"/>
        <w:rPr>
          <w:rFonts w:ascii="宋体" w:cs="楷体_GB2312"/>
          <w:b/>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cs="楷体_GB2312"/>
          <w:b/>
          <w:color w:val="auto"/>
          <w:sz w:val="24"/>
          <w:lang w:val="zh-CN"/>
        </w:rPr>
        <w:t>无效投标。</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投标文件的组成</w:t>
      </w:r>
    </w:p>
    <w:p>
      <w:pPr>
        <w:adjustRightInd w:val="0"/>
        <w:snapToGrid w:val="0"/>
        <w:spacing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pPr>
        <w:adjustRightInd w:val="0"/>
        <w:snapToGrid w:val="0"/>
        <w:spacing w:beforeLines="50" w:line="300" w:lineRule="auto"/>
        <w:ind w:firstLine="539"/>
        <w:textAlignment w:val="top"/>
        <w:rPr>
          <w:rFonts w:ascii="宋体" w:hAnsi="宋体" w:cs="楷体_GB2312"/>
          <w:color w:val="auto"/>
          <w:sz w:val="24"/>
          <w:lang w:val="zh-CN"/>
        </w:rPr>
      </w:pPr>
      <w:r>
        <w:rPr>
          <w:rFonts w:ascii="宋体" w:hAnsi="宋体" w:cs="楷体_GB2312"/>
          <w:color w:val="auto"/>
          <w:sz w:val="24"/>
          <w:lang w:val="zh-CN"/>
        </w:rPr>
        <w:t>3.2.2</w:t>
      </w:r>
      <w:r>
        <w:rPr>
          <w:rFonts w:hint="eastAsia" w:ascii="宋体" w:hAnsi="宋体" w:cs="楷体_GB2312"/>
          <w:color w:val="auto"/>
          <w:sz w:val="24"/>
          <w:lang w:val="zh-CN"/>
        </w:rPr>
        <w:t>投标文件应包括下列内容：</w:t>
      </w:r>
    </w:p>
    <w:p>
      <w:pPr>
        <w:adjustRightInd w:val="0"/>
        <w:snapToGrid w:val="0"/>
        <w:spacing w:beforeLines="50" w:line="300" w:lineRule="auto"/>
        <w:ind w:firstLine="539"/>
        <w:textAlignment w:val="top"/>
        <w:rPr>
          <w:rFonts w:ascii="黑体" w:hAnsi="黑体" w:eastAsia="黑体"/>
          <w:b/>
          <w:color w:val="auto"/>
        </w:rPr>
      </w:pPr>
      <w:r>
        <w:rPr>
          <w:rFonts w:hint="eastAsia" w:ascii="黑体" w:hAnsi="黑体" w:eastAsia="黑体" w:cs="楷体_GB2312"/>
          <w:b/>
          <w:color w:val="auto"/>
          <w:sz w:val="24"/>
          <w:lang w:val="zh-CN"/>
        </w:rPr>
        <w:t>符</w:t>
      </w:r>
      <w:r>
        <w:rPr>
          <w:rFonts w:ascii="黑体" w:hAnsi="黑体" w:eastAsia="黑体" w:cs="楷体_GB2312"/>
          <w:b/>
          <w:color w:val="auto"/>
          <w:sz w:val="24"/>
          <w:lang w:val="zh-CN"/>
        </w:rPr>
        <w:t>合性</w:t>
      </w:r>
      <w:r>
        <w:rPr>
          <w:rFonts w:hint="eastAsia" w:ascii="黑体" w:hAnsi="黑体" w:eastAsia="黑体" w:cs="楷体_GB2312"/>
          <w:b/>
          <w:color w:val="auto"/>
          <w:sz w:val="24"/>
          <w:lang w:val="zh-CN"/>
        </w:rPr>
        <w:t>响应</w:t>
      </w:r>
      <w:r>
        <w:rPr>
          <w:rFonts w:ascii="黑体" w:hAnsi="黑体" w:eastAsia="黑体" w:cs="楷体_GB2312"/>
          <w:b/>
          <w:color w:val="auto"/>
          <w:sz w:val="24"/>
          <w:lang w:val="zh-CN"/>
        </w:rPr>
        <w:t>文件</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分项报价（即</w:t>
      </w:r>
      <w:r>
        <w:rPr>
          <w:rFonts w:ascii="宋体" w:hAnsi="宋体"/>
          <w:color w:val="auto"/>
          <w:sz w:val="24"/>
        </w:rPr>
        <w:t>投标人的</w:t>
      </w:r>
      <w:r>
        <w:rPr>
          <w:rFonts w:hint="eastAsia"/>
          <w:color w:val="auto"/>
          <w:sz w:val="24"/>
        </w:rPr>
        <w:t>投标报价明细表</w:t>
      </w:r>
      <w:r>
        <w:rPr>
          <w:rFonts w:ascii="宋体" w:hAnsi="宋体"/>
          <w:color w:val="auto"/>
          <w:sz w:val="24"/>
        </w:rPr>
        <w:t>）</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）服务方案及服务质量承诺</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）服务拟投入设备清单及其技术参数</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）服务拟投入的人员情况表</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）偏差表</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反商业贿赂承诺书。</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color w:val="auto"/>
          <w:sz w:val="24"/>
        </w:rPr>
        <w:t>履约承诺书。</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10</w:t>
      </w:r>
      <w:r>
        <w:rPr>
          <w:rFonts w:hint="eastAsia"/>
          <w:color w:val="auto"/>
          <w:sz w:val="24"/>
        </w:rPr>
        <w:t>）招标项目要求及采购需求所需的其他材料（按条款需要）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11</w:t>
      </w:r>
      <w:r>
        <w:rPr>
          <w:rFonts w:hint="eastAsia"/>
          <w:color w:val="auto"/>
          <w:sz w:val="24"/>
        </w:rPr>
        <w:t>）投标人须知所需的其他材料（按条款需要）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12</w:t>
      </w:r>
      <w:r>
        <w:rPr>
          <w:rFonts w:hint="eastAsia"/>
          <w:color w:val="auto"/>
          <w:sz w:val="24"/>
        </w:rPr>
        <w:t>）评标办法所需的其他材料（按条款需要）</w:t>
      </w:r>
    </w:p>
    <w:p>
      <w:pPr>
        <w:autoSpaceDE w:val="0"/>
        <w:autoSpaceDN w:val="0"/>
        <w:adjustRightInd w:val="0"/>
        <w:snapToGrid w:val="0"/>
        <w:spacing w:line="300" w:lineRule="auto"/>
        <w:ind w:firstLine="520" w:firstLineChars="217"/>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13</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adjustRightInd w:val="0"/>
        <w:snapToGrid w:val="0"/>
        <w:spacing w:beforeLines="50" w:line="300" w:lineRule="auto"/>
        <w:ind w:firstLine="539"/>
        <w:textAlignment w:val="top"/>
        <w:rPr>
          <w:rFonts w:ascii="黑体" w:hAnsi="黑体" w:eastAsia="黑体" w:cs="楷体_GB2312"/>
          <w:b/>
          <w:color w:val="auto"/>
          <w:sz w:val="24"/>
          <w:lang w:val="zh-CN"/>
        </w:rPr>
      </w:pPr>
      <w:r>
        <w:rPr>
          <w:rFonts w:hint="eastAsia" w:ascii="黑体" w:hAnsi="黑体" w:eastAsia="黑体" w:cs="楷体_GB2312"/>
          <w:b/>
          <w:color w:val="auto"/>
          <w:sz w:val="24"/>
          <w:lang w:val="zh-CN"/>
        </w:rPr>
        <w:t>资</w:t>
      </w:r>
      <w:r>
        <w:rPr>
          <w:rFonts w:ascii="黑体" w:hAnsi="黑体" w:eastAsia="黑体" w:cs="楷体_GB2312"/>
          <w:b/>
          <w:color w:val="auto"/>
          <w:sz w:val="24"/>
          <w:lang w:val="zh-CN"/>
        </w:rPr>
        <w:t>格性</w:t>
      </w:r>
      <w:r>
        <w:rPr>
          <w:rFonts w:hint="eastAsia" w:ascii="黑体" w:hAnsi="黑体" w:eastAsia="黑体" w:cs="楷体_GB2312"/>
          <w:b/>
          <w:color w:val="auto"/>
          <w:sz w:val="24"/>
          <w:lang w:val="zh-CN"/>
        </w:rPr>
        <w:t>证明文件</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14</w:t>
      </w:r>
      <w:r>
        <w:rPr>
          <w:rFonts w:hint="eastAsia" w:ascii="宋体" w:hAnsi="宋体" w:cs="楷体_GB2312"/>
          <w:color w:val="auto"/>
          <w:sz w:val="24"/>
          <w:lang w:val="zh-CN"/>
        </w:rPr>
        <w:t>）</w:t>
      </w:r>
      <w:r>
        <w:rPr>
          <w:rFonts w:hint="eastAsia"/>
          <w:color w:val="auto"/>
          <w:sz w:val="24"/>
        </w:rPr>
        <w:t>关于资格的声明函</w:t>
      </w:r>
    </w:p>
    <w:p>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color w:val="auto"/>
          <w:sz w:val="24"/>
        </w:rPr>
        <w:t>（</w:t>
      </w:r>
      <w:r>
        <w:rPr>
          <w:color w:val="auto"/>
          <w:sz w:val="24"/>
        </w:rPr>
        <w:t>15</w:t>
      </w:r>
      <w:r>
        <w:rPr>
          <w:rFonts w:hint="eastAsia"/>
          <w:color w:val="auto"/>
          <w:sz w:val="24"/>
        </w:rPr>
        <w:t>）资格要求相关证明材料（文件）</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w:t>
      </w:r>
      <w:r>
        <w:rPr>
          <w:rFonts w:hint="eastAsia" w:ascii="宋体" w:hAnsi="宋体" w:cs="楷体_GB2312"/>
          <w:color w:val="auto"/>
          <w:sz w:val="24"/>
          <w:lang w:val="zh-CN"/>
        </w:rPr>
        <w:t>3款规定，对投标文件的补充、修改、澄清、说明或者更正构成投标文件的组成部分，并取代投标文件中被澄清、修改处。</w:t>
      </w:r>
    </w:p>
    <w:p>
      <w:pPr>
        <w:topLinePunct/>
        <w:adjustRightInd w:val="0"/>
        <w:snapToGrid w:val="0"/>
        <w:spacing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在投标有效期内，投标人撤销或修改其投标文件的，依据招标文件“第三章3.5.5 违背承诺的责任追究措施”，投标人承担相应法律责任及违约责任。</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投标人的投标承诺函包含投标人承诺的事项及违背承诺的责任追究措施。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3.5.4.1、投标人应遵循公开、公平、公正和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3.5.4.2、投标人在政府采购活动中应提供真实、准确、有效、合法的材料，不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3.5.4.3、投标人</w:t>
      </w:r>
      <w:r>
        <w:rPr>
          <w:rFonts w:hint="eastAsia" w:ascii="宋体" w:hAnsi="宋体"/>
          <w:color w:val="auto"/>
          <w:sz w:val="24"/>
          <w:szCs w:val="24"/>
          <w:lang w:val="zh-CN"/>
        </w:rPr>
        <w:t>按照招标文件规定，在提交投标文件截止时间后，在招标文件规定的投标有效期限内不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撤回投标文件；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3.5.4.5、中标后</w:t>
      </w:r>
      <w:r>
        <w:rPr>
          <w:rFonts w:hint="eastAsia" w:ascii="宋体" w:hAnsi="宋体"/>
          <w:color w:val="auto"/>
          <w:sz w:val="24"/>
          <w:szCs w:val="24"/>
          <w:lang w:val="zh-CN"/>
        </w:rPr>
        <w:t>除不可抗拒力或</w:t>
      </w:r>
      <w:r>
        <w:rPr>
          <w:rFonts w:hint="eastAsia" w:ascii="宋体" w:hAnsi="宋体"/>
          <w:color w:val="auto"/>
          <w:sz w:val="24"/>
          <w:szCs w:val="24"/>
        </w:rPr>
        <w:t>招标</w:t>
      </w:r>
      <w:r>
        <w:rPr>
          <w:rFonts w:hint="eastAsia" w:ascii="宋体" w:hAnsi="宋体"/>
          <w:color w:val="auto"/>
          <w:sz w:val="24"/>
          <w:szCs w:val="24"/>
          <w:lang w:val="zh-CN"/>
        </w:rPr>
        <w:t>文件认可的情形外</w:t>
      </w:r>
      <w:r>
        <w:rPr>
          <w:rFonts w:hint="eastAsia" w:ascii="宋体" w:hAnsi="宋体"/>
          <w:color w:val="auto"/>
          <w:sz w:val="24"/>
          <w:szCs w:val="24"/>
        </w:rPr>
        <w:t>，投标人应及时领取中标通知书，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3.5.4.6、投标人应</w:t>
      </w:r>
      <w:r>
        <w:rPr>
          <w:rFonts w:hint="eastAsia" w:ascii="宋体" w:hAnsi="宋体"/>
          <w:color w:val="auto"/>
          <w:sz w:val="24"/>
          <w:szCs w:val="24"/>
          <w:lang w:val="zh-CN"/>
        </w:rPr>
        <w:t>遵守法律法规及招标文件规定的其他情况；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3.5.4.7、投标人应按招标文件规定及时缴纳中标服务费。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投标人如违背上述承诺事项，应无条件接受以下责任追究：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cs="楷体_GB2312"/>
          <w:color w:val="auto"/>
          <w:sz w:val="24"/>
          <w:lang w:val="zh-CN"/>
        </w:rPr>
      </w:pPr>
      <w:r>
        <w:rPr>
          <w:rFonts w:hint="eastAsia" w:ascii="宋体" w:hAnsi="宋体"/>
          <w:color w:val="auto"/>
          <w:sz w:val="24"/>
          <w:szCs w:val="24"/>
        </w:rPr>
        <w:t>3.5.5.2.3中标后未缴中标服务费的，作为违约及违背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pPr>
        <w:autoSpaceDE w:val="0"/>
        <w:autoSpaceDN w:val="0"/>
        <w:adjustRightInd w:val="0"/>
        <w:spacing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要求见招标公告</w:t>
      </w:r>
    </w:p>
    <w:p>
      <w:pPr>
        <w:topLinePunct/>
        <w:adjustRightInd w:val="0"/>
        <w:snapToGrid w:val="0"/>
        <w:spacing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投标文件应按第六章“投标文件格式”进行编写，如有必要，可以增加附页，作为投标文件的组成部分。招标文件中未列明格式的，由投标人按一般通用格式自行设计编写。</w:t>
      </w:r>
    </w:p>
    <w:p>
      <w:pPr>
        <w:topLinePunct/>
        <w:adjustRightInd w:val="0"/>
        <w:snapToGrid w:val="0"/>
        <w:spacing w:beforeLines="50" w:line="300" w:lineRule="auto"/>
        <w:ind w:firstLine="566" w:firstLineChars="235"/>
        <w:rPr>
          <w:rFonts w:ascii="宋体" w:hAnsi="宋体" w:cs="楷体_GB2312"/>
          <w:b/>
          <w:color w:val="auto"/>
          <w:sz w:val="24"/>
          <w:lang w:val="zh-CN"/>
        </w:rPr>
      </w:pPr>
      <w:r>
        <w:rPr>
          <w:rFonts w:hint="eastAsia" w:ascii="宋体" w:hAnsi="宋体" w:cs="楷体_GB2312"/>
          <w:b/>
          <w:color w:val="auto"/>
          <w:sz w:val="24"/>
          <w:lang w:val="zh-CN"/>
        </w:rPr>
        <w:t>投标文件编制后</w:t>
      </w:r>
      <w:r>
        <w:rPr>
          <w:rFonts w:ascii="宋体" w:hAnsi="宋体" w:cs="楷体_GB2312"/>
          <w:b/>
          <w:color w:val="auto"/>
          <w:sz w:val="24"/>
          <w:lang w:val="zh-CN"/>
        </w:rPr>
        <w:t>，需录入导入</w:t>
      </w:r>
      <w:r>
        <w:rPr>
          <w:rFonts w:hint="eastAsia" w:ascii="宋体" w:hAnsi="宋体" w:cs="楷体_GB2312"/>
          <w:b/>
          <w:color w:val="auto"/>
          <w:sz w:val="24"/>
          <w:lang w:val="zh-CN"/>
        </w:rPr>
        <w:t>招标</w:t>
      </w:r>
      <w:r>
        <w:rPr>
          <w:rFonts w:ascii="宋体" w:hAnsi="宋体" w:cs="楷体_GB2312"/>
          <w:b/>
          <w:color w:val="auto"/>
          <w:sz w:val="24"/>
          <w:lang w:val="zh-CN"/>
        </w:rPr>
        <w:t>公告所述 “</w:t>
      </w:r>
      <w:r>
        <w:rPr>
          <w:rFonts w:hint="eastAsia" w:ascii="宋体" w:hAnsi="宋体" w:cs="楷体_GB2312"/>
          <w:b/>
          <w:color w:val="auto"/>
          <w:sz w:val="24"/>
          <w:lang w:val="zh-CN"/>
        </w:rPr>
        <w:t>安阳市政府采购投标文件编制系统</w:t>
      </w:r>
      <w:r>
        <w:rPr>
          <w:rFonts w:ascii="宋体" w:hAnsi="宋体" w:cs="楷体_GB2312"/>
          <w:b/>
          <w:color w:val="auto"/>
          <w:sz w:val="24"/>
          <w:lang w:val="zh-CN"/>
        </w:rPr>
        <w:t>”</w:t>
      </w:r>
      <w:r>
        <w:rPr>
          <w:rFonts w:hint="eastAsia" w:ascii="宋体" w:hAnsi="宋体" w:cs="楷体_GB2312"/>
          <w:b/>
          <w:color w:val="auto"/>
          <w:sz w:val="24"/>
          <w:lang w:val="zh-CN"/>
        </w:rPr>
        <w:t>，经电</w:t>
      </w:r>
      <w:r>
        <w:rPr>
          <w:rFonts w:ascii="宋体" w:hAnsi="宋体" w:cs="楷体_GB2312"/>
          <w:b/>
          <w:color w:val="auto"/>
          <w:sz w:val="24"/>
          <w:lang w:val="zh-CN"/>
        </w:rPr>
        <w:t>子签名并加密后、在</w:t>
      </w:r>
      <w:r>
        <w:rPr>
          <w:rFonts w:hint="eastAsia" w:ascii="宋体" w:hAnsi="宋体" w:cs="楷体_GB2312"/>
          <w:b/>
          <w:color w:val="auto"/>
          <w:sz w:val="24"/>
          <w:lang w:val="zh-CN"/>
        </w:rPr>
        <w:t>投标文件提交截止时间前，</w:t>
      </w:r>
      <w:r>
        <w:rPr>
          <w:rFonts w:ascii="宋体" w:hAnsi="宋体" w:cs="楷体_GB2312"/>
          <w:b/>
          <w:color w:val="auto"/>
          <w:sz w:val="24"/>
          <w:lang w:val="zh-CN"/>
        </w:rPr>
        <w:t>上</w:t>
      </w:r>
      <w:r>
        <w:rPr>
          <w:rFonts w:hint="eastAsia" w:ascii="宋体" w:hAnsi="宋体" w:cs="楷体_GB2312"/>
          <w:b/>
          <w:color w:val="auto"/>
          <w:sz w:val="24"/>
          <w:lang w:val="zh-CN"/>
        </w:rPr>
        <w:t>传至招标公告所述网上电子交易系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应当对招标文件有关标段（包）内容（范围）、采购需求（技术要求、售后服务、交付（实施）期等）、投标有效期等实质性内容作出响应。在满足招标文件实质性要求的基础上，可以提出比招标文件要求更有利于采购人的承诺。并符合招标文件偏差规定。</w:t>
      </w:r>
    </w:p>
    <w:p>
      <w:pPr>
        <w:adjustRightInd w:val="0"/>
        <w:snapToGrid w:val="0"/>
        <w:spacing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投标文件的所有条款与招标文件要求有任何不同之处，应按《偏差表》格式逐一填列。投标文件与招标文件所有要求存在偏差而未填列的，评标委员会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。投标人应认真编制投标文件并自负此项风险。</w:t>
      </w:r>
    </w:p>
    <w:p>
      <w:pPr>
        <w:autoSpaceDE w:val="0"/>
        <w:autoSpaceDN w:val="0"/>
        <w:adjustRightInd w:val="0"/>
        <w:snapToGrid w:val="0"/>
        <w:spacing w:beforeLines="50" w:line="300" w:lineRule="auto"/>
        <w:ind w:firstLine="539"/>
        <w:rPr>
          <w:rFonts w:ascii="宋体" w:cs="楷体_GB2312"/>
          <w:b/>
          <w:color w:val="auto"/>
          <w:sz w:val="24"/>
        </w:rPr>
      </w:pPr>
      <w:r>
        <w:rPr>
          <w:rFonts w:ascii="宋体" w:hAnsi="宋体" w:cs="楷体_GB2312"/>
          <w:b/>
          <w:color w:val="auto"/>
          <w:sz w:val="24"/>
          <w:lang w:val="zh-CN"/>
        </w:rPr>
        <w:t>3.7.</w:t>
      </w:r>
      <w:r>
        <w:rPr>
          <w:rFonts w:hint="eastAsia" w:ascii="宋体" w:hAnsi="宋体" w:cs="楷体_GB2312"/>
          <w:b/>
          <w:color w:val="auto"/>
          <w:sz w:val="24"/>
          <w:lang w:val="zh-CN"/>
        </w:rPr>
        <w:t>4</w:t>
      </w:r>
      <w:r>
        <w:rPr>
          <w:rFonts w:ascii="宋体" w:hAnsi="宋体" w:cs="楷体_GB2312"/>
          <w:b/>
          <w:color w:val="auto"/>
          <w:sz w:val="24"/>
          <w:lang w:val="zh-CN"/>
        </w:rPr>
        <w:t xml:space="preserve"> </w:t>
      </w:r>
      <w:r>
        <w:rPr>
          <w:rFonts w:hint="eastAsia" w:ascii="宋体" w:hAnsi="宋体" w:cs="楷体_GB2312"/>
          <w:b/>
          <w:color w:val="auto"/>
          <w:sz w:val="24"/>
          <w:lang w:val="zh-CN"/>
        </w:rPr>
        <w:t>投标文件</w:t>
      </w:r>
      <w:r>
        <w:rPr>
          <w:rFonts w:hint="eastAsia" w:ascii="宋体" w:hAnsi="宋体" w:cs="楷体_GB2312"/>
          <w:b/>
          <w:color w:val="auto"/>
          <w:sz w:val="24"/>
        </w:rPr>
        <w:t>应</w:t>
      </w:r>
      <w:r>
        <w:rPr>
          <w:rFonts w:hint="eastAsia" w:ascii="宋体" w:hAnsi="宋体" w:cs="楷体_GB2312"/>
          <w:b/>
          <w:color w:val="auto"/>
          <w:sz w:val="24"/>
          <w:lang w:val="zh-CN"/>
        </w:rPr>
        <w:t>按招标文件相关要求（含格式上标注的要求）、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签名（签章）并加密的投标文件，属于未按照招标文件要求进行签署。</w:t>
      </w:r>
    </w:p>
    <w:p>
      <w:pPr>
        <w:adjustRightInd w:val="0"/>
        <w:snapToGrid w:val="0"/>
        <w:spacing w:beforeLines="50" w:line="300" w:lineRule="auto"/>
        <w:ind w:firstLine="482" w:firstLineChars="200"/>
        <w:rPr>
          <w:rFonts w:ascii="宋体" w:hAnsi="宋体" w:cs="楷体_GB2312"/>
          <w:color w:val="auto"/>
          <w:sz w:val="24"/>
          <w:lang w:val="zh-CN"/>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根据《中华人民共和国电子签名法》规定，可靠的电子签名与手写签名或者盖章具有同等的法律效力。本次采购活动中，供应商使用有效的企业数字证书对投标文件进行电子签章与加盖投标</w:t>
      </w:r>
      <w:r>
        <w:rPr>
          <w:rFonts w:ascii="宋体" w:hAnsi="宋体" w:cs="楷体_GB2312"/>
          <w:b/>
          <w:color w:val="auto"/>
          <w:sz w:val="24"/>
        </w:rPr>
        <w:t>人公</w:t>
      </w:r>
      <w:r>
        <w:rPr>
          <w:rFonts w:hint="eastAsia" w:ascii="宋体" w:hAnsi="宋体" w:cs="楷体_GB2312"/>
          <w:b/>
          <w:color w:val="auto"/>
          <w:sz w:val="24"/>
        </w:rPr>
        <w:t>章具有同等法律效力；供应商法定代表人使用有效的个人数字证书对投标文件进行签名（签章）与法人签章具有同等法律效力。</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hint="eastAsia" w:ascii="宋体" w:hAnsi="宋体" w:cs="楷体_GB2312"/>
          <w:color w:val="auto"/>
          <w:sz w:val="24"/>
          <w:lang w:val="zh-CN"/>
        </w:rPr>
        <w:t>5投标人可对本招标文件中所列的所有标段（包）进行分别投标，也可选择其中一个标段（包）或几个标段（包）投标，但不得将招标文件规定的同一标段（包）的内容拆开投标，否则将按</w:t>
      </w:r>
      <w:r>
        <w:rPr>
          <w:rFonts w:hint="eastAsia" w:ascii="宋体" w:hAnsi="宋体" w:cs="楷体_GB2312"/>
          <w:b/>
          <w:color w:val="auto"/>
          <w:sz w:val="24"/>
          <w:lang w:val="zh-CN"/>
        </w:rPr>
        <w:t>无效投标处理</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投标文件因字迹或表述不清所引起的后果由投标人自行负责。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未按上述要求提供的投标文件将视为</w:t>
      </w:r>
      <w:r>
        <w:rPr>
          <w:rFonts w:hint="eastAsia" w:ascii="宋体" w:hAnsi="宋体" w:cs="楷体_GB2312"/>
          <w:b/>
          <w:color w:val="auto"/>
          <w:sz w:val="24"/>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32" w:name="_Toc153542591"/>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w:t>
      </w:r>
      <w:bookmarkEnd w:id="32"/>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投标文件的密封和标记：</w:t>
      </w:r>
    </w:p>
    <w:p>
      <w:pPr>
        <w:autoSpaceDE w:val="0"/>
        <w:autoSpaceDN w:val="0"/>
        <w:adjustRightInd w:val="0"/>
        <w:snapToGrid w:val="0"/>
        <w:spacing w:beforeLines="50" w:line="300" w:lineRule="auto"/>
        <w:ind w:firstLine="539"/>
        <w:rPr>
          <w:rFonts w:ascii="宋体" w:cs="楷体_GB2312"/>
          <w:b/>
          <w:color w:val="auto"/>
          <w:sz w:val="24"/>
          <w:lang w:val="zh-CN"/>
        </w:rPr>
      </w:pPr>
      <w:bookmarkStart w:id="33"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投标文件提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投标文件</w:t>
      </w:r>
      <w:r>
        <w:rPr>
          <w:rFonts w:ascii="宋体" w:hAnsi="宋体" w:cs="楷体_GB2312"/>
          <w:b/>
          <w:color w:val="auto"/>
          <w:sz w:val="24"/>
          <w:lang w:val="zh-CN"/>
        </w:rPr>
        <w:t>上</w:t>
      </w:r>
      <w:r>
        <w:rPr>
          <w:rFonts w:hint="eastAsia" w:ascii="宋体" w:hAnsi="宋体" w:cs="楷体_GB2312"/>
          <w:b/>
          <w:color w:val="auto"/>
          <w:sz w:val="24"/>
          <w:lang w:val="zh-CN"/>
        </w:rPr>
        <w:t>传至招标公告所述网上电子交易系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autoSpaceDE w:val="0"/>
        <w:autoSpaceDN w:val="0"/>
        <w:adjustRightInd w:val="0"/>
        <w:snapToGrid w:val="0"/>
        <w:spacing w:beforeLines="50" w:line="300" w:lineRule="auto"/>
        <w:ind w:firstLine="539"/>
        <w:rPr>
          <w:rFonts w:ascii="宋体" w:cs="楷体_GB2312"/>
          <w:b/>
          <w:color w:val="auto"/>
          <w:sz w:val="24"/>
          <w:lang w:val="zh-CN"/>
        </w:rPr>
      </w:pPr>
      <w:bookmarkStart w:id="34"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拒收其投标文件，投标人应自负该项风险，采购代理机构对可能产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34"/>
    </w:p>
    <w:bookmarkEnd w:id="33"/>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w:t>
      </w:r>
      <w:r>
        <w:rPr>
          <w:rFonts w:ascii="宋体" w:hAnsi="宋体" w:cs="楷体_GB2312"/>
          <w:b/>
          <w:color w:val="auto"/>
          <w:sz w:val="24"/>
          <w:lang w:val="zh-CN"/>
        </w:rPr>
        <w:t>在</w:t>
      </w:r>
      <w:r>
        <w:rPr>
          <w:rFonts w:hint="eastAsia" w:ascii="宋体" w:hAnsi="宋体" w:cs="楷体_GB2312"/>
          <w:b/>
          <w:color w:val="auto"/>
          <w:sz w:val="24"/>
          <w:lang w:val="zh-CN"/>
        </w:rPr>
        <w:t>投标文件提</w:t>
      </w:r>
      <w:r>
        <w:rPr>
          <w:rFonts w:ascii="宋体" w:hAnsi="宋体" w:cs="楷体_GB2312"/>
          <w:b/>
          <w:color w:val="auto"/>
          <w:sz w:val="24"/>
          <w:lang w:val="zh-CN"/>
        </w:rPr>
        <w:t>交</w:t>
      </w:r>
      <w:r>
        <w:rPr>
          <w:rFonts w:hint="eastAsia" w:ascii="宋体" w:hAnsi="宋体" w:cs="楷体_GB2312"/>
          <w:b/>
          <w:color w:val="auto"/>
          <w:sz w:val="24"/>
          <w:lang w:val="zh-CN"/>
        </w:rPr>
        <w:t>截止时间前，将加密的投标文件上传至招标公告所述网上电子交易系统（在网上电子交易系统，凭企业数字证书登录投标用户入口 的“政府采购”系统上传）。投标人应在上传时认真检查上传投标文件是否完整、正确。</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投标文件提交截止时间后，系统将自动锁定已经提交的电子投标文件，拒绝再次提交。投</w:t>
      </w:r>
      <w:r>
        <w:rPr>
          <w:rFonts w:ascii="宋体" w:hAnsi="宋体" w:cs="楷体_GB2312"/>
          <w:b/>
          <w:color w:val="auto"/>
          <w:sz w:val="24"/>
          <w:lang w:val="zh-CN"/>
        </w:rPr>
        <w:t>标人</w:t>
      </w:r>
      <w:r>
        <w:rPr>
          <w:rFonts w:hint="eastAsia" w:ascii="宋体" w:hAnsi="宋体" w:cs="楷体_GB2312"/>
          <w:b/>
          <w:color w:val="auto"/>
          <w:sz w:val="24"/>
          <w:lang w:val="zh-CN"/>
        </w:rPr>
        <w:t>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的投标文件</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由于不可抗拒的原因，代理机构对投标文件的遗失和损坏不负任何责任。</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除投标人须知前附表另有规定外，投标人所递交的投标文件不予退还。</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投标文件的修改与撤回</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投标人于提交投标文件截止时间前如对投标文件进行补充、修改，可以上传新的投标文件进行覆盖。投标人如撤回投标文件，应及时书面通知采购代理机构进行办理。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投标人在投标文件提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截止时间后不得自行修改或撤回其投标，否则依据招标文件“第三章3.5.5 违背承诺的责任追究措施”，投标人承担相应法律责任及违约责任。</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35" w:name="_Toc153542592"/>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w:t>
      </w:r>
      <w:bookmarkEnd w:id="35"/>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采购人和采购代理机构按招标公告规定的时间和地点于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（招标公告所述网上电子交易系统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公开开标。</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 xml:space="preserve"> 投标人需在开标前打开招标公告所述网上电子交易系统，凭企业数字证书登录投标用户入口 的“政府采购”系统，并进入本项目相匹配的网上开标室。</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投标文件的开启方式为远程解密，为保证开标工作顺利进行，投标人需在开标阶段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管理员下达解密指令后的指定时限内，完成对本单位的加密投标文件的远程解密。如投标人因自身原因、在指定时限内没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解密成功的，其投标将不能被接受，投标人自行承担相应后果。解密完成后，投标人的报价将在系统界面上显示。</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投标人不足</w:t>
      </w:r>
      <w:r>
        <w:rPr>
          <w:rFonts w:ascii="宋体" w:hAnsi="宋体" w:cs="楷体_GB2312"/>
          <w:color w:val="auto"/>
          <w:sz w:val="24"/>
          <w:lang w:val="zh-CN"/>
        </w:rPr>
        <w:t>3</w:t>
      </w:r>
      <w:r>
        <w:rPr>
          <w:rFonts w:hint="eastAsia" w:ascii="宋体" w:hAnsi="宋体" w:cs="楷体_GB2312"/>
          <w:color w:val="auto"/>
          <w:sz w:val="24"/>
          <w:lang w:val="zh-CN"/>
        </w:rPr>
        <w:t>家的，将不予开标。</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36" w:name="_Toc153542593"/>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资格性审查</w:t>
      </w:r>
      <w:bookmarkEnd w:id="36"/>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资格性审查环节</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公开招标采购项目开标结束后，采购人或者采购代理机构将依法对投标人的资格进行审查。</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资格性审查内容</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）按照第一章“招标公告”第</w:t>
      </w:r>
      <w:r>
        <w:rPr>
          <w:rFonts w:ascii="宋体" w:cs="楷体_GB2312"/>
          <w:color w:val="auto"/>
          <w:sz w:val="24"/>
          <w:lang w:val="zh-CN"/>
        </w:rPr>
        <w:t>2</w:t>
      </w:r>
      <w:r>
        <w:rPr>
          <w:rFonts w:hint="eastAsia" w:ascii="宋体" w:cs="楷体_GB2312"/>
          <w:color w:val="auto"/>
          <w:sz w:val="24"/>
          <w:lang w:val="zh-CN"/>
        </w:rPr>
        <w:t>条各项资格要求规定，审查投标人是否符合第一章“招标公告”第</w:t>
      </w:r>
      <w:r>
        <w:rPr>
          <w:rFonts w:ascii="宋体" w:cs="楷体_GB2312"/>
          <w:color w:val="auto"/>
          <w:sz w:val="24"/>
          <w:lang w:val="zh-CN"/>
        </w:rPr>
        <w:t>2</w:t>
      </w:r>
      <w:r>
        <w:rPr>
          <w:rFonts w:hint="eastAsia" w:ascii="宋体" w:cs="楷体_GB2312"/>
          <w:color w:val="auto"/>
          <w:sz w:val="24"/>
          <w:lang w:val="zh-CN"/>
        </w:rPr>
        <w:t>条各项资格要求及所需证件材料、证明材料要求，不符合的、投标无效。</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2</w:t>
      </w:r>
      <w:r>
        <w:rPr>
          <w:rFonts w:hint="eastAsia" w:ascii="宋体" w:cs="楷体_GB2312"/>
          <w:color w:val="auto"/>
          <w:sz w:val="24"/>
          <w:lang w:val="zh-CN"/>
        </w:rPr>
        <w:t>）投标</w:t>
      </w:r>
      <w:r>
        <w:rPr>
          <w:rFonts w:hint="eastAsia" w:ascii="宋体" w:cs="楷体_GB2312"/>
          <w:color w:val="auto"/>
          <w:sz w:val="24"/>
        </w:rPr>
        <w:t>承诺函（替代投标</w:t>
      </w:r>
      <w:r>
        <w:rPr>
          <w:rFonts w:hint="eastAsia" w:ascii="宋体" w:cs="楷体_GB2312"/>
          <w:color w:val="auto"/>
          <w:sz w:val="24"/>
          <w:lang w:val="zh-CN"/>
        </w:rPr>
        <w:t>保证金</w:t>
      </w:r>
      <w:r>
        <w:rPr>
          <w:rFonts w:hint="eastAsia" w:ascii="宋体" w:cs="楷体_GB2312"/>
          <w:color w:val="auto"/>
          <w:sz w:val="24"/>
        </w:rPr>
        <w:t>）</w:t>
      </w:r>
      <w:r>
        <w:rPr>
          <w:rFonts w:hint="eastAsia" w:ascii="宋体" w:cs="楷体_GB2312"/>
          <w:color w:val="auto"/>
          <w:sz w:val="24"/>
          <w:lang w:val="zh-CN"/>
        </w:rPr>
        <w:t>。按照招标文件第三章“投标人须知”</w:t>
      </w:r>
      <w:r>
        <w:rPr>
          <w:rFonts w:ascii="宋体" w:cs="楷体_GB2312"/>
          <w:color w:val="auto"/>
          <w:sz w:val="24"/>
          <w:lang w:val="zh-CN"/>
        </w:rPr>
        <w:t>3.5</w:t>
      </w:r>
      <w:r>
        <w:rPr>
          <w:rFonts w:hint="eastAsia" w:ascii="宋体" w:cs="楷体_GB2312"/>
          <w:color w:val="auto"/>
          <w:sz w:val="24"/>
          <w:lang w:val="zh-CN"/>
        </w:rPr>
        <w:t>款规定审查，不符合的、投标无效。</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3</w:t>
      </w:r>
      <w:r>
        <w:rPr>
          <w:rFonts w:hint="eastAsia" w:ascii="宋体" w:cs="楷体_GB2312"/>
          <w:color w:val="auto"/>
          <w:sz w:val="24"/>
          <w:lang w:val="zh-CN"/>
        </w:rPr>
        <w:t>）</w:t>
      </w:r>
      <w:r>
        <w:rPr>
          <w:rFonts w:hint="eastAsia" w:ascii="宋体" w:hAnsi="宋体" w:cs="楷体_GB2312"/>
          <w:color w:val="auto"/>
          <w:sz w:val="24"/>
          <w:lang w:val="zh-CN"/>
        </w:rPr>
        <w:t>招标公告、资格预审公告或者投标邀请书中载明</w:t>
      </w:r>
      <w:r>
        <w:rPr>
          <w:rFonts w:hint="eastAsia" w:ascii="宋体" w:cs="楷体_GB2312"/>
          <w:color w:val="auto"/>
          <w:sz w:val="24"/>
          <w:lang w:val="zh-CN"/>
        </w:rPr>
        <w:t>接受联合体投标的，按照招标文件第三章“</w:t>
      </w:r>
      <w:r>
        <w:rPr>
          <w:rFonts w:hint="eastAsia" w:ascii="宋体" w:hAnsi="宋体" w:cs="楷体_GB2312"/>
          <w:color w:val="auto"/>
          <w:sz w:val="24"/>
          <w:lang w:val="zh-CN"/>
        </w:rPr>
        <w:t>投标人须知”</w:t>
      </w:r>
      <w:r>
        <w:rPr>
          <w:rFonts w:ascii="宋体" w:hAnsi="宋体" w:cs="楷体_GB2312"/>
          <w:color w:val="auto"/>
          <w:sz w:val="24"/>
          <w:lang w:val="zh-CN"/>
        </w:rPr>
        <w:t>1.4</w:t>
      </w:r>
      <w:r>
        <w:rPr>
          <w:rFonts w:hint="eastAsia" w:ascii="宋体" w:hAnsi="宋体" w:cs="楷体_GB2312"/>
          <w:color w:val="auto"/>
          <w:sz w:val="24"/>
          <w:lang w:val="zh-CN"/>
        </w:rPr>
        <w:t>款</w:t>
      </w:r>
      <w:r>
        <w:rPr>
          <w:rFonts w:hint="eastAsia" w:ascii="宋体" w:cs="楷体_GB2312"/>
          <w:color w:val="auto"/>
          <w:sz w:val="24"/>
          <w:lang w:val="zh-CN"/>
        </w:rPr>
        <w:t>规定进行审查，不符合的、投标无效。</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资格性审查结果</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cs="楷体_GB2312"/>
          <w:color w:val="auto"/>
          <w:sz w:val="24"/>
          <w:lang w:val="zh-CN"/>
        </w:rPr>
        <w:t xml:space="preserve">6.3.1 </w:t>
      </w:r>
      <w:r>
        <w:rPr>
          <w:rFonts w:hint="eastAsia" w:ascii="宋体" w:cs="楷体_GB2312"/>
          <w:color w:val="auto"/>
          <w:sz w:val="24"/>
          <w:lang w:val="zh-CN"/>
        </w:rPr>
        <w:t>对未通过资格审查的投标人，将告知其未通过的原因。</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cs="楷体_GB2312"/>
          <w:color w:val="auto"/>
          <w:sz w:val="24"/>
          <w:lang w:val="zh-CN"/>
        </w:rPr>
        <w:t xml:space="preserve">6.3.2 </w:t>
      </w:r>
      <w:r>
        <w:rPr>
          <w:rFonts w:hint="eastAsia" w:ascii="宋体" w:cs="楷体_GB2312"/>
          <w:color w:val="auto"/>
          <w:sz w:val="24"/>
          <w:lang w:val="zh-CN"/>
        </w:rPr>
        <w:t>资格性审查合格投标人不足</w:t>
      </w:r>
      <w:r>
        <w:rPr>
          <w:rFonts w:ascii="宋体" w:cs="楷体_GB2312"/>
          <w:color w:val="auto"/>
          <w:sz w:val="24"/>
          <w:lang w:val="zh-CN"/>
        </w:rPr>
        <w:t>3</w:t>
      </w:r>
      <w:r>
        <w:rPr>
          <w:rFonts w:hint="eastAsia" w:ascii="宋体" w:cs="楷体_GB2312"/>
          <w:color w:val="auto"/>
          <w:sz w:val="24"/>
          <w:lang w:val="zh-CN"/>
        </w:rPr>
        <w:t>家的，将不再评标。</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评审</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评标委员会</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评标工作由依法组建的评标委员会负责。评标委员会由采购人代表和评审专家共</w:t>
      </w:r>
      <w:r>
        <w:rPr>
          <w:rFonts w:ascii="宋体" w:hAnsi="宋体" w:cs="楷体_GB2312"/>
          <w:color w:val="auto"/>
          <w:sz w:val="24"/>
          <w:lang w:val="zh-CN"/>
        </w:rPr>
        <w:t>5</w:t>
      </w:r>
      <w:r>
        <w:rPr>
          <w:rFonts w:hint="eastAsia" w:ascii="宋体" w:hAnsi="宋体" w:cs="楷体_GB2312"/>
          <w:color w:val="auto"/>
          <w:sz w:val="24"/>
          <w:lang w:val="zh-CN"/>
        </w:rPr>
        <w:t>人及以上单数组成，其中评审专家人数不少于评标委员会成员总数的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评审原则</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7.2.3 </w:t>
      </w:r>
      <w:r>
        <w:rPr>
          <w:rFonts w:hint="eastAsia" w:ascii="宋体" w:hAnsi="宋体" w:cs="楷体_GB2312"/>
          <w:color w:val="auto"/>
          <w:sz w:val="24"/>
          <w:lang w:val="zh-CN"/>
        </w:rPr>
        <w:t>反对不正当竞争</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评审</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7.3.1</w:t>
      </w:r>
      <w:r>
        <w:rPr>
          <w:rFonts w:hint="eastAsia" w:ascii="宋体" w:hAnsi="宋体" w:cs="楷体_GB2312"/>
          <w:color w:val="auto"/>
          <w:sz w:val="24"/>
          <w:lang w:val="zh-CN"/>
        </w:rPr>
        <w:t>评审工作在评标委员会内独立进行。评标委员会按照第四章“评标办法”规定的方法、评标因素、标准和程序对投标文件进行评审。第四章“评标办法”没有规定的方法、评标因素和标准，不作为评审依据。</w:t>
      </w:r>
    </w:p>
    <w:p>
      <w:pPr>
        <w:adjustRightInd w:val="0"/>
        <w:snapToGrid w:val="0"/>
        <w:spacing w:line="300" w:lineRule="auto"/>
        <w:ind w:firstLine="480" w:firstLineChars="200"/>
        <w:jc w:val="left"/>
        <w:rPr>
          <w:rFonts w:ascii="宋体" w:cs="楷体_GB2312"/>
          <w:color w:val="auto"/>
          <w:sz w:val="24"/>
          <w:lang w:val="zh-CN"/>
        </w:rPr>
      </w:pPr>
      <w:r>
        <w:rPr>
          <w:rFonts w:ascii="宋体" w:hAnsi="宋体" w:cs="宋体"/>
          <w:color w:val="auto"/>
          <w:sz w:val="24"/>
        </w:rPr>
        <w:t xml:space="preserve">7.3.2 </w:t>
      </w:r>
      <w:r>
        <w:rPr>
          <w:rFonts w:hint="eastAsia" w:ascii="宋体" w:hAnsi="宋体" w:cs="宋体"/>
          <w:color w:val="auto"/>
          <w:sz w:val="24"/>
        </w:rPr>
        <w:t>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7.3.3 </w:t>
      </w:r>
      <w:r>
        <w:rPr>
          <w:rFonts w:hint="eastAsia" w:ascii="宋体" w:hAnsi="宋体" w:cs="楷体_GB2312"/>
          <w:color w:val="auto"/>
          <w:sz w:val="24"/>
          <w:lang w:val="zh-CN"/>
        </w:rPr>
        <w:t>在开标、评审期间，投标人不得向评标委员会成员询问情况，不得进行旨在影响评审结果的活动。</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37" w:name="_Toc153542594"/>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授予合同</w:t>
      </w:r>
      <w:bookmarkEnd w:id="37"/>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8.1 </w:t>
      </w:r>
      <w:r>
        <w:rPr>
          <w:rFonts w:hint="eastAsia" w:ascii="黑体" w:hAnsi="黑体" w:eastAsia="黑体" w:cs="楷体_GB2312"/>
          <w:b/>
          <w:color w:val="auto"/>
          <w:sz w:val="24"/>
          <w:lang w:val="zh-CN"/>
        </w:rPr>
        <w:t>确定中标人方式</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除投标人须知前附表规定授权评标委员会直接确定中标人外，采购人应当自收到评标报告之日起</w:t>
      </w:r>
      <w:r>
        <w:rPr>
          <w:rFonts w:ascii="宋体" w:hAnsi="宋体" w:cs="楷体_GB2312"/>
          <w:color w:val="auto"/>
          <w:sz w:val="24"/>
          <w:lang w:val="zh-CN"/>
        </w:rPr>
        <w:t>5</w:t>
      </w:r>
      <w:r>
        <w:rPr>
          <w:rFonts w:hint="eastAsia" w:ascii="宋体" w:hAnsi="宋体" w:cs="楷体_GB2312"/>
          <w:color w:val="auto"/>
          <w:sz w:val="24"/>
          <w:lang w:val="zh-CN"/>
        </w:rPr>
        <w:t>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8.2 </w:t>
      </w:r>
      <w:r>
        <w:rPr>
          <w:rFonts w:hint="eastAsia" w:ascii="黑体" w:hAnsi="黑体" w:eastAsia="黑体" w:cs="楷体_GB2312"/>
          <w:b/>
          <w:color w:val="auto"/>
          <w:sz w:val="24"/>
          <w:lang w:val="zh-CN"/>
        </w:rPr>
        <w:t>中标结果公告</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采购代理机构在中标人确定当天在招标公告所述媒体公告中标结果。同时向中标人发出中标通知书。中标结果公告期限为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8.3 </w:t>
      </w:r>
      <w:r>
        <w:rPr>
          <w:rFonts w:hint="eastAsia" w:ascii="黑体" w:hAnsi="黑体" w:eastAsia="黑体" w:cs="楷体_GB2312"/>
          <w:b/>
          <w:color w:val="auto"/>
          <w:sz w:val="24"/>
          <w:lang w:val="zh-CN"/>
        </w:rPr>
        <w:t>质疑、投诉：</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8.3.1</w:t>
      </w:r>
      <w:r>
        <w:rPr>
          <w:rFonts w:ascii="黑体" w:hAnsi="黑体" w:eastAsia="黑体" w:cs="楷体_GB2312"/>
          <w:b/>
          <w:color w:val="auto"/>
          <w:sz w:val="24"/>
          <w:lang w:val="zh-CN"/>
        </w:rPr>
        <w:t xml:space="preserve"> </w:t>
      </w:r>
      <w:r>
        <w:rPr>
          <w:rFonts w:hint="eastAsia" w:ascii="宋体" w:hAnsi="宋体" w:cs="楷体_GB2312"/>
          <w:color w:val="auto"/>
          <w:sz w:val="24"/>
          <w:lang w:val="zh-CN"/>
        </w:rPr>
        <w:t>见投标人须知前附表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8.3.2 </w:t>
      </w:r>
      <w:r>
        <w:rPr>
          <w:rFonts w:hint="eastAsia" w:ascii="宋体" w:hAnsi="宋体" w:cs="楷体_GB2312"/>
          <w:color w:val="auto"/>
          <w:sz w:val="24"/>
          <w:lang w:val="zh-CN"/>
        </w:rPr>
        <w:t>依据政府采购法规规定，招标公告、资格预审公告的公告期限为</w:t>
      </w:r>
      <w:r>
        <w:rPr>
          <w:rFonts w:ascii="宋体" w:hAnsi="宋体" w:cs="楷体_GB2312"/>
          <w:color w:val="auto"/>
          <w:sz w:val="24"/>
          <w:lang w:val="zh-CN"/>
        </w:rPr>
        <w:t>5</w:t>
      </w:r>
      <w:r>
        <w:rPr>
          <w:rFonts w:hint="eastAsia" w:ascii="宋体" w:hAnsi="宋体" w:cs="楷体_GB2312"/>
          <w:color w:val="auto"/>
          <w:sz w:val="24"/>
          <w:lang w:val="zh-CN"/>
        </w:rPr>
        <w:t>个工作日，中标公告期限为</w:t>
      </w:r>
      <w:r>
        <w:rPr>
          <w:rFonts w:ascii="宋体" w:hAnsi="宋体" w:cs="楷体_GB2312"/>
          <w:color w:val="auto"/>
          <w:sz w:val="24"/>
          <w:lang w:val="zh-CN"/>
        </w:rPr>
        <w:t>1</w:t>
      </w:r>
      <w:r>
        <w:rPr>
          <w:rFonts w:hint="eastAsia" w:ascii="宋体" w:hAnsi="宋体" w:cs="楷体_GB2312"/>
          <w:color w:val="auto"/>
          <w:sz w:val="24"/>
          <w:lang w:val="zh-CN"/>
        </w:rPr>
        <w:t>个工作日，投标人应在法定期限内提出质疑，逾期提交或未按照要求提交的质疑函将不予受理。</w:t>
      </w:r>
    </w:p>
    <w:p>
      <w:pPr>
        <w:adjustRightInd w:val="0"/>
        <w:snapToGrid w:val="0"/>
        <w:spacing w:beforeLines="50" w:line="300" w:lineRule="auto"/>
        <w:ind w:firstLine="600" w:firstLineChars="250"/>
        <w:rPr>
          <w:rFonts w:ascii="宋体"/>
          <w:color w:val="auto"/>
          <w:sz w:val="24"/>
        </w:rPr>
      </w:pPr>
      <w:r>
        <w:rPr>
          <w:rFonts w:ascii="宋体" w:hAnsi="宋体"/>
          <w:color w:val="auto"/>
          <w:sz w:val="24"/>
        </w:rPr>
        <w:t xml:space="preserve">8.3.3 </w:t>
      </w:r>
      <w:r>
        <w:rPr>
          <w:rFonts w:hint="eastAsia" w:ascii="宋体" w:hAnsi="宋体"/>
          <w:color w:val="auto"/>
          <w:sz w:val="24"/>
        </w:rPr>
        <w:t>询问或者质疑事项可能影响中标结果的，采购人应当暂停签订合同，已经签订合同的，应当中止履行合同。</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8.4 </w:t>
      </w:r>
      <w:r>
        <w:rPr>
          <w:rFonts w:hint="eastAsia" w:ascii="黑体" w:hAnsi="黑体" w:eastAsia="黑体" w:cs="楷体_GB2312"/>
          <w:b/>
          <w:color w:val="auto"/>
          <w:sz w:val="24"/>
          <w:lang w:val="zh-CN"/>
        </w:rPr>
        <w:t>中标通知：</w:t>
      </w:r>
      <w:r>
        <w:rPr>
          <w:rFonts w:hint="eastAsia" w:ascii="宋体" w:hAnsi="宋体" w:cs="楷体_GB2312"/>
          <w:color w:val="auto"/>
          <w:sz w:val="24"/>
          <w:lang w:val="zh-CN"/>
        </w:rPr>
        <w:t>见投标人须知前附表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8.5 </w:t>
      </w:r>
      <w:r>
        <w:rPr>
          <w:rFonts w:hint="eastAsia" w:ascii="黑体" w:hAnsi="黑体" w:eastAsia="黑体" w:cs="楷体_GB2312"/>
          <w:b/>
          <w:color w:val="auto"/>
          <w:sz w:val="24"/>
          <w:lang w:val="zh-CN"/>
        </w:rPr>
        <w:t>履约保证金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8.5.1</w:t>
      </w:r>
      <w:r>
        <w:rPr>
          <w:rFonts w:hint="eastAsia" w:ascii="宋体" w:hAnsi="宋体" w:cs="楷体_GB2312"/>
          <w:color w:val="auto"/>
          <w:sz w:val="24"/>
          <w:lang w:val="zh-CN"/>
        </w:rPr>
        <w:t>在签订合同时，中标人应按投标人须知前附表规定向采购人提交履约保证金。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8.5.2 </w:t>
      </w:r>
      <w:r>
        <w:rPr>
          <w:rFonts w:hint="eastAsia" w:ascii="宋体" w:hAnsi="宋体" w:cs="楷体_GB2312"/>
          <w:color w:val="auto"/>
          <w:sz w:val="24"/>
          <w:lang w:val="zh-CN"/>
        </w:rPr>
        <w:t>中标人不能按本章第8</w:t>
      </w:r>
      <w:r>
        <w:rPr>
          <w:rFonts w:ascii="宋体" w:hAnsi="宋体" w:cs="楷体_GB2312"/>
          <w:color w:val="auto"/>
          <w:sz w:val="24"/>
          <w:lang w:val="zh-CN"/>
        </w:rPr>
        <w:t>.5.1</w:t>
      </w:r>
      <w:r>
        <w:rPr>
          <w:rFonts w:hint="eastAsia" w:ascii="宋体" w:hAnsi="宋体" w:cs="楷体_GB2312"/>
          <w:color w:val="auto"/>
          <w:sz w:val="24"/>
          <w:lang w:val="zh-CN"/>
        </w:rPr>
        <w:t>项要求提交履约保证金的，视为放弃中标资格，</w:t>
      </w:r>
      <w:r>
        <w:rPr>
          <w:rFonts w:hint="eastAsia" w:ascii="宋体" w:hAnsi="宋体"/>
          <w:color w:val="auto"/>
          <w:sz w:val="24"/>
          <w:szCs w:val="24"/>
        </w:rPr>
        <w:t>依据招标文件“第三章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给采购人及采购代理机构造成的损失，中标人应当予以赔偿。</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8.6 </w:t>
      </w:r>
      <w:r>
        <w:rPr>
          <w:rFonts w:hint="eastAsia" w:ascii="黑体" w:hAnsi="黑体" w:eastAsia="黑体" w:cs="楷体_GB2312"/>
          <w:b/>
          <w:color w:val="auto"/>
          <w:sz w:val="24"/>
          <w:lang w:val="zh-CN"/>
        </w:rPr>
        <w:t>签订合同</w:t>
      </w:r>
    </w:p>
    <w:p>
      <w:pPr>
        <w:autoSpaceDE w:val="0"/>
        <w:autoSpaceDN w:val="0"/>
        <w:adjustRightInd w:val="0"/>
        <w:snapToGrid w:val="0"/>
        <w:spacing w:beforeLines="50" w:line="300" w:lineRule="auto"/>
        <w:ind w:firstLine="539"/>
        <w:rPr>
          <w:rFonts w:ascii="宋体" w:hAnsi="宋体"/>
          <w:color w:val="auto"/>
          <w:sz w:val="24"/>
        </w:rPr>
      </w:pPr>
      <w:r>
        <w:rPr>
          <w:rFonts w:ascii="宋体" w:hAnsi="宋体"/>
          <w:color w:val="auto"/>
          <w:sz w:val="24"/>
        </w:rPr>
        <w:t xml:space="preserve">8.6.1 </w:t>
      </w:r>
      <w:r>
        <w:rPr>
          <w:rFonts w:hint="eastAsia" w:ascii="宋体" w:hAnsi="宋体"/>
          <w:color w:val="auto"/>
          <w:sz w:val="24"/>
        </w:rPr>
        <w:t>据优化营商环境精神，中标人应在《中标通知书》发出后2个工作日内，按照招标文件确定的合同文本以及中标标的、技术和服务等事项与采购人签订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 xml:space="preserve">8.6.2 </w:t>
      </w:r>
      <w:r>
        <w:rPr>
          <w:rFonts w:hint="eastAsia" w:ascii="宋体" w:hAnsi="宋体"/>
          <w:color w:val="auto"/>
          <w:sz w:val="24"/>
        </w:rPr>
        <w:t>如中标人不按时签订合同、</w:t>
      </w:r>
      <w:r>
        <w:rPr>
          <w:rFonts w:hint="eastAsia" w:ascii="宋体" w:hAnsi="宋体" w:cs="楷体_GB2312"/>
          <w:color w:val="auto"/>
          <w:sz w:val="24"/>
          <w:lang w:val="zh-CN"/>
        </w:rPr>
        <w:t>拒签合同的，取消其中标资格，依据招标文件“第三章3.5.5 违背承诺的责任追究措施”，投标人承担相应法律责任及违约责任。</w:t>
      </w:r>
    </w:p>
    <w:p>
      <w:pPr>
        <w:widowControl w:val="0"/>
        <w:adjustRightInd w:val="0"/>
        <w:snapToGrid w:val="0"/>
        <w:spacing w:beforeLines="50" w:line="300" w:lineRule="auto"/>
        <w:ind w:firstLine="566"/>
        <w:rPr>
          <w:rFonts w:ascii="宋体" w:hAnsi="宋体" w:cs="宋体"/>
          <w:color w:val="auto"/>
          <w:sz w:val="24"/>
        </w:rPr>
      </w:pPr>
      <w:r>
        <w:rPr>
          <w:color w:val="auto"/>
          <w:sz w:val="24"/>
          <w:szCs w:val="24"/>
        </w:rPr>
        <w:t>8.6.3</w:t>
      </w:r>
      <w:r>
        <w:rPr>
          <w:rFonts w:hint="eastAsia"/>
          <w:color w:val="auto"/>
          <w:sz w:val="24"/>
          <w:szCs w:val="24"/>
        </w:rPr>
        <w:t>合同生效：中标人与采购人签订的合同，双方签字后盖章生效。</w:t>
      </w:r>
      <w:r>
        <w:rPr>
          <w:rFonts w:hint="eastAsia" w:ascii="宋体" w:hAnsi="宋体" w:cs="宋体"/>
          <w:color w:val="auto"/>
          <w:sz w:val="24"/>
        </w:rPr>
        <w:t>采购人</w:t>
      </w:r>
      <w:r>
        <w:rPr>
          <w:rFonts w:hint="eastAsia" w:ascii="宋体" w:hAnsi="宋体"/>
          <w:color w:val="auto"/>
          <w:sz w:val="24"/>
          <w:szCs w:val="24"/>
        </w:rPr>
        <w:t>要在合同签订后1个工作日内登陆安阳市政府采购网进行备案并公告</w:t>
      </w:r>
      <w:r>
        <w:rPr>
          <w:rFonts w:hint="eastAsia" w:ascii="宋体" w:hAnsi="宋体" w:cs="宋体"/>
          <w:color w:val="auto"/>
          <w:sz w:val="24"/>
        </w:rPr>
        <w:t>。</w:t>
      </w:r>
    </w:p>
    <w:p>
      <w:pPr>
        <w:widowControl w:val="0"/>
        <w:adjustRightInd w:val="0"/>
        <w:snapToGrid w:val="0"/>
        <w:spacing w:beforeLines="50" w:line="300" w:lineRule="auto"/>
        <w:ind w:firstLine="566"/>
        <w:rPr>
          <w:color w:val="auto"/>
          <w:sz w:val="24"/>
          <w:szCs w:val="24"/>
        </w:rPr>
      </w:pPr>
      <w:r>
        <w:rPr>
          <w:color w:val="auto"/>
          <w:sz w:val="24"/>
          <w:szCs w:val="24"/>
        </w:rPr>
        <w:t xml:space="preserve">8.6.4 </w:t>
      </w:r>
      <w:r>
        <w:rPr>
          <w:rFonts w:hint="eastAsia"/>
          <w:color w:val="auto"/>
          <w:sz w:val="24"/>
          <w:szCs w:val="24"/>
        </w:rPr>
        <w:t>《中标通知书》、招标文件</w:t>
      </w:r>
      <w:r>
        <w:rPr>
          <w:rFonts w:hint="eastAsia"/>
          <w:color w:val="auto"/>
          <w:spacing w:val="20"/>
          <w:sz w:val="24"/>
          <w:szCs w:val="24"/>
        </w:rPr>
        <w:t>及其修改补充澄清</w:t>
      </w:r>
      <w:r>
        <w:rPr>
          <w:rFonts w:hint="eastAsia"/>
          <w:color w:val="auto"/>
          <w:sz w:val="24"/>
          <w:szCs w:val="24"/>
        </w:rPr>
        <w:t>、中标人的投标文件及</w:t>
      </w:r>
      <w:r>
        <w:rPr>
          <w:rFonts w:hint="eastAsia"/>
          <w:color w:val="auto"/>
          <w:spacing w:val="20"/>
          <w:sz w:val="24"/>
          <w:szCs w:val="24"/>
        </w:rPr>
        <w:t>及其修改补充澄清</w:t>
      </w:r>
      <w:r>
        <w:rPr>
          <w:rFonts w:hint="eastAsia"/>
          <w:color w:val="auto"/>
          <w:sz w:val="24"/>
          <w:szCs w:val="24"/>
        </w:rPr>
        <w:t>等，均为签订合同的依据。所定合同不得对招标文件和中标人的投标文件作实质性修改，采购人和中标人不得私下订立背离合同实质性内容的协议。</w:t>
      </w:r>
    </w:p>
    <w:p>
      <w:pPr>
        <w:widowControl w:val="0"/>
        <w:adjustRightInd w:val="0"/>
        <w:snapToGrid w:val="0"/>
        <w:spacing w:beforeLines="50" w:line="300" w:lineRule="auto"/>
        <w:ind w:firstLine="549"/>
        <w:rPr>
          <w:color w:val="auto"/>
          <w:sz w:val="24"/>
          <w:szCs w:val="24"/>
        </w:rPr>
      </w:pPr>
      <w:r>
        <w:rPr>
          <w:color w:val="auto"/>
          <w:sz w:val="24"/>
          <w:szCs w:val="24"/>
        </w:rPr>
        <w:t xml:space="preserve">8.6.5 </w:t>
      </w:r>
      <w:r>
        <w:rPr>
          <w:rFonts w:hint="eastAsia"/>
          <w:color w:val="auto"/>
          <w:sz w:val="24"/>
          <w:szCs w:val="24"/>
        </w:rPr>
        <w:t>评审会后，中标人、采购人之间擅自私下谈判、变更中标标的、价格及招投标文件实质性内容的，有关部门将按《中华人民共和国政府采购法》及相关法规的规定处理。</w:t>
      </w:r>
    </w:p>
    <w:p>
      <w:pPr>
        <w:widowControl w:val="0"/>
        <w:adjustRightInd w:val="0"/>
        <w:snapToGrid w:val="0"/>
        <w:spacing w:beforeLines="50" w:line="300" w:lineRule="auto"/>
        <w:ind w:firstLine="549"/>
        <w:rPr>
          <w:color w:val="auto"/>
          <w:sz w:val="24"/>
          <w:szCs w:val="24"/>
        </w:rPr>
      </w:pPr>
      <w:r>
        <w:rPr>
          <w:color w:val="auto"/>
          <w:sz w:val="24"/>
          <w:szCs w:val="24"/>
        </w:rPr>
        <w:t>8.6.</w:t>
      </w:r>
      <w:r>
        <w:rPr>
          <w:rFonts w:hint="eastAsia"/>
          <w:color w:val="auto"/>
          <w:sz w:val="24"/>
          <w:szCs w:val="24"/>
        </w:rPr>
        <w:t>6</w:t>
      </w:r>
      <w:r>
        <w:rPr>
          <w:color w:val="auto"/>
          <w:sz w:val="24"/>
          <w:szCs w:val="24"/>
        </w:rPr>
        <w:t xml:space="preserve"> </w:t>
      </w:r>
      <w:r>
        <w:rPr>
          <w:rFonts w:hint="eastAsia"/>
          <w:color w:val="auto"/>
          <w:sz w:val="24"/>
          <w:szCs w:val="24"/>
        </w:rPr>
        <w:t>采购人与中标人签订《政府采购合同》后，合同履行中产生的纠纷、争议，由采购人与中标人按合同条款及《中华人民共和国民法典》处理。</w:t>
      </w:r>
    </w:p>
    <w:p>
      <w:pPr>
        <w:widowControl w:val="0"/>
        <w:adjustRightInd w:val="0"/>
        <w:snapToGrid w:val="0"/>
        <w:spacing w:beforeLines="50" w:line="300" w:lineRule="auto"/>
        <w:ind w:firstLine="556"/>
        <w:rPr>
          <w:rFonts w:ascii="黑体" w:hAnsi="黑体" w:eastAsia="黑体" w:cs="楷体_GB2312"/>
          <w:b/>
          <w:color w:val="auto"/>
          <w:sz w:val="24"/>
          <w:lang w:val="zh-CN"/>
        </w:rPr>
      </w:pPr>
      <w:r>
        <w:rPr>
          <w:rFonts w:ascii="黑体" w:hAnsi="黑体" w:eastAsia="黑体" w:cs="楷体_GB2312"/>
          <w:b/>
          <w:color w:val="auto"/>
          <w:sz w:val="24"/>
          <w:lang w:val="zh-CN"/>
        </w:rPr>
        <w:t xml:space="preserve">8.7 </w:t>
      </w:r>
      <w:r>
        <w:rPr>
          <w:rFonts w:hint="eastAsia" w:ascii="黑体" w:hAnsi="黑体" w:eastAsia="黑体" w:cs="楷体_GB2312"/>
          <w:b/>
          <w:color w:val="auto"/>
          <w:sz w:val="24"/>
          <w:lang w:val="zh-CN"/>
        </w:rPr>
        <w:t>合同补充变更</w:t>
      </w:r>
    </w:p>
    <w:p>
      <w:pPr>
        <w:widowControl w:val="0"/>
        <w:adjustRightInd w:val="0"/>
        <w:snapToGrid w:val="0"/>
        <w:spacing w:beforeLines="50" w:line="300" w:lineRule="auto"/>
        <w:ind w:firstLine="555"/>
        <w:rPr>
          <w:color w:val="auto"/>
          <w:sz w:val="24"/>
          <w:szCs w:val="24"/>
        </w:rPr>
      </w:pPr>
      <w:r>
        <w:rPr>
          <w:color w:val="auto"/>
          <w:sz w:val="24"/>
          <w:szCs w:val="24"/>
        </w:rPr>
        <w:t>8.7.1</w:t>
      </w:r>
      <w:r>
        <w:rPr>
          <w:rFonts w:hint="eastAsia"/>
          <w:color w:val="auto"/>
          <w:sz w:val="24"/>
          <w:szCs w:val="24"/>
        </w:rPr>
        <w:t>政府采购合同履行中，采购人需追加或减少与合同标的相同的货物</w:t>
      </w:r>
      <w:r>
        <w:rPr>
          <w:rFonts w:hint="eastAsia" w:ascii="宋体" w:hAnsi="宋体"/>
          <w:color w:val="auto"/>
          <w:sz w:val="24"/>
          <w:szCs w:val="24"/>
        </w:rPr>
        <w:t>、工程和服务的</w:t>
      </w:r>
      <w:r>
        <w:rPr>
          <w:rFonts w:hint="eastAsia"/>
          <w:color w:val="auto"/>
          <w:sz w:val="24"/>
          <w:szCs w:val="24"/>
        </w:rPr>
        <w:t>（即追加或减少原合同标的数量），在不改变合同条款（包括原合同单价）的前提下，双方可以协商签订补充合同，但所有补充合同总金额不得超过原合同采购金额的</w:t>
      </w:r>
      <w:r>
        <w:rPr>
          <w:color w:val="auto"/>
          <w:sz w:val="24"/>
          <w:szCs w:val="24"/>
        </w:rPr>
        <w:t>10%</w:t>
      </w:r>
      <w:r>
        <w:rPr>
          <w:rFonts w:hint="eastAsia"/>
          <w:color w:val="auto"/>
          <w:sz w:val="24"/>
          <w:szCs w:val="24"/>
        </w:rPr>
        <w:t>，不得调增原合同单价，不得超出项目预算，超过原合同采购金额的</w:t>
      </w:r>
      <w:r>
        <w:rPr>
          <w:color w:val="auto"/>
          <w:sz w:val="24"/>
          <w:szCs w:val="24"/>
        </w:rPr>
        <w:t>10%</w:t>
      </w:r>
      <w:r>
        <w:rPr>
          <w:rFonts w:hint="eastAsia"/>
          <w:color w:val="auto"/>
          <w:sz w:val="24"/>
          <w:szCs w:val="24"/>
        </w:rPr>
        <w:t>，应重新组织采购活动。</w:t>
      </w:r>
    </w:p>
    <w:p>
      <w:pPr>
        <w:widowControl w:val="0"/>
        <w:adjustRightInd w:val="0"/>
        <w:snapToGrid w:val="0"/>
        <w:spacing w:beforeLines="50" w:line="300" w:lineRule="auto"/>
        <w:ind w:firstLine="555"/>
        <w:rPr>
          <w:color w:val="auto"/>
          <w:sz w:val="24"/>
          <w:szCs w:val="24"/>
        </w:rPr>
      </w:pPr>
      <w:r>
        <w:rPr>
          <w:b/>
          <w:color w:val="auto"/>
          <w:sz w:val="24"/>
          <w:szCs w:val="24"/>
        </w:rPr>
        <w:t>8.7.2</w:t>
      </w:r>
      <w:r>
        <w:rPr>
          <w:rFonts w:hint="eastAsia"/>
          <w:color w:val="auto"/>
          <w:sz w:val="24"/>
          <w:szCs w:val="24"/>
        </w:rPr>
        <w:t>采购人需追加或减少的货物</w:t>
      </w:r>
      <w:r>
        <w:rPr>
          <w:rFonts w:hint="eastAsia" w:ascii="宋体" w:hAnsi="宋体"/>
          <w:color w:val="auto"/>
          <w:sz w:val="24"/>
          <w:szCs w:val="24"/>
        </w:rPr>
        <w:t>、工程和服务的</w:t>
      </w:r>
      <w:r>
        <w:rPr>
          <w:rFonts w:hint="eastAsia"/>
          <w:color w:val="auto"/>
          <w:sz w:val="24"/>
          <w:szCs w:val="24"/>
        </w:rPr>
        <w:t>金额达到</w:t>
      </w:r>
      <w:r>
        <w:rPr>
          <w:color w:val="auto"/>
          <w:sz w:val="24"/>
          <w:szCs w:val="24"/>
        </w:rPr>
        <w:t>50</w:t>
      </w:r>
      <w:r>
        <w:rPr>
          <w:rFonts w:hint="eastAsia"/>
          <w:color w:val="auto"/>
          <w:sz w:val="24"/>
          <w:szCs w:val="24"/>
        </w:rPr>
        <w:t>万元以上（含</w:t>
      </w:r>
      <w:r>
        <w:rPr>
          <w:color w:val="auto"/>
          <w:sz w:val="24"/>
          <w:szCs w:val="24"/>
        </w:rPr>
        <w:t>50</w:t>
      </w:r>
      <w:r>
        <w:rPr>
          <w:rFonts w:hint="eastAsia"/>
          <w:color w:val="auto"/>
          <w:sz w:val="24"/>
          <w:szCs w:val="24"/>
        </w:rPr>
        <w:t>万元）、且超过中标价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beforeLines="50" w:line="300" w:lineRule="auto"/>
        <w:ind w:firstLine="555"/>
        <w:rPr>
          <w:color w:val="auto"/>
          <w:sz w:val="24"/>
          <w:szCs w:val="24"/>
        </w:rPr>
      </w:pPr>
      <w:r>
        <w:rPr>
          <w:rFonts w:hint="eastAsia"/>
          <w:color w:val="auto"/>
          <w:sz w:val="24"/>
          <w:szCs w:val="24"/>
        </w:rPr>
        <w:t>招标项目在中标后经有关行政机关批准变更的，批准的行政机关应当自批准之日起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beforeLines="50" w:line="300" w:lineRule="auto"/>
        <w:ind w:firstLine="555"/>
        <w:rPr>
          <w:color w:val="auto"/>
          <w:sz w:val="24"/>
          <w:szCs w:val="24"/>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38" w:name="_Toc153542595"/>
      <w:r>
        <w:rPr>
          <w:rFonts w:ascii="黑体" w:hAnsi="黑体" w:eastAsia="黑体" w:cs="楷体_GB2312"/>
          <w:b/>
          <w:bCs/>
          <w:color w:val="auto"/>
          <w:sz w:val="28"/>
          <w:szCs w:val="28"/>
          <w:lang w:val="zh-CN"/>
        </w:rPr>
        <w:t xml:space="preserve">9 </w:t>
      </w:r>
      <w:r>
        <w:rPr>
          <w:rFonts w:hint="eastAsia" w:ascii="黑体" w:hAnsi="黑体" w:eastAsia="黑体" w:cs="楷体_GB2312"/>
          <w:b/>
          <w:bCs/>
          <w:color w:val="auto"/>
          <w:sz w:val="28"/>
          <w:szCs w:val="28"/>
          <w:lang w:val="zh-CN"/>
        </w:rPr>
        <w:t>验收</w:t>
      </w:r>
      <w:bookmarkEnd w:id="38"/>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rPr>
        <w:t>9</w:t>
      </w:r>
      <w:r>
        <w:rPr>
          <w:rFonts w:ascii="宋体" w:hAnsi="宋体" w:cs="楷体_GB2312"/>
          <w:color w:val="auto"/>
          <w:sz w:val="24"/>
          <w:lang w:val="zh-CN"/>
        </w:rPr>
        <w:t>.1</w:t>
      </w:r>
      <w:r>
        <w:rPr>
          <w:rFonts w:hint="eastAsia" w:ascii="宋体" w:hAnsi="宋体" w:cs="楷体_GB2312"/>
          <w:color w:val="auto"/>
          <w:sz w:val="24"/>
          <w:lang w:val="zh-CN"/>
        </w:rPr>
        <w:t>验收时间：项目具备验收条件时，由采购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rPr>
        <w:t>9</w:t>
      </w: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9.2.1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9.2.2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9.3验收时，验收小组按照采购合同的约定对每一项技术、服务、安全标准的履约情况进行确认。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9</w:t>
      </w:r>
      <w:r>
        <w:rPr>
          <w:rFonts w:ascii="宋体" w:hAnsi="宋体" w:cs="楷体_GB2312"/>
          <w:color w:val="auto"/>
          <w:sz w:val="24"/>
          <w:lang w:val="zh-CN"/>
        </w:rPr>
        <w:t>.</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rPr>
        <w:t>9</w:t>
      </w:r>
      <w:r>
        <w:rPr>
          <w:rFonts w:hint="eastAsia" w:ascii="宋体" w:hAnsi="宋体" w:cs="楷体_GB2312"/>
          <w:color w:val="auto"/>
          <w:sz w:val="24"/>
          <w:lang w:val="zh-CN"/>
        </w:rPr>
        <w:t>.</w:t>
      </w:r>
      <w:r>
        <w:rPr>
          <w:rFonts w:hint="eastAsia" w:ascii="宋体" w:hAnsi="宋体" w:cs="楷体_GB2312"/>
          <w:color w:val="auto"/>
          <w:sz w:val="24"/>
        </w:rPr>
        <w:t>5</w:t>
      </w:r>
      <w:r>
        <w:rPr>
          <w:rFonts w:hint="eastAsia" w:ascii="宋体" w:hAnsi="宋体" w:cs="楷体_GB2312"/>
          <w:color w:val="auto"/>
          <w:sz w:val="24"/>
          <w:lang w:val="zh-CN"/>
        </w:rPr>
        <w:t>验收中发现</w:t>
      </w:r>
      <w:r>
        <w:rPr>
          <w:rFonts w:hint="eastAsia" w:ascii="宋体" w:hAnsi="宋体" w:cs="楷体_GB2312"/>
          <w:color w:val="auto"/>
          <w:sz w:val="24"/>
        </w:rPr>
        <w:t>中标单位</w:t>
      </w:r>
      <w:r>
        <w:rPr>
          <w:rFonts w:hint="eastAsia" w:ascii="宋体" w:hAnsi="宋体" w:cs="楷体_GB2312"/>
          <w:color w:val="auto"/>
          <w:sz w:val="24"/>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9.6 验收公告的时限：采购人要在政府采购项目验收完成后1个工作日内登陆安阳市政府采购网进行验收公告。</w:t>
      </w:r>
    </w:p>
    <w:p>
      <w:pPr>
        <w:widowControl w:val="0"/>
        <w:adjustRightInd w:val="0"/>
        <w:snapToGrid w:val="0"/>
        <w:spacing w:beforeLines="50" w:line="300" w:lineRule="auto"/>
        <w:ind w:firstLine="561"/>
        <w:rPr>
          <w:rFonts w:ascii="宋体" w:cs="楷体_GB2312"/>
          <w:color w:val="auto"/>
          <w:sz w:val="24"/>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39" w:name="_Toc153542596"/>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付款</w:t>
      </w:r>
      <w:bookmarkEnd w:id="39"/>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beforeLines="50" w:line="300" w:lineRule="auto"/>
        <w:ind w:firstLine="561"/>
        <w:rPr>
          <w:rFonts w:ascii="黑体" w:hAnsi="黑体" w:eastAsia="黑体" w:cs="楷体_GB2312"/>
          <w:b/>
          <w:bCs/>
          <w:color w:val="auto"/>
          <w:sz w:val="28"/>
          <w:szCs w:val="28"/>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40" w:name="_Toc153542597"/>
      <w:r>
        <w:rPr>
          <w:rFonts w:ascii="黑体" w:hAnsi="黑体" w:eastAsia="黑体" w:cs="楷体_GB2312"/>
          <w:b/>
          <w:bCs/>
          <w:color w:val="auto"/>
          <w:sz w:val="28"/>
          <w:szCs w:val="28"/>
          <w:lang w:val="zh-CN"/>
        </w:rPr>
        <w:t xml:space="preserve">11 </w:t>
      </w:r>
      <w:r>
        <w:rPr>
          <w:rFonts w:hint="eastAsia" w:ascii="黑体" w:hAnsi="黑体" w:eastAsia="黑体" w:cs="楷体_GB2312"/>
          <w:b/>
          <w:bCs/>
          <w:color w:val="auto"/>
          <w:sz w:val="28"/>
          <w:szCs w:val="28"/>
          <w:lang w:val="zh-CN"/>
        </w:rPr>
        <w:t>其他</w:t>
      </w:r>
      <w:bookmarkEnd w:id="40"/>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1</w:t>
      </w:r>
      <w:r>
        <w:rPr>
          <w:rFonts w:ascii="宋体" w:hAnsi="宋体" w:cs="楷体_GB2312"/>
          <w:color w:val="auto"/>
          <w:sz w:val="24"/>
          <w:lang w:val="zh-CN"/>
        </w:rPr>
        <w:t>.1</w:t>
      </w:r>
      <w:r>
        <w:rPr>
          <w:rFonts w:hint="eastAsia" w:ascii="宋体" w:hAnsi="宋体" w:cs="楷体_GB2312"/>
          <w:color w:val="auto"/>
          <w:sz w:val="24"/>
          <w:lang w:val="zh-CN"/>
        </w:rPr>
        <w:t>中标服务费等：见投标人须知前附表</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投标人资格条件中包含非法人单位的，招标文件中法定代表人一词相应包含表示证照标示的负责人；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投标人资格条件中包含自然人的，招标文件中法定代表人一词相应包含表示自然人，自然人应由其本人签署投标文件、参加投标，不应再授权他人。</w:t>
      </w:r>
    </w:p>
    <w:p>
      <w:pPr>
        <w:widowControl w:val="0"/>
        <w:autoSpaceDE w:val="0"/>
        <w:autoSpaceDN w:val="0"/>
        <w:adjustRightInd w:val="0"/>
        <w:spacing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11.3 </w:t>
      </w:r>
      <w:r>
        <w:rPr>
          <w:rFonts w:hint="eastAsia" w:ascii="宋体" w:hAnsi="宋体" w:cs="楷体_GB2312"/>
          <w:color w:val="auto"/>
          <w:sz w:val="24"/>
          <w:lang w:val="zh-CN"/>
        </w:rPr>
        <w:t>招标文件第一章至第四章各章中，用序号标示条、款、项、目，例如：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widowControl w:val="0"/>
        <w:autoSpaceDE w:val="0"/>
        <w:autoSpaceDN w:val="0"/>
        <w:adjustRightInd w:val="0"/>
        <w:spacing w:beforeLines="50" w:line="300" w:lineRule="auto"/>
        <w:ind w:firstLine="480" w:firstLineChars="200"/>
        <w:jc w:val="left"/>
        <w:textAlignment w:val="auto"/>
        <w:rPr>
          <w:rFonts w:ascii="宋体" w:hAnsi="宋体" w:cs="楷体_GB2312"/>
          <w:color w:val="auto"/>
          <w:sz w:val="24"/>
          <w:lang w:val="zh-CN"/>
        </w:rPr>
      </w:pPr>
    </w:p>
    <w:p>
      <w:pPr>
        <w:widowControl w:val="0"/>
        <w:adjustRightInd w:val="0"/>
        <w:snapToGrid w:val="0"/>
        <w:spacing w:beforeLines="50" w:line="300" w:lineRule="auto"/>
        <w:ind w:left="23" w:firstLine="556"/>
        <w:jc w:val="left"/>
        <w:outlineLvl w:val="1"/>
        <w:rPr>
          <w:rFonts w:ascii="黑体" w:hAnsi="黑体" w:eastAsia="黑体" w:cs="楷体_GB2312"/>
          <w:b/>
          <w:bCs/>
          <w:color w:val="auto"/>
          <w:sz w:val="28"/>
          <w:szCs w:val="28"/>
          <w:lang w:val="zh-CN"/>
        </w:rPr>
      </w:pPr>
      <w:bookmarkStart w:id="41" w:name="_Toc58855443"/>
      <w:bookmarkStart w:id="42" w:name="_Toc153542598"/>
      <w:r>
        <w:rPr>
          <w:rFonts w:ascii="黑体" w:hAnsi="黑体" w:eastAsia="黑体" w:cs="楷体_GB2312"/>
          <w:b/>
          <w:bCs/>
          <w:color w:val="auto"/>
          <w:sz w:val="28"/>
          <w:szCs w:val="28"/>
          <w:lang w:val="zh-CN"/>
        </w:rPr>
        <w:t>1</w:t>
      </w:r>
      <w:r>
        <w:rPr>
          <w:rFonts w:hint="eastAsia" w:ascii="黑体" w:hAnsi="黑体" w:eastAsia="黑体" w:cs="楷体_GB2312"/>
          <w:b/>
          <w:bCs/>
          <w:color w:val="auto"/>
          <w:sz w:val="28"/>
          <w:szCs w:val="28"/>
          <w:lang w:val="zh-CN"/>
        </w:rPr>
        <w:t>2 河南省政府采购合同融资政策告知函</w:t>
      </w:r>
      <w:bookmarkEnd w:id="41"/>
      <w:bookmarkEnd w:id="42"/>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各供应商：</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pPr>
        <w:widowControl w:val="0"/>
        <w:autoSpaceDE w:val="0"/>
        <w:autoSpaceDN w:val="0"/>
        <w:adjustRightInd w:val="0"/>
        <w:spacing w:beforeLines="50" w:line="300" w:lineRule="auto"/>
        <w:jc w:val="left"/>
        <w:textAlignment w:val="auto"/>
        <w:rPr>
          <w:rFonts w:eastAsia="黑体"/>
          <w:b/>
          <w:color w:val="auto"/>
          <w:sz w:val="44"/>
        </w:rPr>
      </w:pPr>
      <w:r>
        <w:rPr>
          <w:rFonts w:eastAsia="黑体"/>
          <w:b/>
          <w:color w:val="auto"/>
          <w:sz w:val="44"/>
        </w:rPr>
        <w:t xml:space="preserve"> </w:t>
      </w:r>
    </w:p>
    <w:p>
      <w:pPr>
        <w:widowControl w:val="0"/>
        <w:adjustRightInd w:val="0"/>
        <w:snapToGrid w:val="0"/>
        <w:spacing w:beforeLines="50" w:line="300" w:lineRule="auto"/>
        <w:ind w:firstLine="561"/>
        <w:rPr>
          <w:rFonts w:ascii="宋体" w:hAnsi="宋体"/>
          <w:color w:val="auto"/>
          <w:sz w:val="24"/>
        </w:rPr>
      </w:pPr>
      <w:r>
        <w:rPr>
          <w:rFonts w:ascii="黑体" w:hAnsi="黑体" w:eastAsia="黑体"/>
          <w:b/>
          <w:color w:val="auto"/>
          <w:sz w:val="36"/>
          <w:szCs w:val="36"/>
          <w:lang w:val="zh-CN"/>
        </w:rPr>
        <w:br w:type="page"/>
      </w:r>
      <w:bookmarkStart w:id="43" w:name="_Toc427683957"/>
      <w:bookmarkStart w:id="44" w:name="_Toc427683914"/>
    </w:p>
    <w:p>
      <w:pPr>
        <w:keepNext/>
        <w:keepLines/>
        <w:widowControl w:val="0"/>
        <w:spacing w:beforeLines="200" w:afterLines="200" w:line="360" w:lineRule="auto"/>
        <w:jc w:val="center"/>
        <w:textAlignment w:val="auto"/>
        <w:outlineLvl w:val="0"/>
        <w:rPr>
          <w:rFonts w:ascii="黑体" w:hAnsi="黑体" w:eastAsia="黑体"/>
          <w:b/>
          <w:bCs/>
          <w:color w:val="auto"/>
          <w:kern w:val="44"/>
          <w:sz w:val="24"/>
          <w:szCs w:val="44"/>
        </w:rPr>
      </w:pPr>
      <w:bookmarkStart w:id="45" w:name="_Toc153542599"/>
      <w:r>
        <w:rPr>
          <w:rFonts w:hint="eastAsia" w:ascii="黑体" w:hAnsi="黑体" w:eastAsia="黑体"/>
          <w:b/>
          <w:bCs/>
          <w:color w:val="auto"/>
          <w:kern w:val="44"/>
          <w:sz w:val="36"/>
          <w:szCs w:val="36"/>
          <w:lang w:val="zh-CN"/>
        </w:rPr>
        <w:t>第四章</w:t>
      </w:r>
      <w:r>
        <w:rPr>
          <w:rFonts w:ascii="黑体" w:hAnsi="黑体" w:eastAsia="黑体"/>
          <w:b/>
          <w:bCs/>
          <w:color w:val="auto"/>
          <w:kern w:val="44"/>
          <w:sz w:val="36"/>
          <w:szCs w:val="36"/>
          <w:lang w:val="zh-CN"/>
        </w:rPr>
        <w:t xml:space="preserve">  </w:t>
      </w:r>
      <w:r>
        <w:rPr>
          <w:rFonts w:hint="eastAsia" w:ascii="黑体" w:hAnsi="黑体" w:eastAsia="黑体"/>
          <w:b/>
          <w:bCs/>
          <w:color w:val="auto"/>
          <w:kern w:val="44"/>
          <w:sz w:val="36"/>
          <w:szCs w:val="36"/>
          <w:lang w:val="zh-CN"/>
        </w:rPr>
        <w:t>评标办法（综合评分法）</w:t>
      </w:r>
      <w:bookmarkEnd w:id="43"/>
      <w:bookmarkEnd w:id="44"/>
      <w:bookmarkEnd w:id="45"/>
    </w:p>
    <w:p>
      <w:pPr>
        <w:spacing w:line="500" w:lineRule="exact"/>
        <w:ind w:firstLine="420"/>
        <w:jc w:val="left"/>
        <w:outlineLvl w:val="1"/>
        <w:rPr>
          <w:rFonts w:ascii="黑体" w:hAnsi="黑体" w:eastAsia="黑体"/>
          <w:b/>
          <w:color w:val="auto"/>
          <w:sz w:val="28"/>
          <w:szCs w:val="28"/>
          <w:lang w:val="zh-CN"/>
        </w:rPr>
      </w:pPr>
      <w:bookmarkStart w:id="46" w:name="_Toc153542600"/>
      <w:r>
        <w:rPr>
          <w:rFonts w:hint="eastAsia" w:ascii="黑体" w:hAnsi="黑体" w:eastAsia="黑体"/>
          <w:b/>
          <w:color w:val="auto"/>
          <w:sz w:val="28"/>
          <w:szCs w:val="28"/>
        </w:rPr>
        <w:t>评标办法前附表</w:t>
      </w:r>
      <w:bookmarkEnd w:id="46"/>
    </w:p>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993"/>
        <w:gridCol w:w="21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42" w:type="dxa"/>
            <w:gridSpan w:val="2"/>
            <w:vAlign w:val="center"/>
          </w:tcPr>
          <w:p>
            <w:pPr>
              <w:widowControl w:val="0"/>
              <w:autoSpaceDE w:val="0"/>
              <w:autoSpaceDN w:val="0"/>
              <w:adjustRightInd w:val="0"/>
              <w:spacing w:line="240" w:lineRule="auto"/>
              <w:jc w:val="center"/>
              <w:textAlignment w:val="auto"/>
              <w:rPr>
                <w:rFonts w:ascii="宋体" w:cs="宋体"/>
                <w:b/>
                <w:color w:val="auto"/>
                <w:sz w:val="24"/>
                <w:szCs w:val="24"/>
              </w:rPr>
            </w:pPr>
            <w:r>
              <w:rPr>
                <w:rFonts w:hint="eastAsia" w:ascii="宋体" w:hAnsi="宋体" w:cs="宋体"/>
                <w:b/>
                <w:color w:val="auto"/>
                <w:sz w:val="24"/>
                <w:szCs w:val="24"/>
              </w:rPr>
              <w:t>条款号</w:t>
            </w:r>
          </w:p>
        </w:tc>
        <w:tc>
          <w:tcPr>
            <w:tcW w:w="3119" w:type="dxa"/>
            <w:gridSpan w:val="2"/>
            <w:vAlign w:val="center"/>
          </w:tcPr>
          <w:p>
            <w:pPr>
              <w:widowControl w:val="0"/>
              <w:autoSpaceDE w:val="0"/>
              <w:autoSpaceDN w:val="0"/>
              <w:adjustRightInd w:val="0"/>
              <w:spacing w:line="240" w:lineRule="auto"/>
              <w:jc w:val="center"/>
              <w:textAlignment w:val="auto"/>
              <w:rPr>
                <w:rFonts w:ascii="宋体" w:cs="宋体"/>
                <w:b/>
                <w:color w:val="auto"/>
                <w:sz w:val="24"/>
                <w:szCs w:val="24"/>
              </w:rPr>
            </w:pPr>
            <w:r>
              <w:rPr>
                <w:rFonts w:hint="eastAsia" w:ascii="宋体" w:hAnsi="宋体" w:cs="宋体"/>
                <w:b/>
                <w:color w:val="auto"/>
                <w:sz w:val="24"/>
                <w:szCs w:val="24"/>
              </w:rPr>
              <w:t>评标因素</w:t>
            </w:r>
          </w:p>
        </w:tc>
        <w:tc>
          <w:tcPr>
            <w:tcW w:w="5528" w:type="dxa"/>
            <w:vAlign w:val="center"/>
          </w:tcPr>
          <w:p>
            <w:pPr>
              <w:widowControl w:val="0"/>
              <w:autoSpaceDE w:val="0"/>
              <w:autoSpaceDN w:val="0"/>
              <w:adjustRightInd w:val="0"/>
              <w:spacing w:line="240" w:lineRule="auto"/>
              <w:jc w:val="center"/>
              <w:textAlignment w:val="auto"/>
              <w:rPr>
                <w:rFonts w:ascii="宋体" w:cs="宋体"/>
                <w:b/>
                <w:color w:val="auto"/>
                <w:sz w:val="24"/>
                <w:szCs w:val="24"/>
              </w:rPr>
            </w:pPr>
            <w:r>
              <w:rPr>
                <w:rFonts w:hint="eastAsia" w:ascii="宋体" w:hAnsi="宋体" w:cs="宋体"/>
                <w:b/>
                <w:color w:val="auto"/>
                <w:sz w:val="24"/>
                <w:szCs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7" w:type="dxa"/>
            <w:vMerge w:val="restart"/>
            <w:vAlign w:val="center"/>
          </w:tcPr>
          <w:p>
            <w:pPr>
              <w:widowControl w:val="0"/>
              <w:autoSpaceDE w:val="0"/>
              <w:autoSpaceDN w:val="0"/>
              <w:adjustRightInd w:val="0"/>
              <w:spacing w:line="360" w:lineRule="auto"/>
              <w:ind w:right="-147" w:rightChars="-70"/>
              <w:rPr>
                <w:rFonts w:ascii="微软雅黑" w:hAnsi="微软雅黑" w:eastAsia="微软雅黑" w:cs="楷体_GB2312"/>
                <w:b/>
                <w:bCs/>
                <w:color w:val="auto"/>
                <w:szCs w:val="21"/>
                <w:lang w:val="zh-CN"/>
              </w:rPr>
            </w:pPr>
            <w:r>
              <w:rPr>
                <w:rFonts w:ascii="微软雅黑" w:hAnsi="微软雅黑" w:eastAsia="微软雅黑" w:cs="楷体_GB2312"/>
                <w:b/>
                <w:bCs/>
                <w:color w:val="auto"/>
                <w:szCs w:val="21"/>
                <w:lang w:val="zh-CN"/>
              </w:rPr>
              <w:t>2.1</w:t>
            </w:r>
          </w:p>
        </w:tc>
        <w:tc>
          <w:tcPr>
            <w:tcW w:w="425" w:type="dxa"/>
            <w:vMerge w:val="restart"/>
            <w:vAlign w:val="center"/>
          </w:tcPr>
          <w:p>
            <w:pPr>
              <w:widowControl w:val="0"/>
              <w:autoSpaceDE w:val="0"/>
              <w:autoSpaceDN w:val="0"/>
              <w:adjustRightInd w:val="0"/>
              <w:spacing w:line="360" w:lineRule="auto"/>
              <w:textAlignment w:val="auto"/>
              <w:rPr>
                <w:rFonts w:ascii="宋体" w:cs="宋体"/>
                <w:color w:val="auto"/>
                <w:sz w:val="24"/>
                <w:szCs w:val="24"/>
              </w:rPr>
            </w:pPr>
            <w:r>
              <w:rPr>
                <w:rFonts w:hint="eastAsia" w:ascii="宋体" w:hAnsi="宋体" w:cs="宋体"/>
                <w:color w:val="auto"/>
                <w:sz w:val="24"/>
                <w:szCs w:val="24"/>
              </w:rPr>
              <w:t>符</w:t>
            </w:r>
          </w:p>
          <w:p>
            <w:pPr>
              <w:widowControl w:val="0"/>
              <w:autoSpaceDE w:val="0"/>
              <w:autoSpaceDN w:val="0"/>
              <w:adjustRightInd w:val="0"/>
              <w:spacing w:line="360" w:lineRule="auto"/>
              <w:textAlignment w:val="auto"/>
              <w:rPr>
                <w:rFonts w:ascii="宋体" w:cs="宋体"/>
                <w:color w:val="auto"/>
                <w:sz w:val="24"/>
                <w:szCs w:val="24"/>
              </w:rPr>
            </w:pPr>
            <w:r>
              <w:rPr>
                <w:rFonts w:hint="eastAsia" w:ascii="宋体" w:hAnsi="宋体" w:cs="宋体"/>
                <w:color w:val="auto"/>
                <w:sz w:val="24"/>
                <w:szCs w:val="24"/>
              </w:rPr>
              <w:t>合</w:t>
            </w:r>
          </w:p>
          <w:p>
            <w:pPr>
              <w:widowControl w:val="0"/>
              <w:autoSpaceDE w:val="0"/>
              <w:autoSpaceDN w:val="0"/>
              <w:adjustRightInd w:val="0"/>
              <w:spacing w:line="360" w:lineRule="auto"/>
              <w:textAlignment w:val="auto"/>
              <w:rPr>
                <w:rFonts w:ascii="宋体" w:cs="宋体"/>
                <w:color w:val="auto"/>
                <w:sz w:val="24"/>
                <w:szCs w:val="24"/>
              </w:rPr>
            </w:pPr>
            <w:r>
              <w:rPr>
                <w:rFonts w:hint="eastAsia" w:ascii="宋体" w:hAnsi="宋体" w:cs="宋体"/>
                <w:color w:val="auto"/>
                <w:sz w:val="24"/>
                <w:szCs w:val="24"/>
              </w:rPr>
              <w:t>性</w:t>
            </w:r>
          </w:p>
          <w:p>
            <w:pPr>
              <w:widowControl w:val="0"/>
              <w:autoSpaceDE w:val="0"/>
              <w:autoSpaceDN w:val="0"/>
              <w:adjustRightInd w:val="0"/>
              <w:spacing w:line="360" w:lineRule="auto"/>
              <w:textAlignment w:val="auto"/>
              <w:rPr>
                <w:rFonts w:ascii="宋体" w:cs="宋体"/>
                <w:color w:val="auto"/>
                <w:sz w:val="24"/>
                <w:szCs w:val="24"/>
              </w:rPr>
            </w:pPr>
            <w:r>
              <w:rPr>
                <w:rFonts w:hint="eastAsia" w:ascii="宋体" w:hAnsi="宋体" w:cs="宋体"/>
                <w:color w:val="auto"/>
                <w:sz w:val="24"/>
                <w:szCs w:val="24"/>
              </w:rPr>
              <w:t>审</w:t>
            </w:r>
          </w:p>
          <w:p>
            <w:pPr>
              <w:widowControl w:val="0"/>
              <w:autoSpaceDE w:val="0"/>
              <w:autoSpaceDN w:val="0"/>
              <w:adjustRightInd w:val="0"/>
              <w:spacing w:line="360" w:lineRule="auto"/>
              <w:rPr>
                <w:rFonts w:ascii="黑体" w:hAnsi="黑体" w:eastAsia="黑体" w:cs="楷体_GB2312"/>
                <w:bCs/>
                <w:color w:val="auto"/>
                <w:sz w:val="24"/>
                <w:szCs w:val="24"/>
                <w:lang w:val="zh-CN"/>
              </w:rPr>
            </w:pPr>
            <w:r>
              <w:rPr>
                <w:rFonts w:hint="eastAsia" w:hAnsi="宋体"/>
                <w:color w:val="auto"/>
                <w:sz w:val="24"/>
                <w:szCs w:val="24"/>
              </w:rPr>
              <w:t>查</w:t>
            </w:r>
          </w:p>
        </w:tc>
        <w:tc>
          <w:tcPr>
            <w:tcW w:w="993" w:type="dxa"/>
            <w:vMerge w:val="restart"/>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r>
              <w:rPr>
                <w:rFonts w:hint="eastAsia" w:hAnsi="宋体"/>
                <w:color w:val="auto"/>
                <w:sz w:val="24"/>
                <w:szCs w:val="24"/>
              </w:rPr>
              <w:t>有效性</w:t>
            </w: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投标人名称</w:t>
            </w:r>
          </w:p>
        </w:tc>
        <w:tc>
          <w:tcPr>
            <w:tcW w:w="5528"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签字或盖章</w:t>
            </w:r>
          </w:p>
        </w:tc>
        <w:tc>
          <w:tcPr>
            <w:tcW w:w="5528"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符合第三章“投标人须知”</w:t>
            </w:r>
            <w:r>
              <w:rPr>
                <w:rFonts w:ascii="宋体" w:hAnsi="宋体" w:cs="宋体"/>
                <w:color w:val="auto"/>
                <w:sz w:val="24"/>
                <w:szCs w:val="24"/>
              </w:rPr>
              <w:t>3.7.</w:t>
            </w:r>
            <w:r>
              <w:rPr>
                <w:rFonts w:hint="eastAsia" w:ascii="宋体" w:hAnsi="宋体" w:cs="宋体"/>
                <w:color w:val="auto"/>
                <w:sz w:val="24"/>
                <w:szCs w:val="24"/>
              </w:rPr>
              <w:t>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Align w:val="center"/>
          </w:tcPr>
          <w:p>
            <w:pPr>
              <w:widowControl w:val="0"/>
              <w:autoSpaceDE w:val="0"/>
              <w:autoSpaceDN w:val="0"/>
              <w:snapToGrid w:val="0"/>
              <w:spacing w:line="240" w:lineRule="auto"/>
              <w:textAlignment w:val="auto"/>
              <w:rPr>
                <w:rFonts w:ascii="宋体" w:cs="宋体"/>
                <w:color w:val="auto"/>
                <w:sz w:val="24"/>
                <w:szCs w:val="24"/>
              </w:rPr>
            </w:pPr>
            <w:r>
              <w:rPr>
                <w:rFonts w:hint="eastAsia" w:ascii="宋体" w:hAnsi="宋体" w:cs="宋体"/>
                <w:color w:val="auto"/>
                <w:sz w:val="24"/>
                <w:szCs w:val="24"/>
              </w:rPr>
              <w:t>完整性</w:t>
            </w: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投标文件组成</w:t>
            </w:r>
          </w:p>
        </w:tc>
        <w:tc>
          <w:tcPr>
            <w:tcW w:w="5528"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符合第三章“投标人须知”</w:t>
            </w:r>
            <w:r>
              <w:rPr>
                <w:rFonts w:ascii="宋体" w:hAnsi="宋体" w:cs="宋体"/>
                <w:color w:val="auto"/>
                <w:sz w:val="24"/>
                <w:szCs w:val="24"/>
              </w:rPr>
              <w:t>3.2</w:t>
            </w:r>
            <w:r>
              <w:rPr>
                <w:rFonts w:hint="eastAsia" w:ascii="宋体" w:hAnsi="宋体" w:cs="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restart"/>
            <w:vAlign w:val="center"/>
          </w:tcPr>
          <w:p>
            <w:pPr>
              <w:widowControl w:val="0"/>
              <w:autoSpaceDE w:val="0"/>
              <w:autoSpaceDN w:val="0"/>
              <w:adjustRightInd w:val="0"/>
              <w:spacing w:line="360" w:lineRule="auto"/>
              <w:rPr>
                <w:rFonts w:hAnsi="宋体"/>
                <w:color w:val="auto"/>
                <w:sz w:val="24"/>
                <w:szCs w:val="24"/>
              </w:rPr>
            </w:pPr>
            <w:r>
              <w:rPr>
                <w:rFonts w:hint="eastAsia" w:hAnsi="宋体"/>
                <w:color w:val="auto"/>
                <w:sz w:val="24"/>
                <w:szCs w:val="24"/>
              </w:rPr>
              <w:t>响应</w:t>
            </w:r>
          </w:p>
          <w:p>
            <w:pPr>
              <w:widowControl w:val="0"/>
              <w:autoSpaceDE w:val="0"/>
              <w:autoSpaceDN w:val="0"/>
              <w:adjustRightInd w:val="0"/>
              <w:spacing w:line="360" w:lineRule="auto"/>
              <w:rPr>
                <w:rFonts w:ascii="黑体" w:hAnsi="黑体" w:eastAsia="黑体" w:cs="楷体_GB2312"/>
                <w:bCs/>
                <w:color w:val="auto"/>
                <w:sz w:val="24"/>
                <w:szCs w:val="24"/>
                <w:lang w:val="zh-CN"/>
              </w:rPr>
            </w:pPr>
            <w:r>
              <w:rPr>
                <w:rFonts w:hint="eastAsia" w:hAnsi="宋体"/>
                <w:color w:val="auto"/>
                <w:sz w:val="24"/>
                <w:szCs w:val="24"/>
              </w:rPr>
              <w:t>程度</w:t>
            </w: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投标报价</w:t>
            </w:r>
          </w:p>
        </w:tc>
        <w:tc>
          <w:tcPr>
            <w:tcW w:w="5528"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符合第二章“招标项目要求及采购需求”</w:t>
            </w:r>
            <w:r>
              <w:rPr>
                <w:rFonts w:ascii="宋体" w:hAnsi="宋体" w:cs="宋体"/>
                <w:color w:val="auto"/>
                <w:sz w:val="24"/>
                <w:szCs w:val="24"/>
              </w:rPr>
              <w:t>1.3</w:t>
            </w:r>
            <w:r>
              <w:rPr>
                <w:rFonts w:hint="eastAsia" w:ascii="宋体" w:hAnsi="宋体" w:cs="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2126" w:type="dxa"/>
            <w:vAlign w:val="center"/>
          </w:tcPr>
          <w:p>
            <w:pPr>
              <w:widowControl w:val="0"/>
              <w:autoSpaceDE w:val="0"/>
              <w:autoSpaceDN w:val="0"/>
              <w:snapToGrid w:val="0"/>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投标内容、</w:t>
            </w:r>
          </w:p>
          <w:p>
            <w:pPr>
              <w:widowControl w:val="0"/>
              <w:autoSpaceDE w:val="0"/>
              <w:autoSpaceDN w:val="0"/>
              <w:snapToGrid w:val="0"/>
              <w:spacing w:line="240" w:lineRule="auto"/>
              <w:jc w:val="center"/>
              <w:textAlignment w:val="auto"/>
              <w:rPr>
                <w:rFonts w:ascii="宋体" w:cs="宋体"/>
                <w:color w:val="auto"/>
                <w:sz w:val="24"/>
                <w:szCs w:val="24"/>
              </w:rPr>
            </w:pPr>
            <w:r>
              <w:rPr>
                <w:rFonts w:hint="eastAsia" w:hAnsi="宋体"/>
                <w:color w:val="auto"/>
                <w:sz w:val="24"/>
                <w:szCs w:val="24"/>
              </w:rPr>
              <w:t>服务（技术）要</w:t>
            </w:r>
            <w:r>
              <w:rPr>
                <w:rFonts w:hint="eastAsia" w:ascii="宋体" w:hAnsi="宋体" w:cs="宋体"/>
                <w:color w:val="auto"/>
                <w:sz w:val="24"/>
                <w:szCs w:val="24"/>
              </w:rPr>
              <w:t>求</w:t>
            </w:r>
          </w:p>
        </w:tc>
        <w:tc>
          <w:tcPr>
            <w:tcW w:w="5528"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符合第二章“招标项目要求及采购需求”第</w:t>
            </w:r>
            <w:r>
              <w:rPr>
                <w:rFonts w:ascii="宋体" w:hAnsi="宋体" w:cs="宋体"/>
                <w:color w:val="auto"/>
                <w:sz w:val="24"/>
                <w:szCs w:val="24"/>
              </w:rPr>
              <w:t>2</w:t>
            </w:r>
            <w:r>
              <w:rPr>
                <w:rFonts w:hint="eastAsia" w:ascii="宋体" w:hAnsi="宋体" w:cs="宋体"/>
                <w:color w:val="auto"/>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交付（实施）期</w:t>
            </w:r>
          </w:p>
        </w:tc>
        <w:tc>
          <w:tcPr>
            <w:tcW w:w="5528"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符合第二章“招标项目要求及采购需求”</w:t>
            </w:r>
            <w:r>
              <w:rPr>
                <w:rFonts w:ascii="宋体" w:hAnsi="宋体" w:cs="宋体"/>
                <w:color w:val="auto"/>
                <w:sz w:val="24"/>
                <w:szCs w:val="24"/>
              </w:rPr>
              <w:t>1.2</w:t>
            </w:r>
            <w:r>
              <w:rPr>
                <w:rFonts w:hint="eastAsia" w:ascii="宋体" w:hAnsi="宋体" w:cs="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投标有效期</w:t>
            </w:r>
          </w:p>
        </w:tc>
        <w:tc>
          <w:tcPr>
            <w:tcW w:w="5528" w:type="dxa"/>
            <w:vAlign w:val="center"/>
          </w:tcPr>
          <w:p>
            <w:pPr>
              <w:widowControl w:val="0"/>
              <w:snapToGrid w:val="0"/>
              <w:spacing w:line="240" w:lineRule="auto"/>
              <w:jc w:val="left"/>
              <w:rPr>
                <w:rFonts w:ascii="宋体"/>
                <w:color w:val="auto"/>
                <w:sz w:val="24"/>
                <w:szCs w:val="24"/>
              </w:rPr>
            </w:pPr>
            <w:r>
              <w:rPr>
                <w:rFonts w:hint="eastAsia" w:ascii="宋体" w:hAnsi="宋体"/>
                <w:color w:val="auto"/>
                <w:sz w:val="24"/>
                <w:szCs w:val="24"/>
              </w:rPr>
              <w:t>符合第</w:t>
            </w:r>
            <w:r>
              <w:rPr>
                <w:rFonts w:hint="eastAsia" w:ascii="宋体" w:hAnsi="宋体"/>
                <w:color w:val="auto"/>
                <w:sz w:val="24"/>
              </w:rPr>
              <w:t>三</w:t>
            </w:r>
            <w:r>
              <w:rPr>
                <w:rFonts w:hint="eastAsia" w:ascii="宋体" w:hAnsi="宋体"/>
                <w:color w:val="auto"/>
                <w:sz w:val="24"/>
                <w:szCs w:val="24"/>
              </w:rPr>
              <w:t>章“投标人须知”</w:t>
            </w:r>
            <w:r>
              <w:rPr>
                <w:rFonts w:ascii="宋体" w:hAnsi="宋体"/>
                <w:color w:val="auto"/>
                <w:sz w:val="24"/>
                <w:szCs w:val="24"/>
              </w:rPr>
              <w:t>3.4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投标文件格式</w:t>
            </w:r>
          </w:p>
        </w:tc>
        <w:tc>
          <w:tcPr>
            <w:tcW w:w="5528" w:type="dxa"/>
            <w:vAlign w:val="center"/>
          </w:tcPr>
          <w:p>
            <w:pPr>
              <w:widowControl w:val="0"/>
              <w:autoSpaceDE w:val="0"/>
              <w:autoSpaceDN w:val="0"/>
              <w:snapToGrid w:val="0"/>
              <w:spacing w:line="240" w:lineRule="auto"/>
              <w:jc w:val="left"/>
              <w:textAlignment w:val="auto"/>
              <w:rPr>
                <w:rFonts w:ascii="宋体" w:cs="宋体"/>
                <w:color w:val="auto"/>
                <w:sz w:val="24"/>
                <w:szCs w:val="24"/>
              </w:rPr>
            </w:pPr>
            <w:r>
              <w:rPr>
                <w:rFonts w:hint="eastAsia" w:ascii="宋体" w:hAnsi="宋体" w:cs="宋体"/>
                <w:color w:val="auto"/>
                <w:sz w:val="24"/>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付款</w:t>
            </w:r>
          </w:p>
        </w:tc>
        <w:tc>
          <w:tcPr>
            <w:tcW w:w="5528" w:type="dxa"/>
            <w:vAlign w:val="center"/>
          </w:tcPr>
          <w:p>
            <w:pPr>
              <w:widowControl w:val="0"/>
              <w:snapToGrid w:val="0"/>
              <w:spacing w:line="240" w:lineRule="auto"/>
              <w:jc w:val="left"/>
              <w:rPr>
                <w:rFonts w:ascii="宋体"/>
                <w:color w:val="auto"/>
                <w:sz w:val="24"/>
                <w:szCs w:val="24"/>
              </w:rPr>
            </w:pPr>
            <w:r>
              <w:rPr>
                <w:rFonts w:hint="eastAsia" w:ascii="宋体" w:hAnsi="宋体"/>
                <w:color w:val="auto"/>
                <w:sz w:val="24"/>
                <w:szCs w:val="24"/>
              </w:rPr>
              <w:t>符合第三章“投标人须知”第</w:t>
            </w:r>
            <w:r>
              <w:rPr>
                <w:rFonts w:ascii="宋体" w:hAnsi="宋体"/>
                <w:color w:val="auto"/>
                <w:sz w:val="24"/>
                <w:szCs w:val="24"/>
              </w:rPr>
              <w:t>10</w:t>
            </w:r>
            <w:r>
              <w:rPr>
                <w:rFonts w:hint="eastAsia" w:ascii="宋体" w:hAnsi="宋体"/>
                <w:color w:val="auto"/>
                <w:sz w:val="24"/>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2126" w:type="dxa"/>
            <w:vAlign w:val="center"/>
          </w:tcPr>
          <w:p>
            <w:pPr>
              <w:widowControl w:val="0"/>
              <w:autoSpaceDE w:val="0"/>
              <w:autoSpaceDN w:val="0"/>
              <w:snapToGrid w:val="0"/>
              <w:spacing w:line="240" w:lineRule="auto"/>
              <w:jc w:val="center"/>
              <w:textAlignment w:val="auto"/>
              <w:rPr>
                <w:rFonts w:ascii="宋体" w:cs="宋体"/>
                <w:color w:val="auto"/>
                <w:sz w:val="24"/>
                <w:szCs w:val="24"/>
              </w:rPr>
            </w:pPr>
            <w:r>
              <w:rPr>
                <w:rFonts w:hint="eastAsia" w:ascii="宋体" w:hAnsi="宋体" w:cs="宋体"/>
                <w:color w:val="auto"/>
                <w:sz w:val="24"/>
                <w:szCs w:val="24"/>
              </w:rPr>
              <w:t>偏差描述</w:t>
            </w:r>
          </w:p>
        </w:tc>
        <w:tc>
          <w:tcPr>
            <w:tcW w:w="5528" w:type="dxa"/>
            <w:vAlign w:val="center"/>
          </w:tcPr>
          <w:p>
            <w:pPr>
              <w:widowControl w:val="0"/>
              <w:snapToGrid w:val="0"/>
              <w:spacing w:line="240" w:lineRule="auto"/>
              <w:jc w:val="left"/>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3.7.3</w:t>
            </w:r>
            <w:r>
              <w:rPr>
                <w:rFonts w:hint="eastAsia" w:ascii="宋体" w:hAnsi="宋体"/>
                <w:color w:val="auto"/>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425"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993"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lang w:val="zh-CN"/>
              </w:rPr>
            </w:pPr>
          </w:p>
        </w:tc>
        <w:tc>
          <w:tcPr>
            <w:tcW w:w="2126" w:type="dxa"/>
            <w:vAlign w:val="center"/>
          </w:tcPr>
          <w:p>
            <w:pPr>
              <w:widowControl w:val="0"/>
              <w:snapToGrid w:val="0"/>
              <w:spacing w:line="240" w:lineRule="auto"/>
              <w:jc w:val="center"/>
              <w:rPr>
                <w:rFonts w:ascii="宋体"/>
                <w:color w:val="auto"/>
                <w:sz w:val="24"/>
                <w:szCs w:val="24"/>
              </w:rPr>
            </w:pPr>
            <w:r>
              <w:rPr>
                <w:rFonts w:hint="eastAsia"/>
                <w:color w:val="auto"/>
                <w:sz w:val="24"/>
                <w:szCs w:val="24"/>
              </w:rPr>
              <w:t>招标</w:t>
            </w:r>
            <w:r>
              <w:rPr>
                <w:rFonts w:hint="eastAsia" w:ascii="宋体" w:hAnsi="宋体"/>
                <w:color w:val="auto"/>
                <w:sz w:val="24"/>
                <w:szCs w:val="24"/>
              </w:rPr>
              <w:t>文件总体响应</w:t>
            </w:r>
          </w:p>
        </w:tc>
        <w:tc>
          <w:tcPr>
            <w:tcW w:w="5528" w:type="dxa"/>
            <w:vAlign w:val="center"/>
          </w:tcPr>
          <w:p>
            <w:pPr>
              <w:widowControl w:val="0"/>
              <w:autoSpaceDE w:val="0"/>
              <w:autoSpaceDN w:val="0"/>
              <w:snapToGrid w:val="0"/>
              <w:spacing w:line="240" w:lineRule="auto"/>
              <w:jc w:val="left"/>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1.3</w:t>
            </w:r>
            <w:r>
              <w:rPr>
                <w:rFonts w:hint="eastAsia" w:ascii="宋体" w:hAnsi="宋体"/>
                <w:color w:val="auto"/>
                <w:sz w:val="24"/>
                <w:szCs w:val="24"/>
              </w:rPr>
              <w:t>项规定</w:t>
            </w:r>
          </w:p>
        </w:tc>
      </w:tr>
    </w:tbl>
    <w:p>
      <w:pPr>
        <w:autoSpaceDE w:val="0"/>
        <w:autoSpaceDN w:val="0"/>
        <w:adjustRightInd w:val="0"/>
        <w:snapToGrid w:val="0"/>
        <w:spacing w:beforeLines="50" w:line="300" w:lineRule="auto"/>
        <w:ind w:firstLine="539"/>
        <w:rPr>
          <w:rFonts w:ascii="宋体" w:hAnsi="宋体" w:cs="楷体_GB2312"/>
          <w:b/>
          <w:color w:val="auto"/>
          <w:sz w:val="24"/>
          <w:lang w:val="zh-CN"/>
        </w:rPr>
      </w:pPr>
    </w:p>
    <w:p>
      <w:pPr>
        <w:autoSpaceDE w:val="0"/>
        <w:autoSpaceDN w:val="0"/>
        <w:adjustRightInd w:val="0"/>
        <w:snapToGrid w:val="0"/>
        <w:spacing w:beforeLines="50" w:line="300" w:lineRule="auto"/>
        <w:ind w:firstLine="539"/>
        <w:rPr>
          <w:rFonts w:ascii="黑体" w:hAnsi="黑体" w:eastAsia="黑体"/>
          <w:b/>
          <w:color w:val="auto"/>
          <w:sz w:val="28"/>
          <w:szCs w:val="28"/>
        </w:rPr>
      </w:pPr>
      <w:r>
        <w:rPr>
          <w:rFonts w:ascii="宋体" w:hAnsi="宋体" w:cs="楷体_GB2312"/>
          <w:b/>
          <w:color w:val="auto"/>
          <w:sz w:val="24"/>
          <w:lang w:val="zh-CN"/>
        </w:rPr>
        <w:br w:type="page"/>
      </w:r>
      <w:r>
        <w:rPr>
          <w:rFonts w:hint="eastAsia" w:ascii="黑体" w:hAnsi="黑体" w:eastAsia="黑体"/>
          <w:b/>
          <w:color w:val="auto"/>
          <w:sz w:val="28"/>
          <w:szCs w:val="28"/>
        </w:rPr>
        <w:t>评标办法前附表</w:t>
      </w:r>
      <w:r>
        <w:rPr>
          <w:rFonts w:ascii="黑体" w:hAnsi="黑体" w:eastAsia="黑体"/>
          <w:b/>
          <w:color w:val="auto"/>
          <w:sz w:val="28"/>
          <w:szCs w:val="28"/>
        </w:rPr>
        <w:t>------</w:t>
      </w:r>
      <w:r>
        <w:rPr>
          <w:rFonts w:hint="eastAsia" w:ascii="黑体" w:hAnsi="黑体" w:eastAsia="黑体"/>
          <w:b/>
          <w:color w:val="auto"/>
          <w:sz w:val="28"/>
          <w:szCs w:val="28"/>
        </w:rPr>
        <w:t>分值构成与评分标准</w:t>
      </w:r>
      <w:r>
        <w:rPr>
          <w:rFonts w:ascii="黑体" w:hAnsi="黑体" w:eastAsia="黑体"/>
          <w:b/>
          <w:color w:val="auto"/>
          <w:sz w:val="28"/>
          <w:szCs w:val="28"/>
        </w:rPr>
        <w:t xml:space="preserve"> </w:t>
      </w:r>
    </w:p>
    <w:tbl>
      <w:tblPr>
        <w:tblStyle w:val="19"/>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0"/>
        <w:gridCol w:w="1293"/>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41" w:type="dxa"/>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条款号</w:t>
            </w:r>
          </w:p>
        </w:tc>
        <w:tc>
          <w:tcPr>
            <w:tcW w:w="1310" w:type="dxa"/>
            <w:vAlign w:val="center"/>
          </w:tcPr>
          <w:p>
            <w:pPr>
              <w:spacing w:line="276"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条款内容</w:t>
            </w:r>
          </w:p>
        </w:tc>
        <w:tc>
          <w:tcPr>
            <w:tcW w:w="7879" w:type="dxa"/>
            <w:gridSpan w:val="2"/>
            <w:vAlign w:val="center"/>
          </w:tcPr>
          <w:p>
            <w:pPr>
              <w:spacing w:line="276"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1" w:type="dxa"/>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2.2.1</w:t>
            </w:r>
          </w:p>
        </w:tc>
        <w:tc>
          <w:tcPr>
            <w:tcW w:w="1310" w:type="dxa"/>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分值构成</w:t>
            </w:r>
          </w:p>
          <w:p>
            <w:pPr>
              <w:widowControl w:val="0"/>
              <w:snapToGrid w:val="0"/>
              <w:spacing w:line="276" w:lineRule="auto"/>
              <w:jc w:val="center"/>
              <w:rPr>
                <w:rFonts w:asciiTheme="minorEastAsia" w:hAnsiTheme="minorEastAsia" w:eastAsiaTheme="minorEastAsia"/>
                <w:color w:val="auto"/>
                <w:sz w:val="24"/>
                <w:szCs w:val="24"/>
              </w:rPr>
            </w:pPr>
            <w:r>
              <w:rPr>
                <w:rFonts w:hint="eastAsia" w:cs="TimesNewRomanPSMT"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rPr>
              <w:t>总分</w:t>
            </w:r>
            <w:r>
              <w:rPr>
                <w:rFonts w:cs="TimesNewRomanPSMT" w:asciiTheme="minorEastAsia" w:hAnsiTheme="minorEastAsia" w:eastAsiaTheme="minorEastAsia"/>
                <w:color w:val="auto"/>
                <w:sz w:val="24"/>
                <w:szCs w:val="24"/>
              </w:rPr>
              <w:t xml:space="preserve">100 </w:t>
            </w:r>
            <w:r>
              <w:rPr>
                <w:rFonts w:hint="eastAsia" w:cs="宋体" w:asciiTheme="minorEastAsia" w:hAnsiTheme="minorEastAsia" w:eastAsiaTheme="minorEastAsia"/>
                <w:color w:val="auto"/>
                <w:sz w:val="24"/>
                <w:szCs w:val="24"/>
              </w:rPr>
              <w:t>分）</w:t>
            </w:r>
          </w:p>
        </w:tc>
        <w:tc>
          <w:tcPr>
            <w:tcW w:w="7879" w:type="dxa"/>
            <w:gridSpan w:val="2"/>
            <w:vAlign w:val="center"/>
          </w:tcPr>
          <w:p>
            <w:pPr>
              <w:widowControl w:val="0"/>
              <w:snapToGrid w:val="0"/>
              <w:spacing w:line="276" w:lineRule="auto"/>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价格：</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20</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分</w:t>
            </w:r>
          </w:p>
          <w:p>
            <w:pPr>
              <w:widowControl w:val="0"/>
              <w:snapToGrid w:val="0"/>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服务：</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4</w:t>
            </w:r>
            <w:r>
              <w:rPr>
                <w:rFonts w:cs="宋体" w:asciiTheme="minorEastAsia" w:hAnsiTheme="minorEastAsia" w:eastAsiaTheme="minorEastAsia"/>
                <w:color w:val="auto"/>
                <w:sz w:val="24"/>
                <w:szCs w:val="24"/>
                <w:u w:val="single"/>
              </w:rPr>
              <w:t xml:space="preserve">7 </w:t>
            </w:r>
            <w:r>
              <w:rPr>
                <w:rFonts w:hint="eastAsia" w:cs="宋体" w:asciiTheme="minorEastAsia" w:hAnsiTheme="minorEastAsia" w:eastAsiaTheme="minorEastAsia"/>
                <w:color w:val="auto"/>
                <w:sz w:val="24"/>
                <w:szCs w:val="24"/>
              </w:rPr>
              <w:t>分</w:t>
            </w:r>
          </w:p>
          <w:p>
            <w:pPr>
              <w:widowControl w:val="0"/>
              <w:snapToGrid w:val="0"/>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履约能力：</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3</w:t>
            </w:r>
            <w:r>
              <w:rPr>
                <w:rFonts w:cs="宋体" w:asciiTheme="minorEastAsia" w:hAnsiTheme="minorEastAsia" w:eastAsiaTheme="minorEastAsia"/>
                <w:color w:val="auto"/>
                <w:sz w:val="24"/>
                <w:szCs w:val="24"/>
                <w:u w:val="single"/>
              </w:rPr>
              <w:t xml:space="preserve">3 </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1" w:type="dxa"/>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条款号</w:t>
            </w:r>
          </w:p>
        </w:tc>
        <w:tc>
          <w:tcPr>
            <w:tcW w:w="1310" w:type="dxa"/>
            <w:vAlign w:val="center"/>
          </w:tcPr>
          <w:p>
            <w:pPr>
              <w:widowControl w:val="0"/>
              <w:snapToGrid w:val="0"/>
              <w:spacing w:line="276" w:lineRule="auto"/>
              <w:ind w:hanging="13"/>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评分因素</w:t>
            </w:r>
          </w:p>
        </w:tc>
        <w:tc>
          <w:tcPr>
            <w:tcW w:w="7879" w:type="dxa"/>
            <w:gridSpan w:val="2"/>
            <w:vAlign w:val="center"/>
          </w:tcPr>
          <w:p>
            <w:pPr>
              <w:widowControl w:val="0"/>
              <w:snapToGrid w:val="0"/>
              <w:spacing w:line="276"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1" w:type="dxa"/>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2.2.2.1</w:t>
            </w:r>
          </w:p>
        </w:tc>
        <w:tc>
          <w:tcPr>
            <w:tcW w:w="1310" w:type="dxa"/>
            <w:vAlign w:val="center"/>
          </w:tcPr>
          <w:p>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价格</w:t>
            </w:r>
          </w:p>
        </w:tc>
        <w:tc>
          <w:tcPr>
            <w:tcW w:w="7879" w:type="dxa"/>
            <w:gridSpan w:val="2"/>
            <w:vAlign w:val="center"/>
          </w:tcPr>
          <w:p>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价格因素评分</w:t>
            </w:r>
          </w:p>
          <w:p>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所有有效投标人的投标报价中，价格最低的投标报价为评标基准值。</w:t>
            </w:r>
          </w:p>
          <w:p>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有效投标报价等于评标基准值得2</w:t>
            </w:r>
            <w:r>
              <w:rPr>
                <w:rFonts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rPr>
              <w:t>分。</w:t>
            </w:r>
          </w:p>
          <w:p>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其他投标人投标报价得分</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（评标基准价</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投标报价）×</w:t>
            </w:r>
            <w:r>
              <w:rPr>
                <w:rFonts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100</w:t>
            </w:r>
            <w:r>
              <w:rPr>
                <w:rFonts w:hint="eastAsia" w:asciiTheme="minorEastAsia" w:hAnsiTheme="minorEastAsia" w:eastAsiaTheme="minorEastAsia"/>
                <w:color w:val="auto"/>
                <w:sz w:val="24"/>
                <w:szCs w:val="24"/>
              </w:rPr>
              <w:t>。</w:t>
            </w:r>
          </w:p>
          <w:p>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1" w:type="dxa"/>
            <w:vMerge w:val="restart"/>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2.2.2.2</w:t>
            </w:r>
          </w:p>
        </w:tc>
        <w:tc>
          <w:tcPr>
            <w:tcW w:w="1310" w:type="dxa"/>
            <w:vMerge w:val="restart"/>
            <w:vAlign w:val="center"/>
          </w:tcPr>
          <w:p>
            <w:pPr>
              <w:widowControl w:val="0"/>
              <w:autoSpaceDE w:val="0"/>
              <w:autoSpaceDN w:val="0"/>
              <w:adjustRightInd w:val="0"/>
              <w:snapToGrid w:val="0"/>
              <w:spacing w:line="276"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sz w:val="24"/>
                <w:szCs w:val="24"/>
              </w:rPr>
              <w:t>服务</w:t>
            </w:r>
          </w:p>
        </w:tc>
        <w:tc>
          <w:tcPr>
            <w:tcW w:w="1293" w:type="dxa"/>
            <w:vAlign w:val="center"/>
          </w:tcPr>
          <w:p>
            <w:pPr>
              <w:pStyle w:val="73"/>
              <w:spacing w:line="276"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技术实施方案（5分）</w:t>
            </w:r>
          </w:p>
        </w:tc>
        <w:tc>
          <w:tcPr>
            <w:tcW w:w="6586" w:type="dxa"/>
            <w:vAlign w:val="center"/>
          </w:tcPr>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a.实施方案针对性强，技术构架先进、方案介绍内容详尽、准确、全面，总体说明构思详尽、内容完整、方案合理、切合实际的，得5分；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b.方案较合理、较切合实际的，得3分；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c.方案一般，仅能满足基本完成项目的，的1分；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d.方案不够合理、不切合实际的，得0分。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293" w:type="dxa"/>
            <w:vAlign w:val="center"/>
          </w:tcPr>
          <w:p>
            <w:pPr>
              <w:pStyle w:val="73"/>
              <w:spacing w:line="276"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进度计划与措施（3分）</w:t>
            </w:r>
          </w:p>
        </w:tc>
        <w:tc>
          <w:tcPr>
            <w:tcW w:w="6586" w:type="dxa"/>
            <w:vAlign w:val="center"/>
          </w:tcPr>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本项目工期较为紧迫，实施方案中计划和措施:</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a.科学合理、切合实际的，得3分；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b.方案较合理、较切合实际的，得2分；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c.方案一般，仅能满足基本完成项目的，的1分；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d.方案不够合理、不切合实际的，得0分。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293" w:type="dxa"/>
            <w:vAlign w:val="center"/>
          </w:tcPr>
          <w:p>
            <w:pPr>
              <w:pStyle w:val="73"/>
              <w:spacing w:line="276"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组织机构及人员设备方案（3分）</w:t>
            </w:r>
          </w:p>
        </w:tc>
        <w:tc>
          <w:tcPr>
            <w:tcW w:w="6586" w:type="dxa"/>
            <w:vAlign w:val="center"/>
          </w:tcPr>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组织机构及人员设备方案，实施方案中拟派项目组人员中，组织机构及人员设备方案:</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a.方案配置充分，分工明确，方案合理，得3分；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b.方案较合理、较切合实际的，得2分；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c.方案一般，仅能满足基本完成项目的，的1分；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d.方案不够合理、不切合实际的，得0分。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293" w:type="dxa"/>
            <w:vAlign w:val="center"/>
          </w:tcPr>
          <w:p>
            <w:pPr>
              <w:pStyle w:val="73"/>
              <w:spacing w:line="276"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成果管理与质量管理体系措施（5分）</w:t>
            </w:r>
          </w:p>
        </w:tc>
        <w:tc>
          <w:tcPr>
            <w:tcW w:w="6586" w:type="dxa"/>
            <w:vAlign w:val="center"/>
          </w:tcPr>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成果管理与质量管理体系：</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a.科学合理、内容详尽、针对性及可操作性强，且符合实际，得5分；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b.方案较合理、较切合实际的，得3分；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c.方案一般，仅能满足基本完成项目的，的1分；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d.方案不够合理、不切合实际的，得0分。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293" w:type="dxa"/>
            <w:vAlign w:val="center"/>
          </w:tcPr>
          <w:p>
            <w:pPr>
              <w:pStyle w:val="73"/>
              <w:spacing w:line="276"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项目实施难点及关键过程分析（3分）</w:t>
            </w:r>
          </w:p>
        </w:tc>
        <w:tc>
          <w:tcPr>
            <w:tcW w:w="6586" w:type="dxa"/>
            <w:vAlign w:val="center"/>
          </w:tcPr>
          <w:p>
            <w:pPr>
              <w:spacing w:line="276" w:lineRule="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实施方案中项目实施难点及关键过程</w:t>
            </w:r>
            <w:r>
              <w:rPr>
                <w:rFonts w:hint="eastAsia" w:cs="宋体" w:asciiTheme="minorEastAsia" w:hAnsiTheme="minorEastAsia" w:eastAsiaTheme="minorEastAsia"/>
                <w:color w:val="auto"/>
                <w:sz w:val="24"/>
                <w:szCs w:val="24"/>
              </w:rPr>
              <w:t>：</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w:t>
            </w:r>
            <w:r>
              <w:rPr>
                <w:rFonts w:cs="宋体" w:asciiTheme="minorEastAsia" w:hAnsiTheme="minorEastAsia" w:eastAsiaTheme="minorEastAsia"/>
                <w:color w:val="auto"/>
                <w:sz w:val="24"/>
                <w:szCs w:val="24"/>
              </w:rPr>
              <w:t>理解分析透彻，难点解决方法和方案科学合理，关键过程控制得当的，得</w:t>
            </w:r>
            <w:r>
              <w:rPr>
                <w:rFonts w:hint="eastAsia" w:cs="宋体" w:asciiTheme="minorEastAsia" w:hAnsiTheme="minorEastAsia" w:eastAsiaTheme="minorEastAsia"/>
                <w:color w:val="auto"/>
                <w:sz w:val="24"/>
                <w:szCs w:val="24"/>
              </w:rPr>
              <w:t>3分；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w:t>
            </w:r>
            <w:r>
              <w:rPr>
                <w:rFonts w:cs="宋体" w:asciiTheme="minorEastAsia" w:hAnsiTheme="minorEastAsia" w:eastAsiaTheme="minorEastAsia"/>
                <w:color w:val="auto"/>
                <w:sz w:val="24"/>
                <w:szCs w:val="24"/>
              </w:rPr>
              <w:t>分析较透彻，难点解决方法和方案</w:t>
            </w:r>
            <w:r>
              <w:rPr>
                <w:rFonts w:hint="eastAsia" w:cs="宋体" w:asciiTheme="minorEastAsia" w:hAnsiTheme="minorEastAsia" w:eastAsiaTheme="minorEastAsia"/>
                <w:color w:val="auto"/>
                <w:sz w:val="24"/>
                <w:szCs w:val="24"/>
              </w:rPr>
              <w:t>较</w:t>
            </w:r>
            <w:r>
              <w:rPr>
                <w:rFonts w:cs="宋体" w:asciiTheme="minorEastAsia" w:hAnsiTheme="minorEastAsia" w:eastAsiaTheme="minorEastAsia"/>
                <w:color w:val="auto"/>
                <w:sz w:val="24"/>
                <w:szCs w:val="24"/>
              </w:rPr>
              <w:t>合理，关键过程控制较得当的，</w:t>
            </w:r>
            <w:r>
              <w:rPr>
                <w:rFonts w:hint="eastAsia" w:cs="宋体" w:asciiTheme="minorEastAsia" w:hAnsiTheme="minorEastAsia" w:eastAsiaTheme="minorEastAsia"/>
                <w:color w:val="auto"/>
                <w:sz w:val="24"/>
                <w:szCs w:val="24"/>
              </w:rPr>
              <w:t>得1分；</w:t>
            </w:r>
          </w:p>
          <w:p>
            <w:pPr>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c.</w:t>
            </w:r>
            <w:r>
              <w:rPr>
                <w:rFonts w:cs="宋体" w:asciiTheme="minorEastAsia" w:hAnsiTheme="minorEastAsia" w:eastAsiaTheme="minorEastAsia"/>
                <w:color w:val="auto"/>
                <w:sz w:val="24"/>
                <w:szCs w:val="24"/>
              </w:rPr>
              <w:t>分析不够透彻，难点解决方法和方案不够合理，关键过程控制不够得当的，得</w:t>
            </w:r>
            <w:r>
              <w:rPr>
                <w:rFonts w:hint="eastAsia" w:cs="宋体" w:asciiTheme="minorEastAsia" w:hAnsiTheme="minorEastAsia" w:eastAsiaTheme="minorEastAsia"/>
                <w:color w:val="auto"/>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293" w:type="dxa"/>
            <w:vAlign w:val="center"/>
          </w:tcPr>
          <w:p>
            <w:pPr>
              <w:tabs>
                <w:tab w:val="left" w:pos="840"/>
                <w:tab w:val="left" w:pos="993"/>
              </w:tabs>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服务团队（20分）</w:t>
            </w:r>
          </w:p>
        </w:tc>
        <w:tc>
          <w:tcPr>
            <w:tcW w:w="6586" w:type="dxa"/>
            <w:vAlign w:val="center"/>
          </w:tcPr>
          <w:p>
            <w:pPr>
              <w:tabs>
                <w:tab w:val="left" w:pos="840"/>
                <w:tab w:val="left" w:pos="993"/>
              </w:tabs>
              <w:spacing w:line="276"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1、项目拟派团队人员（不含项目负责人）中具有涉密测绘成果管理人员岗位培训证书的，每提供一个得0.5分，最多得2分。(须附证书原件扫描件及本单位近6个月的养老保险缴纳证明)</w:t>
            </w:r>
          </w:p>
          <w:p>
            <w:pPr>
              <w:tabs>
                <w:tab w:val="left" w:pos="840"/>
                <w:tab w:val="left" w:pos="993"/>
              </w:tabs>
              <w:spacing w:line="276"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项目拟派团队人员（不含项目负责人）中具有测绘专业工程师中级及以上职称的，10人及以上（包含10人）的，本项得6分；拟派团队10人及以上（包含10人）的人员中，包含4人及以上（包含4人）为高级工程师且注册测绘师的，本项得12分；拟派团队人员不及10人的，本项不得分；本项最多得12分。(须附职称证书、注册证书原件扫描件及本单位近6个月的养老保险缴纳证明)</w:t>
            </w:r>
          </w:p>
          <w:p>
            <w:pPr>
              <w:tabs>
                <w:tab w:val="left" w:pos="840"/>
                <w:tab w:val="left" w:pos="993"/>
              </w:tabs>
              <w:spacing w:line="276"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3、拟投入项目组成员（不含项目负责人）具有城市规划专业高级或以上职称，且注册规划师的，每一人得2分，最高得6分。(须附职称证书、注册证书原件扫描件及本单位近6个月的养老保险缴纳证明)</w:t>
            </w:r>
          </w:p>
          <w:p>
            <w:pPr>
              <w:tabs>
                <w:tab w:val="left" w:pos="840"/>
                <w:tab w:val="left" w:pos="993"/>
              </w:tabs>
              <w:spacing w:line="276" w:lineRule="auto"/>
              <w:ind w:firstLine="480" w:firstLineChars="200"/>
              <w:rPr>
                <w:rFonts w:cs="宋体" w:asciiTheme="minorEastAsia" w:hAnsiTheme="minorEastAsia" w:eastAsiaTheme="minorEastAsia"/>
                <w:color w:val="auto"/>
                <w:sz w:val="24"/>
                <w:szCs w:val="24"/>
              </w:rPr>
            </w:pPr>
          </w:p>
          <w:p>
            <w:pPr>
              <w:tabs>
                <w:tab w:val="left" w:pos="840"/>
                <w:tab w:val="left" w:pos="993"/>
              </w:tabs>
              <w:spacing w:line="276"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注：服务团队中同一人不重复得分。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293" w:type="dxa"/>
            <w:vAlign w:val="center"/>
          </w:tcPr>
          <w:p>
            <w:pPr>
              <w:pStyle w:val="73"/>
              <w:spacing w:line="276"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服务承诺（</w:t>
            </w:r>
            <w:r>
              <w:rPr>
                <w:rFonts w:cs="宋体" w:asciiTheme="minorEastAsia" w:hAnsiTheme="minorEastAsia" w:eastAsiaTheme="minorEastAsia"/>
                <w:sz w:val="24"/>
                <w:szCs w:val="24"/>
              </w:rPr>
              <w:t>8</w:t>
            </w:r>
            <w:r>
              <w:rPr>
                <w:rFonts w:hint="eastAsia" w:cs="宋体" w:asciiTheme="minorEastAsia" w:hAnsiTheme="minorEastAsia" w:eastAsiaTheme="minorEastAsia"/>
                <w:sz w:val="24"/>
                <w:szCs w:val="24"/>
              </w:rPr>
              <w:t>分）</w:t>
            </w:r>
          </w:p>
        </w:tc>
        <w:tc>
          <w:tcPr>
            <w:tcW w:w="6586" w:type="dxa"/>
            <w:vAlign w:val="center"/>
          </w:tcPr>
          <w:p>
            <w:pPr>
              <w:tabs>
                <w:tab w:val="left" w:pos="840"/>
                <w:tab w:val="left" w:pos="993"/>
              </w:tabs>
              <w:spacing w:line="276" w:lineRule="auto"/>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该项目工期较为紧迫，为保障项目质量及进度，要求投标人应具备雄厚的技术实力、加大人员和物资投入、具备全天候作业能力，对项目基本情况具有一定程度的了解和掌握；针对上述实际情况，评标委员会根据下述标准对投标人服务承诺进行评价打分。</w:t>
            </w:r>
          </w:p>
          <w:p>
            <w:pPr>
              <w:pStyle w:val="73"/>
              <w:tabs>
                <w:tab w:val="left" w:pos="840"/>
                <w:tab w:val="left" w:pos="993"/>
              </w:tabs>
              <w:spacing w:line="276"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供应商承诺在项目地长期派驻5名及以上人员的（必须包含项目负责人），其中同时具有高级工程师和注册测绘师不少于5人的，得5分；未承诺派驻人员或派驻人员不符合本项要求的，不得分。(须提供人员名单并附注册证书、职称证书原件扫描件及本单位近6个月的养老保险缴纳证明)</w:t>
            </w:r>
          </w:p>
          <w:p>
            <w:pPr>
              <w:pStyle w:val="73"/>
              <w:spacing w:line="276"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2、投标人在项目地可提供固定办公场所证明的（须附证明材料原件扫描件），得</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分；未提供固定办公场所证明的，不得分。</w:t>
            </w:r>
          </w:p>
          <w:p>
            <w:pPr>
              <w:pStyle w:val="73"/>
              <w:spacing w:line="276"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3、投标人承诺提供后续服务，且及时响应服务，当采购人提出要求时，供应商主要人员24小时可到达现场并合理妥善解决问题的，得1分。未承诺或超出响应时间的，不得分。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1" w:type="dxa"/>
            <w:vMerge w:val="restart"/>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2.2.2.3</w:t>
            </w:r>
          </w:p>
        </w:tc>
        <w:tc>
          <w:tcPr>
            <w:tcW w:w="1310" w:type="dxa"/>
            <w:vMerge w:val="restart"/>
            <w:vAlign w:val="center"/>
          </w:tcPr>
          <w:p>
            <w:pPr>
              <w:widowControl w:val="0"/>
              <w:autoSpaceDE w:val="0"/>
              <w:autoSpaceDN w:val="0"/>
              <w:snapToGri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b/>
                <w:color w:val="auto"/>
                <w:sz w:val="24"/>
                <w:szCs w:val="24"/>
              </w:rPr>
              <w:t>履约能力</w:t>
            </w:r>
          </w:p>
        </w:tc>
        <w:tc>
          <w:tcPr>
            <w:tcW w:w="1293" w:type="dxa"/>
            <w:vAlign w:val="center"/>
          </w:tcPr>
          <w:p>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信誉</w:t>
            </w:r>
          </w:p>
          <w:p>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分）</w:t>
            </w:r>
          </w:p>
        </w:tc>
        <w:tc>
          <w:tcPr>
            <w:tcW w:w="6586" w:type="dxa"/>
            <w:vAlign w:val="center"/>
          </w:tcPr>
          <w:p>
            <w:pPr>
              <w:pStyle w:val="73"/>
              <w:tabs>
                <w:tab w:val="left" w:pos="840"/>
                <w:tab w:val="left" w:pos="993"/>
              </w:tabs>
              <w:spacing w:line="276"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1、投标人具有城乡规划编制资质乙级的得2分、甲级的得4分，本项最高得4分。(须提供证书原件扫描件)</w:t>
            </w:r>
          </w:p>
          <w:p>
            <w:pPr>
              <w:pStyle w:val="73"/>
              <w:tabs>
                <w:tab w:val="left" w:pos="840"/>
                <w:tab w:val="left" w:pos="993"/>
              </w:tabs>
              <w:spacing w:line="276"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2、投标人信用等级为AAA级的得2分，信用等级为AA级的得1分，本项最多2分。(须同时提供证书及信用报告原件扫描件)</w:t>
            </w:r>
          </w:p>
          <w:p>
            <w:pPr>
              <w:pStyle w:val="73"/>
              <w:tabs>
                <w:tab w:val="left" w:pos="840"/>
                <w:tab w:val="left" w:pos="993"/>
              </w:tabs>
              <w:spacing w:line="276"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3、投标人具有质量管理体系认证、职业健康管理体系认证和环境管理体系认证证书的，得3分。(须附证书原件扫描件，认证范围需包含界线与不动产测绘类和地理信息系统工程类专业)</w:t>
            </w:r>
          </w:p>
          <w:p>
            <w:pPr>
              <w:pStyle w:val="73"/>
              <w:tabs>
                <w:tab w:val="left" w:pos="840"/>
                <w:tab w:val="left" w:pos="993"/>
              </w:tabs>
              <w:spacing w:line="276" w:lineRule="auto"/>
              <w:ind w:firstLine="480"/>
            </w:pPr>
            <w:r>
              <w:rPr>
                <w:rFonts w:hint="eastAsia" w:cs="宋体" w:asciiTheme="minorEastAsia" w:hAnsiTheme="minorEastAsia" w:eastAsiaTheme="minorEastAsia"/>
                <w:sz w:val="24"/>
                <w:szCs w:val="24"/>
              </w:rPr>
              <w:t>4、具有城市国土空间监测质量检验软件，得2分。(须提供软件购买合同、发票原件扫描件及发票查验证明；质检软件需通过国家软件著作权登记，提供登记证书原件扫描件)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1" w:type="dxa"/>
            <w:vMerge w:val="continue"/>
            <w:vAlign w:val="center"/>
          </w:tcPr>
          <w:p>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pPr>
              <w:widowControl w:val="0"/>
              <w:autoSpaceDE w:val="0"/>
              <w:autoSpaceDN w:val="0"/>
              <w:snapToGrid w:val="0"/>
              <w:spacing w:line="276" w:lineRule="auto"/>
              <w:jc w:val="center"/>
              <w:textAlignment w:val="auto"/>
              <w:rPr>
                <w:rFonts w:cs="宋体" w:asciiTheme="minorEastAsia" w:hAnsiTheme="minorEastAsia" w:eastAsiaTheme="minorEastAsia"/>
                <w:b/>
                <w:color w:val="auto"/>
                <w:sz w:val="24"/>
                <w:szCs w:val="24"/>
              </w:rPr>
            </w:pPr>
          </w:p>
        </w:tc>
        <w:tc>
          <w:tcPr>
            <w:tcW w:w="1293" w:type="dxa"/>
            <w:vAlign w:val="center"/>
          </w:tcPr>
          <w:p>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业绩</w:t>
            </w:r>
          </w:p>
          <w:p>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（22分）</w:t>
            </w:r>
          </w:p>
        </w:tc>
        <w:tc>
          <w:tcPr>
            <w:tcW w:w="6586" w:type="dxa"/>
            <w:vAlign w:val="center"/>
          </w:tcPr>
          <w:p>
            <w:pPr>
              <w:pStyle w:val="73"/>
              <w:tabs>
                <w:tab w:val="left" w:pos="840"/>
                <w:tab w:val="left" w:pos="993"/>
              </w:tabs>
              <w:spacing w:line="276"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2019年1月1日以来获得过省级及以上部门（省测绘地理信息局或省自然资源厅）颁发的测绘优质工程（成果）奖，每个得1分，最多2分。(以获奖证书或获奖文件日期为准，须附证书原件扫描件或获奖文件原件扫描件)</w:t>
            </w:r>
          </w:p>
          <w:p>
            <w:pPr>
              <w:pStyle w:val="73"/>
              <w:tabs>
                <w:tab w:val="left" w:pos="840"/>
                <w:tab w:val="left" w:pos="993"/>
              </w:tabs>
              <w:spacing w:line="276"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2、2019年1月1日以来承担过市级城市国土空间监测项目或国土变更调查市级复查项目的，每项业绩得10分，最多得20分。(以合同签订时间为准，须附中标通知书、合同、项目验收证明原件扫描件)    </w:t>
            </w:r>
          </w:p>
        </w:tc>
      </w:tr>
    </w:tbl>
    <w:p>
      <w:pPr>
        <w:autoSpaceDE w:val="0"/>
        <w:autoSpaceDN w:val="0"/>
        <w:adjustRightInd w:val="0"/>
        <w:snapToGrid w:val="0"/>
        <w:spacing w:beforeLines="50" w:line="300" w:lineRule="auto"/>
        <w:ind w:firstLine="354" w:firstLineChars="147"/>
        <w:jc w:val="left"/>
        <w:rPr>
          <w:b/>
          <w:color w:val="auto"/>
          <w:sz w:val="24"/>
          <w:szCs w:val="24"/>
        </w:rPr>
      </w:pPr>
      <w:r>
        <w:rPr>
          <w:rFonts w:hint="eastAsia"/>
          <w:b/>
          <w:color w:val="auto"/>
          <w:sz w:val="24"/>
          <w:szCs w:val="24"/>
        </w:rPr>
        <w:t>注：以上打分细则中所需要的证件、证书、合同等证明资料，需提供的原件扫描件附于投标文件中。</w:t>
      </w:r>
    </w:p>
    <w:p>
      <w:pPr>
        <w:spacing w:line="240" w:lineRule="auto"/>
        <w:ind w:firstLine="419"/>
        <w:jc w:val="left"/>
        <w:textAlignment w:val="auto"/>
        <w:rPr>
          <w:rFonts w:ascii="黑体" w:hAnsi="黑体" w:eastAsia="黑体" w:cs="楷体_GB2312"/>
          <w:b/>
          <w:bCs/>
          <w:color w:val="auto"/>
          <w:sz w:val="28"/>
          <w:szCs w:val="28"/>
        </w:rPr>
      </w:pPr>
    </w:p>
    <w:p>
      <w:pPr>
        <w:spacing w:line="500" w:lineRule="exact"/>
        <w:jc w:val="left"/>
        <w:rPr>
          <w:rFonts w:ascii="黑体" w:hAnsi="黑体" w:eastAsia="黑体" w:cs="楷体_GB2312"/>
          <w:b/>
          <w:bCs/>
          <w:color w:val="auto"/>
          <w:sz w:val="28"/>
          <w:szCs w:val="28"/>
          <w:lang w:val="zh-CN"/>
        </w:rPr>
      </w:pPr>
      <w:r>
        <w:rPr>
          <w:rFonts w:ascii="黑体" w:hAnsi="黑体" w:eastAsia="黑体"/>
          <w:b/>
          <w:color w:val="auto"/>
          <w:sz w:val="28"/>
          <w:szCs w:val="28"/>
        </w:rPr>
        <w:br w:type="page"/>
      </w:r>
      <w:r>
        <w:rPr>
          <w:rFonts w:ascii="黑体" w:hAnsi="黑体" w:eastAsia="黑体" w:cs="楷体_GB2312"/>
          <w:b/>
          <w:bCs/>
          <w:color w:val="auto"/>
          <w:sz w:val="28"/>
          <w:szCs w:val="28"/>
          <w:lang w:val="zh-CN"/>
        </w:rPr>
        <w:t xml:space="preserve"> </w:t>
      </w:r>
    </w:p>
    <w:p>
      <w:pPr>
        <w:autoSpaceDE w:val="0"/>
        <w:autoSpaceDN w:val="0"/>
        <w:adjustRightInd w:val="0"/>
        <w:snapToGrid w:val="0"/>
        <w:spacing w:beforeLines="50" w:line="300" w:lineRule="auto"/>
        <w:ind w:firstLine="562" w:firstLineChars="200"/>
        <w:jc w:val="left"/>
        <w:outlineLvl w:val="1"/>
        <w:rPr>
          <w:rFonts w:ascii="黑体" w:hAnsi="黑体" w:eastAsia="黑体" w:cs="楷体_GB2312"/>
          <w:b/>
          <w:bCs/>
          <w:color w:val="auto"/>
          <w:sz w:val="28"/>
          <w:szCs w:val="28"/>
          <w:lang w:val="zh-CN"/>
        </w:rPr>
      </w:pPr>
      <w:bookmarkStart w:id="47" w:name="_Toc153542601"/>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评标方法</w:t>
      </w:r>
      <w:bookmarkEnd w:id="47"/>
    </w:p>
    <w:p>
      <w:pPr>
        <w:widowControl w:val="0"/>
        <w:adjustRightInd w:val="0"/>
        <w:snapToGrid w:val="0"/>
        <w:spacing w:beforeLines="50" w:line="300" w:lineRule="auto"/>
        <w:ind w:firstLine="480" w:firstLineChars="200"/>
        <w:textAlignment w:val="top"/>
        <w:rPr>
          <w:color w:val="auto"/>
          <w:sz w:val="24"/>
          <w:szCs w:val="24"/>
        </w:rPr>
      </w:pPr>
      <w:r>
        <w:rPr>
          <w:rFonts w:hint="eastAsia"/>
          <w:color w:val="auto"/>
          <w:sz w:val="24"/>
          <w:szCs w:val="24"/>
        </w:rPr>
        <w:t>本次招标项目（标段</w:t>
      </w:r>
      <w:r>
        <w:rPr>
          <w:rFonts w:hint="eastAsia" w:ascii="宋体" w:hAnsi="宋体" w:cs="楷体_GB2312"/>
          <w:color w:val="auto"/>
          <w:sz w:val="24"/>
          <w:lang w:val="zh-CN"/>
        </w:rPr>
        <w:t>&lt;包&gt;</w:t>
      </w:r>
      <w:r>
        <w:rPr>
          <w:rFonts w:hint="eastAsia"/>
          <w:color w:val="auto"/>
          <w:sz w:val="24"/>
          <w:szCs w:val="24"/>
        </w:rPr>
        <w:t>）的评标方法采用《政府采购货物和服务招标投标管理办法》中的“综合评分法”。</w:t>
      </w:r>
    </w:p>
    <w:p>
      <w:pPr>
        <w:widowControl w:val="0"/>
        <w:adjustRightInd w:val="0"/>
        <w:snapToGrid w:val="0"/>
        <w:spacing w:beforeLines="50" w:line="300" w:lineRule="auto"/>
        <w:ind w:firstLine="480" w:firstLineChars="200"/>
        <w:textAlignment w:val="top"/>
        <w:rPr>
          <w:color w:val="auto"/>
          <w:sz w:val="24"/>
          <w:szCs w:val="24"/>
        </w:rPr>
      </w:pPr>
      <w:r>
        <w:rPr>
          <w:rFonts w:hint="eastAsia"/>
          <w:color w:val="auto"/>
          <w:sz w:val="24"/>
          <w:szCs w:val="24"/>
        </w:rPr>
        <w:t>投标文件满足招标文件全部实质性要求的，评标委员会按照“评标办法前附表”列示的各项评审因素进行评价、打分，投标人的各项评审因素得分的汇总分值即为投标人该项目（标段&lt;包&gt;）的评审得分，评审得分最高的投标人为该项目（标段&lt;包&gt;）的中标候选人。如有两个投标人评审得分相同、并列第一的，以投标报价得分高者为该项目（标段&lt;包&gt;）的中标候选人。</w:t>
      </w:r>
    </w:p>
    <w:p>
      <w:pPr>
        <w:autoSpaceDE w:val="0"/>
        <w:autoSpaceDN w:val="0"/>
        <w:adjustRightInd w:val="0"/>
        <w:snapToGrid w:val="0"/>
        <w:spacing w:before="50" w:line="300" w:lineRule="auto"/>
        <w:ind w:firstLine="480" w:firstLineChars="200"/>
        <w:jc w:val="left"/>
        <w:rPr>
          <w:rFonts w:ascii="宋体"/>
          <w:color w:val="auto"/>
          <w:sz w:val="24"/>
        </w:rPr>
      </w:pPr>
    </w:p>
    <w:p>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lang w:val="zh-CN"/>
        </w:rPr>
      </w:pPr>
      <w:bookmarkStart w:id="48" w:name="_Toc427683958"/>
      <w:bookmarkStart w:id="49" w:name="_Toc153542602"/>
      <w:bookmarkStart w:id="50" w:name="_Toc427683915"/>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评标标准</w:t>
      </w:r>
      <w:bookmarkEnd w:id="48"/>
      <w:bookmarkEnd w:id="49"/>
      <w:bookmarkEnd w:id="50"/>
    </w:p>
    <w:p>
      <w:pPr>
        <w:autoSpaceDE w:val="0"/>
        <w:autoSpaceDN w:val="0"/>
        <w:adjustRightInd w:val="0"/>
        <w:snapToGrid w:val="0"/>
        <w:spacing w:before="50" w:line="300" w:lineRule="auto"/>
        <w:ind w:firstLine="482" w:firstLineChars="200"/>
        <w:jc w:val="left"/>
        <w:rPr>
          <w:rFonts w:ascii="宋体"/>
          <w:color w:val="auto"/>
          <w:sz w:val="24"/>
        </w:rPr>
      </w:pPr>
      <w:r>
        <w:rPr>
          <w:rFonts w:ascii="黑体" w:hAnsi="黑体" w:eastAsia="黑体"/>
          <w:b/>
          <w:color w:val="auto"/>
          <w:sz w:val="24"/>
        </w:rPr>
        <w:t xml:space="preserve">2.1 </w:t>
      </w:r>
      <w:r>
        <w:rPr>
          <w:rFonts w:hint="eastAsia" w:ascii="黑体" w:hAnsi="黑体" w:eastAsia="黑体"/>
          <w:b/>
          <w:color w:val="auto"/>
          <w:sz w:val="24"/>
        </w:rPr>
        <w:t>符合性审查标准：</w:t>
      </w:r>
      <w:r>
        <w:rPr>
          <w:rFonts w:hint="eastAsia" w:ascii="宋体" w:hAnsi="宋体"/>
          <w:color w:val="auto"/>
          <w:sz w:val="24"/>
        </w:rPr>
        <w:t>见评标办法前附表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2.2.1 </w:t>
      </w:r>
      <w:r>
        <w:rPr>
          <w:rFonts w:hint="eastAsia" w:ascii="宋体" w:hAnsi="宋体"/>
          <w:color w:val="auto"/>
          <w:sz w:val="24"/>
        </w:rPr>
        <w:t>分值构成：见评标办法前附表</w:t>
      </w:r>
    </w:p>
    <w:p>
      <w:pPr>
        <w:autoSpaceDE w:val="0"/>
        <w:autoSpaceDN w:val="0"/>
        <w:adjustRightInd w:val="0"/>
        <w:snapToGrid w:val="0"/>
        <w:spacing w:before="50" w:line="300" w:lineRule="auto"/>
        <w:ind w:firstLine="480" w:firstLineChars="200"/>
        <w:jc w:val="left"/>
        <w:rPr>
          <w:rFonts w:ascii="宋体" w:hAnsi="宋体"/>
          <w:color w:val="auto"/>
          <w:sz w:val="24"/>
        </w:rPr>
      </w:pPr>
      <w:r>
        <w:rPr>
          <w:rFonts w:ascii="宋体" w:hAnsi="宋体"/>
          <w:color w:val="auto"/>
          <w:sz w:val="24"/>
        </w:rPr>
        <w:t xml:space="preserve">2.2.2 </w:t>
      </w:r>
      <w:r>
        <w:rPr>
          <w:rFonts w:hint="eastAsia" w:ascii="宋体" w:hAnsi="宋体"/>
          <w:color w:val="auto"/>
          <w:sz w:val="24"/>
        </w:rPr>
        <w:t>评分标准：见评标办法前附表</w:t>
      </w:r>
    </w:p>
    <w:p>
      <w:pPr>
        <w:autoSpaceDE w:val="0"/>
        <w:autoSpaceDN w:val="0"/>
        <w:adjustRightInd w:val="0"/>
        <w:snapToGrid w:val="0"/>
        <w:spacing w:before="50" w:line="300" w:lineRule="auto"/>
        <w:ind w:firstLine="480" w:firstLineChars="200"/>
        <w:jc w:val="left"/>
        <w:rPr>
          <w:rFonts w:ascii="宋体"/>
          <w:color w:val="auto"/>
          <w:sz w:val="24"/>
        </w:rPr>
      </w:pPr>
    </w:p>
    <w:p>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lang w:val="zh-CN"/>
        </w:rPr>
      </w:pPr>
      <w:bookmarkStart w:id="51" w:name="_Toc153542603"/>
      <w:bookmarkStart w:id="52" w:name="_Toc427683959"/>
      <w:bookmarkStart w:id="53" w:name="_Toc427683916"/>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评标程序</w:t>
      </w:r>
      <w:bookmarkEnd w:id="51"/>
      <w:bookmarkEnd w:id="52"/>
      <w:bookmarkEnd w:id="53"/>
    </w:p>
    <w:p>
      <w:pPr>
        <w:autoSpaceDE w:val="0"/>
        <w:autoSpaceDN w:val="0"/>
        <w:adjustRightInd w:val="0"/>
        <w:snapToGrid w:val="0"/>
        <w:spacing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评标委员会按标段（包）进行评审</w:t>
      </w:r>
    </w:p>
    <w:p>
      <w:pPr>
        <w:autoSpaceDE w:val="0"/>
        <w:autoSpaceDN w:val="0"/>
        <w:adjustRightInd w:val="0"/>
        <w:snapToGrid w:val="0"/>
        <w:spacing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审阅招标文件</w:t>
      </w:r>
    </w:p>
    <w:p>
      <w:pPr>
        <w:pStyle w:val="54"/>
        <w:snapToGrid w:val="0"/>
        <w:spacing w:beforeLines="50" w:line="300" w:lineRule="auto"/>
        <w:ind w:firstLine="480" w:firstLineChars="200"/>
        <w:jc w:val="both"/>
        <w:rPr>
          <w:rFonts w:hAnsi="宋体"/>
          <w:color w:val="auto"/>
        </w:rPr>
      </w:pPr>
      <w:bookmarkStart w:id="54" w:name="_Toc427683960"/>
      <w:bookmarkStart w:id="55" w:name="_Toc427683917"/>
      <w:r>
        <w:rPr>
          <w:rFonts w:hAnsi="宋体"/>
          <w:color w:val="auto"/>
        </w:rPr>
        <w:t>3.1.1</w:t>
      </w:r>
      <w:r>
        <w:rPr>
          <w:rFonts w:hint="eastAsia" w:hAnsi="宋体"/>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bookmarkEnd w:id="54"/>
    <w:bookmarkEnd w:id="55"/>
    <w:p>
      <w:pPr>
        <w:widowControl w:val="0"/>
        <w:autoSpaceDE w:val="0"/>
        <w:autoSpaceDN w:val="0"/>
        <w:adjustRightInd w:val="0"/>
        <w:snapToGrid w:val="0"/>
        <w:spacing w:beforeLines="50" w:line="300" w:lineRule="auto"/>
        <w:ind w:firstLine="480" w:firstLineChars="200"/>
        <w:textAlignment w:val="auto"/>
        <w:rPr>
          <w:rFonts w:ascii="宋体"/>
          <w:color w:val="auto"/>
          <w:sz w:val="24"/>
        </w:rPr>
      </w:pPr>
      <w:bookmarkStart w:id="56" w:name="_Toc427683918"/>
      <w:bookmarkStart w:id="57" w:name="_Toc427683961"/>
      <w:r>
        <w:rPr>
          <w:rFonts w:ascii="宋体" w:hAnsi="宋体"/>
          <w:color w:val="auto"/>
          <w:sz w:val="24"/>
        </w:rPr>
        <w:t xml:space="preserve">3.1.2  </w:t>
      </w:r>
      <w:r>
        <w:rPr>
          <w:rFonts w:hint="eastAsia" w:ascii="宋体" w:hAnsi="宋体"/>
          <w:color w:val="auto"/>
          <w:sz w:val="24"/>
        </w:rPr>
        <w:t>评标委员会</w:t>
      </w:r>
      <w:r>
        <w:rPr>
          <w:rFonts w:hint="eastAsia" w:ascii="??" w:hAnsi="??" w:cs="宋体"/>
          <w:color w:val="auto"/>
          <w:sz w:val="24"/>
          <w:szCs w:val="21"/>
        </w:rPr>
        <w:t>要求解释</w:t>
      </w:r>
      <w:r>
        <w:rPr>
          <w:rFonts w:hint="eastAsia" w:ascii="宋体" w:hAnsi="宋体"/>
          <w:color w:val="auto"/>
          <w:sz w:val="24"/>
        </w:rPr>
        <w:t>招标文件的，书面提出需解释的相关招标文件的具体内容后、由采购代理机构或者采购人进行书面解释。</w:t>
      </w:r>
      <w:bookmarkEnd w:id="56"/>
      <w:bookmarkEnd w:id="57"/>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3.2 </w:t>
      </w:r>
      <w:r>
        <w:rPr>
          <w:rFonts w:hint="eastAsia" w:ascii="黑体" w:hAnsi="黑体" w:eastAsia="黑体"/>
          <w:b/>
          <w:color w:val="auto"/>
          <w:sz w:val="24"/>
        </w:rPr>
        <w:t>符合性审查</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3.2.1 </w:t>
      </w:r>
      <w:r>
        <w:rPr>
          <w:rFonts w:hint="eastAsia" w:ascii="宋体" w:hAnsi="宋体" w:cs="宋体"/>
          <w:color w:val="auto"/>
          <w:sz w:val="24"/>
        </w:rPr>
        <w:t>评标委员会对符合资格的投标人的投标文件进行符合性审查，以确定其是否满足招标文件的实质性要求。</w:t>
      </w:r>
    </w:p>
    <w:p>
      <w:pPr>
        <w:autoSpaceDE w:val="0"/>
        <w:autoSpaceDN w:val="0"/>
        <w:adjustRightInd w:val="0"/>
        <w:snapToGrid w:val="0"/>
        <w:spacing w:before="50" w:line="300" w:lineRule="auto"/>
        <w:ind w:firstLine="480" w:firstLineChars="200"/>
        <w:jc w:val="left"/>
        <w:rPr>
          <w:rFonts w:ascii="宋体" w:hAnsi="宋体"/>
          <w:color w:val="auto"/>
          <w:sz w:val="24"/>
        </w:rPr>
      </w:pPr>
      <w:r>
        <w:rPr>
          <w:rFonts w:hint="eastAsia" w:ascii="宋体" w:hAnsi="宋体"/>
          <w:color w:val="auto"/>
          <w:sz w:val="24"/>
        </w:rPr>
        <w:t>评标委员会依据本章第</w:t>
      </w:r>
      <w:r>
        <w:rPr>
          <w:rFonts w:ascii="宋体" w:hAnsi="宋体"/>
          <w:color w:val="auto"/>
          <w:sz w:val="24"/>
        </w:rPr>
        <w:t>2.1</w:t>
      </w:r>
      <w:r>
        <w:rPr>
          <w:rFonts w:hint="eastAsia" w:ascii="宋体" w:hAnsi="宋体"/>
          <w:color w:val="auto"/>
          <w:sz w:val="24"/>
        </w:rPr>
        <w:t>款规定的标准对投标文件进行符合性评审。有一项不符合评审标准的，作无效投标处理。</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）投标人不符合国家或者招标文件规定的资格条件；</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）投标人没有按照招标文件要求提供投标承诺函；</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）投标联合体不符合招标文件规定；</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）投标文件的签字盖章不符合招标文件规定；</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）投标报价超过招标文件中规定的预算金额或者最高限价的；</w:t>
      </w:r>
    </w:p>
    <w:p>
      <w:pPr>
        <w:autoSpaceDE w:val="0"/>
        <w:autoSpaceDN w:val="0"/>
        <w:adjustRightInd w:val="0"/>
        <w:snapToGrid w:val="0"/>
        <w:spacing w:line="300" w:lineRule="auto"/>
        <w:ind w:firstLine="480" w:firstLineChars="200"/>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）同一投标人提交两个以上不同的投标文件或者投标报价，投标文件的每种报价有两个报价或其他选择性报价的。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）投标文件没有对招标文件的实质性要求和条件作出实质性响应，或不符合招标文件的实质性要求和条件；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）投标文件附有招标项目不能接受的条件或不符合国家强制性规定的；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w:t>
      </w:r>
      <w:r>
        <w:rPr>
          <w:rFonts w:hint="eastAsia" w:ascii="宋体" w:hAnsi="宋体" w:cs="楷体_GB2312"/>
          <w:color w:val="auto"/>
          <w:sz w:val="24"/>
          <w:lang w:val="zh-CN"/>
        </w:rPr>
        <w:t>&lt;包&gt;</w:t>
      </w:r>
      <w:r>
        <w:rPr>
          <w:rFonts w:hint="eastAsia" w:ascii="宋体" w:hAnsi="宋体"/>
          <w:color w:val="auto"/>
          <w:sz w:val="24"/>
        </w:rPr>
        <w:t>）投标的；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）为招标项目提供整体设计、规范编制或者项目管理、监理、检测等服务的供应商，不得再参加该招标项目的其他采购活动。</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color w:val="auto"/>
          <w:sz w:val="24"/>
        </w:rPr>
        <w:t>（11）组成联合体或者接受分包的小微企业与联合体内其他企业、分包企业之间存在直接控股、管理关系的。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2）提供虚假材料谋取中标的；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3）不确认本章</w:t>
      </w:r>
      <w:r>
        <w:rPr>
          <w:rFonts w:ascii="宋体" w:hAnsi="宋体"/>
          <w:color w:val="auto"/>
          <w:sz w:val="24"/>
        </w:rPr>
        <w:t>3.4.1</w:t>
      </w:r>
      <w:r>
        <w:rPr>
          <w:rFonts w:hint="eastAsia" w:ascii="宋体" w:hAnsi="宋体"/>
          <w:color w:val="auto"/>
          <w:sz w:val="24"/>
        </w:rPr>
        <w:t>项对投标报价的算术修正的；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5）投标人有串通投标、行贿等违法行为。其中，有下列情形之一的，视为投标人相互串通投标：</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（16）根据豫财购〔2021〕6号文件，参与同一个标段(包)的供应商存在下列情形之一的，其投标(响应)文件无效:</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◆不同供应商的电子投标(响应)文件上传计算机的网卡MAC地址、CPU序列号和硬盘序列号等硬件信息相同的；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◆不同供应商的投标(响应)文件由同一电子设备编制、打印加密或者上传；</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pPr>
        <w:autoSpaceDE w:val="0"/>
        <w:autoSpaceDN w:val="0"/>
        <w:adjustRightInd w:val="0"/>
        <w:snapToGrid w:val="0"/>
        <w:spacing w:beforeLines="50" w:line="300" w:lineRule="auto"/>
        <w:ind w:firstLine="539"/>
        <w:rPr>
          <w:rFonts w:ascii="宋体" w:hAnsi="宋体"/>
          <w:color w:val="auto"/>
          <w:sz w:val="24"/>
        </w:rPr>
      </w:pPr>
      <w:r>
        <w:rPr>
          <w:rFonts w:hint="eastAsia" w:ascii="宋体" w:hAnsi="宋体"/>
          <w:color w:val="auto"/>
          <w:sz w:val="24"/>
        </w:rPr>
        <w:t>(17)据豫财购〔2021〕6号文件精神，工程领域招标投标行政主管部门对供应商串通投标等予以市场禁入的，在本次政府采购活动中，该供应商投标(响应)文件无效。</w:t>
      </w:r>
    </w:p>
    <w:p>
      <w:pPr>
        <w:autoSpaceDE w:val="0"/>
        <w:autoSpaceDN w:val="0"/>
        <w:adjustRightInd w:val="0"/>
        <w:snapToGrid w:val="0"/>
        <w:spacing w:before="50" w:line="300" w:lineRule="auto"/>
        <w:ind w:firstLine="566" w:firstLineChars="236"/>
        <w:jc w:val="left"/>
        <w:rPr>
          <w:rFonts w:ascii="宋体" w:hAnsi="宋体"/>
          <w:b/>
          <w:color w:val="auto"/>
          <w:sz w:val="24"/>
        </w:rPr>
      </w:pPr>
      <w:r>
        <w:rPr>
          <w:rFonts w:ascii="宋体" w:hAnsi="宋体"/>
          <w:color w:val="auto"/>
          <w:sz w:val="24"/>
        </w:rPr>
        <w:t>3.2.3</w:t>
      </w:r>
      <w:r>
        <w:rPr>
          <w:rFonts w:hint="eastAsia" w:ascii="宋体" w:hAnsi="宋体"/>
          <w:color w:val="auto"/>
          <w:sz w:val="24"/>
        </w:rPr>
        <w:t xml:space="preserve"> </w:t>
      </w:r>
      <w:r>
        <w:rPr>
          <w:rFonts w:hint="eastAsia" w:ascii="宋体" w:hAnsi="宋体"/>
          <w:b/>
          <w:color w:val="auto"/>
          <w:sz w:val="24"/>
        </w:rPr>
        <w:t>未实质性响应招标文件的投标文件按无效处理，评标委员会应当告知有关供应商。</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3.2.4 </w:t>
      </w:r>
      <w:r>
        <w:rPr>
          <w:rFonts w:hint="eastAsia" w:ascii="宋体" w:hAnsi="宋体"/>
          <w:color w:val="auto"/>
          <w:sz w:val="24"/>
        </w:rPr>
        <w:t>评标委员会负责审查确定每一投标项目是否对</w:t>
      </w:r>
      <w:r>
        <w:rPr>
          <w:rFonts w:hint="eastAsia"/>
          <w:color w:val="auto"/>
          <w:sz w:val="24"/>
          <w:szCs w:val="24"/>
        </w:rPr>
        <w:t>招标</w:t>
      </w:r>
      <w:r>
        <w:rPr>
          <w:rFonts w:hint="eastAsia" w:ascii="宋体" w:hAnsi="宋体"/>
          <w:color w:val="auto"/>
          <w:sz w:val="24"/>
        </w:rPr>
        <w:t>文件的实质性要求作出了实质性的响应，而没有重大偏离和保留。实质性响应的投标是指投标符合</w:t>
      </w:r>
      <w:r>
        <w:rPr>
          <w:rFonts w:hint="eastAsia"/>
          <w:color w:val="auto"/>
          <w:sz w:val="24"/>
          <w:szCs w:val="24"/>
        </w:rPr>
        <w:t>招标</w:t>
      </w:r>
      <w:r>
        <w:rPr>
          <w:rFonts w:hint="eastAsia" w:ascii="宋体" w:hAnsi="宋体"/>
          <w:color w:val="auto"/>
          <w:sz w:val="24"/>
        </w:rPr>
        <w:t>文件的所有条款、条件和规定且没有重大偏离和保留（重大偏离和保留是指影响到</w:t>
      </w:r>
      <w:r>
        <w:rPr>
          <w:rFonts w:hint="eastAsia"/>
          <w:color w:val="auto"/>
          <w:sz w:val="24"/>
          <w:szCs w:val="24"/>
        </w:rPr>
        <w:t>招标</w:t>
      </w:r>
      <w:r>
        <w:rPr>
          <w:rFonts w:hint="eastAsia" w:ascii="宋体" w:hAnsi="宋体"/>
          <w:color w:val="auto"/>
          <w:sz w:val="24"/>
        </w:rPr>
        <w:t>文件和投标人的义务的规定，而纠正这些偏离将影响到其他提交实质性响应投标人的公平竞争地位）。</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评标委员会判断投标文件的响应性仅基于投标文件本身而不靠外部证据。</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评标委员会拒绝被确定为非实质性响应的投标人，投标人不得通过修正或撤销不符之处而使其投标成为实质性响应的投标。</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允许投标人修改投标中不构成重大偏离的、微小的、非正规、不一致或不规则的地方。</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投标文件的澄清</w:t>
      </w:r>
    </w:p>
    <w:p>
      <w:pPr>
        <w:autoSpaceDE w:val="0"/>
        <w:autoSpaceDN w:val="0"/>
        <w:adjustRightInd w:val="0"/>
        <w:snapToGrid w:val="0"/>
        <w:spacing w:beforeLines="50" w:line="300" w:lineRule="auto"/>
        <w:ind w:firstLine="569" w:firstLineChars="236"/>
        <w:jc w:val="left"/>
        <w:rPr>
          <w:rFonts w:ascii="宋体" w:hAnsi="宋体"/>
          <w:b/>
          <w:color w:val="auto"/>
          <w:sz w:val="24"/>
        </w:rPr>
      </w:pPr>
      <w:r>
        <w:rPr>
          <w:rFonts w:hint="eastAsia" w:ascii="宋体" w:hAnsi="宋体"/>
          <w:b/>
          <w:color w:val="auto"/>
          <w:sz w:val="24"/>
        </w:rPr>
        <w:t>投标文件的澄清在招标</w:t>
      </w:r>
      <w:r>
        <w:rPr>
          <w:rFonts w:ascii="宋体" w:hAnsi="宋体"/>
          <w:b/>
          <w:color w:val="auto"/>
          <w:sz w:val="24"/>
        </w:rPr>
        <w:t>公告所述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3</w:t>
      </w:r>
      <w:r>
        <w:rPr>
          <w:rFonts w:ascii="宋体" w:hAnsi="宋体"/>
          <w:b/>
          <w:color w:val="auto"/>
          <w:sz w:val="24"/>
        </w:rPr>
        <w:t>.1</w:t>
      </w:r>
      <w:r>
        <w:rPr>
          <w:rFonts w:hint="eastAsia" w:ascii="宋体" w:hAnsi="宋体"/>
          <w:b/>
          <w:color w:val="auto"/>
          <w:sz w:val="24"/>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rPr>
        <w:t>，</w:t>
      </w:r>
      <w:r>
        <w:rPr>
          <w:rFonts w:hint="eastAsia" w:ascii="宋体" w:hAnsi="宋体"/>
          <w:b/>
          <w:color w:val="auto"/>
          <w:sz w:val="24"/>
        </w:rPr>
        <w:t>由投标人自行承担。</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为有助于对投标文件进行审查、评估和比较，评标委员会有权个别的向投标人提出质疑，请投标人澄清其投标内容。</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3.3.3</w:t>
      </w:r>
      <w:r>
        <w:rPr>
          <w:rFonts w:hint="eastAsia" w:ascii="宋体" w:hAnsi="宋体"/>
          <w:color w:val="auto"/>
          <w:sz w:val="24"/>
        </w:rPr>
        <w:t>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autoSpaceDE w:val="0"/>
        <w:autoSpaceDN w:val="0"/>
        <w:adjustRightInd w:val="0"/>
        <w:snapToGrid w:val="0"/>
        <w:spacing w:beforeLines="50" w:line="300" w:lineRule="auto"/>
        <w:ind w:firstLine="566" w:firstLineChars="236"/>
        <w:jc w:val="left"/>
        <w:rPr>
          <w:rFonts w:ascii="宋体" w:hAnsi="宋体"/>
          <w:b/>
          <w:color w:val="auto"/>
          <w:sz w:val="24"/>
        </w:rPr>
      </w:pPr>
      <w:r>
        <w:rPr>
          <w:rFonts w:ascii="宋体" w:hAnsi="宋体"/>
          <w:color w:val="auto"/>
          <w:sz w:val="24"/>
        </w:rPr>
        <w:t>3.3.4</w:t>
      </w:r>
      <w:r>
        <w:rPr>
          <w:rFonts w:hint="eastAsia" w:ascii="宋体" w:hAnsi="宋体"/>
          <w:color w:val="auto"/>
          <w:sz w:val="24"/>
        </w:rPr>
        <w:t>　</w:t>
      </w:r>
      <w:r>
        <w:rPr>
          <w:rFonts w:hint="eastAsia" w:ascii="宋体" w:hAnsi="宋体"/>
          <w:b/>
          <w:color w:val="auto"/>
          <w:sz w:val="24"/>
        </w:rPr>
        <w:t>投标人的澄清、说明或者更正应当采用书面形式，应加</w:t>
      </w:r>
      <w:r>
        <w:rPr>
          <w:rFonts w:ascii="宋体" w:hAnsi="宋体"/>
          <w:b/>
          <w:color w:val="auto"/>
          <w:sz w:val="24"/>
        </w:rPr>
        <w:t>盖</w:t>
      </w:r>
      <w:r>
        <w:rPr>
          <w:rFonts w:hint="eastAsia" w:ascii="宋体" w:hAnsi="宋体"/>
          <w:b/>
          <w:color w:val="auto"/>
          <w:sz w:val="24"/>
        </w:rPr>
        <w:t>投</w:t>
      </w:r>
      <w:r>
        <w:rPr>
          <w:rFonts w:ascii="宋体" w:hAnsi="宋体"/>
          <w:b/>
          <w:color w:val="auto"/>
          <w:sz w:val="24"/>
        </w:rPr>
        <w:t>标人</w:t>
      </w:r>
      <w:r>
        <w:rPr>
          <w:rFonts w:hint="eastAsia" w:ascii="宋体" w:hAnsi="宋体"/>
          <w:b/>
          <w:color w:val="auto"/>
          <w:sz w:val="24"/>
        </w:rPr>
        <w:t>电子签章或其法定代表人电子签名</w:t>
      </w:r>
      <w:r>
        <w:rPr>
          <w:rFonts w:hint="eastAsia" w:ascii="宋体" w:hAnsi="宋体" w:cs="楷体_GB2312"/>
          <w:b/>
          <w:color w:val="auto"/>
          <w:sz w:val="24"/>
        </w:rPr>
        <w:t>（签章）</w:t>
      </w:r>
      <w:r>
        <w:rPr>
          <w:rFonts w:hint="eastAsia" w:ascii="宋体" w:hAnsi="宋体"/>
          <w:b/>
          <w:color w:val="auto"/>
          <w:sz w:val="24"/>
        </w:rPr>
        <w:t>，并将澄清等内容作为附件上传至系统中。</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3.3.5</w:t>
      </w:r>
      <w:r>
        <w:rPr>
          <w:rFonts w:hint="eastAsia" w:ascii="宋体" w:hAnsi="宋体"/>
          <w:color w:val="auto"/>
          <w:sz w:val="24"/>
        </w:rPr>
        <w:t>　投标人的澄清文件是投标文件的组成部分，并取代投标文件中被澄清的部分。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3.3.6</w:t>
      </w:r>
      <w:r>
        <w:rPr>
          <w:rFonts w:hint="eastAsia" w:ascii="宋体" w:hAnsi="宋体"/>
          <w:color w:val="auto"/>
          <w:sz w:val="24"/>
        </w:rPr>
        <w:t>　澄清文件应按评标委员会规定的时间提交。</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详细评审</w:t>
      </w:r>
    </w:p>
    <w:p>
      <w:pPr>
        <w:autoSpaceDE w:val="0"/>
        <w:autoSpaceDN w:val="0"/>
        <w:adjustRightInd w:val="0"/>
        <w:snapToGrid w:val="0"/>
        <w:spacing w:beforeLines="50" w:line="300" w:lineRule="auto"/>
        <w:ind w:firstLine="569" w:firstLineChars="236"/>
        <w:jc w:val="left"/>
        <w:rPr>
          <w:rFonts w:ascii="宋体"/>
          <w:color w:val="auto"/>
          <w:sz w:val="24"/>
        </w:rPr>
      </w:pPr>
      <w:r>
        <w:rPr>
          <w:rFonts w:ascii="黑体" w:hAnsi="黑体" w:eastAsia="黑体"/>
          <w:b/>
          <w:color w:val="auto"/>
          <w:sz w:val="24"/>
        </w:rPr>
        <w:t xml:space="preserve">3.4.1  </w:t>
      </w:r>
      <w:r>
        <w:rPr>
          <w:rFonts w:hint="eastAsia" w:ascii="宋体" w:hAnsi="宋体"/>
          <w:color w:val="auto"/>
          <w:sz w:val="24"/>
        </w:rPr>
        <w:t>投标文件报价出现前后不一致的，按照下列规定修正：</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color w:val="auto"/>
          <w:sz w:val="24"/>
          <w:szCs w:val="24"/>
        </w:rPr>
        <w:t>“安阳市公共资源交易中心电子交易平台”系统</w:t>
      </w:r>
      <w:r>
        <w:rPr>
          <w:rFonts w:hint="eastAsia" w:ascii="宋体" w:hAnsi="宋体"/>
          <w:color w:val="auto"/>
          <w:sz w:val="24"/>
        </w:rPr>
        <w:t>中开标一览表（报价表）内容与投标文件中相应内容不一致的，以开标一览表（报价表）为准；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）大写金额和小写金额不一致的，以大写金额为准；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）单价金额小数点或者百分比有明显错位的，以开标一览表的总价为准，并修改单价；</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）总价金额与按单价汇总金额不一致的，以单价金额计算结果为准。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同时出现两种以上不一致的，按照前款规定的顺序修正。修正后的报价按照本章</w:t>
      </w:r>
      <w:r>
        <w:rPr>
          <w:rFonts w:ascii="宋体" w:hAnsi="宋体"/>
          <w:color w:val="auto"/>
          <w:sz w:val="24"/>
        </w:rPr>
        <w:t>3.3.4</w:t>
      </w:r>
      <w:r>
        <w:rPr>
          <w:rFonts w:hint="eastAsia" w:ascii="宋体" w:hAnsi="宋体"/>
          <w:color w:val="auto"/>
          <w:sz w:val="24"/>
        </w:rPr>
        <w:t>项规定经投标人确认后产生约束力，投标人不确认的，其投标无效。</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3.4.2 </w:t>
      </w:r>
      <w:r>
        <w:rPr>
          <w:rFonts w:hint="eastAsia" w:ascii="宋体" w:hAnsi="宋体"/>
          <w:color w:val="auto"/>
          <w:sz w:val="24"/>
        </w:rPr>
        <w:t>按本章第</w:t>
      </w:r>
      <w:r>
        <w:rPr>
          <w:rFonts w:ascii="宋体" w:hAnsi="宋体"/>
          <w:color w:val="auto"/>
          <w:sz w:val="24"/>
        </w:rPr>
        <w:t xml:space="preserve">4 </w:t>
      </w:r>
      <w:r>
        <w:rPr>
          <w:rFonts w:hint="eastAsia" w:ascii="宋体" w:hAnsi="宋体"/>
          <w:color w:val="auto"/>
          <w:sz w:val="24"/>
        </w:rPr>
        <w:t>条规定执行促进中小企业发展扶持政策。</w:t>
      </w:r>
    </w:p>
    <w:p>
      <w:pPr>
        <w:autoSpaceDE w:val="0"/>
        <w:autoSpaceDN w:val="0"/>
        <w:adjustRightInd w:val="0"/>
        <w:snapToGrid w:val="0"/>
        <w:spacing w:beforeLines="50" w:line="300" w:lineRule="auto"/>
        <w:ind w:firstLine="566" w:firstLineChars="236"/>
        <w:jc w:val="left"/>
        <w:rPr>
          <w:rFonts w:ascii="宋体" w:cs="宋体"/>
          <w:color w:val="auto"/>
          <w:sz w:val="24"/>
        </w:rPr>
      </w:pPr>
      <w:r>
        <w:rPr>
          <w:rFonts w:ascii="宋体" w:hAnsi="宋体"/>
          <w:color w:val="auto"/>
          <w:sz w:val="24"/>
        </w:rPr>
        <w:t xml:space="preserve">3.4.3 </w:t>
      </w:r>
      <w:r>
        <w:rPr>
          <w:rFonts w:hint="eastAsia" w:ascii="宋体" w:hAnsi="宋体" w:cs="宋体"/>
          <w:color w:val="auto"/>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00" w:lineRule="auto"/>
        <w:ind w:firstLine="480"/>
        <w:jc w:val="left"/>
        <w:rPr>
          <w:rFonts w:ascii="宋体" w:cs="宋体"/>
          <w:color w:val="auto"/>
          <w:sz w:val="24"/>
        </w:rPr>
      </w:pPr>
      <w:r>
        <w:rPr>
          <w:rFonts w:hint="eastAsia" w:ascii="宋体" w:hAnsi="宋体" w:cs="宋体"/>
          <w:color w:val="auto"/>
          <w:sz w:val="24"/>
        </w:rPr>
        <w:t>多家投标人提供的核心产品品牌相同的，按前项规定处理。</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3.4.</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评标委员会按本章第</w:t>
      </w:r>
      <w:r>
        <w:rPr>
          <w:rFonts w:ascii="宋体" w:hAnsi="宋体"/>
          <w:color w:val="auto"/>
          <w:sz w:val="24"/>
        </w:rPr>
        <w:t xml:space="preserve">2.2 </w:t>
      </w:r>
      <w:r>
        <w:rPr>
          <w:rFonts w:hint="eastAsia" w:ascii="宋体" w:hAnsi="宋体"/>
          <w:color w:val="auto"/>
          <w:sz w:val="24"/>
        </w:rPr>
        <w:t>款规定的量化因素和分值进行打分，并计算出综合评标得分。</w:t>
      </w:r>
    </w:p>
    <w:p>
      <w:pPr>
        <w:widowControl w:val="0"/>
        <w:adjustRightInd w:val="0"/>
        <w:snapToGrid w:val="0"/>
        <w:spacing w:before="50" w:line="300" w:lineRule="auto"/>
        <w:ind w:firstLine="623"/>
        <w:textAlignment w:val="top"/>
        <w:rPr>
          <w:color w:val="auto"/>
          <w:sz w:val="24"/>
          <w:szCs w:val="24"/>
        </w:rPr>
      </w:pPr>
      <w:r>
        <w:rPr>
          <w:color w:val="auto"/>
          <w:sz w:val="24"/>
          <w:szCs w:val="24"/>
        </w:rPr>
        <w:t>3.4.</w:t>
      </w:r>
      <w:r>
        <w:rPr>
          <w:rFonts w:hint="eastAsia"/>
          <w:color w:val="auto"/>
          <w:sz w:val="24"/>
          <w:szCs w:val="24"/>
        </w:rPr>
        <w:t>5评分计算保留</w:t>
      </w:r>
      <w:r>
        <w:rPr>
          <w:color w:val="auto"/>
          <w:sz w:val="24"/>
          <w:szCs w:val="24"/>
        </w:rPr>
        <w:t>2</w:t>
      </w:r>
      <w:r>
        <w:rPr>
          <w:rFonts w:hint="eastAsia"/>
          <w:color w:val="auto"/>
          <w:sz w:val="24"/>
          <w:szCs w:val="24"/>
        </w:rPr>
        <w:t>位小数，第三位小数四舍五入。评分计算中出现中间值时按插入法计算得分。</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3.4.</w:t>
      </w:r>
      <w:r>
        <w:rPr>
          <w:rFonts w:hint="eastAsia" w:ascii="宋体" w:hAnsi="宋体"/>
          <w:color w:val="auto"/>
          <w:sz w:val="24"/>
        </w:rPr>
        <w:t>6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autoSpaceDE w:val="0"/>
        <w:autoSpaceDN w:val="0"/>
        <w:adjustRightInd w:val="0"/>
        <w:snapToGrid w:val="0"/>
        <w:spacing w:before="50" w:line="300" w:lineRule="auto"/>
        <w:ind w:firstLine="566" w:firstLineChars="236"/>
        <w:jc w:val="left"/>
        <w:rPr>
          <w:color w:val="auto"/>
          <w:sz w:val="24"/>
          <w:szCs w:val="24"/>
        </w:rPr>
      </w:pPr>
      <w:r>
        <w:rPr>
          <w:color w:val="auto"/>
          <w:sz w:val="24"/>
          <w:szCs w:val="24"/>
        </w:rPr>
        <w:t>3.4.</w:t>
      </w:r>
      <w:r>
        <w:rPr>
          <w:rFonts w:hint="eastAsia"/>
          <w:color w:val="auto"/>
          <w:sz w:val="24"/>
          <w:szCs w:val="24"/>
        </w:rPr>
        <w:t>7　在评标过程中，凡遇到《招标文件》中无界定或界定不清，前后不一致，使评委成员意见有分歧且又难于协商一致的问题，均由评委予以表决。</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hint="eastAsia" w:ascii="宋体" w:hAnsi="宋体"/>
          <w:color w:val="auto"/>
          <w:sz w:val="24"/>
        </w:rPr>
        <w:t>8</w:t>
      </w:r>
      <w:r>
        <w:rPr>
          <w:rFonts w:ascii="宋体" w:hAnsi="宋体"/>
          <w:color w:val="auto"/>
          <w:sz w:val="24"/>
        </w:rPr>
        <w:t xml:space="preserve"> </w:t>
      </w:r>
      <w:r>
        <w:rPr>
          <w:rFonts w:hint="eastAsia" w:ascii="宋体" w:hAnsi="宋体"/>
          <w:color w:val="auto"/>
          <w:sz w:val="24"/>
        </w:rPr>
        <w:t>除了算术修正和落实政府采购政策需进行的价格扣除外，评标委员会不对投标人的投标价格进行任何调整。</w:t>
      </w:r>
    </w:p>
    <w:p>
      <w:pPr>
        <w:autoSpaceDE w:val="0"/>
        <w:autoSpaceDN w:val="0"/>
        <w:adjustRightInd w:val="0"/>
        <w:snapToGrid w:val="0"/>
        <w:spacing w:before="50" w:line="300" w:lineRule="auto"/>
        <w:ind w:firstLine="569" w:firstLineChars="236"/>
        <w:jc w:val="left"/>
        <w:rPr>
          <w:rFonts w:ascii="宋体"/>
          <w:color w:val="auto"/>
          <w:sz w:val="24"/>
        </w:rPr>
      </w:pPr>
      <w:r>
        <w:rPr>
          <w:rFonts w:ascii="黑体" w:hAnsi="黑体" w:eastAsia="黑体"/>
          <w:b/>
          <w:color w:val="auto"/>
          <w:sz w:val="24"/>
        </w:rPr>
        <w:t xml:space="preserve">3.5 </w:t>
      </w:r>
      <w:r>
        <w:rPr>
          <w:rFonts w:hint="eastAsia" w:ascii="黑体" w:hAnsi="黑体" w:eastAsia="黑体"/>
          <w:b/>
          <w:color w:val="auto"/>
          <w:sz w:val="24"/>
        </w:rPr>
        <w:t>复核</w:t>
      </w:r>
      <w:r>
        <w:rPr>
          <w:rFonts w:hint="eastAsia" w:ascii="宋体" w:hAnsi="宋体"/>
          <w:color w:val="auto"/>
          <w:sz w:val="24"/>
        </w:rPr>
        <w:t>：</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3.5.1  </w:t>
      </w:r>
      <w:r>
        <w:rPr>
          <w:rFonts w:hint="eastAsia" w:ascii="宋体" w:hAnsi="宋体"/>
          <w:color w:val="auto"/>
          <w:sz w:val="24"/>
        </w:rPr>
        <w:t>评标委员会对供应商的价格分等客观评分项的评分应当一致，对其他需要借助专业知识评判的主观评分项，应当严格按照评分细则公正评分，不得超出评分标准范围，对畸高、畸低的重大差异评分书面说明理由。</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pPr>
        <w:autoSpaceDE w:val="0"/>
        <w:autoSpaceDN w:val="0"/>
        <w:adjustRightInd w:val="0"/>
        <w:snapToGrid w:val="0"/>
        <w:spacing w:before="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3.6 </w:t>
      </w:r>
      <w:r>
        <w:rPr>
          <w:rFonts w:hint="eastAsia" w:ascii="黑体" w:hAnsi="黑体" w:eastAsia="黑体"/>
          <w:b/>
          <w:color w:val="auto"/>
          <w:sz w:val="24"/>
        </w:rPr>
        <w:t>评标结果</w:t>
      </w:r>
    </w:p>
    <w:p>
      <w:pPr>
        <w:autoSpaceDE w:val="0"/>
        <w:autoSpaceDN w:val="0"/>
        <w:adjustRightInd w:val="0"/>
        <w:snapToGrid w:val="0"/>
        <w:spacing w:before="50" w:line="300" w:lineRule="auto"/>
        <w:ind w:firstLine="616" w:firstLineChars="257"/>
        <w:jc w:val="left"/>
        <w:rPr>
          <w:rFonts w:ascii="宋体" w:hAnsi="宋体"/>
          <w:color w:val="auto"/>
          <w:sz w:val="24"/>
        </w:rPr>
      </w:pPr>
      <w:r>
        <w:rPr>
          <w:rFonts w:ascii="宋体" w:hAnsi="宋体"/>
          <w:color w:val="auto"/>
          <w:sz w:val="24"/>
        </w:rPr>
        <w:t xml:space="preserve">3.6.1 </w:t>
      </w:r>
      <w:r>
        <w:rPr>
          <w:rFonts w:hint="eastAsia" w:ascii="宋体" w:hAnsi="宋体"/>
          <w:color w:val="auto"/>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adjustRightInd w:val="0"/>
        <w:snapToGrid w:val="0"/>
        <w:spacing w:before="50" w:line="300" w:lineRule="auto"/>
        <w:ind w:firstLine="616" w:firstLineChars="257"/>
        <w:jc w:val="left"/>
        <w:rPr>
          <w:rFonts w:ascii="宋体"/>
          <w:color w:val="auto"/>
          <w:sz w:val="24"/>
        </w:rPr>
      </w:pPr>
      <w:r>
        <w:rPr>
          <w:rFonts w:ascii="宋体" w:hAnsi="宋体"/>
          <w:color w:val="auto"/>
          <w:sz w:val="24"/>
        </w:rPr>
        <w:t xml:space="preserve">3.6.2 </w:t>
      </w:r>
      <w:r>
        <w:rPr>
          <w:rFonts w:hint="eastAsia" w:ascii="宋体" w:hAnsi="宋体"/>
          <w:color w:val="auto"/>
          <w:sz w:val="24"/>
        </w:rPr>
        <w:t>评标委员会按照评审得分由高到低的顺序提出</w:t>
      </w:r>
      <w:r>
        <w:rPr>
          <w:rFonts w:ascii="宋体" w:hAnsi="宋体"/>
          <w:color w:val="auto"/>
          <w:sz w:val="24"/>
        </w:rPr>
        <w:t>3</w:t>
      </w:r>
      <w:r>
        <w:rPr>
          <w:rFonts w:hint="eastAsia" w:ascii="宋体" w:hAnsi="宋体"/>
          <w:color w:val="auto"/>
          <w:sz w:val="24"/>
        </w:rPr>
        <w:t>名中标候选人，并编写书面评标报告。</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3.6.3 </w:t>
      </w:r>
      <w:r>
        <w:rPr>
          <w:rFonts w:hint="eastAsia" w:ascii="宋体" w:hAnsi="宋体"/>
          <w:color w:val="auto"/>
          <w:sz w:val="24"/>
        </w:rPr>
        <w:t>确定中标人：按第三章“投标人须知前附表”8</w:t>
      </w:r>
      <w:r>
        <w:rPr>
          <w:rFonts w:ascii="宋体" w:hAnsi="宋体"/>
          <w:color w:val="auto"/>
          <w:sz w:val="24"/>
        </w:rPr>
        <w:t>.1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before="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废标</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3.7.1 </w:t>
      </w:r>
      <w:r>
        <w:rPr>
          <w:rFonts w:hint="eastAsia" w:ascii="宋体" w:hAnsi="宋体"/>
          <w:color w:val="auto"/>
          <w:sz w:val="24"/>
        </w:rPr>
        <w:t>出现下列情形之一的，应予废标：</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）符合专业条件的供应商或者对招标文件作实质响应的供应商不足三家的；</w:t>
      </w:r>
      <w:r>
        <w:rPr>
          <w:rFonts w:ascii="宋体" w:hAnsi="宋体"/>
          <w:color w:val="auto"/>
          <w:sz w:val="24"/>
        </w:rPr>
        <w:t xml:space="preserve"> </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r>
        <w:rPr>
          <w:rFonts w:ascii="宋体" w:hAnsi="宋体"/>
          <w:color w:val="auto"/>
          <w:sz w:val="24"/>
        </w:rPr>
        <w:t xml:space="preserve"> </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）未超过预算金额的供应商不足</w:t>
      </w:r>
      <w:r>
        <w:rPr>
          <w:rFonts w:ascii="宋体" w:hAnsi="宋体"/>
          <w:color w:val="auto"/>
          <w:sz w:val="24"/>
        </w:rPr>
        <w:t>3</w:t>
      </w:r>
      <w:r>
        <w:rPr>
          <w:rFonts w:hint="eastAsia" w:ascii="宋体" w:hAnsi="宋体"/>
          <w:color w:val="auto"/>
          <w:sz w:val="24"/>
        </w:rPr>
        <w:t>家的；</w:t>
      </w:r>
      <w:r>
        <w:rPr>
          <w:rFonts w:ascii="宋体" w:hAnsi="宋体"/>
          <w:color w:val="auto"/>
          <w:sz w:val="24"/>
        </w:rPr>
        <w:t xml:space="preserve"> </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）因重大变故，采购任务取消的。</w:t>
      </w:r>
      <w:r>
        <w:rPr>
          <w:rFonts w:ascii="宋体" w:hAnsi="宋体"/>
          <w:color w:val="auto"/>
          <w:sz w:val="24"/>
        </w:rPr>
        <w:t xml:space="preserve"> </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3.7.2 </w:t>
      </w:r>
      <w:r>
        <w:rPr>
          <w:rFonts w:hint="eastAsia" w:ascii="宋体" w:hAnsi="宋体"/>
          <w:color w:val="auto"/>
          <w:sz w:val="24"/>
        </w:rPr>
        <w:t>评标委员会要在废标时，出具招标文件是否存在不合理条款的论证意见，要协助采购人、采购代理机构、财政部门答复质疑或处理投诉事项。　</w:t>
      </w:r>
    </w:p>
    <w:p>
      <w:pPr>
        <w:autoSpaceDE w:val="0"/>
        <w:autoSpaceDN w:val="0"/>
        <w:adjustRightInd w:val="0"/>
        <w:snapToGrid w:val="0"/>
        <w:spacing w:before="50" w:line="300" w:lineRule="auto"/>
        <w:ind w:firstLine="566" w:firstLineChars="236"/>
        <w:jc w:val="left"/>
        <w:rPr>
          <w:rFonts w:ascii="宋体"/>
          <w:color w:val="auto"/>
          <w:sz w:val="24"/>
        </w:rPr>
      </w:pPr>
    </w:p>
    <w:p>
      <w:pPr>
        <w:widowControl w:val="0"/>
        <w:adjustRightInd w:val="0"/>
        <w:snapToGrid w:val="0"/>
        <w:spacing w:before="50" w:line="300" w:lineRule="auto"/>
        <w:ind w:left="23" w:firstLine="556"/>
        <w:jc w:val="left"/>
        <w:outlineLvl w:val="1"/>
        <w:rPr>
          <w:rFonts w:ascii="黑体" w:hAnsi="黑体" w:eastAsia="黑体" w:cs="楷体_GB2312"/>
          <w:b/>
          <w:bCs/>
          <w:color w:val="auto"/>
          <w:sz w:val="28"/>
          <w:szCs w:val="28"/>
          <w:lang w:val="zh-CN"/>
        </w:rPr>
      </w:pPr>
      <w:bookmarkStart w:id="58" w:name="_Toc153542604"/>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58"/>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4.1</w:t>
      </w:r>
      <w:r>
        <w:rPr>
          <w:rFonts w:ascii="宋体" w:hAnsi="宋体"/>
          <w:color w:val="auto"/>
          <w:sz w:val="24"/>
        </w:rPr>
        <w:t>在政府采购活动中，供应商提供的货物、工程或者服务符合下列情形的， 享受</w:t>
      </w:r>
      <w:r>
        <w:rPr>
          <w:rFonts w:hint="eastAsia" w:ascii="宋体" w:hAnsi="宋体"/>
          <w:color w:val="auto"/>
          <w:sz w:val="24"/>
        </w:rPr>
        <w:t>《政府采购促进中小企业发展管理办法》</w:t>
      </w:r>
      <w:r>
        <w:rPr>
          <w:rFonts w:ascii="宋体" w:hAnsi="宋体"/>
          <w:color w:val="auto"/>
          <w:sz w:val="24"/>
        </w:rPr>
        <w:t>规定的中小企业扶持政策：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（一） 在货物采购项目中，货物由中小企业制造，即货物由中小企业生产且使用该中小企业商号或者注册商标；</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（二） 在工程采购项目中，工程由中小企业承建，即工程施工单位为中小企业；</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（三）</w:t>
      </w:r>
      <w:r>
        <w:rPr>
          <w:rFonts w:hint="eastAsia" w:ascii="宋体" w:hAnsi="宋体"/>
          <w:color w:val="auto"/>
          <w:sz w:val="24"/>
        </w:rPr>
        <w:t xml:space="preserve"> </w:t>
      </w:r>
      <w:r>
        <w:rPr>
          <w:rFonts w:ascii="宋体" w:hAnsi="宋体"/>
          <w:color w:val="auto"/>
          <w:sz w:val="24"/>
        </w:rPr>
        <w:t>在服务采购项目中，服务由中小企业承接，即提供服务的人员为中小企业依照《中华人民共和国劳动合同法》订立劳动合同的从业人员</w:t>
      </w:r>
      <w:r>
        <w:rPr>
          <w:rFonts w:hint="eastAsia" w:ascii="宋体" w:hAnsi="宋体"/>
          <w:color w:val="auto"/>
          <w:sz w:val="24"/>
        </w:rPr>
        <w:t>。</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4.2 符合中小企业划分标准的个体工商户，在政府采购活动中视同中小企业。</w:t>
      </w:r>
    </w:p>
    <w:p>
      <w:pPr>
        <w:adjustRightInd w:val="0"/>
        <w:snapToGrid w:val="0"/>
        <w:spacing w:beforeLines="50" w:line="300" w:lineRule="auto"/>
        <w:ind w:firstLine="555"/>
        <w:rPr>
          <w:rFonts w:ascii="宋体" w:hAnsi="宋体"/>
          <w:color w:val="auto"/>
          <w:sz w:val="24"/>
        </w:rPr>
      </w:pPr>
      <w:r>
        <w:rPr>
          <w:rFonts w:ascii="宋体" w:hAnsi="宋体"/>
          <w:color w:val="auto"/>
          <w:sz w:val="24"/>
        </w:rPr>
        <w:t>4.</w:t>
      </w:r>
      <w:r>
        <w:rPr>
          <w:rFonts w:hint="eastAsia" w:ascii="宋体" w:hAnsi="宋体"/>
          <w:color w:val="auto"/>
          <w:sz w:val="24"/>
        </w:rPr>
        <w:t>3监狱企业、符合法</w:t>
      </w:r>
      <w:r>
        <w:rPr>
          <w:rFonts w:ascii="宋体" w:hAnsi="宋体"/>
          <w:color w:val="auto"/>
          <w:sz w:val="24"/>
        </w:rPr>
        <w:t>定</w:t>
      </w:r>
      <w:r>
        <w:rPr>
          <w:rFonts w:hint="eastAsia" w:ascii="宋体" w:hAnsi="宋体"/>
          <w:color w:val="auto"/>
          <w:sz w:val="24"/>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pPr>
        <w:adjustRightInd w:val="0"/>
        <w:snapToGrid w:val="0"/>
        <w:spacing w:beforeLines="50" w:line="300" w:lineRule="auto"/>
        <w:ind w:firstLine="555"/>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.1</w:t>
      </w:r>
      <w:r>
        <w:rPr>
          <w:rFonts w:hint="eastAsia" w:ascii="宋体" w:hAnsi="宋体"/>
          <w:color w:val="auto"/>
          <w:sz w:val="24"/>
        </w:rPr>
        <w:t xml:space="preserve"> 享受政府采购支持政策的残疾人福利性单位应当同时满足以下条件：</w:t>
      </w:r>
    </w:p>
    <w:p>
      <w:pPr>
        <w:adjustRightInd w:val="0"/>
        <w:snapToGrid w:val="0"/>
        <w:spacing w:beforeLines="50" w:line="300" w:lineRule="auto"/>
        <w:ind w:firstLine="555"/>
        <w:rPr>
          <w:rFonts w:ascii="宋体" w:hAnsi="宋体"/>
          <w:color w:val="auto"/>
          <w:sz w:val="24"/>
        </w:rPr>
      </w:pPr>
      <w:r>
        <w:rPr>
          <w:rFonts w:hint="eastAsia" w:ascii="宋体" w:hAnsi="宋体"/>
          <w:color w:val="auto"/>
          <w:sz w:val="24"/>
        </w:rPr>
        <w:t>（1）安置的残疾人占本单位在职职工人数的比例不低于25%（含25%），并且安置的残疾人人数不少于10人（含10人）；</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（2）依法与安置的每位残疾人签订了一年以上（含一年）的劳动合同或服务协议；</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（3）为安置的每位残疾人按月足额缴纳了基本养老保险、基本医疗保险、失业保险、工伤保险和生育保险等社会保险费；</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（4）通过银行等金融机构向安置的每位残疾人，按月支付了不低于单位所在区县适用的经省级人民政府批准的月最低工资标准的工资；</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（5）提供本单位制造的货物、承担的工程或者服务（以下简称产品），或者提供其他残疾人福利性单位制造的货物（不包括使用非残疾人福利性单位注册商标的货物）。</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4.4 参加本次政府招标项目的中小企业应按附件格式提供《中小企业声明函》。如招标文件接受以联合体形式参加投标的，联合体各方均应按附件格式提供《中小企业声明函》。</w:t>
      </w:r>
    </w:p>
    <w:p>
      <w:pPr>
        <w:adjustRightInd w:val="0"/>
        <w:snapToGrid w:val="0"/>
        <w:spacing w:beforeLines="50" w:line="300" w:lineRule="auto"/>
        <w:ind w:firstLine="555"/>
        <w:rPr>
          <w:rFonts w:ascii="宋体" w:hAnsi="宋体" w:cs="宋体"/>
          <w:color w:val="auto"/>
          <w:sz w:val="24"/>
          <w:szCs w:val="24"/>
        </w:rPr>
      </w:pPr>
      <w:r>
        <w:rPr>
          <w:rFonts w:hint="eastAsia" w:ascii="宋体" w:hAnsi="宋体" w:cs="宋体"/>
          <w:color w:val="auto"/>
          <w:sz w:val="24"/>
          <w:szCs w:val="24"/>
        </w:rPr>
        <w:t>供应商按照财库〔2020〕46号规定及招标文件要求提供声明函内容不实的，属于提供虚假材料谋取中标、成交，依照《中华人民共和国政府采购法》等国家有关规定追究相应责任。</w:t>
      </w:r>
    </w:p>
    <w:p>
      <w:pPr>
        <w:adjustRightInd w:val="0"/>
        <w:snapToGrid w:val="0"/>
        <w:spacing w:beforeLines="50" w:line="300" w:lineRule="auto"/>
        <w:ind w:firstLine="555"/>
        <w:rPr>
          <w:rFonts w:ascii="宋体" w:hAnsi="宋体"/>
          <w:color w:val="auto"/>
          <w:sz w:val="24"/>
        </w:rPr>
      </w:pPr>
      <w:r>
        <w:rPr>
          <w:rFonts w:ascii="宋体" w:hAnsi="宋体"/>
          <w:color w:val="auto"/>
          <w:sz w:val="24"/>
        </w:rPr>
        <w:t>4.</w:t>
      </w:r>
      <w:r>
        <w:rPr>
          <w:rFonts w:hint="eastAsia" w:ascii="宋体" w:hAnsi="宋体"/>
          <w:color w:val="auto"/>
          <w:sz w:val="24"/>
        </w:rPr>
        <w:t>5本次政府招标项目专门面向中小企业，专门面向中小企业的采购项目无价格扣除。投标人无需在</w:t>
      </w:r>
      <w:r>
        <w:rPr>
          <w:rFonts w:ascii="宋体" w:hAnsi="宋体"/>
          <w:color w:val="auto"/>
          <w:sz w:val="24"/>
        </w:rPr>
        <w:t>“</w:t>
      </w:r>
      <w:r>
        <w:rPr>
          <w:rFonts w:hint="eastAsia" w:ascii="宋体" w:hAnsi="宋体"/>
          <w:b/>
          <w:color w:val="auto"/>
          <w:sz w:val="24"/>
        </w:rPr>
        <w:t>投标文件编制系统</w:t>
      </w:r>
      <w:r>
        <w:rPr>
          <w:rFonts w:ascii="宋体" w:hAnsi="宋体"/>
          <w:color w:val="auto"/>
          <w:sz w:val="24"/>
        </w:rPr>
        <w:t>”</w:t>
      </w:r>
      <w:r>
        <w:rPr>
          <w:rFonts w:hint="eastAsia" w:ascii="宋体" w:hAnsi="宋体"/>
          <w:color w:val="auto"/>
          <w:sz w:val="24"/>
        </w:rPr>
        <w:t>分项报价表中选择“是否享受价格折扣、折扣率（%）”。</w:t>
      </w:r>
    </w:p>
    <w:p>
      <w:pPr>
        <w:adjustRightInd w:val="0"/>
        <w:snapToGrid w:val="0"/>
        <w:spacing w:beforeLines="50" w:line="300" w:lineRule="auto"/>
        <w:ind w:firstLine="555"/>
        <w:rPr>
          <w:rFonts w:ascii="宋体" w:hAnsi="宋体"/>
          <w:color w:val="auto"/>
          <w:sz w:val="24"/>
        </w:rPr>
      </w:pPr>
      <w:r>
        <w:rPr>
          <w:rFonts w:hint="eastAsia" w:ascii="宋体" w:hAnsi="宋体"/>
          <w:color w:val="auto"/>
          <w:sz w:val="24"/>
        </w:rPr>
        <w:t>4.6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adjustRightInd w:val="0"/>
        <w:snapToGrid w:val="0"/>
        <w:spacing w:beforeLines="50" w:line="300" w:lineRule="auto"/>
        <w:ind w:firstLine="555"/>
        <w:rPr>
          <w:rFonts w:ascii="宋体" w:hAnsi="宋体"/>
          <w:color w:val="auto"/>
          <w:sz w:val="24"/>
        </w:rPr>
      </w:pPr>
      <w:r>
        <w:rPr>
          <w:rFonts w:hint="eastAsia" w:ascii="宋体" w:hAnsi="宋体"/>
          <w:color w:val="auto"/>
          <w:sz w:val="24"/>
        </w:rPr>
        <w:t>4.7中标、成交供应商享受中小企业扶持政策的，中标、成交供应商的《中小企业声明函》将随中标、成交结果公开。</w:t>
      </w:r>
    </w:p>
    <w:p>
      <w:pPr>
        <w:adjustRightInd w:val="0"/>
        <w:snapToGrid w:val="0"/>
        <w:spacing w:beforeLines="50" w:line="300" w:lineRule="auto"/>
        <w:ind w:firstLine="555"/>
        <w:rPr>
          <w:rFonts w:ascii="宋体" w:hAnsi="宋体"/>
          <w:color w:val="auto"/>
          <w:sz w:val="24"/>
        </w:rPr>
      </w:pPr>
      <w:r>
        <w:rPr>
          <w:rFonts w:hint="eastAsia" w:ascii="宋体" w:hAnsi="宋体"/>
          <w:color w:val="auto"/>
          <w:sz w:val="24"/>
        </w:rPr>
        <w:t>4.8依法享受扶持政策获得政府采购合同的，小微企业不得将合同分包给大中型企业，中型企业不得将合同分包给大型企业。</w:t>
      </w:r>
    </w:p>
    <w:p>
      <w:pPr>
        <w:adjustRightInd w:val="0"/>
        <w:snapToGrid w:val="0"/>
        <w:spacing w:beforeLines="50" w:line="300" w:lineRule="auto"/>
        <w:ind w:firstLine="555"/>
        <w:rPr>
          <w:rFonts w:ascii="宋体" w:hAnsi="宋体"/>
          <w:color w:val="auto"/>
          <w:sz w:val="24"/>
        </w:rPr>
      </w:pPr>
      <w:r>
        <w:rPr>
          <w:rFonts w:hint="eastAsia" w:ascii="宋体" w:hAnsi="宋体"/>
          <w:color w:val="auto"/>
          <w:sz w:val="24"/>
        </w:rPr>
        <w:t>4.9政府采购监督检查、投诉处理及政府采购行政处罚中对中小企业的认定，由货物制造商或者工程、服务供应商注册登记所在地的县级以上人民政府中小企业主管部门负责。</w:t>
      </w:r>
      <w:r>
        <w:rPr>
          <w:color w:val="auto"/>
          <w:sz w:val="24"/>
          <w:szCs w:val="24"/>
        </w:rPr>
        <w:br w:type="page"/>
      </w:r>
    </w:p>
    <w:p>
      <w:pPr>
        <w:widowControl w:val="0"/>
        <w:snapToGrid w:val="0"/>
        <w:spacing w:line="657" w:lineRule="atLeast"/>
        <w:jc w:val="center"/>
        <w:outlineLvl w:val="0"/>
        <w:rPr>
          <w:rFonts w:ascii="黑体" w:eastAsia="黑体"/>
          <w:b/>
          <w:color w:val="auto"/>
          <w:sz w:val="36"/>
          <w:szCs w:val="36"/>
        </w:rPr>
      </w:pPr>
      <w:r>
        <w:rPr>
          <w:rFonts w:ascii="黑体" w:eastAsia="黑体"/>
          <w:b/>
          <w:color w:val="auto"/>
          <w:spacing w:val="20"/>
          <w:sz w:val="36"/>
          <w:szCs w:val="36"/>
        </w:rPr>
        <w:t xml:space="preserve"> </w:t>
      </w:r>
      <w:bookmarkStart w:id="59" w:name="_Toc153542605"/>
      <w:r>
        <w:rPr>
          <w:rFonts w:hint="eastAsia" w:ascii="黑体" w:eastAsia="黑体"/>
          <w:b/>
          <w:color w:val="auto"/>
          <w:sz w:val="36"/>
          <w:szCs w:val="36"/>
        </w:rPr>
        <w:t>第五章</w:t>
      </w:r>
      <w:r>
        <w:rPr>
          <w:rFonts w:ascii="黑体" w:eastAsia="黑体"/>
          <w:b/>
          <w:color w:val="auto"/>
          <w:sz w:val="36"/>
          <w:szCs w:val="36"/>
        </w:rPr>
        <w:t xml:space="preserve">  </w:t>
      </w:r>
      <w:r>
        <w:rPr>
          <w:rFonts w:hint="eastAsia" w:ascii="黑体" w:eastAsia="黑体"/>
          <w:b/>
          <w:color w:val="auto"/>
          <w:sz w:val="36"/>
          <w:szCs w:val="36"/>
        </w:rPr>
        <w:t>合同主要条款</w:t>
      </w:r>
      <w:bookmarkEnd w:id="59"/>
    </w:p>
    <w:p>
      <w:pPr>
        <w:widowControl w:val="0"/>
        <w:snapToGrid w:val="0"/>
        <w:spacing w:line="657" w:lineRule="atLeast"/>
        <w:jc w:val="center"/>
        <w:rPr>
          <w:rFonts w:ascii="黑体" w:eastAsia="黑体"/>
          <w:b/>
          <w:color w:val="auto"/>
          <w:spacing w:val="20"/>
          <w:sz w:val="36"/>
          <w:szCs w:val="36"/>
        </w:rPr>
      </w:pPr>
    </w:p>
    <w:p>
      <w:pPr>
        <w:widowControl w:val="0"/>
        <w:snapToGrid w:val="0"/>
        <w:spacing w:line="657" w:lineRule="atLeast"/>
        <w:jc w:val="center"/>
        <w:rPr>
          <w:rFonts w:ascii="黑体" w:eastAsia="黑体"/>
          <w:b/>
          <w:color w:val="auto"/>
          <w:spacing w:val="20"/>
          <w:sz w:val="36"/>
          <w:szCs w:val="36"/>
        </w:rPr>
      </w:pPr>
      <w:r>
        <w:rPr>
          <w:rFonts w:hint="eastAsia" w:ascii="黑体" w:eastAsia="黑体"/>
          <w:b/>
          <w:color w:val="auto"/>
          <w:spacing w:val="20"/>
          <w:sz w:val="36"/>
          <w:szCs w:val="36"/>
        </w:rPr>
        <w:t>服</w:t>
      </w:r>
      <w:r>
        <w:rPr>
          <w:rFonts w:ascii="黑体" w:eastAsia="黑体"/>
          <w:b/>
          <w:color w:val="auto"/>
          <w:spacing w:val="20"/>
          <w:sz w:val="36"/>
          <w:szCs w:val="36"/>
        </w:rPr>
        <w:t xml:space="preserve"> </w:t>
      </w:r>
      <w:r>
        <w:rPr>
          <w:rFonts w:hint="eastAsia" w:ascii="黑体" w:eastAsia="黑体"/>
          <w:b/>
          <w:color w:val="auto"/>
          <w:spacing w:val="20"/>
          <w:sz w:val="36"/>
          <w:szCs w:val="36"/>
        </w:rPr>
        <w:t>务</w:t>
      </w:r>
      <w:r>
        <w:rPr>
          <w:rFonts w:ascii="黑体" w:eastAsia="黑体"/>
          <w:b/>
          <w:color w:val="auto"/>
          <w:spacing w:val="20"/>
          <w:sz w:val="36"/>
          <w:szCs w:val="36"/>
        </w:rPr>
        <w:t xml:space="preserve"> </w:t>
      </w:r>
      <w:r>
        <w:rPr>
          <w:rFonts w:hint="eastAsia" w:ascii="黑体" w:eastAsia="黑体"/>
          <w:b/>
          <w:color w:val="auto"/>
          <w:spacing w:val="20"/>
          <w:sz w:val="36"/>
          <w:szCs w:val="36"/>
        </w:rPr>
        <w:t>合</w:t>
      </w:r>
      <w:r>
        <w:rPr>
          <w:rFonts w:ascii="黑体" w:eastAsia="黑体"/>
          <w:b/>
          <w:color w:val="auto"/>
          <w:spacing w:val="20"/>
          <w:sz w:val="36"/>
          <w:szCs w:val="36"/>
        </w:rPr>
        <w:t xml:space="preserve"> </w:t>
      </w:r>
      <w:r>
        <w:rPr>
          <w:rFonts w:hint="eastAsia" w:ascii="黑体" w:eastAsia="黑体"/>
          <w:b/>
          <w:color w:val="auto"/>
          <w:spacing w:val="20"/>
          <w:sz w:val="36"/>
          <w:szCs w:val="36"/>
        </w:rPr>
        <w:t>同</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合同编号：</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甲方：（采购人）</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乙方：（供应商）</w:t>
      </w:r>
    </w:p>
    <w:p>
      <w:pPr>
        <w:widowControl w:val="0"/>
        <w:snapToGrid w:val="0"/>
        <w:spacing w:line="360" w:lineRule="auto"/>
        <w:ind w:right="85" w:firstLine="460" w:firstLineChars="192"/>
        <w:rPr>
          <w:color w:val="auto"/>
          <w:spacing w:val="20"/>
          <w:sz w:val="24"/>
          <w:szCs w:val="24"/>
        </w:rPr>
      </w:pPr>
      <w:r>
        <w:rPr>
          <w:rFonts w:hint="eastAsia"/>
          <w:color w:val="auto"/>
          <w:sz w:val="24"/>
          <w:szCs w:val="24"/>
        </w:rPr>
        <w:t>甲、乙双方持安阳市方正招标采购服务有限责任公司</w:t>
      </w:r>
      <w:r>
        <w:rPr>
          <w:color w:val="auto"/>
          <w:sz w:val="24"/>
          <w:szCs w:val="24"/>
        </w:rPr>
        <w:t>20</w:t>
      </w:r>
      <w:r>
        <w:rPr>
          <w:rFonts w:hint="eastAsia"/>
          <w:color w:val="auto"/>
          <w:sz w:val="24"/>
          <w:szCs w:val="24"/>
        </w:rPr>
        <w:t>23年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日签发的</w:t>
      </w:r>
      <w:r>
        <w:rPr>
          <w:rFonts w:hint="eastAsia"/>
          <w:color w:val="auto"/>
          <w:sz w:val="24"/>
          <w:szCs w:val="24"/>
          <w:u w:val="single"/>
        </w:rPr>
        <w:t>（采购人及项目名称）</w:t>
      </w:r>
      <w:r>
        <w:rPr>
          <w:rFonts w:hint="eastAsia"/>
          <w:color w:val="auto"/>
          <w:sz w:val="24"/>
          <w:szCs w:val="24"/>
        </w:rPr>
        <w:t>〔项目编号：</w:t>
      </w:r>
      <w:r>
        <w:rPr>
          <w:color w:val="auto"/>
          <w:sz w:val="24"/>
          <w:szCs w:val="24"/>
        </w:rPr>
        <w:t xml:space="preserve">      </w:t>
      </w:r>
      <w:r>
        <w:rPr>
          <w:rFonts w:hint="eastAsia"/>
          <w:color w:val="auto"/>
          <w:sz w:val="24"/>
          <w:szCs w:val="24"/>
        </w:rPr>
        <w:t>〕中标通知书，根据招标文件</w:t>
      </w:r>
      <w:r>
        <w:rPr>
          <w:rFonts w:hint="eastAsia"/>
          <w:color w:val="auto"/>
          <w:spacing w:val="20"/>
          <w:sz w:val="24"/>
          <w:szCs w:val="24"/>
        </w:rPr>
        <w:t>及其修改补充澄清、投标文件及其修改补充澄清的内容，经双方平等协商一致，达成以下合同条款：</w:t>
      </w:r>
    </w:p>
    <w:p>
      <w:pPr>
        <w:widowControl w:val="0"/>
        <w:snapToGrid w:val="0"/>
        <w:spacing w:line="360" w:lineRule="auto"/>
        <w:ind w:right="85" w:firstLine="460" w:firstLineChars="192"/>
        <w:rPr>
          <w:color w:val="auto"/>
          <w:sz w:val="24"/>
          <w:szCs w:val="24"/>
        </w:rPr>
      </w:pPr>
      <w:r>
        <w:rPr>
          <w:rFonts w:hint="eastAsia"/>
          <w:color w:val="auto"/>
          <w:sz w:val="24"/>
          <w:szCs w:val="24"/>
        </w:rPr>
        <w:t>一、本合同所指服务为此次公开招标的服务，包括</w:t>
      </w:r>
      <w:r>
        <w:rPr>
          <w:rFonts w:hint="eastAsia"/>
          <w:color w:val="auto"/>
          <w:sz w:val="24"/>
          <w:szCs w:val="24"/>
          <w:u w:val="single"/>
        </w:rPr>
        <w:t>（详细注明内容）</w:t>
      </w:r>
      <w:r>
        <w:rPr>
          <w:rFonts w:hint="eastAsia"/>
          <w:color w:val="auto"/>
          <w:sz w:val="24"/>
          <w:szCs w:val="24"/>
        </w:rPr>
        <w:t>，合同总价款为元（大写：</w:t>
      </w:r>
      <w:r>
        <w:rPr>
          <w:color w:val="auto"/>
          <w:sz w:val="24"/>
          <w:szCs w:val="24"/>
        </w:rPr>
        <w:t xml:space="preserve">                 </w:t>
      </w:r>
      <w:r>
        <w:rPr>
          <w:rFonts w:hint="eastAsia"/>
          <w:color w:val="auto"/>
          <w:sz w:val="24"/>
          <w:szCs w:val="24"/>
        </w:rPr>
        <w:t>）。</w:t>
      </w:r>
    </w:p>
    <w:p>
      <w:pPr>
        <w:widowControl w:val="0"/>
        <w:snapToGrid w:val="0"/>
        <w:spacing w:line="360" w:lineRule="auto"/>
        <w:ind w:right="85" w:firstLine="537" w:firstLineChars="192"/>
        <w:rPr>
          <w:color w:val="auto"/>
          <w:sz w:val="24"/>
          <w:szCs w:val="24"/>
        </w:rPr>
      </w:pPr>
      <w:r>
        <w:rPr>
          <w:rFonts w:hint="eastAsia"/>
          <w:color w:val="auto"/>
          <w:spacing w:val="20"/>
          <w:sz w:val="24"/>
          <w:szCs w:val="24"/>
        </w:rPr>
        <w:t>本合同为固定总价合同，不因人工、费用、材料和设备等价格的波动而影响合同价格。</w:t>
      </w:r>
    </w:p>
    <w:p>
      <w:pPr>
        <w:widowControl w:val="0"/>
        <w:snapToGrid w:val="0"/>
        <w:spacing w:before="56" w:after="56" w:line="360" w:lineRule="auto"/>
        <w:ind w:right="85" w:firstLine="555"/>
        <w:rPr>
          <w:color w:val="auto"/>
          <w:sz w:val="24"/>
          <w:szCs w:val="24"/>
        </w:rPr>
      </w:pPr>
      <w:r>
        <w:rPr>
          <w:rFonts w:hint="eastAsia"/>
          <w:color w:val="auto"/>
          <w:sz w:val="24"/>
          <w:szCs w:val="24"/>
        </w:rPr>
        <w:t>二、服务质量要求及乙方对质量负责条件和期限：</w:t>
      </w:r>
    </w:p>
    <w:p>
      <w:pPr>
        <w:widowControl w:val="0"/>
        <w:snapToGrid w:val="0"/>
        <w:spacing w:before="56" w:after="56" w:line="360" w:lineRule="auto"/>
        <w:ind w:right="85" w:firstLine="555"/>
        <w:rPr>
          <w:color w:val="auto"/>
          <w:sz w:val="24"/>
          <w:szCs w:val="24"/>
        </w:rPr>
      </w:pPr>
      <w:r>
        <w:rPr>
          <w:rFonts w:hint="eastAsia"/>
          <w:color w:val="auto"/>
          <w:sz w:val="24"/>
          <w:szCs w:val="24"/>
        </w:rPr>
        <w:t>按国家及行业标准、招标文件及投标文件等相应条款制订</w:t>
      </w:r>
    </w:p>
    <w:p>
      <w:pPr>
        <w:widowControl w:val="0"/>
        <w:snapToGrid w:val="0"/>
        <w:spacing w:before="56" w:after="56" w:line="360" w:lineRule="auto"/>
        <w:ind w:right="85" w:firstLine="555"/>
        <w:rPr>
          <w:color w:val="auto"/>
          <w:sz w:val="24"/>
          <w:szCs w:val="24"/>
        </w:rPr>
      </w:pPr>
      <w:r>
        <w:rPr>
          <w:rFonts w:hint="eastAsia"/>
          <w:color w:val="auto"/>
          <w:sz w:val="24"/>
          <w:szCs w:val="24"/>
        </w:rPr>
        <w:t>三、服务时间、地点、方式：</w:t>
      </w:r>
    </w:p>
    <w:p>
      <w:pPr>
        <w:widowControl w:val="0"/>
        <w:snapToGrid w:val="0"/>
        <w:spacing w:before="56" w:after="56" w:line="360" w:lineRule="auto"/>
        <w:ind w:right="85" w:firstLine="555"/>
        <w:rPr>
          <w:color w:val="auto"/>
          <w:sz w:val="24"/>
          <w:szCs w:val="24"/>
        </w:rPr>
      </w:pPr>
      <w:r>
        <w:rPr>
          <w:rFonts w:hint="eastAsia"/>
          <w:color w:val="auto"/>
          <w:sz w:val="24"/>
          <w:szCs w:val="24"/>
        </w:rPr>
        <w:t>按国家及行业标准、招标文件及投标文件等相应条款制订</w:t>
      </w:r>
    </w:p>
    <w:p>
      <w:pPr>
        <w:widowControl w:val="0"/>
        <w:snapToGrid w:val="0"/>
        <w:spacing w:before="56" w:after="56" w:line="360" w:lineRule="auto"/>
        <w:ind w:right="85" w:firstLine="555"/>
        <w:rPr>
          <w:color w:val="auto"/>
          <w:sz w:val="24"/>
          <w:szCs w:val="24"/>
        </w:rPr>
      </w:pPr>
      <w:r>
        <w:rPr>
          <w:rFonts w:hint="eastAsia"/>
          <w:color w:val="auto"/>
          <w:sz w:val="24"/>
          <w:szCs w:val="24"/>
        </w:rPr>
        <w:t>四、验收程序和要求</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、验收时间：项目具备验收条件时，由采购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Lines="50" w:line="300" w:lineRule="auto"/>
        <w:ind w:firstLine="561"/>
        <w:rPr>
          <w:rFonts w:ascii="宋体" w:hAns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4</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snapToGrid w:val="0"/>
        <w:spacing w:before="56" w:after="56" w:line="360" w:lineRule="auto"/>
        <w:ind w:right="85" w:firstLine="555"/>
        <w:rPr>
          <w:color w:val="auto"/>
          <w:sz w:val="24"/>
          <w:szCs w:val="24"/>
        </w:rPr>
      </w:pP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color w:val="auto"/>
          <w:sz w:val="24"/>
          <w:szCs w:val="24"/>
        </w:rPr>
      </w:pPr>
      <w:r>
        <w:rPr>
          <w:rFonts w:hint="eastAsia"/>
          <w:color w:val="auto"/>
          <w:sz w:val="24"/>
          <w:szCs w:val="24"/>
        </w:rPr>
        <w:t>五、履约保证金：</w:t>
      </w:r>
      <w:r>
        <w:rPr>
          <w:rFonts w:hint="eastAsia"/>
          <w:color w:val="auto"/>
          <w:sz w:val="24"/>
          <w:szCs w:val="24"/>
          <w:u w:val="single"/>
        </w:rPr>
        <w:t xml:space="preserve">                                                   </w:t>
      </w:r>
      <w:r>
        <w:rPr>
          <w:rFonts w:hint="eastAsia"/>
          <w:color w:val="auto"/>
          <w:sz w:val="24"/>
          <w:szCs w:val="24"/>
        </w:rPr>
        <w:t>。</w:t>
      </w:r>
    </w:p>
    <w:p>
      <w:pPr>
        <w:widowControl w:val="0"/>
        <w:snapToGrid w:val="0"/>
        <w:spacing w:before="56" w:after="56" w:line="360" w:lineRule="auto"/>
        <w:ind w:right="85" w:firstLine="555"/>
        <w:rPr>
          <w:color w:val="auto"/>
          <w:sz w:val="24"/>
          <w:szCs w:val="24"/>
        </w:rPr>
      </w:pPr>
      <w:r>
        <w:rPr>
          <w:rFonts w:hint="eastAsia"/>
          <w:color w:val="auto"/>
          <w:sz w:val="24"/>
          <w:szCs w:val="24"/>
        </w:rPr>
        <w:t>六、付款程序：按投标人须知相关条款编列。</w:t>
      </w:r>
    </w:p>
    <w:p>
      <w:pPr>
        <w:widowControl w:val="0"/>
        <w:snapToGrid w:val="0"/>
        <w:spacing w:before="56" w:after="56" w:line="360" w:lineRule="auto"/>
        <w:ind w:right="85" w:firstLine="555"/>
        <w:rPr>
          <w:color w:val="auto"/>
          <w:sz w:val="24"/>
          <w:szCs w:val="24"/>
        </w:rPr>
      </w:pPr>
      <w:r>
        <w:rPr>
          <w:rFonts w:hint="eastAsia" w:ascii="宋体" w:hAnsi="宋体"/>
          <w:color w:val="auto"/>
          <w:sz w:val="24"/>
          <w:szCs w:val="24"/>
        </w:rPr>
        <w:t>七、合同遵行《保障中小企业款项支付条例》。</w:t>
      </w:r>
    </w:p>
    <w:p>
      <w:pPr>
        <w:widowControl w:val="0"/>
        <w:snapToGrid w:val="0"/>
        <w:spacing w:before="56" w:after="56" w:line="360" w:lineRule="auto"/>
        <w:ind w:right="85" w:firstLine="555"/>
        <w:rPr>
          <w:color w:val="auto"/>
          <w:sz w:val="24"/>
          <w:szCs w:val="24"/>
        </w:rPr>
      </w:pPr>
      <w:r>
        <w:rPr>
          <w:rFonts w:hint="eastAsia"/>
          <w:color w:val="auto"/>
          <w:sz w:val="24"/>
          <w:szCs w:val="24"/>
        </w:rPr>
        <w:t>八、责任和义务</w:t>
      </w:r>
    </w:p>
    <w:p>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、甲方的责任和义务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）对乙方给予必要的协助。</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）按时验收、及时支付资金；</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）遵守国家法律法规，不得要求乙方虚开发票，不得向乙方索要“好处”、“回扣”、“礼品”，或要求乙方提供合同以外的其他物品或服务；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）对乙方未按合同约定履约在验收报告中注明违约情形和事项，并应及时通知财政部门。违反相关法规的向相关行政执法部门举报。</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）其他法律法规规定应尽的义务。</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、乙方的责任和义务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）严格按招标文件要求与投标文件的质量及服务承诺执行，保质、按期履行。</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）不得将合同权利义务全部或部分转让给第三人。</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）验收合格前，对货物和人员的安全负责，应采取安全措施，确保人员、材料、设备和设施的安全，防止货物验收合格前的人身伤害和财产损失；应对其履行合同所雇佣的全部人员的工伤事故承担责任。</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）遵守法律、依法纳税</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）遵守职业道德和行业规范，坚决杜绝送礼、回扣、报销费用等一切不正当竞争行为和商业贿赂行为；对甲方索要回扣、礼品等违规行为，向同级财政局政府采购监督管理科及相关执法机关举报。</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6</w:t>
      </w:r>
      <w:r>
        <w:rPr>
          <w:rFonts w:hint="eastAsia"/>
          <w:color w:val="auto"/>
          <w:sz w:val="24"/>
          <w:szCs w:val="24"/>
        </w:rPr>
        <w:t>）其他法律法规规定应尽的义务。</w:t>
      </w:r>
    </w:p>
    <w:p>
      <w:pPr>
        <w:widowControl w:val="0"/>
        <w:snapToGrid w:val="0"/>
        <w:spacing w:before="56" w:after="56" w:line="360" w:lineRule="auto"/>
        <w:ind w:right="85" w:firstLine="555"/>
        <w:rPr>
          <w:color w:val="auto"/>
          <w:sz w:val="24"/>
          <w:szCs w:val="24"/>
        </w:rPr>
      </w:pPr>
      <w:r>
        <w:rPr>
          <w:rFonts w:hint="eastAsia"/>
          <w:color w:val="auto"/>
          <w:sz w:val="24"/>
          <w:szCs w:val="24"/>
        </w:rPr>
        <w:t>九、违约责任：</w:t>
      </w:r>
    </w:p>
    <w:p>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、甲方无正当理由拒付款项的，向乙方偿付拒收拒付部分款项总额</w:t>
      </w:r>
      <w:r>
        <w:rPr>
          <w:color w:val="auto"/>
          <w:sz w:val="24"/>
          <w:szCs w:val="24"/>
        </w:rPr>
        <w:t xml:space="preserve">  %</w:t>
      </w:r>
      <w:r>
        <w:rPr>
          <w:rFonts w:hint="eastAsia"/>
          <w:color w:val="auto"/>
          <w:sz w:val="24"/>
          <w:szCs w:val="24"/>
        </w:rPr>
        <w:t>的违约金。</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、乙方提供服务不符合合同规定，甲方有权拒付相关款项。</w:t>
      </w:r>
    </w:p>
    <w:p>
      <w:pPr>
        <w:widowControl w:val="0"/>
        <w:snapToGrid w:val="0"/>
        <w:spacing w:before="56" w:after="56" w:line="360" w:lineRule="auto"/>
        <w:ind w:right="85" w:firstLine="555"/>
        <w:rPr>
          <w:color w:val="auto"/>
          <w:sz w:val="24"/>
          <w:szCs w:val="24"/>
        </w:rPr>
      </w:pPr>
      <w:r>
        <w:rPr>
          <w:color w:val="auto"/>
          <w:sz w:val="24"/>
          <w:szCs w:val="24"/>
        </w:rPr>
        <w:t>3</w:t>
      </w:r>
      <w:r>
        <w:rPr>
          <w:rFonts w:hint="eastAsia"/>
          <w:color w:val="auto"/>
          <w:sz w:val="24"/>
          <w:szCs w:val="24"/>
        </w:rPr>
        <w:t>、乙方逾期，乙方向甲方每日偿付</w:t>
      </w:r>
      <w:r>
        <w:rPr>
          <w:color w:val="auto"/>
          <w:sz w:val="24"/>
          <w:szCs w:val="24"/>
        </w:rPr>
        <w:t xml:space="preserve">     %</w:t>
      </w:r>
      <w:r>
        <w:rPr>
          <w:rFonts w:hint="eastAsia"/>
          <w:color w:val="auto"/>
          <w:sz w:val="24"/>
          <w:szCs w:val="24"/>
        </w:rPr>
        <w:t>赔偿费。</w:t>
      </w:r>
    </w:p>
    <w:p>
      <w:pPr>
        <w:widowControl w:val="0"/>
        <w:snapToGrid w:val="0"/>
        <w:spacing w:before="56" w:after="56" w:line="360" w:lineRule="auto"/>
        <w:ind w:right="85" w:firstLine="555"/>
        <w:rPr>
          <w:color w:val="auto"/>
          <w:sz w:val="24"/>
          <w:szCs w:val="24"/>
        </w:rPr>
      </w:pPr>
      <w:r>
        <w:rPr>
          <w:rFonts w:hint="eastAsia"/>
          <w:color w:val="auto"/>
          <w:sz w:val="24"/>
          <w:szCs w:val="24"/>
        </w:rPr>
        <w:t>十、《招标文件》及其修改补充、投标文件及其修改补充澄清均为本合同的组成部分。</w:t>
      </w:r>
    </w:p>
    <w:p>
      <w:pPr>
        <w:widowControl w:val="0"/>
        <w:snapToGrid w:val="0"/>
        <w:spacing w:before="56" w:after="56" w:line="360" w:lineRule="auto"/>
        <w:ind w:right="85" w:firstLine="555"/>
        <w:rPr>
          <w:color w:val="auto"/>
          <w:sz w:val="24"/>
          <w:szCs w:val="24"/>
        </w:rPr>
      </w:pPr>
      <w:r>
        <w:rPr>
          <w:rFonts w:hint="eastAsia"/>
          <w:color w:val="auto"/>
          <w:sz w:val="24"/>
          <w:szCs w:val="24"/>
        </w:rPr>
        <w:t>十一、本合同发生争议时双方应按合同条款协商解决。双方协商不成的，可以根据仲裁协议向当地仲裁机构申请仲裁。当事人没有订立仲裁协议或者仲裁协议无效的，可以向当地人民法院起诉。</w:t>
      </w:r>
    </w:p>
    <w:p>
      <w:pPr>
        <w:widowControl w:val="0"/>
        <w:snapToGrid w:val="0"/>
        <w:spacing w:before="56" w:after="56" w:line="360" w:lineRule="auto"/>
        <w:ind w:right="85" w:firstLine="555"/>
        <w:rPr>
          <w:color w:val="auto"/>
          <w:sz w:val="24"/>
          <w:szCs w:val="24"/>
        </w:rPr>
      </w:pPr>
      <w:r>
        <w:rPr>
          <w:rFonts w:hint="eastAsia"/>
          <w:color w:val="auto"/>
          <w:sz w:val="24"/>
          <w:szCs w:val="24"/>
        </w:rPr>
        <w:t>十二、合同生效及其它：</w:t>
      </w:r>
    </w:p>
    <w:p>
      <w:pPr>
        <w:widowControl w:val="0"/>
        <w:snapToGrid w:val="0"/>
        <w:spacing w:before="56" w:after="56" w:line="360" w:lineRule="auto"/>
        <w:ind w:right="85" w:firstLine="555"/>
        <w:rPr>
          <w:color w:val="auto"/>
          <w:sz w:val="24"/>
          <w:szCs w:val="24"/>
        </w:rPr>
      </w:pPr>
      <w:r>
        <w:rPr>
          <w:rFonts w:hint="eastAsia"/>
          <w:color w:val="auto"/>
          <w:sz w:val="24"/>
          <w:szCs w:val="24"/>
        </w:rPr>
        <w:t>本合同经甲乙双方代表签字、加盖公章和骑缝章后生效。本合同一式</w:t>
      </w:r>
      <w:r>
        <w:rPr>
          <w:rFonts w:hint="eastAsia"/>
          <w:color w:val="auto"/>
          <w:sz w:val="24"/>
          <w:szCs w:val="24"/>
          <w:u w:val="single"/>
        </w:rPr>
        <w:t xml:space="preserve">  </w:t>
      </w:r>
      <w:r>
        <w:rPr>
          <w:rFonts w:hint="eastAsia"/>
          <w:color w:val="auto"/>
          <w:sz w:val="24"/>
          <w:szCs w:val="24"/>
        </w:rPr>
        <w:t>份，甲乙双方各持</w:t>
      </w:r>
      <w:r>
        <w:rPr>
          <w:rFonts w:hint="eastAsia"/>
          <w:color w:val="auto"/>
          <w:sz w:val="24"/>
          <w:szCs w:val="24"/>
          <w:u w:val="single"/>
        </w:rPr>
        <w:t xml:space="preserve">   </w:t>
      </w:r>
      <w:r>
        <w:rPr>
          <w:rFonts w:hint="eastAsia"/>
          <w:color w:val="auto"/>
          <w:sz w:val="24"/>
          <w:szCs w:val="24"/>
        </w:rPr>
        <w:t>份。</w:t>
      </w:r>
    </w:p>
    <w:p>
      <w:pPr>
        <w:widowControl w:val="0"/>
        <w:adjustRightInd w:val="0"/>
        <w:snapToGrid w:val="0"/>
        <w:spacing w:beforeLines="50" w:line="300" w:lineRule="auto"/>
        <w:ind w:firstLine="566"/>
        <w:rPr>
          <w:rFonts w:ascii="宋体" w:hAnsi="宋体"/>
          <w:color w:val="auto"/>
          <w:sz w:val="24"/>
          <w:szCs w:val="24"/>
        </w:rPr>
      </w:pPr>
      <w:r>
        <w:rPr>
          <w:rFonts w:hint="eastAsia" w:ascii="宋体" w:hAnsi="宋体"/>
          <w:color w:val="auto"/>
          <w:sz w:val="24"/>
          <w:szCs w:val="24"/>
        </w:rPr>
        <w:t>甲方要在合同签订后1个工作日内登陆安阳市政府采购网进行备案并公告。</w:t>
      </w:r>
    </w:p>
    <w:p>
      <w:pPr>
        <w:widowControl w:val="0"/>
        <w:snapToGrid w:val="0"/>
        <w:spacing w:before="56" w:after="56" w:line="360" w:lineRule="auto"/>
        <w:ind w:right="85" w:firstLine="555"/>
        <w:rPr>
          <w:color w:val="auto"/>
          <w:sz w:val="24"/>
          <w:szCs w:val="24"/>
        </w:rPr>
      </w:pPr>
    </w:p>
    <w:p>
      <w:pPr>
        <w:widowControl w:val="0"/>
        <w:snapToGrid w:val="0"/>
        <w:spacing w:before="56" w:after="56" w:line="360" w:lineRule="auto"/>
        <w:ind w:right="85" w:firstLine="555"/>
        <w:rPr>
          <w:color w:val="auto"/>
          <w:sz w:val="24"/>
          <w:szCs w:val="24"/>
        </w:rPr>
      </w:pPr>
      <w:r>
        <w:rPr>
          <w:rFonts w:hint="eastAsia"/>
          <w:color w:val="auto"/>
          <w:sz w:val="24"/>
          <w:szCs w:val="24"/>
        </w:rPr>
        <w:t>甲方：</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乙方：</w:t>
      </w:r>
    </w:p>
    <w:p>
      <w:pPr>
        <w:widowControl w:val="0"/>
        <w:snapToGrid w:val="0"/>
        <w:spacing w:before="56" w:after="56" w:line="360" w:lineRule="auto"/>
        <w:ind w:right="85" w:firstLine="555"/>
        <w:rPr>
          <w:color w:val="auto"/>
          <w:sz w:val="24"/>
          <w:szCs w:val="24"/>
        </w:rPr>
      </w:pPr>
      <w:r>
        <w:rPr>
          <w:rFonts w:hint="eastAsia"/>
          <w:color w:val="auto"/>
          <w:sz w:val="24"/>
          <w:szCs w:val="24"/>
        </w:rPr>
        <w:t>地址：</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地址：</w:t>
      </w:r>
    </w:p>
    <w:p>
      <w:pPr>
        <w:widowControl w:val="0"/>
        <w:snapToGrid w:val="0"/>
        <w:spacing w:before="56" w:after="56" w:line="360" w:lineRule="auto"/>
        <w:ind w:right="85" w:firstLine="555"/>
        <w:rPr>
          <w:color w:val="auto"/>
          <w:sz w:val="24"/>
          <w:szCs w:val="24"/>
        </w:rPr>
      </w:pPr>
      <w:r>
        <w:rPr>
          <w:rFonts w:hint="eastAsia"/>
          <w:color w:val="auto"/>
          <w:sz w:val="24"/>
          <w:szCs w:val="24"/>
        </w:rPr>
        <w:t>法定代表人：</w:t>
      </w:r>
      <w:r>
        <w:rPr>
          <w:color w:val="auto"/>
          <w:sz w:val="24"/>
          <w:szCs w:val="24"/>
        </w:rPr>
        <w:tab/>
      </w:r>
      <w:r>
        <w:rPr>
          <w:color w:val="auto"/>
          <w:sz w:val="24"/>
          <w:szCs w:val="24"/>
        </w:rPr>
        <w:tab/>
      </w:r>
      <w:r>
        <w:rPr>
          <w:color w:val="auto"/>
          <w:sz w:val="24"/>
          <w:szCs w:val="24"/>
        </w:rPr>
        <w:tab/>
      </w:r>
      <w:r>
        <w:rPr>
          <w:rFonts w:hint="eastAsia"/>
          <w:color w:val="auto"/>
          <w:sz w:val="24"/>
          <w:szCs w:val="24"/>
        </w:rPr>
        <w:t>法定代表人：</w:t>
      </w:r>
    </w:p>
    <w:p>
      <w:pPr>
        <w:widowControl w:val="0"/>
        <w:snapToGrid w:val="0"/>
        <w:spacing w:before="56" w:after="56" w:line="360" w:lineRule="auto"/>
        <w:ind w:right="85" w:firstLine="555"/>
        <w:rPr>
          <w:color w:val="auto"/>
          <w:sz w:val="24"/>
          <w:szCs w:val="24"/>
        </w:rPr>
      </w:pPr>
      <w:r>
        <w:rPr>
          <w:rFonts w:hint="eastAsia"/>
          <w:color w:val="auto"/>
          <w:sz w:val="24"/>
          <w:szCs w:val="24"/>
        </w:rPr>
        <w:t>委托代理人：</w:t>
      </w:r>
      <w:r>
        <w:rPr>
          <w:color w:val="auto"/>
          <w:sz w:val="24"/>
          <w:szCs w:val="24"/>
        </w:rPr>
        <w:tab/>
      </w:r>
      <w:r>
        <w:rPr>
          <w:color w:val="auto"/>
          <w:sz w:val="24"/>
          <w:szCs w:val="24"/>
        </w:rPr>
        <w:tab/>
      </w:r>
      <w:r>
        <w:rPr>
          <w:color w:val="auto"/>
          <w:sz w:val="24"/>
          <w:szCs w:val="24"/>
        </w:rPr>
        <w:tab/>
      </w:r>
      <w:r>
        <w:rPr>
          <w:rFonts w:hint="eastAsia"/>
          <w:color w:val="auto"/>
          <w:sz w:val="24"/>
          <w:szCs w:val="24"/>
        </w:rPr>
        <w:t>委托代理人：</w:t>
      </w:r>
    </w:p>
    <w:p>
      <w:pPr>
        <w:widowControl w:val="0"/>
        <w:snapToGrid w:val="0"/>
        <w:spacing w:before="56" w:after="56" w:line="360" w:lineRule="auto"/>
        <w:ind w:right="85" w:firstLine="555"/>
        <w:rPr>
          <w:color w:val="auto"/>
          <w:sz w:val="24"/>
          <w:szCs w:val="24"/>
        </w:rPr>
      </w:pPr>
      <w:r>
        <w:rPr>
          <w:rFonts w:hint="eastAsia"/>
          <w:color w:val="auto"/>
          <w:sz w:val="24"/>
          <w:szCs w:val="24"/>
        </w:rPr>
        <w:t>电话：</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电话：</w:t>
      </w:r>
    </w:p>
    <w:p>
      <w:pPr>
        <w:widowControl w:val="0"/>
        <w:snapToGrid w:val="0"/>
        <w:spacing w:before="56" w:after="56" w:line="360" w:lineRule="auto"/>
        <w:ind w:right="85" w:firstLine="555"/>
        <w:rPr>
          <w:color w:val="auto"/>
          <w:sz w:val="24"/>
          <w:szCs w:val="24"/>
        </w:rPr>
      </w:pPr>
      <w:r>
        <w:rPr>
          <w:rFonts w:hint="eastAsia"/>
          <w:color w:val="auto"/>
          <w:sz w:val="24"/>
          <w:szCs w:val="24"/>
        </w:rPr>
        <w:t>开户银行：</w:t>
      </w:r>
      <w:r>
        <w:rPr>
          <w:color w:val="auto"/>
          <w:sz w:val="24"/>
          <w:szCs w:val="24"/>
        </w:rPr>
        <w:tab/>
      </w:r>
      <w:r>
        <w:rPr>
          <w:color w:val="auto"/>
          <w:sz w:val="24"/>
          <w:szCs w:val="24"/>
        </w:rPr>
        <w:tab/>
      </w:r>
      <w:r>
        <w:rPr>
          <w:color w:val="auto"/>
          <w:sz w:val="24"/>
          <w:szCs w:val="24"/>
        </w:rPr>
        <w:tab/>
      </w:r>
      <w:r>
        <w:rPr>
          <w:rFonts w:hint="eastAsia"/>
          <w:color w:val="auto"/>
          <w:sz w:val="24"/>
          <w:szCs w:val="24"/>
        </w:rPr>
        <w:t>开户银行：</w:t>
      </w:r>
    </w:p>
    <w:p>
      <w:pPr>
        <w:widowControl w:val="0"/>
        <w:snapToGrid w:val="0"/>
        <w:spacing w:before="56" w:after="56" w:line="360" w:lineRule="auto"/>
        <w:ind w:right="85" w:firstLine="555"/>
        <w:rPr>
          <w:color w:val="auto"/>
          <w:sz w:val="24"/>
          <w:szCs w:val="24"/>
        </w:rPr>
      </w:pPr>
      <w:r>
        <w:rPr>
          <w:rFonts w:hint="eastAsia"/>
          <w:color w:val="auto"/>
          <w:sz w:val="24"/>
          <w:szCs w:val="24"/>
        </w:rPr>
        <w:t>银行账号：</w:t>
      </w:r>
      <w:r>
        <w:rPr>
          <w:color w:val="auto"/>
          <w:sz w:val="24"/>
          <w:szCs w:val="24"/>
        </w:rPr>
        <w:tab/>
      </w:r>
      <w:r>
        <w:rPr>
          <w:color w:val="auto"/>
          <w:sz w:val="24"/>
          <w:szCs w:val="24"/>
        </w:rPr>
        <w:tab/>
      </w:r>
      <w:r>
        <w:rPr>
          <w:color w:val="auto"/>
          <w:sz w:val="24"/>
          <w:szCs w:val="24"/>
        </w:rPr>
        <w:tab/>
      </w:r>
      <w:r>
        <w:rPr>
          <w:rFonts w:hint="eastAsia"/>
          <w:color w:val="auto"/>
          <w:sz w:val="24"/>
          <w:szCs w:val="24"/>
        </w:rPr>
        <w:t>银行账号：</w:t>
      </w:r>
    </w:p>
    <w:p>
      <w:pPr>
        <w:widowControl w:val="0"/>
        <w:snapToGrid w:val="0"/>
        <w:spacing w:before="56" w:after="56" w:line="360" w:lineRule="auto"/>
        <w:ind w:right="85" w:firstLine="555"/>
        <w:rPr>
          <w:color w:val="auto"/>
          <w:sz w:val="24"/>
          <w:szCs w:val="24"/>
        </w:rPr>
      </w:pPr>
    </w:p>
    <w:p>
      <w:pPr>
        <w:widowControl w:val="0"/>
        <w:tabs>
          <w:tab w:val="left" w:pos="4678"/>
        </w:tabs>
        <w:snapToGrid w:val="0"/>
        <w:spacing w:before="56" w:after="56" w:line="360" w:lineRule="auto"/>
        <w:ind w:right="85" w:firstLine="555"/>
        <w:rPr>
          <w:color w:val="auto"/>
          <w:sz w:val="24"/>
          <w:szCs w:val="24"/>
        </w:rPr>
      </w:pPr>
      <w:r>
        <w:rPr>
          <w:rFonts w:hint="eastAsia"/>
          <w:color w:val="auto"/>
          <w:sz w:val="24"/>
          <w:szCs w:val="24"/>
        </w:rPr>
        <w:t>签约时间：</w:t>
      </w:r>
      <w:r>
        <w:rPr>
          <w:color w:val="auto"/>
          <w:sz w:val="24"/>
          <w:szCs w:val="24"/>
        </w:rPr>
        <w:t xml:space="preserve">          </w:t>
      </w:r>
      <w:r>
        <w:rPr>
          <w:rFonts w:hint="eastAsia"/>
          <w:color w:val="auto"/>
          <w:sz w:val="24"/>
          <w:szCs w:val="24"/>
        </w:rPr>
        <w:t>签约地点：</w:t>
      </w:r>
    </w:p>
    <w:p>
      <w:pPr>
        <w:widowControl w:val="0"/>
        <w:snapToGrid w:val="0"/>
        <w:spacing w:line="360" w:lineRule="auto"/>
        <w:ind w:firstLine="480" w:firstLineChars="200"/>
        <w:rPr>
          <w:color w:val="auto"/>
          <w:sz w:val="24"/>
          <w:szCs w:val="24"/>
          <w:u w:val="single"/>
        </w:rPr>
      </w:pPr>
    </w:p>
    <w:p>
      <w:pPr>
        <w:widowControl w:val="0"/>
        <w:snapToGrid w:val="0"/>
        <w:spacing w:line="540" w:lineRule="exact"/>
        <w:ind w:right="476"/>
        <w:rPr>
          <w:color w:val="auto"/>
          <w:sz w:val="24"/>
          <w:szCs w:val="24"/>
        </w:rPr>
      </w:pPr>
    </w:p>
    <w:p>
      <w:pPr>
        <w:spacing w:line="240" w:lineRule="auto"/>
        <w:jc w:val="left"/>
        <w:textAlignment w:val="auto"/>
        <w:rPr>
          <w:color w:val="auto"/>
        </w:rPr>
      </w:pPr>
    </w:p>
    <w:p>
      <w:pPr>
        <w:widowControl w:val="0"/>
        <w:snapToGrid w:val="0"/>
        <w:spacing w:line="360" w:lineRule="auto"/>
        <w:rPr>
          <w:color w:val="auto"/>
          <w:sz w:val="24"/>
          <w:szCs w:val="24"/>
        </w:rPr>
      </w:pPr>
    </w:p>
    <w:p>
      <w:pPr>
        <w:autoSpaceDE w:val="0"/>
        <w:autoSpaceDN w:val="0"/>
        <w:adjustRightInd w:val="0"/>
        <w:spacing w:line="360" w:lineRule="auto"/>
        <w:jc w:val="center"/>
        <w:outlineLvl w:val="0"/>
        <w:rPr>
          <w:rFonts w:ascii="黑体" w:hAnsi="黑体" w:eastAsia="黑体"/>
          <w:b/>
          <w:color w:val="auto"/>
          <w:sz w:val="36"/>
          <w:szCs w:val="36"/>
          <w:lang w:val="zh-CN"/>
        </w:rPr>
      </w:pPr>
      <w:r>
        <w:rPr>
          <w:rFonts w:ascii="宋体"/>
          <w:b/>
          <w:color w:val="auto"/>
          <w:sz w:val="36"/>
          <w:szCs w:val="36"/>
          <w:lang w:val="zh-CN"/>
        </w:rPr>
        <w:br w:type="page"/>
      </w:r>
      <w:bookmarkStart w:id="60" w:name="_Toc519783173"/>
      <w:bookmarkStart w:id="61" w:name="_Toc153542606"/>
      <w:r>
        <w:rPr>
          <w:rFonts w:hint="eastAsia" w:ascii="黑体" w:hAnsi="黑体" w:eastAsia="黑体"/>
          <w:b/>
          <w:color w:val="auto"/>
          <w:sz w:val="36"/>
          <w:szCs w:val="36"/>
          <w:lang w:val="zh-CN"/>
        </w:rPr>
        <w:t>第六章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投标文件格式</w:t>
      </w:r>
      <w:bookmarkEnd w:id="60"/>
      <w:bookmarkEnd w:id="61"/>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autoSpaceDE w:val="0"/>
        <w:autoSpaceDN w:val="0"/>
        <w:adjustRightInd w:val="0"/>
        <w:spacing w:line="360" w:lineRule="auto"/>
        <w:jc w:val="center"/>
        <w:outlineLvl w:val="0"/>
        <w:rPr>
          <w:rFonts w:ascii="黑体" w:hAnsi="黑体" w:eastAsia="黑体"/>
          <w:b/>
          <w:color w:val="auto"/>
          <w:sz w:val="36"/>
          <w:szCs w:val="36"/>
          <w:lang w:val="zh-CN"/>
        </w:rPr>
      </w:pPr>
    </w:p>
    <w:p>
      <w:pPr>
        <w:spacing w:beforeLines="300" w:afterLines="100" w:line="360" w:lineRule="auto"/>
        <w:ind w:firstLine="2223" w:firstLineChars="396"/>
        <w:jc w:val="center"/>
        <w:rPr>
          <w:rFonts w:ascii="宋体" w:hAnsi="宋体"/>
          <w:b/>
          <w:bCs/>
          <w:color w:val="auto"/>
          <w:spacing w:val="100"/>
          <w:sz w:val="36"/>
          <w:szCs w:val="36"/>
        </w:rPr>
      </w:pPr>
      <w:r>
        <w:rPr>
          <w:rFonts w:hint="eastAsia" w:ascii="宋体" w:hAnsi="宋体"/>
          <w:b/>
          <w:bCs/>
          <w:color w:val="auto"/>
          <w:spacing w:val="100"/>
          <w:sz w:val="36"/>
          <w:szCs w:val="36"/>
          <w:u w:val="single"/>
        </w:rPr>
        <w:t xml:space="preserve">       </w:t>
      </w:r>
      <w:r>
        <w:rPr>
          <w:rFonts w:ascii="宋体" w:hAnsi="宋体"/>
          <w:b/>
          <w:bCs/>
          <w:color w:val="auto"/>
          <w:spacing w:val="100"/>
          <w:sz w:val="36"/>
          <w:szCs w:val="36"/>
          <w:u w:val="single"/>
        </w:rPr>
        <w:t xml:space="preserve">   </w:t>
      </w:r>
      <w:r>
        <w:rPr>
          <w:rFonts w:hint="eastAsia" w:ascii="宋体" w:hAnsi="宋体"/>
          <w:b/>
          <w:bCs/>
          <w:color w:val="auto"/>
          <w:spacing w:val="100"/>
          <w:sz w:val="36"/>
          <w:szCs w:val="36"/>
          <w:u w:val="single"/>
        </w:rPr>
        <w:t xml:space="preserve"> </w:t>
      </w:r>
      <w:r>
        <w:rPr>
          <w:rFonts w:hint="eastAsia" w:ascii="宋体" w:hAnsi="宋体"/>
          <w:b/>
          <w:bCs/>
          <w:color w:val="auto"/>
          <w:spacing w:val="100"/>
          <w:sz w:val="36"/>
          <w:szCs w:val="36"/>
        </w:rPr>
        <w:t>项目</w:t>
      </w:r>
    </w:p>
    <w:p>
      <w:pPr>
        <w:spacing w:beforeLines="300" w:afterLines="100" w:line="360" w:lineRule="auto"/>
        <w:ind w:firstLine="3339" w:firstLineChars="396"/>
        <w:rPr>
          <w:rFonts w:ascii="宋体" w:hAnsi="宋体"/>
          <w:b/>
          <w:bCs/>
          <w:color w:val="auto"/>
          <w:spacing w:val="100"/>
          <w:sz w:val="36"/>
          <w:szCs w:val="36"/>
        </w:rPr>
      </w:pPr>
      <w:r>
        <w:rPr>
          <w:rFonts w:hint="eastAsia" w:ascii="黑体" w:hAnsi="黑体" w:eastAsia="黑体"/>
          <w:b/>
          <w:color w:val="auto"/>
          <w:sz w:val="84"/>
          <w:szCs w:val="84"/>
        </w:rPr>
        <w:t xml:space="preserve"> </w:t>
      </w:r>
    </w:p>
    <w:p>
      <w:pPr>
        <w:spacing w:afterLines="200" w:line="360" w:lineRule="auto"/>
        <w:ind w:left="5678" w:leftChars="299" w:hanging="5050" w:hangingChars="466"/>
        <w:jc w:val="center"/>
        <w:rPr>
          <w:rFonts w:ascii="黑体" w:hAnsi="黑体" w:eastAsia="黑体"/>
          <w:b/>
          <w:color w:val="auto"/>
          <w:spacing w:val="60"/>
          <w:sz w:val="96"/>
          <w:szCs w:val="96"/>
        </w:rPr>
      </w:pPr>
      <w:r>
        <w:rPr>
          <w:rFonts w:hint="eastAsia" w:ascii="黑体" w:hAnsi="黑体" w:eastAsia="黑体"/>
          <w:b/>
          <w:color w:val="auto"/>
          <w:spacing w:val="60"/>
          <w:sz w:val="96"/>
          <w:szCs w:val="96"/>
        </w:rPr>
        <w:t>符合性响应文件</w:t>
      </w:r>
    </w:p>
    <w:p>
      <w:pPr>
        <w:spacing w:beforeLines="50" w:afterLines="50" w:line="360" w:lineRule="auto"/>
        <w:ind w:firstLine="1744" w:firstLineChars="545"/>
        <w:rPr>
          <w:rFonts w:ascii="宋体" w:hAnsi="宋体"/>
          <w:b/>
          <w:color w:val="auto"/>
          <w:sz w:val="36"/>
          <w:szCs w:val="36"/>
        </w:rPr>
      </w:pPr>
      <w:r>
        <w:rPr>
          <w:rFonts w:hint="eastAsia" w:ascii="宋体" w:hAnsi="宋体"/>
          <w:color w:val="auto"/>
          <w:sz w:val="32"/>
          <w:szCs w:val="32"/>
        </w:rPr>
        <w:t>项目编号：</w:t>
      </w:r>
      <w:r>
        <w:rPr>
          <w:rFonts w:hint="eastAsia" w:ascii="宋体" w:hAnsi="宋体"/>
          <w:b/>
          <w:color w:val="auto"/>
          <w:sz w:val="36"/>
          <w:szCs w:val="36"/>
          <w:u w:val="single"/>
        </w:rPr>
        <w:t xml:space="preserve">                      </w:t>
      </w: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pStyle w:val="54"/>
        <w:spacing w:beforeLines="150" w:afterLines="150" w:line="360" w:lineRule="auto"/>
        <w:jc w:val="both"/>
        <w:rPr>
          <w:rFonts w:hAnsi="宋体"/>
          <w:color w:val="auto"/>
          <w:sz w:val="28"/>
          <w:szCs w:val="28"/>
        </w:rPr>
      </w:pPr>
      <w:r>
        <w:rPr>
          <w:rFonts w:hint="eastAsia" w:hAnsi="宋体"/>
          <w:color w:val="auto"/>
          <w:sz w:val="28"/>
          <w:szCs w:val="28"/>
        </w:rPr>
        <w:t>投标人：</w:t>
      </w:r>
      <w:r>
        <w:rPr>
          <w:rFonts w:hint="eastAsia" w:hAnsi="宋体"/>
          <w:color w:val="auto"/>
          <w:sz w:val="28"/>
          <w:szCs w:val="28"/>
          <w:u w:val="single"/>
        </w:rPr>
        <w:t xml:space="preserve">                                    </w:t>
      </w:r>
      <w:r>
        <w:rPr>
          <w:rFonts w:hint="eastAsia" w:hAnsi="宋体"/>
          <w:color w:val="auto"/>
          <w:sz w:val="28"/>
          <w:szCs w:val="28"/>
        </w:rPr>
        <w:t>（加盖电子签章）</w:t>
      </w:r>
    </w:p>
    <w:p>
      <w:pPr>
        <w:pStyle w:val="54"/>
        <w:spacing w:beforeLines="150" w:afterLines="150" w:line="360" w:lineRule="auto"/>
        <w:jc w:val="both"/>
        <w:rPr>
          <w:rFonts w:hAnsi="宋体"/>
          <w:color w:val="auto"/>
          <w:sz w:val="28"/>
          <w:szCs w:val="28"/>
          <w:u w:val="single"/>
        </w:rPr>
      </w:pPr>
      <w:r>
        <w:rPr>
          <w:rFonts w:hint="eastAsia" w:hAnsi="宋体"/>
          <w:color w:val="auto"/>
          <w:sz w:val="28"/>
          <w:szCs w:val="28"/>
        </w:rPr>
        <w:t>法定代表人：</w:t>
      </w:r>
      <w:r>
        <w:rPr>
          <w:rFonts w:hAnsi="宋体"/>
          <w:color w:val="auto"/>
          <w:sz w:val="28"/>
          <w:szCs w:val="28"/>
          <w:u w:val="single"/>
        </w:rPr>
        <w:t xml:space="preserve">                       </w:t>
      </w:r>
      <w:r>
        <w:rPr>
          <w:rFonts w:hint="eastAsia" w:hAnsi="宋体"/>
          <w:color w:val="auto"/>
          <w:sz w:val="28"/>
          <w:szCs w:val="28"/>
          <w:u w:val="single"/>
        </w:rPr>
        <w:t xml:space="preserve">      </w:t>
      </w:r>
      <w:r>
        <w:rPr>
          <w:rFonts w:hAnsi="宋体"/>
          <w:color w:val="auto"/>
          <w:sz w:val="28"/>
          <w:szCs w:val="28"/>
          <w:u w:val="single"/>
        </w:rPr>
        <w:t xml:space="preserve">   </w:t>
      </w:r>
      <w:r>
        <w:rPr>
          <w:rFonts w:hint="eastAsia" w:hAnsi="宋体"/>
          <w:color w:val="auto"/>
          <w:sz w:val="28"/>
          <w:szCs w:val="28"/>
        </w:rPr>
        <w:t>（加盖电子签名或签章）</w:t>
      </w:r>
    </w:p>
    <w:p>
      <w:pPr>
        <w:spacing w:beforeLines="150" w:afterLines="150" w:line="586" w:lineRule="atLeast"/>
        <w:rPr>
          <w:rFonts w:ascii="宋体" w:hAnsi="宋体"/>
          <w:color w:val="auto"/>
          <w:sz w:val="28"/>
          <w:szCs w:val="28"/>
        </w:rPr>
      </w:pPr>
      <w:r>
        <w:rPr>
          <w:rFonts w:hint="eastAsia" w:ascii="宋体" w:hAnsi="宋体"/>
          <w:color w:val="auto"/>
          <w:sz w:val="28"/>
          <w:szCs w:val="28"/>
        </w:rPr>
        <w:t>投标日期：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autoSpaceDE w:val="0"/>
        <w:autoSpaceDN w:val="0"/>
        <w:adjustRightInd w:val="0"/>
        <w:spacing w:line="360" w:lineRule="auto"/>
        <w:jc w:val="center"/>
        <w:outlineLvl w:val="0"/>
        <w:rPr>
          <w:rFonts w:ascii="黑体" w:hAnsi="黑体" w:eastAsia="黑体"/>
          <w:b/>
          <w:color w:val="auto"/>
          <w:sz w:val="36"/>
          <w:szCs w:val="36"/>
          <w:lang w:val="zh-CN"/>
        </w:rPr>
      </w:pP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目录</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1.投标书</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2. 开标一览表</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3. 分项报价</w:t>
      </w:r>
      <w:r>
        <w:rPr>
          <w:rFonts w:hint="eastAsia" w:ascii="宋体" w:hAnsi="宋体"/>
          <w:color w:val="auto"/>
          <w:sz w:val="24"/>
        </w:rPr>
        <w:t>（即</w:t>
      </w:r>
      <w:r>
        <w:rPr>
          <w:rFonts w:ascii="宋体" w:hAnsi="宋体"/>
          <w:color w:val="auto"/>
          <w:sz w:val="24"/>
        </w:rPr>
        <w:t>投标人的</w:t>
      </w:r>
      <w:r>
        <w:rPr>
          <w:rFonts w:hint="eastAsia"/>
          <w:color w:val="auto"/>
          <w:sz w:val="24"/>
        </w:rPr>
        <w:t>投标报价明细表</w:t>
      </w:r>
      <w:r>
        <w:rPr>
          <w:rFonts w:ascii="宋体" w:hAnsi="宋体"/>
          <w:color w:val="auto"/>
          <w:sz w:val="24"/>
        </w:rPr>
        <w:t>）</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4.服务方案及服务质量承诺</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5.服务拟投入设备清单及其技术参数</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6.服务拟投入的人员情况表</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7.偏差表</w:t>
      </w:r>
    </w:p>
    <w:p>
      <w:pPr>
        <w:snapToGrid w:val="0"/>
        <w:spacing w:line="560" w:lineRule="atLeast"/>
        <w:textAlignment w:val="top"/>
        <w:rPr>
          <w:color w:val="auto"/>
          <w:sz w:val="24"/>
        </w:rPr>
      </w:pP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反商业贿赂承诺书</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9.</w:t>
      </w:r>
      <w:r>
        <w:rPr>
          <w:rFonts w:hint="eastAsia"/>
          <w:color w:val="auto"/>
          <w:sz w:val="24"/>
          <w:szCs w:val="24"/>
        </w:rPr>
        <w:t xml:space="preserve"> </w:t>
      </w:r>
      <w:r>
        <w:rPr>
          <w:rFonts w:hint="eastAsia" w:ascii="宋体" w:hAnsi="宋体"/>
          <w:color w:val="auto"/>
          <w:sz w:val="24"/>
          <w:szCs w:val="24"/>
        </w:rPr>
        <w:t>履约承诺书</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0</w:t>
      </w:r>
      <w:r>
        <w:rPr>
          <w:rFonts w:hint="eastAsia" w:ascii="宋体" w:hAnsi="宋体"/>
          <w:color w:val="auto"/>
          <w:sz w:val="24"/>
          <w:szCs w:val="24"/>
        </w:rPr>
        <w:t xml:space="preserve">. </w:t>
      </w:r>
      <w:r>
        <w:rPr>
          <w:rFonts w:hint="eastAsia"/>
          <w:color w:val="auto"/>
          <w:sz w:val="24"/>
        </w:rPr>
        <w:t>招标项目要求及采购需求</w:t>
      </w:r>
      <w:r>
        <w:rPr>
          <w:rFonts w:hint="eastAsia" w:ascii="宋体" w:hAnsi="宋体"/>
          <w:color w:val="auto"/>
          <w:sz w:val="24"/>
          <w:szCs w:val="24"/>
        </w:rPr>
        <w:t>所需的其他材料</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1</w:t>
      </w:r>
      <w:r>
        <w:rPr>
          <w:rFonts w:hint="eastAsia" w:ascii="宋体" w:hAnsi="宋体"/>
          <w:color w:val="auto"/>
          <w:sz w:val="24"/>
          <w:szCs w:val="24"/>
        </w:rPr>
        <w:t>.投标人须知所需的其他材料</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2</w:t>
      </w:r>
      <w:r>
        <w:rPr>
          <w:rFonts w:hint="eastAsia" w:ascii="宋体" w:hAnsi="宋体"/>
          <w:color w:val="auto"/>
          <w:sz w:val="24"/>
          <w:szCs w:val="24"/>
        </w:rPr>
        <w:t>.评标办法所需的其他材料</w:t>
      </w:r>
    </w:p>
    <w:p>
      <w:pPr>
        <w:snapToGrid w:val="0"/>
        <w:spacing w:line="560" w:lineRule="atLeast"/>
        <w:textAlignment w:val="top"/>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3</w:t>
      </w:r>
      <w:r>
        <w:rPr>
          <w:rFonts w:hint="eastAsia" w:ascii="宋体" w:hAnsi="宋体"/>
          <w:color w:val="auto"/>
          <w:sz w:val="24"/>
          <w:szCs w:val="24"/>
        </w:rPr>
        <w:t>.投标人认为有必要提交的其它材料</w:t>
      </w:r>
    </w:p>
    <w:p>
      <w:pPr>
        <w:widowControl w:val="0"/>
        <w:snapToGrid w:val="0"/>
        <w:spacing w:line="560" w:lineRule="exact"/>
        <w:rPr>
          <w:rFonts w:eastAsia="方正黑体简体"/>
          <w:b/>
          <w:color w:val="auto"/>
          <w:sz w:val="30"/>
          <w:szCs w:val="30"/>
        </w:rPr>
      </w:pPr>
    </w:p>
    <w:p>
      <w:pPr>
        <w:snapToGrid w:val="0"/>
        <w:spacing w:line="560" w:lineRule="atLeast"/>
        <w:textAlignment w:val="top"/>
        <w:rPr>
          <w:rFonts w:ascii="仿宋_GB2312" w:eastAsia="仿宋_GB2312"/>
          <w:color w:val="auto"/>
          <w:sz w:val="32"/>
          <w:szCs w:val="32"/>
        </w:rPr>
      </w:pPr>
    </w:p>
    <w:p>
      <w:pPr>
        <w:spacing w:line="351" w:lineRule="atLeast"/>
        <w:ind w:left="419"/>
        <w:jc w:val="center"/>
        <w:rPr>
          <w:rFonts w:ascii="黑体" w:eastAsia="黑体"/>
          <w:b/>
          <w:color w:val="auto"/>
          <w:spacing w:val="60"/>
          <w:sz w:val="36"/>
          <w:szCs w:val="36"/>
        </w:rPr>
      </w:pPr>
      <w:r>
        <w:rPr>
          <w:rFonts w:ascii="黑体" w:eastAsia="黑体"/>
          <w:b/>
          <w:color w:val="auto"/>
          <w:spacing w:val="60"/>
          <w:sz w:val="36"/>
          <w:szCs w:val="36"/>
        </w:rPr>
        <w:br w:type="page"/>
      </w:r>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1、投标书</w:t>
      </w:r>
    </w:p>
    <w:p>
      <w:pPr>
        <w:widowControl w:val="0"/>
        <w:snapToGrid w:val="0"/>
        <w:spacing w:line="560" w:lineRule="exact"/>
        <w:rPr>
          <w:color w:val="auto"/>
          <w:sz w:val="28"/>
        </w:rPr>
      </w:pPr>
    </w:p>
    <w:p>
      <w:pPr>
        <w:widowControl w:val="0"/>
        <w:snapToGrid w:val="0"/>
        <w:spacing w:line="360" w:lineRule="auto"/>
        <w:rPr>
          <w:color w:val="auto"/>
          <w:sz w:val="24"/>
          <w:szCs w:val="24"/>
        </w:rPr>
      </w:pPr>
      <w:r>
        <w:rPr>
          <w:rFonts w:hint="eastAsia"/>
          <w:color w:val="auto"/>
          <w:sz w:val="24"/>
          <w:szCs w:val="24"/>
        </w:rPr>
        <w:t>致：安阳市方正招标采购服务有限责任公司</w:t>
      </w:r>
    </w:p>
    <w:p>
      <w:pPr>
        <w:widowControl w:val="0"/>
        <w:snapToGrid w:val="0"/>
        <w:spacing w:line="360" w:lineRule="auto"/>
        <w:ind w:firstLine="578"/>
        <w:textAlignment w:val="top"/>
        <w:rPr>
          <w:color w:val="auto"/>
          <w:sz w:val="24"/>
          <w:szCs w:val="24"/>
        </w:rPr>
      </w:pPr>
      <w:r>
        <w:rPr>
          <w:rFonts w:hint="eastAsia"/>
          <w:color w:val="auto"/>
          <w:sz w:val="24"/>
          <w:szCs w:val="24"/>
        </w:rPr>
        <w:t>根据贵方公开招标</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的招标文件（项目编号：</w:t>
      </w:r>
      <w:r>
        <w:rPr>
          <w:color w:val="auto"/>
          <w:sz w:val="24"/>
          <w:szCs w:val="24"/>
          <w:u w:val="single"/>
        </w:rPr>
        <w:t xml:space="preserve">         </w:t>
      </w:r>
      <w:r>
        <w:rPr>
          <w:rFonts w:hint="eastAsia"/>
          <w:color w:val="auto"/>
          <w:sz w:val="24"/>
          <w:szCs w:val="24"/>
        </w:rPr>
        <w:t>），经详细研究，我们决定参加该项目的采购活动并按要求提交投标文件。我们郑重声明对我单位提交的所有投标资料的真实准确完整承担完全责任、并对之负法律责任。</w:t>
      </w:r>
    </w:p>
    <w:p>
      <w:pPr>
        <w:adjustRightInd w:val="0"/>
        <w:snapToGrid w:val="0"/>
        <w:spacing w:beforeLines="50" w:line="300" w:lineRule="auto"/>
        <w:ind w:firstLine="539"/>
        <w:textAlignment w:val="top"/>
        <w:rPr>
          <w:rFonts w:ascii="黑体" w:hAnsi="黑体" w:eastAsia="黑体"/>
          <w:b/>
          <w:color w:val="auto"/>
        </w:rPr>
      </w:pPr>
      <w:r>
        <w:rPr>
          <w:rFonts w:hint="eastAsia" w:ascii="黑体" w:hAnsi="黑体" w:eastAsia="黑体" w:cs="楷体_GB2312"/>
          <w:b/>
          <w:color w:val="auto"/>
          <w:sz w:val="24"/>
          <w:lang w:val="zh-CN"/>
        </w:rPr>
        <w:t>符</w:t>
      </w:r>
      <w:r>
        <w:rPr>
          <w:rFonts w:ascii="黑体" w:hAnsi="黑体" w:eastAsia="黑体" w:cs="楷体_GB2312"/>
          <w:b/>
          <w:color w:val="auto"/>
          <w:sz w:val="24"/>
          <w:lang w:val="zh-CN"/>
        </w:rPr>
        <w:t>合性</w:t>
      </w:r>
      <w:r>
        <w:rPr>
          <w:rFonts w:hint="eastAsia" w:ascii="黑体" w:hAnsi="黑体" w:eastAsia="黑体" w:cs="楷体_GB2312"/>
          <w:b/>
          <w:color w:val="auto"/>
          <w:sz w:val="24"/>
          <w:lang w:val="zh-CN"/>
        </w:rPr>
        <w:t>响应</w:t>
      </w:r>
      <w:r>
        <w:rPr>
          <w:rFonts w:ascii="黑体" w:hAnsi="黑体" w:eastAsia="黑体" w:cs="楷体_GB2312"/>
          <w:b/>
          <w:color w:val="auto"/>
          <w:sz w:val="24"/>
          <w:lang w:val="zh-CN"/>
        </w:rPr>
        <w:t>文件</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分项报价（即</w:t>
      </w:r>
      <w:r>
        <w:rPr>
          <w:rFonts w:ascii="宋体" w:hAnsi="宋体"/>
          <w:color w:val="auto"/>
          <w:sz w:val="24"/>
        </w:rPr>
        <w:t>投标人的</w:t>
      </w:r>
      <w:r>
        <w:rPr>
          <w:rFonts w:hint="eastAsia"/>
          <w:color w:val="auto"/>
          <w:sz w:val="24"/>
        </w:rPr>
        <w:t>投标报价明细表</w:t>
      </w:r>
      <w:r>
        <w:rPr>
          <w:rFonts w:ascii="宋体" w:hAnsi="宋体"/>
          <w:color w:val="auto"/>
          <w:sz w:val="24"/>
        </w:rPr>
        <w:t>）</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）服务方案及服务质量承诺</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）服务拟投入设备清单及其技术参数</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）服务拟投入的人员情况表</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）偏差表</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反商业贿赂承诺书。</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color w:val="auto"/>
          <w:sz w:val="24"/>
        </w:rPr>
        <w:t>履约承诺书。</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10</w:t>
      </w:r>
      <w:r>
        <w:rPr>
          <w:rFonts w:hint="eastAsia"/>
          <w:color w:val="auto"/>
          <w:sz w:val="24"/>
        </w:rPr>
        <w:t>）招标项目要求及采购需求所需的其他材料（按条款需要）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11</w:t>
      </w:r>
      <w:r>
        <w:rPr>
          <w:rFonts w:hint="eastAsia"/>
          <w:color w:val="auto"/>
          <w:sz w:val="24"/>
        </w:rPr>
        <w:t>）投标人须知所需的其他材料（按条款需要）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12</w:t>
      </w:r>
      <w:r>
        <w:rPr>
          <w:rFonts w:hint="eastAsia"/>
          <w:color w:val="auto"/>
          <w:sz w:val="24"/>
        </w:rPr>
        <w:t>）评标办法所需的其他材料（按条款需要）</w:t>
      </w:r>
    </w:p>
    <w:p>
      <w:pPr>
        <w:autoSpaceDE w:val="0"/>
        <w:autoSpaceDN w:val="0"/>
        <w:adjustRightInd w:val="0"/>
        <w:snapToGrid w:val="0"/>
        <w:spacing w:line="300" w:lineRule="auto"/>
        <w:ind w:firstLine="520" w:firstLineChars="217"/>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13</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adjustRightInd w:val="0"/>
        <w:snapToGrid w:val="0"/>
        <w:spacing w:beforeLines="50" w:line="300" w:lineRule="auto"/>
        <w:ind w:firstLine="539"/>
        <w:textAlignment w:val="top"/>
        <w:rPr>
          <w:rFonts w:ascii="黑体" w:hAnsi="黑体" w:eastAsia="黑体" w:cs="楷体_GB2312"/>
          <w:b/>
          <w:color w:val="auto"/>
          <w:sz w:val="24"/>
          <w:lang w:val="zh-CN"/>
        </w:rPr>
      </w:pPr>
      <w:r>
        <w:rPr>
          <w:rFonts w:hint="eastAsia" w:ascii="黑体" w:hAnsi="黑体" w:eastAsia="黑体" w:cs="楷体_GB2312"/>
          <w:b/>
          <w:color w:val="auto"/>
          <w:sz w:val="24"/>
          <w:lang w:val="zh-CN"/>
        </w:rPr>
        <w:t>资</w:t>
      </w:r>
      <w:r>
        <w:rPr>
          <w:rFonts w:ascii="黑体" w:hAnsi="黑体" w:eastAsia="黑体" w:cs="楷体_GB2312"/>
          <w:b/>
          <w:color w:val="auto"/>
          <w:sz w:val="24"/>
          <w:lang w:val="zh-CN"/>
        </w:rPr>
        <w:t>格性</w:t>
      </w:r>
      <w:r>
        <w:rPr>
          <w:rFonts w:hint="eastAsia" w:ascii="黑体" w:hAnsi="黑体" w:eastAsia="黑体" w:cs="楷体_GB2312"/>
          <w:b/>
          <w:color w:val="auto"/>
          <w:sz w:val="24"/>
          <w:lang w:val="zh-CN"/>
        </w:rPr>
        <w:t>证明文件</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14</w:t>
      </w:r>
      <w:r>
        <w:rPr>
          <w:rFonts w:hint="eastAsia" w:ascii="宋体" w:hAnsi="宋体" w:cs="楷体_GB2312"/>
          <w:color w:val="auto"/>
          <w:sz w:val="24"/>
          <w:lang w:val="zh-CN"/>
        </w:rPr>
        <w:t>）</w:t>
      </w:r>
      <w:r>
        <w:rPr>
          <w:rFonts w:hint="eastAsia"/>
          <w:color w:val="auto"/>
          <w:sz w:val="24"/>
        </w:rPr>
        <w:t>关于资格的声明函</w:t>
      </w:r>
    </w:p>
    <w:p>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color w:val="auto"/>
          <w:sz w:val="24"/>
        </w:rPr>
        <w:t>（</w:t>
      </w:r>
      <w:r>
        <w:rPr>
          <w:color w:val="auto"/>
          <w:sz w:val="24"/>
        </w:rPr>
        <w:t>15</w:t>
      </w:r>
      <w:r>
        <w:rPr>
          <w:rFonts w:hint="eastAsia"/>
          <w:color w:val="auto"/>
          <w:sz w:val="24"/>
        </w:rPr>
        <w:t>）资格要求相关证明材料（文件）</w:t>
      </w:r>
    </w:p>
    <w:p>
      <w:pPr>
        <w:widowControl w:val="0"/>
        <w:snapToGrid w:val="0"/>
        <w:spacing w:line="360" w:lineRule="auto"/>
        <w:ind w:firstLine="578"/>
        <w:textAlignment w:val="top"/>
        <w:rPr>
          <w:color w:val="auto"/>
          <w:sz w:val="24"/>
          <w:szCs w:val="24"/>
        </w:rPr>
      </w:pPr>
    </w:p>
    <w:p>
      <w:pPr>
        <w:widowControl w:val="0"/>
        <w:numPr>
          <w:ilvl w:val="0"/>
          <w:numId w:val="2"/>
        </w:numPr>
        <w:snapToGrid w:val="0"/>
        <w:spacing w:line="360" w:lineRule="auto"/>
        <w:textAlignment w:val="top"/>
        <w:rPr>
          <w:color w:val="auto"/>
          <w:sz w:val="24"/>
          <w:szCs w:val="24"/>
        </w:rPr>
      </w:pPr>
      <w:r>
        <w:rPr>
          <w:rFonts w:hint="eastAsia"/>
          <w:color w:val="auto"/>
          <w:sz w:val="24"/>
          <w:szCs w:val="24"/>
        </w:rPr>
        <w:t>愿按照招标文件中规定的条款和要求，提供完成招标文件规定的全部工作，</w:t>
      </w:r>
    </w:p>
    <w:p>
      <w:pPr>
        <w:widowControl w:val="0"/>
        <w:snapToGrid w:val="0"/>
        <w:spacing w:line="360" w:lineRule="auto"/>
        <w:ind w:left="578"/>
        <w:textAlignment w:val="top"/>
        <w:rPr>
          <w:color w:val="auto"/>
          <w:sz w:val="24"/>
          <w:szCs w:val="24"/>
        </w:rPr>
      </w:pPr>
      <w:r>
        <w:rPr>
          <w:rFonts w:hint="eastAsia"/>
          <w:color w:val="auto"/>
          <w:sz w:val="24"/>
          <w:szCs w:val="24"/>
        </w:rPr>
        <w:t>投标总价为人民币（大写）</w:t>
      </w:r>
      <w:r>
        <w:rPr>
          <w:rFonts w:hint="eastAsia"/>
          <w:color w:val="auto"/>
          <w:sz w:val="24"/>
          <w:szCs w:val="24"/>
        </w:rPr>
        <w:tab/>
      </w:r>
      <w:r>
        <w:rPr>
          <w:rFonts w:hint="eastAsia"/>
          <w:color w:val="auto"/>
          <w:sz w:val="24"/>
          <w:szCs w:val="24"/>
        </w:rPr>
        <w:t xml:space="preserve">            ，（ RMB¥：       元 ），</w:t>
      </w:r>
    </w:p>
    <w:p>
      <w:pPr>
        <w:widowControl w:val="0"/>
        <w:snapToGrid w:val="0"/>
        <w:spacing w:line="360" w:lineRule="auto"/>
        <w:ind w:left="578"/>
        <w:textAlignment w:val="top"/>
        <w:rPr>
          <w:color w:val="auto"/>
          <w:sz w:val="24"/>
          <w:szCs w:val="24"/>
        </w:rPr>
      </w:pPr>
      <w:r>
        <w:rPr>
          <w:rFonts w:hint="eastAsia"/>
          <w:color w:val="auto"/>
          <w:sz w:val="24"/>
          <w:szCs w:val="24"/>
        </w:rPr>
        <w:t>交付（实施）期：</w:t>
      </w:r>
      <w:r>
        <w:rPr>
          <w:rFonts w:hint="eastAsia"/>
          <w:color w:val="auto"/>
          <w:sz w:val="24"/>
          <w:szCs w:val="24"/>
          <w:u w:val="single"/>
        </w:rPr>
        <w:t xml:space="preserve">             </w:t>
      </w:r>
      <w:r>
        <w:rPr>
          <w:rFonts w:hint="eastAsia"/>
          <w:color w:val="auto"/>
          <w:sz w:val="24"/>
          <w:szCs w:val="24"/>
        </w:rPr>
        <w:t>，交付（实施）地点：</w:t>
      </w:r>
      <w:r>
        <w:rPr>
          <w:rFonts w:hint="eastAsia"/>
          <w:color w:val="auto"/>
          <w:sz w:val="24"/>
          <w:szCs w:val="24"/>
          <w:u w:val="single"/>
        </w:rPr>
        <w:t xml:space="preserve">               </w:t>
      </w:r>
      <w:r>
        <w:rPr>
          <w:rFonts w:hint="eastAsia"/>
          <w:color w:val="auto"/>
          <w:sz w:val="24"/>
          <w:szCs w:val="24"/>
        </w:rPr>
        <w:t>。</w:t>
      </w:r>
    </w:p>
    <w:p>
      <w:pPr>
        <w:widowControl w:val="0"/>
        <w:snapToGrid w:val="0"/>
        <w:spacing w:line="360" w:lineRule="auto"/>
        <w:ind w:firstLine="578"/>
        <w:textAlignment w:val="top"/>
        <w:rPr>
          <w:color w:val="auto"/>
          <w:sz w:val="24"/>
          <w:szCs w:val="24"/>
        </w:rPr>
      </w:pPr>
      <w:r>
        <w:rPr>
          <w:rFonts w:hint="eastAsia"/>
          <w:color w:val="auto"/>
          <w:sz w:val="24"/>
          <w:szCs w:val="24"/>
        </w:rPr>
        <w:t>2.如果我们的投标文件被接受，我们将履行招标文件中规定的每一项要求，按期、按质、按量履行合同。</w:t>
      </w:r>
    </w:p>
    <w:p>
      <w:pPr>
        <w:widowControl w:val="0"/>
        <w:snapToGrid w:val="0"/>
        <w:spacing w:line="360" w:lineRule="auto"/>
        <w:ind w:firstLine="578"/>
        <w:textAlignment w:val="top"/>
        <w:rPr>
          <w:color w:val="auto"/>
          <w:sz w:val="24"/>
          <w:szCs w:val="24"/>
        </w:rPr>
      </w:pPr>
      <w:r>
        <w:rPr>
          <w:rFonts w:hint="eastAsia"/>
          <w:color w:val="auto"/>
          <w:sz w:val="24"/>
          <w:szCs w:val="24"/>
        </w:rPr>
        <w:t>3.我们已详细阅读全部招标文件，包括修改文件以及全部参考资料和有关附件。我们完全理解并同意放弃对这方面有不明及误解的权力。</w:t>
      </w:r>
    </w:p>
    <w:p>
      <w:pPr>
        <w:widowControl w:val="0"/>
        <w:snapToGrid w:val="0"/>
        <w:spacing w:line="360" w:lineRule="auto"/>
        <w:ind w:firstLine="578"/>
        <w:textAlignment w:val="top"/>
        <w:rPr>
          <w:color w:val="auto"/>
          <w:sz w:val="24"/>
          <w:szCs w:val="24"/>
        </w:rPr>
      </w:pPr>
      <w:r>
        <w:rPr>
          <w:rFonts w:hint="eastAsia"/>
          <w:color w:val="auto"/>
          <w:sz w:val="24"/>
          <w:szCs w:val="24"/>
        </w:rPr>
        <w:t>4.我们同意提供按照贵方可能要求的与其投标有关的一切数据或资料，理解贵方不一定要接受最低价的投标或收到的任何投标。</w:t>
      </w:r>
    </w:p>
    <w:p>
      <w:pPr>
        <w:widowControl w:val="0"/>
        <w:snapToGrid w:val="0"/>
        <w:spacing w:line="360" w:lineRule="auto"/>
        <w:ind w:firstLine="578"/>
        <w:textAlignment w:val="top"/>
        <w:rPr>
          <w:color w:val="auto"/>
          <w:sz w:val="24"/>
          <w:szCs w:val="24"/>
        </w:rPr>
      </w:pPr>
      <w:r>
        <w:rPr>
          <w:rFonts w:hint="eastAsia"/>
          <w:color w:val="auto"/>
          <w:sz w:val="24"/>
          <w:szCs w:val="24"/>
        </w:rPr>
        <w:t>5.本投标自开标日起有效期为90日历天。</w:t>
      </w:r>
    </w:p>
    <w:p>
      <w:pPr>
        <w:widowControl w:val="0"/>
        <w:snapToGrid w:val="0"/>
        <w:spacing w:line="360" w:lineRule="auto"/>
        <w:ind w:firstLine="578"/>
        <w:textAlignment w:val="top"/>
        <w:rPr>
          <w:color w:val="auto"/>
          <w:sz w:val="24"/>
          <w:szCs w:val="24"/>
        </w:rPr>
      </w:pPr>
      <w:r>
        <w:rPr>
          <w:rFonts w:hint="eastAsia"/>
          <w:color w:val="auto"/>
          <w:sz w:val="24"/>
          <w:szCs w:val="24"/>
        </w:rPr>
        <w:t>6.我们愿按《中华人民共和国民法典》履行其的全部责任。</w:t>
      </w:r>
    </w:p>
    <w:p>
      <w:pPr>
        <w:widowControl w:val="0"/>
        <w:snapToGrid w:val="0"/>
        <w:spacing w:line="360" w:lineRule="auto"/>
        <w:ind w:firstLine="578"/>
        <w:textAlignment w:val="top"/>
        <w:rPr>
          <w:color w:val="auto"/>
          <w:sz w:val="24"/>
          <w:szCs w:val="24"/>
        </w:rPr>
      </w:pPr>
      <w:r>
        <w:rPr>
          <w:rFonts w:hint="eastAsia"/>
          <w:color w:val="auto"/>
          <w:sz w:val="24"/>
          <w:szCs w:val="24"/>
        </w:rPr>
        <w:t>7.</w:t>
      </w:r>
      <w:r>
        <w:rPr>
          <w:rFonts w:hint="eastAsia"/>
          <w:color w:val="auto"/>
        </w:rPr>
        <w:t xml:space="preserve"> </w:t>
      </w:r>
      <w:r>
        <w:rPr>
          <w:rFonts w:hint="eastAsia"/>
          <w:color w:val="auto"/>
          <w:sz w:val="24"/>
          <w:szCs w:val="24"/>
        </w:rPr>
        <w:t>我们承诺按照《招标文件》规定的付款方式执行。</w:t>
      </w:r>
    </w:p>
    <w:p>
      <w:pPr>
        <w:widowControl w:val="0"/>
        <w:snapToGrid w:val="0"/>
        <w:spacing w:line="360" w:lineRule="auto"/>
        <w:ind w:firstLine="578"/>
        <w:textAlignment w:val="top"/>
        <w:rPr>
          <w:color w:val="auto"/>
          <w:sz w:val="24"/>
          <w:szCs w:val="24"/>
        </w:rPr>
      </w:pPr>
      <w:r>
        <w:rPr>
          <w:rFonts w:hint="eastAsia"/>
          <w:color w:val="auto"/>
          <w:sz w:val="24"/>
          <w:szCs w:val="24"/>
        </w:rPr>
        <w:t>8.如果在规定的开标时间后，我单位在投标有效期内撤回投标的，依据招标文件“第三章3.5.5 违背承诺的责任追究措施”，我单位承担相应法律责任及违约责任。</w:t>
      </w:r>
    </w:p>
    <w:p>
      <w:pPr>
        <w:widowControl w:val="0"/>
        <w:snapToGrid w:val="0"/>
        <w:spacing w:line="360" w:lineRule="auto"/>
        <w:ind w:firstLine="578"/>
        <w:textAlignment w:val="top"/>
        <w:rPr>
          <w:color w:val="auto"/>
          <w:sz w:val="24"/>
          <w:szCs w:val="24"/>
        </w:rPr>
      </w:pPr>
      <w:r>
        <w:rPr>
          <w:rFonts w:hint="eastAsia"/>
          <w:color w:val="auto"/>
          <w:sz w:val="24"/>
          <w:szCs w:val="24"/>
        </w:rPr>
        <w:t>与本投标有关的一切正式往来请寄：</w:t>
      </w:r>
    </w:p>
    <w:p>
      <w:pPr>
        <w:widowControl w:val="0"/>
        <w:snapToGrid w:val="0"/>
        <w:spacing w:line="360" w:lineRule="auto"/>
        <w:ind w:firstLine="578"/>
        <w:textAlignment w:val="top"/>
        <w:rPr>
          <w:color w:val="auto"/>
          <w:sz w:val="24"/>
          <w:szCs w:val="24"/>
        </w:rPr>
      </w:pPr>
    </w:p>
    <w:p>
      <w:pPr>
        <w:widowControl w:val="0"/>
        <w:snapToGrid w:val="0"/>
        <w:spacing w:line="360" w:lineRule="auto"/>
        <w:ind w:firstLine="578"/>
        <w:textAlignment w:val="top"/>
        <w:rPr>
          <w:color w:val="auto"/>
          <w:sz w:val="24"/>
          <w:szCs w:val="24"/>
        </w:rPr>
      </w:pPr>
      <w:r>
        <w:rPr>
          <w:rFonts w:hint="eastAsia"/>
          <w:color w:val="auto"/>
          <w:sz w:val="24"/>
          <w:szCs w:val="24"/>
        </w:rPr>
        <w:t>地址：</w:t>
      </w:r>
      <w:r>
        <w:rPr>
          <w:rFonts w:hint="eastAsia"/>
          <w:color w:val="auto"/>
          <w:sz w:val="24"/>
          <w:szCs w:val="24"/>
        </w:rPr>
        <w:tab/>
      </w:r>
      <w:r>
        <w:rPr>
          <w:rFonts w:hint="eastAsia"/>
          <w:color w:val="auto"/>
          <w:sz w:val="24"/>
          <w:szCs w:val="24"/>
        </w:rPr>
        <w:tab/>
      </w:r>
      <w:r>
        <w:rPr>
          <w:rFonts w:hint="eastAsia"/>
          <w:color w:val="auto"/>
          <w:sz w:val="24"/>
          <w:szCs w:val="24"/>
        </w:rPr>
        <w:t xml:space="preserve">                       邮政编码：       </w:t>
      </w:r>
    </w:p>
    <w:p>
      <w:pPr>
        <w:widowControl w:val="0"/>
        <w:snapToGrid w:val="0"/>
        <w:spacing w:line="360" w:lineRule="auto"/>
        <w:ind w:firstLine="578"/>
        <w:textAlignment w:val="top"/>
        <w:rPr>
          <w:color w:val="auto"/>
          <w:sz w:val="24"/>
          <w:szCs w:val="24"/>
        </w:rPr>
      </w:pPr>
      <w:r>
        <w:rPr>
          <w:rFonts w:hint="eastAsia"/>
          <w:color w:val="auto"/>
          <w:sz w:val="24"/>
          <w:szCs w:val="24"/>
        </w:rPr>
        <w:t>电话：</w:t>
      </w:r>
      <w:r>
        <w:rPr>
          <w:rFonts w:hint="eastAsia"/>
          <w:color w:val="auto"/>
          <w:sz w:val="24"/>
          <w:szCs w:val="24"/>
        </w:rPr>
        <w:tab/>
      </w:r>
      <w:r>
        <w:rPr>
          <w:rFonts w:hint="eastAsia"/>
          <w:color w:val="auto"/>
          <w:sz w:val="24"/>
          <w:szCs w:val="24"/>
        </w:rPr>
        <w:tab/>
      </w:r>
      <w:r>
        <w:rPr>
          <w:rFonts w:hint="eastAsia"/>
          <w:color w:val="auto"/>
          <w:sz w:val="24"/>
          <w:szCs w:val="24"/>
        </w:rPr>
        <w:t xml:space="preserve">                       传真：</w:t>
      </w:r>
    </w:p>
    <w:p>
      <w:pPr>
        <w:widowControl w:val="0"/>
        <w:snapToGrid w:val="0"/>
        <w:spacing w:line="360" w:lineRule="auto"/>
        <w:ind w:firstLine="578"/>
        <w:textAlignment w:val="top"/>
        <w:rPr>
          <w:color w:val="auto"/>
          <w:sz w:val="24"/>
          <w:szCs w:val="24"/>
        </w:rPr>
      </w:pPr>
      <w:r>
        <w:rPr>
          <w:rFonts w:hint="eastAsia"/>
          <w:color w:val="auto"/>
          <w:sz w:val="24"/>
          <w:szCs w:val="24"/>
        </w:rPr>
        <w:t>日期：</w:t>
      </w:r>
    </w:p>
    <w:p>
      <w:pPr>
        <w:widowControl w:val="0"/>
        <w:snapToGrid w:val="0"/>
        <w:spacing w:line="360" w:lineRule="auto"/>
        <w:textAlignment w:val="top"/>
        <w:rPr>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snapToGrid w:val="0"/>
        <w:spacing w:line="360" w:lineRule="auto"/>
        <w:textAlignment w:val="top"/>
        <w:rPr>
          <w:color w:val="auto"/>
          <w:sz w:val="24"/>
          <w:szCs w:val="24"/>
        </w:rPr>
      </w:pP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p>
    <w:p>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2、开标一览表</w:t>
      </w:r>
    </w:p>
    <w:p>
      <w:pPr>
        <w:pStyle w:val="16"/>
        <w:adjustRightInd w:val="0"/>
        <w:snapToGrid w:val="0"/>
        <w:spacing w:before="0" w:beforeAutospacing="0" w:after="0" w:afterAutospacing="0"/>
        <w:rPr>
          <w:color w:val="auto"/>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注：投标人需在“安阳市政府采购投标文件编制系统”中、按系统要求填列开标一览表，系统中填列的开标一览表为投标人《投标文件》的一部分。</w:t>
      </w:r>
    </w:p>
    <w:p>
      <w:pPr>
        <w:widowControl w:val="0"/>
        <w:snapToGrid w:val="0"/>
        <w:spacing w:line="560" w:lineRule="exact"/>
        <w:rPr>
          <w:rFonts w:eastAsia="方正黑体简体"/>
          <w:b/>
          <w:color w:val="auto"/>
          <w:sz w:val="30"/>
          <w:szCs w:val="30"/>
        </w:rPr>
      </w:pPr>
    </w:p>
    <w:p>
      <w:pPr>
        <w:widowControl w:val="0"/>
        <w:snapToGrid w:val="0"/>
        <w:spacing w:line="560" w:lineRule="exact"/>
        <w:jc w:val="center"/>
        <w:rPr>
          <w:rFonts w:eastAsia="方正黑体简体"/>
          <w:b/>
          <w:color w:val="auto"/>
          <w:sz w:val="30"/>
          <w:szCs w:val="30"/>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基于电子化交易的特点，投标人上传解密后的《开标一览表》、《分项报价表》、《符合性响应文件》、《资格性证明文件》，构成《投标文件》的组成部分。</w:t>
      </w:r>
    </w:p>
    <w:p>
      <w:pPr>
        <w:widowControl w:val="0"/>
        <w:snapToGrid w:val="0"/>
        <w:spacing w:line="560" w:lineRule="exact"/>
        <w:ind w:firstLine="482" w:firstLineChars="200"/>
        <w:jc w:val="left"/>
        <w:rPr>
          <w:b/>
          <w:color w:val="auto"/>
          <w:sz w:val="24"/>
          <w:szCs w:val="24"/>
        </w:rPr>
      </w:pPr>
      <w:r>
        <w:rPr>
          <w:rFonts w:hint="eastAsia"/>
          <w:b/>
          <w:color w:val="auto"/>
          <w:sz w:val="24"/>
          <w:szCs w:val="24"/>
        </w:rPr>
        <w:t>《开标一览表》、《分项报价表》无需另行填列。</w:t>
      </w:r>
      <w:r>
        <w:rPr>
          <w:b/>
          <w:color w:val="auto"/>
          <w:sz w:val="24"/>
          <w:szCs w:val="24"/>
        </w:rPr>
        <w:br w:type="page"/>
      </w:r>
    </w:p>
    <w:p>
      <w:pPr>
        <w:widowControl w:val="0"/>
        <w:snapToGrid w:val="0"/>
        <w:spacing w:line="560" w:lineRule="exact"/>
        <w:jc w:val="center"/>
        <w:rPr>
          <w:rFonts w:ascii="黑体" w:hAnsi="黑体" w:eastAsia="黑体"/>
          <w:color w:val="auto"/>
          <w:sz w:val="28"/>
        </w:rPr>
      </w:pPr>
      <w:r>
        <w:rPr>
          <w:rFonts w:hint="eastAsia" w:ascii="黑体" w:hAnsi="黑体" w:eastAsia="黑体"/>
          <w:b/>
          <w:color w:val="auto"/>
          <w:sz w:val="30"/>
          <w:szCs w:val="30"/>
        </w:rPr>
        <w:t>3、分项报价</w:t>
      </w:r>
    </w:p>
    <w:p>
      <w:pPr>
        <w:widowControl w:val="0"/>
        <w:snapToGrid w:val="0"/>
        <w:spacing w:line="560" w:lineRule="exact"/>
        <w:jc w:val="left"/>
        <w:rPr>
          <w:color w:val="auto"/>
          <w:sz w:val="28"/>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注：投标人需在“安阳市政府采购投标文件编制系统”中、按系统要求填列分项报价，系统中填列的分项报价为投标人《投标文件》的一部分。</w:t>
      </w:r>
    </w:p>
    <w:p>
      <w:pPr>
        <w:spacing w:line="240" w:lineRule="auto"/>
        <w:jc w:val="center"/>
        <w:textAlignment w:val="auto"/>
        <w:rPr>
          <w:rFonts w:eastAsia="方正黑体简体"/>
          <w:b/>
          <w:color w:val="auto"/>
          <w:sz w:val="30"/>
          <w:szCs w:val="30"/>
        </w:rPr>
      </w:pPr>
    </w:p>
    <w:p>
      <w:pPr>
        <w:spacing w:line="240" w:lineRule="auto"/>
        <w:textAlignment w:val="auto"/>
        <w:rPr>
          <w:rFonts w:eastAsia="方正黑体简体"/>
          <w:b/>
          <w:color w:val="auto"/>
          <w:sz w:val="30"/>
          <w:szCs w:val="30"/>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基于电子化交易的特点，投标人上传解密后的《开标一览表》、《分项报价表》、《符合性响应文件》、《资格性证明文件》，构成《投标文件》的组成部分。</w:t>
      </w:r>
    </w:p>
    <w:p>
      <w:pPr>
        <w:widowControl w:val="0"/>
        <w:snapToGrid w:val="0"/>
        <w:spacing w:line="560" w:lineRule="exact"/>
        <w:ind w:firstLine="482" w:firstLineChars="200"/>
        <w:jc w:val="left"/>
        <w:rPr>
          <w:b/>
          <w:color w:val="auto"/>
          <w:sz w:val="24"/>
          <w:szCs w:val="24"/>
        </w:rPr>
      </w:pPr>
      <w:r>
        <w:rPr>
          <w:rFonts w:hint="eastAsia"/>
          <w:b/>
          <w:color w:val="auto"/>
          <w:sz w:val="24"/>
          <w:szCs w:val="24"/>
        </w:rPr>
        <w:t>《开标一览表》、《分项报价表》无需另行填列。</w:t>
      </w:r>
    </w:p>
    <w:p>
      <w:pPr>
        <w:widowControl w:val="0"/>
        <w:snapToGrid w:val="0"/>
        <w:spacing w:line="560" w:lineRule="exact"/>
        <w:ind w:firstLine="482" w:firstLineChars="200"/>
        <w:jc w:val="left"/>
        <w:rPr>
          <w:b/>
          <w:color w:val="auto"/>
          <w:sz w:val="24"/>
          <w:szCs w:val="24"/>
        </w:rPr>
      </w:pPr>
    </w:p>
    <w:p>
      <w:pPr>
        <w:widowControl w:val="0"/>
        <w:snapToGrid w:val="0"/>
        <w:spacing w:line="560" w:lineRule="exact"/>
        <w:ind w:firstLine="482" w:firstLineChars="200"/>
        <w:jc w:val="left"/>
        <w:rPr>
          <w:rFonts w:ascii="宋体" w:hAnsi="宋体"/>
          <w:b/>
          <w:color w:val="auto"/>
          <w:sz w:val="24"/>
          <w:szCs w:val="24"/>
        </w:rPr>
      </w:pPr>
      <w:r>
        <w:rPr>
          <w:rFonts w:hint="eastAsia"/>
          <w:b/>
          <w:color w:val="auto"/>
          <w:sz w:val="24"/>
          <w:szCs w:val="24"/>
        </w:rPr>
        <w:t>本次政府招标项目专门面向中小企业，专门面向中小企业的采购项目无价格扣除。投标人无需在</w:t>
      </w:r>
      <w:r>
        <w:rPr>
          <w:rFonts w:ascii="宋体" w:hAnsi="宋体" w:cs="楷体_GB2312"/>
          <w:b/>
          <w:color w:val="auto"/>
          <w:sz w:val="24"/>
          <w:lang w:val="zh-CN"/>
        </w:rPr>
        <w:t>“</w:t>
      </w:r>
      <w:r>
        <w:rPr>
          <w:rFonts w:hint="eastAsia" w:ascii="宋体" w:hAnsi="宋体" w:cs="楷体_GB2312"/>
          <w:b/>
          <w:color w:val="auto"/>
          <w:sz w:val="24"/>
          <w:lang w:val="zh-CN"/>
        </w:rPr>
        <w:t>投标文件编制系统</w:t>
      </w:r>
      <w:r>
        <w:rPr>
          <w:rFonts w:ascii="宋体" w:hAnsi="宋体" w:cs="楷体_GB2312"/>
          <w:b/>
          <w:color w:val="auto"/>
          <w:sz w:val="24"/>
          <w:lang w:val="zh-CN"/>
        </w:rPr>
        <w:t>”</w:t>
      </w:r>
      <w:r>
        <w:rPr>
          <w:rFonts w:hint="eastAsia"/>
          <w:b/>
          <w:color w:val="auto"/>
          <w:sz w:val="24"/>
          <w:szCs w:val="24"/>
        </w:rPr>
        <w:t>分项报价表中选择“是否享受价格折扣、折扣率（%）”。</w:t>
      </w:r>
    </w:p>
    <w:p>
      <w:pPr>
        <w:widowControl w:val="0"/>
        <w:snapToGrid w:val="0"/>
        <w:spacing w:line="560" w:lineRule="exact"/>
        <w:ind w:firstLine="600" w:firstLineChars="200"/>
        <w:jc w:val="left"/>
        <w:rPr>
          <w:rFonts w:eastAsia="方正黑体简体"/>
          <w:b/>
          <w:color w:val="auto"/>
          <w:sz w:val="30"/>
          <w:szCs w:val="30"/>
        </w:rPr>
      </w:pPr>
      <w:r>
        <w:rPr>
          <w:rFonts w:eastAsia="方正黑体简体"/>
          <w:b/>
          <w:color w:val="auto"/>
          <w:sz w:val="30"/>
          <w:szCs w:val="30"/>
        </w:rPr>
        <w:br w:type="page"/>
      </w:r>
    </w:p>
    <w:p>
      <w:pPr>
        <w:spacing w:line="240" w:lineRule="auto"/>
        <w:jc w:val="center"/>
        <w:textAlignment w:val="auto"/>
        <w:rPr>
          <w:rFonts w:eastAsia="方正黑体简体"/>
          <w:b/>
          <w:color w:val="auto"/>
          <w:sz w:val="30"/>
          <w:szCs w:val="30"/>
        </w:rPr>
      </w:pPr>
      <w:r>
        <w:rPr>
          <w:rFonts w:hint="eastAsia" w:eastAsia="方正黑体简体"/>
          <w:b/>
          <w:color w:val="auto"/>
          <w:sz w:val="30"/>
          <w:szCs w:val="30"/>
        </w:rPr>
        <w:t>4</w:t>
      </w:r>
      <w:r>
        <w:rPr>
          <w:rFonts w:hint="eastAsia" w:ascii="Adobe 宋体 Std L" w:hAnsi="Adobe 宋体 Std L" w:eastAsia="Adobe 宋体 Std L"/>
          <w:b/>
          <w:color w:val="auto"/>
          <w:sz w:val="30"/>
          <w:szCs w:val="30"/>
        </w:rPr>
        <w:t>、</w:t>
      </w:r>
      <w:r>
        <w:rPr>
          <w:rFonts w:hint="eastAsia" w:eastAsia="方正黑体简体"/>
          <w:b/>
          <w:color w:val="auto"/>
          <w:sz w:val="30"/>
          <w:szCs w:val="30"/>
        </w:rPr>
        <w:t>服务方案及服务质量承诺</w:t>
      </w:r>
    </w:p>
    <w:p>
      <w:pPr>
        <w:spacing w:line="240" w:lineRule="auto"/>
        <w:jc w:val="center"/>
        <w:textAlignment w:val="auto"/>
        <w:rPr>
          <w:color w:val="auto"/>
        </w:rPr>
      </w:pPr>
      <w:r>
        <w:rPr>
          <w:rFonts w:hint="eastAsia" w:eastAsia="方正黑体简体"/>
          <w:b/>
          <w:color w:val="auto"/>
          <w:sz w:val="30"/>
          <w:szCs w:val="30"/>
        </w:rPr>
        <w:t>（格式自定）</w:t>
      </w:r>
    </w:p>
    <w:p>
      <w:pPr>
        <w:pStyle w:val="16"/>
        <w:adjustRightInd w:val="0"/>
        <w:snapToGrid w:val="0"/>
        <w:spacing w:before="0" w:beforeAutospacing="0" w:after="0" w:afterAutospacing="0"/>
        <w:rPr>
          <w:color w:val="auto"/>
          <w:u w:val="single"/>
        </w:rPr>
      </w:pPr>
      <w:r>
        <w:rPr>
          <w:rFonts w:hint="eastAsia"/>
          <w:color w:val="auto"/>
        </w:rPr>
        <w:t>项目名称：</w:t>
      </w:r>
      <w:r>
        <w:rPr>
          <w:color w:val="auto"/>
          <w:u w:val="single"/>
        </w:rPr>
        <w:t xml:space="preserve">                             </w:t>
      </w:r>
    </w:p>
    <w:p>
      <w:pPr>
        <w:pStyle w:val="16"/>
        <w:adjustRightInd w:val="0"/>
        <w:snapToGrid w:val="0"/>
        <w:spacing w:before="0" w:beforeAutospacing="0" w:after="0" w:afterAutospacing="0"/>
        <w:rPr>
          <w:color w:val="auto"/>
        </w:rPr>
      </w:pPr>
      <w:r>
        <w:rPr>
          <w:rFonts w:hint="eastAsia"/>
          <w:color w:val="auto"/>
        </w:rPr>
        <w:t>项目编号：</w:t>
      </w:r>
      <w:r>
        <w:rPr>
          <w:color w:val="auto"/>
          <w:u w:val="single"/>
        </w:rPr>
        <w:t xml:space="preserve">                             </w:t>
      </w: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rPr>
      </w:pPr>
    </w:p>
    <w:p>
      <w:pPr>
        <w:autoSpaceDE w:val="0"/>
        <w:autoSpaceDN w:val="0"/>
        <w:adjustRightInd w:val="0"/>
        <w:spacing w:line="360" w:lineRule="auto"/>
        <w:jc w:val="center"/>
        <w:rPr>
          <w:color w:val="auto"/>
          <w:sz w:val="28"/>
        </w:rPr>
      </w:pPr>
    </w:p>
    <w:p>
      <w:pPr>
        <w:autoSpaceDE w:val="0"/>
        <w:autoSpaceDN w:val="0"/>
        <w:adjustRightInd w:val="0"/>
        <w:spacing w:line="360" w:lineRule="auto"/>
        <w:rPr>
          <w:rFonts w:ascii="宋体" w:cs="楷体_GB2312"/>
          <w:color w:val="auto"/>
          <w:sz w:val="24"/>
          <w:lang w:val="zh-CN"/>
        </w:rPr>
      </w:pPr>
      <w:r>
        <w:rPr>
          <w:rFonts w:hint="eastAsia" w:ascii="宋体" w:hAnsi="宋体"/>
          <w:color w:val="auto"/>
          <w:sz w:val="24"/>
        </w:rPr>
        <w:t>投标人</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pPr>
        <w:autoSpaceDE w:val="0"/>
        <w:autoSpaceDN w:val="0"/>
        <w:adjustRightInd w:val="0"/>
        <w:spacing w:line="36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snapToGrid w:val="0"/>
        <w:spacing w:line="560" w:lineRule="exact"/>
        <w:jc w:val="left"/>
        <w:textAlignment w:val="top"/>
        <w:rPr>
          <w:color w:val="auto"/>
        </w:rPr>
      </w:pPr>
      <w:r>
        <w:rPr>
          <w:rFonts w:eastAsia="方正黑体简体"/>
          <w:b/>
          <w:color w:val="auto"/>
          <w:sz w:val="30"/>
          <w:szCs w:val="30"/>
        </w:rPr>
        <w:br w:type="page"/>
      </w:r>
    </w:p>
    <w:p>
      <w:pPr>
        <w:widowControl w:val="0"/>
        <w:snapToGrid w:val="0"/>
        <w:spacing w:line="560" w:lineRule="exact"/>
        <w:jc w:val="center"/>
        <w:rPr>
          <w:rFonts w:eastAsia="方正黑体简体"/>
          <w:b/>
          <w:color w:val="auto"/>
          <w:sz w:val="30"/>
          <w:szCs w:val="30"/>
        </w:rPr>
      </w:pPr>
      <w:r>
        <w:rPr>
          <w:rFonts w:hint="eastAsia" w:ascii="黑体" w:hAnsi="黑体" w:eastAsia="黑体"/>
          <w:b/>
          <w:color w:val="auto"/>
          <w:sz w:val="30"/>
          <w:szCs w:val="30"/>
        </w:rPr>
        <w:t>5、</w:t>
      </w:r>
      <w:r>
        <w:rPr>
          <w:rFonts w:hint="eastAsia" w:eastAsia="方正黑体简体"/>
          <w:b/>
          <w:color w:val="auto"/>
          <w:sz w:val="30"/>
          <w:szCs w:val="30"/>
        </w:rPr>
        <w:t>服务拟投入设备清单及其技术参数</w:t>
      </w:r>
    </w:p>
    <w:p>
      <w:pPr>
        <w:pStyle w:val="16"/>
        <w:adjustRightInd w:val="0"/>
        <w:snapToGrid w:val="0"/>
        <w:spacing w:before="0" w:beforeAutospacing="0" w:after="0" w:afterAutospacing="0"/>
        <w:rPr>
          <w:color w:val="auto"/>
        </w:rPr>
      </w:pPr>
      <w:r>
        <w:rPr>
          <w:rFonts w:hint="eastAsia"/>
          <w:color w:val="auto"/>
        </w:rPr>
        <w:t>项目名称：</w:t>
      </w:r>
    </w:p>
    <w:p>
      <w:pPr>
        <w:pStyle w:val="16"/>
        <w:adjustRightInd w:val="0"/>
        <w:snapToGrid w:val="0"/>
        <w:spacing w:before="0" w:beforeAutospacing="0" w:after="0" w:afterAutospacing="0"/>
        <w:rPr>
          <w:color w:val="auto"/>
        </w:rPr>
      </w:pPr>
      <w:r>
        <w:rPr>
          <w:rFonts w:hint="eastAsia"/>
          <w:color w:val="auto"/>
        </w:rPr>
        <w:t>项目编号：</w:t>
      </w:r>
    </w:p>
    <w:tbl>
      <w:tblPr>
        <w:tblStyle w:val="19"/>
        <w:tblW w:w="937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2759"/>
        <w:gridCol w:w="540"/>
        <w:gridCol w:w="540"/>
        <w:gridCol w:w="1755"/>
        <w:gridCol w:w="3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序号</w:t>
            </w:r>
          </w:p>
        </w:tc>
        <w:tc>
          <w:tcPr>
            <w:tcW w:w="2759"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color w:val="auto"/>
                <w:sz w:val="28"/>
              </w:rPr>
            </w:pPr>
            <w:r>
              <w:rPr>
                <w:rFonts w:hint="eastAsia"/>
                <w:color w:val="auto"/>
              </w:rPr>
              <w:t>设备名称</w:t>
            </w:r>
          </w:p>
        </w:tc>
        <w:tc>
          <w:tcPr>
            <w:tcW w:w="540"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单位</w:t>
            </w:r>
          </w:p>
        </w:tc>
        <w:tc>
          <w:tcPr>
            <w:tcW w:w="540"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数量</w:t>
            </w:r>
          </w:p>
        </w:tc>
        <w:tc>
          <w:tcPr>
            <w:tcW w:w="1755"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品牌型号</w:t>
            </w:r>
          </w:p>
        </w:tc>
        <w:tc>
          <w:tcPr>
            <w:tcW w:w="3297"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pPr>
              <w:spacing w:line="360" w:lineRule="exact"/>
              <w:jc w:val="center"/>
              <w:rPr>
                <w:color w:val="auto"/>
                <w:sz w:val="28"/>
              </w:rPr>
            </w:pPr>
            <w:r>
              <w:rPr>
                <w:color w:val="auto"/>
              </w:rPr>
              <w:t>1</w:t>
            </w:r>
          </w:p>
        </w:tc>
        <w:tc>
          <w:tcPr>
            <w:tcW w:w="2759" w:type="dxa"/>
            <w:tcBorders>
              <w:bottom w:val="single" w:color="000000" w:sz="4" w:space="0"/>
              <w:right w:val="single" w:color="000000" w:sz="4" w:space="0"/>
            </w:tcBorders>
            <w:vAlign w:val="center"/>
          </w:tcPr>
          <w:p>
            <w:pPr>
              <w:spacing w:line="360" w:lineRule="exact"/>
              <w:jc w:val="center"/>
              <w:rPr>
                <w:color w:val="auto"/>
                <w:sz w:val="28"/>
              </w:rPr>
            </w:pPr>
          </w:p>
        </w:tc>
        <w:tc>
          <w:tcPr>
            <w:tcW w:w="540" w:type="dxa"/>
            <w:tcBorders>
              <w:bottom w:val="single" w:color="000000" w:sz="4" w:space="0"/>
              <w:right w:val="single" w:color="000000" w:sz="4" w:space="0"/>
            </w:tcBorders>
            <w:vAlign w:val="center"/>
          </w:tcPr>
          <w:p>
            <w:pPr>
              <w:spacing w:line="360" w:lineRule="exact"/>
              <w:jc w:val="center"/>
              <w:rPr>
                <w:color w:val="auto"/>
                <w:sz w:val="28"/>
              </w:rPr>
            </w:pPr>
          </w:p>
        </w:tc>
        <w:tc>
          <w:tcPr>
            <w:tcW w:w="540" w:type="dxa"/>
            <w:tcBorders>
              <w:bottom w:val="single" w:color="000000" w:sz="4" w:space="0"/>
              <w:right w:val="single" w:color="000000" w:sz="4" w:space="0"/>
            </w:tcBorders>
            <w:vAlign w:val="center"/>
          </w:tcPr>
          <w:p>
            <w:pPr>
              <w:spacing w:line="360" w:lineRule="exact"/>
              <w:jc w:val="center"/>
              <w:rPr>
                <w:color w:val="auto"/>
                <w:sz w:val="28"/>
              </w:rPr>
            </w:pPr>
          </w:p>
        </w:tc>
        <w:tc>
          <w:tcPr>
            <w:tcW w:w="1755" w:type="dxa"/>
            <w:tcBorders>
              <w:bottom w:val="single" w:color="000000" w:sz="4" w:space="0"/>
              <w:right w:val="single" w:color="000000" w:sz="4" w:space="0"/>
            </w:tcBorders>
            <w:vAlign w:val="center"/>
          </w:tcPr>
          <w:p>
            <w:pPr>
              <w:spacing w:line="360" w:lineRule="exact"/>
              <w:jc w:val="center"/>
              <w:rPr>
                <w:color w:val="auto"/>
                <w:sz w:val="28"/>
              </w:rPr>
            </w:pPr>
          </w:p>
        </w:tc>
        <w:tc>
          <w:tcPr>
            <w:tcW w:w="3297" w:type="dxa"/>
            <w:tcBorders>
              <w:bottom w:val="single" w:color="000000" w:sz="4" w:space="0"/>
              <w:right w:val="single" w:color="000000" w:sz="4" w:space="0"/>
            </w:tcBorders>
            <w:vAlign w:val="center"/>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rPr>
            </w:pPr>
            <w:r>
              <w:rPr>
                <w:color w:val="auto"/>
              </w:rPr>
              <w:t>2</w:t>
            </w:r>
          </w:p>
        </w:tc>
        <w:tc>
          <w:tcPr>
            <w:tcW w:w="2759" w:type="dxa"/>
            <w:tcBorders>
              <w:bottom w:val="single" w:color="000000" w:sz="4" w:space="0"/>
              <w:right w:val="single" w:color="000000" w:sz="4" w:space="0"/>
            </w:tcBorders>
            <w:vAlign w:val="center"/>
          </w:tcPr>
          <w:p>
            <w:pPr>
              <w:spacing w:line="360" w:lineRule="exact"/>
              <w:jc w:val="center"/>
              <w:rPr>
                <w:color w:val="auto"/>
                <w:sz w:val="28"/>
              </w:rPr>
            </w:pPr>
          </w:p>
        </w:tc>
        <w:tc>
          <w:tcPr>
            <w:tcW w:w="540" w:type="dxa"/>
            <w:tcBorders>
              <w:bottom w:val="single" w:color="000000" w:sz="4" w:space="0"/>
              <w:right w:val="single" w:color="000000" w:sz="4" w:space="0"/>
            </w:tcBorders>
            <w:vAlign w:val="center"/>
          </w:tcPr>
          <w:p>
            <w:pPr>
              <w:spacing w:line="360" w:lineRule="exact"/>
              <w:jc w:val="center"/>
              <w:rPr>
                <w:color w:val="auto"/>
                <w:sz w:val="28"/>
              </w:rPr>
            </w:pPr>
          </w:p>
        </w:tc>
        <w:tc>
          <w:tcPr>
            <w:tcW w:w="540" w:type="dxa"/>
            <w:tcBorders>
              <w:bottom w:val="single" w:color="000000" w:sz="4" w:space="0"/>
              <w:right w:val="single" w:color="000000" w:sz="4" w:space="0"/>
            </w:tcBorders>
            <w:vAlign w:val="center"/>
          </w:tcPr>
          <w:p>
            <w:pPr>
              <w:spacing w:line="360" w:lineRule="exact"/>
              <w:jc w:val="center"/>
              <w:rPr>
                <w:color w:val="auto"/>
                <w:sz w:val="28"/>
              </w:rPr>
            </w:pPr>
          </w:p>
        </w:tc>
        <w:tc>
          <w:tcPr>
            <w:tcW w:w="1755" w:type="dxa"/>
            <w:tcBorders>
              <w:bottom w:val="single" w:color="000000" w:sz="4" w:space="0"/>
              <w:right w:val="single" w:color="000000" w:sz="4" w:space="0"/>
            </w:tcBorders>
            <w:vAlign w:val="center"/>
          </w:tcPr>
          <w:p>
            <w:pPr>
              <w:spacing w:line="360" w:lineRule="exact"/>
              <w:jc w:val="center"/>
              <w:rPr>
                <w:color w:val="auto"/>
                <w:sz w:val="28"/>
              </w:rPr>
            </w:pPr>
          </w:p>
        </w:tc>
        <w:tc>
          <w:tcPr>
            <w:tcW w:w="3297" w:type="dxa"/>
            <w:tcBorders>
              <w:bottom w:val="single" w:color="000000" w:sz="4" w:space="0"/>
              <w:right w:val="single" w:color="000000" w:sz="4" w:space="0"/>
            </w:tcBorders>
            <w:vAlign w:val="center"/>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pPr>
              <w:spacing w:line="360" w:lineRule="exact"/>
              <w:jc w:val="center"/>
              <w:rPr>
                <w:color w:val="auto"/>
                <w:sz w:val="28"/>
              </w:rPr>
            </w:pPr>
            <w:r>
              <w:rPr>
                <w:color w:val="auto"/>
              </w:rPr>
              <w:t>3</w:t>
            </w:r>
          </w:p>
        </w:tc>
        <w:tc>
          <w:tcPr>
            <w:tcW w:w="2759" w:type="dxa"/>
            <w:tcBorders>
              <w:right w:val="single" w:color="000000" w:sz="4" w:space="0"/>
            </w:tcBorders>
            <w:vAlign w:val="center"/>
          </w:tcPr>
          <w:p>
            <w:pPr>
              <w:spacing w:line="360" w:lineRule="exact"/>
              <w:jc w:val="center"/>
              <w:rPr>
                <w:color w:val="auto"/>
                <w:sz w:val="28"/>
              </w:rPr>
            </w:pPr>
          </w:p>
        </w:tc>
        <w:tc>
          <w:tcPr>
            <w:tcW w:w="540" w:type="dxa"/>
            <w:tcBorders>
              <w:right w:val="single" w:color="000000" w:sz="4" w:space="0"/>
            </w:tcBorders>
            <w:vAlign w:val="center"/>
          </w:tcPr>
          <w:p>
            <w:pPr>
              <w:spacing w:line="360" w:lineRule="exact"/>
              <w:jc w:val="center"/>
              <w:rPr>
                <w:color w:val="auto"/>
                <w:sz w:val="28"/>
              </w:rPr>
            </w:pPr>
          </w:p>
        </w:tc>
        <w:tc>
          <w:tcPr>
            <w:tcW w:w="540" w:type="dxa"/>
            <w:tcBorders>
              <w:right w:val="single" w:color="000000" w:sz="4" w:space="0"/>
            </w:tcBorders>
            <w:vAlign w:val="center"/>
          </w:tcPr>
          <w:p>
            <w:pPr>
              <w:spacing w:line="360" w:lineRule="exact"/>
              <w:jc w:val="center"/>
              <w:rPr>
                <w:color w:val="auto"/>
                <w:sz w:val="28"/>
              </w:rPr>
            </w:pPr>
          </w:p>
        </w:tc>
        <w:tc>
          <w:tcPr>
            <w:tcW w:w="1755" w:type="dxa"/>
            <w:tcBorders>
              <w:right w:val="single" w:color="000000" w:sz="4" w:space="0"/>
            </w:tcBorders>
            <w:vAlign w:val="center"/>
          </w:tcPr>
          <w:p>
            <w:pPr>
              <w:spacing w:line="360" w:lineRule="exact"/>
              <w:jc w:val="center"/>
              <w:rPr>
                <w:color w:val="auto"/>
                <w:sz w:val="28"/>
              </w:rPr>
            </w:pPr>
          </w:p>
        </w:tc>
        <w:tc>
          <w:tcPr>
            <w:tcW w:w="3297" w:type="dxa"/>
            <w:tcBorders>
              <w:right w:val="single" w:color="000000" w:sz="4" w:space="0"/>
            </w:tcBorders>
            <w:vAlign w:val="center"/>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pPr>
              <w:spacing w:line="360" w:lineRule="exact"/>
              <w:jc w:val="center"/>
              <w:rPr>
                <w:color w:val="auto"/>
              </w:rPr>
            </w:pPr>
            <w:r>
              <w:rPr>
                <w:rFonts w:hint="eastAsia"/>
                <w:color w:val="auto"/>
              </w:rPr>
              <w:t>……</w:t>
            </w:r>
          </w:p>
        </w:tc>
        <w:tc>
          <w:tcPr>
            <w:tcW w:w="2759" w:type="dxa"/>
            <w:tcBorders>
              <w:right w:val="single" w:color="000000" w:sz="4" w:space="0"/>
            </w:tcBorders>
            <w:vAlign w:val="center"/>
          </w:tcPr>
          <w:p>
            <w:pPr>
              <w:spacing w:line="360" w:lineRule="exact"/>
              <w:jc w:val="center"/>
              <w:rPr>
                <w:color w:val="auto"/>
                <w:sz w:val="28"/>
              </w:rPr>
            </w:pPr>
          </w:p>
        </w:tc>
        <w:tc>
          <w:tcPr>
            <w:tcW w:w="540" w:type="dxa"/>
            <w:tcBorders>
              <w:right w:val="single" w:color="000000" w:sz="4" w:space="0"/>
            </w:tcBorders>
            <w:vAlign w:val="center"/>
          </w:tcPr>
          <w:p>
            <w:pPr>
              <w:spacing w:line="360" w:lineRule="exact"/>
              <w:jc w:val="center"/>
              <w:rPr>
                <w:color w:val="auto"/>
                <w:sz w:val="28"/>
              </w:rPr>
            </w:pPr>
          </w:p>
        </w:tc>
        <w:tc>
          <w:tcPr>
            <w:tcW w:w="540" w:type="dxa"/>
            <w:tcBorders>
              <w:right w:val="single" w:color="000000" w:sz="4" w:space="0"/>
            </w:tcBorders>
            <w:vAlign w:val="center"/>
          </w:tcPr>
          <w:p>
            <w:pPr>
              <w:spacing w:line="360" w:lineRule="exact"/>
              <w:jc w:val="center"/>
              <w:rPr>
                <w:color w:val="auto"/>
                <w:sz w:val="28"/>
              </w:rPr>
            </w:pPr>
          </w:p>
        </w:tc>
        <w:tc>
          <w:tcPr>
            <w:tcW w:w="1755" w:type="dxa"/>
            <w:tcBorders>
              <w:right w:val="single" w:color="000000" w:sz="4" w:space="0"/>
            </w:tcBorders>
            <w:vAlign w:val="center"/>
          </w:tcPr>
          <w:p>
            <w:pPr>
              <w:spacing w:line="360" w:lineRule="exact"/>
              <w:jc w:val="center"/>
              <w:rPr>
                <w:color w:val="auto"/>
                <w:sz w:val="28"/>
              </w:rPr>
            </w:pPr>
          </w:p>
        </w:tc>
        <w:tc>
          <w:tcPr>
            <w:tcW w:w="3297" w:type="dxa"/>
            <w:tcBorders>
              <w:right w:val="single" w:color="000000" w:sz="4" w:space="0"/>
            </w:tcBorders>
            <w:vAlign w:val="center"/>
          </w:tcPr>
          <w:p>
            <w:pPr>
              <w:spacing w:line="360" w:lineRule="exact"/>
              <w:jc w:val="center"/>
              <w:rPr>
                <w:color w:val="auto"/>
                <w:sz w:val="28"/>
              </w:rPr>
            </w:pPr>
          </w:p>
        </w:tc>
      </w:tr>
    </w:tbl>
    <w:p>
      <w:pPr>
        <w:autoSpaceDE w:val="0"/>
        <w:autoSpaceDN w:val="0"/>
        <w:adjustRightInd w:val="0"/>
        <w:spacing w:line="240" w:lineRule="auto"/>
        <w:rPr>
          <w:color w:val="auto"/>
        </w:rPr>
      </w:pPr>
      <w:r>
        <w:rPr>
          <w:rFonts w:hint="eastAsia"/>
          <w:color w:val="auto"/>
        </w:rPr>
        <w:t>注：投标人应详细填写服务投入设备的具体技术参数。包括货物的品牌型号、规格等技术参数。</w:t>
      </w: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 xml:space="preserve">             </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jc w:val="center"/>
        <w:rPr>
          <w:rFonts w:eastAsia="方正黑体简体"/>
          <w:b/>
          <w:color w:val="auto"/>
          <w:sz w:val="30"/>
          <w:szCs w:val="30"/>
        </w:rPr>
      </w:pPr>
      <w:r>
        <w:rPr>
          <w:rFonts w:hint="eastAsia" w:ascii="黑体" w:hAnsi="黑体" w:eastAsia="黑体"/>
          <w:b/>
          <w:color w:val="auto"/>
          <w:sz w:val="30"/>
          <w:szCs w:val="30"/>
        </w:rPr>
        <w:t>6、</w:t>
      </w:r>
      <w:r>
        <w:rPr>
          <w:rFonts w:hint="eastAsia" w:eastAsia="方正黑体简体"/>
          <w:b/>
          <w:color w:val="auto"/>
          <w:sz w:val="30"/>
          <w:szCs w:val="30"/>
        </w:rPr>
        <w:t>服务拟投入的人员情况表</w:t>
      </w:r>
    </w:p>
    <w:p>
      <w:pPr>
        <w:autoSpaceDE w:val="0"/>
        <w:autoSpaceDN w:val="0"/>
        <w:adjustRightInd w:val="0"/>
        <w:spacing w:line="360" w:lineRule="auto"/>
        <w:jc w:val="center"/>
        <w:rPr>
          <w:rFonts w:eastAsia="方正黑体简体"/>
          <w:b/>
          <w:color w:val="auto"/>
          <w:sz w:val="30"/>
          <w:szCs w:val="30"/>
        </w:rPr>
      </w:pPr>
      <w:r>
        <w:rPr>
          <w:rFonts w:hint="eastAsia" w:eastAsia="方正黑体简体"/>
          <w:b/>
          <w:color w:val="auto"/>
          <w:sz w:val="30"/>
          <w:szCs w:val="30"/>
        </w:rPr>
        <w:t>（格式自定）</w:t>
      </w:r>
    </w:p>
    <w:p>
      <w:pPr>
        <w:pStyle w:val="16"/>
        <w:adjustRightInd w:val="0"/>
        <w:snapToGrid w:val="0"/>
        <w:spacing w:before="0" w:beforeAutospacing="0" w:after="0" w:afterAutospacing="0"/>
        <w:rPr>
          <w:color w:val="auto"/>
        </w:rPr>
      </w:pPr>
      <w:r>
        <w:rPr>
          <w:rFonts w:hint="eastAsia"/>
          <w:color w:val="auto"/>
        </w:rPr>
        <w:t>项目名称：</w:t>
      </w:r>
    </w:p>
    <w:p>
      <w:pPr>
        <w:pStyle w:val="16"/>
        <w:adjustRightInd w:val="0"/>
        <w:snapToGrid w:val="0"/>
        <w:spacing w:before="0" w:beforeAutospacing="0" w:after="0" w:afterAutospacing="0"/>
        <w:rPr>
          <w:color w:val="auto"/>
        </w:rPr>
      </w:pPr>
      <w:r>
        <w:rPr>
          <w:rFonts w:hint="eastAsia"/>
          <w:color w:val="auto"/>
        </w:rPr>
        <w:t>项目编号：</w:t>
      </w: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7、偏差表</w:t>
      </w:r>
    </w:p>
    <w:p>
      <w:pPr>
        <w:tabs>
          <w:tab w:val="left" w:pos="540"/>
        </w:tabs>
        <w:spacing w:line="440" w:lineRule="exact"/>
        <w:jc w:val="center"/>
        <w:rPr>
          <w:rFonts w:ascii="黑体" w:hAnsi="黑体" w:eastAsia="黑体"/>
          <w:b/>
          <w:color w:val="auto"/>
          <w:sz w:val="30"/>
          <w:szCs w:val="30"/>
        </w:rPr>
      </w:pPr>
    </w:p>
    <w:p>
      <w:pPr>
        <w:pStyle w:val="16"/>
        <w:adjustRightInd w:val="0"/>
        <w:snapToGrid w:val="0"/>
        <w:spacing w:before="0" w:beforeAutospacing="0" w:after="0" w:afterAutospacing="0"/>
        <w:rPr>
          <w:color w:val="auto"/>
        </w:rPr>
      </w:pPr>
      <w:r>
        <w:rPr>
          <w:rFonts w:hint="eastAsia"/>
          <w:color w:val="auto"/>
        </w:rPr>
        <w:t>项目名称：</w:t>
      </w:r>
    </w:p>
    <w:p>
      <w:pPr>
        <w:pStyle w:val="16"/>
        <w:adjustRightInd w:val="0"/>
        <w:snapToGrid w:val="0"/>
        <w:spacing w:before="0" w:beforeAutospacing="0" w:after="0" w:afterAutospacing="0"/>
        <w:rPr>
          <w:color w:val="auto"/>
        </w:rPr>
      </w:pPr>
      <w:r>
        <w:rPr>
          <w:rFonts w:hint="eastAsia"/>
          <w:color w:val="auto"/>
        </w:rPr>
        <w:t>项目编号：</w:t>
      </w:r>
    </w:p>
    <w:tbl>
      <w:tblPr>
        <w:tblStyle w:val="1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招标文件要求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pPr>
              <w:spacing w:line="560" w:lineRule="exact"/>
              <w:jc w:val="center"/>
              <w:rPr>
                <w:color w:val="auto"/>
                <w:sz w:val="28"/>
              </w:rPr>
            </w:pPr>
          </w:p>
        </w:tc>
        <w:tc>
          <w:tcPr>
            <w:tcW w:w="2947" w:type="dxa"/>
            <w:tcBorders>
              <w:bottom w:val="single" w:color="000000" w:sz="8" w:space="0"/>
              <w:right w:val="single" w:color="000000" w:sz="4" w:space="0"/>
            </w:tcBorders>
            <w:vAlign w:val="center"/>
          </w:tcPr>
          <w:p>
            <w:pPr>
              <w:spacing w:line="560" w:lineRule="exact"/>
              <w:jc w:val="center"/>
              <w:rPr>
                <w:color w:val="auto"/>
                <w:sz w:val="28"/>
              </w:rPr>
            </w:pPr>
          </w:p>
        </w:tc>
        <w:tc>
          <w:tcPr>
            <w:tcW w:w="2638" w:type="dxa"/>
            <w:tcBorders>
              <w:bottom w:val="single" w:color="000000" w:sz="8" w:space="0"/>
              <w:right w:val="single" w:color="000000" w:sz="8" w:space="0"/>
            </w:tcBorders>
            <w:vAlign w:val="center"/>
          </w:tcPr>
          <w:p>
            <w:pPr>
              <w:spacing w:line="560" w:lineRule="exact"/>
              <w:jc w:val="center"/>
              <w:rPr>
                <w:color w:val="auto"/>
                <w:sz w:val="28"/>
              </w:rPr>
            </w:pPr>
          </w:p>
        </w:tc>
      </w:tr>
    </w:tbl>
    <w:p>
      <w:pPr>
        <w:autoSpaceDE w:val="0"/>
        <w:autoSpaceDN w:val="0"/>
        <w:adjustRightInd w:val="0"/>
        <w:spacing w:line="360" w:lineRule="auto"/>
        <w:rPr>
          <w:rFonts w:ascii="宋体" w:cs="楷体_GB2312"/>
          <w:color w:val="auto"/>
          <w:sz w:val="24"/>
          <w:lang w:val="zh-CN"/>
        </w:rPr>
      </w:pPr>
    </w:p>
    <w:p>
      <w:pPr>
        <w:tabs>
          <w:tab w:val="left" w:pos="0"/>
        </w:tabs>
        <w:adjustRightInd w:val="0"/>
        <w:snapToGrid w:val="0"/>
        <w:spacing w:beforeLines="50" w:line="300" w:lineRule="auto"/>
        <w:ind w:right="25" w:firstLine="452" w:firstLineChars="200"/>
        <w:rPr>
          <w:rFonts w:asci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、“偏差表”应详细注明与《招标文件》中各项要求有何不同，并说明其符合性（优于、或低于《招标文件》要求）。</w:t>
      </w:r>
    </w:p>
    <w:p>
      <w:pPr>
        <w:autoSpaceDE w:val="0"/>
        <w:autoSpaceDN w:val="0"/>
        <w:adjustRightInd w:val="0"/>
        <w:spacing w:line="360" w:lineRule="auto"/>
        <w:ind w:left="1" w:firstLine="560"/>
        <w:rPr>
          <w:rFonts w:ascii="宋体" w:cs="楷体_GB2312"/>
          <w:color w:val="auto"/>
          <w:sz w:val="24"/>
          <w:lang w:val="zh-CN"/>
        </w:rPr>
      </w:pPr>
      <w:r>
        <w:rPr>
          <w:rFonts w:ascii="宋体" w:hAnsi="宋体"/>
          <w:color w:val="auto"/>
          <w:spacing w:val="8"/>
          <w:szCs w:val="21"/>
        </w:rPr>
        <w:t>2</w:t>
      </w:r>
      <w:r>
        <w:rPr>
          <w:rFonts w:hint="eastAsia" w:ascii="宋体" w:hAnsi="宋体"/>
          <w:color w:val="auto"/>
          <w:spacing w:val="8"/>
          <w:szCs w:val="21"/>
        </w:rPr>
        <w:t>、如投标条款与《招标文件》要求一致，仍需在本表填列“与《招标文件》所有条款要求一致，无偏差”字样。</w:t>
      </w:r>
      <w:r>
        <w:rPr>
          <w:rFonts w:ascii="宋体" w:hAnsi="宋体" w:cs="楷体_GB2312"/>
          <w:color w:val="auto"/>
          <w:sz w:val="24"/>
          <w:lang w:val="zh-CN"/>
        </w:rPr>
        <w:t xml:space="preserve">                 </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pageBreakBefore/>
        <w:tabs>
          <w:tab w:val="left" w:pos="65"/>
        </w:tabs>
        <w:spacing w:afterLines="50" w:line="560" w:lineRule="exact"/>
        <w:jc w:val="center"/>
        <w:rPr>
          <w:rFonts w:ascii="黑体" w:hAnsi="黑体" w:eastAsia="黑体"/>
          <w:b/>
          <w:color w:val="auto"/>
          <w:sz w:val="30"/>
          <w:szCs w:val="30"/>
        </w:rPr>
      </w:pPr>
      <w:r>
        <w:rPr>
          <w:rFonts w:hint="eastAsia" w:ascii="黑体" w:hAnsi="黑体" w:eastAsia="黑体"/>
          <w:b/>
          <w:color w:val="auto"/>
          <w:sz w:val="30"/>
          <w:szCs w:val="30"/>
        </w:rPr>
        <w:t>8、反商业贿赂承诺书</w:t>
      </w:r>
    </w:p>
    <w:p>
      <w:pPr>
        <w:tabs>
          <w:tab w:val="left" w:pos="65"/>
        </w:tabs>
        <w:spacing w:line="560" w:lineRule="exact"/>
        <w:jc w:val="center"/>
        <w:rPr>
          <w:rFonts w:ascii="宋体" w:hAnsi="宋体"/>
          <w:b/>
          <w:color w:val="auto"/>
          <w:sz w:val="24"/>
          <w:szCs w:val="24"/>
        </w:rPr>
      </w:pPr>
    </w:p>
    <w:p>
      <w:pPr>
        <w:tabs>
          <w:tab w:val="left" w:pos="65"/>
        </w:tabs>
        <w:spacing w:line="740" w:lineRule="exact"/>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招标活动中，我公司保证做到：</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一、公平竞争参加本次招标活动。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三、若出现上述行为，我单位愿意接受相关部门按照国家法律法规等有关规定给予的处理。</w:t>
      </w:r>
    </w:p>
    <w:p>
      <w:pPr>
        <w:tabs>
          <w:tab w:val="left" w:pos="65"/>
        </w:tabs>
        <w:spacing w:line="740" w:lineRule="exact"/>
        <w:rPr>
          <w:rFonts w:ascii="宋体" w:hAnsi="宋体"/>
          <w:color w:val="auto"/>
          <w:sz w:val="24"/>
          <w:szCs w:val="24"/>
        </w:rPr>
      </w:pPr>
    </w:p>
    <w:p>
      <w:pPr>
        <w:tabs>
          <w:tab w:val="left" w:pos="65"/>
        </w:tabs>
        <w:spacing w:line="740" w:lineRule="exact"/>
        <w:rPr>
          <w:rFonts w:ascii="宋体" w:hAnsi="宋体"/>
          <w:color w:val="auto"/>
          <w:sz w:val="24"/>
          <w:szCs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投标人（电子签章）：</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tabs>
          <w:tab w:val="left" w:pos="9365"/>
        </w:tabs>
        <w:spacing w:before="360" w:after="360" w:line="586" w:lineRule="atLeast"/>
        <w:ind w:right="85"/>
        <w:jc w:val="left"/>
        <w:textAlignment w:val="top"/>
        <w:rPr>
          <w:rFonts w:ascii="宋体" w:hAnsi="宋体"/>
          <w:color w:val="auto"/>
          <w:sz w:val="24"/>
          <w:szCs w:val="24"/>
        </w:rPr>
      </w:pPr>
    </w:p>
    <w:p>
      <w:pPr>
        <w:snapToGrid w:val="0"/>
        <w:spacing w:line="560" w:lineRule="exact"/>
        <w:rPr>
          <w:rFonts w:ascii="宋体"/>
          <w:color w:val="auto"/>
          <w:sz w:val="24"/>
        </w:rPr>
      </w:pPr>
      <w:r>
        <w:rPr>
          <w:rFonts w:ascii="宋体"/>
          <w:color w:val="auto"/>
          <w:sz w:val="24"/>
        </w:rPr>
        <w:br w:type="page"/>
      </w:r>
    </w:p>
    <w:p>
      <w:pPr>
        <w:tabs>
          <w:tab w:val="left" w:pos="540"/>
        </w:tabs>
        <w:spacing w:line="440" w:lineRule="exact"/>
        <w:jc w:val="center"/>
        <w:rPr>
          <w:color w:val="auto"/>
          <w:sz w:val="28"/>
        </w:rPr>
      </w:pPr>
      <w:r>
        <w:rPr>
          <w:rFonts w:hint="eastAsia" w:ascii="黑体" w:hAnsi="黑体" w:eastAsia="黑体"/>
          <w:b/>
          <w:color w:val="auto"/>
          <w:sz w:val="30"/>
          <w:szCs w:val="30"/>
        </w:rPr>
        <w:t>9、履约承诺书</w:t>
      </w:r>
    </w:p>
    <w:p>
      <w:pPr>
        <w:adjustRightInd w:val="0"/>
        <w:snapToGrid w:val="0"/>
        <w:spacing w:beforeLines="50" w:line="300" w:lineRule="auto"/>
        <w:ind w:right="56" w:firstLine="555"/>
        <w:rPr>
          <w:color w:val="auto"/>
          <w:sz w:val="24"/>
        </w:rPr>
      </w:pPr>
      <w:r>
        <w:rPr>
          <w:rFonts w:hint="eastAsia"/>
          <w:color w:val="auto"/>
          <w:sz w:val="24"/>
        </w:rPr>
        <w:t>一、我单位承诺：</w:t>
      </w:r>
    </w:p>
    <w:p>
      <w:pPr>
        <w:adjustRightInd w:val="0"/>
        <w:snapToGrid w:val="0"/>
        <w:spacing w:beforeLines="50" w:line="300" w:lineRule="auto"/>
        <w:ind w:firstLine="555"/>
        <w:rPr>
          <w:color w:val="auto"/>
          <w:sz w:val="24"/>
        </w:rPr>
      </w:pPr>
      <w:r>
        <w:rPr>
          <w:rFonts w:hint="eastAsia"/>
          <w:color w:val="auto"/>
          <w:sz w:val="24"/>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开标前已详细勘察现场，并按采购人现场条件及采购要求编制投标报价；我单位的投标报价括包括文件所述报价组成的所有内容、并包括招标文件未列明而与采购项目相关的、必须的所有款项及费用等达到交付使用及验收条件的所有一切风险、责任和义务的费用。</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我单位保证按招标文件要求及投标承诺的质量诚信履约。</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二、我单位承诺：</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招标文件技术、交付（实施）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rPr>
        <w:t>依据招标文件“第三章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w:t>
      </w:r>
      <w:r>
        <w:rPr>
          <w:rFonts w:hint="eastAsia" w:ascii="宋体" w:hAnsi="宋体" w:cs="楷体_GB2312"/>
          <w:color w:val="auto"/>
          <w:sz w:val="24"/>
          <w:szCs w:val="22"/>
        </w:rPr>
        <w:t>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Lines="50" w:line="300" w:lineRule="auto"/>
        <w:ind w:firstLine="480" w:firstLineChars="200"/>
        <w:rPr>
          <w:color w:val="auto"/>
          <w:sz w:val="24"/>
        </w:rPr>
      </w:pPr>
    </w:p>
    <w:p>
      <w:pPr>
        <w:tabs>
          <w:tab w:val="left" w:pos="9354"/>
        </w:tabs>
        <w:adjustRightInd w:val="0"/>
        <w:snapToGrid w:val="0"/>
        <w:spacing w:beforeLines="50" w:line="300" w:lineRule="auto"/>
        <w:ind w:firstLine="480" w:firstLineChars="200"/>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tabs>
          <w:tab w:val="left" w:pos="0"/>
        </w:tabs>
        <w:spacing w:line="500" w:lineRule="exact"/>
        <w:ind w:right="256"/>
        <w:jc w:val="right"/>
        <w:rPr>
          <w:rFonts w:ascii="宋体"/>
          <w:color w:val="auto"/>
          <w:spacing w:val="8"/>
          <w:sz w:val="24"/>
        </w:rPr>
      </w:pPr>
    </w:p>
    <w:p>
      <w:pPr>
        <w:autoSpaceDE w:val="0"/>
        <w:autoSpaceDN w:val="0"/>
        <w:adjustRightInd w:val="0"/>
        <w:spacing w:line="360" w:lineRule="auto"/>
        <w:jc w:val="left"/>
        <w:rPr>
          <w:rFonts w:eastAsia="方正黑体简体"/>
          <w:b/>
          <w:color w:val="auto"/>
          <w:sz w:val="30"/>
          <w:szCs w:val="30"/>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ascii="宋体"/>
          <w:color w:val="auto"/>
          <w:sz w:val="24"/>
          <w:szCs w:val="24"/>
        </w:rPr>
      </w:pPr>
      <w:r>
        <w:rPr>
          <w:rFonts w:eastAsia="方正黑体简体"/>
          <w:b/>
          <w:color w:val="auto"/>
          <w:sz w:val="30"/>
          <w:szCs w:val="30"/>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0</w:t>
      </w:r>
      <w:r>
        <w:rPr>
          <w:rFonts w:hint="eastAsia" w:ascii="黑体" w:hAnsi="黑体" w:eastAsia="黑体"/>
          <w:b/>
          <w:color w:val="auto"/>
          <w:sz w:val="30"/>
          <w:szCs w:val="30"/>
        </w:rPr>
        <w:t>、招标项目要求及采购需求所需的其他材料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widowControl w:val="0"/>
        <w:snapToGrid w:val="0"/>
        <w:spacing w:line="560" w:lineRule="exact"/>
        <w:ind w:firstLine="555"/>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1</w:t>
      </w:r>
      <w:r>
        <w:rPr>
          <w:rFonts w:hint="eastAsia" w:ascii="黑体" w:hAnsi="黑体" w:eastAsia="黑体"/>
          <w:b/>
          <w:color w:val="auto"/>
          <w:sz w:val="30"/>
          <w:szCs w:val="30"/>
        </w:rPr>
        <w:t>、投标人须知所需的其他材料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2</w:t>
      </w:r>
      <w:r>
        <w:rPr>
          <w:rFonts w:hint="eastAsia" w:ascii="黑体" w:hAnsi="黑体" w:eastAsia="黑体"/>
          <w:b/>
          <w:color w:val="auto"/>
          <w:sz w:val="30"/>
          <w:szCs w:val="30"/>
        </w:rPr>
        <w:t>、评标办法所需的其他材料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djustRightInd w:val="0"/>
        <w:snapToGrid w:val="0"/>
        <w:spacing w:line="300" w:lineRule="auto"/>
        <w:textAlignment w:val="top"/>
        <w:rPr>
          <w:rFonts w:ascii="宋体"/>
          <w:color w:val="auto"/>
          <w:sz w:val="24"/>
          <w:szCs w:val="24"/>
        </w:rPr>
      </w:pPr>
    </w:p>
    <w:p>
      <w:pPr>
        <w:autoSpaceDE w:val="0"/>
        <w:autoSpaceDN w:val="0"/>
        <w:adjustRightInd w:val="0"/>
        <w:spacing w:line="360" w:lineRule="auto"/>
        <w:rPr>
          <w:rFonts w:eastAsia="方正黑体简体"/>
          <w:b/>
          <w:color w:val="auto"/>
          <w:sz w:val="30"/>
          <w:szCs w:val="30"/>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3</w:t>
      </w:r>
      <w:r>
        <w:rPr>
          <w:rFonts w:hint="eastAsia" w:ascii="黑体" w:hAnsi="黑体" w:eastAsia="黑体"/>
          <w:b/>
          <w:color w:val="auto"/>
          <w:sz w:val="30"/>
          <w:szCs w:val="30"/>
        </w:rPr>
        <w:t>、投标人认为有必要提交的其它材料</w:t>
      </w:r>
    </w:p>
    <w:p>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hAnsi="宋体"/>
          <w:color w:val="auto"/>
          <w:sz w:val="24"/>
          <w:szCs w:val="24"/>
        </w:rPr>
      </w:pPr>
    </w:p>
    <w:p>
      <w:pPr>
        <w:spacing w:line="240" w:lineRule="auto"/>
        <w:textAlignment w:val="auto"/>
        <w:rPr>
          <w:rFonts w:ascii="宋体" w:hAnsi="宋体" w:cs="宋体"/>
          <w:b/>
          <w:color w:val="auto"/>
          <w:sz w:val="24"/>
        </w:rPr>
      </w:pPr>
    </w:p>
    <w:p>
      <w:pPr>
        <w:adjustRightInd w:val="0"/>
        <w:snapToGrid w:val="0"/>
        <w:spacing w:line="300" w:lineRule="auto"/>
        <w:textAlignment w:val="top"/>
        <w:rPr>
          <w:rFonts w:ascii="宋体" w:cs="楷体_GB2312"/>
          <w:b/>
          <w:color w:val="auto"/>
          <w:sz w:val="30"/>
          <w:szCs w:val="30"/>
        </w:rPr>
      </w:pPr>
      <w:r>
        <w:rPr>
          <w:rFonts w:ascii="宋体" w:hAnsi="宋体"/>
          <w:color w:val="auto"/>
          <w:sz w:val="24"/>
          <w:szCs w:val="24"/>
        </w:rPr>
        <w:br w:type="page"/>
      </w:r>
    </w:p>
    <w:p>
      <w:pPr>
        <w:spacing w:line="588" w:lineRule="exact"/>
        <w:rPr>
          <w:rFonts w:ascii="宋体" w:cs="楷体_GB2312"/>
          <w:b/>
          <w:color w:val="auto"/>
          <w:sz w:val="30"/>
          <w:szCs w:val="30"/>
        </w:rPr>
      </w:pPr>
    </w:p>
    <w:p>
      <w:pPr>
        <w:spacing w:beforeLines="300" w:afterLines="100" w:line="360" w:lineRule="auto"/>
        <w:ind w:firstLine="2223" w:firstLineChars="396"/>
        <w:rPr>
          <w:rFonts w:ascii="宋体" w:hAnsi="宋体"/>
          <w:b/>
          <w:bCs/>
          <w:color w:val="auto"/>
          <w:spacing w:val="100"/>
          <w:sz w:val="36"/>
          <w:szCs w:val="36"/>
        </w:rPr>
      </w:pPr>
      <w:r>
        <w:rPr>
          <w:rFonts w:hint="eastAsia" w:ascii="宋体" w:hAnsi="宋体"/>
          <w:b/>
          <w:bCs/>
          <w:color w:val="auto"/>
          <w:spacing w:val="100"/>
          <w:sz w:val="36"/>
          <w:szCs w:val="36"/>
          <w:u w:val="single"/>
        </w:rPr>
        <w:t xml:space="preserve">        </w:t>
      </w:r>
      <w:r>
        <w:rPr>
          <w:rFonts w:hint="eastAsia" w:ascii="宋体" w:hAnsi="宋体"/>
          <w:b/>
          <w:bCs/>
          <w:color w:val="auto"/>
          <w:spacing w:val="100"/>
          <w:sz w:val="36"/>
          <w:szCs w:val="36"/>
        </w:rPr>
        <w:t>项目</w:t>
      </w:r>
    </w:p>
    <w:p>
      <w:pPr>
        <w:spacing w:line="360" w:lineRule="auto"/>
        <w:ind w:left="4350" w:leftChars="1500" w:hanging="1200" w:hangingChars="166"/>
        <w:rPr>
          <w:rFonts w:ascii="黑体" w:hAnsi="黑体" w:eastAsia="黑体"/>
          <w:b/>
          <w:color w:val="auto"/>
          <w:sz w:val="72"/>
          <w:szCs w:val="72"/>
        </w:rPr>
      </w:pPr>
    </w:p>
    <w:p>
      <w:pPr>
        <w:spacing w:afterLines="200" w:line="360" w:lineRule="auto"/>
        <w:ind w:left="4558" w:leftChars="299" w:hanging="3930" w:hangingChars="466"/>
        <w:jc w:val="center"/>
        <w:rPr>
          <w:rFonts w:ascii="黑体" w:hAnsi="黑体" w:eastAsia="黑体"/>
          <w:b/>
          <w:color w:val="auto"/>
          <w:sz w:val="84"/>
          <w:szCs w:val="84"/>
        </w:rPr>
      </w:pPr>
    </w:p>
    <w:p>
      <w:pPr>
        <w:spacing w:afterLines="200" w:line="360" w:lineRule="auto"/>
        <w:ind w:left="5678" w:leftChars="299" w:hanging="5050" w:hangingChars="466"/>
        <w:jc w:val="center"/>
        <w:rPr>
          <w:rFonts w:ascii="黑体" w:hAnsi="黑体" w:eastAsia="黑体"/>
          <w:b/>
          <w:color w:val="auto"/>
          <w:spacing w:val="60"/>
          <w:sz w:val="96"/>
          <w:szCs w:val="96"/>
        </w:rPr>
      </w:pPr>
      <w:r>
        <w:rPr>
          <w:rFonts w:hint="eastAsia" w:ascii="黑体" w:hAnsi="黑体" w:eastAsia="黑体"/>
          <w:b/>
          <w:color w:val="auto"/>
          <w:spacing w:val="60"/>
          <w:sz w:val="96"/>
          <w:szCs w:val="96"/>
        </w:rPr>
        <w:t>资格性证明文件</w:t>
      </w:r>
    </w:p>
    <w:p>
      <w:pPr>
        <w:spacing w:beforeLines="50" w:afterLines="50" w:line="360" w:lineRule="auto"/>
        <w:ind w:firstLine="1751" w:firstLineChars="545"/>
        <w:rPr>
          <w:rFonts w:ascii="宋体" w:hAnsi="宋体"/>
          <w:b/>
          <w:color w:val="auto"/>
          <w:sz w:val="32"/>
          <w:szCs w:val="32"/>
        </w:rPr>
      </w:pPr>
      <w:r>
        <w:rPr>
          <w:rFonts w:hint="eastAsia" w:ascii="宋体" w:hAnsi="宋体"/>
          <w:b/>
          <w:color w:val="auto"/>
          <w:sz w:val="32"/>
          <w:szCs w:val="32"/>
        </w:rPr>
        <w:t xml:space="preserve">项目编号： </w:t>
      </w:r>
      <w:r>
        <w:rPr>
          <w:rFonts w:hint="eastAsia" w:ascii="宋体" w:hAnsi="宋体"/>
          <w:b/>
          <w:color w:val="auto"/>
          <w:sz w:val="32"/>
          <w:szCs w:val="32"/>
          <w:u w:val="single"/>
        </w:rPr>
        <w:t xml:space="preserve">                     </w:t>
      </w: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pStyle w:val="54"/>
        <w:spacing w:beforeLines="150" w:afterLines="150" w:line="360" w:lineRule="auto"/>
        <w:jc w:val="both"/>
        <w:rPr>
          <w:rFonts w:hAnsi="宋体"/>
          <w:color w:val="auto"/>
          <w:sz w:val="28"/>
          <w:szCs w:val="28"/>
        </w:rPr>
      </w:pPr>
      <w:r>
        <w:rPr>
          <w:rFonts w:hint="eastAsia" w:hAnsi="宋体"/>
          <w:color w:val="auto"/>
          <w:sz w:val="28"/>
          <w:szCs w:val="28"/>
        </w:rPr>
        <w:t>投标人：</w:t>
      </w:r>
      <w:r>
        <w:rPr>
          <w:rFonts w:hint="eastAsia" w:hAnsi="宋体"/>
          <w:color w:val="auto"/>
          <w:sz w:val="28"/>
          <w:szCs w:val="28"/>
          <w:u w:val="single"/>
        </w:rPr>
        <w:t xml:space="preserve">                                    </w:t>
      </w:r>
      <w:r>
        <w:rPr>
          <w:rFonts w:hint="eastAsia" w:hAnsi="宋体"/>
          <w:color w:val="auto"/>
          <w:sz w:val="28"/>
          <w:szCs w:val="28"/>
        </w:rPr>
        <w:t>（加盖电子签章）</w:t>
      </w:r>
    </w:p>
    <w:p>
      <w:pPr>
        <w:pStyle w:val="54"/>
        <w:spacing w:beforeLines="150" w:afterLines="150" w:line="360" w:lineRule="auto"/>
        <w:jc w:val="both"/>
        <w:rPr>
          <w:rFonts w:hAnsi="宋体"/>
          <w:color w:val="auto"/>
          <w:sz w:val="28"/>
          <w:szCs w:val="28"/>
          <w:u w:val="single"/>
        </w:rPr>
      </w:pPr>
      <w:r>
        <w:rPr>
          <w:rFonts w:hint="eastAsia" w:hAnsi="宋体"/>
          <w:color w:val="auto"/>
          <w:sz w:val="28"/>
          <w:szCs w:val="28"/>
        </w:rPr>
        <w:t>法定代表人：</w:t>
      </w:r>
      <w:r>
        <w:rPr>
          <w:rFonts w:hAnsi="宋体"/>
          <w:color w:val="auto"/>
          <w:sz w:val="28"/>
          <w:szCs w:val="28"/>
          <w:u w:val="single"/>
        </w:rPr>
        <w:t xml:space="preserve">                       </w:t>
      </w:r>
      <w:r>
        <w:rPr>
          <w:rFonts w:hint="eastAsia" w:hAnsi="宋体"/>
          <w:color w:val="auto"/>
          <w:sz w:val="28"/>
          <w:szCs w:val="28"/>
          <w:u w:val="single"/>
        </w:rPr>
        <w:t xml:space="preserve">      </w:t>
      </w:r>
      <w:r>
        <w:rPr>
          <w:rFonts w:hAnsi="宋体"/>
          <w:color w:val="auto"/>
          <w:sz w:val="28"/>
          <w:szCs w:val="28"/>
          <w:u w:val="single"/>
        </w:rPr>
        <w:t xml:space="preserve">   </w:t>
      </w:r>
      <w:r>
        <w:rPr>
          <w:rFonts w:hint="eastAsia" w:hAnsi="宋体"/>
          <w:color w:val="auto"/>
          <w:sz w:val="28"/>
          <w:szCs w:val="28"/>
        </w:rPr>
        <w:t>（加盖电子签名或签章）</w:t>
      </w:r>
    </w:p>
    <w:p>
      <w:pPr>
        <w:spacing w:beforeLines="150" w:afterLines="150" w:line="586" w:lineRule="atLeast"/>
        <w:rPr>
          <w:rFonts w:ascii="宋体" w:hAnsi="宋体"/>
          <w:color w:val="auto"/>
          <w:sz w:val="28"/>
          <w:szCs w:val="28"/>
        </w:rPr>
      </w:pPr>
      <w:r>
        <w:rPr>
          <w:rFonts w:hint="eastAsia" w:ascii="宋体" w:hAnsi="宋体"/>
          <w:color w:val="auto"/>
          <w:sz w:val="28"/>
          <w:szCs w:val="28"/>
        </w:rPr>
        <w:t>投标日期：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351" w:lineRule="atLeast"/>
        <w:ind w:left="419"/>
        <w:jc w:val="center"/>
        <w:rPr>
          <w:rFonts w:ascii="黑体" w:eastAsia="黑体"/>
          <w:b/>
          <w:color w:val="auto"/>
          <w:spacing w:val="60"/>
          <w:sz w:val="36"/>
          <w:szCs w:val="36"/>
        </w:rPr>
      </w:pPr>
      <w:r>
        <w:rPr>
          <w:rFonts w:ascii="黑体" w:eastAsia="黑体"/>
          <w:b/>
          <w:color w:val="auto"/>
          <w:spacing w:val="60"/>
          <w:sz w:val="36"/>
          <w:szCs w:val="36"/>
        </w:rPr>
        <w:br w:type="page"/>
      </w:r>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目录</w:t>
      </w:r>
    </w:p>
    <w:p>
      <w:pPr>
        <w:spacing w:line="351" w:lineRule="atLeast"/>
        <w:ind w:left="419"/>
        <w:jc w:val="center"/>
        <w:rPr>
          <w:rFonts w:ascii="黑体" w:eastAsia="黑体"/>
          <w:b/>
          <w:color w:val="auto"/>
          <w:spacing w:val="60"/>
          <w:sz w:val="36"/>
          <w:szCs w:val="36"/>
        </w:rPr>
      </w:pPr>
    </w:p>
    <w:p>
      <w:pPr>
        <w:snapToGrid w:val="0"/>
        <w:spacing w:line="560" w:lineRule="atLeast"/>
        <w:textAlignment w:val="top"/>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、关于资格的声明函</w:t>
      </w:r>
    </w:p>
    <w:p>
      <w:pPr>
        <w:snapToGrid w:val="0"/>
        <w:spacing w:line="560" w:lineRule="atLeast"/>
        <w:textAlignment w:val="top"/>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15</w:t>
      </w:r>
      <w:r>
        <w:rPr>
          <w:rFonts w:hint="eastAsia" w:asciiTheme="minorEastAsia" w:hAnsiTheme="minorEastAsia" w:eastAsiaTheme="minorEastAsia"/>
          <w:color w:val="auto"/>
          <w:sz w:val="24"/>
          <w:szCs w:val="24"/>
        </w:rPr>
        <w:t>、《招</w:t>
      </w:r>
      <w:r>
        <w:rPr>
          <w:rFonts w:asciiTheme="minorEastAsia" w:hAnsiTheme="minorEastAsia" w:eastAsiaTheme="minorEastAsia"/>
          <w:color w:val="auto"/>
          <w:sz w:val="24"/>
          <w:szCs w:val="24"/>
        </w:rPr>
        <w:t>标文件》</w:t>
      </w:r>
      <w:r>
        <w:rPr>
          <w:rFonts w:hint="eastAsia" w:asciiTheme="minorEastAsia" w:hAnsiTheme="minorEastAsia" w:eastAsiaTheme="minorEastAsia"/>
          <w:color w:val="auto"/>
          <w:sz w:val="24"/>
          <w:szCs w:val="24"/>
        </w:rPr>
        <w:t>第</w:t>
      </w:r>
      <w:r>
        <w:rPr>
          <w:rFonts w:asciiTheme="minorEastAsia" w:hAnsiTheme="minorEastAsia" w:eastAsiaTheme="minorEastAsia"/>
          <w:color w:val="auto"/>
          <w:sz w:val="24"/>
          <w:szCs w:val="24"/>
        </w:rPr>
        <w:t>一章</w:t>
      </w:r>
      <w:r>
        <w:rPr>
          <w:rFonts w:hint="eastAsia" w:asciiTheme="minorEastAsia" w:hAnsiTheme="minorEastAsia" w:eastAsiaTheme="minorEastAsia"/>
          <w:color w:val="auto"/>
          <w:sz w:val="24"/>
          <w:szCs w:val="24"/>
        </w:rPr>
        <w:t>“招</w:t>
      </w:r>
      <w:r>
        <w:rPr>
          <w:rFonts w:asciiTheme="minorEastAsia" w:hAnsiTheme="minorEastAsia" w:eastAsiaTheme="minorEastAsia"/>
          <w:color w:val="auto"/>
          <w:sz w:val="24"/>
          <w:szCs w:val="24"/>
        </w:rPr>
        <w:t>标公</w:t>
      </w:r>
      <w:r>
        <w:rPr>
          <w:rFonts w:hint="eastAsia" w:asciiTheme="minorEastAsia" w:hAnsiTheme="minorEastAsia" w:eastAsiaTheme="minorEastAsia"/>
          <w:color w:val="auto"/>
          <w:sz w:val="24"/>
          <w:szCs w:val="24"/>
        </w:rPr>
        <w:t>告”</w:t>
      </w:r>
      <w:r>
        <w:rPr>
          <w:rFonts w:asciiTheme="minorEastAsia" w:hAnsiTheme="minorEastAsia" w:eastAsiaTheme="minorEastAsia"/>
          <w:color w:val="auto"/>
          <w:sz w:val="24"/>
          <w:szCs w:val="24"/>
        </w:rPr>
        <w:t>第二条所要求的</w:t>
      </w:r>
      <w:r>
        <w:rPr>
          <w:rFonts w:hint="eastAsia" w:asciiTheme="minorEastAsia" w:hAnsiTheme="minorEastAsia" w:eastAsiaTheme="minorEastAsia"/>
          <w:color w:val="auto"/>
          <w:sz w:val="24"/>
          <w:szCs w:val="24"/>
        </w:rPr>
        <w:t>资格性证明文件</w:t>
      </w:r>
    </w:p>
    <w:p>
      <w:pPr>
        <w:snapToGrid w:val="0"/>
        <w:spacing w:line="560" w:lineRule="atLeast"/>
        <w:textAlignment w:val="top"/>
        <w:rPr>
          <w:rFonts w:asciiTheme="minorEastAsia" w:hAnsiTheme="minorEastAsia" w:eastAsiaTheme="minorEastAsia"/>
          <w:color w:val="auto"/>
          <w:sz w:val="24"/>
          <w:szCs w:val="24"/>
        </w:rPr>
      </w:pPr>
    </w:p>
    <w:p>
      <w:pPr>
        <w:snapToGrid w:val="0"/>
        <w:spacing w:line="560" w:lineRule="atLeast"/>
        <w:ind w:firstLine="708" w:firstLineChars="295"/>
        <w:textAlignment w:val="top"/>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15-1、</w:t>
      </w:r>
      <w:r>
        <w:rPr>
          <w:rFonts w:hint="eastAsia" w:ascii="宋体" w:hAnsi="宋体"/>
          <w:color w:val="auto"/>
          <w:sz w:val="24"/>
          <w:szCs w:val="24"/>
        </w:rPr>
        <w:t>专门面向中小企业采购</w:t>
      </w:r>
      <w:r>
        <w:rPr>
          <w:rFonts w:hint="eastAsia" w:asciiTheme="minorEastAsia" w:hAnsiTheme="minorEastAsia" w:eastAsiaTheme="minorEastAsia"/>
          <w:color w:val="auto"/>
          <w:sz w:val="24"/>
          <w:szCs w:val="24"/>
        </w:rPr>
        <w:t>的证明文件—《中小企业声明函》；</w:t>
      </w:r>
    </w:p>
    <w:p>
      <w:pPr>
        <w:snapToGrid w:val="0"/>
        <w:spacing w:line="560" w:lineRule="atLeast"/>
        <w:ind w:firstLine="708" w:firstLineChars="295"/>
        <w:textAlignment w:val="top"/>
        <w:rPr>
          <w:rFonts w:ascii="宋体" w:hAnsi="宋体"/>
          <w:color w:val="auto"/>
          <w:sz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-2、</w:t>
      </w:r>
      <w:r>
        <w:rPr>
          <w:rFonts w:hint="eastAsia" w:ascii="宋体" w:hAnsi="宋体"/>
          <w:color w:val="auto"/>
          <w:sz w:val="24"/>
        </w:rPr>
        <w:t>《政府采购法》第二十二条第一款规定的供应商基础性资格的</w:t>
      </w:r>
    </w:p>
    <w:p>
      <w:pPr>
        <w:snapToGrid w:val="0"/>
        <w:spacing w:line="560" w:lineRule="atLeast"/>
        <w:ind w:firstLine="708" w:firstLineChars="295"/>
        <w:textAlignment w:val="top"/>
        <w:rPr>
          <w:rFonts w:ascii="宋体" w:hAnsi="宋体"/>
          <w:color w:val="auto"/>
          <w:sz w:val="24"/>
        </w:rPr>
      </w:pPr>
      <w:r>
        <w:rPr>
          <w:rFonts w:hint="eastAsia" w:ascii="宋体" w:hAnsi="宋体"/>
          <w:color w:val="auto"/>
          <w:sz w:val="24"/>
        </w:rPr>
        <w:t>承诺函</w:t>
      </w:r>
    </w:p>
    <w:p>
      <w:pPr>
        <w:snapToGrid w:val="0"/>
        <w:spacing w:line="560" w:lineRule="atLeast"/>
        <w:ind w:firstLine="708" w:firstLineChars="295"/>
        <w:textAlignment w:val="top"/>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-3、供应商负责人控股、设计等相关承诺书</w:t>
      </w:r>
    </w:p>
    <w:p>
      <w:pPr>
        <w:snapToGrid w:val="0"/>
        <w:spacing w:line="560" w:lineRule="atLeast"/>
        <w:ind w:firstLine="708" w:firstLineChars="295"/>
        <w:textAlignment w:val="top"/>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-4、投标承诺函(替代投标保证金)</w:t>
      </w:r>
    </w:p>
    <w:p>
      <w:pPr>
        <w:snapToGrid w:val="0"/>
        <w:spacing w:line="560" w:lineRule="atLeast"/>
        <w:ind w:firstLine="708" w:firstLineChars="295"/>
        <w:textAlignment w:val="top"/>
        <w:rPr>
          <w:rFonts w:asciiTheme="minorEastAsia" w:hAnsiTheme="minorEastAsia" w:eastAsiaTheme="minorEastAsia"/>
          <w:color w:val="auto"/>
          <w:sz w:val="24"/>
          <w:szCs w:val="24"/>
        </w:rPr>
      </w:pPr>
      <w:r>
        <w:rPr>
          <w:rFonts w:hint="eastAsia" w:ascii="宋体" w:hAnsi="宋体"/>
          <w:color w:val="auto"/>
          <w:sz w:val="24"/>
          <w:szCs w:val="24"/>
        </w:rPr>
        <w:t>1</w:t>
      </w:r>
      <w:r>
        <w:rPr>
          <w:rFonts w:ascii="宋体" w:hAnsi="宋体"/>
          <w:color w:val="auto"/>
          <w:sz w:val="24"/>
          <w:szCs w:val="24"/>
        </w:rPr>
        <w:t>5</w:t>
      </w:r>
      <w:r>
        <w:rPr>
          <w:rFonts w:hint="eastAsia" w:ascii="宋体" w:hAnsi="宋体"/>
          <w:color w:val="auto"/>
          <w:sz w:val="24"/>
          <w:szCs w:val="24"/>
        </w:rPr>
        <w:t>-5、</w:t>
      </w:r>
      <w:r>
        <w:rPr>
          <w:rFonts w:hint="eastAsia" w:asciiTheme="minorEastAsia" w:hAnsiTheme="minorEastAsia" w:eastAsiaTheme="minorEastAsia"/>
          <w:color w:val="auto"/>
          <w:sz w:val="24"/>
          <w:szCs w:val="24"/>
        </w:rPr>
        <w:t>其他资格证明材料</w:t>
      </w:r>
    </w:p>
    <w:p>
      <w:pPr>
        <w:snapToGrid w:val="0"/>
        <w:spacing w:line="560" w:lineRule="atLeast"/>
        <w:ind w:firstLine="708" w:firstLineChars="295"/>
        <w:textAlignment w:val="top"/>
        <w:rPr>
          <w:rFonts w:asciiTheme="minorEastAsia" w:hAnsiTheme="minorEastAsia" w:eastAsiaTheme="minorEastAsia"/>
          <w:color w:val="auto"/>
          <w:sz w:val="24"/>
          <w:szCs w:val="24"/>
        </w:rPr>
      </w:pPr>
    </w:p>
    <w:p>
      <w:pPr>
        <w:tabs>
          <w:tab w:val="left" w:pos="540"/>
        </w:tabs>
        <w:spacing w:line="440" w:lineRule="exact"/>
        <w:jc w:val="center"/>
        <w:rPr>
          <w:rFonts w:ascii="仿宋_GB2312" w:eastAsia="仿宋_GB2312"/>
          <w:color w:val="auto"/>
          <w:sz w:val="32"/>
          <w:szCs w:val="32"/>
        </w:rPr>
      </w:pPr>
      <w:r>
        <w:rPr>
          <w:rFonts w:ascii="仿宋_GB2312" w:eastAsia="仿宋_GB2312"/>
          <w:color w:val="auto"/>
          <w:sz w:val="32"/>
          <w:szCs w:val="32"/>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4</w:t>
      </w:r>
      <w:r>
        <w:rPr>
          <w:rFonts w:hint="eastAsia" w:ascii="黑体" w:hAnsi="黑体" w:eastAsia="黑体"/>
          <w:b/>
          <w:color w:val="auto"/>
          <w:sz w:val="30"/>
          <w:szCs w:val="30"/>
        </w:rPr>
        <w:t>、关于资格的声明函</w:t>
      </w:r>
    </w:p>
    <w:p>
      <w:pPr>
        <w:snapToGrid w:val="0"/>
        <w:spacing w:line="560" w:lineRule="exact"/>
        <w:ind w:firstLine="839"/>
        <w:rPr>
          <w:color w:val="auto"/>
        </w:rPr>
      </w:pPr>
    </w:p>
    <w:p>
      <w:pPr>
        <w:snapToGrid w:val="0"/>
        <w:spacing w:line="560" w:lineRule="exact"/>
        <w:rPr>
          <w:rFonts w:ascii="宋体"/>
          <w:color w:val="auto"/>
          <w:sz w:val="24"/>
        </w:rPr>
      </w:pPr>
      <w:r>
        <w:rPr>
          <w:rFonts w:hint="eastAsia" w:ascii="宋体" w:hAnsi="宋体"/>
          <w:color w:val="auto"/>
          <w:sz w:val="24"/>
        </w:rPr>
        <w:t>安阳市方正招标采购服务有限责任公司：</w:t>
      </w:r>
    </w:p>
    <w:p>
      <w:pPr>
        <w:snapToGrid w:val="0"/>
        <w:spacing w:line="560" w:lineRule="exact"/>
        <w:ind w:firstLine="555"/>
        <w:rPr>
          <w:rFonts w:ascii="宋体"/>
          <w:color w:val="auto"/>
          <w:sz w:val="24"/>
        </w:rPr>
      </w:pPr>
      <w:r>
        <w:rPr>
          <w:rFonts w:hint="eastAsia" w:ascii="宋体" w:hAnsi="宋体"/>
          <w:color w:val="auto"/>
          <w:sz w:val="24"/>
        </w:rPr>
        <w:t>关于贵方项目编号为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的招标</w:t>
      </w:r>
      <w:r>
        <w:rPr>
          <w:rFonts w:ascii="宋体" w:hAnsi="宋体"/>
          <w:color w:val="auto"/>
          <w:sz w:val="24"/>
        </w:rPr>
        <w:t>公告</w:t>
      </w:r>
      <w:r>
        <w:rPr>
          <w:rFonts w:hint="eastAsia" w:ascii="宋体" w:hAnsi="宋体"/>
          <w:color w:val="auto"/>
          <w:sz w:val="24"/>
        </w:rPr>
        <w:t>，本签字人愿意参加投标，提供招标文件中规定的产品及服务，并声明提交下列文件是准确的、真实的和有效的。</w:t>
      </w:r>
    </w:p>
    <w:p>
      <w:pPr>
        <w:numPr>
          <w:ilvl w:val="0"/>
          <w:numId w:val="3"/>
        </w:numPr>
        <w:snapToGrid w:val="0"/>
        <w:spacing w:line="560" w:lineRule="exact"/>
        <w:ind w:firstLine="555"/>
        <w:rPr>
          <w:rFonts w:ascii="宋体" w:hAnsi="宋体"/>
          <w:color w:val="auto"/>
          <w:sz w:val="24"/>
        </w:rPr>
      </w:pPr>
      <w:r>
        <w:rPr>
          <w:rFonts w:hint="eastAsia" w:ascii="宋体" w:hAnsi="宋体"/>
          <w:color w:val="auto"/>
          <w:sz w:val="24"/>
        </w:rPr>
        <w:t>《招标文件》第一章“招标公告”第二条所要求的资格性证明文件（证件或证明资料或承诺）</w:t>
      </w:r>
    </w:p>
    <w:p>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pPr>
        <w:snapToGrid w:val="0"/>
        <w:spacing w:line="560" w:lineRule="exact"/>
        <w:ind w:firstLine="555"/>
        <w:rPr>
          <w:rFonts w:ascii="宋体"/>
          <w:color w:val="auto"/>
          <w:sz w:val="24"/>
        </w:rPr>
      </w:pPr>
    </w:p>
    <w:p>
      <w:pPr>
        <w:snapToGrid w:val="0"/>
        <w:spacing w:line="560" w:lineRule="exact"/>
        <w:ind w:firstLine="555"/>
        <w:rPr>
          <w:rFonts w:ascii="宋体"/>
          <w:color w:val="auto"/>
          <w:sz w:val="24"/>
        </w:rPr>
      </w:pPr>
    </w:p>
    <w:p>
      <w:pPr>
        <w:snapToGrid w:val="0"/>
        <w:spacing w:line="560" w:lineRule="exact"/>
        <w:ind w:firstLine="555"/>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rFonts w:ascii="宋体" w:hAnsi="宋体"/>
          <w:color w:val="auto"/>
          <w:sz w:val="24"/>
        </w:rPr>
      </w:pPr>
      <w:r>
        <w:rPr>
          <w:rFonts w:hint="eastAsia"/>
          <w:color w:val="auto"/>
          <w:sz w:val="24"/>
          <w:szCs w:val="24"/>
        </w:rPr>
        <w:t>法定代表人（电子签名或签章）：</w:t>
      </w:r>
      <w:r>
        <w:rPr>
          <w:rFonts w:ascii="宋体" w:hAnsi="宋体"/>
          <w:color w:val="auto"/>
          <w:sz w:val="24"/>
        </w:rPr>
        <w:t xml:space="preserve"> </w:t>
      </w:r>
    </w:p>
    <w:p>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r>
        <w:rPr>
          <w:rFonts w:ascii="宋体" w:hAnsi="宋体" w:cs="楷体_GB2312"/>
          <w:color w:val="auto"/>
          <w:sz w:val="24"/>
          <w:lang w:val="zh-CN"/>
        </w:rPr>
        <w:br w:type="page"/>
      </w:r>
    </w:p>
    <w:p>
      <w:pPr>
        <w:widowControl w:val="0"/>
        <w:tabs>
          <w:tab w:val="left" w:pos="9365"/>
        </w:tabs>
        <w:snapToGrid w:val="0"/>
        <w:spacing w:after="56" w:line="560" w:lineRule="exact"/>
        <w:ind w:right="85"/>
        <w:jc w:val="left"/>
        <w:textAlignment w:val="top"/>
        <w:rPr>
          <w:rFonts w:ascii="黑体" w:hAnsi="黑体" w:eastAsia="黑体"/>
          <w:b/>
          <w:color w:val="auto"/>
          <w:sz w:val="30"/>
          <w:szCs w:val="30"/>
        </w:rPr>
      </w:pPr>
      <w:r>
        <w:rPr>
          <w:rFonts w:ascii="黑体" w:hAnsi="黑体" w:eastAsia="黑体"/>
          <w:b/>
          <w:color w:val="auto"/>
          <w:sz w:val="30"/>
          <w:szCs w:val="30"/>
        </w:rPr>
        <w:t>15</w:t>
      </w:r>
      <w:r>
        <w:rPr>
          <w:rFonts w:hint="eastAsia" w:ascii="黑体" w:hAnsi="黑体" w:eastAsia="黑体"/>
          <w:b/>
          <w:color w:val="auto"/>
          <w:sz w:val="30"/>
          <w:szCs w:val="30"/>
        </w:rPr>
        <w:t>、《招</w:t>
      </w:r>
      <w:r>
        <w:rPr>
          <w:rFonts w:ascii="黑体" w:hAnsi="黑体" w:eastAsia="黑体"/>
          <w:b/>
          <w:color w:val="auto"/>
          <w:sz w:val="30"/>
          <w:szCs w:val="30"/>
        </w:rPr>
        <w:t>标文件》</w:t>
      </w:r>
      <w:r>
        <w:rPr>
          <w:rFonts w:hint="eastAsia" w:ascii="黑体" w:hAnsi="黑体" w:eastAsia="黑体"/>
          <w:b/>
          <w:color w:val="auto"/>
          <w:sz w:val="30"/>
          <w:szCs w:val="30"/>
        </w:rPr>
        <w:t>第</w:t>
      </w:r>
      <w:r>
        <w:rPr>
          <w:rFonts w:ascii="黑体" w:hAnsi="黑体" w:eastAsia="黑体"/>
          <w:b/>
          <w:color w:val="auto"/>
          <w:sz w:val="30"/>
          <w:szCs w:val="30"/>
        </w:rPr>
        <w:t>一章</w:t>
      </w:r>
      <w:r>
        <w:rPr>
          <w:rFonts w:hint="eastAsia" w:ascii="黑体" w:hAnsi="黑体" w:eastAsia="黑体"/>
          <w:b/>
          <w:color w:val="auto"/>
          <w:sz w:val="30"/>
          <w:szCs w:val="30"/>
        </w:rPr>
        <w:t>“招</w:t>
      </w:r>
      <w:r>
        <w:rPr>
          <w:rFonts w:ascii="黑体" w:hAnsi="黑体" w:eastAsia="黑体"/>
          <w:b/>
          <w:color w:val="auto"/>
          <w:sz w:val="30"/>
          <w:szCs w:val="30"/>
        </w:rPr>
        <w:t>标公</w:t>
      </w:r>
      <w:r>
        <w:rPr>
          <w:rFonts w:hint="eastAsia" w:ascii="黑体" w:hAnsi="黑体" w:eastAsia="黑体"/>
          <w:b/>
          <w:color w:val="auto"/>
          <w:sz w:val="30"/>
          <w:szCs w:val="30"/>
        </w:rPr>
        <w:t>告”</w:t>
      </w:r>
      <w:r>
        <w:rPr>
          <w:rFonts w:ascii="黑体" w:hAnsi="黑体" w:eastAsia="黑体"/>
          <w:b/>
          <w:color w:val="auto"/>
          <w:sz w:val="30"/>
          <w:szCs w:val="30"/>
        </w:rPr>
        <w:t>第二条所要求的</w:t>
      </w:r>
      <w:r>
        <w:rPr>
          <w:rFonts w:hint="eastAsia" w:ascii="黑体" w:hAnsi="黑体" w:eastAsia="黑体"/>
          <w:b/>
          <w:color w:val="auto"/>
          <w:sz w:val="30"/>
          <w:szCs w:val="30"/>
        </w:rPr>
        <w:t>资格性证明文件</w:t>
      </w:r>
    </w:p>
    <w:p>
      <w:pPr>
        <w:spacing w:line="588" w:lineRule="exact"/>
        <w:jc w:val="center"/>
        <w:rPr>
          <w:rFonts w:ascii="黑体" w:hAnsi="黑体" w:eastAsia="黑体"/>
          <w:b/>
          <w:color w:val="auto"/>
          <w:sz w:val="30"/>
          <w:szCs w:val="30"/>
        </w:rPr>
      </w:pPr>
      <w:r>
        <w:rPr>
          <w:rFonts w:hint="eastAsia" w:ascii="黑体" w:hAnsi="黑体" w:eastAsia="黑体"/>
          <w:b/>
          <w:color w:val="auto"/>
          <w:sz w:val="30"/>
          <w:szCs w:val="30"/>
        </w:rPr>
        <w:t>15-1专门面向中小企业采购的证明文件</w:t>
      </w:r>
    </w:p>
    <w:p>
      <w:pPr>
        <w:spacing w:line="588" w:lineRule="exact"/>
        <w:jc w:val="center"/>
        <w:rPr>
          <w:rFonts w:ascii="黑体" w:hAnsi="黑体" w:eastAsia="黑体"/>
          <w:b/>
          <w:color w:val="auto"/>
          <w:sz w:val="30"/>
          <w:szCs w:val="30"/>
        </w:rPr>
      </w:pPr>
    </w:p>
    <w:p>
      <w:pPr>
        <w:spacing w:line="588" w:lineRule="exact"/>
        <w:jc w:val="center"/>
        <w:rPr>
          <w:rFonts w:ascii="黑体" w:hAnsi="黑体" w:eastAsia="黑体"/>
          <w:b/>
          <w:color w:val="auto"/>
          <w:sz w:val="30"/>
          <w:szCs w:val="30"/>
        </w:rPr>
      </w:pPr>
      <w:r>
        <w:rPr>
          <w:rFonts w:ascii="黑体" w:hAnsi="黑体" w:eastAsia="黑体"/>
          <w:b/>
          <w:color w:val="auto"/>
          <w:sz w:val="30"/>
          <w:szCs w:val="30"/>
        </w:rPr>
        <w:t>中小企业声明函</w:t>
      </w:r>
      <w:r>
        <w:rPr>
          <w:rFonts w:hint="eastAsia" w:ascii="黑体" w:hAnsi="黑体" w:eastAsia="黑体"/>
          <w:b/>
          <w:color w:val="auto"/>
          <w:sz w:val="30"/>
          <w:szCs w:val="30"/>
        </w:rPr>
        <w:t xml:space="preserve">  </w:t>
      </w:r>
    </w:p>
    <w:p>
      <w:pPr>
        <w:pStyle w:val="69"/>
        <w:shd w:val="clear" w:color="auto" w:fill="auto"/>
        <w:spacing w:after="0" w:line="518" w:lineRule="exact"/>
        <w:ind w:firstLine="680"/>
        <w:jc w:val="both"/>
        <w:rPr>
          <w:rFonts w:ascii="宋体" w:hAnsi="宋体" w:eastAsia="宋体"/>
          <w:sz w:val="24"/>
          <w:szCs w:val="24"/>
        </w:rPr>
      </w:pPr>
      <w:r>
        <w:rPr>
          <w:rFonts w:ascii="宋体" w:hAnsi="宋体" w:eastAsia="宋体"/>
          <w:sz w:val="24"/>
          <w:szCs w:val="24"/>
        </w:rPr>
        <w:t>本公司（联合体）郑重声明，根据《政府采购促进中小企业发展管理办法》（财库〔2020〕46号）的规定，本公司 (联合体</w:t>
      </w:r>
      <w:r>
        <w:rPr>
          <w:rFonts w:ascii="宋体" w:hAnsi="宋体" w:eastAsia="宋体"/>
          <w:i/>
          <w:sz w:val="24"/>
          <w:szCs w:val="24"/>
        </w:rPr>
        <w:t>）</w:t>
      </w:r>
      <w:r>
        <w:rPr>
          <w:rStyle w:val="70"/>
          <w:rFonts w:asciiTheme="minorEastAsia" w:hAnsiTheme="minorEastAsia" w:eastAsiaTheme="minorEastAsia"/>
          <w:i w:val="0"/>
          <w:color w:val="auto"/>
          <w:sz w:val="24"/>
          <w:szCs w:val="24"/>
        </w:rPr>
        <w:t>参加</w:t>
      </w:r>
      <w:r>
        <w:rPr>
          <w:rStyle w:val="70"/>
          <w:rFonts w:asciiTheme="minorEastAsia" w:hAnsiTheme="minorEastAsia" w:eastAsiaTheme="minorEastAsia"/>
          <w:i w:val="0"/>
          <w:color w:val="auto"/>
          <w:sz w:val="24"/>
          <w:szCs w:val="24"/>
          <w:u w:val="single"/>
        </w:rPr>
        <w:t>（单位名称）</w:t>
      </w:r>
      <w:r>
        <w:rPr>
          <w:rStyle w:val="70"/>
          <w:rFonts w:asciiTheme="minorEastAsia" w:hAnsiTheme="minorEastAsia" w:eastAsiaTheme="minorEastAsia"/>
          <w:i w:val="0"/>
          <w:color w:val="auto"/>
          <w:sz w:val="24"/>
          <w:szCs w:val="24"/>
        </w:rPr>
        <w:t>的</w:t>
      </w:r>
      <w:r>
        <w:rPr>
          <w:rStyle w:val="70"/>
          <w:rFonts w:asciiTheme="minorEastAsia" w:hAnsiTheme="minorEastAsia" w:eastAsiaTheme="minorEastAsia"/>
          <w:i w:val="0"/>
          <w:color w:val="auto"/>
          <w:sz w:val="24"/>
          <w:szCs w:val="24"/>
          <w:u w:val="single"/>
        </w:rPr>
        <w:t>（项目名称）</w:t>
      </w:r>
      <w:r>
        <w:rPr>
          <w:rStyle w:val="70"/>
          <w:rFonts w:asciiTheme="minorEastAsia" w:hAnsiTheme="minorEastAsia" w:eastAsiaTheme="minorEastAsia"/>
          <w:i w:val="0"/>
          <w:color w:val="auto"/>
          <w:sz w:val="24"/>
          <w:szCs w:val="24"/>
        </w:rPr>
        <w:t>采购活动</w:t>
      </w:r>
      <w:r>
        <w:rPr>
          <w:rStyle w:val="70"/>
          <w:rFonts w:hAnsi="宋体"/>
          <w:color w:val="auto"/>
          <w:sz w:val="24"/>
          <w:szCs w:val="24"/>
        </w:rPr>
        <w:t>，</w:t>
      </w:r>
      <w:r>
        <w:rPr>
          <w:rFonts w:hint="eastAsia" w:ascii="宋体" w:hAnsi="宋体" w:eastAsia="宋体"/>
          <w:sz w:val="24"/>
          <w:szCs w:val="24"/>
        </w:rPr>
        <w:t>服务</w:t>
      </w:r>
      <w:r>
        <w:rPr>
          <w:rFonts w:ascii="宋体" w:hAnsi="宋体" w:eastAsia="宋体"/>
          <w:sz w:val="24"/>
          <w:szCs w:val="24"/>
        </w:rPr>
        <w:t>全部</w:t>
      </w:r>
      <w:r>
        <w:rPr>
          <w:rFonts w:hint="eastAsia" w:ascii="宋体" w:hAnsi="宋体" w:eastAsia="宋体"/>
          <w:sz w:val="24"/>
          <w:szCs w:val="24"/>
        </w:rPr>
        <w:t>由</w:t>
      </w:r>
      <w:r>
        <w:rPr>
          <w:rFonts w:ascii="宋体" w:hAnsi="宋体" w:eastAsia="宋体"/>
          <w:sz w:val="24"/>
          <w:szCs w:val="24"/>
        </w:rPr>
        <w:t>符合政策要求的中小企业</w:t>
      </w:r>
      <w:r>
        <w:rPr>
          <w:rFonts w:hint="eastAsia" w:ascii="宋体" w:hAnsi="宋体" w:eastAsia="宋体"/>
          <w:sz w:val="24"/>
          <w:szCs w:val="24"/>
        </w:rPr>
        <w:t>承接</w:t>
      </w:r>
      <w:r>
        <w:rPr>
          <w:rFonts w:ascii="宋体" w:hAnsi="宋体" w:eastAsia="宋体"/>
          <w:sz w:val="24"/>
          <w:szCs w:val="24"/>
        </w:rPr>
        <w:t>。相关企业</w:t>
      </w:r>
      <w:r>
        <w:rPr>
          <w:rFonts w:ascii="宋体" w:hAnsi="宋体" w:eastAsia="宋体"/>
          <w:sz w:val="24"/>
          <w:szCs w:val="24"/>
          <w:lang w:bidi="en-US"/>
        </w:rPr>
        <w:t>（</w:t>
      </w:r>
      <w:r>
        <w:rPr>
          <w:rFonts w:ascii="宋体" w:hAnsi="宋体" w:eastAsia="宋体"/>
          <w:sz w:val="24"/>
          <w:szCs w:val="24"/>
        </w:rPr>
        <w:t>含联合体中的中小企业、签订分包意向协议的中小企业）的具体情况如下：</w:t>
      </w:r>
    </w:p>
    <w:p>
      <w:pPr>
        <w:spacing w:line="588" w:lineRule="exact"/>
        <w:ind w:firstLine="480" w:firstLineChars="200"/>
        <w:rPr>
          <w:rFonts w:ascii="宋体" w:hAnsi="宋体"/>
          <w:color w:val="auto"/>
          <w:sz w:val="24"/>
          <w:szCs w:val="24"/>
        </w:rPr>
      </w:pPr>
      <w:r>
        <w:rPr>
          <w:rFonts w:hint="eastAsia" w:ascii="宋体" w:hAnsi="宋体"/>
          <w:color w:val="auto"/>
          <w:sz w:val="24"/>
          <w:szCs w:val="24"/>
        </w:rPr>
        <w:t>1.</w:t>
      </w:r>
      <w:r>
        <w:rPr>
          <w:rFonts w:ascii="宋体" w:hAnsi="宋体"/>
          <w:iCs/>
          <w:color w:val="auto"/>
          <w:sz w:val="24"/>
          <w:szCs w:val="24"/>
          <w:u w:val="single"/>
        </w:rPr>
        <w:t>(标的名称)</w:t>
      </w:r>
      <w:r>
        <w:rPr>
          <w:rFonts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（采购文件中明确的所属行业)</w:t>
      </w:r>
      <w:r>
        <w:rPr>
          <w:rFonts w:hint="eastAsia" w:ascii="宋体" w:hAnsi="宋体"/>
          <w:iCs/>
          <w:color w:val="auto"/>
          <w:sz w:val="24"/>
          <w:szCs w:val="24"/>
        </w:rPr>
        <w:t>，</w:t>
      </w:r>
      <w:r>
        <w:rPr>
          <w:rFonts w:ascii="宋体" w:hAnsi="宋体"/>
          <w:color w:val="auto"/>
          <w:sz w:val="24"/>
          <w:szCs w:val="24"/>
        </w:rPr>
        <w:t>承</w:t>
      </w:r>
      <w:r>
        <w:rPr>
          <w:rFonts w:hint="eastAsia" w:ascii="宋体" w:hAnsi="宋体"/>
          <w:color w:val="auto"/>
          <w:sz w:val="24"/>
          <w:szCs w:val="24"/>
        </w:rPr>
        <w:t>接</w:t>
      </w:r>
      <w:r>
        <w:rPr>
          <w:rFonts w:ascii="宋体" w:hAnsi="宋体"/>
          <w:iCs/>
          <w:color w:val="auto"/>
          <w:sz w:val="24"/>
          <w:szCs w:val="24"/>
        </w:rPr>
        <w:t>企业为</w:t>
      </w:r>
      <w:r>
        <w:rPr>
          <w:rFonts w:ascii="宋体" w:hAnsi="宋体"/>
          <w:color w:val="auto"/>
          <w:sz w:val="24"/>
          <w:szCs w:val="24"/>
          <w:u w:val="single"/>
        </w:rPr>
        <w:t>（企业名称)</w:t>
      </w:r>
      <w:r>
        <w:rPr>
          <w:rFonts w:ascii="宋体" w:hAnsi="宋体"/>
          <w:color w:val="auto"/>
          <w:sz w:val="24"/>
          <w:szCs w:val="24"/>
        </w:rPr>
        <w:t>，从业人员</w:t>
      </w:r>
      <w:r>
        <w:rPr>
          <w:rFonts w:hint="eastAsia" w:ascii="宋体" w:hAnsi="宋体"/>
          <w:color w:val="auto"/>
          <w:sz w:val="24"/>
          <w:szCs w:val="24"/>
          <w:u w:val="single"/>
        </w:rPr>
        <w:t xml:space="preserve">    </w:t>
      </w:r>
      <w:r>
        <w:rPr>
          <w:rFonts w:ascii="宋体" w:hAnsi="宋体"/>
          <w:color w:val="auto"/>
          <w:sz w:val="24"/>
          <w:szCs w:val="24"/>
        </w:rPr>
        <w:t>人，营业收</w:t>
      </w:r>
      <w:r>
        <w:rPr>
          <w:rFonts w:ascii="宋体" w:hAnsi="宋体"/>
          <w:iCs/>
          <w:color w:val="auto"/>
          <w:sz w:val="24"/>
          <w:szCs w:val="24"/>
        </w:rPr>
        <w:t>入为</w:t>
      </w:r>
      <w:r>
        <w:rPr>
          <w:rFonts w:ascii="宋体" w:hAnsi="宋体"/>
          <w:iCs/>
          <w:color w:val="auto"/>
          <w:sz w:val="24"/>
          <w:szCs w:val="24"/>
          <w:u w:val="single"/>
        </w:rPr>
        <w:t>_</w:t>
      </w:r>
      <w:r>
        <w:rPr>
          <w:rFonts w:hint="eastAsia" w:ascii="宋体" w:hAnsi="宋体"/>
          <w:iCs/>
          <w:color w:val="auto"/>
          <w:sz w:val="24"/>
          <w:szCs w:val="24"/>
          <w:u w:val="single"/>
        </w:rPr>
        <w:t xml:space="preserve">    </w:t>
      </w:r>
      <w:r>
        <w:rPr>
          <w:rFonts w:ascii="宋体" w:hAnsi="宋体"/>
          <w:iCs/>
          <w:color w:val="auto"/>
          <w:sz w:val="24"/>
          <w:szCs w:val="24"/>
        </w:rPr>
        <w:t>万元，资产总额为</w:t>
      </w:r>
      <w:r>
        <w:rPr>
          <w:rFonts w:hint="eastAsia" w:ascii="宋体" w:hAnsi="宋体"/>
          <w:iCs/>
          <w:color w:val="auto"/>
          <w:sz w:val="24"/>
          <w:szCs w:val="24"/>
          <w:u w:val="single"/>
        </w:rPr>
        <w:t xml:space="preserve">    </w:t>
      </w:r>
      <w:r>
        <w:rPr>
          <w:rFonts w:ascii="宋体" w:hAnsi="宋体"/>
          <w:iCs/>
          <w:color w:val="auto"/>
          <w:sz w:val="24"/>
          <w:szCs w:val="24"/>
          <w:u w:val="single"/>
        </w:rPr>
        <w:t>_</w:t>
      </w:r>
      <w:r>
        <w:rPr>
          <w:rFonts w:ascii="宋体" w:hAnsi="宋体"/>
          <w:iCs/>
          <w:color w:val="auto"/>
          <w:sz w:val="24"/>
          <w:szCs w:val="24"/>
        </w:rPr>
        <w:t>万元</w:t>
      </w:r>
      <w:r>
        <w:rPr>
          <w:rFonts w:hint="eastAsia" w:ascii="宋体" w:hAnsi="宋体"/>
          <w:iCs/>
          <w:color w:val="auto"/>
          <w:sz w:val="24"/>
          <w:szCs w:val="24"/>
          <w:vertAlign w:val="superscript"/>
        </w:rPr>
        <w:t>1</w:t>
      </w:r>
      <w:r>
        <w:rPr>
          <w:rFonts w:hint="eastAsia"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（中型企业、小型企业、微型企业）</w:t>
      </w:r>
      <w:r>
        <w:rPr>
          <w:rFonts w:hint="eastAsia" w:ascii="宋体" w:hAnsi="宋体"/>
          <w:color w:val="auto"/>
          <w:sz w:val="24"/>
          <w:szCs w:val="24"/>
        </w:rPr>
        <w:t>；</w:t>
      </w:r>
    </w:p>
    <w:p>
      <w:pPr>
        <w:spacing w:line="588" w:lineRule="exact"/>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iCs/>
          <w:color w:val="auto"/>
          <w:sz w:val="24"/>
          <w:szCs w:val="24"/>
          <w:u w:val="single"/>
        </w:rPr>
        <w:t>(标的名称)</w:t>
      </w:r>
      <w:r>
        <w:rPr>
          <w:rFonts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（采购文件中明确的所属行业)</w:t>
      </w:r>
      <w:r>
        <w:rPr>
          <w:rFonts w:hint="eastAsia" w:ascii="宋体" w:hAnsi="宋体"/>
          <w:iCs/>
          <w:color w:val="auto"/>
          <w:sz w:val="24"/>
          <w:szCs w:val="24"/>
        </w:rPr>
        <w:t>，</w:t>
      </w:r>
      <w:r>
        <w:rPr>
          <w:rFonts w:ascii="宋体" w:hAnsi="宋体"/>
          <w:color w:val="auto"/>
          <w:sz w:val="24"/>
          <w:szCs w:val="24"/>
        </w:rPr>
        <w:t>承</w:t>
      </w:r>
      <w:r>
        <w:rPr>
          <w:rFonts w:hint="eastAsia" w:ascii="宋体" w:hAnsi="宋体"/>
          <w:color w:val="auto"/>
          <w:sz w:val="24"/>
          <w:szCs w:val="24"/>
        </w:rPr>
        <w:t>接</w:t>
      </w:r>
      <w:r>
        <w:rPr>
          <w:rFonts w:ascii="宋体" w:hAnsi="宋体"/>
          <w:iCs/>
          <w:color w:val="auto"/>
          <w:sz w:val="24"/>
          <w:szCs w:val="24"/>
        </w:rPr>
        <w:t>企业为</w:t>
      </w:r>
      <w:r>
        <w:rPr>
          <w:rFonts w:ascii="宋体" w:hAnsi="宋体"/>
          <w:color w:val="auto"/>
          <w:sz w:val="24"/>
          <w:szCs w:val="24"/>
          <w:u w:val="single"/>
        </w:rPr>
        <w:t>（企业名称)</w:t>
      </w:r>
      <w:r>
        <w:rPr>
          <w:rFonts w:ascii="宋体" w:hAnsi="宋体"/>
          <w:color w:val="auto"/>
          <w:sz w:val="24"/>
          <w:szCs w:val="24"/>
        </w:rPr>
        <w:t>，从业人员</w:t>
      </w:r>
      <w:r>
        <w:rPr>
          <w:rFonts w:hint="eastAsia" w:ascii="宋体" w:hAnsi="宋体"/>
          <w:color w:val="auto"/>
          <w:sz w:val="24"/>
          <w:szCs w:val="24"/>
          <w:u w:val="single"/>
        </w:rPr>
        <w:t xml:space="preserve">    </w:t>
      </w:r>
      <w:r>
        <w:rPr>
          <w:rFonts w:ascii="宋体" w:hAnsi="宋体"/>
          <w:color w:val="auto"/>
          <w:sz w:val="24"/>
          <w:szCs w:val="24"/>
        </w:rPr>
        <w:t>人，营业收</w:t>
      </w:r>
      <w:r>
        <w:rPr>
          <w:rFonts w:ascii="宋体" w:hAnsi="宋体"/>
          <w:iCs/>
          <w:color w:val="auto"/>
          <w:sz w:val="24"/>
          <w:szCs w:val="24"/>
        </w:rPr>
        <w:t>入为</w:t>
      </w:r>
      <w:r>
        <w:rPr>
          <w:rFonts w:ascii="宋体" w:hAnsi="宋体"/>
          <w:iCs/>
          <w:color w:val="auto"/>
          <w:sz w:val="24"/>
          <w:szCs w:val="24"/>
          <w:u w:val="single"/>
        </w:rPr>
        <w:t>_</w:t>
      </w:r>
      <w:r>
        <w:rPr>
          <w:rFonts w:hint="eastAsia" w:ascii="宋体" w:hAnsi="宋体"/>
          <w:iCs/>
          <w:color w:val="auto"/>
          <w:sz w:val="24"/>
          <w:szCs w:val="24"/>
          <w:u w:val="single"/>
        </w:rPr>
        <w:t xml:space="preserve">    </w:t>
      </w:r>
      <w:r>
        <w:rPr>
          <w:rFonts w:ascii="宋体" w:hAnsi="宋体"/>
          <w:iCs/>
          <w:color w:val="auto"/>
          <w:sz w:val="24"/>
          <w:szCs w:val="24"/>
        </w:rPr>
        <w:t>万元，资产总额为</w:t>
      </w:r>
      <w:r>
        <w:rPr>
          <w:rFonts w:hint="eastAsia" w:ascii="宋体" w:hAnsi="宋体"/>
          <w:iCs/>
          <w:color w:val="auto"/>
          <w:sz w:val="24"/>
          <w:szCs w:val="24"/>
          <w:u w:val="single"/>
        </w:rPr>
        <w:t xml:space="preserve">    </w:t>
      </w:r>
      <w:r>
        <w:rPr>
          <w:rFonts w:ascii="宋体" w:hAnsi="宋体"/>
          <w:iCs/>
          <w:color w:val="auto"/>
          <w:sz w:val="24"/>
          <w:szCs w:val="24"/>
          <w:u w:val="single"/>
        </w:rPr>
        <w:t>_</w:t>
      </w:r>
      <w:r>
        <w:rPr>
          <w:rFonts w:ascii="宋体" w:hAnsi="宋体"/>
          <w:iCs/>
          <w:color w:val="auto"/>
          <w:sz w:val="24"/>
          <w:szCs w:val="24"/>
        </w:rPr>
        <w:t>万元</w:t>
      </w:r>
      <w:r>
        <w:rPr>
          <w:rFonts w:hint="eastAsia"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（中型企业、小型企业、微型企业）</w:t>
      </w:r>
      <w:r>
        <w:rPr>
          <w:rFonts w:hint="eastAsia" w:ascii="宋体" w:hAnsi="宋体"/>
          <w:color w:val="auto"/>
          <w:sz w:val="24"/>
          <w:szCs w:val="24"/>
        </w:rPr>
        <w:t>；</w:t>
      </w:r>
    </w:p>
    <w:p>
      <w:pPr>
        <w:pStyle w:val="69"/>
        <w:shd w:val="clear" w:color="auto" w:fill="auto"/>
        <w:spacing w:after="0" w:line="518" w:lineRule="exact"/>
        <w:ind w:firstLine="680"/>
        <w:jc w:val="both"/>
        <w:rPr>
          <w:rFonts w:ascii="宋体" w:hAnsi="宋体" w:eastAsia="宋体"/>
          <w:sz w:val="24"/>
          <w:szCs w:val="24"/>
        </w:rPr>
      </w:pPr>
      <w:r>
        <w:rPr>
          <w:rFonts w:hint="eastAsia" w:ascii="宋体" w:hAnsi="宋体" w:eastAsia="宋体"/>
          <w:sz w:val="24"/>
          <w:szCs w:val="24"/>
        </w:rPr>
        <w:t>……</w:t>
      </w:r>
    </w:p>
    <w:p>
      <w:pPr>
        <w:pStyle w:val="69"/>
        <w:shd w:val="clear" w:color="auto" w:fill="auto"/>
        <w:spacing w:after="0" w:line="518" w:lineRule="exact"/>
        <w:ind w:firstLine="680"/>
        <w:jc w:val="both"/>
        <w:rPr>
          <w:rFonts w:ascii="宋体" w:hAnsi="宋体" w:eastAsia="宋体"/>
          <w:sz w:val="24"/>
          <w:szCs w:val="24"/>
        </w:rPr>
      </w:pPr>
      <w:r>
        <w:rPr>
          <w:rFonts w:ascii="宋体" w:hAnsi="宋体" w:eastAsia="宋体"/>
          <w:sz w:val="24"/>
          <w:szCs w:val="24"/>
        </w:rPr>
        <w:t>以上企业，不属于大企业的分支机构，不存在控股股东为大企业的情形，也不存在与大企业的负责人为同一人的情形。</w:t>
      </w:r>
    </w:p>
    <w:p>
      <w:pPr>
        <w:pStyle w:val="69"/>
        <w:shd w:val="clear" w:color="auto" w:fill="auto"/>
        <w:spacing w:after="0" w:line="518" w:lineRule="exact"/>
        <w:ind w:firstLine="680"/>
        <w:jc w:val="both"/>
        <w:rPr>
          <w:rFonts w:ascii="宋体" w:hAnsi="宋体" w:eastAsia="宋体"/>
          <w:sz w:val="24"/>
          <w:szCs w:val="24"/>
        </w:rPr>
      </w:pPr>
      <w:r>
        <w:rPr>
          <w:rFonts w:ascii="宋体" w:hAnsi="宋体" w:eastAsia="宋体"/>
          <w:sz w:val="24"/>
          <w:szCs w:val="24"/>
        </w:rPr>
        <w:t>本企业对上述声明内容的真实性负责。如有虚假，将依法承担相应责任。</w:t>
      </w:r>
    </w:p>
    <w:p>
      <w:pPr>
        <w:pStyle w:val="69"/>
        <w:shd w:val="clear" w:color="auto" w:fill="auto"/>
        <w:spacing w:after="228" w:line="300" w:lineRule="exact"/>
        <w:rPr>
          <w:rFonts w:ascii="宋体" w:hAnsi="宋体" w:eastAsia="宋体"/>
          <w:sz w:val="24"/>
          <w:szCs w:val="24"/>
        </w:rPr>
      </w:pPr>
    </w:p>
    <w:p>
      <w:pPr>
        <w:pStyle w:val="69"/>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pPr>
        <w:autoSpaceDE w:val="0"/>
        <w:autoSpaceDN w:val="0"/>
        <w:adjustRightInd w:val="0"/>
        <w:spacing w:line="360" w:lineRule="auto"/>
        <w:rPr>
          <w:rFonts w:ascii="宋体" w:hAnsi="宋体"/>
          <w:color w:val="auto"/>
          <w:sz w:val="24"/>
          <w:szCs w:val="24"/>
        </w:rPr>
      </w:pPr>
    </w:p>
    <w:p>
      <w:pPr>
        <w:autoSpaceDE w:val="0"/>
        <w:autoSpaceDN w:val="0"/>
        <w:adjustRightInd w:val="0"/>
        <w:spacing w:line="360" w:lineRule="auto"/>
        <w:rPr>
          <w:rFonts w:ascii="宋体" w:hAnsi="宋体"/>
          <w:color w:val="auto"/>
          <w:sz w:val="24"/>
          <w:szCs w:val="24"/>
        </w:rPr>
      </w:pPr>
    </w:p>
    <w:p>
      <w:pPr>
        <w:spacing w:line="240" w:lineRule="auto"/>
        <w:rPr>
          <w:rStyle w:val="72"/>
          <w:rFonts w:ascii="宋体" w:hAnsi="宋体" w:eastAsia="宋体"/>
          <w:color w:val="auto"/>
        </w:rPr>
      </w:pPr>
      <w:r>
        <w:rPr>
          <w:rFonts w:hint="eastAsia" w:ascii="宋体" w:hAnsi="宋体"/>
          <w:color w:val="auto"/>
          <w:sz w:val="18"/>
          <w:szCs w:val="18"/>
        </w:rPr>
        <w:t>注：1、</w:t>
      </w:r>
      <w:r>
        <w:rPr>
          <w:rStyle w:val="71"/>
          <w:rFonts w:ascii="宋体" w:hAnsi="宋体" w:eastAsia="宋体"/>
          <w:color w:val="auto"/>
          <w:sz w:val="18"/>
          <w:szCs w:val="18"/>
          <w:vertAlign w:val="superscript"/>
        </w:rPr>
        <w:t>1</w:t>
      </w:r>
      <w:r>
        <w:rPr>
          <w:rStyle w:val="72"/>
          <w:rFonts w:ascii="宋体" w:hAnsi="宋体" w:eastAsia="宋体"/>
          <w:color w:val="auto"/>
        </w:rPr>
        <w:t>从业人员、营业收入、资产总额填报上一年度数据，无上一年度数据的新成立企业可不填报</w:t>
      </w:r>
      <w:r>
        <w:rPr>
          <w:rStyle w:val="72"/>
          <w:rFonts w:hint="eastAsia" w:ascii="宋体" w:hAnsi="宋体" w:eastAsia="宋体"/>
          <w:color w:val="auto"/>
        </w:rPr>
        <w:t>。</w:t>
      </w:r>
    </w:p>
    <w:p>
      <w:pPr>
        <w:spacing w:line="240" w:lineRule="auto"/>
        <w:rPr>
          <w:rFonts w:ascii="宋体" w:hAnsi="宋体"/>
          <w:color w:val="auto"/>
          <w:sz w:val="18"/>
          <w:szCs w:val="18"/>
        </w:rPr>
      </w:pPr>
      <w:r>
        <w:rPr>
          <w:rStyle w:val="72"/>
          <w:rFonts w:hint="eastAsia" w:ascii="宋体" w:hAnsi="宋体" w:eastAsia="宋体"/>
          <w:color w:val="auto"/>
        </w:rPr>
        <w:t xml:space="preserve">    2、“专门面向中小企业采购”项目必须提供《中小企业声明函》。</w:t>
      </w:r>
    </w:p>
    <w:p>
      <w:pPr>
        <w:spacing w:line="588" w:lineRule="exact"/>
        <w:rPr>
          <w:rFonts w:ascii="黑体" w:hAnsi="黑体" w:eastAsia="黑体"/>
          <w:b/>
          <w:color w:val="auto"/>
          <w:sz w:val="30"/>
          <w:szCs w:val="30"/>
        </w:rPr>
      </w:pPr>
    </w:p>
    <w:p>
      <w:pPr>
        <w:spacing w:line="588" w:lineRule="exact"/>
        <w:jc w:val="center"/>
        <w:rPr>
          <w:rFonts w:ascii="宋体" w:hAnsi="宋体"/>
          <w:color w:val="auto"/>
          <w:spacing w:val="6"/>
          <w:sz w:val="24"/>
          <w:szCs w:val="24"/>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pPr>
        <w:spacing w:line="588" w:lineRule="exact"/>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pPr>
        <w:autoSpaceDE w:val="0"/>
        <w:autoSpaceDN w:val="0"/>
        <w:adjustRightInd w:val="0"/>
        <w:spacing w:line="360" w:lineRule="auto"/>
        <w:rPr>
          <w:rFonts w:ascii="宋体" w:cs="楷体_GB2312"/>
          <w:b/>
          <w:color w:val="auto"/>
          <w:sz w:val="30"/>
          <w:szCs w:val="30"/>
          <w:lang w:val="zh-CN"/>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spacing w:line="240" w:lineRule="auto"/>
        <w:ind w:firstLine="450" w:firstLineChars="250"/>
        <w:rPr>
          <w:rFonts w:ascii="宋体" w:hAnsi="宋体"/>
          <w:color w:val="auto"/>
          <w:sz w:val="18"/>
          <w:szCs w:val="18"/>
        </w:rPr>
      </w:pPr>
      <w:r>
        <w:rPr>
          <w:rFonts w:hint="eastAsia" w:ascii="宋体" w:hAnsi="宋体"/>
          <w:color w:val="auto"/>
          <w:sz w:val="18"/>
          <w:szCs w:val="18"/>
        </w:rPr>
        <w:t>注：1、按政策规定：符合条件的残疾人福利性单位视同小型、微型企业。残疾人福利性单位属于小型、微型企业的，不重复享受政策。</w:t>
      </w:r>
    </w:p>
    <w:p>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z w:val="18"/>
          <w:szCs w:val="18"/>
          <w:vertAlign w:val="superscript"/>
        </w:rPr>
        <w:t>*</w:t>
      </w:r>
      <w:r>
        <w:rPr>
          <w:rFonts w:hint="eastAsia" w:ascii="宋体" w:hAnsi="宋体"/>
          <w:color w:val="auto"/>
          <w:sz w:val="18"/>
          <w:szCs w:val="18"/>
        </w:rPr>
        <w:t>本格式由符合促进残疾人就业政府采购政策条件的残疾人福利性单位填写，非残疾人福利性单位无需填写。本项目（专门面向中小企业采购）中，残疾人福利性单位属于</w:t>
      </w:r>
      <w:r>
        <w:rPr>
          <w:rFonts w:ascii="宋体" w:hAnsi="宋体"/>
          <w:color w:val="auto"/>
          <w:sz w:val="18"/>
          <w:szCs w:val="18"/>
        </w:rPr>
        <w:t>中型企业</w:t>
      </w:r>
      <w:r>
        <w:rPr>
          <w:rFonts w:hint="eastAsia" w:ascii="宋体" w:hAnsi="宋体"/>
          <w:color w:val="auto"/>
          <w:sz w:val="18"/>
          <w:szCs w:val="18"/>
        </w:rPr>
        <w:t>、小型、微型企业的，可只填写“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pPr>
        <w:widowControl w:val="0"/>
        <w:tabs>
          <w:tab w:val="left" w:pos="9365"/>
        </w:tabs>
        <w:snapToGrid w:val="0"/>
        <w:spacing w:after="56" w:line="560" w:lineRule="exact"/>
        <w:ind w:right="85"/>
        <w:jc w:val="left"/>
        <w:textAlignment w:val="top"/>
        <w:rPr>
          <w:rFonts w:ascii="宋体" w:hAnsi="宋体" w:cs="楷体_GB2312"/>
          <w:color w:val="auto"/>
          <w:sz w:val="24"/>
        </w:rPr>
      </w:pPr>
      <w:r>
        <w:rPr>
          <w:rFonts w:ascii="宋体" w:hAnsi="宋体" w:cs="楷体_GB2312"/>
          <w:color w:val="auto"/>
          <w:sz w:val="24"/>
        </w:rPr>
        <w:br w:type="page"/>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5</w:t>
      </w:r>
      <w:r>
        <w:rPr>
          <w:rFonts w:hint="eastAsia" w:ascii="黑体" w:hAnsi="黑体" w:eastAsia="黑体"/>
          <w:b/>
          <w:color w:val="auto"/>
          <w:sz w:val="30"/>
          <w:szCs w:val="30"/>
        </w:rPr>
        <w:t>-2、《政府采购法》第二十二条第一款规定的供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承诺函</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一</w:t>
      </w:r>
      <w:r>
        <w:rPr>
          <w:rFonts w:ascii="宋体" w:hAnsi="宋体"/>
          <w:color w:val="auto"/>
          <w:sz w:val="24"/>
          <w:szCs w:val="24"/>
        </w:rPr>
        <w:t>、</w:t>
      </w:r>
      <w:r>
        <w:rPr>
          <w:rFonts w:hint="eastAsia" w:ascii="宋体" w:hAnsi="宋体"/>
          <w:color w:val="auto"/>
          <w:sz w:val="24"/>
          <w:szCs w:val="24"/>
        </w:rPr>
        <w:t>我公司郑重承诺，我公司符合《政府采购法》第二十二条第一款规定的供应商基础性资格条件，具体如下：</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1、我公司承诺具有独立承担民事责任能力；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2、我公司承诺具有良好的商业信誉和健全的财务会计制度；</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3、我公司承诺具备履行合同所必需的设备和专业技术能力；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4、我公司承诺具有依法缴纳税收和社会保障资金的良好记录；</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5、我公司承诺在参加政府采购活动前三年内，在经营活动中没有重大违法记录。</w:t>
      </w:r>
    </w:p>
    <w:p>
      <w:pPr>
        <w:tabs>
          <w:tab w:val="left" w:pos="9365"/>
        </w:tabs>
        <w:spacing w:beforeLines="50" w:line="240" w:lineRule="auto"/>
        <w:ind w:right="85"/>
        <w:jc w:val="left"/>
        <w:textAlignment w:val="top"/>
        <w:rPr>
          <w:rFonts w:ascii="宋体"/>
          <w:color w:val="auto"/>
          <w:sz w:val="24"/>
          <w:szCs w:val="24"/>
        </w:rPr>
      </w:pPr>
      <w:r>
        <w:rPr>
          <w:rFonts w:hint="eastAsia" w:ascii="宋体"/>
          <w:color w:val="auto"/>
          <w:sz w:val="24"/>
          <w:szCs w:val="24"/>
        </w:rPr>
        <w:t xml:space="preserve">    二</w:t>
      </w:r>
      <w:r>
        <w:rPr>
          <w:rFonts w:ascii="宋体"/>
          <w:color w:val="auto"/>
          <w:sz w:val="24"/>
          <w:szCs w:val="24"/>
        </w:rPr>
        <w:t>、</w:t>
      </w:r>
      <w:r>
        <w:rPr>
          <w:rFonts w:hint="eastAsia" w:ascii="宋体"/>
          <w:color w:val="auto"/>
          <w:sz w:val="24"/>
          <w:szCs w:val="24"/>
        </w:rPr>
        <w:t>我公司保证上述承诺事项的真实性，如有虚假或其他违规违法行为，我公司愿意</w:t>
      </w:r>
      <w:r>
        <w:rPr>
          <w:rFonts w:hint="eastAsia" w:ascii="宋体" w:hAnsi="宋体"/>
          <w:color w:val="auto"/>
          <w:sz w:val="24"/>
          <w:szCs w:val="24"/>
        </w:rPr>
        <w:t>按《政府采购法》提供虚假材料的有关规定</w:t>
      </w:r>
      <w:r>
        <w:rPr>
          <w:rFonts w:hint="eastAsia" w:ascii="宋体"/>
          <w:color w:val="auto"/>
          <w:sz w:val="24"/>
          <w:szCs w:val="24"/>
        </w:rPr>
        <w:t>承担法律责任，并承担因此造成的一切损失。</w:t>
      </w:r>
    </w:p>
    <w:p>
      <w:pPr>
        <w:widowControl w:val="0"/>
        <w:tabs>
          <w:tab w:val="left" w:pos="9365"/>
        </w:tabs>
        <w:snapToGrid w:val="0"/>
        <w:spacing w:beforeLines="50" w:line="240" w:lineRule="auto"/>
        <w:ind w:right="85"/>
        <w:jc w:val="left"/>
        <w:textAlignment w:val="top"/>
        <w:rPr>
          <w:rFonts w:ascii="宋体" w:hAnsi="宋体"/>
          <w:color w:val="auto"/>
          <w:sz w:val="24"/>
          <w:szCs w:val="24"/>
        </w:rPr>
      </w:pPr>
      <w:r>
        <w:rPr>
          <w:rFonts w:hint="eastAsia" w:ascii="宋体"/>
          <w:color w:val="auto"/>
          <w:sz w:val="24"/>
          <w:szCs w:val="24"/>
        </w:rPr>
        <w:t xml:space="preserve">   三</w:t>
      </w:r>
      <w:r>
        <w:rPr>
          <w:rFonts w:ascii="宋体"/>
          <w:color w:val="auto"/>
          <w:sz w:val="24"/>
          <w:szCs w:val="24"/>
        </w:rPr>
        <w:t>、</w:t>
      </w:r>
      <w:r>
        <w:rPr>
          <w:rFonts w:hint="eastAsia" w:ascii="宋体"/>
          <w:color w:val="auto"/>
          <w:sz w:val="24"/>
          <w:szCs w:val="24"/>
        </w:rPr>
        <w:t xml:space="preserve"> 我</w:t>
      </w:r>
      <w:r>
        <w:rPr>
          <w:rFonts w:ascii="宋体"/>
          <w:color w:val="auto"/>
          <w:sz w:val="24"/>
          <w:szCs w:val="24"/>
        </w:rPr>
        <w:t>公司认同</w:t>
      </w:r>
      <w:r>
        <w:rPr>
          <w:rFonts w:hint="eastAsia" w:ascii="宋体"/>
          <w:color w:val="auto"/>
          <w:sz w:val="24"/>
          <w:szCs w:val="24"/>
        </w:rPr>
        <w:t>按</w:t>
      </w:r>
      <w:r>
        <w:rPr>
          <w:rFonts w:ascii="宋体"/>
          <w:color w:val="auto"/>
          <w:sz w:val="24"/>
          <w:szCs w:val="24"/>
        </w:rPr>
        <w:t>照</w:t>
      </w:r>
      <w:r>
        <w:rPr>
          <w:rFonts w:hint="eastAsia" w:ascii="宋体"/>
          <w:color w:val="auto"/>
          <w:sz w:val="24"/>
          <w:szCs w:val="24"/>
        </w:rPr>
        <w:t>《招标</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”对</w:t>
      </w:r>
      <w:r>
        <w:rPr>
          <w:rFonts w:ascii="宋体"/>
          <w:color w:val="auto"/>
          <w:sz w:val="24"/>
          <w:szCs w:val="24"/>
        </w:rPr>
        <w:t>我公司或其他公司</w:t>
      </w:r>
      <w:r>
        <w:rPr>
          <w:rFonts w:hint="eastAsia" w:ascii="宋体"/>
          <w:color w:val="auto"/>
          <w:sz w:val="24"/>
          <w:szCs w:val="24"/>
        </w:rPr>
        <w:t>进行的</w:t>
      </w:r>
      <w:r>
        <w:rPr>
          <w:rFonts w:hint="eastAsia" w:ascii="宋体" w:hAnsi="宋体"/>
          <w:color w:val="auto"/>
          <w:sz w:val="24"/>
          <w:szCs w:val="24"/>
        </w:rPr>
        <w:t>供</w:t>
      </w:r>
      <w:r>
        <w:rPr>
          <w:rFonts w:ascii="宋体" w:hAnsi="宋体"/>
          <w:color w:val="auto"/>
          <w:sz w:val="24"/>
          <w:szCs w:val="24"/>
        </w:rPr>
        <w:t>应商基础性资</w:t>
      </w:r>
      <w:r>
        <w:rPr>
          <w:rFonts w:hint="eastAsia" w:ascii="宋体" w:hAnsi="宋体"/>
          <w:color w:val="auto"/>
          <w:sz w:val="24"/>
          <w:szCs w:val="24"/>
        </w:rPr>
        <w:t>格的</w:t>
      </w:r>
      <w:r>
        <w:rPr>
          <w:rFonts w:ascii="宋体" w:hAnsi="宋体"/>
          <w:color w:val="auto"/>
          <w:sz w:val="24"/>
          <w:szCs w:val="24"/>
        </w:rPr>
        <w:t>审查</w:t>
      </w:r>
      <w:r>
        <w:rPr>
          <w:rFonts w:hint="eastAsia" w:ascii="宋体" w:hAnsi="宋体"/>
          <w:color w:val="auto"/>
          <w:sz w:val="24"/>
          <w:szCs w:val="24"/>
        </w:rPr>
        <w:t>，</w:t>
      </w:r>
      <w:r>
        <w:rPr>
          <w:rFonts w:ascii="宋体" w:hAnsi="宋体"/>
          <w:color w:val="auto"/>
          <w:sz w:val="24"/>
          <w:szCs w:val="24"/>
        </w:rPr>
        <w:t>对</w:t>
      </w:r>
      <w:r>
        <w:rPr>
          <w:rFonts w:hint="eastAsia" w:ascii="宋体"/>
          <w:color w:val="auto"/>
          <w:sz w:val="24"/>
          <w:szCs w:val="24"/>
        </w:rPr>
        <w:t>按</w:t>
      </w:r>
      <w:r>
        <w:rPr>
          <w:rFonts w:ascii="宋体"/>
          <w:color w:val="auto"/>
          <w:sz w:val="24"/>
          <w:szCs w:val="24"/>
        </w:rPr>
        <w:t>照</w:t>
      </w:r>
      <w:r>
        <w:rPr>
          <w:rFonts w:hint="eastAsia" w:ascii="宋体" w:hAnsi="宋体"/>
          <w:color w:val="auto"/>
          <w:sz w:val="24"/>
          <w:szCs w:val="24"/>
        </w:rPr>
        <w:t>认定标准得</w:t>
      </w:r>
      <w:r>
        <w:rPr>
          <w:rFonts w:ascii="宋体" w:hAnsi="宋体"/>
          <w:color w:val="auto"/>
          <w:sz w:val="24"/>
          <w:szCs w:val="24"/>
        </w:rPr>
        <w:t>出的审查结果无异</w:t>
      </w:r>
      <w:r>
        <w:rPr>
          <w:rFonts w:hint="eastAsia" w:ascii="宋体" w:hAnsi="宋体"/>
          <w:color w:val="auto"/>
          <w:sz w:val="24"/>
          <w:szCs w:val="24"/>
        </w:rPr>
        <w:t>议。</w:t>
      </w:r>
    </w:p>
    <w:p>
      <w:pPr>
        <w:widowControl w:val="0"/>
        <w:tabs>
          <w:tab w:val="left" w:pos="9365"/>
        </w:tabs>
        <w:snapToGrid w:val="0"/>
        <w:spacing w:beforeLines="50" w:line="240" w:lineRule="auto"/>
        <w:ind w:right="85"/>
        <w:jc w:val="left"/>
        <w:textAlignment w:val="top"/>
        <w:rPr>
          <w:rFonts w:ascii="宋体" w:hAnsi="宋体"/>
          <w:color w:val="auto"/>
          <w:sz w:val="24"/>
          <w:szCs w:val="24"/>
        </w:rPr>
      </w:pPr>
      <w:r>
        <w:rPr>
          <w:rFonts w:hint="eastAsia" w:ascii="宋体" w:hAnsi="宋体"/>
          <w:color w:val="auto"/>
          <w:sz w:val="24"/>
          <w:szCs w:val="24"/>
        </w:rPr>
        <w:t xml:space="preserve">    四、</w:t>
      </w:r>
      <w:r>
        <w:rPr>
          <w:rFonts w:hint="eastAsia" w:ascii="宋体"/>
          <w:color w:val="auto"/>
          <w:sz w:val="24"/>
          <w:szCs w:val="24"/>
        </w:rPr>
        <w:t>我公司投</w:t>
      </w:r>
      <w:r>
        <w:rPr>
          <w:rFonts w:ascii="宋体"/>
          <w:color w:val="auto"/>
          <w:sz w:val="24"/>
          <w:szCs w:val="24"/>
        </w:rPr>
        <w:t>标文件或</w:t>
      </w:r>
      <w:r>
        <w:rPr>
          <w:rFonts w:hint="eastAsia" w:ascii="宋体"/>
          <w:color w:val="auto"/>
          <w:sz w:val="24"/>
          <w:szCs w:val="24"/>
        </w:rPr>
        <w:t>公</w:t>
      </w:r>
      <w:r>
        <w:rPr>
          <w:rFonts w:ascii="宋体"/>
          <w:color w:val="auto"/>
          <w:sz w:val="24"/>
          <w:szCs w:val="24"/>
        </w:rPr>
        <w:t>开资</w:t>
      </w:r>
      <w:r>
        <w:rPr>
          <w:rFonts w:hint="eastAsia" w:ascii="宋体"/>
          <w:color w:val="auto"/>
          <w:sz w:val="24"/>
          <w:szCs w:val="24"/>
        </w:rPr>
        <w:t>料或</w:t>
      </w:r>
      <w:r>
        <w:rPr>
          <w:rFonts w:ascii="宋体"/>
          <w:color w:val="auto"/>
          <w:sz w:val="24"/>
          <w:szCs w:val="24"/>
        </w:rPr>
        <w:t>备</w:t>
      </w:r>
      <w:r>
        <w:rPr>
          <w:rFonts w:hint="eastAsia" w:ascii="宋体"/>
          <w:color w:val="auto"/>
          <w:sz w:val="24"/>
          <w:szCs w:val="24"/>
        </w:rPr>
        <w:t>案</w:t>
      </w:r>
      <w:r>
        <w:rPr>
          <w:rFonts w:ascii="宋体"/>
          <w:color w:val="auto"/>
          <w:sz w:val="24"/>
          <w:szCs w:val="24"/>
        </w:rPr>
        <w:t>资</w:t>
      </w:r>
      <w:r>
        <w:rPr>
          <w:rFonts w:hint="eastAsia" w:ascii="宋体"/>
          <w:color w:val="auto"/>
          <w:sz w:val="24"/>
          <w:szCs w:val="24"/>
        </w:rPr>
        <w:t>料</w:t>
      </w:r>
      <w:r>
        <w:rPr>
          <w:rFonts w:ascii="宋体"/>
          <w:color w:val="auto"/>
          <w:sz w:val="24"/>
          <w:szCs w:val="24"/>
        </w:rPr>
        <w:t>中，有不符合</w:t>
      </w:r>
      <w:r>
        <w:rPr>
          <w:rFonts w:hint="eastAsia" w:ascii="宋体"/>
          <w:color w:val="auto"/>
          <w:sz w:val="24"/>
          <w:szCs w:val="24"/>
        </w:rPr>
        <w:t>《招标</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”的</w:t>
      </w:r>
      <w:r>
        <w:rPr>
          <w:rFonts w:ascii="宋体"/>
          <w:color w:val="auto"/>
          <w:sz w:val="24"/>
          <w:szCs w:val="24"/>
        </w:rPr>
        <w:t>，</w:t>
      </w:r>
      <w:r>
        <w:rPr>
          <w:rFonts w:hint="eastAsia" w:ascii="宋体"/>
          <w:color w:val="auto"/>
          <w:sz w:val="24"/>
          <w:szCs w:val="24"/>
        </w:rPr>
        <w:t>我公司</w:t>
      </w:r>
      <w:r>
        <w:rPr>
          <w:rFonts w:ascii="宋体"/>
          <w:color w:val="auto"/>
          <w:sz w:val="24"/>
          <w:szCs w:val="24"/>
        </w:rPr>
        <w:t>认同</w:t>
      </w:r>
      <w:r>
        <w:rPr>
          <w:rFonts w:hint="eastAsia" w:ascii="宋体"/>
          <w:color w:val="auto"/>
          <w:sz w:val="24"/>
          <w:szCs w:val="24"/>
        </w:rPr>
        <w:t>判</w:t>
      </w:r>
      <w:r>
        <w:rPr>
          <w:rFonts w:ascii="宋体"/>
          <w:color w:val="auto"/>
          <w:sz w:val="24"/>
          <w:szCs w:val="24"/>
        </w:rPr>
        <w:t>定为无</w:t>
      </w:r>
      <w:r>
        <w:rPr>
          <w:rFonts w:hint="eastAsia" w:ascii="宋体"/>
          <w:color w:val="auto"/>
          <w:sz w:val="24"/>
          <w:szCs w:val="24"/>
        </w:rPr>
        <w:t>效</w:t>
      </w:r>
      <w:r>
        <w:rPr>
          <w:rFonts w:ascii="宋体"/>
          <w:color w:val="auto"/>
          <w:sz w:val="24"/>
          <w:szCs w:val="24"/>
        </w:rPr>
        <w:t>投标</w:t>
      </w:r>
      <w:r>
        <w:rPr>
          <w:rFonts w:hint="eastAsia" w:ascii="宋体"/>
          <w:color w:val="auto"/>
          <w:sz w:val="24"/>
          <w:szCs w:val="24"/>
        </w:rPr>
        <w:t>、承担</w:t>
      </w:r>
      <w:r>
        <w:rPr>
          <w:rFonts w:hint="eastAsia" w:ascii="宋体" w:hAnsi="宋体"/>
          <w:color w:val="auto"/>
          <w:sz w:val="24"/>
          <w:szCs w:val="24"/>
        </w:rPr>
        <w:t>虚假</w:t>
      </w:r>
      <w:r>
        <w:rPr>
          <w:rFonts w:hint="eastAsia" w:ascii="宋体"/>
          <w:color w:val="auto"/>
          <w:sz w:val="24"/>
          <w:szCs w:val="24"/>
        </w:rPr>
        <w:t>承诺责任。</w:t>
      </w:r>
    </w:p>
    <w:p>
      <w:pPr>
        <w:tabs>
          <w:tab w:val="left" w:pos="9365"/>
        </w:tabs>
        <w:spacing w:beforeLines="50" w:line="240" w:lineRule="auto"/>
        <w:ind w:right="85" w:firstLine="480"/>
        <w:jc w:val="left"/>
        <w:textAlignment w:val="top"/>
        <w:rPr>
          <w:rFonts w:ascii="宋体"/>
          <w:color w:val="auto"/>
          <w:sz w:val="24"/>
          <w:szCs w:val="24"/>
        </w:rPr>
      </w:pPr>
      <w:r>
        <w:rPr>
          <w:rFonts w:hint="eastAsia" w:ascii="宋体"/>
          <w:color w:val="auto"/>
          <w:sz w:val="24"/>
          <w:szCs w:val="24"/>
        </w:rPr>
        <w:t>五</w:t>
      </w:r>
      <w:r>
        <w:rPr>
          <w:rFonts w:ascii="宋体"/>
          <w:color w:val="auto"/>
          <w:sz w:val="24"/>
          <w:szCs w:val="24"/>
        </w:rPr>
        <w:t>、</w:t>
      </w:r>
      <w:r>
        <w:rPr>
          <w:rFonts w:hint="eastAsia" w:ascii="宋体"/>
          <w:color w:val="auto"/>
          <w:sz w:val="24"/>
          <w:szCs w:val="24"/>
        </w:rPr>
        <w:t>我公司</w:t>
      </w:r>
      <w:r>
        <w:rPr>
          <w:rFonts w:ascii="宋体"/>
          <w:color w:val="auto"/>
          <w:sz w:val="24"/>
          <w:szCs w:val="24"/>
        </w:rPr>
        <w:t>在</w:t>
      </w:r>
      <w:r>
        <w:rPr>
          <w:rFonts w:hint="eastAsia" w:ascii="宋体"/>
          <w:color w:val="auto"/>
          <w:sz w:val="24"/>
          <w:szCs w:val="24"/>
        </w:rPr>
        <w:t>没</w:t>
      </w:r>
      <w:r>
        <w:rPr>
          <w:rFonts w:ascii="宋体"/>
          <w:color w:val="auto"/>
          <w:sz w:val="24"/>
          <w:szCs w:val="24"/>
        </w:rPr>
        <w:t>有有效的证明材</w:t>
      </w:r>
      <w:r>
        <w:rPr>
          <w:rFonts w:hint="eastAsia" w:ascii="宋体"/>
          <w:color w:val="auto"/>
          <w:sz w:val="24"/>
          <w:szCs w:val="24"/>
        </w:rPr>
        <w:t>料，以</w:t>
      </w:r>
      <w:r>
        <w:rPr>
          <w:rFonts w:ascii="宋体"/>
          <w:color w:val="auto"/>
          <w:sz w:val="24"/>
          <w:szCs w:val="24"/>
        </w:rPr>
        <w:t>证明其他投标人不符合</w:t>
      </w:r>
      <w:r>
        <w:rPr>
          <w:rFonts w:hint="eastAsia" w:ascii="宋体"/>
          <w:color w:val="auto"/>
          <w:sz w:val="24"/>
          <w:szCs w:val="24"/>
        </w:rPr>
        <w:t>《招标</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”时，我公司承诺不</w:t>
      </w:r>
      <w:r>
        <w:rPr>
          <w:rFonts w:ascii="宋体"/>
          <w:color w:val="auto"/>
          <w:sz w:val="24"/>
          <w:szCs w:val="24"/>
        </w:rPr>
        <w:t>对其他投标人</w:t>
      </w:r>
      <w:r>
        <w:rPr>
          <w:rFonts w:hint="eastAsia" w:ascii="宋体"/>
          <w:color w:val="auto"/>
          <w:sz w:val="24"/>
          <w:szCs w:val="24"/>
        </w:rPr>
        <w:t>的承诺函提</w:t>
      </w:r>
      <w:r>
        <w:rPr>
          <w:rFonts w:ascii="宋体"/>
          <w:color w:val="auto"/>
          <w:sz w:val="24"/>
          <w:szCs w:val="24"/>
        </w:rPr>
        <w:t>起质疑投诉，</w:t>
      </w:r>
      <w:r>
        <w:rPr>
          <w:rFonts w:hint="eastAsia" w:ascii="宋体"/>
          <w:color w:val="auto"/>
          <w:sz w:val="24"/>
          <w:szCs w:val="24"/>
        </w:rPr>
        <w:t>同</w:t>
      </w:r>
      <w:r>
        <w:rPr>
          <w:rFonts w:ascii="宋体"/>
          <w:color w:val="auto"/>
          <w:sz w:val="24"/>
          <w:szCs w:val="24"/>
        </w:rPr>
        <w:t>意对已</w:t>
      </w:r>
      <w:r>
        <w:rPr>
          <w:rFonts w:hint="eastAsia" w:ascii="宋体"/>
          <w:color w:val="auto"/>
          <w:sz w:val="24"/>
          <w:szCs w:val="24"/>
        </w:rPr>
        <w:t>提</w:t>
      </w:r>
      <w:r>
        <w:rPr>
          <w:rFonts w:ascii="宋体"/>
          <w:color w:val="auto"/>
          <w:sz w:val="24"/>
          <w:szCs w:val="24"/>
        </w:rPr>
        <w:t>起</w:t>
      </w:r>
      <w:r>
        <w:rPr>
          <w:rFonts w:hint="eastAsia" w:ascii="宋体"/>
          <w:color w:val="auto"/>
          <w:sz w:val="24"/>
          <w:szCs w:val="24"/>
        </w:rPr>
        <w:t>的</w:t>
      </w:r>
      <w:r>
        <w:rPr>
          <w:rFonts w:ascii="宋体"/>
          <w:color w:val="auto"/>
          <w:sz w:val="24"/>
          <w:szCs w:val="24"/>
        </w:rPr>
        <w:t>质疑投诉</w:t>
      </w:r>
      <w:r>
        <w:rPr>
          <w:rFonts w:hint="eastAsia" w:ascii="宋体"/>
          <w:color w:val="auto"/>
          <w:sz w:val="24"/>
          <w:szCs w:val="24"/>
        </w:rPr>
        <w:t>按缺</w:t>
      </w:r>
      <w:r>
        <w:rPr>
          <w:rFonts w:ascii="宋体"/>
          <w:color w:val="auto"/>
          <w:sz w:val="24"/>
          <w:szCs w:val="24"/>
        </w:rPr>
        <w:t>乏</w:t>
      </w:r>
      <w:r>
        <w:rPr>
          <w:rFonts w:hint="eastAsia" w:ascii="宋体" w:hAnsi="宋体"/>
          <w:color w:val="auto"/>
          <w:sz w:val="24"/>
          <w:szCs w:val="24"/>
        </w:rPr>
        <w:t>事实依据、</w:t>
      </w:r>
      <w:r>
        <w:rPr>
          <w:rFonts w:hint="eastAsia" w:ascii="宋体"/>
          <w:color w:val="auto"/>
          <w:sz w:val="24"/>
          <w:szCs w:val="24"/>
        </w:rPr>
        <w:t>按</w:t>
      </w:r>
      <w:r>
        <w:rPr>
          <w:rFonts w:ascii="宋体"/>
          <w:color w:val="auto"/>
          <w:sz w:val="24"/>
          <w:szCs w:val="24"/>
        </w:rPr>
        <w:t>无</w:t>
      </w:r>
      <w:r>
        <w:rPr>
          <w:rFonts w:hint="eastAsia" w:ascii="宋体"/>
          <w:color w:val="auto"/>
          <w:sz w:val="24"/>
          <w:szCs w:val="24"/>
        </w:rPr>
        <w:t>效</w:t>
      </w:r>
      <w:r>
        <w:rPr>
          <w:rFonts w:ascii="宋体"/>
          <w:color w:val="auto"/>
          <w:sz w:val="24"/>
          <w:szCs w:val="24"/>
        </w:rPr>
        <w:t>质疑投诉</w:t>
      </w:r>
      <w:r>
        <w:rPr>
          <w:rFonts w:hint="eastAsia" w:ascii="宋体"/>
          <w:color w:val="auto"/>
          <w:sz w:val="24"/>
          <w:szCs w:val="24"/>
        </w:rPr>
        <w:t>处</w:t>
      </w:r>
      <w:r>
        <w:rPr>
          <w:rFonts w:ascii="宋体"/>
          <w:color w:val="auto"/>
          <w:sz w:val="24"/>
          <w:szCs w:val="24"/>
        </w:rPr>
        <w:t>理。</w:t>
      </w:r>
    </w:p>
    <w:p>
      <w:pPr>
        <w:widowControl w:val="0"/>
        <w:tabs>
          <w:tab w:val="left" w:pos="9365"/>
        </w:tabs>
        <w:snapToGrid w:val="0"/>
        <w:spacing w:after="56" w:line="560" w:lineRule="exact"/>
        <w:ind w:right="85"/>
        <w:jc w:val="center"/>
        <w:textAlignment w:val="top"/>
        <w:rPr>
          <w:rFonts w:ascii="宋体"/>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tabs>
          <w:tab w:val="left" w:pos="540"/>
        </w:tabs>
        <w:spacing w:line="440" w:lineRule="exact"/>
        <w:rPr>
          <w:rFonts w:ascii="宋体" w:hAnsi="宋体"/>
          <w:color w:val="auto"/>
          <w:sz w:val="24"/>
          <w:szCs w:val="24"/>
        </w:rPr>
      </w:pPr>
      <w:r>
        <w:rPr>
          <w:rFonts w:ascii="宋体" w:hAnsi="宋体"/>
          <w:color w:val="auto"/>
          <w:sz w:val="24"/>
          <w:szCs w:val="24"/>
        </w:rPr>
        <w:br w:type="page"/>
      </w:r>
    </w:p>
    <w:p>
      <w:pPr>
        <w:widowControl w:val="0"/>
        <w:tabs>
          <w:tab w:val="left" w:pos="9365"/>
        </w:tabs>
        <w:snapToGrid w:val="0"/>
        <w:spacing w:after="56" w:line="560" w:lineRule="exact"/>
        <w:ind w:right="85"/>
        <w:jc w:val="center"/>
        <w:textAlignment w:val="top"/>
        <w:rPr>
          <w:rFonts w:ascii="宋体"/>
          <w:color w:val="auto"/>
          <w:sz w:val="24"/>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承诺事</w:t>
      </w:r>
      <w:r>
        <w:rPr>
          <w:rFonts w:ascii="黑体" w:hAnsi="黑体" w:eastAsia="黑体"/>
          <w:b/>
          <w:color w:val="auto"/>
          <w:sz w:val="30"/>
          <w:szCs w:val="30"/>
        </w:rPr>
        <w:t>项的</w:t>
      </w:r>
      <w:r>
        <w:rPr>
          <w:rFonts w:hint="eastAsia" w:ascii="黑体" w:hAnsi="黑体" w:eastAsia="黑体"/>
          <w:b/>
          <w:color w:val="auto"/>
          <w:sz w:val="30"/>
          <w:szCs w:val="30"/>
        </w:rPr>
        <w:t>认定标准</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政府采购监督检查、质疑投诉及政府采购行政处罚等</w:t>
      </w:r>
      <w:r>
        <w:rPr>
          <w:rFonts w:ascii="宋体" w:hAnsi="宋体"/>
          <w:color w:val="auto"/>
          <w:sz w:val="24"/>
          <w:szCs w:val="24"/>
        </w:rPr>
        <w:t>情形</w:t>
      </w:r>
      <w:r>
        <w:rPr>
          <w:rFonts w:hint="eastAsia" w:ascii="宋体" w:hAnsi="宋体"/>
          <w:color w:val="auto"/>
          <w:sz w:val="24"/>
          <w:szCs w:val="24"/>
        </w:rPr>
        <w:t>中，需要对资格承诺的真实性的进</w:t>
      </w:r>
      <w:r>
        <w:rPr>
          <w:rFonts w:ascii="宋体" w:hAnsi="宋体"/>
          <w:color w:val="auto"/>
          <w:sz w:val="24"/>
          <w:szCs w:val="24"/>
        </w:rPr>
        <w:t>行</w:t>
      </w:r>
      <w:r>
        <w:rPr>
          <w:rFonts w:hint="eastAsia" w:ascii="宋体" w:hAnsi="宋体"/>
          <w:color w:val="auto"/>
          <w:sz w:val="24"/>
          <w:szCs w:val="24"/>
        </w:rPr>
        <w:t>认定时，相</w:t>
      </w:r>
      <w:r>
        <w:rPr>
          <w:rFonts w:ascii="宋体" w:hAnsi="宋体"/>
          <w:color w:val="auto"/>
          <w:sz w:val="24"/>
          <w:szCs w:val="24"/>
        </w:rPr>
        <w:t>关</w:t>
      </w:r>
      <w:r>
        <w:rPr>
          <w:rFonts w:hint="eastAsia" w:ascii="宋体" w:hAnsi="宋体"/>
          <w:color w:val="auto"/>
          <w:sz w:val="24"/>
          <w:szCs w:val="24"/>
        </w:rPr>
        <w:t>供应商应提供如下关</w:t>
      </w:r>
      <w:r>
        <w:rPr>
          <w:rFonts w:ascii="宋体" w:hAnsi="宋体"/>
          <w:color w:val="auto"/>
          <w:sz w:val="24"/>
          <w:szCs w:val="24"/>
        </w:rPr>
        <w:t>于基础</w:t>
      </w:r>
      <w:r>
        <w:rPr>
          <w:rFonts w:hint="eastAsia" w:ascii="宋体" w:hAnsi="宋体"/>
          <w:color w:val="auto"/>
          <w:sz w:val="24"/>
          <w:szCs w:val="24"/>
        </w:rPr>
        <w:t>性资格的证明材料：</w:t>
      </w:r>
    </w:p>
    <w:p>
      <w:pPr>
        <w:widowControl w:val="0"/>
        <w:snapToGrid w:val="0"/>
        <w:spacing w:line="360" w:lineRule="auto"/>
        <w:ind w:firstLine="540" w:firstLineChars="225"/>
        <w:rPr>
          <w:rFonts w:ascii="宋体"/>
          <w:color w:val="auto"/>
          <w:szCs w:val="21"/>
        </w:rPr>
      </w:pPr>
      <w:r>
        <w:rPr>
          <w:rFonts w:hint="eastAsia" w:ascii="宋体" w:hAnsi="宋体"/>
          <w:color w:val="auto"/>
          <w:sz w:val="24"/>
          <w:szCs w:val="24"/>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shd w:val="clear" w:color="auto" w:fill="FFFFFF"/>
        </w:rPr>
        <w:t>。</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（二）具有良好的商业信誉和健全的财务会计制度。■提供银行出具的近</w:t>
      </w:r>
      <w:r>
        <w:rPr>
          <w:rFonts w:ascii="宋体" w:hAnsi="宋体"/>
          <w:color w:val="auto"/>
          <w:sz w:val="24"/>
          <w:szCs w:val="24"/>
        </w:rPr>
        <w:t>1</w:t>
      </w:r>
      <w:r>
        <w:rPr>
          <w:rFonts w:hint="eastAsia" w:ascii="宋体" w:hAnsi="宋体"/>
          <w:color w:val="auto"/>
          <w:sz w:val="24"/>
          <w:szCs w:val="24"/>
        </w:rPr>
        <w:t>年内资信证明（法人为基本开户行）、或2021年度以来（任一年度）经审计的财务报告、或银行（保险公司）出具的投标担保函。</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（四）有依法缴纳税收和社会保障资金的良好记录。■提供近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个月）已依法缴纳社会保险的凭据。依法免税或不需要缴纳社会保障资金的供应商，应提供相应证明文件。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（五）参加政府采购活动前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w:t>
      </w:r>
    </w:p>
    <w:p>
      <w:pPr>
        <w:widowControl w:val="0"/>
        <w:snapToGrid w:val="0"/>
        <w:spacing w:line="360" w:lineRule="auto"/>
        <w:ind w:firstLine="540" w:firstLineChars="225"/>
        <w:rPr>
          <w:rFonts w:ascii="宋体" w:hAnsi="宋体"/>
          <w:color w:val="auto"/>
          <w:sz w:val="24"/>
          <w:szCs w:val="24"/>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供应商提供的证明材料不</w:t>
      </w:r>
      <w:r>
        <w:rPr>
          <w:rFonts w:ascii="宋体" w:hAnsi="宋体"/>
          <w:color w:val="auto"/>
          <w:sz w:val="24"/>
          <w:szCs w:val="24"/>
        </w:rPr>
        <w:t>符合上述认定标准的</w:t>
      </w:r>
      <w:r>
        <w:rPr>
          <w:rFonts w:hint="eastAsia" w:ascii="宋体" w:hAnsi="宋体"/>
          <w:color w:val="auto"/>
          <w:sz w:val="24"/>
          <w:szCs w:val="24"/>
        </w:rPr>
        <w:t>，评定该投标人不满足《政府采购法》投标人资格要求，为提供虚假承诺，投标、中标无效，并上报财政部门对其违规违法行为作进一步处理。</w:t>
      </w:r>
    </w:p>
    <w:p>
      <w:pPr>
        <w:tabs>
          <w:tab w:val="left" w:pos="540"/>
        </w:tabs>
        <w:spacing w:line="440" w:lineRule="exact"/>
        <w:rPr>
          <w:rFonts w:ascii="宋体"/>
          <w:color w:val="auto"/>
          <w:sz w:val="24"/>
          <w:szCs w:val="24"/>
        </w:rPr>
      </w:pPr>
      <w:r>
        <w:rPr>
          <w:rFonts w:hint="eastAsia" w:ascii="宋体"/>
          <w:color w:val="auto"/>
          <w:sz w:val="24"/>
          <w:szCs w:val="24"/>
        </w:rPr>
        <w:t xml:space="preserve">    </w:t>
      </w:r>
    </w:p>
    <w:p>
      <w:pPr>
        <w:tabs>
          <w:tab w:val="left" w:pos="540"/>
        </w:tabs>
        <w:spacing w:line="440" w:lineRule="exact"/>
        <w:rPr>
          <w:rFonts w:ascii="宋体"/>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widowControl w:val="0"/>
        <w:snapToGrid w:val="0"/>
        <w:spacing w:line="360" w:lineRule="auto"/>
        <w:textAlignment w:val="top"/>
        <w:rPr>
          <w:color w:val="auto"/>
          <w:sz w:val="24"/>
          <w:szCs w:val="24"/>
        </w:rPr>
      </w:pPr>
    </w:p>
    <w:p>
      <w:pPr>
        <w:tabs>
          <w:tab w:val="left" w:pos="540"/>
        </w:tabs>
        <w:spacing w:line="440" w:lineRule="exact"/>
        <w:rPr>
          <w:rFonts w:ascii="宋体" w:hAnsi="宋体"/>
          <w:color w:val="auto"/>
          <w:sz w:val="24"/>
          <w:szCs w:val="24"/>
        </w:rPr>
      </w:pPr>
      <w:r>
        <w:rPr>
          <w:rFonts w:ascii="宋体" w:hAnsi="宋体"/>
          <w:color w:val="auto"/>
          <w:sz w:val="24"/>
          <w:szCs w:val="24"/>
        </w:rPr>
        <w:br w:type="page"/>
      </w:r>
    </w:p>
    <w:p>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5-</w:t>
      </w:r>
      <w:r>
        <w:rPr>
          <w:rFonts w:hint="eastAsia" w:ascii="黑体" w:hAnsi="黑体" w:eastAsia="黑体"/>
          <w:b/>
          <w:color w:val="auto"/>
          <w:sz w:val="30"/>
          <w:szCs w:val="30"/>
        </w:rPr>
        <w:t>3、供应商负责人控股、设计等相关承诺书</w:t>
      </w:r>
    </w:p>
    <w:p>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招标活动中，我单位承诺满足以下要求：</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投标人（电子签章）：</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法定代表人（电子签名或签章）：</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snapToGrid w:val="0"/>
        <w:spacing w:line="560" w:lineRule="exact"/>
        <w:jc w:val="center"/>
        <w:rPr>
          <w:rFonts w:ascii="宋体" w:hAnsi="宋体"/>
          <w:b/>
          <w:color w:val="auto"/>
          <w:sz w:val="32"/>
          <w:szCs w:val="32"/>
        </w:rPr>
      </w:pPr>
      <w:r>
        <w:rPr>
          <w:rFonts w:ascii="宋体" w:hAnsi="宋体"/>
          <w:b/>
          <w:color w:val="auto"/>
          <w:sz w:val="32"/>
          <w:szCs w:val="32"/>
        </w:rPr>
        <w:br w:type="page"/>
      </w: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15-4、投标承诺函</w:t>
      </w:r>
    </w:p>
    <w:p>
      <w:pPr>
        <w:widowControl w:val="0"/>
        <w:autoSpaceDE w:val="0"/>
        <w:autoSpaceDN w:val="0"/>
        <w:adjustRightInd w:val="0"/>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（以投标承诺函形式，替代投标保证金的相关承诺事项）</w:t>
      </w:r>
    </w:p>
    <w:p>
      <w:pPr>
        <w:widowControl w:val="0"/>
        <w:tabs>
          <w:tab w:val="left" w:pos="9365"/>
        </w:tabs>
        <w:spacing w:before="360" w:after="360" w:line="360" w:lineRule="auto"/>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rPr>
        <w:t>安阳市方正招标采购服务有限责任公司</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s="楷体_GB2312"/>
          <w:color w:val="auto"/>
          <w:sz w:val="24"/>
          <w:lang w:val="zh-CN"/>
        </w:rPr>
        <w:t>提供虚假材料；</w:t>
      </w:r>
    </w:p>
    <w:p>
      <w:pPr>
        <w:topLinePunct/>
        <w:adjustRightInd w:val="0"/>
        <w:snapToGrid w:val="0"/>
        <w:spacing w:beforeLines="50" w:line="300" w:lineRule="auto"/>
        <w:ind w:firstLine="480" w:firstLineChars="200"/>
        <w:rPr>
          <w:rFonts w:ascii="宋体" w:hAnsi="宋体" w:cs="楷体_GB2312"/>
          <w:color w:val="auto"/>
          <w:sz w:val="24"/>
          <w:lang w:val="zh-CN"/>
        </w:rPr>
      </w:pPr>
      <w:r>
        <w:rPr>
          <w:rFonts w:hint="eastAsia" w:ascii="宋体" w:hAnsi="宋体"/>
          <w:color w:val="auto"/>
          <w:sz w:val="24"/>
          <w:szCs w:val="24"/>
        </w:rPr>
        <w:t>三、</w:t>
      </w:r>
      <w:r>
        <w:rPr>
          <w:rFonts w:hint="eastAsia"/>
          <w:color w:val="auto"/>
          <w:sz w:val="24"/>
          <w:lang w:val="zh-CN"/>
        </w:rPr>
        <w:t>按照招标文件规定，</w:t>
      </w:r>
      <w:r>
        <w:rPr>
          <w:rFonts w:hint="eastAsia" w:ascii="宋体" w:hAnsi="宋体" w:cs="楷体_GB2312"/>
          <w:color w:val="auto"/>
          <w:sz w:val="24"/>
          <w:lang w:val="zh-CN"/>
        </w:rPr>
        <w:t>在提交投标文件截止时间后，在招标文件规定的投标有效期限内不撤回投标文件；</w:t>
      </w:r>
    </w:p>
    <w:p>
      <w:pPr>
        <w:topLinePunct/>
        <w:adjustRightInd w:val="0"/>
        <w:snapToGrid w:val="0"/>
        <w:spacing w:beforeLines="50" w:line="300" w:lineRule="auto"/>
        <w:ind w:firstLine="480" w:firstLineChars="200"/>
        <w:rPr>
          <w:rFonts w:ascii="宋体" w:cs="楷体_GB2312"/>
          <w:color w:val="auto"/>
          <w:sz w:val="24"/>
          <w:lang w:val="zh-CN"/>
        </w:rPr>
      </w:pPr>
      <w:r>
        <w:rPr>
          <w:rFonts w:hint="eastAsia"/>
          <w:color w:val="auto"/>
          <w:sz w:val="24"/>
        </w:rPr>
        <w:t>四、不</w:t>
      </w:r>
      <w:r>
        <w:rPr>
          <w:rFonts w:hint="eastAsia" w:ascii="宋体" w:hAnsi="宋体" w:cs="楷体_GB2312"/>
          <w:color w:val="auto"/>
          <w:sz w:val="24"/>
          <w:lang w:val="zh-CN"/>
        </w:rPr>
        <w:t>与其他投标人、采购人或采购代理机构串通或恶意串通。</w:t>
      </w:r>
    </w:p>
    <w:p>
      <w:pPr>
        <w:widowControl w:val="0"/>
        <w:tabs>
          <w:tab w:val="left" w:pos="65"/>
        </w:tabs>
        <w:spacing w:line="460" w:lineRule="atLeast"/>
        <w:ind w:firstLine="480" w:firstLineChars="200"/>
        <w:textAlignment w:val="auto"/>
        <w:rPr>
          <w:color w:val="auto"/>
          <w:sz w:val="24"/>
        </w:rPr>
      </w:pPr>
      <w:r>
        <w:rPr>
          <w:rFonts w:hint="eastAsia"/>
          <w:color w:val="auto"/>
          <w:sz w:val="24"/>
        </w:rPr>
        <w:t>五、如我单位中标，</w:t>
      </w:r>
      <w:r>
        <w:rPr>
          <w:rFonts w:hint="eastAsia" w:ascii="宋体" w:hAnsi="宋体" w:cs="楷体_GB2312"/>
          <w:color w:val="auto"/>
          <w:sz w:val="24"/>
          <w:lang w:val="zh-CN"/>
        </w:rPr>
        <w:t>除不可抗拒力或</w:t>
      </w:r>
      <w:r>
        <w:rPr>
          <w:rFonts w:hint="eastAsia" w:ascii="宋体" w:hAnsi="宋体" w:cs="楷体_GB2312"/>
          <w:color w:val="auto"/>
          <w:sz w:val="24"/>
        </w:rPr>
        <w:t>招标</w:t>
      </w:r>
      <w:r>
        <w:rPr>
          <w:rFonts w:hint="eastAsia" w:ascii="宋体" w:hAnsi="宋体" w:cs="楷体_GB2312"/>
          <w:color w:val="auto"/>
          <w:sz w:val="24"/>
          <w:lang w:val="zh-CN"/>
        </w:rPr>
        <w:t>文件认可的情形外</w:t>
      </w:r>
      <w:r>
        <w:rPr>
          <w:rFonts w:hint="eastAsia"/>
          <w:color w:val="auto"/>
          <w:sz w:val="24"/>
        </w:rPr>
        <w:t>，我单位</w:t>
      </w:r>
      <w:r>
        <w:rPr>
          <w:rFonts w:hint="eastAsia" w:ascii="宋体" w:hAnsi="宋体"/>
          <w:color w:val="auto"/>
          <w:sz w:val="24"/>
          <w:szCs w:val="24"/>
        </w:rPr>
        <w:t>承诺</w:t>
      </w:r>
      <w:r>
        <w:rPr>
          <w:rFonts w:hint="eastAsia"/>
          <w:color w:val="auto"/>
          <w:sz w:val="24"/>
        </w:rPr>
        <w:t>及时领取中标通知书，</w:t>
      </w:r>
      <w:r>
        <w:rPr>
          <w:rFonts w:hint="eastAsia" w:ascii="宋体" w:hAnsi="宋体" w:cs="楷体_GB2312"/>
          <w:color w:val="auto"/>
          <w:sz w:val="24"/>
          <w:lang w:val="zh-CN"/>
        </w:rPr>
        <w:t>在成交通知书规定时间、地点与采购人签订合同</w:t>
      </w:r>
      <w:r>
        <w:rPr>
          <w:rFonts w:hint="eastAsia"/>
          <w:color w:val="auto"/>
          <w:sz w:val="24"/>
          <w:lang w:val="zh-CN"/>
        </w:rPr>
        <w:t>；</w:t>
      </w:r>
      <w:r>
        <w:rPr>
          <w:rFonts w:hint="eastAsia"/>
          <w:color w:val="auto"/>
          <w:sz w:val="24"/>
        </w:rPr>
        <w:br w:type="textWrapping"/>
      </w:r>
      <w:r>
        <w:rPr>
          <w:rFonts w:hint="eastAsia"/>
          <w:color w:val="auto"/>
          <w:sz w:val="24"/>
        </w:rPr>
        <w:t xml:space="preserve">    六、</w:t>
      </w:r>
      <w:r>
        <w:rPr>
          <w:rFonts w:hint="eastAsia" w:ascii="宋体" w:hAnsi="宋体" w:cs="楷体_GB2312"/>
          <w:color w:val="auto"/>
          <w:sz w:val="24"/>
          <w:lang w:val="zh-CN"/>
        </w:rPr>
        <w:t>遵守法律法规及招标文件规定的其他情况；</w:t>
      </w:r>
    </w:p>
    <w:p>
      <w:pPr>
        <w:widowControl w:val="0"/>
        <w:tabs>
          <w:tab w:val="left" w:pos="65"/>
        </w:tabs>
        <w:spacing w:line="460" w:lineRule="atLeast"/>
        <w:ind w:firstLine="480" w:firstLineChars="200"/>
        <w:textAlignment w:val="auto"/>
        <w:rPr>
          <w:color w:val="auto"/>
          <w:sz w:val="24"/>
        </w:rPr>
      </w:pPr>
      <w:r>
        <w:rPr>
          <w:rFonts w:hint="eastAsia"/>
          <w:color w:val="auto"/>
          <w:sz w:val="24"/>
        </w:rPr>
        <w:t>七、按招标文件规定</w:t>
      </w:r>
      <w:r>
        <w:rPr>
          <w:rFonts w:hint="eastAsia" w:ascii="宋体" w:hAnsi="宋体"/>
          <w:color w:val="auto"/>
          <w:sz w:val="24"/>
          <w:szCs w:val="24"/>
        </w:rPr>
        <w:t>及时</w:t>
      </w:r>
      <w:r>
        <w:rPr>
          <w:rFonts w:hint="eastAsia"/>
          <w:color w:val="auto"/>
          <w:sz w:val="24"/>
        </w:rPr>
        <w:t>缴纳中标服务费。</w:t>
      </w:r>
    </w:p>
    <w:p>
      <w:pPr>
        <w:widowControl w:val="0"/>
        <w:tabs>
          <w:tab w:val="left" w:pos="65"/>
        </w:tabs>
        <w:spacing w:line="460" w:lineRule="atLeast"/>
        <w:ind w:firstLine="480" w:firstLineChars="200"/>
        <w:textAlignment w:val="auto"/>
        <w:rPr>
          <w:color w:val="auto"/>
          <w:sz w:val="24"/>
        </w:rPr>
      </w:pPr>
      <w:r>
        <w:rPr>
          <w:rFonts w:hint="eastAsia"/>
          <w:color w:val="auto"/>
          <w:sz w:val="24"/>
        </w:rPr>
        <w:t>八、违背上述承诺事项的，我单位无条件接受以下责任追究：</w:t>
      </w:r>
    </w:p>
    <w:p>
      <w:pPr>
        <w:widowControl w:val="0"/>
        <w:tabs>
          <w:tab w:val="left" w:pos="65"/>
        </w:tabs>
        <w:spacing w:line="460" w:lineRule="atLeast"/>
        <w:ind w:firstLine="480" w:firstLineChars="200"/>
        <w:textAlignment w:val="auto"/>
        <w:rPr>
          <w:rFonts w:ascii="宋体" w:hAnsi="宋体" w:cs="楷体_GB2312"/>
          <w:color w:val="auto"/>
          <w:sz w:val="24"/>
          <w:lang w:val="zh-CN"/>
        </w:rPr>
      </w:pPr>
      <w:r>
        <w:rPr>
          <w:rFonts w:hint="eastAsia" w:ascii="宋体" w:hAnsi="宋体" w:cs="楷体_GB2312"/>
          <w:color w:val="auto"/>
          <w:sz w:val="24"/>
          <w:lang w:val="zh-CN"/>
        </w:rPr>
        <w:t>（一）法定责任：</w:t>
      </w:r>
      <w:r>
        <w:rPr>
          <w:rFonts w:hint="eastAsia"/>
          <w:color w:val="auto"/>
          <w:sz w:val="24"/>
        </w:rPr>
        <w:t>按照政府采购相关法规，</w:t>
      </w:r>
      <w:r>
        <w:rPr>
          <w:rFonts w:ascii="宋体" w:hAnsi="宋体" w:cs="楷体_GB2312"/>
          <w:color w:val="auto"/>
          <w:sz w:val="24"/>
          <w:lang w:val="zh-CN"/>
        </w:rPr>
        <w:t>处以罚款，列入不良行为记录名单，在一至三年内禁止参加政府采购活动，有违法所得的，并处没收违法所得，情节严重的，由工商行政管理机关</w:t>
      </w:r>
      <w:r>
        <w:rPr>
          <w:rFonts w:hint="eastAsia" w:ascii="宋体" w:hAnsi="宋体" w:cs="楷体_GB2312"/>
          <w:color w:val="auto"/>
          <w:sz w:val="24"/>
          <w:lang w:val="zh-CN"/>
        </w:rPr>
        <w:t>（市场监督机关）</w:t>
      </w:r>
      <w:r>
        <w:rPr>
          <w:rFonts w:ascii="宋体" w:hAnsi="宋体" w:cs="楷体_GB2312"/>
          <w:color w:val="auto"/>
          <w:sz w:val="24"/>
          <w:lang w:val="zh-CN"/>
        </w:rPr>
        <w:t>吊销营业执照；构成犯罪的，依法追究刑事责任</w:t>
      </w:r>
      <w:r>
        <w:rPr>
          <w:rFonts w:hint="eastAsia" w:ascii="宋体" w:hAnsi="宋体" w:cs="楷体_GB2312"/>
          <w:color w:val="auto"/>
          <w:sz w:val="24"/>
          <w:lang w:val="zh-CN"/>
        </w:rPr>
        <w:t>。</w:t>
      </w:r>
    </w:p>
    <w:p>
      <w:pPr>
        <w:widowControl w:val="0"/>
        <w:tabs>
          <w:tab w:val="left" w:pos="65"/>
        </w:tabs>
        <w:spacing w:line="460" w:lineRule="atLeast"/>
        <w:ind w:firstLine="480" w:firstLineChars="200"/>
        <w:textAlignment w:val="auto"/>
        <w:rPr>
          <w:rFonts w:ascii="宋体" w:hAnsi="宋体" w:cs="楷体_GB2312"/>
          <w:color w:val="auto"/>
          <w:sz w:val="24"/>
          <w:lang w:val="zh-CN"/>
        </w:rPr>
      </w:pPr>
      <w:r>
        <w:rPr>
          <w:rFonts w:hint="eastAsia"/>
          <w:color w:val="auto"/>
          <w:sz w:val="24"/>
        </w:rPr>
        <w:t>给采购人及他人造成损失的，愿承担相应的赔偿责任。</w:t>
      </w:r>
    </w:p>
    <w:p>
      <w:pPr>
        <w:widowControl w:val="0"/>
        <w:tabs>
          <w:tab w:val="left" w:pos="65"/>
        </w:tabs>
        <w:spacing w:line="460" w:lineRule="atLeast"/>
        <w:ind w:firstLine="480" w:firstLineChars="200"/>
        <w:textAlignment w:val="auto"/>
        <w:rPr>
          <w:color w:val="auto"/>
          <w:sz w:val="24"/>
        </w:rPr>
      </w:pPr>
      <w:r>
        <w:rPr>
          <w:rFonts w:hint="eastAsia" w:ascii="宋体" w:hAnsi="宋体" w:cs="楷体_GB2312"/>
          <w:color w:val="auto"/>
          <w:sz w:val="24"/>
          <w:lang w:val="zh-CN"/>
        </w:rPr>
        <w:t>（二）违约责任：</w:t>
      </w:r>
      <w:r>
        <w:rPr>
          <w:rFonts w:hint="eastAsia"/>
          <w:color w:val="auto"/>
          <w:sz w:val="24"/>
        </w:rPr>
        <w:t xml:space="preserve"> </w:t>
      </w:r>
    </w:p>
    <w:p>
      <w:pPr>
        <w:widowControl w:val="0"/>
        <w:tabs>
          <w:tab w:val="left" w:pos="65"/>
        </w:tabs>
        <w:spacing w:line="460" w:lineRule="atLeast"/>
        <w:ind w:firstLine="480" w:firstLineChars="200"/>
        <w:textAlignment w:val="auto"/>
        <w:rPr>
          <w:color w:val="auto"/>
          <w:sz w:val="24"/>
        </w:rPr>
      </w:pPr>
      <w:r>
        <w:rPr>
          <w:rFonts w:hint="eastAsia"/>
          <w:color w:val="auto"/>
          <w:sz w:val="24"/>
        </w:rPr>
        <w:t>1、已中标的，中标（</w:t>
      </w:r>
      <w:r>
        <w:rPr>
          <w:rFonts w:hint="eastAsia" w:ascii="宋体" w:hAnsi="宋体" w:cs="宋体"/>
          <w:color w:val="auto"/>
          <w:szCs w:val="21"/>
        </w:rPr>
        <w:t>成交</w:t>
      </w:r>
      <w:r>
        <w:rPr>
          <w:rFonts w:hint="eastAsia"/>
          <w:color w:val="auto"/>
          <w:sz w:val="24"/>
        </w:rPr>
        <w:t>）无效；</w:t>
      </w:r>
    </w:p>
    <w:p>
      <w:pPr>
        <w:widowControl w:val="0"/>
        <w:tabs>
          <w:tab w:val="left" w:pos="65"/>
        </w:tabs>
        <w:spacing w:line="460" w:lineRule="atLeast"/>
        <w:ind w:firstLine="480" w:firstLineChars="200"/>
        <w:textAlignment w:val="auto"/>
        <w:rPr>
          <w:color w:val="auto"/>
          <w:sz w:val="24"/>
        </w:rPr>
      </w:pPr>
      <w:r>
        <w:rPr>
          <w:rFonts w:hint="eastAsia"/>
          <w:color w:val="auto"/>
          <w:sz w:val="24"/>
        </w:rPr>
        <w:t>2、支付采购人违约标的预算金额2%的</w:t>
      </w:r>
      <w:r>
        <w:rPr>
          <w:rFonts w:hint="eastAsia" w:ascii="宋体" w:hAnsi="宋体" w:cs="楷体_GB2312"/>
          <w:color w:val="auto"/>
          <w:sz w:val="24"/>
          <w:lang w:val="zh-CN"/>
        </w:rPr>
        <w:t>违约金</w:t>
      </w:r>
      <w:r>
        <w:rPr>
          <w:rFonts w:hint="eastAsia"/>
          <w:color w:val="auto"/>
          <w:sz w:val="24"/>
        </w:rPr>
        <w:t>；</w:t>
      </w:r>
    </w:p>
    <w:p>
      <w:pPr>
        <w:widowControl w:val="0"/>
        <w:tabs>
          <w:tab w:val="left" w:pos="65"/>
        </w:tabs>
        <w:spacing w:line="460" w:lineRule="atLeast"/>
        <w:ind w:firstLine="480" w:firstLineChars="200"/>
        <w:textAlignment w:val="auto"/>
        <w:rPr>
          <w:color w:val="auto"/>
          <w:sz w:val="24"/>
          <w:lang w:val="zh-CN"/>
        </w:rPr>
      </w:pPr>
      <w:r>
        <w:rPr>
          <w:rFonts w:hint="eastAsia"/>
          <w:color w:val="auto"/>
          <w:sz w:val="24"/>
        </w:rPr>
        <w:t>3、中标后</w:t>
      </w:r>
      <w:r>
        <w:rPr>
          <w:rFonts w:hint="eastAsia" w:ascii="宋体" w:hAnsi="宋体"/>
          <w:color w:val="auto"/>
          <w:sz w:val="24"/>
          <w:szCs w:val="24"/>
        </w:rPr>
        <w:t>未缴</w:t>
      </w:r>
      <w:r>
        <w:rPr>
          <w:rFonts w:hint="eastAsia"/>
          <w:color w:val="auto"/>
          <w:sz w:val="24"/>
        </w:rPr>
        <w:t>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snapToGrid w:val="0"/>
        <w:spacing w:line="560" w:lineRule="atLeast"/>
        <w:jc w:val="center"/>
        <w:rPr>
          <w:rFonts w:ascii="宋体" w:hAnsi="宋体"/>
          <w:b/>
          <w:color w:val="auto"/>
          <w:sz w:val="32"/>
          <w:szCs w:val="32"/>
        </w:rPr>
      </w:pPr>
      <w:r>
        <w:rPr>
          <w:rFonts w:ascii="宋体" w:hAnsi="宋体"/>
          <w:b/>
          <w:color w:val="auto"/>
          <w:sz w:val="32"/>
          <w:szCs w:val="32"/>
        </w:rPr>
        <w:br w:type="page"/>
      </w: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1</w:t>
      </w:r>
      <w:r>
        <w:rPr>
          <w:rFonts w:ascii="黑体" w:hAnsi="黑体" w:eastAsia="黑体"/>
          <w:b/>
          <w:color w:val="auto"/>
          <w:sz w:val="30"/>
          <w:szCs w:val="30"/>
        </w:rPr>
        <w:t>5</w:t>
      </w:r>
      <w:r>
        <w:rPr>
          <w:rFonts w:hint="eastAsia" w:ascii="黑体" w:hAnsi="黑体" w:eastAsia="黑体"/>
          <w:b/>
          <w:color w:val="auto"/>
          <w:sz w:val="30"/>
          <w:szCs w:val="30"/>
        </w:rPr>
        <w:t>-5、其他资格证明材料</w:t>
      </w:r>
    </w:p>
    <w:p>
      <w:pPr>
        <w:snapToGrid w:val="0"/>
        <w:spacing w:line="560" w:lineRule="atLeast"/>
        <w:ind w:firstLine="480" w:firstLineChars="200"/>
        <w:rPr>
          <w:rFonts w:ascii="宋体" w:hAnsi="宋体"/>
          <w:b/>
          <w:color w:val="auto"/>
          <w:sz w:val="24"/>
          <w:szCs w:val="24"/>
        </w:rPr>
      </w:pPr>
      <w:r>
        <w:rPr>
          <w:rFonts w:hint="eastAsia" w:ascii="宋体" w:hAnsi="宋体"/>
          <w:color w:val="auto"/>
          <w:sz w:val="24"/>
          <w:szCs w:val="24"/>
        </w:rPr>
        <w:t>按招标文件要求提供的其他资格证明材料或供应商认为有必要提供的其他证明材料。（按招标文件要求</w:t>
      </w:r>
      <w:r>
        <w:rPr>
          <w:rFonts w:hint="eastAsia" w:ascii="宋体" w:hAnsi="宋体" w:cs="楷体_GB2312"/>
          <w:color w:val="auto"/>
          <w:sz w:val="24"/>
          <w:lang w:val="zh-CN"/>
        </w:rPr>
        <w:t>电子签名&lt;签</w:t>
      </w:r>
      <w:r>
        <w:rPr>
          <w:rFonts w:hint="eastAsia" w:ascii="宋体" w:hAnsi="宋体"/>
          <w:color w:val="auto"/>
          <w:sz w:val="24"/>
          <w:szCs w:val="24"/>
        </w:rPr>
        <w:t>章&gt;。）</w:t>
      </w:r>
    </w:p>
    <w:p>
      <w:pPr>
        <w:tabs>
          <w:tab w:val="left" w:pos="9365"/>
        </w:tabs>
        <w:spacing w:before="360" w:after="360" w:line="586" w:lineRule="atLeast"/>
        <w:ind w:right="85" w:firstLine="600" w:firstLineChars="250"/>
        <w:jc w:val="left"/>
        <w:textAlignment w:val="top"/>
        <w:rPr>
          <w:rFonts w:ascii="宋体" w:hAnsi="宋体"/>
          <w:color w:val="auto"/>
          <w:sz w:val="24"/>
          <w:szCs w:val="24"/>
        </w:rPr>
      </w:pPr>
    </w:p>
    <w:p>
      <w:pPr>
        <w:snapToGrid w:val="0"/>
        <w:spacing w:before="240" w:after="240" w:line="540" w:lineRule="exact"/>
        <w:ind w:right="85"/>
        <w:jc w:val="left"/>
        <w:textAlignment w:val="top"/>
        <w:rPr>
          <w:rFonts w:ascii="宋体" w:hAnsi="宋体"/>
          <w:color w:val="auto"/>
          <w:sz w:val="24"/>
          <w:szCs w:val="24"/>
        </w:rPr>
      </w:pPr>
    </w:p>
    <w:p>
      <w:pPr>
        <w:snapToGrid w:val="0"/>
        <w:spacing w:line="560" w:lineRule="atLeast"/>
        <w:jc w:val="center"/>
        <w:rPr>
          <w:rFonts w:ascii="宋体" w:hAnsi="宋体"/>
          <w:b/>
          <w:color w:val="auto"/>
          <w:sz w:val="32"/>
          <w:szCs w:val="32"/>
        </w:rPr>
      </w:pPr>
    </w:p>
    <w:p>
      <w:pPr>
        <w:widowControl w:val="0"/>
        <w:snapToGrid w:val="0"/>
        <w:spacing w:line="560" w:lineRule="exact"/>
        <w:jc w:val="center"/>
        <w:rPr>
          <w:rFonts w:eastAsia="方正黑体简体"/>
          <w:b/>
          <w:color w:val="auto"/>
          <w:sz w:val="30"/>
          <w:szCs w:val="30"/>
        </w:rPr>
      </w:pPr>
    </w:p>
    <w:p>
      <w:pPr>
        <w:widowControl w:val="0"/>
        <w:snapToGrid w:val="0"/>
        <w:spacing w:line="360" w:lineRule="auto"/>
        <w:jc w:val="left"/>
        <w:outlineLvl w:val="0"/>
        <w:rPr>
          <w:rFonts w:ascii="宋体" w:hAnsi="宋体"/>
          <w:color w:val="auto"/>
          <w:sz w:val="24"/>
          <w:szCs w:val="24"/>
        </w:rPr>
      </w:pPr>
    </w:p>
    <w:p>
      <w:pPr>
        <w:snapToGrid w:val="0"/>
        <w:spacing w:before="240" w:after="240" w:line="540" w:lineRule="exact"/>
        <w:ind w:right="85"/>
        <w:jc w:val="left"/>
        <w:textAlignment w:val="top"/>
        <w:rPr>
          <w:rFonts w:ascii="宋体" w:hAnsi="宋体"/>
          <w:color w:val="auto"/>
          <w:sz w:val="24"/>
          <w:szCs w:val="24"/>
        </w:rPr>
      </w:pPr>
    </w:p>
    <w:p>
      <w:pPr>
        <w:snapToGrid w:val="0"/>
        <w:spacing w:line="560" w:lineRule="atLeast"/>
        <w:jc w:val="center"/>
        <w:rPr>
          <w:rFonts w:ascii="宋体" w:hAnsi="宋体"/>
          <w:b/>
          <w:color w:val="auto"/>
          <w:sz w:val="32"/>
          <w:szCs w:val="32"/>
        </w:rPr>
      </w:pPr>
    </w:p>
    <w:p>
      <w:pPr>
        <w:widowControl w:val="0"/>
        <w:snapToGrid w:val="0"/>
        <w:spacing w:line="560" w:lineRule="exact"/>
        <w:jc w:val="center"/>
        <w:rPr>
          <w:rFonts w:eastAsia="方正黑体简体"/>
          <w:b/>
          <w:color w:val="auto"/>
          <w:sz w:val="30"/>
          <w:szCs w:val="30"/>
        </w:rPr>
      </w:pPr>
    </w:p>
    <w:p>
      <w:pPr>
        <w:widowControl w:val="0"/>
        <w:snapToGrid w:val="0"/>
        <w:spacing w:line="560" w:lineRule="exact"/>
        <w:rPr>
          <w:rFonts w:eastAsia="方正黑体简体"/>
          <w:b/>
          <w:color w:val="auto"/>
          <w:sz w:val="30"/>
          <w:szCs w:val="30"/>
        </w:rPr>
      </w:pPr>
    </w:p>
    <w:p>
      <w:pPr>
        <w:widowControl w:val="0"/>
        <w:snapToGrid w:val="0"/>
        <w:spacing w:line="560" w:lineRule="exact"/>
        <w:rPr>
          <w:rFonts w:eastAsia="方正黑体简体"/>
          <w:b/>
          <w:color w:val="auto"/>
          <w:sz w:val="30"/>
          <w:szCs w:val="30"/>
        </w:rPr>
      </w:pPr>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华文新魏">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firstLine="105" w:firstLineChars="50"/>
      <w:jc w:val="left"/>
      <w:rPr>
        <w:rFonts w:ascii="宋体" w:hAnsi="宋体"/>
        <w:szCs w:val="21"/>
        <w:u w:val="single"/>
      </w:rPr>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3"/>
        <w:rFonts w:ascii="宋体" w:hAnsi="宋体"/>
        <w:szCs w:val="21"/>
        <w:u w:val="single"/>
      </w:rPr>
      <w:fldChar w:fldCharType="begin"/>
    </w:r>
    <w:r>
      <w:rPr>
        <w:rStyle w:val="23"/>
        <w:rFonts w:ascii="宋体" w:hAnsi="宋体"/>
        <w:szCs w:val="21"/>
        <w:u w:val="single"/>
      </w:rPr>
      <w:instrText xml:space="preserve"> PAGE </w:instrText>
    </w:r>
    <w:r>
      <w:rPr>
        <w:rStyle w:val="23"/>
        <w:rFonts w:ascii="宋体" w:hAnsi="宋体"/>
        <w:szCs w:val="21"/>
        <w:u w:val="single"/>
      </w:rPr>
      <w:fldChar w:fldCharType="separate"/>
    </w:r>
    <w:r>
      <w:rPr>
        <w:rStyle w:val="23"/>
        <w:rFonts w:ascii="宋体" w:hAnsi="宋体"/>
        <w:szCs w:val="21"/>
        <w:u w:val="single"/>
      </w:rPr>
      <w:t>- 37 -</w:t>
    </w:r>
    <w:r>
      <w:rPr>
        <w:rStyle w:val="23"/>
        <w:rFonts w:ascii="宋体" w:hAnsi="宋体"/>
        <w:szCs w:val="21"/>
        <w:u w:val="single"/>
      </w:rPr>
      <w:fldChar w:fldCharType="end"/>
    </w:r>
    <w:r>
      <w:rPr>
        <w:rStyle w:val="23"/>
        <w:rFonts w:ascii="宋体" w:hAnsi="宋体"/>
        <w:szCs w:val="21"/>
        <w:u w:val="single"/>
      </w:rPr>
      <w:t xml:space="preserve"> </w:t>
    </w:r>
    <w:r>
      <w:rPr>
        <w:rStyle w:val="23"/>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3"/>
        <w:szCs w:val="21"/>
        <w:u w:val="single"/>
      </w:rPr>
      <w:t>66</w:t>
    </w:r>
    <w:r>
      <w:rPr>
        <w:rStyle w:val="23"/>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w:pict>
        <v:shape id="Text Box 1026" o:spid="_x0000_s1027"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ne5yNkAAAAOAQAADwAAAAAAAAABACAAAAAiAAAAZHJzL2Rvd25yZXYu&#10;eG1sUEsBAhQAFAAAAAgAh07iQD9is8L6AQAA/AMAAA4AAAAAAAAAAQAgAAAAKAEAAGRycy9lMm9E&#10;b2MueG1sUEsFBgAAAAAGAAYAWQEAAJQFAAAAAA==&#10;">
          <v:path/>
          <v:fill on="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N05x2AAAAAoBAAAPAAAAAAAAAAEAIAAAACIAAABkcnMvZG93bnJldi54bWxQ&#10;SwECFAAUAAAACACHTuJAJySDtPcBAAD5AwAADgAAAAAAAAABACAAAAAnAQAAZHJzL2Uyb0RvYy54&#10;bWxQSwUGAAAAAAYABgBZAQAAkAUAAAAA&#10;">
          <v:path/>
          <v:fill on="f" focussize="0,0"/>
          <v:stroke on="f" joinstyle="miter"/>
          <v:imagedata o:title=""/>
          <o:lock v:ext="edi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A87A8"/>
    <w:multiLevelType w:val="singleLevel"/>
    <w:tmpl w:val="A57A87A8"/>
    <w:lvl w:ilvl="0" w:tentative="0">
      <w:start w:val="1"/>
      <w:numFmt w:val="chineseCounting"/>
      <w:suff w:val="nothing"/>
      <w:lvlText w:val="%1、"/>
      <w:lvlJc w:val="left"/>
      <w:rPr>
        <w:rFonts w:hint="eastAsia"/>
      </w:rPr>
    </w:lvl>
  </w:abstractNum>
  <w:abstractNum w:abstractNumId="1">
    <w:nsid w:val="B3805C1B"/>
    <w:multiLevelType w:val="singleLevel"/>
    <w:tmpl w:val="B3805C1B"/>
    <w:lvl w:ilvl="0" w:tentative="0">
      <w:start w:val="1"/>
      <w:numFmt w:val="decimal"/>
      <w:suff w:val="space"/>
      <w:lvlText w:val="%1."/>
      <w:lvlJc w:val="left"/>
    </w:lvl>
  </w:abstractNum>
  <w:abstractNum w:abstractNumId="2">
    <w:nsid w:val="32FF1E31"/>
    <w:multiLevelType w:val="multilevel"/>
    <w:tmpl w:val="32FF1E31"/>
    <w:lvl w:ilvl="0" w:tentative="0">
      <w:start w:val="1"/>
      <w:numFmt w:val="decimal"/>
      <w:lvlText w:val="%1."/>
      <w:lvlJc w:val="left"/>
      <w:pPr>
        <w:ind w:left="938" w:hanging="360"/>
      </w:pPr>
      <w:rPr>
        <w:rFonts w:hint="default"/>
      </w:r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dit="forms" w:formatting="1" w:enforcement="1" w:cryptProviderType="rsaFull" w:cryptAlgorithmClass="hash" w:cryptAlgorithmType="typeAny" w:cryptAlgorithmSid="4" w:cryptSpinCount="0" w:hash="OKlxzaK8sjS5/SGlC2M6L5+62EU=" w:salt="x0uua/RzAzcN+wEUHw06XA=="/>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WViYWFjMDEyOWIxMDRiMzJjNmM0MTE3OGZjYjA0YjkifQ=="/>
  </w:docVars>
  <w:rsids>
    <w:rsidRoot w:val="00172A27"/>
    <w:rsid w:val="00001D7A"/>
    <w:rsid w:val="00002B87"/>
    <w:rsid w:val="00006184"/>
    <w:rsid w:val="000118FF"/>
    <w:rsid w:val="00011F9D"/>
    <w:rsid w:val="000129C4"/>
    <w:rsid w:val="00013814"/>
    <w:rsid w:val="00013DB2"/>
    <w:rsid w:val="00014FA0"/>
    <w:rsid w:val="00015C36"/>
    <w:rsid w:val="00016334"/>
    <w:rsid w:val="00017560"/>
    <w:rsid w:val="0001783F"/>
    <w:rsid w:val="00017E1E"/>
    <w:rsid w:val="00020336"/>
    <w:rsid w:val="0002248C"/>
    <w:rsid w:val="00023676"/>
    <w:rsid w:val="00024608"/>
    <w:rsid w:val="00025438"/>
    <w:rsid w:val="00025F1E"/>
    <w:rsid w:val="0002701F"/>
    <w:rsid w:val="0002737B"/>
    <w:rsid w:val="0003123D"/>
    <w:rsid w:val="0003321D"/>
    <w:rsid w:val="000339BC"/>
    <w:rsid w:val="0003567F"/>
    <w:rsid w:val="00035CA9"/>
    <w:rsid w:val="00036AA4"/>
    <w:rsid w:val="000372BB"/>
    <w:rsid w:val="000413BB"/>
    <w:rsid w:val="00041891"/>
    <w:rsid w:val="0004237C"/>
    <w:rsid w:val="00042CA8"/>
    <w:rsid w:val="00042F27"/>
    <w:rsid w:val="000437D6"/>
    <w:rsid w:val="00043821"/>
    <w:rsid w:val="00043CBA"/>
    <w:rsid w:val="00043D90"/>
    <w:rsid w:val="000441FD"/>
    <w:rsid w:val="00045899"/>
    <w:rsid w:val="000458E7"/>
    <w:rsid w:val="00050832"/>
    <w:rsid w:val="00052D79"/>
    <w:rsid w:val="00056986"/>
    <w:rsid w:val="00056C7E"/>
    <w:rsid w:val="00057BA0"/>
    <w:rsid w:val="00057F78"/>
    <w:rsid w:val="000605B1"/>
    <w:rsid w:val="0006134B"/>
    <w:rsid w:val="000622B5"/>
    <w:rsid w:val="00062784"/>
    <w:rsid w:val="00062821"/>
    <w:rsid w:val="00065301"/>
    <w:rsid w:val="00070DCC"/>
    <w:rsid w:val="00071C34"/>
    <w:rsid w:val="00072834"/>
    <w:rsid w:val="000732AB"/>
    <w:rsid w:val="0007358E"/>
    <w:rsid w:val="0007390E"/>
    <w:rsid w:val="00073A45"/>
    <w:rsid w:val="00074985"/>
    <w:rsid w:val="00077629"/>
    <w:rsid w:val="00080AE9"/>
    <w:rsid w:val="00081801"/>
    <w:rsid w:val="00081C6C"/>
    <w:rsid w:val="000823AD"/>
    <w:rsid w:val="0008258F"/>
    <w:rsid w:val="000829A8"/>
    <w:rsid w:val="000829DB"/>
    <w:rsid w:val="00083869"/>
    <w:rsid w:val="00084C56"/>
    <w:rsid w:val="00085435"/>
    <w:rsid w:val="00086B70"/>
    <w:rsid w:val="00087AB7"/>
    <w:rsid w:val="000906F2"/>
    <w:rsid w:val="00090D6B"/>
    <w:rsid w:val="00090EB6"/>
    <w:rsid w:val="00091C5E"/>
    <w:rsid w:val="0009268E"/>
    <w:rsid w:val="000929AC"/>
    <w:rsid w:val="0009302D"/>
    <w:rsid w:val="00093A6B"/>
    <w:rsid w:val="000956CE"/>
    <w:rsid w:val="000962DF"/>
    <w:rsid w:val="000A1EF0"/>
    <w:rsid w:val="000A2F4F"/>
    <w:rsid w:val="000A3FE8"/>
    <w:rsid w:val="000A4640"/>
    <w:rsid w:val="000A55EE"/>
    <w:rsid w:val="000A61F5"/>
    <w:rsid w:val="000A688B"/>
    <w:rsid w:val="000A7A3C"/>
    <w:rsid w:val="000B1334"/>
    <w:rsid w:val="000B2559"/>
    <w:rsid w:val="000B3DD8"/>
    <w:rsid w:val="000B4758"/>
    <w:rsid w:val="000B535A"/>
    <w:rsid w:val="000B5412"/>
    <w:rsid w:val="000B6571"/>
    <w:rsid w:val="000C0072"/>
    <w:rsid w:val="000C0358"/>
    <w:rsid w:val="000C17C5"/>
    <w:rsid w:val="000C2AA6"/>
    <w:rsid w:val="000C418B"/>
    <w:rsid w:val="000C5E57"/>
    <w:rsid w:val="000C6578"/>
    <w:rsid w:val="000D1898"/>
    <w:rsid w:val="000D2631"/>
    <w:rsid w:val="000D29E1"/>
    <w:rsid w:val="000E02FC"/>
    <w:rsid w:val="000E07C6"/>
    <w:rsid w:val="000E127A"/>
    <w:rsid w:val="000E41D5"/>
    <w:rsid w:val="000E54A0"/>
    <w:rsid w:val="000E6E96"/>
    <w:rsid w:val="000F0906"/>
    <w:rsid w:val="000F108C"/>
    <w:rsid w:val="000F3188"/>
    <w:rsid w:val="000F3282"/>
    <w:rsid w:val="000F3D46"/>
    <w:rsid w:val="000F3E7E"/>
    <w:rsid w:val="000F4146"/>
    <w:rsid w:val="000F4C91"/>
    <w:rsid w:val="000F4DB4"/>
    <w:rsid w:val="000F71A3"/>
    <w:rsid w:val="000F756B"/>
    <w:rsid w:val="000F7917"/>
    <w:rsid w:val="000F79CB"/>
    <w:rsid w:val="000F7BE8"/>
    <w:rsid w:val="0010005D"/>
    <w:rsid w:val="00103B89"/>
    <w:rsid w:val="001056D3"/>
    <w:rsid w:val="00107435"/>
    <w:rsid w:val="00110434"/>
    <w:rsid w:val="00110916"/>
    <w:rsid w:val="00111476"/>
    <w:rsid w:val="001118D4"/>
    <w:rsid w:val="00113D0A"/>
    <w:rsid w:val="00115075"/>
    <w:rsid w:val="001163D8"/>
    <w:rsid w:val="00117724"/>
    <w:rsid w:val="00120466"/>
    <w:rsid w:val="00123128"/>
    <w:rsid w:val="00124C33"/>
    <w:rsid w:val="00124FA8"/>
    <w:rsid w:val="0012536B"/>
    <w:rsid w:val="00126132"/>
    <w:rsid w:val="00126CF1"/>
    <w:rsid w:val="00130453"/>
    <w:rsid w:val="00131B13"/>
    <w:rsid w:val="00131CCB"/>
    <w:rsid w:val="00132364"/>
    <w:rsid w:val="001331D2"/>
    <w:rsid w:val="001342A5"/>
    <w:rsid w:val="00135227"/>
    <w:rsid w:val="001364C3"/>
    <w:rsid w:val="001373F3"/>
    <w:rsid w:val="001376B5"/>
    <w:rsid w:val="001378C9"/>
    <w:rsid w:val="001401E4"/>
    <w:rsid w:val="001403FB"/>
    <w:rsid w:val="001409F2"/>
    <w:rsid w:val="00144530"/>
    <w:rsid w:val="001460BD"/>
    <w:rsid w:val="001531FB"/>
    <w:rsid w:val="001532B2"/>
    <w:rsid w:val="001537D5"/>
    <w:rsid w:val="0015450A"/>
    <w:rsid w:val="00157A88"/>
    <w:rsid w:val="00157ACA"/>
    <w:rsid w:val="00161EAD"/>
    <w:rsid w:val="00166938"/>
    <w:rsid w:val="0016693E"/>
    <w:rsid w:val="00167109"/>
    <w:rsid w:val="0016783C"/>
    <w:rsid w:val="001708C3"/>
    <w:rsid w:val="00170AE1"/>
    <w:rsid w:val="00170FA3"/>
    <w:rsid w:val="0017176A"/>
    <w:rsid w:val="001717B5"/>
    <w:rsid w:val="001719D7"/>
    <w:rsid w:val="00172A27"/>
    <w:rsid w:val="00172A7E"/>
    <w:rsid w:val="00175E3A"/>
    <w:rsid w:val="00176924"/>
    <w:rsid w:val="00182CA9"/>
    <w:rsid w:val="00183ABB"/>
    <w:rsid w:val="00186884"/>
    <w:rsid w:val="00187C84"/>
    <w:rsid w:val="0019156E"/>
    <w:rsid w:val="001918A1"/>
    <w:rsid w:val="00194451"/>
    <w:rsid w:val="001965DC"/>
    <w:rsid w:val="0019697C"/>
    <w:rsid w:val="00196E5D"/>
    <w:rsid w:val="001A02B0"/>
    <w:rsid w:val="001A1BB5"/>
    <w:rsid w:val="001A1D5B"/>
    <w:rsid w:val="001A1EE2"/>
    <w:rsid w:val="001A2564"/>
    <w:rsid w:val="001A46D0"/>
    <w:rsid w:val="001A5D00"/>
    <w:rsid w:val="001A733E"/>
    <w:rsid w:val="001B3387"/>
    <w:rsid w:val="001B353D"/>
    <w:rsid w:val="001B4202"/>
    <w:rsid w:val="001B5626"/>
    <w:rsid w:val="001B598B"/>
    <w:rsid w:val="001B6072"/>
    <w:rsid w:val="001B7085"/>
    <w:rsid w:val="001B7B35"/>
    <w:rsid w:val="001C015C"/>
    <w:rsid w:val="001C050D"/>
    <w:rsid w:val="001C1715"/>
    <w:rsid w:val="001C219F"/>
    <w:rsid w:val="001C2389"/>
    <w:rsid w:val="001C2D34"/>
    <w:rsid w:val="001C397C"/>
    <w:rsid w:val="001C4B92"/>
    <w:rsid w:val="001C56BF"/>
    <w:rsid w:val="001C6195"/>
    <w:rsid w:val="001C6505"/>
    <w:rsid w:val="001C6FC8"/>
    <w:rsid w:val="001C78FE"/>
    <w:rsid w:val="001D14A1"/>
    <w:rsid w:val="001D17A7"/>
    <w:rsid w:val="001D292F"/>
    <w:rsid w:val="001D2CF7"/>
    <w:rsid w:val="001D2F63"/>
    <w:rsid w:val="001D3921"/>
    <w:rsid w:val="001D3B0B"/>
    <w:rsid w:val="001D6772"/>
    <w:rsid w:val="001D6C63"/>
    <w:rsid w:val="001D742A"/>
    <w:rsid w:val="001D79E1"/>
    <w:rsid w:val="001D7FC1"/>
    <w:rsid w:val="001E04F2"/>
    <w:rsid w:val="001E0A3F"/>
    <w:rsid w:val="001E1A46"/>
    <w:rsid w:val="001E25BA"/>
    <w:rsid w:val="001E25FA"/>
    <w:rsid w:val="001E2ED6"/>
    <w:rsid w:val="001E30AE"/>
    <w:rsid w:val="001E364B"/>
    <w:rsid w:val="001E45BE"/>
    <w:rsid w:val="001E5C93"/>
    <w:rsid w:val="001F6921"/>
    <w:rsid w:val="001F7D39"/>
    <w:rsid w:val="001F7ECB"/>
    <w:rsid w:val="00202D93"/>
    <w:rsid w:val="00202E2A"/>
    <w:rsid w:val="00203933"/>
    <w:rsid w:val="00204C09"/>
    <w:rsid w:val="00205148"/>
    <w:rsid w:val="002052BF"/>
    <w:rsid w:val="0020536F"/>
    <w:rsid w:val="002053E8"/>
    <w:rsid w:val="00205670"/>
    <w:rsid w:val="00205DC9"/>
    <w:rsid w:val="0020635B"/>
    <w:rsid w:val="002064E1"/>
    <w:rsid w:val="00207968"/>
    <w:rsid w:val="00207B50"/>
    <w:rsid w:val="00212022"/>
    <w:rsid w:val="00214228"/>
    <w:rsid w:val="0021493D"/>
    <w:rsid w:val="00214DD7"/>
    <w:rsid w:val="00214F54"/>
    <w:rsid w:val="002155C5"/>
    <w:rsid w:val="002160FB"/>
    <w:rsid w:val="0021708F"/>
    <w:rsid w:val="002178F5"/>
    <w:rsid w:val="002228C6"/>
    <w:rsid w:val="00223411"/>
    <w:rsid w:val="002238AE"/>
    <w:rsid w:val="002238BD"/>
    <w:rsid w:val="002247B5"/>
    <w:rsid w:val="0022623B"/>
    <w:rsid w:val="0022680B"/>
    <w:rsid w:val="0023012A"/>
    <w:rsid w:val="00231D21"/>
    <w:rsid w:val="0023225F"/>
    <w:rsid w:val="0023255F"/>
    <w:rsid w:val="00235797"/>
    <w:rsid w:val="0023589D"/>
    <w:rsid w:val="00235F2B"/>
    <w:rsid w:val="00236EE2"/>
    <w:rsid w:val="00237A15"/>
    <w:rsid w:val="00240733"/>
    <w:rsid w:val="00241D3A"/>
    <w:rsid w:val="002423AD"/>
    <w:rsid w:val="0024269B"/>
    <w:rsid w:val="00244532"/>
    <w:rsid w:val="00244845"/>
    <w:rsid w:val="00244B40"/>
    <w:rsid w:val="00246A36"/>
    <w:rsid w:val="00247523"/>
    <w:rsid w:val="002475F4"/>
    <w:rsid w:val="00247993"/>
    <w:rsid w:val="00247F59"/>
    <w:rsid w:val="0025043E"/>
    <w:rsid w:val="00250D5C"/>
    <w:rsid w:val="00252438"/>
    <w:rsid w:val="00253446"/>
    <w:rsid w:val="00254149"/>
    <w:rsid w:val="00254F6E"/>
    <w:rsid w:val="00255939"/>
    <w:rsid w:val="0025656F"/>
    <w:rsid w:val="002574D7"/>
    <w:rsid w:val="00257B22"/>
    <w:rsid w:val="00260E74"/>
    <w:rsid w:val="002665E4"/>
    <w:rsid w:val="002673AF"/>
    <w:rsid w:val="00270437"/>
    <w:rsid w:val="0027067C"/>
    <w:rsid w:val="00270D09"/>
    <w:rsid w:val="00270FE1"/>
    <w:rsid w:val="00271ABB"/>
    <w:rsid w:val="0027281A"/>
    <w:rsid w:val="00272DEC"/>
    <w:rsid w:val="002759A2"/>
    <w:rsid w:val="00276204"/>
    <w:rsid w:val="00276C58"/>
    <w:rsid w:val="00280E45"/>
    <w:rsid w:val="002810F8"/>
    <w:rsid w:val="00282504"/>
    <w:rsid w:val="00283767"/>
    <w:rsid w:val="0028499C"/>
    <w:rsid w:val="002901A4"/>
    <w:rsid w:val="00290ACC"/>
    <w:rsid w:val="00290D50"/>
    <w:rsid w:val="00291105"/>
    <w:rsid w:val="002936B7"/>
    <w:rsid w:val="0029442F"/>
    <w:rsid w:val="0029595B"/>
    <w:rsid w:val="00295A34"/>
    <w:rsid w:val="00296501"/>
    <w:rsid w:val="00297034"/>
    <w:rsid w:val="002975BF"/>
    <w:rsid w:val="0029799B"/>
    <w:rsid w:val="002A0906"/>
    <w:rsid w:val="002A1CD2"/>
    <w:rsid w:val="002A2127"/>
    <w:rsid w:val="002A2B5C"/>
    <w:rsid w:val="002A2B93"/>
    <w:rsid w:val="002A3AEF"/>
    <w:rsid w:val="002A4898"/>
    <w:rsid w:val="002A4F6F"/>
    <w:rsid w:val="002A5411"/>
    <w:rsid w:val="002A6206"/>
    <w:rsid w:val="002A6ED3"/>
    <w:rsid w:val="002B01D6"/>
    <w:rsid w:val="002B2CE9"/>
    <w:rsid w:val="002B2F3A"/>
    <w:rsid w:val="002B5E0D"/>
    <w:rsid w:val="002B6471"/>
    <w:rsid w:val="002B7A62"/>
    <w:rsid w:val="002C00FF"/>
    <w:rsid w:val="002C3D91"/>
    <w:rsid w:val="002C4340"/>
    <w:rsid w:val="002C4F66"/>
    <w:rsid w:val="002C5F65"/>
    <w:rsid w:val="002C61E4"/>
    <w:rsid w:val="002C65FF"/>
    <w:rsid w:val="002C75BE"/>
    <w:rsid w:val="002D065F"/>
    <w:rsid w:val="002D157C"/>
    <w:rsid w:val="002D2612"/>
    <w:rsid w:val="002D3A86"/>
    <w:rsid w:val="002D40BF"/>
    <w:rsid w:val="002D49C0"/>
    <w:rsid w:val="002D6B6F"/>
    <w:rsid w:val="002D7A77"/>
    <w:rsid w:val="002D7BE8"/>
    <w:rsid w:val="002E098C"/>
    <w:rsid w:val="002E3E40"/>
    <w:rsid w:val="002E474B"/>
    <w:rsid w:val="002E76EF"/>
    <w:rsid w:val="002E7E70"/>
    <w:rsid w:val="002F08C6"/>
    <w:rsid w:val="002F14E3"/>
    <w:rsid w:val="002F24F3"/>
    <w:rsid w:val="002F2754"/>
    <w:rsid w:val="002F27B6"/>
    <w:rsid w:val="002F2CD7"/>
    <w:rsid w:val="002F37CB"/>
    <w:rsid w:val="002F4ADA"/>
    <w:rsid w:val="002F5465"/>
    <w:rsid w:val="002F6669"/>
    <w:rsid w:val="002F7AD0"/>
    <w:rsid w:val="002F7EF3"/>
    <w:rsid w:val="00300C56"/>
    <w:rsid w:val="0030169A"/>
    <w:rsid w:val="00303A7C"/>
    <w:rsid w:val="00306123"/>
    <w:rsid w:val="00307CF1"/>
    <w:rsid w:val="0031007D"/>
    <w:rsid w:val="003107DD"/>
    <w:rsid w:val="00311B9B"/>
    <w:rsid w:val="00311CDC"/>
    <w:rsid w:val="00311F97"/>
    <w:rsid w:val="0031279C"/>
    <w:rsid w:val="00313380"/>
    <w:rsid w:val="00313E93"/>
    <w:rsid w:val="003142BE"/>
    <w:rsid w:val="0031536A"/>
    <w:rsid w:val="003157D1"/>
    <w:rsid w:val="00317222"/>
    <w:rsid w:val="00321555"/>
    <w:rsid w:val="00322799"/>
    <w:rsid w:val="003241F1"/>
    <w:rsid w:val="00324984"/>
    <w:rsid w:val="00325EB2"/>
    <w:rsid w:val="00326A53"/>
    <w:rsid w:val="003301E5"/>
    <w:rsid w:val="00333BB7"/>
    <w:rsid w:val="00334800"/>
    <w:rsid w:val="00334CC7"/>
    <w:rsid w:val="003355B7"/>
    <w:rsid w:val="00336C72"/>
    <w:rsid w:val="0034044F"/>
    <w:rsid w:val="00343634"/>
    <w:rsid w:val="00343A1D"/>
    <w:rsid w:val="00343D9C"/>
    <w:rsid w:val="00344987"/>
    <w:rsid w:val="003459A8"/>
    <w:rsid w:val="003463EF"/>
    <w:rsid w:val="003465F0"/>
    <w:rsid w:val="00346AF1"/>
    <w:rsid w:val="00347CFE"/>
    <w:rsid w:val="0035121B"/>
    <w:rsid w:val="00352A69"/>
    <w:rsid w:val="00352D4E"/>
    <w:rsid w:val="00353D74"/>
    <w:rsid w:val="0035556C"/>
    <w:rsid w:val="0035574A"/>
    <w:rsid w:val="00356466"/>
    <w:rsid w:val="00360A1D"/>
    <w:rsid w:val="00360ACB"/>
    <w:rsid w:val="00361811"/>
    <w:rsid w:val="00363155"/>
    <w:rsid w:val="00363B02"/>
    <w:rsid w:val="003642B6"/>
    <w:rsid w:val="0036436D"/>
    <w:rsid w:val="003649C7"/>
    <w:rsid w:val="00365BD8"/>
    <w:rsid w:val="0036763F"/>
    <w:rsid w:val="003676C5"/>
    <w:rsid w:val="00370E66"/>
    <w:rsid w:val="0037102A"/>
    <w:rsid w:val="003716BF"/>
    <w:rsid w:val="00371760"/>
    <w:rsid w:val="00372E14"/>
    <w:rsid w:val="0037416F"/>
    <w:rsid w:val="003758BE"/>
    <w:rsid w:val="00376869"/>
    <w:rsid w:val="003768B2"/>
    <w:rsid w:val="003778E8"/>
    <w:rsid w:val="00380598"/>
    <w:rsid w:val="00380ED1"/>
    <w:rsid w:val="00381B01"/>
    <w:rsid w:val="00382317"/>
    <w:rsid w:val="003829D9"/>
    <w:rsid w:val="00383B17"/>
    <w:rsid w:val="00384A92"/>
    <w:rsid w:val="003854F3"/>
    <w:rsid w:val="00385956"/>
    <w:rsid w:val="00386518"/>
    <w:rsid w:val="00391A61"/>
    <w:rsid w:val="00397B1C"/>
    <w:rsid w:val="00397E86"/>
    <w:rsid w:val="003A01CC"/>
    <w:rsid w:val="003A027C"/>
    <w:rsid w:val="003A1388"/>
    <w:rsid w:val="003A1D20"/>
    <w:rsid w:val="003A258C"/>
    <w:rsid w:val="003A40E7"/>
    <w:rsid w:val="003A4472"/>
    <w:rsid w:val="003A5DC1"/>
    <w:rsid w:val="003A66AB"/>
    <w:rsid w:val="003A78B7"/>
    <w:rsid w:val="003B06A2"/>
    <w:rsid w:val="003B0EA2"/>
    <w:rsid w:val="003B13BE"/>
    <w:rsid w:val="003B5B12"/>
    <w:rsid w:val="003B5BD6"/>
    <w:rsid w:val="003B5D7B"/>
    <w:rsid w:val="003B5F19"/>
    <w:rsid w:val="003B6A79"/>
    <w:rsid w:val="003B7060"/>
    <w:rsid w:val="003B72E5"/>
    <w:rsid w:val="003C0663"/>
    <w:rsid w:val="003C0E0B"/>
    <w:rsid w:val="003C1220"/>
    <w:rsid w:val="003C2C2C"/>
    <w:rsid w:val="003C5333"/>
    <w:rsid w:val="003C5626"/>
    <w:rsid w:val="003C6339"/>
    <w:rsid w:val="003C6B76"/>
    <w:rsid w:val="003C6D3A"/>
    <w:rsid w:val="003D3B92"/>
    <w:rsid w:val="003D4056"/>
    <w:rsid w:val="003D415D"/>
    <w:rsid w:val="003D46D1"/>
    <w:rsid w:val="003E1356"/>
    <w:rsid w:val="003E4925"/>
    <w:rsid w:val="003E58E5"/>
    <w:rsid w:val="003E5FE7"/>
    <w:rsid w:val="003E7C9B"/>
    <w:rsid w:val="003E7D25"/>
    <w:rsid w:val="003F0417"/>
    <w:rsid w:val="003F19AA"/>
    <w:rsid w:val="003F36ED"/>
    <w:rsid w:val="003F428A"/>
    <w:rsid w:val="003F5AB0"/>
    <w:rsid w:val="003F5BC2"/>
    <w:rsid w:val="003F6324"/>
    <w:rsid w:val="00400F91"/>
    <w:rsid w:val="004017C0"/>
    <w:rsid w:val="00402338"/>
    <w:rsid w:val="00403958"/>
    <w:rsid w:val="00404631"/>
    <w:rsid w:val="00405A9D"/>
    <w:rsid w:val="00406CCB"/>
    <w:rsid w:val="00406E3F"/>
    <w:rsid w:val="00406E48"/>
    <w:rsid w:val="004137F3"/>
    <w:rsid w:val="00415470"/>
    <w:rsid w:val="00416388"/>
    <w:rsid w:val="00417D4F"/>
    <w:rsid w:val="00420D65"/>
    <w:rsid w:val="004223F4"/>
    <w:rsid w:val="004224DB"/>
    <w:rsid w:val="004255BE"/>
    <w:rsid w:val="00427087"/>
    <w:rsid w:val="004300B5"/>
    <w:rsid w:val="0043103D"/>
    <w:rsid w:val="00431912"/>
    <w:rsid w:val="0043292C"/>
    <w:rsid w:val="004342C9"/>
    <w:rsid w:val="00435B06"/>
    <w:rsid w:val="00436A49"/>
    <w:rsid w:val="00436DE1"/>
    <w:rsid w:val="00440412"/>
    <w:rsid w:val="00443674"/>
    <w:rsid w:val="00443769"/>
    <w:rsid w:val="00443935"/>
    <w:rsid w:val="004442B3"/>
    <w:rsid w:val="00444A73"/>
    <w:rsid w:val="00445986"/>
    <w:rsid w:val="00446613"/>
    <w:rsid w:val="0044662E"/>
    <w:rsid w:val="00446EA1"/>
    <w:rsid w:val="00447654"/>
    <w:rsid w:val="004476BD"/>
    <w:rsid w:val="004476E6"/>
    <w:rsid w:val="004513F9"/>
    <w:rsid w:val="0045181F"/>
    <w:rsid w:val="004529F7"/>
    <w:rsid w:val="00452F36"/>
    <w:rsid w:val="00453130"/>
    <w:rsid w:val="0045394E"/>
    <w:rsid w:val="00453C73"/>
    <w:rsid w:val="00454B5D"/>
    <w:rsid w:val="00455807"/>
    <w:rsid w:val="00455B44"/>
    <w:rsid w:val="00456FA3"/>
    <w:rsid w:val="0045754E"/>
    <w:rsid w:val="0046086D"/>
    <w:rsid w:val="004624DE"/>
    <w:rsid w:val="00462CC5"/>
    <w:rsid w:val="00463EAE"/>
    <w:rsid w:val="004640E1"/>
    <w:rsid w:val="00464491"/>
    <w:rsid w:val="00465DE3"/>
    <w:rsid w:val="004719E1"/>
    <w:rsid w:val="0047305B"/>
    <w:rsid w:val="004755C3"/>
    <w:rsid w:val="00475A0F"/>
    <w:rsid w:val="004766C8"/>
    <w:rsid w:val="004771A7"/>
    <w:rsid w:val="00477DF1"/>
    <w:rsid w:val="004805E1"/>
    <w:rsid w:val="0048194E"/>
    <w:rsid w:val="00481A4B"/>
    <w:rsid w:val="004852F8"/>
    <w:rsid w:val="004864A7"/>
    <w:rsid w:val="00486D4E"/>
    <w:rsid w:val="00492B91"/>
    <w:rsid w:val="0049352F"/>
    <w:rsid w:val="00493D28"/>
    <w:rsid w:val="00495099"/>
    <w:rsid w:val="004964CB"/>
    <w:rsid w:val="004A1557"/>
    <w:rsid w:val="004A40B9"/>
    <w:rsid w:val="004A465C"/>
    <w:rsid w:val="004A6204"/>
    <w:rsid w:val="004A73CD"/>
    <w:rsid w:val="004A791C"/>
    <w:rsid w:val="004B0C70"/>
    <w:rsid w:val="004B0EC4"/>
    <w:rsid w:val="004B10CD"/>
    <w:rsid w:val="004B2765"/>
    <w:rsid w:val="004B2A37"/>
    <w:rsid w:val="004B30E9"/>
    <w:rsid w:val="004B3309"/>
    <w:rsid w:val="004B362E"/>
    <w:rsid w:val="004B43B7"/>
    <w:rsid w:val="004B6984"/>
    <w:rsid w:val="004B6E50"/>
    <w:rsid w:val="004C01CB"/>
    <w:rsid w:val="004C05F2"/>
    <w:rsid w:val="004C0640"/>
    <w:rsid w:val="004C223F"/>
    <w:rsid w:val="004C2689"/>
    <w:rsid w:val="004C2B0F"/>
    <w:rsid w:val="004C407E"/>
    <w:rsid w:val="004C4AB1"/>
    <w:rsid w:val="004C7A15"/>
    <w:rsid w:val="004D11B7"/>
    <w:rsid w:val="004D3F97"/>
    <w:rsid w:val="004D52E2"/>
    <w:rsid w:val="004D55CE"/>
    <w:rsid w:val="004D57A0"/>
    <w:rsid w:val="004D5F81"/>
    <w:rsid w:val="004D61D0"/>
    <w:rsid w:val="004D69B9"/>
    <w:rsid w:val="004E0448"/>
    <w:rsid w:val="004E0791"/>
    <w:rsid w:val="004E0DB8"/>
    <w:rsid w:val="004E1C15"/>
    <w:rsid w:val="004E44CC"/>
    <w:rsid w:val="004E5CA5"/>
    <w:rsid w:val="004E635C"/>
    <w:rsid w:val="004E640D"/>
    <w:rsid w:val="004E7D70"/>
    <w:rsid w:val="004F0E19"/>
    <w:rsid w:val="004F2021"/>
    <w:rsid w:val="004F345D"/>
    <w:rsid w:val="004F354D"/>
    <w:rsid w:val="004F6977"/>
    <w:rsid w:val="004F6FFC"/>
    <w:rsid w:val="004F7B32"/>
    <w:rsid w:val="00501FA2"/>
    <w:rsid w:val="005034FC"/>
    <w:rsid w:val="00503F67"/>
    <w:rsid w:val="005045FB"/>
    <w:rsid w:val="00504C77"/>
    <w:rsid w:val="005055E2"/>
    <w:rsid w:val="005106D5"/>
    <w:rsid w:val="00510994"/>
    <w:rsid w:val="005112F3"/>
    <w:rsid w:val="005126E8"/>
    <w:rsid w:val="0051591D"/>
    <w:rsid w:val="005171DA"/>
    <w:rsid w:val="00517BF1"/>
    <w:rsid w:val="00520645"/>
    <w:rsid w:val="00520920"/>
    <w:rsid w:val="0052107B"/>
    <w:rsid w:val="00521372"/>
    <w:rsid w:val="00521523"/>
    <w:rsid w:val="00521FC6"/>
    <w:rsid w:val="00523184"/>
    <w:rsid w:val="0052357A"/>
    <w:rsid w:val="00523AEC"/>
    <w:rsid w:val="005271C7"/>
    <w:rsid w:val="005272E0"/>
    <w:rsid w:val="00530CE7"/>
    <w:rsid w:val="005316A8"/>
    <w:rsid w:val="00531DBF"/>
    <w:rsid w:val="00535C65"/>
    <w:rsid w:val="00535F30"/>
    <w:rsid w:val="00536DF1"/>
    <w:rsid w:val="00540CA8"/>
    <w:rsid w:val="00540FEC"/>
    <w:rsid w:val="005414D6"/>
    <w:rsid w:val="00541F83"/>
    <w:rsid w:val="005430C7"/>
    <w:rsid w:val="00543809"/>
    <w:rsid w:val="00543CB6"/>
    <w:rsid w:val="005446B0"/>
    <w:rsid w:val="005465AC"/>
    <w:rsid w:val="0054687E"/>
    <w:rsid w:val="0054690E"/>
    <w:rsid w:val="00546B8F"/>
    <w:rsid w:val="005475A9"/>
    <w:rsid w:val="00547E4F"/>
    <w:rsid w:val="00550074"/>
    <w:rsid w:val="00551DFC"/>
    <w:rsid w:val="0055211A"/>
    <w:rsid w:val="00552F55"/>
    <w:rsid w:val="0055395B"/>
    <w:rsid w:val="0055455F"/>
    <w:rsid w:val="00555BCD"/>
    <w:rsid w:val="0055651F"/>
    <w:rsid w:val="005605F8"/>
    <w:rsid w:val="005633D7"/>
    <w:rsid w:val="0056343B"/>
    <w:rsid w:val="00563DD5"/>
    <w:rsid w:val="00564D8E"/>
    <w:rsid w:val="005650C2"/>
    <w:rsid w:val="00565484"/>
    <w:rsid w:val="00565A8C"/>
    <w:rsid w:val="00565EF8"/>
    <w:rsid w:val="00567E79"/>
    <w:rsid w:val="005727B7"/>
    <w:rsid w:val="00574068"/>
    <w:rsid w:val="005742CF"/>
    <w:rsid w:val="00574682"/>
    <w:rsid w:val="0057682D"/>
    <w:rsid w:val="005807B2"/>
    <w:rsid w:val="00580954"/>
    <w:rsid w:val="00581DAF"/>
    <w:rsid w:val="00582FCA"/>
    <w:rsid w:val="00583A5C"/>
    <w:rsid w:val="00584238"/>
    <w:rsid w:val="005850D6"/>
    <w:rsid w:val="0058565E"/>
    <w:rsid w:val="0058643C"/>
    <w:rsid w:val="00586EDA"/>
    <w:rsid w:val="005927CD"/>
    <w:rsid w:val="00592F0D"/>
    <w:rsid w:val="0059343A"/>
    <w:rsid w:val="005946B8"/>
    <w:rsid w:val="00595F94"/>
    <w:rsid w:val="005964EC"/>
    <w:rsid w:val="00596E88"/>
    <w:rsid w:val="00596E98"/>
    <w:rsid w:val="005971FD"/>
    <w:rsid w:val="0059746C"/>
    <w:rsid w:val="005A0661"/>
    <w:rsid w:val="005A09C1"/>
    <w:rsid w:val="005A11E3"/>
    <w:rsid w:val="005A129B"/>
    <w:rsid w:val="005A1B8D"/>
    <w:rsid w:val="005A1DA9"/>
    <w:rsid w:val="005A1FDF"/>
    <w:rsid w:val="005A4F1F"/>
    <w:rsid w:val="005A6732"/>
    <w:rsid w:val="005A6BD9"/>
    <w:rsid w:val="005A6F0F"/>
    <w:rsid w:val="005A7BEE"/>
    <w:rsid w:val="005B0458"/>
    <w:rsid w:val="005B143F"/>
    <w:rsid w:val="005B1DF6"/>
    <w:rsid w:val="005B213E"/>
    <w:rsid w:val="005B216A"/>
    <w:rsid w:val="005B267A"/>
    <w:rsid w:val="005B4161"/>
    <w:rsid w:val="005B49EB"/>
    <w:rsid w:val="005B7FA4"/>
    <w:rsid w:val="005C3296"/>
    <w:rsid w:val="005C528B"/>
    <w:rsid w:val="005C70CC"/>
    <w:rsid w:val="005D2CB5"/>
    <w:rsid w:val="005D37A8"/>
    <w:rsid w:val="005D386F"/>
    <w:rsid w:val="005D3969"/>
    <w:rsid w:val="005D72C1"/>
    <w:rsid w:val="005E1AFA"/>
    <w:rsid w:val="005E4813"/>
    <w:rsid w:val="005E50E0"/>
    <w:rsid w:val="005E6670"/>
    <w:rsid w:val="005E6E82"/>
    <w:rsid w:val="005E7321"/>
    <w:rsid w:val="005E7DDA"/>
    <w:rsid w:val="005F1051"/>
    <w:rsid w:val="005F3821"/>
    <w:rsid w:val="005F6167"/>
    <w:rsid w:val="005F7CA9"/>
    <w:rsid w:val="00601855"/>
    <w:rsid w:val="006026FD"/>
    <w:rsid w:val="006031DC"/>
    <w:rsid w:val="00604425"/>
    <w:rsid w:val="0060535C"/>
    <w:rsid w:val="0060542A"/>
    <w:rsid w:val="006061C8"/>
    <w:rsid w:val="00607010"/>
    <w:rsid w:val="00607538"/>
    <w:rsid w:val="006102B7"/>
    <w:rsid w:val="00613D71"/>
    <w:rsid w:val="00613E2E"/>
    <w:rsid w:val="0061459D"/>
    <w:rsid w:val="00614EEC"/>
    <w:rsid w:val="00620242"/>
    <w:rsid w:val="006243E7"/>
    <w:rsid w:val="006254F3"/>
    <w:rsid w:val="00625C51"/>
    <w:rsid w:val="00625F00"/>
    <w:rsid w:val="006266EB"/>
    <w:rsid w:val="00627144"/>
    <w:rsid w:val="00627321"/>
    <w:rsid w:val="006313EC"/>
    <w:rsid w:val="006326CB"/>
    <w:rsid w:val="00633421"/>
    <w:rsid w:val="0063507E"/>
    <w:rsid w:val="00635319"/>
    <w:rsid w:val="0063697C"/>
    <w:rsid w:val="006369CC"/>
    <w:rsid w:val="006373F4"/>
    <w:rsid w:val="006374EF"/>
    <w:rsid w:val="00640E45"/>
    <w:rsid w:val="006428C7"/>
    <w:rsid w:val="00643275"/>
    <w:rsid w:val="00643E16"/>
    <w:rsid w:val="00645391"/>
    <w:rsid w:val="00646631"/>
    <w:rsid w:val="00646F06"/>
    <w:rsid w:val="00647F26"/>
    <w:rsid w:val="00651697"/>
    <w:rsid w:val="00652737"/>
    <w:rsid w:val="006536D6"/>
    <w:rsid w:val="00654653"/>
    <w:rsid w:val="006555AD"/>
    <w:rsid w:val="006560FF"/>
    <w:rsid w:val="00657274"/>
    <w:rsid w:val="006572B9"/>
    <w:rsid w:val="00657569"/>
    <w:rsid w:val="00661118"/>
    <w:rsid w:val="00662875"/>
    <w:rsid w:val="00662D4D"/>
    <w:rsid w:val="00663399"/>
    <w:rsid w:val="00663870"/>
    <w:rsid w:val="00663C71"/>
    <w:rsid w:val="006640F9"/>
    <w:rsid w:val="006641C6"/>
    <w:rsid w:val="006647CF"/>
    <w:rsid w:val="00664E25"/>
    <w:rsid w:val="006656A2"/>
    <w:rsid w:val="00665738"/>
    <w:rsid w:val="00666247"/>
    <w:rsid w:val="006679EB"/>
    <w:rsid w:val="00672A26"/>
    <w:rsid w:val="00674C5F"/>
    <w:rsid w:val="00674F5E"/>
    <w:rsid w:val="00675866"/>
    <w:rsid w:val="006763B3"/>
    <w:rsid w:val="006765BB"/>
    <w:rsid w:val="006778A5"/>
    <w:rsid w:val="00677A19"/>
    <w:rsid w:val="00680491"/>
    <w:rsid w:val="00682F0F"/>
    <w:rsid w:val="006830A1"/>
    <w:rsid w:val="00683222"/>
    <w:rsid w:val="00683387"/>
    <w:rsid w:val="00683A91"/>
    <w:rsid w:val="00685AE6"/>
    <w:rsid w:val="00686A7A"/>
    <w:rsid w:val="00686F46"/>
    <w:rsid w:val="00687B51"/>
    <w:rsid w:val="006900BC"/>
    <w:rsid w:val="00690721"/>
    <w:rsid w:val="006907CD"/>
    <w:rsid w:val="00690B47"/>
    <w:rsid w:val="00692DDF"/>
    <w:rsid w:val="0069376A"/>
    <w:rsid w:val="00694BF0"/>
    <w:rsid w:val="00697CAF"/>
    <w:rsid w:val="006A0AD6"/>
    <w:rsid w:val="006A14CE"/>
    <w:rsid w:val="006A1725"/>
    <w:rsid w:val="006A5EAE"/>
    <w:rsid w:val="006A76FE"/>
    <w:rsid w:val="006B2C08"/>
    <w:rsid w:val="006B46DC"/>
    <w:rsid w:val="006B666A"/>
    <w:rsid w:val="006B755E"/>
    <w:rsid w:val="006B7F89"/>
    <w:rsid w:val="006C0C8E"/>
    <w:rsid w:val="006C28A0"/>
    <w:rsid w:val="006C3846"/>
    <w:rsid w:val="006C4725"/>
    <w:rsid w:val="006D1FA6"/>
    <w:rsid w:val="006D21F0"/>
    <w:rsid w:val="006D2952"/>
    <w:rsid w:val="006D3181"/>
    <w:rsid w:val="006D3EDC"/>
    <w:rsid w:val="006D4845"/>
    <w:rsid w:val="006D5CDB"/>
    <w:rsid w:val="006D6ADF"/>
    <w:rsid w:val="006D6BD7"/>
    <w:rsid w:val="006D7839"/>
    <w:rsid w:val="006D7A9C"/>
    <w:rsid w:val="006E02B1"/>
    <w:rsid w:val="006E0414"/>
    <w:rsid w:val="006E06C4"/>
    <w:rsid w:val="006E157D"/>
    <w:rsid w:val="006E1651"/>
    <w:rsid w:val="006E2C2F"/>
    <w:rsid w:val="006E34FF"/>
    <w:rsid w:val="006E4279"/>
    <w:rsid w:val="006E519C"/>
    <w:rsid w:val="006E6DDB"/>
    <w:rsid w:val="006F0AC4"/>
    <w:rsid w:val="006F2128"/>
    <w:rsid w:val="006F2CEE"/>
    <w:rsid w:val="006F4297"/>
    <w:rsid w:val="006F4B08"/>
    <w:rsid w:val="006F5195"/>
    <w:rsid w:val="006F5D2A"/>
    <w:rsid w:val="006F61C3"/>
    <w:rsid w:val="006F730A"/>
    <w:rsid w:val="006F7546"/>
    <w:rsid w:val="00700495"/>
    <w:rsid w:val="00701907"/>
    <w:rsid w:val="0070375B"/>
    <w:rsid w:val="00704686"/>
    <w:rsid w:val="00704970"/>
    <w:rsid w:val="007064D1"/>
    <w:rsid w:val="00706C75"/>
    <w:rsid w:val="00707EEA"/>
    <w:rsid w:val="007106FF"/>
    <w:rsid w:val="00710932"/>
    <w:rsid w:val="00711C46"/>
    <w:rsid w:val="007125F4"/>
    <w:rsid w:val="00714BDB"/>
    <w:rsid w:val="00714E63"/>
    <w:rsid w:val="0071751C"/>
    <w:rsid w:val="00725BFA"/>
    <w:rsid w:val="00726131"/>
    <w:rsid w:val="007269A4"/>
    <w:rsid w:val="007324B5"/>
    <w:rsid w:val="00732632"/>
    <w:rsid w:val="00732BD2"/>
    <w:rsid w:val="00733AA3"/>
    <w:rsid w:val="00733D68"/>
    <w:rsid w:val="00733E60"/>
    <w:rsid w:val="00734BF0"/>
    <w:rsid w:val="00734F8E"/>
    <w:rsid w:val="007358D4"/>
    <w:rsid w:val="00737B33"/>
    <w:rsid w:val="00737D3F"/>
    <w:rsid w:val="0074025C"/>
    <w:rsid w:val="00742808"/>
    <w:rsid w:val="0074297D"/>
    <w:rsid w:val="00743951"/>
    <w:rsid w:val="0074407F"/>
    <w:rsid w:val="007453C6"/>
    <w:rsid w:val="00745C40"/>
    <w:rsid w:val="00746653"/>
    <w:rsid w:val="00750CFD"/>
    <w:rsid w:val="00753442"/>
    <w:rsid w:val="00754000"/>
    <w:rsid w:val="0075586C"/>
    <w:rsid w:val="00755E2D"/>
    <w:rsid w:val="007561EF"/>
    <w:rsid w:val="0075646B"/>
    <w:rsid w:val="00757C0C"/>
    <w:rsid w:val="00760447"/>
    <w:rsid w:val="00760C76"/>
    <w:rsid w:val="0076115B"/>
    <w:rsid w:val="007623A6"/>
    <w:rsid w:val="00763124"/>
    <w:rsid w:val="007644D4"/>
    <w:rsid w:val="00767933"/>
    <w:rsid w:val="00767B57"/>
    <w:rsid w:val="00767E50"/>
    <w:rsid w:val="00771BDB"/>
    <w:rsid w:val="00771D79"/>
    <w:rsid w:val="00774DD6"/>
    <w:rsid w:val="007806EF"/>
    <w:rsid w:val="007830DD"/>
    <w:rsid w:val="0078362F"/>
    <w:rsid w:val="0078437C"/>
    <w:rsid w:val="00784AE6"/>
    <w:rsid w:val="00784CA4"/>
    <w:rsid w:val="00784D51"/>
    <w:rsid w:val="0078521D"/>
    <w:rsid w:val="00786EFB"/>
    <w:rsid w:val="00787769"/>
    <w:rsid w:val="00794040"/>
    <w:rsid w:val="0079507F"/>
    <w:rsid w:val="007957AB"/>
    <w:rsid w:val="00797162"/>
    <w:rsid w:val="007A030A"/>
    <w:rsid w:val="007A0608"/>
    <w:rsid w:val="007A2172"/>
    <w:rsid w:val="007A2C51"/>
    <w:rsid w:val="007A2E2A"/>
    <w:rsid w:val="007A31E6"/>
    <w:rsid w:val="007A3201"/>
    <w:rsid w:val="007A4951"/>
    <w:rsid w:val="007A69E3"/>
    <w:rsid w:val="007A7D92"/>
    <w:rsid w:val="007B1D8C"/>
    <w:rsid w:val="007B2424"/>
    <w:rsid w:val="007B39B5"/>
    <w:rsid w:val="007B44B7"/>
    <w:rsid w:val="007B76CF"/>
    <w:rsid w:val="007C06DB"/>
    <w:rsid w:val="007C07F2"/>
    <w:rsid w:val="007C442F"/>
    <w:rsid w:val="007C7F1C"/>
    <w:rsid w:val="007D19D1"/>
    <w:rsid w:val="007D26D0"/>
    <w:rsid w:val="007D2F6E"/>
    <w:rsid w:val="007D31FD"/>
    <w:rsid w:val="007D4096"/>
    <w:rsid w:val="007D502C"/>
    <w:rsid w:val="007D5FE6"/>
    <w:rsid w:val="007D71B9"/>
    <w:rsid w:val="007D79F3"/>
    <w:rsid w:val="007E03DA"/>
    <w:rsid w:val="007E21C1"/>
    <w:rsid w:val="007E37B6"/>
    <w:rsid w:val="007E7CC7"/>
    <w:rsid w:val="007F0892"/>
    <w:rsid w:val="007F12B7"/>
    <w:rsid w:val="007F1AEC"/>
    <w:rsid w:val="007F1EC8"/>
    <w:rsid w:val="007F25A9"/>
    <w:rsid w:val="007F33A7"/>
    <w:rsid w:val="007F40D3"/>
    <w:rsid w:val="007F539D"/>
    <w:rsid w:val="007F5717"/>
    <w:rsid w:val="00800944"/>
    <w:rsid w:val="00801036"/>
    <w:rsid w:val="00801575"/>
    <w:rsid w:val="00802179"/>
    <w:rsid w:val="00802340"/>
    <w:rsid w:val="00804AE3"/>
    <w:rsid w:val="00804F81"/>
    <w:rsid w:val="00807AA6"/>
    <w:rsid w:val="00810FF6"/>
    <w:rsid w:val="0081368C"/>
    <w:rsid w:val="00813D5B"/>
    <w:rsid w:val="008147EC"/>
    <w:rsid w:val="00815D71"/>
    <w:rsid w:val="008164DC"/>
    <w:rsid w:val="00820836"/>
    <w:rsid w:val="008231BA"/>
    <w:rsid w:val="00824E2B"/>
    <w:rsid w:val="00826424"/>
    <w:rsid w:val="008264F8"/>
    <w:rsid w:val="00826980"/>
    <w:rsid w:val="008306DE"/>
    <w:rsid w:val="008313B2"/>
    <w:rsid w:val="00832B98"/>
    <w:rsid w:val="00835309"/>
    <w:rsid w:val="00837F0A"/>
    <w:rsid w:val="00840112"/>
    <w:rsid w:val="00840199"/>
    <w:rsid w:val="008405A7"/>
    <w:rsid w:val="00842423"/>
    <w:rsid w:val="00843DEE"/>
    <w:rsid w:val="00845419"/>
    <w:rsid w:val="00846055"/>
    <w:rsid w:val="00847405"/>
    <w:rsid w:val="00850132"/>
    <w:rsid w:val="00853B1B"/>
    <w:rsid w:val="00855A00"/>
    <w:rsid w:val="00856495"/>
    <w:rsid w:val="008567C2"/>
    <w:rsid w:val="0085721D"/>
    <w:rsid w:val="008577D4"/>
    <w:rsid w:val="0086059E"/>
    <w:rsid w:val="00860DDC"/>
    <w:rsid w:val="00861729"/>
    <w:rsid w:val="00862065"/>
    <w:rsid w:val="00863DB6"/>
    <w:rsid w:val="00863FD0"/>
    <w:rsid w:val="008644A7"/>
    <w:rsid w:val="008657F9"/>
    <w:rsid w:val="00865B14"/>
    <w:rsid w:val="00866479"/>
    <w:rsid w:val="00871EF8"/>
    <w:rsid w:val="008720D8"/>
    <w:rsid w:val="0087367F"/>
    <w:rsid w:val="00873A06"/>
    <w:rsid w:val="00874D70"/>
    <w:rsid w:val="00875555"/>
    <w:rsid w:val="008773C8"/>
    <w:rsid w:val="00880915"/>
    <w:rsid w:val="00883E6C"/>
    <w:rsid w:val="00885AD4"/>
    <w:rsid w:val="008862B5"/>
    <w:rsid w:val="0088721E"/>
    <w:rsid w:val="0088740B"/>
    <w:rsid w:val="00887544"/>
    <w:rsid w:val="0089060D"/>
    <w:rsid w:val="008908F5"/>
    <w:rsid w:val="00890A4C"/>
    <w:rsid w:val="00890DDA"/>
    <w:rsid w:val="00891513"/>
    <w:rsid w:val="00891914"/>
    <w:rsid w:val="008945FD"/>
    <w:rsid w:val="008951AC"/>
    <w:rsid w:val="008961B7"/>
    <w:rsid w:val="0089654C"/>
    <w:rsid w:val="0089677E"/>
    <w:rsid w:val="008978CC"/>
    <w:rsid w:val="008A1673"/>
    <w:rsid w:val="008A1F71"/>
    <w:rsid w:val="008A226B"/>
    <w:rsid w:val="008A2491"/>
    <w:rsid w:val="008A694E"/>
    <w:rsid w:val="008B128F"/>
    <w:rsid w:val="008B354A"/>
    <w:rsid w:val="008B5987"/>
    <w:rsid w:val="008B6B10"/>
    <w:rsid w:val="008B7800"/>
    <w:rsid w:val="008B7AAB"/>
    <w:rsid w:val="008C2E65"/>
    <w:rsid w:val="008C34DE"/>
    <w:rsid w:val="008C37C8"/>
    <w:rsid w:val="008C4DFD"/>
    <w:rsid w:val="008C5BD8"/>
    <w:rsid w:val="008C5C8C"/>
    <w:rsid w:val="008D0BF5"/>
    <w:rsid w:val="008D114B"/>
    <w:rsid w:val="008D34FE"/>
    <w:rsid w:val="008D4E68"/>
    <w:rsid w:val="008D52D6"/>
    <w:rsid w:val="008D6987"/>
    <w:rsid w:val="008D7DDB"/>
    <w:rsid w:val="008E08F8"/>
    <w:rsid w:val="008E1F19"/>
    <w:rsid w:val="008E5912"/>
    <w:rsid w:val="008F075C"/>
    <w:rsid w:val="008F0AF1"/>
    <w:rsid w:val="008F0B32"/>
    <w:rsid w:val="008F11E2"/>
    <w:rsid w:val="008F3660"/>
    <w:rsid w:val="008F3F09"/>
    <w:rsid w:val="008F436E"/>
    <w:rsid w:val="008F76A6"/>
    <w:rsid w:val="008F7B87"/>
    <w:rsid w:val="00901F97"/>
    <w:rsid w:val="009025A6"/>
    <w:rsid w:val="009027DA"/>
    <w:rsid w:val="00902C55"/>
    <w:rsid w:val="00903F45"/>
    <w:rsid w:val="00904F5A"/>
    <w:rsid w:val="00906098"/>
    <w:rsid w:val="00907206"/>
    <w:rsid w:val="00907611"/>
    <w:rsid w:val="00910189"/>
    <w:rsid w:val="00910BF0"/>
    <w:rsid w:val="00911C69"/>
    <w:rsid w:val="009121CD"/>
    <w:rsid w:val="009129DD"/>
    <w:rsid w:val="00912DEC"/>
    <w:rsid w:val="0091364C"/>
    <w:rsid w:val="009149A9"/>
    <w:rsid w:val="009152A2"/>
    <w:rsid w:val="00915D80"/>
    <w:rsid w:val="0092040D"/>
    <w:rsid w:val="009205BD"/>
    <w:rsid w:val="00924E28"/>
    <w:rsid w:val="00925384"/>
    <w:rsid w:val="00926ACD"/>
    <w:rsid w:val="00926F34"/>
    <w:rsid w:val="009301F1"/>
    <w:rsid w:val="00930D8F"/>
    <w:rsid w:val="0093322F"/>
    <w:rsid w:val="00933311"/>
    <w:rsid w:val="00934A69"/>
    <w:rsid w:val="00935197"/>
    <w:rsid w:val="009356A4"/>
    <w:rsid w:val="00936722"/>
    <w:rsid w:val="009376A3"/>
    <w:rsid w:val="00937A0D"/>
    <w:rsid w:val="009405F0"/>
    <w:rsid w:val="00940F46"/>
    <w:rsid w:val="00943BBF"/>
    <w:rsid w:val="009451C2"/>
    <w:rsid w:val="009468FC"/>
    <w:rsid w:val="0095018E"/>
    <w:rsid w:val="00950C28"/>
    <w:rsid w:val="009528ED"/>
    <w:rsid w:val="00952920"/>
    <w:rsid w:val="00954212"/>
    <w:rsid w:val="009546D8"/>
    <w:rsid w:val="009548FE"/>
    <w:rsid w:val="00954B36"/>
    <w:rsid w:val="009558F0"/>
    <w:rsid w:val="00962BA0"/>
    <w:rsid w:val="009632D7"/>
    <w:rsid w:val="00963962"/>
    <w:rsid w:val="00964509"/>
    <w:rsid w:val="00965A62"/>
    <w:rsid w:val="00965A8D"/>
    <w:rsid w:val="00966C54"/>
    <w:rsid w:val="009678FD"/>
    <w:rsid w:val="0097123A"/>
    <w:rsid w:val="00972789"/>
    <w:rsid w:val="00972CB3"/>
    <w:rsid w:val="0097416F"/>
    <w:rsid w:val="00974326"/>
    <w:rsid w:val="0097541B"/>
    <w:rsid w:val="00975828"/>
    <w:rsid w:val="00975DA4"/>
    <w:rsid w:val="009761A6"/>
    <w:rsid w:val="0097649D"/>
    <w:rsid w:val="009773A1"/>
    <w:rsid w:val="00977987"/>
    <w:rsid w:val="00983B47"/>
    <w:rsid w:val="00984598"/>
    <w:rsid w:val="00984F86"/>
    <w:rsid w:val="009853EE"/>
    <w:rsid w:val="00987D47"/>
    <w:rsid w:val="00990D29"/>
    <w:rsid w:val="00991339"/>
    <w:rsid w:val="009916C7"/>
    <w:rsid w:val="00991914"/>
    <w:rsid w:val="00992DFF"/>
    <w:rsid w:val="0099428E"/>
    <w:rsid w:val="009944E0"/>
    <w:rsid w:val="00994E8C"/>
    <w:rsid w:val="0099567E"/>
    <w:rsid w:val="00995CE5"/>
    <w:rsid w:val="009969FD"/>
    <w:rsid w:val="009A1C67"/>
    <w:rsid w:val="009A23E0"/>
    <w:rsid w:val="009A32F5"/>
    <w:rsid w:val="009A42A8"/>
    <w:rsid w:val="009A4397"/>
    <w:rsid w:val="009A5462"/>
    <w:rsid w:val="009A58EC"/>
    <w:rsid w:val="009A59B0"/>
    <w:rsid w:val="009A5BBB"/>
    <w:rsid w:val="009A6073"/>
    <w:rsid w:val="009A70D7"/>
    <w:rsid w:val="009A7DF7"/>
    <w:rsid w:val="009B09C6"/>
    <w:rsid w:val="009B1ACA"/>
    <w:rsid w:val="009B4A2A"/>
    <w:rsid w:val="009B5B0A"/>
    <w:rsid w:val="009B717A"/>
    <w:rsid w:val="009C0A02"/>
    <w:rsid w:val="009C0FC8"/>
    <w:rsid w:val="009C149E"/>
    <w:rsid w:val="009C2256"/>
    <w:rsid w:val="009C3479"/>
    <w:rsid w:val="009C3782"/>
    <w:rsid w:val="009C3E2A"/>
    <w:rsid w:val="009C4B02"/>
    <w:rsid w:val="009C53AF"/>
    <w:rsid w:val="009C5A69"/>
    <w:rsid w:val="009D0BFE"/>
    <w:rsid w:val="009D182C"/>
    <w:rsid w:val="009D41CA"/>
    <w:rsid w:val="009D46BE"/>
    <w:rsid w:val="009D4ED5"/>
    <w:rsid w:val="009D5001"/>
    <w:rsid w:val="009D5869"/>
    <w:rsid w:val="009D6688"/>
    <w:rsid w:val="009E26B9"/>
    <w:rsid w:val="009E3502"/>
    <w:rsid w:val="009E3B58"/>
    <w:rsid w:val="009E40DD"/>
    <w:rsid w:val="009E45C9"/>
    <w:rsid w:val="009E56B5"/>
    <w:rsid w:val="009E56F4"/>
    <w:rsid w:val="009E662A"/>
    <w:rsid w:val="009E6BFC"/>
    <w:rsid w:val="009E74C5"/>
    <w:rsid w:val="009E776F"/>
    <w:rsid w:val="009F0DB1"/>
    <w:rsid w:val="009F1936"/>
    <w:rsid w:val="009F2040"/>
    <w:rsid w:val="009F2104"/>
    <w:rsid w:val="009F2584"/>
    <w:rsid w:val="009F278F"/>
    <w:rsid w:val="009F2800"/>
    <w:rsid w:val="009F412B"/>
    <w:rsid w:val="009F4407"/>
    <w:rsid w:val="009F47A2"/>
    <w:rsid w:val="009F6808"/>
    <w:rsid w:val="009F6A0B"/>
    <w:rsid w:val="009F7BBD"/>
    <w:rsid w:val="009F7BF9"/>
    <w:rsid w:val="00A00951"/>
    <w:rsid w:val="00A009A2"/>
    <w:rsid w:val="00A02E8A"/>
    <w:rsid w:val="00A03446"/>
    <w:rsid w:val="00A03AF5"/>
    <w:rsid w:val="00A03BF8"/>
    <w:rsid w:val="00A049F9"/>
    <w:rsid w:val="00A051C8"/>
    <w:rsid w:val="00A061F5"/>
    <w:rsid w:val="00A06B44"/>
    <w:rsid w:val="00A10960"/>
    <w:rsid w:val="00A141B7"/>
    <w:rsid w:val="00A14D5E"/>
    <w:rsid w:val="00A17418"/>
    <w:rsid w:val="00A23F3A"/>
    <w:rsid w:val="00A2594E"/>
    <w:rsid w:val="00A26BE5"/>
    <w:rsid w:val="00A26C1C"/>
    <w:rsid w:val="00A30F8F"/>
    <w:rsid w:val="00A323CC"/>
    <w:rsid w:val="00A32C0E"/>
    <w:rsid w:val="00A32EFD"/>
    <w:rsid w:val="00A33522"/>
    <w:rsid w:val="00A3358B"/>
    <w:rsid w:val="00A34916"/>
    <w:rsid w:val="00A34F62"/>
    <w:rsid w:val="00A35B95"/>
    <w:rsid w:val="00A35F40"/>
    <w:rsid w:val="00A360FE"/>
    <w:rsid w:val="00A363CB"/>
    <w:rsid w:val="00A37E06"/>
    <w:rsid w:val="00A37FA0"/>
    <w:rsid w:val="00A4131F"/>
    <w:rsid w:val="00A44252"/>
    <w:rsid w:val="00A4766A"/>
    <w:rsid w:val="00A50F48"/>
    <w:rsid w:val="00A527BC"/>
    <w:rsid w:val="00A52E90"/>
    <w:rsid w:val="00A53099"/>
    <w:rsid w:val="00A557C9"/>
    <w:rsid w:val="00A5611B"/>
    <w:rsid w:val="00A562C0"/>
    <w:rsid w:val="00A60D25"/>
    <w:rsid w:val="00A61370"/>
    <w:rsid w:val="00A61F5D"/>
    <w:rsid w:val="00A6310F"/>
    <w:rsid w:val="00A636CF"/>
    <w:rsid w:val="00A647A3"/>
    <w:rsid w:val="00A6575E"/>
    <w:rsid w:val="00A65E12"/>
    <w:rsid w:val="00A66FC6"/>
    <w:rsid w:val="00A67467"/>
    <w:rsid w:val="00A712E2"/>
    <w:rsid w:val="00A722B9"/>
    <w:rsid w:val="00A74655"/>
    <w:rsid w:val="00A74B2E"/>
    <w:rsid w:val="00A758F4"/>
    <w:rsid w:val="00A75E9A"/>
    <w:rsid w:val="00A80C48"/>
    <w:rsid w:val="00A8122A"/>
    <w:rsid w:val="00A81916"/>
    <w:rsid w:val="00A82897"/>
    <w:rsid w:val="00A8399D"/>
    <w:rsid w:val="00A919AE"/>
    <w:rsid w:val="00A9310B"/>
    <w:rsid w:val="00A9411B"/>
    <w:rsid w:val="00A94213"/>
    <w:rsid w:val="00A94A12"/>
    <w:rsid w:val="00A96FC8"/>
    <w:rsid w:val="00A975AF"/>
    <w:rsid w:val="00AA0467"/>
    <w:rsid w:val="00AA0958"/>
    <w:rsid w:val="00AA0A0E"/>
    <w:rsid w:val="00AA19AA"/>
    <w:rsid w:val="00AA2110"/>
    <w:rsid w:val="00AA236A"/>
    <w:rsid w:val="00AA2E8C"/>
    <w:rsid w:val="00AA2EB8"/>
    <w:rsid w:val="00AA33E7"/>
    <w:rsid w:val="00AA347C"/>
    <w:rsid w:val="00AA4AFD"/>
    <w:rsid w:val="00AA51FF"/>
    <w:rsid w:val="00AA66A4"/>
    <w:rsid w:val="00AA6CAA"/>
    <w:rsid w:val="00AA7C31"/>
    <w:rsid w:val="00AB03EF"/>
    <w:rsid w:val="00AB0B01"/>
    <w:rsid w:val="00AB3041"/>
    <w:rsid w:val="00AB3D2E"/>
    <w:rsid w:val="00AB4415"/>
    <w:rsid w:val="00AB6C79"/>
    <w:rsid w:val="00AC01EA"/>
    <w:rsid w:val="00AC09DC"/>
    <w:rsid w:val="00AC298F"/>
    <w:rsid w:val="00AC5D36"/>
    <w:rsid w:val="00AC6D00"/>
    <w:rsid w:val="00AD067A"/>
    <w:rsid w:val="00AD0CF0"/>
    <w:rsid w:val="00AD50CA"/>
    <w:rsid w:val="00AD5870"/>
    <w:rsid w:val="00AD5C4D"/>
    <w:rsid w:val="00AE1BD0"/>
    <w:rsid w:val="00AE317D"/>
    <w:rsid w:val="00AE35E2"/>
    <w:rsid w:val="00AE3BA1"/>
    <w:rsid w:val="00AE4B00"/>
    <w:rsid w:val="00AE5250"/>
    <w:rsid w:val="00AE5259"/>
    <w:rsid w:val="00AE5C8E"/>
    <w:rsid w:val="00AE6B15"/>
    <w:rsid w:val="00AE6FD6"/>
    <w:rsid w:val="00AE7253"/>
    <w:rsid w:val="00AF0B6C"/>
    <w:rsid w:val="00AF2763"/>
    <w:rsid w:val="00AF2881"/>
    <w:rsid w:val="00AF384E"/>
    <w:rsid w:val="00B029B7"/>
    <w:rsid w:val="00B0328B"/>
    <w:rsid w:val="00B03E26"/>
    <w:rsid w:val="00B04199"/>
    <w:rsid w:val="00B0583F"/>
    <w:rsid w:val="00B05932"/>
    <w:rsid w:val="00B06112"/>
    <w:rsid w:val="00B0669C"/>
    <w:rsid w:val="00B06DA1"/>
    <w:rsid w:val="00B11780"/>
    <w:rsid w:val="00B11E69"/>
    <w:rsid w:val="00B125E0"/>
    <w:rsid w:val="00B12E1D"/>
    <w:rsid w:val="00B134AB"/>
    <w:rsid w:val="00B14377"/>
    <w:rsid w:val="00B14C3D"/>
    <w:rsid w:val="00B15AE4"/>
    <w:rsid w:val="00B20054"/>
    <w:rsid w:val="00B206DA"/>
    <w:rsid w:val="00B25C02"/>
    <w:rsid w:val="00B275F1"/>
    <w:rsid w:val="00B2764F"/>
    <w:rsid w:val="00B308A3"/>
    <w:rsid w:val="00B31F02"/>
    <w:rsid w:val="00B32E6F"/>
    <w:rsid w:val="00B33002"/>
    <w:rsid w:val="00B33815"/>
    <w:rsid w:val="00B342C1"/>
    <w:rsid w:val="00B35E7F"/>
    <w:rsid w:val="00B36561"/>
    <w:rsid w:val="00B400EA"/>
    <w:rsid w:val="00B40A75"/>
    <w:rsid w:val="00B40D41"/>
    <w:rsid w:val="00B41904"/>
    <w:rsid w:val="00B42C54"/>
    <w:rsid w:val="00B434EE"/>
    <w:rsid w:val="00B46129"/>
    <w:rsid w:val="00B46A8B"/>
    <w:rsid w:val="00B46ADD"/>
    <w:rsid w:val="00B46C85"/>
    <w:rsid w:val="00B46CD8"/>
    <w:rsid w:val="00B51253"/>
    <w:rsid w:val="00B535E8"/>
    <w:rsid w:val="00B547C8"/>
    <w:rsid w:val="00B55839"/>
    <w:rsid w:val="00B57631"/>
    <w:rsid w:val="00B57C55"/>
    <w:rsid w:val="00B6146A"/>
    <w:rsid w:val="00B627C3"/>
    <w:rsid w:val="00B630CF"/>
    <w:rsid w:val="00B65358"/>
    <w:rsid w:val="00B65ACE"/>
    <w:rsid w:val="00B65C97"/>
    <w:rsid w:val="00B65EC2"/>
    <w:rsid w:val="00B66FE1"/>
    <w:rsid w:val="00B676B2"/>
    <w:rsid w:val="00B7007B"/>
    <w:rsid w:val="00B70732"/>
    <w:rsid w:val="00B71476"/>
    <w:rsid w:val="00B728F3"/>
    <w:rsid w:val="00B73982"/>
    <w:rsid w:val="00B73ECE"/>
    <w:rsid w:val="00B764F7"/>
    <w:rsid w:val="00B77029"/>
    <w:rsid w:val="00B77183"/>
    <w:rsid w:val="00B77648"/>
    <w:rsid w:val="00B817E0"/>
    <w:rsid w:val="00B83416"/>
    <w:rsid w:val="00B83455"/>
    <w:rsid w:val="00B83578"/>
    <w:rsid w:val="00B843CD"/>
    <w:rsid w:val="00B84BD5"/>
    <w:rsid w:val="00B85057"/>
    <w:rsid w:val="00B86B05"/>
    <w:rsid w:val="00B86B09"/>
    <w:rsid w:val="00B86B7A"/>
    <w:rsid w:val="00B87698"/>
    <w:rsid w:val="00B876EF"/>
    <w:rsid w:val="00B92014"/>
    <w:rsid w:val="00B93713"/>
    <w:rsid w:val="00B94616"/>
    <w:rsid w:val="00B96979"/>
    <w:rsid w:val="00B96A9D"/>
    <w:rsid w:val="00BA1748"/>
    <w:rsid w:val="00BA19EC"/>
    <w:rsid w:val="00BA2225"/>
    <w:rsid w:val="00BA39C4"/>
    <w:rsid w:val="00BA3BB4"/>
    <w:rsid w:val="00BA474B"/>
    <w:rsid w:val="00BB107A"/>
    <w:rsid w:val="00BB3055"/>
    <w:rsid w:val="00BB3AEE"/>
    <w:rsid w:val="00BB417F"/>
    <w:rsid w:val="00BB444A"/>
    <w:rsid w:val="00BB5176"/>
    <w:rsid w:val="00BB6334"/>
    <w:rsid w:val="00BB64EA"/>
    <w:rsid w:val="00BB6C2F"/>
    <w:rsid w:val="00BC1E7E"/>
    <w:rsid w:val="00BC2AA4"/>
    <w:rsid w:val="00BC2C37"/>
    <w:rsid w:val="00BC375A"/>
    <w:rsid w:val="00BC3872"/>
    <w:rsid w:val="00BC4B4D"/>
    <w:rsid w:val="00BC55A1"/>
    <w:rsid w:val="00BC7D96"/>
    <w:rsid w:val="00BD2099"/>
    <w:rsid w:val="00BD25BF"/>
    <w:rsid w:val="00BD32FA"/>
    <w:rsid w:val="00BD79D8"/>
    <w:rsid w:val="00BE0054"/>
    <w:rsid w:val="00BE0F2C"/>
    <w:rsid w:val="00BE0F82"/>
    <w:rsid w:val="00BE309E"/>
    <w:rsid w:val="00BE312A"/>
    <w:rsid w:val="00BE3FF6"/>
    <w:rsid w:val="00BE4694"/>
    <w:rsid w:val="00BE51FD"/>
    <w:rsid w:val="00BE5CD8"/>
    <w:rsid w:val="00BE5D49"/>
    <w:rsid w:val="00BE6642"/>
    <w:rsid w:val="00BE73F0"/>
    <w:rsid w:val="00BF00E3"/>
    <w:rsid w:val="00BF0778"/>
    <w:rsid w:val="00BF13A5"/>
    <w:rsid w:val="00BF16D5"/>
    <w:rsid w:val="00BF2689"/>
    <w:rsid w:val="00BF3213"/>
    <w:rsid w:val="00BF3DEE"/>
    <w:rsid w:val="00BF44BF"/>
    <w:rsid w:val="00BF760E"/>
    <w:rsid w:val="00BF7F71"/>
    <w:rsid w:val="00C00872"/>
    <w:rsid w:val="00C00F07"/>
    <w:rsid w:val="00C01A1A"/>
    <w:rsid w:val="00C02817"/>
    <w:rsid w:val="00C029DF"/>
    <w:rsid w:val="00C04198"/>
    <w:rsid w:val="00C0489E"/>
    <w:rsid w:val="00C04E48"/>
    <w:rsid w:val="00C055C3"/>
    <w:rsid w:val="00C066DE"/>
    <w:rsid w:val="00C0725D"/>
    <w:rsid w:val="00C0742D"/>
    <w:rsid w:val="00C116D2"/>
    <w:rsid w:val="00C126FA"/>
    <w:rsid w:val="00C12952"/>
    <w:rsid w:val="00C14230"/>
    <w:rsid w:val="00C149E5"/>
    <w:rsid w:val="00C15A1F"/>
    <w:rsid w:val="00C167AC"/>
    <w:rsid w:val="00C16B96"/>
    <w:rsid w:val="00C17A5E"/>
    <w:rsid w:val="00C17BF6"/>
    <w:rsid w:val="00C20E2F"/>
    <w:rsid w:val="00C21346"/>
    <w:rsid w:val="00C22776"/>
    <w:rsid w:val="00C2476B"/>
    <w:rsid w:val="00C250DA"/>
    <w:rsid w:val="00C25E5D"/>
    <w:rsid w:val="00C3000A"/>
    <w:rsid w:val="00C31CCC"/>
    <w:rsid w:val="00C32997"/>
    <w:rsid w:val="00C32FDE"/>
    <w:rsid w:val="00C335EC"/>
    <w:rsid w:val="00C33AEE"/>
    <w:rsid w:val="00C33DB0"/>
    <w:rsid w:val="00C34C50"/>
    <w:rsid w:val="00C35819"/>
    <w:rsid w:val="00C374B1"/>
    <w:rsid w:val="00C37A1C"/>
    <w:rsid w:val="00C45049"/>
    <w:rsid w:val="00C45F57"/>
    <w:rsid w:val="00C46500"/>
    <w:rsid w:val="00C47957"/>
    <w:rsid w:val="00C50250"/>
    <w:rsid w:val="00C50CCE"/>
    <w:rsid w:val="00C51A8A"/>
    <w:rsid w:val="00C51EDF"/>
    <w:rsid w:val="00C52165"/>
    <w:rsid w:val="00C5250C"/>
    <w:rsid w:val="00C529FC"/>
    <w:rsid w:val="00C54E46"/>
    <w:rsid w:val="00C56001"/>
    <w:rsid w:val="00C57D0B"/>
    <w:rsid w:val="00C62CB0"/>
    <w:rsid w:val="00C63D24"/>
    <w:rsid w:val="00C640CD"/>
    <w:rsid w:val="00C65CD9"/>
    <w:rsid w:val="00C65E89"/>
    <w:rsid w:val="00C671F1"/>
    <w:rsid w:val="00C700AE"/>
    <w:rsid w:val="00C712D1"/>
    <w:rsid w:val="00C72738"/>
    <w:rsid w:val="00C729BA"/>
    <w:rsid w:val="00C72A14"/>
    <w:rsid w:val="00C72DC4"/>
    <w:rsid w:val="00C72E5F"/>
    <w:rsid w:val="00C73520"/>
    <w:rsid w:val="00C73CA6"/>
    <w:rsid w:val="00C8145D"/>
    <w:rsid w:val="00C8332F"/>
    <w:rsid w:val="00C8592B"/>
    <w:rsid w:val="00C8660A"/>
    <w:rsid w:val="00C91DD7"/>
    <w:rsid w:val="00C92F61"/>
    <w:rsid w:val="00C96F31"/>
    <w:rsid w:val="00C978AA"/>
    <w:rsid w:val="00CA2576"/>
    <w:rsid w:val="00CA279F"/>
    <w:rsid w:val="00CA49C2"/>
    <w:rsid w:val="00CA569B"/>
    <w:rsid w:val="00CA652B"/>
    <w:rsid w:val="00CA6FFD"/>
    <w:rsid w:val="00CA7199"/>
    <w:rsid w:val="00CB120F"/>
    <w:rsid w:val="00CB3BE0"/>
    <w:rsid w:val="00CB407E"/>
    <w:rsid w:val="00CB5FD7"/>
    <w:rsid w:val="00CB68AF"/>
    <w:rsid w:val="00CB74C4"/>
    <w:rsid w:val="00CB7BB9"/>
    <w:rsid w:val="00CB7F74"/>
    <w:rsid w:val="00CC14C1"/>
    <w:rsid w:val="00CC157B"/>
    <w:rsid w:val="00CC25EB"/>
    <w:rsid w:val="00CC4269"/>
    <w:rsid w:val="00CC4885"/>
    <w:rsid w:val="00CC5A42"/>
    <w:rsid w:val="00CC6ED1"/>
    <w:rsid w:val="00CC7CE2"/>
    <w:rsid w:val="00CD05FD"/>
    <w:rsid w:val="00CD12D7"/>
    <w:rsid w:val="00CD160A"/>
    <w:rsid w:val="00CD1819"/>
    <w:rsid w:val="00CD1B8D"/>
    <w:rsid w:val="00CD2730"/>
    <w:rsid w:val="00CD2896"/>
    <w:rsid w:val="00CD44A9"/>
    <w:rsid w:val="00CD57D3"/>
    <w:rsid w:val="00CD6149"/>
    <w:rsid w:val="00CD62F1"/>
    <w:rsid w:val="00CD69B2"/>
    <w:rsid w:val="00CD6FD1"/>
    <w:rsid w:val="00CD7D98"/>
    <w:rsid w:val="00CE3598"/>
    <w:rsid w:val="00CE4865"/>
    <w:rsid w:val="00CE5B3A"/>
    <w:rsid w:val="00CE6A45"/>
    <w:rsid w:val="00CE73E6"/>
    <w:rsid w:val="00CE79BB"/>
    <w:rsid w:val="00CF0A0F"/>
    <w:rsid w:val="00CF23E3"/>
    <w:rsid w:val="00CF2968"/>
    <w:rsid w:val="00CF328E"/>
    <w:rsid w:val="00CF605E"/>
    <w:rsid w:val="00D00C5A"/>
    <w:rsid w:val="00D01398"/>
    <w:rsid w:val="00D01AA3"/>
    <w:rsid w:val="00D032D8"/>
    <w:rsid w:val="00D03688"/>
    <w:rsid w:val="00D067CA"/>
    <w:rsid w:val="00D06DA1"/>
    <w:rsid w:val="00D1476A"/>
    <w:rsid w:val="00D14E9B"/>
    <w:rsid w:val="00D1631D"/>
    <w:rsid w:val="00D17DC1"/>
    <w:rsid w:val="00D20263"/>
    <w:rsid w:val="00D21F09"/>
    <w:rsid w:val="00D22BD0"/>
    <w:rsid w:val="00D22EDD"/>
    <w:rsid w:val="00D2454F"/>
    <w:rsid w:val="00D30C94"/>
    <w:rsid w:val="00D3146C"/>
    <w:rsid w:val="00D31AD2"/>
    <w:rsid w:val="00D32503"/>
    <w:rsid w:val="00D32A20"/>
    <w:rsid w:val="00D32F52"/>
    <w:rsid w:val="00D34B0E"/>
    <w:rsid w:val="00D363F6"/>
    <w:rsid w:val="00D36D1E"/>
    <w:rsid w:val="00D37296"/>
    <w:rsid w:val="00D37B8E"/>
    <w:rsid w:val="00D406BD"/>
    <w:rsid w:val="00D4118C"/>
    <w:rsid w:val="00D43C1D"/>
    <w:rsid w:val="00D43D85"/>
    <w:rsid w:val="00D44FF9"/>
    <w:rsid w:val="00D4654C"/>
    <w:rsid w:val="00D46CDB"/>
    <w:rsid w:val="00D46DF1"/>
    <w:rsid w:val="00D50964"/>
    <w:rsid w:val="00D50FE7"/>
    <w:rsid w:val="00D51C9A"/>
    <w:rsid w:val="00D5414D"/>
    <w:rsid w:val="00D541DC"/>
    <w:rsid w:val="00D55412"/>
    <w:rsid w:val="00D56AFD"/>
    <w:rsid w:val="00D571D9"/>
    <w:rsid w:val="00D6227C"/>
    <w:rsid w:val="00D62645"/>
    <w:rsid w:val="00D631BC"/>
    <w:rsid w:val="00D63C60"/>
    <w:rsid w:val="00D64231"/>
    <w:rsid w:val="00D651DD"/>
    <w:rsid w:val="00D65269"/>
    <w:rsid w:val="00D664BD"/>
    <w:rsid w:val="00D70BC5"/>
    <w:rsid w:val="00D72099"/>
    <w:rsid w:val="00D749BA"/>
    <w:rsid w:val="00D7649C"/>
    <w:rsid w:val="00D77025"/>
    <w:rsid w:val="00D77666"/>
    <w:rsid w:val="00D810E8"/>
    <w:rsid w:val="00D82AD9"/>
    <w:rsid w:val="00D83165"/>
    <w:rsid w:val="00D8376F"/>
    <w:rsid w:val="00D86C21"/>
    <w:rsid w:val="00D87E6F"/>
    <w:rsid w:val="00D9279B"/>
    <w:rsid w:val="00D94630"/>
    <w:rsid w:val="00D94E6E"/>
    <w:rsid w:val="00D952BE"/>
    <w:rsid w:val="00D96227"/>
    <w:rsid w:val="00D96679"/>
    <w:rsid w:val="00D97347"/>
    <w:rsid w:val="00DA1749"/>
    <w:rsid w:val="00DA1BEE"/>
    <w:rsid w:val="00DA42EF"/>
    <w:rsid w:val="00DA43B9"/>
    <w:rsid w:val="00DA4B0E"/>
    <w:rsid w:val="00DA6ACF"/>
    <w:rsid w:val="00DA7DED"/>
    <w:rsid w:val="00DB026F"/>
    <w:rsid w:val="00DB0C79"/>
    <w:rsid w:val="00DB11F4"/>
    <w:rsid w:val="00DB2DC1"/>
    <w:rsid w:val="00DB3407"/>
    <w:rsid w:val="00DB45ED"/>
    <w:rsid w:val="00DB60D0"/>
    <w:rsid w:val="00DB6685"/>
    <w:rsid w:val="00DB6C15"/>
    <w:rsid w:val="00DB74DE"/>
    <w:rsid w:val="00DC13B7"/>
    <w:rsid w:val="00DC1CA3"/>
    <w:rsid w:val="00DC1FAF"/>
    <w:rsid w:val="00DC25CB"/>
    <w:rsid w:val="00DC393D"/>
    <w:rsid w:val="00DC4987"/>
    <w:rsid w:val="00DC4E08"/>
    <w:rsid w:val="00DC511E"/>
    <w:rsid w:val="00DC59C7"/>
    <w:rsid w:val="00DC6790"/>
    <w:rsid w:val="00DC6B70"/>
    <w:rsid w:val="00DC7436"/>
    <w:rsid w:val="00DD02B3"/>
    <w:rsid w:val="00DD05FF"/>
    <w:rsid w:val="00DD091C"/>
    <w:rsid w:val="00DD427D"/>
    <w:rsid w:val="00DD45DA"/>
    <w:rsid w:val="00DD5A53"/>
    <w:rsid w:val="00DD72A0"/>
    <w:rsid w:val="00DE1263"/>
    <w:rsid w:val="00DE15F4"/>
    <w:rsid w:val="00DE1A0A"/>
    <w:rsid w:val="00DE2088"/>
    <w:rsid w:val="00DE2698"/>
    <w:rsid w:val="00DE3DFD"/>
    <w:rsid w:val="00DE450C"/>
    <w:rsid w:val="00DE471B"/>
    <w:rsid w:val="00DE4A6B"/>
    <w:rsid w:val="00DE517F"/>
    <w:rsid w:val="00DE584B"/>
    <w:rsid w:val="00DF1BCB"/>
    <w:rsid w:val="00DF3462"/>
    <w:rsid w:val="00DF4A45"/>
    <w:rsid w:val="00DF4D6C"/>
    <w:rsid w:val="00DF57ED"/>
    <w:rsid w:val="00DF57F6"/>
    <w:rsid w:val="00DF6A98"/>
    <w:rsid w:val="00E03DFC"/>
    <w:rsid w:val="00E054BB"/>
    <w:rsid w:val="00E05876"/>
    <w:rsid w:val="00E05DE6"/>
    <w:rsid w:val="00E06B35"/>
    <w:rsid w:val="00E06CC8"/>
    <w:rsid w:val="00E071CC"/>
    <w:rsid w:val="00E107B3"/>
    <w:rsid w:val="00E10F19"/>
    <w:rsid w:val="00E1181B"/>
    <w:rsid w:val="00E11826"/>
    <w:rsid w:val="00E11AB5"/>
    <w:rsid w:val="00E11E49"/>
    <w:rsid w:val="00E14D21"/>
    <w:rsid w:val="00E15791"/>
    <w:rsid w:val="00E17330"/>
    <w:rsid w:val="00E1750C"/>
    <w:rsid w:val="00E200B1"/>
    <w:rsid w:val="00E20CA3"/>
    <w:rsid w:val="00E228EA"/>
    <w:rsid w:val="00E22AB5"/>
    <w:rsid w:val="00E23D18"/>
    <w:rsid w:val="00E240A5"/>
    <w:rsid w:val="00E247F0"/>
    <w:rsid w:val="00E25817"/>
    <w:rsid w:val="00E266D4"/>
    <w:rsid w:val="00E27F56"/>
    <w:rsid w:val="00E300EC"/>
    <w:rsid w:val="00E36F26"/>
    <w:rsid w:val="00E37B70"/>
    <w:rsid w:val="00E4038B"/>
    <w:rsid w:val="00E449A7"/>
    <w:rsid w:val="00E459F7"/>
    <w:rsid w:val="00E45C76"/>
    <w:rsid w:val="00E465EC"/>
    <w:rsid w:val="00E46900"/>
    <w:rsid w:val="00E5153C"/>
    <w:rsid w:val="00E523EB"/>
    <w:rsid w:val="00E530DB"/>
    <w:rsid w:val="00E57728"/>
    <w:rsid w:val="00E57A7F"/>
    <w:rsid w:val="00E6023C"/>
    <w:rsid w:val="00E602CC"/>
    <w:rsid w:val="00E61792"/>
    <w:rsid w:val="00E63CFB"/>
    <w:rsid w:val="00E644E0"/>
    <w:rsid w:val="00E65E72"/>
    <w:rsid w:val="00E66159"/>
    <w:rsid w:val="00E677EB"/>
    <w:rsid w:val="00E679D7"/>
    <w:rsid w:val="00E70AF7"/>
    <w:rsid w:val="00E70F72"/>
    <w:rsid w:val="00E71F55"/>
    <w:rsid w:val="00E72EFB"/>
    <w:rsid w:val="00E77002"/>
    <w:rsid w:val="00E770A3"/>
    <w:rsid w:val="00E77246"/>
    <w:rsid w:val="00E80091"/>
    <w:rsid w:val="00E80344"/>
    <w:rsid w:val="00E80B46"/>
    <w:rsid w:val="00E818AD"/>
    <w:rsid w:val="00E83EF7"/>
    <w:rsid w:val="00E84974"/>
    <w:rsid w:val="00E85EB4"/>
    <w:rsid w:val="00E86344"/>
    <w:rsid w:val="00E917E6"/>
    <w:rsid w:val="00E91CB8"/>
    <w:rsid w:val="00E95B75"/>
    <w:rsid w:val="00E968CB"/>
    <w:rsid w:val="00EA113E"/>
    <w:rsid w:val="00EA1510"/>
    <w:rsid w:val="00EA499B"/>
    <w:rsid w:val="00EA4F20"/>
    <w:rsid w:val="00EA58BF"/>
    <w:rsid w:val="00EA6050"/>
    <w:rsid w:val="00EA6552"/>
    <w:rsid w:val="00EA73DB"/>
    <w:rsid w:val="00EA77E5"/>
    <w:rsid w:val="00EB0C2C"/>
    <w:rsid w:val="00EB0E5E"/>
    <w:rsid w:val="00EB119F"/>
    <w:rsid w:val="00EB23AB"/>
    <w:rsid w:val="00EB6D1C"/>
    <w:rsid w:val="00EB7072"/>
    <w:rsid w:val="00EB7C31"/>
    <w:rsid w:val="00EC2B31"/>
    <w:rsid w:val="00EC5B6B"/>
    <w:rsid w:val="00EC5BB3"/>
    <w:rsid w:val="00ED1122"/>
    <w:rsid w:val="00ED11C2"/>
    <w:rsid w:val="00ED1498"/>
    <w:rsid w:val="00ED1FF5"/>
    <w:rsid w:val="00ED2770"/>
    <w:rsid w:val="00ED4032"/>
    <w:rsid w:val="00ED4DC8"/>
    <w:rsid w:val="00ED6BB4"/>
    <w:rsid w:val="00EE01E6"/>
    <w:rsid w:val="00EE3505"/>
    <w:rsid w:val="00EE5CB2"/>
    <w:rsid w:val="00EE5CC6"/>
    <w:rsid w:val="00EE6E75"/>
    <w:rsid w:val="00EE749F"/>
    <w:rsid w:val="00EF1E03"/>
    <w:rsid w:val="00EF21EC"/>
    <w:rsid w:val="00EF38B4"/>
    <w:rsid w:val="00EF4C51"/>
    <w:rsid w:val="00EF7D5A"/>
    <w:rsid w:val="00EF7F19"/>
    <w:rsid w:val="00F03617"/>
    <w:rsid w:val="00F043E1"/>
    <w:rsid w:val="00F043E6"/>
    <w:rsid w:val="00F04AA0"/>
    <w:rsid w:val="00F04EF2"/>
    <w:rsid w:val="00F05110"/>
    <w:rsid w:val="00F05FA7"/>
    <w:rsid w:val="00F06EAB"/>
    <w:rsid w:val="00F0733C"/>
    <w:rsid w:val="00F112EA"/>
    <w:rsid w:val="00F114C9"/>
    <w:rsid w:val="00F11D35"/>
    <w:rsid w:val="00F13519"/>
    <w:rsid w:val="00F16C66"/>
    <w:rsid w:val="00F2010B"/>
    <w:rsid w:val="00F201B3"/>
    <w:rsid w:val="00F2061F"/>
    <w:rsid w:val="00F20C89"/>
    <w:rsid w:val="00F225DC"/>
    <w:rsid w:val="00F25C21"/>
    <w:rsid w:val="00F260BB"/>
    <w:rsid w:val="00F2626E"/>
    <w:rsid w:val="00F26B4C"/>
    <w:rsid w:val="00F275C1"/>
    <w:rsid w:val="00F31C39"/>
    <w:rsid w:val="00F33581"/>
    <w:rsid w:val="00F34DA5"/>
    <w:rsid w:val="00F34EF1"/>
    <w:rsid w:val="00F35EC8"/>
    <w:rsid w:val="00F36213"/>
    <w:rsid w:val="00F3777C"/>
    <w:rsid w:val="00F377A4"/>
    <w:rsid w:val="00F409AF"/>
    <w:rsid w:val="00F41368"/>
    <w:rsid w:val="00F41834"/>
    <w:rsid w:val="00F41A16"/>
    <w:rsid w:val="00F425F4"/>
    <w:rsid w:val="00F44420"/>
    <w:rsid w:val="00F45CFC"/>
    <w:rsid w:val="00F469BA"/>
    <w:rsid w:val="00F50BFB"/>
    <w:rsid w:val="00F51111"/>
    <w:rsid w:val="00F52628"/>
    <w:rsid w:val="00F53AAC"/>
    <w:rsid w:val="00F55FA6"/>
    <w:rsid w:val="00F56462"/>
    <w:rsid w:val="00F5774B"/>
    <w:rsid w:val="00F60480"/>
    <w:rsid w:val="00F613D1"/>
    <w:rsid w:val="00F635CC"/>
    <w:rsid w:val="00F646CF"/>
    <w:rsid w:val="00F64A08"/>
    <w:rsid w:val="00F64A51"/>
    <w:rsid w:val="00F672B8"/>
    <w:rsid w:val="00F678E0"/>
    <w:rsid w:val="00F703CA"/>
    <w:rsid w:val="00F715E6"/>
    <w:rsid w:val="00F71A6D"/>
    <w:rsid w:val="00F7263B"/>
    <w:rsid w:val="00F741D6"/>
    <w:rsid w:val="00F76B51"/>
    <w:rsid w:val="00F774B6"/>
    <w:rsid w:val="00F779CD"/>
    <w:rsid w:val="00F80A6A"/>
    <w:rsid w:val="00F8129F"/>
    <w:rsid w:val="00F82D21"/>
    <w:rsid w:val="00F837B8"/>
    <w:rsid w:val="00F84D96"/>
    <w:rsid w:val="00F85108"/>
    <w:rsid w:val="00F85A2E"/>
    <w:rsid w:val="00F86002"/>
    <w:rsid w:val="00F86E50"/>
    <w:rsid w:val="00F87B42"/>
    <w:rsid w:val="00F9007D"/>
    <w:rsid w:val="00F91422"/>
    <w:rsid w:val="00F9159D"/>
    <w:rsid w:val="00F9167A"/>
    <w:rsid w:val="00F91D1F"/>
    <w:rsid w:val="00F91DBB"/>
    <w:rsid w:val="00F92EFE"/>
    <w:rsid w:val="00F9344F"/>
    <w:rsid w:val="00F93D0A"/>
    <w:rsid w:val="00F961B9"/>
    <w:rsid w:val="00F97856"/>
    <w:rsid w:val="00FA0367"/>
    <w:rsid w:val="00FA347E"/>
    <w:rsid w:val="00FA3EAA"/>
    <w:rsid w:val="00FA5195"/>
    <w:rsid w:val="00FA7568"/>
    <w:rsid w:val="00FB2B62"/>
    <w:rsid w:val="00FB3398"/>
    <w:rsid w:val="00FB38B9"/>
    <w:rsid w:val="00FB3EF3"/>
    <w:rsid w:val="00FB4FC4"/>
    <w:rsid w:val="00FB50D6"/>
    <w:rsid w:val="00FB665C"/>
    <w:rsid w:val="00FB668B"/>
    <w:rsid w:val="00FB69A4"/>
    <w:rsid w:val="00FC072E"/>
    <w:rsid w:val="00FC16C3"/>
    <w:rsid w:val="00FC22C3"/>
    <w:rsid w:val="00FC368D"/>
    <w:rsid w:val="00FD094D"/>
    <w:rsid w:val="00FD1533"/>
    <w:rsid w:val="00FD258F"/>
    <w:rsid w:val="00FD4348"/>
    <w:rsid w:val="00FD5E24"/>
    <w:rsid w:val="00FD7735"/>
    <w:rsid w:val="00FD7D5C"/>
    <w:rsid w:val="00FE0D99"/>
    <w:rsid w:val="00FE1080"/>
    <w:rsid w:val="00FE133D"/>
    <w:rsid w:val="00FE2E92"/>
    <w:rsid w:val="00FE4D17"/>
    <w:rsid w:val="00FE4F73"/>
    <w:rsid w:val="00FE5427"/>
    <w:rsid w:val="00FE63A1"/>
    <w:rsid w:val="00FE6A29"/>
    <w:rsid w:val="00FF0B2E"/>
    <w:rsid w:val="00FF23BD"/>
    <w:rsid w:val="00FF2B7F"/>
    <w:rsid w:val="00FF536D"/>
    <w:rsid w:val="00FF623A"/>
    <w:rsid w:val="00FF6240"/>
    <w:rsid w:val="00FF680E"/>
    <w:rsid w:val="045A2047"/>
    <w:rsid w:val="0E1D6EA1"/>
    <w:rsid w:val="0E6B10C2"/>
    <w:rsid w:val="0FA87BB9"/>
    <w:rsid w:val="141A47EF"/>
    <w:rsid w:val="193667F5"/>
    <w:rsid w:val="1AC13E11"/>
    <w:rsid w:val="1B807468"/>
    <w:rsid w:val="1D6C197E"/>
    <w:rsid w:val="1E1D74CF"/>
    <w:rsid w:val="24187101"/>
    <w:rsid w:val="2475605F"/>
    <w:rsid w:val="28382C3A"/>
    <w:rsid w:val="293B09A1"/>
    <w:rsid w:val="297C1823"/>
    <w:rsid w:val="2E6B4E7D"/>
    <w:rsid w:val="2ECB3AD2"/>
    <w:rsid w:val="2FD93C26"/>
    <w:rsid w:val="35E10098"/>
    <w:rsid w:val="3623352B"/>
    <w:rsid w:val="396F3A83"/>
    <w:rsid w:val="3984743C"/>
    <w:rsid w:val="3CFC2E6F"/>
    <w:rsid w:val="3E8A6DC8"/>
    <w:rsid w:val="3FAF832F"/>
    <w:rsid w:val="3FB80606"/>
    <w:rsid w:val="401D645C"/>
    <w:rsid w:val="426B4A84"/>
    <w:rsid w:val="453827AF"/>
    <w:rsid w:val="47B3762B"/>
    <w:rsid w:val="48194922"/>
    <w:rsid w:val="4A104DDA"/>
    <w:rsid w:val="4BCC28C2"/>
    <w:rsid w:val="4BDD1FF5"/>
    <w:rsid w:val="4C87303B"/>
    <w:rsid w:val="4D2B4E39"/>
    <w:rsid w:val="4D730EE3"/>
    <w:rsid w:val="508C16CB"/>
    <w:rsid w:val="50DE50F1"/>
    <w:rsid w:val="525C37D5"/>
    <w:rsid w:val="52E15D7F"/>
    <w:rsid w:val="53F7F9B4"/>
    <w:rsid w:val="550F232E"/>
    <w:rsid w:val="56EF1FE3"/>
    <w:rsid w:val="576BDE80"/>
    <w:rsid w:val="59416B48"/>
    <w:rsid w:val="59A31EA9"/>
    <w:rsid w:val="5AA664F1"/>
    <w:rsid w:val="5AB67F96"/>
    <w:rsid w:val="5BD8483D"/>
    <w:rsid w:val="5C674B26"/>
    <w:rsid w:val="5EC93A80"/>
    <w:rsid w:val="5F213DCC"/>
    <w:rsid w:val="5F8C4929"/>
    <w:rsid w:val="5FFD4DC6"/>
    <w:rsid w:val="62DB7F23"/>
    <w:rsid w:val="636D0703"/>
    <w:rsid w:val="63DA6DBA"/>
    <w:rsid w:val="651C0FAE"/>
    <w:rsid w:val="66126DD3"/>
    <w:rsid w:val="68636B44"/>
    <w:rsid w:val="68646F1F"/>
    <w:rsid w:val="6DF05C8B"/>
    <w:rsid w:val="6EE252F2"/>
    <w:rsid w:val="6FA46DF1"/>
    <w:rsid w:val="710A3346"/>
    <w:rsid w:val="721530FE"/>
    <w:rsid w:val="75D601D8"/>
    <w:rsid w:val="77FA4C7A"/>
    <w:rsid w:val="7A321FA6"/>
    <w:rsid w:val="7AF313DB"/>
    <w:rsid w:val="7B9F6561"/>
    <w:rsid w:val="7CFFEA86"/>
    <w:rsid w:val="7E0B6632"/>
    <w:rsid w:val="7E93358B"/>
    <w:rsid w:val="AFEF9F48"/>
    <w:rsid w:val="B3DE8903"/>
    <w:rsid w:val="BBF740F5"/>
    <w:rsid w:val="BFF25117"/>
    <w:rsid w:val="D7EAD47A"/>
    <w:rsid w:val="EA6E010F"/>
    <w:rsid w:val="ECFF6E78"/>
    <w:rsid w:val="F3FF14B4"/>
    <w:rsid w:val="FA7F99B2"/>
    <w:rsid w:val="FEDDC812"/>
    <w:rsid w:val="FEFF4591"/>
    <w:rsid w:val="FFB74FDA"/>
    <w:rsid w:val="FFFDC7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6"/>
    <w:autoRedefine/>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2"/>
    <w:basedOn w:val="1"/>
    <w:next w:val="1"/>
    <w:link w:val="74"/>
    <w:semiHidden/>
    <w:unhideWhenUsed/>
    <w:qFormat/>
    <w:uiPriority w:val="9"/>
    <w:pPr>
      <w:keepNext/>
      <w:keepLines/>
      <w:widowControl w:val="0"/>
      <w:spacing w:before="260" w:after="260" w:line="416" w:lineRule="auto"/>
      <w:textAlignment w:val="auto"/>
      <w:outlineLvl w:val="1"/>
    </w:pPr>
    <w:rPr>
      <w:rFonts w:asciiTheme="majorHAnsi" w:hAnsiTheme="majorHAnsi" w:eastAsiaTheme="majorEastAsia" w:cstheme="majorBidi"/>
      <w:b/>
      <w:bCs/>
      <w:color w:val="auto"/>
      <w:kern w:val="2"/>
      <w:sz w:val="32"/>
      <w:szCs w:val="32"/>
    </w:rPr>
  </w:style>
  <w:style w:type="paragraph" w:styleId="4">
    <w:name w:val="heading 3"/>
    <w:basedOn w:val="1"/>
    <w:next w:val="1"/>
    <w:link w:val="27"/>
    <w:qFormat/>
    <w:uiPriority w:val="99"/>
    <w:pPr>
      <w:keepNext/>
      <w:keepLines/>
      <w:spacing w:before="260" w:after="260" w:line="416" w:lineRule="atLeast"/>
      <w:outlineLvl w:val="2"/>
    </w:pPr>
    <w:rPr>
      <w:b/>
      <w:bCs/>
      <w:sz w:val="32"/>
      <w:szCs w:val="32"/>
    </w:rPr>
  </w:style>
  <w:style w:type="character" w:default="1" w:styleId="21">
    <w:name w:val="Default Paragraph Font"/>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8"/>
    <w:autoRedefine/>
    <w:semiHidden/>
    <w:qFormat/>
    <w:locked/>
    <w:uiPriority w:val="99"/>
    <w:pPr>
      <w:jc w:val="left"/>
    </w:pPr>
  </w:style>
  <w:style w:type="paragraph" w:styleId="6">
    <w:name w:val="Body Text"/>
    <w:basedOn w:val="1"/>
    <w:link w:val="67"/>
    <w:autoRedefine/>
    <w:semiHidden/>
    <w:unhideWhenUsed/>
    <w:qFormat/>
    <w:locked/>
    <w:uiPriority w:val="99"/>
    <w:pPr>
      <w:spacing w:after="120"/>
    </w:pPr>
  </w:style>
  <w:style w:type="paragraph" w:styleId="7">
    <w:name w:val="Body Text Indent"/>
    <w:basedOn w:val="1"/>
    <w:link w:val="30"/>
    <w:autoRedefine/>
    <w:qFormat/>
    <w:uiPriority w:val="99"/>
    <w:pPr>
      <w:widowControl w:val="0"/>
      <w:snapToGrid w:val="0"/>
      <w:spacing w:before="283" w:line="560" w:lineRule="exact"/>
      <w:ind w:firstLine="510"/>
    </w:pPr>
    <w:rPr>
      <w:sz w:val="20"/>
    </w:rPr>
  </w:style>
  <w:style w:type="paragraph" w:styleId="8">
    <w:name w:val="Plain Text"/>
    <w:basedOn w:val="1"/>
    <w:link w:val="60"/>
    <w:autoRedefine/>
    <w:qFormat/>
    <w:uiPriority w:val="99"/>
    <w:pPr>
      <w:widowControl w:val="0"/>
      <w:spacing w:line="240" w:lineRule="auto"/>
      <w:textAlignment w:val="auto"/>
    </w:pPr>
    <w:rPr>
      <w:rFonts w:ascii="宋体" w:hAnsi="Courier New"/>
    </w:rPr>
  </w:style>
  <w:style w:type="paragraph" w:styleId="9">
    <w:name w:val="Date"/>
    <w:basedOn w:val="1"/>
    <w:next w:val="1"/>
    <w:link w:val="32"/>
    <w:autoRedefine/>
    <w:qFormat/>
    <w:uiPriority w:val="99"/>
    <w:pPr>
      <w:ind w:left="100" w:leftChars="2500"/>
    </w:pPr>
  </w:style>
  <w:style w:type="paragraph" w:styleId="10">
    <w:name w:val="Balloon Text"/>
    <w:basedOn w:val="1"/>
    <w:link w:val="33"/>
    <w:autoRedefine/>
    <w:qFormat/>
    <w:uiPriority w:val="99"/>
    <w:pPr>
      <w:spacing w:line="240" w:lineRule="auto"/>
    </w:pPr>
    <w:rPr>
      <w:sz w:val="18"/>
      <w:szCs w:val="18"/>
    </w:rPr>
  </w:style>
  <w:style w:type="paragraph" w:styleId="11">
    <w:name w:val="footer"/>
    <w:basedOn w:val="1"/>
    <w:link w:val="34"/>
    <w:autoRedefine/>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5"/>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Body Text 2"/>
    <w:basedOn w:val="1"/>
    <w:link w:val="36"/>
    <w:autoRedefine/>
    <w:qFormat/>
    <w:uiPriority w:val="99"/>
    <w:pPr>
      <w:spacing w:after="120" w:line="480" w:lineRule="auto"/>
    </w:pPr>
    <w:rPr>
      <w:sz w:val="20"/>
    </w:rPr>
  </w:style>
  <w:style w:type="paragraph" w:styleId="16">
    <w:name w:val="Normal (Web)"/>
    <w:basedOn w:val="1"/>
    <w:autoRedefine/>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7">
    <w:name w:val="annotation subject"/>
    <w:basedOn w:val="5"/>
    <w:next w:val="5"/>
    <w:link w:val="29"/>
    <w:autoRedefine/>
    <w:semiHidden/>
    <w:qFormat/>
    <w:locked/>
    <w:uiPriority w:val="99"/>
    <w:rPr>
      <w:b/>
      <w:bCs/>
    </w:rPr>
  </w:style>
  <w:style w:type="paragraph" w:styleId="18">
    <w:name w:val="Body Text First Indent"/>
    <w:basedOn w:val="6"/>
    <w:link w:val="68"/>
    <w:autoRedefine/>
    <w:semiHidden/>
    <w:unhideWhenUsed/>
    <w:qFormat/>
    <w:locked/>
    <w:uiPriority w:val="99"/>
    <w:pPr>
      <w:ind w:firstLine="420" w:firstLineChars="100"/>
    </w:pPr>
  </w:style>
  <w:style w:type="table" w:styleId="20">
    <w:name w:val="Table Grid"/>
    <w:basedOn w:val="1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99"/>
    <w:rPr>
      <w:rFonts w:cs="Times New Roman"/>
      <w:b/>
    </w:rPr>
  </w:style>
  <w:style w:type="character" w:styleId="23">
    <w:name w:val="page number"/>
    <w:basedOn w:val="21"/>
    <w:autoRedefine/>
    <w:qFormat/>
    <w:uiPriority w:val="99"/>
    <w:rPr>
      <w:rFonts w:cs="Times New Roman"/>
    </w:rPr>
  </w:style>
  <w:style w:type="character" w:styleId="24">
    <w:name w:val="Hyperlink"/>
    <w:basedOn w:val="21"/>
    <w:autoRedefine/>
    <w:qFormat/>
    <w:uiPriority w:val="99"/>
    <w:rPr>
      <w:rFonts w:cs="Times New Roman"/>
      <w:color w:val="0368A8"/>
      <w:u w:val="none"/>
    </w:rPr>
  </w:style>
  <w:style w:type="character" w:styleId="25">
    <w:name w:val="annotation reference"/>
    <w:basedOn w:val="21"/>
    <w:autoRedefine/>
    <w:semiHidden/>
    <w:qFormat/>
    <w:locked/>
    <w:uiPriority w:val="99"/>
    <w:rPr>
      <w:rFonts w:cs="Times New Roman"/>
      <w:sz w:val="21"/>
      <w:szCs w:val="21"/>
    </w:rPr>
  </w:style>
  <w:style w:type="character" w:customStyle="1" w:styleId="26">
    <w:name w:val="标题 1 Char"/>
    <w:basedOn w:val="21"/>
    <w:link w:val="2"/>
    <w:autoRedefine/>
    <w:qFormat/>
    <w:locked/>
    <w:uiPriority w:val="99"/>
    <w:rPr>
      <w:rFonts w:cs="Times New Roman"/>
      <w:b/>
      <w:color w:val="000000"/>
      <w:kern w:val="44"/>
      <w:sz w:val="44"/>
      <w:u w:val="none" w:color="000000"/>
    </w:rPr>
  </w:style>
  <w:style w:type="character" w:customStyle="1" w:styleId="27">
    <w:name w:val="标题 3 Char"/>
    <w:basedOn w:val="21"/>
    <w:link w:val="4"/>
    <w:autoRedefine/>
    <w:semiHidden/>
    <w:qFormat/>
    <w:locked/>
    <w:uiPriority w:val="99"/>
    <w:rPr>
      <w:rFonts w:cs="Times New Roman"/>
      <w:b/>
      <w:color w:val="000000"/>
      <w:sz w:val="32"/>
      <w:u w:val="none" w:color="000000"/>
    </w:rPr>
  </w:style>
  <w:style w:type="character" w:customStyle="1" w:styleId="28">
    <w:name w:val="批注文字 Char"/>
    <w:basedOn w:val="21"/>
    <w:link w:val="5"/>
    <w:autoRedefine/>
    <w:semiHidden/>
    <w:qFormat/>
    <w:locked/>
    <w:uiPriority w:val="99"/>
    <w:rPr>
      <w:rFonts w:cs="Times New Roman"/>
      <w:color w:val="000000"/>
      <w:sz w:val="21"/>
      <w:u w:color="000000"/>
    </w:rPr>
  </w:style>
  <w:style w:type="character" w:customStyle="1" w:styleId="29">
    <w:name w:val="批注主题 Char"/>
    <w:basedOn w:val="28"/>
    <w:link w:val="17"/>
    <w:autoRedefine/>
    <w:semiHidden/>
    <w:qFormat/>
    <w:locked/>
    <w:uiPriority w:val="99"/>
    <w:rPr>
      <w:rFonts w:cs="Times New Roman"/>
      <w:b/>
      <w:bCs/>
      <w:color w:val="000000"/>
      <w:sz w:val="21"/>
      <w:u w:color="000000"/>
    </w:rPr>
  </w:style>
  <w:style w:type="character" w:customStyle="1" w:styleId="30">
    <w:name w:val="正文文本缩进 Char"/>
    <w:basedOn w:val="21"/>
    <w:link w:val="7"/>
    <w:autoRedefine/>
    <w:semiHidden/>
    <w:qFormat/>
    <w:locked/>
    <w:uiPriority w:val="99"/>
    <w:rPr>
      <w:rFonts w:cs="Times New Roman"/>
      <w:color w:val="000000"/>
      <w:kern w:val="0"/>
      <w:sz w:val="20"/>
      <w:u w:val="none" w:color="000000"/>
    </w:rPr>
  </w:style>
  <w:style w:type="character" w:customStyle="1" w:styleId="31">
    <w:name w:val="Plain Text Char"/>
    <w:basedOn w:val="21"/>
    <w:autoRedefine/>
    <w:qFormat/>
    <w:locked/>
    <w:uiPriority w:val="99"/>
    <w:rPr>
      <w:rFonts w:ascii="宋体" w:hAnsi="Courier New" w:eastAsia="宋体" w:cs="Times New Roman"/>
      <w:kern w:val="2"/>
      <w:sz w:val="21"/>
      <w:lang w:val="en-US" w:eastAsia="zh-CN"/>
    </w:rPr>
  </w:style>
  <w:style w:type="character" w:customStyle="1" w:styleId="32">
    <w:name w:val="日期 Char"/>
    <w:basedOn w:val="21"/>
    <w:link w:val="9"/>
    <w:autoRedefine/>
    <w:qFormat/>
    <w:locked/>
    <w:uiPriority w:val="99"/>
    <w:rPr>
      <w:rFonts w:cs="Times New Roman"/>
      <w:color w:val="000000"/>
      <w:sz w:val="21"/>
      <w:u w:val="none" w:color="000000"/>
    </w:rPr>
  </w:style>
  <w:style w:type="character" w:customStyle="1" w:styleId="33">
    <w:name w:val="批注框文本 Char"/>
    <w:basedOn w:val="21"/>
    <w:link w:val="10"/>
    <w:autoRedefine/>
    <w:qFormat/>
    <w:locked/>
    <w:uiPriority w:val="99"/>
    <w:rPr>
      <w:rFonts w:cs="Times New Roman"/>
      <w:color w:val="000000"/>
      <w:sz w:val="18"/>
      <w:u w:val="none" w:color="000000"/>
    </w:rPr>
  </w:style>
  <w:style w:type="character" w:customStyle="1" w:styleId="34">
    <w:name w:val="页脚 Char"/>
    <w:basedOn w:val="21"/>
    <w:link w:val="11"/>
    <w:autoRedefine/>
    <w:semiHidden/>
    <w:qFormat/>
    <w:locked/>
    <w:uiPriority w:val="99"/>
    <w:rPr>
      <w:rFonts w:cs="Times New Roman"/>
      <w:color w:val="000000"/>
      <w:kern w:val="0"/>
      <w:sz w:val="18"/>
      <w:u w:val="none" w:color="000000"/>
    </w:rPr>
  </w:style>
  <w:style w:type="character" w:customStyle="1" w:styleId="35">
    <w:name w:val="页眉 Char"/>
    <w:basedOn w:val="21"/>
    <w:link w:val="12"/>
    <w:autoRedefine/>
    <w:semiHidden/>
    <w:qFormat/>
    <w:locked/>
    <w:uiPriority w:val="99"/>
    <w:rPr>
      <w:rFonts w:cs="Times New Roman"/>
      <w:color w:val="000000"/>
      <w:kern w:val="0"/>
      <w:sz w:val="18"/>
      <w:u w:val="none" w:color="000000"/>
    </w:rPr>
  </w:style>
  <w:style w:type="character" w:customStyle="1" w:styleId="36">
    <w:name w:val="正文文本 2 Char"/>
    <w:basedOn w:val="21"/>
    <w:link w:val="15"/>
    <w:autoRedefine/>
    <w:semiHidden/>
    <w:qFormat/>
    <w:locked/>
    <w:uiPriority w:val="99"/>
    <w:rPr>
      <w:rFonts w:cs="Times New Roman"/>
      <w:color w:val="000000"/>
      <w:kern w:val="0"/>
      <w:sz w:val="20"/>
      <w:u w:val="none" w:color="000000"/>
    </w:rPr>
  </w:style>
  <w:style w:type="paragraph" w:customStyle="1" w:styleId="37">
    <w:name w:val="目录1"/>
    <w:basedOn w:val="1"/>
    <w:next w:val="1"/>
    <w:autoRedefine/>
    <w:qFormat/>
    <w:uiPriority w:val="99"/>
    <w:pPr>
      <w:tabs>
        <w:tab w:val="left" w:leader="dot" w:pos="8503"/>
      </w:tabs>
      <w:spacing w:after="136" w:line="289" w:lineRule="atLeast"/>
      <w:jc w:val="left"/>
    </w:pPr>
    <w:rPr>
      <w:rFonts w:ascii="Arial" w:eastAsia="黑体"/>
      <w:sz w:val="28"/>
    </w:rPr>
  </w:style>
  <w:style w:type="paragraph" w:customStyle="1" w:styleId="38">
    <w:name w:val="章标题"/>
    <w:basedOn w:val="1"/>
    <w:next w:val="39"/>
    <w:autoRedefine/>
    <w:qFormat/>
    <w:uiPriority w:val="99"/>
    <w:pPr>
      <w:spacing w:before="158" w:after="153" w:line="323" w:lineRule="atLeast"/>
      <w:jc w:val="center"/>
    </w:pPr>
    <w:rPr>
      <w:rFonts w:ascii="Arial" w:eastAsia="黑体"/>
      <w:sz w:val="31"/>
    </w:rPr>
  </w:style>
  <w:style w:type="paragraph" w:customStyle="1" w:styleId="39">
    <w:name w:val="节标题"/>
    <w:basedOn w:val="1"/>
    <w:next w:val="40"/>
    <w:autoRedefine/>
    <w:qFormat/>
    <w:uiPriority w:val="99"/>
    <w:pPr>
      <w:spacing w:line="289" w:lineRule="atLeast"/>
      <w:jc w:val="center"/>
    </w:pPr>
    <w:rPr>
      <w:sz w:val="28"/>
    </w:rPr>
  </w:style>
  <w:style w:type="paragraph" w:customStyle="1" w:styleId="40">
    <w:name w:val="小节标题"/>
    <w:basedOn w:val="1"/>
    <w:next w:val="1"/>
    <w:autoRedefine/>
    <w:qFormat/>
    <w:uiPriority w:val="99"/>
    <w:pPr>
      <w:spacing w:before="175" w:after="102" w:line="351" w:lineRule="atLeast"/>
    </w:pPr>
    <w:rPr>
      <w:rFonts w:eastAsia="黑体"/>
    </w:rPr>
  </w:style>
  <w:style w:type="paragraph" w:customStyle="1" w:styleId="41">
    <w:name w:val="目录2"/>
    <w:basedOn w:val="1"/>
    <w:next w:val="1"/>
    <w:autoRedefine/>
    <w:qFormat/>
    <w:uiPriority w:val="99"/>
    <w:pPr>
      <w:tabs>
        <w:tab w:val="left" w:leader="dot" w:pos="8503"/>
      </w:tabs>
      <w:spacing w:line="317" w:lineRule="atLeast"/>
      <w:ind w:firstLine="209"/>
    </w:pPr>
  </w:style>
  <w:style w:type="paragraph" w:customStyle="1" w:styleId="42">
    <w:name w:val="目录4"/>
    <w:basedOn w:val="1"/>
    <w:next w:val="1"/>
    <w:autoRedefine/>
    <w:qFormat/>
    <w:uiPriority w:val="99"/>
    <w:pPr>
      <w:tabs>
        <w:tab w:val="left" w:leader="dot" w:pos="8503"/>
      </w:tabs>
      <w:spacing w:line="317" w:lineRule="atLeast"/>
      <w:ind w:firstLine="629"/>
    </w:pPr>
  </w:style>
  <w:style w:type="paragraph" w:customStyle="1" w:styleId="43">
    <w:name w:val="1 Char Char Char Char"/>
    <w:basedOn w:val="1"/>
    <w:autoRedefine/>
    <w:qFormat/>
    <w:uiPriority w:val="99"/>
    <w:pPr>
      <w:widowControl w:val="0"/>
      <w:spacing w:line="240" w:lineRule="auto"/>
      <w:textAlignment w:val="auto"/>
    </w:pPr>
    <w:rPr>
      <w:rFonts w:ascii="Tahoma" w:hAnsi="Tahoma" w:cs="Tahoma"/>
      <w:color w:val="auto"/>
      <w:kern w:val="2"/>
      <w:sz w:val="24"/>
      <w:szCs w:val="24"/>
    </w:rPr>
  </w:style>
  <w:style w:type="paragraph" w:customStyle="1" w:styleId="44">
    <w:name w:val="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45">
    <w:name w:val="目录3"/>
    <w:basedOn w:val="1"/>
    <w:next w:val="1"/>
    <w:autoRedefine/>
    <w:qFormat/>
    <w:uiPriority w:val="99"/>
    <w:pPr>
      <w:tabs>
        <w:tab w:val="left" w:leader="dot" w:pos="8503"/>
      </w:tabs>
      <w:spacing w:line="317" w:lineRule="atLeast"/>
      <w:ind w:firstLine="419"/>
    </w:pPr>
  </w:style>
  <w:style w:type="paragraph" w:customStyle="1" w:styleId="46">
    <w:name w:val="目录标题"/>
    <w:basedOn w:val="1"/>
    <w:next w:val="1"/>
    <w:autoRedefine/>
    <w:qFormat/>
    <w:uiPriority w:val="99"/>
    <w:pPr>
      <w:spacing w:before="566" w:after="544" w:line="566" w:lineRule="atLeast"/>
      <w:ind w:firstLine="419"/>
      <w:jc w:val="center"/>
    </w:pPr>
    <w:rPr>
      <w:rFonts w:ascii="Arial" w:eastAsia="黑体"/>
      <w:spacing w:val="566"/>
      <w:sz w:val="54"/>
    </w:rPr>
  </w:style>
  <w:style w:type="paragraph" w:customStyle="1" w:styleId="47">
    <w:name w:val="文章总标题"/>
    <w:basedOn w:val="1"/>
    <w:next w:val="48"/>
    <w:autoRedefine/>
    <w:qFormat/>
    <w:uiPriority w:val="99"/>
    <w:pPr>
      <w:spacing w:before="566" w:after="544" w:line="566" w:lineRule="atLeast"/>
      <w:jc w:val="center"/>
    </w:pPr>
    <w:rPr>
      <w:rFonts w:ascii="Arial" w:eastAsia="黑体"/>
      <w:sz w:val="54"/>
    </w:rPr>
  </w:style>
  <w:style w:type="paragraph" w:customStyle="1" w:styleId="48">
    <w:name w:val="文章附标题"/>
    <w:basedOn w:val="1"/>
    <w:next w:val="38"/>
    <w:autoRedefine/>
    <w:qFormat/>
    <w:uiPriority w:val="99"/>
    <w:pPr>
      <w:spacing w:before="187" w:after="175" w:line="374" w:lineRule="atLeast"/>
      <w:jc w:val="center"/>
    </w:pPr>
    <w:rPr>
      <w:sz w:val="36"/>
    </w:rPr>
  </w:style>
  <w:style w:type="paragraph" w:customStyle="1" w:styleId="49">
    <w:name w:val="Char1"/>
    <w:basedOn w:val="1"/>
    <w:autoRedefine/>
    <w:qFormat/>
    <w:uiPriority w:val="99"/>
    <w:pPr>
      <w:widowControl w:val="0"/>
      <w:spacing w:line="240" w:lineRule="auto"/>
      <w:textAlignment w:val="auto"/>
    </w:pPr>
    <w:rPr>
      <w:rFonts w:ascii="Tahoma" w:hAnsi="Tahoma"/>
      <w:color w:val="auto"/>
      <w:kern w:val="2"/>
      <w:sz w:val="24"/>
    </w:rPr>
  </w:style>
  <w:style w:type="paragraph" w:customStyle="1" w:styleId="50">
    <w:name w:val="Char11"/>
    <w:basedOn w:val="1"/>
    <w:autoRedefine/>
    <w:qFormat/>
    <w:uiPriority w:val="99"/>
    <w:pPr>
      <w:widowControl w:val="0"/>
      <w:spacing w:line="240" w:lineRule="auto"/>
      <w:textAlignment w:val="auto"/>
    </w:pPr>
    <w:rPr>
      <w:rFonts w:ascii="Tahoma" w:hAnsi="Tahoma"/>
      <w:color w:val="auto"/>
      <w:kern w:val="2"/>
      <w:sz w:val="24"/>
    </w:rPr>
  </w:style>
  <w:style w:type="paragraph" w:customStyle="1" w:styleId="51">
    <w:name w:val="Char Char Char Char 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52">
    <w:name w:val="WPS Plain"/>
    <w:autoRedefine/>
    <w:qFormat/>
    <w:uiPriority w:val="99"/>
    <w:rPr>
      <w:rFonts w:ascii="Times New Roman" w:hAnsi="Times New Roman" w:eastAsia="宋体" w:cs="Times New Roman"/>
      <w:lang w:val="en-US" w:eastAsia="zh-CN" w:bidi="ar-SA"/>
    </w:rPr>
  </w:style>
  <w:style w:type="paragraph" w:customStyle="1" w:styleId="53">
    <w:name w:val="cjk"/>
    <w:basedOn w:val="1"/>
    <w:autoRedefine/>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TOC Heading1"/>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List Paragraph1"/>
    <w:basedOn w:val="1"/>
    <w:autoRedefine/>
    <w:qFormat/>
    <w:uiPriority w:val="99"/>
    <w:pPr>
      <w:ind w:firstLine="420" w:firstLineChars="200"/>
    </w:pPr>
  </w:style>
  <w:style w:type="character" w:customStyle="1" w:styleId="57">
    <w:name w:val="链接"/>
    <w:autoRedefine/>
    <w:qFormat/>
    <w:uiPriority w:val="99"/>
    <w:rPr>
      <w:rFonts w:ascii="Times New Roman" w:eastAsia="宋体"/>
      <w:color w:val="0000FF"/>
      <w:sz w:val="21"/>
      <w:u w:val="single" w:color="0000FF"/>
      <w:lang w:val="en-US" w:eastAsia="zh-CN"/>
    </w:rPr>
  </w:style>
  <w:style w:type="character" w:customStyle="1" w:styleId="58">
    <w:name w:val="超级链接"/>
    <w:autoRedefine/>
    <w:qFormat/>
    <w:uiPriority w:val="99"/>
    <w:rPr>
      <w:rFonts w:ascii="Times New Roman" w:eastAsia="宋体"/>
      <w:color w:val="0000FF"/>
      <w:sz w:val="21"/>
      <w:u w:val="single" w:color="0000FF"/>
      <w:lang w:val="en-US" w:eastAsia="zh-CN"/>
    </w:rPr>
  </w:style>
  <w:style w:type="character" w:customStyle="1" w:styleId="59">
    <w:name w:val="param_td12"/>
    <w:autoRedefine/>
    <w:qFormat/>
    <w:uiPriority w:val="99"/>
  </w:style>
  <w:style w:type="character" w:customStyle="1" w:styleId="60">
    <w:name w:val="纯文本 Char"/>
    <w:link w:val="8"/>
    <w:autoRedefine/>
    <w:semiHidden/>
    <w:qFormat/>
    <w:locked/>
    <w:uiPriority w:val="99"/>
    <w:rPr>
      <w:rFonts w:ascii="宋体" w:hAnsi="Courier New"/>
      <w:color w:val="000000"/>
      <w:kern w:val="0"/>
      <w:sz w:val="21"/>
      <w:u w:val="none" w:color="000000"/>
    </w:rPr>
  </w:style>
  <w:style w:type="character" w:customStyle="1" w:styleId="61">
    <w:name w:val="纯文本 Char Char"/>
    <w:autoRedefine/>
    <w:qFormat/>
    <w:uiPriority w:val="99"/>
    <w:rPr>
      <w:rFonts w:ascii="宋体" w:hAnsi="Courier New" w:eastAsia="宋体"/>
      <w:kern w:val="2"/>
      <w:sz w:val="21"/>
      <w:lang w:val="en-US" w:eastAsia="zh-CN"/>
    </w:rPr>
  </w:style>
  <w:style w:type="character" w:customStyle="1" w:styleId="62">
    <w:name w:val="Char Char4"/>
    <w:autoRedefine/>
    <w:qFormat/>
    <w:uiPriority w:val="99"/>
    <w:rPr>
      <w:rFonts w:ascii="宋体" w:eastAsia="宋体"/>
      <w:kern w:val="2"/>
      <w:sz w:val="28"/>
    </w:rPr>
  </w:style>
  <w:style w:type="character" w:customStyle="1" w:styleId="63">
    <w:name w:val="纯文本 Char1"/>
    <w:autoRedefine/>
    <w:qFormat/>
    <w:locked/>
    <w:uiPriority w:val="99"/>
    <w:rPr>
      <w:rFonts w:ascii="宋体" w:hAnsi="Courier New"/>
      <w:kern w:val="2"/>
      <w:sz w:val="21"/>
      <w:u w:color="000000"/>
    </w:rPr>
  </w:style>
  <w:style w:type="character" w:customStyle="1" w:styleId="64">
    <w:name w:val="15"/>
    <w:basedOn w:val="21"/>
    <w:autoRedefine/>
    <w:qFormat/>
    <w:uiPriority w:val="99"/>
    <w:rPr>
      <w:rFonts w:cs="Times New Roman"/>
    </w:rPr>
  </w:style>
  <w:style w:type="character" w:customStyle="1" w:styleId="65">
    <w:name w:val="样式 首行缩进:  0 字符 Char"/>
    <w:link w:val="66"/>
    <w:autoRedefine/>
    <w:qFormat/>
    <w:locked/>
    <w:uiPriority w:val="0"/>
    <w:rPr>
      <w:sz w:val="24"/>
    </w:rPr>
  </w:style>
  <w:style w:type="paragraph" w:customStyle="1" w:styleId="66">
    <w:name w:val="样式 首行缩进:  0 字符"/>
    <w:basedOn w:val="1"/>
    <w:link w:val="65"/>
    <w:autoRedefine/>
    <w:qFormat/>
    <w:uiPriority w:val="0"/>
    <w:pPr>
      <w:widowControl w:val="0"/>
      <w:spacing w:line="360" w:lineRule="auto"/>
      <w:ind w:firstLine="200" w:firstLineChars="200"/>
      <w:textAlignment w:val="auto"/>
    </w:pPr>
    <w:rPr>
      <w:color w:val="auto"/>
      <w:sz w:val="24"/>
    </w:rPr>
  </w:style>
  <w:style w:type="character" w:customStyle="1" w:styleId="67">
    <w:name w:val="正文文本 Char"/>
    <w:basedOn w:val="21"/>
    <w:link w:val="6"/>
    <w:autoRedefine/>
    <w:semiHidden/>
    <w:qFormat/>
    <w:uiPriority w:val="99"/>
    <w:rPr>
      <w:color w:val="000000"/>
      <w:sz w:val="21"/>
      <w:u w:color="000000"/>
    </w:rPr>
  </w:style>
  <w:style w:type="character" w:customStyle="1" w:styleId="68">
    <w:name w:val="正文首行缩进 Char"/>
    <w:basedOn w:val="67"/>
    <w:link w:val="18"/>
    <w:autoRedefine/>
    <w:semiHidden/>
    <w:qFormat/>
    <w:uiPriority w:val="99"/>
    <w:rPr>
      <w:color w:val="000000"/>
      <w:sz w:val="21"/>
      <w:u w:color="000000"/>
    </w:rPr>
  </w:style>
  <w:style w:type="paragraph" w:customStyle="1" w:styleId="69">
    <w:name w:val="正文文本 (2)"/>
    <w:basedOn w:val="1"/>
    <w:autoRedefine/>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0">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71">
    <w:name w:val="页眉或页脚 + Calibri"/>
    <w:autoRedefine/>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2">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paragraph" w:styleId="73">
    <w:name w:val="List Paragraph"/>
    <w:basedOn w:val="1"/>
    <w:qFormat/>
    <w:uiPriority w:val="34"/>
    <w:pPr>
      <w:widowControl w:val="0"/>
      <w:spacing w:line="240" w:lineRule="auto"/>
      <w:ind w:firstLine="420" w:firstLineChars="200"/>
      <w:textAlignment w:val="auto"/>
    </w:pPr>
    <w:rPr>
      <w:color w:val="auto"/>
      <w:kern w:val="2"/>
    </w:rPr>
  </w:style>
  <w:style w:type="character" w:customStyle="1" w:styleId="74">
    <w:name w:val="标题 2 Char"/>
    <w:basedOn w:val="21"/>
    <w:link w:val="3"/>
    <w:autoRedefine/>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6610</Words>
  <Characters>37679</Characters>
  <Lines>313</Lines>
  <Paragraphs>88</Paragraphs>
  <TotalTime>115</TotalTime>
  <ScaleCrop>false</ScaleCrop>
  <LinksUpToDate>false</LinksUpToDate>
  <CharactersWithSpaces>44201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2023-12-25T07:45:00Z</dcterms:created>
  <dc:creator>ZM</dc:creator>
  <cp:lastModifiedBy>Administrator</cp:lastModifiedBy>
  <cp:lastPrinted>2019-07-06T18:51:00Z</cp:lastPrinted>
  <dcterms:modified xsi:type="dcterms:W3CDTF">2024-02-19T01:56:31Z</dcterms:modified>
  <dc:title>内黄县第一高级中学所需多媒体教室设备项目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C88B8ECA521343E6BD88F8CDA3F5AACF_12</vt:lpwstr>
  </property>
</Properties>
</file>