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60" w:lineRule="exact"/>
        <w:ind w:firstLine="241" w:firstLineChars="50"/>
        <w:jc w:val="center"/>
        <w:rPr>
          <w:rFonts w:eastAsia="黑体"/>
          <w:b/>
          <w:color w:val="auto"/>
          <w:spacing w:val="40"/>
          <w:sz w:val="40"/>
          <w:szCs w:val="40"/>
        </w:rPr>
      </w:pPr>
    </w:p>
    <w:p>
      <w:pPr>
        <w:widowControl w:val="0"/>
        <w:snapToGrid w:val="0"/>
        <w:spacing w:line="560" w:lineRule="exact"/>
        <w:ind w:firstLine="241" w:firstLineChars="50"/>
        <w:jc w:val="center"/>
        <w:rPr>
          <w:rFonts w:eastAsia="黑体"/>
          <w:b/>
          <w:color w:val="auto"/>
          <w:spacing w:val="40"/>
          <w:sz w:val="40"/>
          <w:szCs w:val="40"/>
        </w:rPr>
      </w:pPr>
    </w:p>
    <w:p>
      <w:pPr>
        <w:widowControl w:val="0"/>
        <w:snapToGrid w:val="0"/>
        <w:spacing w:line="560" w:lineRule="exact"/>
        <w:ind w:firstLine="241" w:firstLineChars="50"/>
        <w:jc w:val="center"/>
        <w:rPr>
          <w:rFonts w:eastAsia="黑体"/>
          <w:b/>
          <w:color w:val="auto"/>
          <w:spacing w:val="40"/>
          <w:sz w:val="40"/>
          <w:szCs w:val="40"/>
        </w:rPr>
      </w:pPr>
    </w:p>
    <w:p>
      <w:pPr>
        <w:widowControl w:val="0"/>
        <w:snapToGrid w:val="0"/>
        <w:spacing w:line="560" w:lineRule="exact"/>
        <w:ind w:firstLine="221" w:firstLineChars="50"/>
        <w:jc w:val="center"/>
        <w:rPr>
          <w:rFonts w:hint="default" w:ascii="黑体" w:eastAsia="黑体"/>
          <w:b/>
          <w:color w:val="auto"/>
          <w:spacing w:val="40"/>
          <w:sz w:val="44"/>
          <w:szCs w:val="44"/>
          <w:lang w:val="en-US" w:eastAsia="zh-CN"/>
        </w:rPr>
      </w:pPr>
      <w:r>
        <w:rPr>
          <w:rFonts w:hint="eastAsia" w:ascii="黑体" w:eastAsia="黑体"/>
          <w:b/>
          <w:color w:val="auto"/>
          <w:sz w:val="44"/>
          <w:szCs w:val="44"/>
        </w:rPr>
        <w:t>安阳市第二中学校舍装修改造项目</w:t>
      </w:r>
      <w:r>
        <w:rPr>
          <w:rFonts w:hint="eastAsia" w:ascii="黑体" w:eastAsia="黑体"/>
          <w:b/>
          <w:color w:val="auto"/>
          <w:sz w:val="44"/>
          <w:szCs w:val="44"/>
          <w:lang w:val="en-US" w:eastAsia="zh-CN"/>
        </w:rPr>
        <w:t>(二次)</w:t>
      </w:r>
    </w:p>
    <w:p>
      <w:pPr>
        <w:widowControl w:val="0"/>
        <w:snapToGrid w:val="0"/>
        <w:spacing w:line="560" w:lineRule="exact"/>
        <w:ind w:firstLine="261" w:firstLineChars="50"/>
        <w:jc w:val="center"/>
        <w:rPr>
          <w:rFonts w:ascii="黑体" w:eastAsia="黑体"/>
          <w:b/>
          <w:color w:val="auto"/>
          <w:spacing w:val="40"/>
          <w:sz w:val="44"/>
          <w:szCs w:val="44"/>
        </w:rPr>
      </w:pPr>
    </w:p>
    <w:p>
      <w:pPr>
        <w:widowControl w:val="0"/>
        <w:snapToGrid w:val="0"/>
        <w:spacing w:beforeLines="100" w:line="560" w:lineRule="exact"/>
        <w:jc w:val="center"/>
        <w:rPr>
          <w:rFonts w:eastAsia="黑体"/>
          <w:b/>
          <w:color w:val="auto"/>
          <w:sz w:val="44"/>
        </w:rPr>
      </w:pPr>
    </w:p>
    <w:p>
      <w:pPr>
        <w:widowControl w:val="0"/>
        <w:snapToGrid w:val="0"/>
        <w:spacing w:beforeLines="100" w:line="240" w:lineRule="auto"/>
        <w:jc w:val="center"/>
        <w:rPr>
          <w:rFonts w:eastAsia="黑体"/>
          <w:b/>
          <w:color w:val="auto"/>
          <w:sz w:val="44"/>
        </w:rPr>
      </w:pPr>
    </w:p>
    <w:p>
      <w:pPr>
        <w:widowControl w:val="0"/>
        <w:snapToGrid w:val="0"/>
        <w:spacing w:beforeLines="100" w:line="240" w:lineRule="auto"/>
        <w:jc w:val="center"/>
        <w:rPr>
          <w:rFonts w:eastAsia="黑体"/>
          <w:b/>
          <w:color w:val="auto"/>
          <w:sz w:val="44"/>
        </w:rPr>
      </w:pPr>
    </w:p>
    <w:p>
      <w:pPr>
        <w:widowControl w:val="0"/>
        <w:snapToGrid w:val="0"/>
        <w:spacing w:beforeLines="100" w:line="240" w:lineRule="auto"/>
        <w:jc w:val="center"/>
        <w:rPr>
          <w:rFonts w:ascii="华文新魏" w:hAnsi="微软雅黑" w:eastAsia="华文新魏"/>
          <w:b/>
          <w:color w:val="auto"/>
          <w:sz w:val="116"/>
          <w:szCs w:val="116"/>
        </w:rPr>
      </w:pPr>
      <w:r>
        <w:rPr>
          <w:rFonts w:hint="eastAsia" w:ascii="华文新魏" w:hAnsi="微软雅黑" w:eastAsia="华文新魏"/>
          <w:b/>
          <w:color w:val="auto"/>
          <w:sz w:val="116"/>
          <w:szCs w:val="116"/>
        </w:rPr>
        <w:t>磋</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商</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文</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件</w:t>
      </w:r>
    </w:p>
    <w:p>
      <w:pPr>
        <w:widowControl w:val="0"/>
        <w:snapToGrid w:val="0"/>
        <w:spacing w:beforeLines="100" w:line="560" w:lineRule="exact"/>
        <w:jc w:val="center"/>
        <w:rPr>
          <w:rFonts w:ascii="宋体" w:hAnsi="宋体"/>
          <w:color w:val="auto"/>
          <w:sz w:val="32"/>
          <w:szCs w:val="32"/>
        </w:rPr>
      </w:pPr>
      <w:r>
        <w:rPr>
          <w:rFonts w:hint="eastAsia" w:ascii="宋体" w:hAnsi="宋体"/>
          <w:color w:val="auto"/>
          <w:sz w:val="32"/>
          <w:szCs w:val="32"/>
        </w:rPr>
        <w:t>项目编号：安财磋商采购-2024-27</w:t>
      </w:r>
    </w:p>
    <w:p>
      <w:pPr>
        <w:widowControl w:val="0"/>
        <w:snapToGrid w:val="0"/>
        <w:spacing w:beforeLines="100" w:line="560" w:lineRule="exact"/>
        <w:jc w:val="center"/>
        <w:rPr>
          <w:rFonts w:eastAsia="黑体"/>
          <w:b/>
          <w:color w:val="auto"/>
          <w:sz w:val="44"/>
        </w:rPr>
      </w:pPr>
    </w:p>
    <w:p>
      <w:pPr>
        <w:widowControl w:val="0"/>
        <w:snapToGrid w:val="0"/>
        <w:spacing w:beforeLines="100" w:line="560" w:lineRule="exact"/>
        <w:jc w:val="center"/>
        <w:rPr>
          <w:rFonts w:eastAsia="黑体"/>
          <w:b/>
          <w:color w:val="auto"/>
          <w:sz w:val="44"/>
        </w:rPr>
      </w:pPr>
    </w:p>
    <w:p>
      <w:pPr>
        <w:widowControl w:val="0"/>
        <w:snapToGrid w:val="0"/>
        <w:spacing w:beforeLines="100" w:line="560" w:lineRule="exact"/>
        <w:jc w:val="center"/>
        <w:rPr>
          <w:rFonts w:eastAsia="黑体"/>
          <w:b/>
          <w:color w:val="auto"/>
          <w:sz w:val="44"/>
        </w:rPr>
      </w:pPr>
    </w:p>
    <w:p>
      <w:pPr>
        <w:widowControl w:val="0"/>
        <w:snapToGrid w:val="0"/>
        <w:spacing w:beforeLines="100" w:line="560" w:lineRule="exact"/>
        <w:rPr>
          <w:rFonts w:eastAsia="黑体"/>
          <w:b/>
          <w:color w:val="auto"/>
          <w:sz w:val="44"/>
        </w:rPr>
      </w:pPr>
    </w:p>
    <w:p>
      <w:pPr>
        <w:widowControl w:val="0"/>
        <w:snapToGrid w:val="0"/>
        <w:spacing w:line="660" w:lineRule="exact"/>
        <w:ind w:firstLine="540" w:firstLineChars="168"/>
        <w:rPr>
          <w:rFonts w:ascii="黑体" w:hAnsi="黑体" w:eastAsia="黑体"/>
          <w:b/>
          <w:color w:val="auto"/>
          <w:sz w:val="32"/>
          <w:szCs w:val="32"/>
        </w:rPr>
      </w:pPr>
      <w:r>
        <w:rPr>
          <w:rFonts w:hint="eastAsia" w:ascii="黑体" w:hAnsi="黑体" w:eastAsia="黑体"/>
          <w:b/>
          <w:color w:val="auto"/>
          <w:sz w:val="32"/>
          <w:szCs w:val="32"/>
        </w:rPr>
        <w:t>采购人：安阳市第二中学</w:t>
      </w:r>
    </w:p>
    <w:p>
      <w:pPr>
        <w:widowControl w:val="0"/>
        <w:snapToGrid w:val="0"/>
        <w:spacing w:line="660" w:lineRule="exact"/>
        <w:ind w:firstLine="540" w:firstLineChars="168"/>
        <w:rPr>
          <w:rFonts w:ascii="黑体" w:hAnsi="黑体" w:eastAsia="黑体"/>
          <w:b/>
          <w:color w:val="auto"/>
          <w:sz w:val="32"/>
          <w:szCs w:val="32"/>
        </w:rPr>
        <w:sectPr>
          <w:footerReference r:id="rId6" w:type="first"/>
          <w:headerReference r:id="rId3" w:type="default"/>
          <w:footerReference r:id="rId4" w:type="default"/>
          <w:footerReference r:id="rId5" w:type="even"/>
          <w:pgSz w:w="11905" w:h="16837"/>
          <w:pgMar w:top="1418" w:right="1106" w:bottom="1418" w:left="1418" w:header="567" w:footer="567" w:gutter="0"/>
          <w:pgNumType w:fmt="numberInDash" w:start="0"/>
          <w:cols w:space="720" w:num="1"/>
          <w:titlePg/>
        </w:sectPr>
      </w:pPr>
      <w:r>
        <w:rPr>
          <w:rFonts w:hint="eastAsia" w:ascii="黑体" w:hAnsi="黑体" w:eastAsia="黑体"/>
          <w:b/>
          <w:color w:val="auto"/>
          <w:sz w:val="32"/>
          <w:szCs w:val="32"/>
        </w:rPr>
        <w:t>代理机构：安阳市方正招标采购服务有限责任公司</w:t>
      </w:r>
    </w:p>
    <w:p>
      <w:pPr>
        <w:widowControl w:val="0"/>
        <w:snapToGrid w:val="0"/>
        <w:spacing w:line="660" w:lineRule="exact"/>
        <w:ind w:firstLine="540" w:firstLineChars="168"/>
        <w:rPr>
          <w:rFonts w:ascii="黑体" w:hAnsi="黑体" w:eastAsia="黑体"/>
          <w:b/>
          <w:color w:val="auto"/>
          <w:sz w:val="32"/>
          <w:szCs w:val="32"/>
        </w:rPr>
      </w:pPr>
    </w:p>
    <w:p>
      <w:pPr>
        <w:pStyle w:val="50"/>
        <w:jc w:val="center"/>
        <w:rPr>
          <w:color w:val="auto"/>
        </w:rPr>
      </w:pPr>
      <w:r>
        <w:rPr>
          <w:rFonts w:hint="eastAsia" w:ascii="黑体" w:hAnsi="黑体" w:eastAsia="黑体"/>
          <w:color w:val="auto"/>
          <w:sz w:val="36"/>
          <w:szCs w:val="36"/>
          <w:lang w:val="zh-CN"/>
        </w:rPr>
        <w:t>目录</w:t>
      </w:r>
      <w:r>
        <w:rPr>
          <w:color w:val="auto"/>
        </w:rPr>
        <w:fldChar w:fldCharType="begin"/>
      </w:r>
      <w:r>
        <w:rPr>
          <w:color w:val="auto"/>
        </w:rPr>
        <w:instrText xml:space="preserve"> TOC \o "1-3" \h \z \u </w:instrText>
      </w:r>
      <w:r>
        <w:rPr>
          <w:color w:val="auto"/>
        </w:rPr>
        <w:fldChar w:fldCharType="separate"/>
      </w:r>
    </w:p>
    <w:p>
      <w:pPr>
        <w:pStyle w:val="13"/>
        <w:tabs>
          <w:tab w:val="right" w:leader="dot" w:pos="9371"/>
        </w:tabs>
        <w:rPr>
          <w:rFonts w:ascii="Calibri" w:hAnsi="Calibri"/>
          <w:color w:val="auto"/>
          <w:kern w:val="2"/>
          <w:szCs w:val="22"/>
        </w:rPr>
      </w:pPr>
      <w:r>
        <w:fldChar w:fldCharType="begin"/>
      </w:r>
      <w:r>
        <w:instrText xml:space="preserve"> HYPERLINK \l "_Toc65745036" </w:instrText>
      </w:r>
      <w:r>
        <w:fldChar w:fldCharType="separate"/>
      </w:r>
      <w:r>
        <w:fldChar w:fldCharType="end"/>
      </w:r>
    </w:p>
    <w:p>
      <w:pPr>
        <w:pStyle w:val="13"/>
        <w:tabs>
          <w:tab w:val="right" w:leader="dot" w:pos="9371"/>
        </w:tabs>
        <w:rPr>
          <w:rFonts w:ascii="Calibri" w:hAnsi="Calibri"/>
          <w:color w:val="auto"/>
          <w:kern w:val="2"/>
          <w:szCs w:val="22"/>
        </w:rPr>
      </w:pPr>
      <w:r>
        <w:fldChar w:fldCharType="begin"/>
      </w:r>
      <w:r>
        <w:instrText xml:space="preserve"> HYPERLINK \l "_Toc65745037" </w:instrText>
      </w:r>
      <w:r>
        <w:fldChar w:fldCharType="separate"/>
      </w:r>
      <w:r>
        <w:rPr>
          <w:rStyle w:val="20"/>
          <w:rFonts w:hint="eastAsia" w:eastAsia="黑体"/>
          <w:b/>
          <w:color w:val="auto"/>
        </w:rPr>
        <w:t>第一章</w:t>
      </w:r>
      <w:r>
        <w:rPr>
          <w:rStyle w:val="20"/>
          <w:rFonts w:eastAsia="黑体"/>
          <w:b/>
          <w:color w:val="auto"/>
        </w:rPr>
        <w:t xml:space="preserve">  </w:t>
      </w:r>
      <w:r>
        <w:rPr>
          <w:rStyle w:val="20"/>
          <w:rFonts w:hint="eastAsia" w:eastAsia="黑体"/>
          <w:b/>
          <w:color w:val="auto"/>
        </w:rPr>
        <w:t>竞争性磋商公告</w:t>
      </w:r>
      <w:r>
        <w:rPr>
          <w:color w:val="auto"/>
        </w:rPr>
        <w:tab/>
      </w:r>
      <w:r>
        <w:rPr>
          <w:color w:val="auto"/>
        </w:rPr>
        <w:fldChar w:fldCharType="begin"/>
      </w:r>
      <w:r>
        <w:rPr>
          <w:color w:val="auto"/>
        </w:rPr>
        <w:instrText xml:space="preserve"> PAGEREF _Toc65745037 \h </w:instrText>
      </w:r>
      <w:r>
        <w:rPr>
          <w:color w:val="auto"/>
        </w:rPr>
        <w:fldChar w:fldCharType="separate"/>
      </w:r>
      <w:r>
        <w:rPr>
          <w:color w:val="auto"/>
        </w:rPr>
        <w:t>- 1 -</w:t>
      </w:r>
      <w:r>
        <w:rPr>
          <w:color w:val="auto"/>
        </w:rPr>
        <w:fldChar w:fldCharType="end"/>
      </w:r>
      <w:r>
        <w:rPr>
          <w:color w:val="auto"/>
        </w:rPr>
        <w:fldChar w:fldCharType="end"/>
      </w:r>
    </w:p>
    <w:p>
      <w:pPr>
        <w:pStyle w:val="13"/>
        <w:tabs>
          <w:tab w:val="right" w:leader="dot" w:pos="9371"/>
        </w:tabs>
        <w:rPr>
          <w:rFonts w:ascii="Calibri" w:hAnsi="Calibri"/>
          <w:color w:val="auto"/>
          <w:kern w:val="2"/>
          <w:szCs w:val="22"/>
        </w:rPr>
      </w:pPr>
      <w:r>
        <w:fldChar w:fldCharType="begin"/>
      </w:r>
      <w:r>
        <w:instrText xml:space="preserve"> HYPERLINK \l "_Toc65745038" </w:instrText>
      </w:r>
      <w:r>
        <w:fldChar w:fldCharType="separate"/>
      </w:r>
      <w:r>
        <w:rPr>
          <w:rStyle w:val="20"/>
          <w:rFonts w:hint="eastAsia" w:eastAsia="黑体"/>
          <w:b/>
          <w:color w:val="auto"/>
        </w:rPr>
        <w:t>第二章</w:t>
      </w:r>
      <w:r>
        <w:rPr>
          <w:rStyle w:val="20"/>
          <w:rFonts w:eastAsia="黑体"/>
          <w:b/>
          <w:color w:val="auto"/>
        </w:rPr>
        <w:t xml:space="preserve">  </w:t>
      </w:r>
      <w:r>
        <w:rPr>
          <w:rStyle w:val="20"/>
          <w:rFonts w:hint="eastAsia" w:eastAsia="黑体"/>
          <w:b/>
          <w:color w:val="auto"/>
        </w:rPr>
        <w:t>采购项目及技术服务要求</w:t>
      </w:r>
      <w:r>
        <w:rPr>
          <w:color w:val="auto"/>
        </w:rPr>
        <w:tab/>
      </w:r>
      <w:r>
        <w:rPr>
          <w:color w:val="auto"/>
        </w:rPr>
        <w:fldChar w:fldCharType="begin"/>
      </w:r>
      <w:r>
        <w:rPr>
          <w:color w:val="auto"/>
        </w:rPr>
        <w:instrText xml:space="preserve"> PAGEREF _Toc65745038 \h </w:instrText>
      </w:r>
      <w:r>
        <w:rPr>
          <w:color w:val="auto"/>
        </w:rPr>
        <w:fldChar w:fldCharType="separate"/>
      </w:r>
      <w:r>
        <w:rPr>
          <w:color w:val="auto"/>
        </w:rPr>
        <w:t>- 6 -</w:t>
      </w:r>
      <w:r>
        <w:rPr>
          <w:color w:val="auto"/>
        </w:rPr>
        <w:fldChar w:fldCharType="end"/>
      </w:r>
      <w:r>
        <w:rPr>
          <w:color w:val="auto"/>
        </w:rPr>
        <w:fldChar w:fldCharType="end"/>
      </w:r>
    </w:p>
    <w:p>
      <w:pPr>
        <w:pStyle w:val="14"/>
        <w:tabs>
          <w:tab w:val="right" w:leader="dot" w:pos="9371"/>
        </w:tabs>
        <w:rPr>
          <w:rFonts w:ascii="Calibri" w:hAnsi="Calibri"/>
          <w:color w:val="auto"/>
          <w:kern w:val="2"/>
          <w:szCs w:val="22"/>
        </w:rPr>
      </w:pPr>
      <w:r>
        <w:fldChar w:fldCharType="begin"/>
      </w:r>
      <w:r>
        <w:instrText xml:space="preserve"> HYPERLINK \l "_Toc65745039" </w:instrText>
      </w:r>
      <w:r>
        <w:fldChar w:fldCharType="separate"/>
      </w:r>
      <w:r>
        <w:rPr>
          <w:rStyle w:val="20"/>
          <w:rFonts w:ascii="黑体" w:hAnsi="黑体" w:eastAsia="黑体"/>
          <w:b/>
          <w:color w:val="auto"/>
        </w:rPr>
        <w:t xml:space="preserve">1. </w:t>
      </w:r>
      <w:r>
        <w:rPr>
          <w:rStyle w:val="20"/>
          <w:rFonts w:hint="eastAsia" w:ascii="黑体" w:hAnsi="黑体" w:eastAsia="黑体"/>
          <w:b/>
          <w:color w:val="auto"/>
        </w:rPr>
        <w:t>采购项目、标段（包）划分、磋商报价</w:t>
      </w:r>
      <w:r>
        <w:rPr>
          <w:color w:val="auto"/>
        </w:rPr>
        <w:tab/>
      </w:r>
      <w:r>
        <w:rPr>
          <w:color w:val="auto"/>
        </w:rPr>
        <w:fldChar w:fldCharType="begin"/>
      </w:r>
      <w:r>
        <w:rPr>
          <w:color w:val="auto"/>
        </w:rPr>
        <w:instrText xml:space="preserve"> PAGEREF _Toc65745039 \h </w:instrText>
      </w:r>
      <w:r>
        <w:rPr>
          <w:color w:val="auto"/>
        </w:rPr>
        <w:fldChar w:fldCharType="separate"/>
      </w:r>
      <w:r>
        <w:rPr>
          <w:color w:val="auto"/>
        </w:rPr>
        <w:t>- 6 -</w:t>
      </w:r>
      <w:r>
        <w:rPr>
          <w:color w:val="auto"/>
        </w:rPr>
        <w:fldChar w:fldCharType="end"/>
      </w:r>
      <w:r>
        <w:rPr>
          <w:color w:val="auto"/>
        </w:rPr>
        <w:fldChar w:fldCharType="end"/>
      </w:r>
    </w:p>
    <w:p>
      <w:pPr>
        <w:pStyle w:val="14"/>
        <w:tabs>
          <w:tab w:val="right" w:leader="dot" w:pos="9371"/>
        </w:tabs>
        <w:rPr>
          <w:rFonts w:ascii="Calibri" w:hAnsi="Calibri"/>
          <w:color w:val="auto"/>
          <w:kern w:val="2"/>
          <w:szCs w:val="22"/>
        </w:rPr>
      </w:pPr>
      <w:r>
        <w:fldChar w:fldCharType="begin"/>
      </w:r>
      <w:r>
        <w:instrText xml:space="preserve"> HYPERLINK \l "_Toc65745040" </w:instrText>
      </w:r>
      <w:r>
        <w:fldChar w:fldCharType="separate"/>
      </w:r>
      <w:r>
        <w:rPr>
          <w:rStyle w:val="20"/>
          <w:rFonts w:ascii="黑体" w:hAnsi="黑体" w:eastAsia="黑体"/>
          <w:b/>
          <w:color w:val="auto"/>
        </w:rPr>
        <w:t xml:space="preserve">2. </w:t>
      </w:r>
      <w:r>
        <w:rPr>
          <w:rStyle w:val="20"/>
          <w:rFonts w:hint="eastAsia" w:ascii="黑体" w:hAnsi="黑体" w:eastAsia="黑体"/>
          <w:b/>
          <w:color w:val="auto"/>
        </w:rPr>
        <w:t>标段（包）内容（范围）及基本技术要求</w:t>
      </w:r>
      <w:r>
        <w:rPr>
          <w:color w:val="auto"/>
        </w:rPr>
        <w:tab/>
      </w:r>
      <w:r>
        <w:rPr>
          <w:color w:val="auto"/>
        </w:rPr>
        <w:fldChar w:fldCharType="begin"/>
      </w:r>
      <w:r>
        <w:rPr>
          <w:color w:val="auto"/>
        </w:rPr>
        <w:instrText xml:space="preserve"> PAGEREF _Toc65745040 \h </w:instrText>
      </w:r>
      <w:r>
        <w:rPr>
          <w:color w:val="auto"/>
        </w:rPr>
        <w:fldChar w:fldCharType="separate"/>
      </w:r>
      <w:r>
        <w:rPr>
          <w:color w:val="auto"/>
        </w:rPr>
        <w:t>- 7 -</w:t>
      </w:r>
      <w:r>
        <w:rPr>
          <w:color w:val="auto"/>
        </w:rPr>
        <w:fldChar w:fldCharType="end"/>
      </w:r>
      <w:r>
        <w:rPr>
          <w:color w:val="auto"/>
        </w:rPr>
        <w:fldChar w:fldCharType="end"/>
      </w:r>
    </w:p>
    <w:p>
      <w:pPr>
        <w:pStyle w:val="13"/>
        <w:tabs>
          <w:tab w:val="right" w:leader="dot" w:pos="9371"/>
        </w:tabs>
        <w:rPr>
          <w:rFonts w:ascii="Calibri" w:hAnsi="Calibri"/>
          <w:color w:val="auto"/>
          <w:kern w:val="2"/>
          <w:szCs w:val="22"/>
        </w:rPr>
      </w:pPr>
      <w:r>
        <w:fldChar w:fldCharType="begin"/>
      </w:r>
      <w:r>
        <w:instrText xml:space="preserve"> HYPERLINK \l "_Toc65745041" </w:instrText>
      </w:r>
      <w:r>
        <w:fldChar w:fldCharType="separate"/>
      </w:r>
      <w:r>
        <w:rPr>
          <w:rStyle w:val="20"/>
          <w:rFonts w:hint="eastAsia" w:eastAsia="黑体"/>
          <w:b/>
          <w:color w:val="auto"/>
        </w:rPr>
        <w:t>第三章</w:t>
      </w:r>
      <w:r>
        <w:rPr>
          <w:rStyle w:val="20"/>
          <w:rFonts w:eastAsia="黑体"/>
          <w:b/>
          <w:color w:val="auto"/>
        </w:rPr>
        <w:t xml:space="preserve">  </w:t>
      </w:r>
      <w:r>
        <w:rPr>
          <w:rStyle w:val="20"/>
          <w:rFonts w:hint="eastAsia" w:eastAsia="黑体"/>
          <w:b/>
          <w:color w:val="auto"/>
        </w:rPr>
        <w:t>供应商须知</w:t>
      </w:r>
      <w:r>
        <w:rPr>
          <w:color w:val="auto"/>
        </w:rPr>
        <w:tab/>
      </w:r>
      <w:r>
        <w:rPr>
          <w:color w:val="auto"/>
        </w:rPr>
        <w:fldChar w:fldCharType="begin"/>
      </w:r>
      <w:r>
        <w:rPr>
          <w:color w:val="auto"/>
        </w:rPr>
        <w:instrText xml:space="preserve"> PAGEREF _Toc65745041 \h </w:instrText>
      </w:r>
      <w:r>
        <w:rPr>
          <w:color w:val="auto"/>
        </w:rPr>
        <w:fldChar w:fldCharType="separate"/>
      </w:r>
      <w:r>
        <w:rPr>
          <w:color w:val="auto"/>
        </w:rPr>
        <w:t>- 29 -</w:t>
      </w:r>
      <w:r>
        <w:rPr>
          <w:color w:val="auto"/>
        </w:rPr>
        <w:fldChar w:fldCharType="end"/>
      </w:r>
      <w:r>
        <w:rPr>
          <w:color w:val="auto"/>
        </w:rPr>
        <w:fldChar w:fldCharType="end"/>
      </w:r>
    </w:p>
    <w:p>
      <w:pPr>
        <w:pStyle w:val="14"/>
        <w:tabs>
          <w:tab w:val="right" w:leader="dot" w:pos="9371"/>
        </w:tabs>
        <w:rPr>
          <w:rFonts w:ascii="Calibri" w:hAnsi="Calibri"/>
          <w:color w:val="auto"/>
          <w:kern w:val="2"/>
          <w:szCs w:val="22"/>
        </w:rPr>
      </w:pPr>
      <w:r>
        <w:fldChar w:fldCharType="begin"/>
      </w:r>
      <w:r>
        <w:instrText xml:space="preserve"> HYPERLINK \l "_Toc65745042" </w:instrText>
      </w:r>
      <w:r>
        <w:fldChar w:fldCharType="separate"/>
      </w:r>
      <w:r>
        <w:rPr>
          <w:rStyle w:val="20"/>
          <w:rFonts w:hint="eastAsia" w:eastAsia="黑体"/>
          <w:b/>
          <w:color w:val="auto"/>
        </w:rPr>
        <w:t>供应商须知前附表</w:t>
      </w:r>
      <w:r>
        <w:rPr>
          <w:color w:val="auto"/>
        </w:rPr>
        <w:tab/>
      </w:r>
      <w:r>
        <w:rPr>
          <w:color w:val="auto"/>
        </w:rPr>
        <w:fldChar w:fldCharType="begin"/>
      </w:r>
      <w:r>
        <w:rPr>
          <w:color w:val="auto"/>
        </w:rPr>
        <w:instrText xml:space="preserve"> PAGEREF _Toc65745042 \h </w:instrText>
      </w:r>
      <w:r>
        <w:rPr>
          <w:color w:val="auto"/>
        </w:rPr>
        <w:fldChar w:fldCharType="separate"/>
      </w:r>
      <w:r>
        <w:rPr>
          <w:color w:val="auto"/>
        </w:rPr>
        <w:t>- 29 -</w:t>
      </w:r>
      <w:r>
        <w:rPr>
          <w:color w:val="auto"/>
        </w:rPr>
        <w:fldChar w:fldCharType="end"/>
      </w:r>
      <w:r>
        <w:rPr>
          <w:color w:val="auto"/>
        </w:rPr>
        <w:fldChar w:fldCharType="end"/>
      </w:r>
    </w:p>
    <w:p>
      <w:pPr>
        <w:pStyle w:val="14"/>
        <w:tabs>
          <w:tab w:val="right" w:leader="dot" w:pos="9371"/>
        </w:tabs>
        <w:rPr>
          <w:rFonts w:ascii="Calibri" w:hAnsi="Calibri"/>
          <w:color w:val="auto"/>
          <w:kern w:val="2"/>
          <w:szCs w:val="22"/>
        </w:rPr>
      </w:pPr>
      <w:r>
        <w:fldChar w:fldCharType="begin"/>
      </w:r>
      <w:r>
        <w:instrText xml:space="preserve"> HYPERLINK \l "_Toc65745043" </w:instrText>
      </w:r>
      <w:r>
        <w:fldChar w:fldCharType="separate"/>
      </w:r>
      <w:r>
        <w:rPr>
          <w:rStyle w:val="20"/>
          <w:rFonts w:ascii="黑体" w:hAnsi="黑体" w:eastAsia="黑体" w:cs="楷体_GB2312"/>
          <w:b/>
          <w:bCs/>
          <w:color w:val="auto"/>
          <w:lang w:val="zh-CN"/>
        </w:rPr>
        <w:t xml:space="preserve">1. </w:t>
      </w:r>
      <w:r>
        <w:rPr>
          <w:rStyle w:val="20"/>
          <w:rFonts w:hint="eastAsia" w:ascii="黑体" w:hAnsi="黑体" w:eastAsia="黑体" w:cs="楷体_GB2312"/>
          <w:b/>
          <w:bCs/>
          <w:color w:val="auto"/>
          <w:lang w:val="zh-CN"/>
        </w:rPr>
        <w:t>总则</w:t>
      </w:r>
      <w:r>
        <w:rPr>
          <w:color w:val="auto"/>
        </w:rPr>
        <w:tab/>
      </w:r>
      <w:r>
        <w:rPr>
          <w:color w:val="auto"/>
        </w:rPr>
        <w:fldChar w:fldCharType="begin"/>
      </w:r>
      <w:r>
        <w:rPr>
          <w:color w:val="auto"/>
        </w:rPr>
        <w:instrText xml:space="preserve"> PAGEREF _Toc65745043 \h </w:instrText>
      </w:r>
      <w:r>
        <w:rPr>
          <w:color w:val="auto"/>
        </w:rPr>
        <w:fldChar w:fldCharType="separate"/>
      </w:r>
      <w:r>
        <w:rPr>
          <w:color w:val="auto"/>
        </w:rPr>
        <w:t>- 32 -</w:t>
      </w:r>
      <w:r>
        <w:rPr>
          <w:color w:val="auto"/>
        </w:rPr>
        <w:fldChar w:fldCharType="end"/>
      </w:r>
      <w:r>
        <w:rPr>
          <w:color w:val="auto"/>
        </w:rPr>
        <w:fldChar w:fldCharType="end"/>
      </w:r>
    </w:p>
    <w:p>
      <w:pPr>
        <w:pStyle w:val="14"/>
        <w:tabs>
          <w:tab w:val="right" w:leader="dot" w:pos="9371"/>
        </w:tabs>
        <w:rPr>
          <w:rFonts w:ascii="Calibri" w:hAnsi="Calibri"/>
          <w:color w:val="auto"/>
          <w:kern w:val="2"/>
          <w:szCs w:val="22"/>
        </w:rPr>
      </w:pPr>
      <w:r>
        <w:fldChar w:fldCharType="begin"/>
      </w:r>
      <w:r>
        <w:instrText xml:space="preserve"> HYPERLINK \l "_Toc65745044" </w:instrText>
      </w:r>
      <w:r>
        <w:fldChar w:fldCharType="separate"/>
      </w:r>
      <w:r>
        <w:rPr>
          <w:rStyle w:val="20"/>
          <w:rFonts w:ascii="黑体" w:hAnsi="黑体" w:eastAsia="黑体" w:cs="楷体_GB2312"/>
          <w:b/>
          <w:bCs/>
          <w:color w:val="auto"/>
          <w:lang w:val="zh-CN"/>
        </w:rPr>
        <w:t xml:space="preserve">2. </w:t>
      </w:r>
      <w:r>
        <w:rPr>
          <w:rStyle w:val="20"/>
          <w:rFonts w:hint="eastAsia" w:ascii="黑体" w:hAnsi="黑体" w:eastAsia="黑体" w:cs="楷体_GB2312"/>
          <w:b/>
          <w:bCs/>
          <w:color w:val="auto"/>
          <w:lang w:val="zh-CN"/>
        </w:rPr>
        <w:t>《磋商文件》</w:t>
      </w:r>
      <w:r>
        <w:rPr>
          <w:color w:val="auto"/>
        </w:rPr>
        <w:tab/>
      </w:r>
      <w:r>
        <w:rPr>
          <w:color w:val="auto"/>
        </w:rPr>
        <w:fldChar w:fldCharType="begin"/>
      </w:r>
      <w:r>
        <w:rPr>
          <w:color w:val="auto"/>
        </w:rPr>
        <w:instrText xml:space="preserve"> PAGEREF _Toc65745044 \h </w:instrText>
      </w:r>
      <w:r>
        <w:rPr>
          <w:color w:val="auto"/>
        </w:rPr>
        <w:fldChar w:fldCharType="separate"/>
      </w:r>
      <w:r>
        <w:rPr>
          <w:color w:val="auto"/>
        </w:rPr>
        <w:t>- 35 -</w:t>
      </w:r>
      <w:r>
        <w:rPr>
          <w:color w:val="auto"/>
        </w:rPr>
        <w:fldChar w:fldCharType="end"/>
      </w:r>
      <w:r>
        <w:rPr>
          <w:color w:val="auto"/>
        </w:rPr>
        <w:fldChar w:fldCharType="end"/>
      </w:r>
    </w:p>
    <w:p>
      <w:pPr>
        <w:pStyle w:val="14"/>
        <w:tabs>
          <w:tab w:val="right" w:leader="dot" w:pos="9371"/>
        </w:tabs>
        <w:rPr>
          <w:rFonts w:ascii="Calibri" w:hAnsi="Calibri"/>
          <w:color w:val="auto"/>
          <w:kern w:val="2"/>
          <w:szCs w:val="22"/>
        </w:rPr>
      </w:pPr>
      <w:r>
        <w:fldChar w:fldCharType="begin"/>
      </w:r>
      <w:r>
        <w:instrText xml:space="preserve"> HYPERLINK \l "_Toc65745045" </w:instrText>
      </w:r>
      <w:r>
        <w:fldChar w:fldCharType="separate"/>
      </w:r>
      <w:r>
        <w:rPr>
          <w:rStyle w:val="20"/>
          <w:rFonts w:ascii="黑体" w:hAnsi="黑体" w:eastAsia="黑体" w:cs="楷体_GB2312"/>
          <w:b/>
          <w:bCs/>
          <w:color w:val="auto"/>
          <w:lang w:val="zh-CN"/>
        </w:rPr>
        <w:t xml:space="preserve">3. </w:t>
      </w:r>
      <w:r>
        <w:rPr>
          <w:rStyle w:val="20"/>
          <w:rFonts w:hint="eastAsia" w:ascii="黑体" w:hAnsi="黑体" w:eastAsia="黑体" w:cs="楷体_GB2312"/>
          <w:b/>
          <w:bCs/>
          <w:color w:val="auto"/>
          <w:lang w:val="zh-CN"/>
        </w:rPr>
        <w:t>《响应文件》</w:t>
      </w:r>
      <w:r>
        <w:rPr>
          <w:color w:val="auto"/>
        </w:rPr>
        <w:tab/>
      </w:r>
      <w:r>
        <w:rPr>
          <w:color w:val="auto"/>
        </w:rPr>
        <w:fldChar w:fldCharType="begin"/>
      </w:r>
      <w:r>
        <w:rPr>
          <w:color w:val="auto"/>
        </w:rPr>
        <w:instrText xml:space="preserve"> PAGEREF _Toc65745045 \h </w:instrText>
      </w:r>
      <w:r>
        <w:rPr>
          <w:color w:val="auto"/>
        </w:rPr>
        <w:fldChar w:fldCharType="separate"/>
      </w:r>
      <w:r>
        <w:rPr>
          <w:color w:val="auto"/>
        </w:rPr>
        <w:t>- 36 -</w:t>
      </w:r>
      <w:r>
        <w:rPr>
          <w:color w:val="auto"/>
        </w:rPr>
        <w:fldChar w:fldCharType="end"/>
      </w:r>
      <w:r>
        <w:rPr>
          <w:color w:val="auto"/>
        </w:rPr>
        <w:fldChar w:fldCharType="end"/>
      </w:r>
    </w:p>
    <w:p>
      <w:pPr>
        <w:pStyle w:val="14"/>
        <w:tabs>
          <w:tab w:val="right" w:leader="dot" w:pos="9371"/>
        </w:tabs>
        <w:rPr>
          <w:rFonts w:ascii="Calibri" w:hAnsi="Calibri"/>
          <w:color w:val="auto"/>
          <w:kern w:val="2"/>
          <w:szCs w:val="22"/>
        </w:rPr>
      </w:pPr>
      <w:r>
        <w:fldChar w:fldCharType="begin"/>
      </w:r>
      <w:r>
        <w:instrText xml:space="preserve"> HYPERLINK \l "_Toc65745046" </w:instrText>
      </w:r>
      <w:r>
        <w:fldChar w:fldCharType="separate"/>
      </w:r>
      <w:r>
        <w:rPr>
          <w:rStyle w:val="20"/>
          <w:rFonts w:ascii="黑体" w:hAnsi="黑体" w:eastAsia="黑体" w:cs="楷体_GB2312"/>
          <w:b/>
          <w:bCs/>
          <w:color w:val="auto"/>
          <w:lang w:val="zh-CN"/>
        </w:rPr>
        <w:t>4.</w:t>
      </w:r>
      <w:r>
        <w:rPr>
          <w:rStyle w:val="20"/>
          <w:rFonts w:hint="eastAsia" w:ascii="黑体" w:hAnsi="黑体" w:eastAsia="黑体" w:cs="楷体_GB2312"/>
          <w:b/>
          <w:bCs/>
          <w:color w:val="auto"/>
          <w:lang w:val="zh-CN"/>
        </w:rPr>
        <w:t>《响应文件》的提交</w:t>
      </w:r>
      <w:r>
        <w:rPr>
          <w:color w:val="auto"/>
        </w:rPr>
        <w:tab/>
      </w:r>
      <w:r>
        <w:rPr>
          <w:color w:val="auto"/>
        </w:rPr>
        <w:fldChar w:fldCharType="begin"/>
      </w:r>
      <w:r>
        <w:rPr>
          <w:color w:val="auto"/>
        </w:rPr>
        <w:instrText xml:space="preserve"> PAGEREF _Toc65745046 \h </w:instrText>
      </w:r>
      <w:r>
        <w:rPr>
          <w:color w:val="auto"/>
        </w:rPr>
        <w:fldChar w:fldCharType="separate"/>
      </w:r>
      <w:r>
        <w:rPr>
          <w:color w:val="auto"/>
        </w:rPr>
        <w:t>- 39 -</w:t>
      </w:r>
      <w:r>
        <w:rPr>
          <w:color w:val="auto"/>
        </w:rPr>
        <w:fldChar w:fldCharType="end"/>
      </w:r>
      <w:r>
        <w:rPr>
          <w:color w:val="auto"/>
        </w:rPr>
        <w:fldChar w:fldCharType="end"/>
      </w:r>
    </w:p>
    <w:p>
      <w:pPr>
        <w:pStyle w:val="14"/>
        <w:tabs>
          <w:tab w:val="right" w:leader="dot" w:pos="9371"/>
        </w:tabs>
        <w:rPr>
          <w:rFonts w:ascii="Calibri" w:hAnsi="Calibri"/>
          <w:color w:val="auto"/>
          <w:kern w:val="2"/>
          <w:szCs w:val="22"/>
        </w:rPr>
      </w:pPr>
      <w:r>
        <w:fldChar w:fldCharType="begin"/>
      </w:r>
      <w:r>
        <w:instrText xml:space="preserve"> HYPERLINK \l "_Toc65745047" </w:instrText>
      </w:r>
      <w:r>
        <w:fldChar w:fldCharType="separate"/>
      </w:r>
      <w:r>
        <w:rPr>
          <w:rStyle w:val="20"/>
          <w:rFonts w:ascii="黑体" w:hAnsi="黑体" w:eastAsia="黑体" w:cs="楷体_GB2312"/>
          <w:b/>
          <w:bCs/>
          <w:color w:val="auto"/>
          <w:lang w:val="zh-CN"/>
        </w:rPr>
        <w:t>5.</w:t>
      </w:r>
      <w:r>
        <w:rPr>
          <w:rStyle w:val="20"/>
          <w:rFonts w:hint="eastAsia" w:ascii="黑体" w:hAnsi="黑体" w:eastAsia="黑体" w:cs="楷体_GB2312"/>
          <w:b/>
          <w:bCs/>
          <w:color w:val="auto"/>
          <w:lang w:val="zh-CN"/>
        </w:rPr>
        <w:t>《响应文件》的开启</w:t>
      </w:r>
      <w:r>
        <w:rPr>
          <w:color w:val="auto"/>
        </w:rPr>
        <w:tab/>
      </w:r>
      <w:r>
        <w:rPr>
          <w:color w:val="auto"/>
        </w:rPr>
        <w:fldChar w:fldCharType="begin"/>
      </w:r>
      <w:r>
        <w:rPr>
          <w:color w:val="auto"/>
        </w:rPr>
        <w:instrText xml:space="preserve"> PAGEREF _Toc65745047 \h </w:instrText>
      </w:r>
      <w:r>
        <w:rPr>
          <w:color w:val="auto"/>
        </w:rPr>
        <w:fldChar w:fldCharType="separate"/>
      </w:r>
      <w:r>
        <w:rPr>
          <w:color w:val="auto"/>
        </w:rPr>
        <w:t>- 40 -</w:t>
      </w:r>
      <w:r>
        <w:rPr>
          <w:color w:val="auto"/>
        </w:rPr>
        <w:fldChar w:fldCharType="end"/>
      </w:r>
      <w:r>
        <w:rPr>
          <w:color w:val="auto"/>
        </w:rPr>
        <w:fldChar w:fldCharType="end"/>
      </w:r>
    </w:p>
    <w:p>
      <w:pPr>
        <w:pStyle w:val="14"/>
        <w:tabs>
          <w:tab w:val="right" w:leader="dot" w:pos="9371"/>
        </w:tabs>
        <w:rPr>
          <w:rFonts w:ascii="Calibri" w:hAnsi="Calibri"/>
          <w:color w:val="auto"/>
          <w:kern w:val="2"/>
          <w:szCs w:val="22"/>
        </w:rPr>
      </w:pPr>
      <w:r>
        <w:fldChar w:fldCharType="begin"/>
      </w:r>
      <w:r>
        <w:instrText xml:space="preserve"> HYPERLINK \l "_Toc65745048" </w:instrText>
      </w:r>
      <w:r>
        <w:fldChar w:fldCharType="separate"/>
      </w:r>
      <w:r>
        <w:rPr>
          <w:rStyle w:val="20"/>
          <w:rFonts w:ascii="黑体" w:hAnsi="黑体" w:eastAsia="黑体" w:cs="楷体_GB2312"/>
          <w:b/>
          <w:bCs/>
          <w:color w:val="auto"/>
          <w:lang w:val="zh-CN"/>
        </w:rPr>
        <w:t xml:space="preserve">6. </w:t>
      </w:r>
      <w:r>
        <w:rPr>
          <w:rStyle w:val="20"/>
          <w:rFonts w:hint="eastAsia" w:ascii="黑体" w:hAnsi="黑体" w:eastAsia="黑体" w:cs="楷体_GB2312"/>
          <w:b/>
          <w:bCs/>
          <w:color w:val="auto"/>
          <w:lang w:val="zh-CN"/>
        </w:rPr>
        <w:t>评审</w:t>
      </w:r>
      <w:r>
        <w:rPr>
          <w:color w:val="auto"/>
        </w:rPr>
        <w:tab/>
      </w:r>
      <w:r>
        <w:rPr>
          <w:color w:val="auto"/>
        </w:rPr>
        <w:fldChar w:fldCharType="begin"/>
      </w:r>
      <w:r>
        <w:rPr>
          <w:color w:val="auto"/>
        </w:rPr>
        <w:instrText xml:space="preserve"> PAGEREF _Toc65745048 \h </w:instrText>
      </w:r>
      <w:r>
        <w:rPr>
          <w:color w:val="auto"/>
        </w:rPr>
        <w:fldChar w:fldCharType="separate"/>
      </w:r>
      <w:r>
        <w:rPr>
          <w:color w:val="auto"/>
        </w:rPr>
        <w:t>- 40 -</w:t>
      </w:r>
      <w:r>
        <w:rPr>
          <w:color w:val="auto"/>
        </w:rPr>
        <w:fldChar w:fldCharType="end"/>
      </w:r>
      <w:r>
        <w:rPr>
          <w:color w:val="auto"/>
        </w:rPr>
        <w:fldChar w:fldCharType="end"/>
      </w:r>
    </w:p>
    <w:p>
      <w:pPr>
        <w:pStyle w:val="14"/>
        <w:tabs>
          <w:tab w:val="right" w:leader="dot" w:pos="9371"/>
        </w:tabs>
        <w:rPr>
          <w:rFonts w:ascii="Calibri" w:hAnsi="Calibri"/>
          <w:color w:val="auto"/>
          <w:kern w:val="2"/>
          <w:szCs w:val="22"/>
        </w:rPr>
      </w:pPr>
      <w:r>
        <w:fldChar w:fldCharType="begin"/>
      </w:r>
      <w:r>
        <w:instrText xml:space="preserve"> HYPERLINK \l "_Toc65745049" </w:instrText>
      </w:r>
      <w:r>
        <w:fldChar w:fldCharType="separate"/>
      </w:r>
      <w:r>
        <w:rPr>
          <w:rStyle w:val="20"/>
          <w:rFonts w:ascii="黑体" w:hAnsi="黑体" w:eastAsia="黑体" w:cs="楷体_GB2312"/>
          <w:b/>
          <w:bCs/>
          <w:color w:val="auto"/>
          <w:lang w:val="zh-CN"/>
        </w:rPr>
        <w:t xml:space="preserve">7. </w:t>
      </w:r>
      <w:r>
        <w:rPr>
          <w:rStyle w:val="20"/>
          <w:rFonts w:hint="eastAsia" w:ascii="黑体" w:hAnsi="黑体" w:eastAsia="黑体" w:cs="楷体_GB2312"/>
          <w:b/>
          <w:bCs/>
          <w:color w:val="auto"/>
          <w:lang w:val="zh-CN"/>
        </w:rPr>
        <w:t>授予合同</w:t>
      </w:r>
      <w:r>
        <w:rPr>
          <w:color w:val="auto"/>
        </w:rPr>
        <w:tab/>
      </w:r>
      <w:r>
        <w:rPr>
          <w:color w:val="auto"/>
        </w:rPr>
        <w:fldChar w:fldCharType="begin"/>
      </w:r>
      <w:r>
        <w:rPr>
          <w:color w:val="auto"/>
        </w:rPr>
        <w:instrText xml:space="preserve"> PAGEREF _Toc65745049 \h </w:instrText>
      </w:r>
      <w:r>
        <w:rPr>
          <w:color w:val="auto"/>
        </w:rPr>
        <w:fldChar w:fldCharType="separate"/>
      </w:r>
      <w:r>
        <w:rPr>
          <w:color w:val="auto"/>
        </w:rPr>
        <w:t>- 41 -</w:t>
      </w:r>
      <w:r>
        <w:rPr>
          <w:color w:val="auto"/>
        </w:rPr>
        <w:fldChar w:fldCharType="end"/>
      </w:r>
      <w:r>
        <w:rPr>
          <w:color w:val="auto"/>
        </w:rPr>
        <w:fldChar w:fldCharType="end"/>
      </w:r>
    </w:p>
    <w:p>
      <w:pPr>
        <w:pStyle w:val="14"/>
        <w:tabs>
          <w:tab w:val="right" w:leader="dot" w:pos="9371"/>
        </w:tabs>
        <w:rPr>
          <w:rFonts w:ascii="Calibri" w:hAnsi="Calibri"/>
          <w:color w:val="auto"/>
          <w:kern w:val="2"/>
          <w:szCs w:val="22"/>
        </w:rPr>
      </w:pPr>
      <w:r>
        <w:fldChar w:fldCharType="begin"/>
      </w:r>
      <w:r>
        <w:instrText xml:space="preserve"> HYPERLINK \l "_Toc65745050" </w:instrText>
      </w:r>
      <w:r>
        <w:fldChar w:fldCharType="separate"/>
      </w:r>
      <w:r>
        <w:rPr>
          <w:rStyle w:val="20"/>
          <w:rFonts w:ascii="黑体" w:hAnsi="黑体" w:eastAsia="黑体" w:cs="楷体_GB2312"/>
          <w:b/>
          <w:bCs/>
          <w:color w:val="auto"/>
          <w:lang w:val="zh-CN"/>
        </w:rPr>
        <w:t xml:space="preserve">8. </w:t>
      </w:r>
      <w:r>
        <w:rPr>
          <w:rStyle w:val="20"/>
          <w:rFonts w:hint="eastAsia" w:ascii="黑体" w:hAnsi="黑体" w:eastAsia="黑体" w:cs="楷体_GB2312"/>
          <w:b/>
          <w:bCs/>
          <w:color w:val="auto"/>
          <w:lang w:val="zh-CN"/>
        </w:rPr>
        <w:t>验收</w:t>
      </w:r>
      <w:r>
        <w:rPr>
          <w:color w:val="auto"/>
        </w:rPr>
        <w:tab/>
      </w:r>
      <w:r>
        <w:rPr>
          <w:color w:val="auto"/>
        </w:rPr>
        <w:fldChar w:fldCharType="begin"/>
      </w:r>
      <w:r>
        <w:rPr>
          <w:color w:val="auto"/>
        </w:rPr>
        <w:instrText xml:space="preserve"> PAGEREF _Toc65745050 \h </w:instrText>
      </w:r>
      <w:r>
        <w:rPr>
          <w:color w:val="auto"/>
        </w:rPr>
        <w:fldChar w:fldCharType="separate"/>
      </w:r>
      <w:r>
        <w:rPr>
          <w:color w:val="auto"/>
        </w:rPr>
        <w:t>- 43 -</w:t>
      </w:r>
      <w:r>
        <w:rPr>
          <w:color w:val="auto"/>
        </w:rPr>
        <w:fldChar w:fldCharType="end"/>
      </w:r>
      <w:r>
        <w:rPr>
          <w:color w:val="auto"/>
        </w:rPr>
        <w:fldChar w:fldCharType="end"/>
      </w:r>
    </w:p>
    <w:p>
      <w:pPr>
        <w:pStyle w:val="14"/>
        <w:tabs>
          <w:tab w:val="right" w:leader="dot" w:pos="9371"/>
        </w:tabs>
        <w:rPr>
          <w:rFonts w:ascii="Calibri" w:hAnsi="Calibri"/>
          <w:color w:val="auto"/>
          <w:kern w:val="2"/>
          <w:szCs w:val="22"/>
        </w:rPr>
      </w:pPr>
      <w:r>
        <w:fldChar w:fldCharType="begin"/>
      </w:r>
      <w:r>
        <w:instrText xml:space="preserve"> HYPERLINK \l "_Toc65745051" </w:instrText>
      </w:r>
      <w:r>
        <w:fldChar w:fldCharType="separate"/>
      </w:r>
      <w:r>
        <w:rPr>
          <w:rStyle w:val="20"/>
          <w:rFonts w:ascii="黑体" w:hAnsi="黑体" w:eastAsia="黑体" w:cs="楷体_GB2312"/>
          <w:b/>
          <w:bCs/>
          <w:color w:val="auto"/>
          <w:lang w:val="zh-CN"/>
        </w:rPr>
        <w:t>9.</w:t>
      </w:r>
      <w:r>
        <w:rPr>
          <w:rStyle w:val="20"/>
          <w:rFonts w:hint="eastAsia" w:ascii="黑体" w:hAnsi="黑体" w:eastAsia="黑体" w:cs="楷体_GB2312"/>
          <w:b/>
          <w:bCs/>
          <w:color w:val="auto"/>
          <w:lang w:val="zh-CN"/>
        </w:rPr>
        <w:t>付款</w:t>
      </w:r>
      <w:r>
        <w:rPr>
          <w:color w:val="auto"/>
        </w:rPr>
        <w:tab/>
      </w:r>
      <w:r>
        <w:rPr>
          <w:color w:val="auto"/>
        </w:rPr>
        <w:fldChar w:fldCharType="begin"/>
      </w:r>
      <w:r>
        <w:rPr>
          <w:color w:val="auto"/>
        </w:rPr>
        <w:instrText xml:space="preserve"> PAGEREF _Toc65745051 \h </w:instrText>
      </w:r>
      <w:r>
        <w:rPr>
          <w:color w:val="auto"/>
        </w:rPr>
        <w:fldChar w:fldCharType="separate"/>
      </w:r>
      <w:r>
        <w:rPr>
          <w:color w:val="auto"/>
        </w:rPr>
        <w:t>- 44 -</w:t>
      </w:r>
      <w:r>
        <w:rPr>
          <w:color w:val="auto"/>
        </w:rPr>
        <w:fldChar w:fldCharType="end"/>
      </w:r>
      <w:r>
        <w:rPr>
          <w:color w:val="auto"/>
        </w:rPr>
        <w:fldChar w:fldCharType="end"/>
      </w:r>
    </w:p>
    <w:p>
      <w:pPr>
        <w:pStyle w:val="14"/>
        <w:tabs>
          <w:tab w:val="right" w:leader="dot" w:pos="9371"/>
        </w:tabs>
        <w:rPr>
          <w:rFonts w:ascii="Calibri" w:hAnsi="Calibri"/>
          <w:color w:val="auto"/>
          <w:kern w:val="2"/>
          <w:szCs w:val="22"/>
        </w:rPr>
      </w:pPr>
      <w:r>
        <w:fldChar w:fldCharType="begin"/>
      </w:r>
      <w:r>
        <w:instrText xml:space="preserve"> HYPERLINK \l "_Toc65745052" </w:instrText>
      </w:r>
      <w:r>
        <w:fldChar w:fldCharType="separate"/>
      </w:r>
      <w:r>
        <w:rPr>
          <w:rStyle w:val="20"/>
          <w:rFonts w:ascii="黑体" w:hAnsi="黑体" w:eastAsia="黑体" w:cs="楷体_GB2312"/>
          <w:b/>
          <w:bCs/>
          <w:color w:val="auto"/>
          <w:lang w:val="zh-CN"/>
        </w:rPr>
        <w:t xml:space="preserve">10. </w:t>
      </w:r>
      <w:r>
        <w:rPr>
          <w:rStyle w:val="20"/>
          <w:rFonts w:hint="eastAsia" w:ascii="黑体" w:hAnsi="黑体" w:eastAsia="黑体" w:cs="楷体_GB2312"/>
          <w:b/>
          <w:bCs/>
          <w:color w:val="auto"/>
          <w:lang w:val="zh-CN"/>
        </w:rPr>
        <w:t>其他</w:t>
      </w:r>
      <w:r>
        <w:rPr>
          <w:color w:val="auto"/>
        </w:rPr>
        <w:tab/>
      </w:r>
      <w:r>
        <w:rPr>
          <w:color w:val="auto"/>
        </w:rPr>
        <w:fldChar w:fldCharType="begin"/>
      </w:r>
      <w:r>
        <w:rPr>
          <w:color w:val="auto"/>
        </w:rPr>
        <w:instrText xml:space="preserve"> PAGEREF _Toc65745052 \h </w:instrText>
      </w:r>
      <w:r>
        <w:rPr>
          <w:color w:val="auto"/>
        </w:rPr>
        <w:fldChar w:fldCharType="separate"/>
      </w:r>
      <w:r>
        <w:rPr>
          <w:color w:val="auto"/>
        </w:rPr>
        <w:t>- 44 -</w:t>
      </w:r>
      <w:r>
        <w:rPr>
          <w:color w:val="auto"/>
        </w:rPr>
        <w:fldChar w:fldCharType="end"/>
      </w:r>
      <w:r>
        <w:rPr>
          <w:color w:val="auto"/>
        </w:rPr>
        <w:fldChar w:fldCharType="end"/>
      </w:r>
    </w:p>
    <w:p>
      <w:pPr>
        <w:pStyle w:val="14"/>
        <w:tabs>
          <w:tab w:val="right" w:leader="dot" w:pos="9371"/>
        </w:tabs>
        <w:rPr>
          <w:rFonts w:ascii="Calibri" w:hAnsi="Calibri"/>
          <w:color w:val="auto"/>
          <w:kern w:val="2"/>
          <w:szCs w:val="22"/>
        </w:rPr>
      </w:pPr>
      <w:r>
        <w:fldChar w:fldCharType="begin"/>
      </w:r>
      <w:r>
        <w:instrText xml:space="preserve"> HYPERLINK \l "_Toc65745053" </w:instrText>
      </w:r>
      <w:r>
        <w:fldChar w:fldCharType="separate"/>
      </w:r>
      <w:r>
        <w:rPr>
          <w:rStyle w:val="20"/>
          <w:rFonts w:ascii="黑体" w:hAnsi="黑体" w:eastAsia="黑体" w:cs="楷体_GB2312"/>
          <w:b/>
          <w:bCs/>
          <w:color w:val="auto"/>
          <w:lang w:val="zh-CN"/>
        </w:rPr>
        <w:t xml:space="preserve">11. </w:t>
      </w:r>
      <w:r>
        <w:rPr>
          <w:rStyle w:val="20"/>
          <w:rFonts w:hint="eastAsia" w:ascii="黑体" w:hAnsi="黑体" w:eastAsia="黑体" w:cs="楷体_GB2312"/>
          <w:b/>
          <w:bCs/>
          <w:color w:val="auto"/>
          <w:lang w:val="zh-CN"/>
        </w:rPr>
        <w:t>河南省政府采购合同融资政策告知函</w:t>
      </w:r>
      <w:r>
        <w:rPr>
          <w:color w:val="auto"/>
        </w:rPr>
        <w:tab/>
      </w:r>
      <w:r>
        <w:rPr>
          <w:color w:val="auto"/>
        </w:rPr>
        <w:fldChar w:fldCharType="begin"/>
      </w:r>
      <w:r>
        <w:rPr>
          <w:color w:val="auto"/>
        </w:rPr>
        <w:instrText xml:space="preserve"> PAGEREF _Toc65745053 \h </w:instrText>
      </w:r>
      <w:r>
        <w:rPr>
          <w:color w:val="auto"/>
        </w:rPr>
        <w:fldChar w:fldCharType="separate"/>
      </w:r>
      <w:r>
        <w:rPr>
          <w:color w:val="auto"/>
        </w:rPr>
        <w:t>- 44 -</w:t>
      </w:r>
      <w:r>
        <w:rPr>
          <w:color w:val="auto"/>
        </w:rPr>
        <w:fldChar w:fldCharType="end"/>
      </w:r>
      <w:r>
        <w:rPr>
          <w:color w:val="auto"/>
        </w:rPr>
        <w:fldChar w:fldCharType="end"/>
      </w:r>
    </w:p>
    <w:p>
      <w:pPr>
        <w:pStyle w:val="13"/>
        <w:tabs>
          <w:tab w:val="right" w:leader="dot" w:pos="9371"/>
        </w:tabs>
        <w:rPr>
          <w:rFonts w:ascii="Calibri" w:hAnsi="Calibri"/>
          <w:color w:val="auto"/>
          <w:kern w:val="2"/>
          <w:szCs w:val="22"/>
        </w:rPr>
      </w:pPr>
      <w:r>
        <w:fldChar w:fldCharType="begin"/>
      </w:r>
      <w:r>
        <w:instrText xml:space="preserve"> HYPERLINK \l "_Toc65745054" </w:instrText>
      </w:r>
      <w:r>
        <w:fldChar w:fldCharType="separate"/>
      </w:r>
      <w:r>
        <w:rPr>
          <w:rStyle w:val="20"/>
          <w:rFonts w:hint="eastAsia" w:ascii="黑体" w:hAnsi="黑体" w:eastAsia="黑体"/>
          <w:b/>
          <w:color w:val="auto"/>
          <w:lang w:val="zh-CN"/>
        </w:rPr>
        <w:t>第四章</w:t>
      </w:r>
      <w:r>
        <w:rPr>
          <w:rStyle w:val="20"/>
          <w:rFonts w:ascii="黑体" w:hAnsi="黑体" w:eastAsia="黑体"/>
          <w:b/>
          <w:color w:val="auto"/>
          <w:lang w:val="zh-CN"/>
        </w:rPr>
        <w:t xml:space="preserve">  </w:t>
      </w:r>
      <w:r>
        <w:rPr>
          <w:rStyle w:val="20"/>
          <w:rFonts w:hint="eastAsia" w:ascii="黑体" w:hAnsi="黑体" w:eastAsia="黑体"/>
          <w:b/>
          <w:color w:val="auto"/>
          <w:lang w:val="zh-CN"/>
        </w:rPr>
        <w:t>评审办法</w:t>
      </w:r>
      <w:r>
        <w:rPr>
          <w:color w:val="auto"/>
        </w:rPr>
        <w:tab/>
      </w:r>
      <w:r>
        <w:rPr>
          <w:color w:val="auto"/>
        </w:rPr>
        <w:fldChar w:fldCharType="begin"/>
      </w:r>
      <w:r>
        <w:rPr>
          <w:color w:val="auto"/>
        </w:rPr>
        <w:instrText xml:space="preserve"> PAGEREF _Toc65745054 \h </w:instrText>
      </w:r>
      <w:r>
        <w:rPr>
          <w:color w:val="auto"/>
        </w:rPr>
        <w:fldChar w:fldCharType="separate"/>
      </w:r>
      <w:r>
        <w:rPr>
          <w:color w:val="auto"/>
        </w:rPr>
        <w:t>- 45 -</w:t>
      </w:r>
      <w:r>
        <w:rPr>
          <w:color w:val="auto"/>
        </w:rPr>
        <w:fldChar w:fldCharType="end"/>
      </w:r>
      <w:r>
        <w:rPr>
          <w:color w:val="auto"/>
        </w:rPr>
        <w:fldChar w:fldCharType="end"/>
      </w:r>
    </w:p>
    <w:p>
      <w:pPr>
        <w:pStyle w:val="14"/>
        <w:tabs>
          <w:tab w:val="right" w:leader="dot" w:pos="9371"/>
        </w:tabs>
        <w:rPr>
          <w:rFonts w:ascii="Calibri" w:hAnsi="Calibri"/>
          <w:color w:val="auto"/>
          <w:kern w:val="2"/>
          <w:szCs w:val="22"/>
        </w:rPr>
      </w:pPr>
      <w:r>
        <w:fldChar w:fldCharType="begin"/>
      </w:r>
      <w:r>
        <w:instrText xml:space="preserve"> HYPERLINK \l "_Toc65745055" </w:instrText>
      </w:r>
      <w:r>
        <w:fldChar w:fldCharType="separate"/>
      </w:r>
      <w:r>
        <w:rPr>
          <w:rStyle w:val="20"/>
          <w:rFonts w:hint="eastAsia" w:ascii="黑体" w:hAnsi="黑体" w:eastAsia="黑体"/>
          <w:b/>
          <w:color w:val="auto"/>
        </w:rPr>
        <w:t>评审办法前附表</w:t>
      </w:r>
      <w:r>
        <w:rPr>
          <w:color w:val="auto"/>
        </w:rPr>
        <w:tab/>
      </w:r>
      <w:r>
        <w:rPr>
          <w:color w:val="auto"/>
        </w:rPr>
        <w:fldChar w:fldCharType="begin"/>
      </w:r>
      <w:r>
        <w:rPr>
          <w:color w:val="auto"/>
        </w:rPr>
        <w:instrText xml:space="preserve"> PAGEREF _Toc65745055 \h </w:instrText>
      </w:r>
      <w:r>
        <w:rPr>
          <w:color w:val="auto"/>
        </w:rPr>
        <w:fldChar w:fldCharType="separate"/>
      </w:r>
      <w:r>
        <w:rPr>
          <w:color w:val="auto"/>
        </w:rPr>
        <w:t>- 45 -</w:t>
      </w:r>
      <w:r>
        <w:rPr>
          <w:color w:val="auto"/>
        </w:rPr>
        <w:fldChar w:fldCharType="end"/>
      </w:r>
      <w:r>
        <w:rPr>
          <w:color w:val="auto"/>
        </w:rPr>
        <w:fldChar w:fldCharType="end"/>
      </w:r>
    </w:p>
    <w:p>
      <w:pPr>
        <w:pStyle w:val="14"/>
        <w:tabs>
          <w:tab w:val="right" w:leader="dot" w:pos="9371"/>
        </w:tabs>
        <w:rPr>
          <w:rFonts w:ascii="Calibri" w:hAnsi="Calibri"/>
          <w:color w:val="auto"/>
          <w:kern w:val="2"/>
          <w:szCs w:val="22"/>
        </w:rPr>
      </w:pPr>
      <w:r>
        <w:fldChar w:fldCharType="begin"/>
      </w:r>
      <w:r>
        <w:instrText xml:space="preserve"> HYPERLINK \l "_Toc65745056" </w:instrText>
      </w:r>
      <w:r>
        <w:fldChar w:fldCharType="separate"/>
      </w:r>
      <w:r>
        <w:rPr>
          <w:rStyle w:val="20"/>
          <w:rFonts w:ascii="黑体" w:hAnsi="黑体" w:eastAsia="黑体" w:cs="楷体_GB2312"/>
          <w:b/>
          <w:bCs/>
          <w:color w:val="auto"/>
          <w:lang w:val="zh-CN"/>
        </w:rPr>
        <w:t xml:space="preserve">1. </w:t>
      </w:r>
      <w:r>
        <w:rPr>
          <w:rStyle w:val="20"/>
          <w:rFonts w:hint="eastAsia" w:ascii="黑体" w:hAnsi="黑体" w:eastAsia="黑体" w:cs="楷体_GB2312"/>
          <w:b/>
          <w:bCs/>
          <w:color w:val="auto"/>
          <w:lang w:val="zh-CN"/>
        </w:rPr>
        <w:t>评审方法（评定成交的标准）</w:t>
      </w:r>
      <w:r>
        <w:rPr>
          <w:color w:val="auto"/>
        </w:rPr>
        <w:tab/>
      </w:r>
      <w:r>
        <w:rPr>
          <w:color w:val="auto"/>
        </w:rPr>
        <w:fldChar w:fldCharType="begin"/>
      </w:r>
      <w:r>
        <w:rPr>
          <w:color w:val="auto"/>
        </w:rPr>
        <w:instrText xml:space="preserve"> PAGEREF _Toc65745056 \h </w:instrText>
      </w:r>
      <w:r>
        <w:rPr>
          <w:color w:val="auto"/>
        </w:rPr>
        <w:fldChar w:fldCharType="separate"/>
      </w:r>
      <w:r>
        <w:rPr>
          <w:color w:val="auto"/>
        </w:rPr>
        <w:t>- 49 -</w:t>
      </w:r>
      <w:r>
        <w:rPr>
          <w:color w:val="auto"/>
        </w:rPr>
        <w:fldChar w:fldCharType="end"/>
      </w:r>
      <w:r>
        <w:rPr>
          <w:color w:val="auto"/>
        </w:rPr>
        <w:fldChar w:fldCharType="end"/>
      </w:r>
    </w:p>
    <w:p>
      <w:pPr>
        <w:pStyle w:val="14"/>
        <w:tabs>
          <w:tab w:val="right" w:leader="dot" w:pos="9371"/>
        </w:tabs>
        <w:rPr>
          <w:rFonts w:ascii="Calibri" w:hAnsi="Calibri"/>
          <w:color w:val="auto"/>
          <w:kern w:val="2"/>
          <w:szCs w:val="22"/>
        </w:rPr>
      </w:pPr>
      <w:r>
        <w:fldChar w:fldCharType="begin"/>
      </w:r>
      <w:r>
        <w:instrText xml:space="preserve"> HYPERLINK \l "_Toc65745057" </w:instrText>
      </w:r>
      <w:r>
        <w:fldChar w:fldCharType="separate"/>
      </w:r>
      <w:r>
        <w:rPr>
          <w:rStyle w:val="20"/>
          <w:rFonts w:ascii="黑体" w:hAnsi="黑体" w:eastAsia="黑体" w:cs="楷体_GB2312"/>
          <w:b/>
          <w:bCs/>
          <w:color w:val="auto"/>
          <w:lang w:val="zh-CN"/>
        </w:rPr>
        <w:t xml:space="preserve">2. </w:t>
      </w:r>
      <w:r>
        <w:rPr>
          <w:rStyle w:val="20"/>
          <w:rFonts w:hint="eastAsia" w:ascii="黑体" w:hAnsi="黑体" w:eastAsia="黑体" w:cs="楷体_GB2312"/>
          <w:b/>
          <w:bCs/>
          <w:color w:val="auto"/>
          <w:lang w:val="zh-CN"/>
        </w:rPr>
        <w:t>评审标准</w:t>
      </w:r>
      <w:r>
        <w:rPr>
          <w:color w:val="auto"/>
        </w:rPr>
        <w:tab/>
      </w:r>
      <w:r>
        <w:rPr>
          <w:color w:val="auto"/>
        </w:rPr>
        <w:fldChar w:fldCharType="begin"/>
      </w:r>
      <w:r>
        <w:rPr>
          <w:color w:val="auto"/>
        </w:rPr>
        <w:instrText xml:space="preserve"> PAGEREF _Toc65745057 \h </w:instrText>
      </w:r>
      <w:r>
        <w:rPr>
          <w:color w:val="auto"/>
        </w:rPr>
        <w:fldChar w:fldCharType="separate"/>
      </w:r>
      <w:r>
        <w:rPr>
          <w:color w:val="auto"/>
        </w:rPr>
        <w:t>- 49 -</w:t>
      </w:r>
      <w:r>
        <w:rPr>
          <w:color w:val="auto"/>
        </w:rPr>
        <w:fldChar w:fldCharType="end"/>
      </w:r>
      <w:r>
        <w:rPr>
          <w:color w:val="auto"/>
        </w:rPr>
        <w:fldChar w:fldCharType="end"/>
      </w:r>
    </w:p>
    <w:p>
      <w:pPr>
        <w:pStyle w:val="14"/>
        <w:tabs>
          <w:tab w:val="right" w:leader="dot" w:pos="9371"/>
        </w:tabs>
        <w:rPr>
          <w:rFonts w:ascii="Calibri" w:hAnsi="Calibri"/>
          <w:color w:val="auto"/>
          <w:kern w:val="2"/>
          <w:szCs w:val="22"/>
        </w:rPr>
      </w:pPr>
      <w:r>
        <w:fldChar w:fldCharType="begin"/>
      </w:r>
      <w:r>
        <w:instrText xml:space="preserve"> HYPERLINK \l "_Toc65745058" </w:instrText>
      </w:r>
      <w:r>
        <w:fldChar w:fldCharType="separate"/>
      </w:r>
      <w:r>
        <w:rPr>
          <w:rStyle w:val="20"/>
          <w:rFonts w:ascii="黑体" w:hAnsi="黑体" w:eastAsia="黑体" w:cs="楷体_GB2312"/>
          <w:b/>
          <w:bCs/>
          <w:color w:val="auto"/>
          <w:lang w:val="zh-CN"/>
        </w:rPr>
        <w:t xml:space="preserve">3. </w:t>
      </w:r>
      <w:r>
        <w:rPr>
          <w:rStyle w:val="20"/>
          <w:rFonts w:hint="eastAsia" w:ascii="黑体" w:hAnsi="黑体" w:eastAsia="黑体" w:cs="楷体_GB2312"/>
          <w:b/>
          <w:bCs/>
          <w:color w:val="auto"/>
          <w:lang w:val="zh-CN"/>
        </w:rPr>
        <w:t>评审程序</w:t>
      </w:r>
      <w:r>
        <w:rPr>
          <w:color w:val="auto"/>
        </w:rPr>
        <w:tab/>
      </w:r>
      <w:r>
        <w:rPr>
          <w:color w:val="auto"/>
        </w:rPr>
        <w:fldChar w:fldCharType="begin"/>
      </w:r>
      <w:r>
        <w:rPr>
          <w:color w:val="auto"/>
        </w:rPr>
        <w:instrText xml:space="preserve"> PAGEREF _Toc65745058 \h </w:instrText>
      </w:r>
      <w:r>
        <w:rPr>
          <w:color w:val="auto"/>
        </w:rPr>
        <w:fldChar w:fldCharType="separate"/>
      </w:r>
      <w:r>
        <w:rPr>
          <w:color w:val="auto"/>
        </w:rPr>
        <w:t>- 49 -</w:t>
      </w:r>
      <w:r>
        <w:rPr>
          <w:color w:val="auto"/>
        </w:rPr>
        <w:fldChar w:fldCharType="end"/>
      </w:r>
      <w:r>
        <w:rPr>
          <w:color w:val="auto"/>
        </w:rPr>
        <w:fldChar w:fldCharType="end"/>
      </w:r>
    </w:p>
    <w:p>
      <w:pPr>
        <w:pStyle w:val="14"/>
        <w:tabs>
          <w:tab w:val="right" w:leader="dot" w:pos="9371"/>
        </w:tabs>
        <w:rPr>
          <w:rFonts w:ascii="Calibri" w:hAnsi="Calibri"/>
          <w:color w:val="auto"/>
          <w:kern w:val="2"/>
          <w:szCs w:val="22"/>
        </w:rPr>
      </w:pPr>
      <w:r>
        <w:fldChar w:fldCharType="begin"/>
      </w:r>
      <w:r>
        <w:instrText xml:space="preserve"> HYPERLINK \l "_Toc65745059" </w:instrText>
      </w:r>
      <w:r>
        <w:fldChar w:fldCharType="separate"/>
      </w:r>
      <w:r>
        <w:rPr>
          <w:rStyle w:val="20"/>
          <w:rFonts w:ascii="黑体" w:hAnsi="黑体" w:eastAsia="黑体" w:cs="楷体_GB2312"/>
          <w:b/>
          <w:bCs/>
          <w:color w:val="auto"/>
          <w:lang w:val="zh-CN"/>
        </w:rPr>
        <w:t xml:space="preserve">4. </w:t>
      </w:r>
      <w:r>
        <w:rPr>
          <w:rStyle w:val="20"/>
          <w:rFonts w:hint="eastAsia" w:ascii="黑体" w:hAnsi="黑体" w:eastAsia="黑体" w:cs="楷体_GB2312"/>
          <w:b/>
          <w:bCs/>
          <w:color w:val="auto"/>
          <w:lang w:val="zh-CN"/>
        </w:rPr>
        <w:t>政府采购促进中小企业发展扶持政策</w:t>
      </w:r>
      <w:r>
        <w:rPr>
          <w:color w:val="auto"/>
        </w:rPr>
        <w:tab/>
      </w:r>
      <w:r>
        <w:rPr>
          <w:color w:val="auto"/>
        </w:rPr>
        <w:fldChar w:fldCharType="begin"/>
      </w:r>
      <w:r>
        <w:rPr>
          <w:color w:val="auto"/>
        </w:rPr>
        <w:instrText xml:space="preserve"> PAGEREF _Toc65745059 \h </w:instrText>
      </w:r>
      <w:r>
        <w:rPr>
          <w:color w:val="auto"/>
        </w:rPr>
        <w:fldChar w:fldCharType="separate"/>
      </w:r>
      <w:r>
        <w:rPr>
          <w:color w:val="auto"/>
        </w:rPr>
        <w:t>- 54 -</w:t>
      </w:r>
      <w:r>
        <w:rPr>
          <w:color w:val="auto"/>
        </w:rPr>
        <w:fldChar w:fldCharType="end"/>
      </w:r>
      <w:r>
        <w:rPr>
          <w:color w:val="auto"/>
        </w:rPr>
        <w:fldChar w:fldCharType="end"/>
      </w:r>
    </w:p>
    <w:p>
      <w:pPr>
        <w:pStyle w:val="13"/>
        <w:tabs>
          <w:tab w:val="right" w:leader="dot" w:pos="9371"/>
        </w:tabs>
        <w:rPr>
          <w:rFonts w:ascii="Calibri" w:hAnsi="Calibri"/>
          <w:color w:val="auto"/>
          <w:kern w:val="2"/>
          <w:szCs w:val="22"/>
        </w:rPr>
      </w:pPr>
      <w:r>
        <w:fldChar w:fldCharType="begin"/>
      </w:r>
      <w:r>
        <w:instrText xml:space="preserve"> HYPERLINK \l "_Toc65745060" </w:instrText>
      </w:r>
      <w:r>
        <w:fldChar w:fldCharType="separate"/>
      </w:r>
      <w:r>
        <w:rPr>
          <w:rStyle w:val="20"/>
          <w:rFonts w:hint="eastAsia" w:ascii="黑体" w:eastAsia="黑体"/>
          <w:b/>
          <w:color w:val="auto"/>
        </w:rPr>
        <w:t>第五章</w:t>
      </w:r>
      <w:r>
        <w:rPr>
          <w:rStyle w:val="20"/>
          <w:rFonts w:ascii="黑体" w:eastAsia="黑体"/>
          <w:b/>
          <w:color w:val="auto"/>
        </w:rPr>
        <w:t xml:space="preserve">  </w:t>
      </w:r>
      <w:r>
        <w:rPr>
          <w:rStyle w:val="20"/>
          <w:rFonts w:hint="eastAsia" w:ascii="黑体" w:eastAsia="黑体"/>
          <w:b/>
          <w:color w:val="auto"/>
        </w:rPr>
        <w:t>合同主要条款</w:t>
      </w:r>
      <w:r>
        <w:rPr>
          <w:color w:val="auto"/>
        </w:rPr>
        <w:tab/>
      </w:r>
      <w:r>
        <w:rPr>
          <w:color w:val="auto"/>
        </w:rPr>
        <w:fldChar w:fldCharType="begin"/>
      </w:r>
      <w:r>
        <w:rPr>
          <w:color w:val="auto"/>
        </w:rPr>
        <w:instrText xml:space="preserve"> PAGEREF _Toc65745060 \h </w:instrText>
      </w:r>
      <w:r>
        <w:rPr>
          <w:color w:val="auto"/>
        </w:rPr>
        <w:fldChar w:fldCharType="separate"/>
      </w:r>
      <w:r>
        <w:rPr>
          <w:color w:val="auto"/>
        </w:rPr>
        <w:t>- 56 -</w:t>
      </w:r>
      <w:r>
        <w:rPr>
          <w:color w:val="auto"/>
        </w:rPr>
        <w:fldChar w:fldCharType="end"/>
      </w:r>
      <w:r>
        <w:rPr>
          <w:color w:val="auto"/>
        </w:rPr>
        <w:fldChar w:fldCharType="end"/>
      </w:r>
    </w:p>
    <w:p>
      <w:pPr>
        <w:pStyle w:val="13"/>
        <w:tabs>
          <w:tab w:val="right" w:leader="dot" w:pos="9371"/>
        </w:tabs>
        <w:rPr>
          <w:rFonts w:ascii="Calibri" w:hAnsi="Calibri"/>
          <w:color w:val="auto"/>
          <w:kern w:val="2"/>
          <w:szCs w:val="22"/>
        </w:rPr>
      </w:pPr>
      <w:r>
        <w:fldChar w:fldCharType="begin"/>
      </w:r>
      <w:r>
        <w:instrText xml:space="preserve"> HYPERLINK \l "_Toc65745061" </w:instrText>
      </w:r>
      <w:r>
        <w:fldChar w:fldCharType="separate"/>
      </w:r>
      <w:r>
        <w:rPr>
          <w:rStyle w:val="20"/>
          <w:rFonts w:hint="eastAsia" w:ascii="黑体" w:hAnsi="黑体" w:eastAsia="黑体"/>
          <w:b/>
          <w:color w:val="auto"/>
          <w:lang w:val="zh-CN"/>
        </w:rPr>
        <w:t>第六章</w:t>
      </w:r>
      <w:r>
        <w:rPr>
          <w:rStyle w:val="20"/>
          <w:rFonts w:ascii="黑体" w:hAnsi="黑体" w:eastAsia="黑体"/>
          <w:b/>
          <w:color w:val="auto"/>
          <w:lang w:val="zh-CN"/>
        </w:rPr>
        <w:t xml:space="preserve">  </w:t>
      </w:r>
      <w:r>
        <w:rPr>
          <w:rStyle w:val="20"/>
          <w:rFonts w:hint="eastAsia" w:ascii="黑体" w:hAnsi="黑体" w:eastAsia="黑体"/>
          <w:b/>
          <w:color w:val="auto"/>
          <w:lang w:val="zh-CN"/>
        </w:rPr>
        <w:t>《响应文件》格式</w:t>
      </w:r>
      <w:r>
        <w:rPr>
          <w:color w:val="auto"/>
        </w:rPr>
        <w:tab/>
      </w:r>
      <w:r>
        <w:rPr>
          <w:color w:val="auto"/>
        </w:rPr>
        <w:fldChar w:fldCharType="begin"/>
      </w:r>
      <w:r>
        <w:rPr>
          <w:color w:val="auto"/>
        </w:rPr>
        <w:instrText xml:space="preserve"> PAGEREF _Toc65745061 \h </w:instrText>
      </w:r>
      <w:r>
        <w:rPr>
          <w:color w:val="auto"/>
        </w:rPr>
        <w:fldChar w:fldCharType="separate"/>
      </w:r>
      <w:r>
        <w:rPr>
          <w:color w:val="auto"/>
        </w:rPr>
        <w:t>- 58 -</w:t>
      </w:r>
      <w:r>
        <w:rPr>
          <w:color w:val="auto"/>
        </w:rPr>
        <w:fldChar w:fldCharType="end"/>
      </w:r>
      <w:r>
        <w:rPr>
          <w:color w:val="auto"/>
        </w:rPr>
        <w:fldChar w:fldCharType="end"/>
      </w:r>
    </w:p>
    <w:p>
      <w:pPr>
        <w:rPr>
          <w:color w:val="auto"/>
        </w:rPr>
      </w:pPr>
      <w:r>
        <w:rPr>
          <w:color w:val="auto"/>
        </w:rPr>
        <w:fldChar w:fldCharType="end"/>
      </w:r>
    </w:p>
    <w:p>
      <w:pPr>
        <w:widowControl w:val="0"/>
        <w:snapToGrid w:val="0"/>
        <w:spacing w:line="660" w:lineRule="exact"/>
        <w:ind w:firstLine="607" w:firstLineChars="168"/>
        <w:rPr>
          <w:rFonts w:ascii="黑体" w:hAnsi="黑体" w:eastAsia="黑体"/>
          <w:b/>
          <w:color w:val="auto"/>
          <w:sz w:val="36"/>
          <w:szCs w:val="36"/>
        </w:rPr>
      </w:pPr>
    </w:p>
    <w:p>
      <w:pPr>
        <w:widowControl w:val="0"/>
        <w:snapToGrid w:val="0"/>
        <w:spacing w:line="560" w:lineRule="exact"/>
        <w:ind w:firstLine="181" w:firstLineChars="50"/>
        <w:rPr>
          <w:rFonts w:ascii="黑体" w:eastAsia="黑体"/>
          <w:b/>
          <w:color w:val="auto"/>
          <w:sz w:val="36"/>
          <w:szCs w:val="36"/>
        </w:rPr>
        <w:sectPr>
          <w:pgSz w:w="11905" w:h="16837"/>
          <w:pgMar w:top="1418" w:right="1106" w:bottom="1418" w:left="1418" w:header="567" w:footer="567" w:gutter="0"/>
          <w:pgNumType w:fmt="numberInDash" w:start="0"/>
          <w:cols w:space="720" w:num="1"/>
          <w:titlePg/>
        </w:sectPr>
      </w:pPr>
    </w:p>
    <w:p>
      <w:pPr>
        <w:widowControl w:val="0"/>
        <w:snapToGrid w:val="0"/>
        <w:spacing w:line="560" w:lineRule="exact"/>
        <w:jc w:val="left"/>
        <w:rPr>
          <w:rFonts w:ascii="宋体"/>
          <w:b/>
          <w:color w:val="auto"/>
          <w:sz w:val="24"/>
          <w:szCs w:val="24"/>
        </w:rPr>
      </w:pPr>
    </w:p>
    <w:p>
      <w:pPr>
        <w:widowControl w:val="0"/>
        <w:snapToGrid w:val="0"/>
        <w:spacing w:line="560" w:lineRule="exact"/>
        <w:jc w:val="center"/>
        <w:outlineLvl w:val="0"/>
        <w:rPr>
          <w:color w:val="auto"/>
          <w:sz w:val="36"/>
          <w:szCs w:val="36"/>
        </w:rPr>
      </w:pPr>
      <w:bookmarkStart w:id="0" w:name="_Toc65745037"/>
      <w:r>
        <w:rPr>
          <w:rFonts w:hint="eastAsia" w:eastAsia="黑体"/>
          <w:b/>
          <w:color w:val="auto"/>
          <w:sz w:val="36"/>
          <w:szCs w:val="36"/>
        </w:rPr>
        <w:t>第一章</w:t>
      </w:r>
      <w:r>
        <w:rPr>
          <w:rFonts w:eastAsia="黑体"/>
          <w:b/>
          <w:color w:val="auto"/>
          <w:sz w:val="36"/>
          <w:szCs w:val="36"/>
        </w:rPr>
        <w:t xml:space="preserve">  </w:t>
      </w:r>
      <w:r>
        <w:rPr>
          <w:rFonts w:hint="eastAsia" w:eastAsia="黑体"/>
          <w:b/>
          <w:color w:val="auto"/>
          <w:sz w:val="36"/>
          <w:szCs w:val="36"/>
        </w:rPr>
        <w:t>竞争性磋商公告</w:t>
      </w:r>
      <w:bookmarkEnd w:id="0"/>
    </w:p>
    <w:p>
      <w:pPr>
        <w:widowControl w:val="0"/>
        <w:snapToGrid w:val="0"/>
        <w:spacing w:line="360" w:lineRule="auto"/>
        <w:ind w:firstLine="566"/>
        <w:rPr>
          <w:color w:val="auto"/>
          <w:sz w:val="28"/>
          <w:szCs w:val="28"/>
        </w:rPr>
      </w:pPr>
    </w:p>
    <w:p>
      <w:pPr>
        <w:widowControl w:val="0"/>
        <w:adjustRightInd w:val="0"/>
        <w:snapToGrid w:val="0"/>
        <w:spacing w:line="360" w:lineRule="auto"/>
        <w:ind w:firstLine="632" w:firstLineChars="225"/>
        <w:jc w:val="left"/>
        <w:rPr>
          <w:rFonts w:ascii="黑体" w:hAnsi="黑体" w:eastAsia="黑体"/>
          <w:b/>
          <w:color w:val="auto"/>
          <w:sz w:val="28"/>
          <w:szCs w:val="28"/>
        </w:rPr>
      </w:pPr>
      <w:r>
        <w:rPr>
          <w:rFonts w:hint="eastAsia" w:ascii="黑体" w:hAnsi="黑体" w:eastAsia="黑体"/>
          <w:b/>
          <w:color w:val="auto"/>
          <w:sz w:val="28"/>
          <w:szCs w:val="28"/>
        </w:rPr>
        <w:t>1.项目基本情况</w:t>
      </w:r>
    </w:p>
    <w:p>
      <w:pPr>
        <w:widowControl w:val="0"/>
        <w:adjustRightInd w:val="0"/>
        <w:snapToGrid w:val="0"/>
        <w:spacing w:line="360" w:lineRule="auto"/>
        <w:ind w:firstLine="540" w:firstLineChars="225"/>
        <w:jc w:val="left"/>
        <w:rPr>
          <w:rFonts w:ascii="宋体" w:hAnsi="宋体"/>
          <w:color w:val="auto"/>
          <w:sz w:val="24"/>
          <w:szCs w:val="24"/>
        </w:rPr>
      </w:pPr>
      <w:r>
        <w:rPr>
          <w:rFonts w:ascii="宋体" w:hAnsi="宋体"/>
          <w:color w:val="auto"/>
          <w:sz w:val="24"/>
          <w:szCs w:val="24"/>
        </w:rPr>
        <w:t>1.1</w:t>
      </w:r>
      <w:r>
        <w:rPr>
          <w:rFonts w:hint="eastAsia" w:ascii="宋体" w:hAnsi="宋体"/>
          <w:color w:val="auto"/>
          <w:sz w:val="24"/>
          <w:szCs w:val="24"/>
        </w:rPr>
        <w:t>项目编号：安财磋商采购-2024-27</w:t>
      </w:r>
    </w:p>
    <w:p>
      <w:pPr>
        <w:widowControl w:val="0"/>
        <w:adjustRightInd w:val="0"/>
        <w:snapToGrid w:val="0"/>
        <w:spacing w:line="360" w:lineRule="auto"/>
        <w:ind w:firstLine="540" w:firstLineChars="225"/>
        <w:jc w:val="left"/>
        <w:rPr>
          <w:rFonts w:ascii="宋体" w:hAnsi="宋体"/>
          <w:color w:val="auto"/>
          <w:sz w:val="24"/>
          <w:szCs w:val="24"/>
        </w:rPr>
      </w:pPr>
      <w:r>
        <w:rPr>
          <w:rFonts w:ascii="宋体" w:hAnsi="宋体"/>
          <w:color w:val="auto"/>
          <w:sz w:val="24"/>
          <w:szCs w:val="24"/>
        </w:rPr>
        <w:t>1.2</w:t>
      </w:r>
      <w:r>
        <w:rPr>
          <w:rFonts w:hint="eastAsia" w:ascii="宋体" w:hAnsi="宋体"/>
          <w:color w:val="auto"/>
          <w:sz w:val="24"/>
          <w:szCs w:val="24"/>
        </w:rPr>
        <w:t>项目名称：安阳市第二中学校舍装修改造项目(二次)</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1.3采购方式：竞争性磋商</w:t>
      </w:r>
    </w:p>
    <w:p>
      <w:pPr>
        <w:widowControl w:val="0"/>
        <w:adjustRightInd w:val="0"/>
        <w:snapToGrid w:val="0"/>
        <w:spacing w:line="360" w:lineRule="auto"/>
        <w:ind w:firstLine="540" w:firstLineChars="225"/>
        <w:jc w:val="left"/>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4预算金额：</w:t>
      </w:r>
      <w:r>
        <w:rPr>
          <w:rFonts w:ascii="宋体" w:hAnsi="宋体"/>
          <w:color w:val="auto"/>
          <w:sz w:val="24"/>
          <w:szCs w:val="24"/>
        </w:rPr>
        <w:t>123</w:t>
      </w:r>
      <w:r>
        <w:rPr>
          <w:rFonts w:hint="eastAsia" w:ascii="宋体" w:hAnsi="宋体"/>
          <w:color w:val="auto"/>
          <w:sz w:val="24"/>
          <w:szCs w:val="24"/>
        </w:rPr>
        <w:t>.</w:t>
      </w:r>
      <w:r>
        <w:rPr>
          <w:rFonts w:ascii="宋体" w:hAnsi="宋体"/>
          <w:color w:val="auto"/>
          <w:sz w:val="24"/>
          <w:szCs w:val="24"/>
        </w:rPr>
        <w:t>6</w:t>
      </w:r>
      <w:r>
        <w:rPr>
          <w:rFonts w:hint="eastAsia" w:ascii="宋体" w:hAnsi="宋体"/>
          <w:color w:val="auto"/>
          <w:sz w:val="24"/>
          <w:szCs w:val="24"/>
        </w:rPr>
        <w:t>万元</w:t>
      </w:r>
      <w:r>
        <w:rPr>
          <w:rFonts w:ascii="宋体" w:hAnsi="宋体"/>
          <w:color w:val="auto"/>
          <w:sz w:val="24"/>
          <w:szCs w:val="24"/>
        </w:rPr>
        <w:t xml:space="preserve"> </w:t>
      </w:r>
    </w:p>
    <w:p>
      <w:pPr>
        <w:adjustRightInd w:val="0"/>
        <w:snapToGrid w:val="0"/>
        <w:spacing w:line="360" w:lineRule="auto"/>
        <w:ind w:firstLine="540" w:firstLineChars="225"/>
        <w:rPr>
          <w:rFonts w:ascii="宋体"/>
          <w:b/>
          <w:color w:val="auto"/>
          <w:szCs w:val="21"/>
        </w:rPr>
      </w:pPr>
      <w:r>
        <w:rPr>
          <w:rFonts w:hint="eastAsia" w:ascii="宋体" w:hAnsi="宋体"/>
          <w:color w:val="auto"/>
          <w:sz w:val="24"/>
          <w:szCs w:val="24"/>
        </w:rPr>
        <w:t>1.5采购需求：校舍装修改造，技术参数详见《磋商文件》“基本技术要求”</w:t>
      </w:r>
    </w:p>
    <w:p>
      <w:pPr>
        <w:adjustRightInd w:val="0"/>
        <w:snapToGrid w:val="0"/>
        <w:spacing w:line="360" w:lineRule="auto"/>
        <w:ind w:firstLine="540" w:firstLineChars="225"/>
        <w:rPr>
          <w:color w:val="auto"/>
          <w:sz w:val="24"/>
          <w:szCs w:val="24"/>
        </w:rPr>
      </w:pPr>
      <w:r>
        <w:rPr>
          <w:rFonts w:hint="eastAsia" w:ascii="宋体" w:hAnsi="宋体"/>
          <w:color w:val="auto"/>
          <w:sz w:val="24"/>
          <w:szCs w:val="24"/>
        </w:rPr>
        <w:t>1.6合同履行期限：</w:t>
      </w:r>
      <w:r>
        <w:rPr>
          <w:rFonts w:hint="eastAsia"/>
          <w:color w:val="auto"/>
          <w:sz w:val="24"/>
          <w:szCs w:val="24"/>
        </w:rPr>
        <w:t>合同签订日起</w:t>
      </w:r>
      <w:r>
        <w:rPr>
          <w:rFonts w:hint="eastAsia" w:ascii="宋体" w:hAnsi="宋体"/>
          <w:color w:val="auto"/>
          <w:sz w:val="24"/>
          <w:szCs w:val="24"/>
        </w:rPr>
        <w:t>40日内</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1.7本项目（是/否）接受联合体投标：否</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1.8是否接受进口产品：否</w:t>
      </w:r>
    </w:p>
    <w:p>
      <w:pPr>
        <w:widowControl w:val="0"/>
        <w:adjustRightInd w:val="0"/>
        <w:snapToGrid w:val="0"/>
        <w:spacing w:line="360" w:lineRule="auto"/>
        <w:ind w:firstLine="540" w:firstLineChars="225"/>
        <w:jc w:val="left"/>
        <w:rPr>
          <w:rFonts w:ascii="宋体"/>
          <w:color w:val="auto"/>
          <w:sz w:val="24"/>
          <w:szCs w:val="24"/>
        </w:rPr>
      </w:pP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2.申请人的资格要求：</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2.1满足《中华人民共和国政府采购法》第二十二条规定；</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2</w:t>
      </w:r>
      <w:r>
        <w:rPr>
          <w:rFonts w:hint="eastAsia" w:ascii="宋体" w:hAnsi="宋体"/>
          <w:color w:val="auto"/>
          <w:sz w:val="24"/>
          <w:szCs w:val="24"/>
        </w:rPr>
        <w:t>落实政府采购政策需满足的资格要求：本项目专门面向中小企业采购，■提供《中小企业声明函》。</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2.3本项目的特定资格要求：</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2.3</w:t>
      </w:r>
      <w:r>
        <w:rPr>
          <w:rFonts w:ascii="宋体" w:hAnsi="宋体"/>
          <w:color w:val="auto"/>
          <w:sz w:val="24"/>
          <w:szCs w:val="24"/>
        </w:rPr>
        <w:t>.1</w:t>
      </w:r>
      <w:r>
        <w:rPr>
          <w:rFonts w:hint="eastAsia" w:ascii="宋体" w:hAnsi="宋体"/>
          <w:color w:val="auto"/>
          <w:sz w:val="24"/>
          <w:szCs w:val="24"/>
        </w:rPr>
        <w:t>满足《中华人民共和国政府采购法》第二十二条第</w:t>
      </w:r>
      <w:r>
        <w:rPr>
          <w:rFonts w:ascii="宋体" w:hAnsi="宋体"/>
          <w:color w:val="auto"/>
          <w:sz w:val="24"/>
          <w:szCs w:val="24"/>
        </w:rPr>
        <w:t>一款</w:t>
      </w:r>
      <w:r>
        <w:rPr>
          <w:rFonts w:hint="eastAsia" w:ascii="宋体" w:hAnsi="宋体"/>
          <w:color w:val="auto"/>
          <w:sz w:val="24"/>
          <w:szCs w:val="24"/>
        </w:rPr>
        <w:t>规定的</w:t>
      </w:r>
      <w:r>
        <w:rPr>
          <w:rFonts w:ascii="宋体" w:hAnsi="宋体"/>
          <w:color w:val="auto"/>
          <w:sz w:val="24"/>
          <w:szCs w:val="24"/>
        </w:rPr>
        <w:t>供应商基础性</w:t>
      </w:r>
      <w:r>
        <w:rPr>
          <w:rFonts w:hint="eastAsia" w:ascii="宋体" w:hAnsi="宋体"/>
          <w:color w:val="auto"/>
          <w:sz w:val="24"/>
          <w:szCs w:val="24"/>
        </w:rPr>
        <w:t>资格要求；供应商自行承诺并承担后果，承诺书不实的，按《政府采购法》有关提供虚假材料的有关规定给予处罚。</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2.3</w:t>
      </w:r>
      <w:r>
        <w:rPr>
          <w:rFonts w:ascii="宋体" w:hAnsi="宋体"/>
          <w:color w:val="auto"/>
          <w:sz w:val="24"/>
          <w:szCs w:val="24"/>
        </w:rPr>
        <w:t>.</w:t>
      </w:r>
      <w:r>
        <w:rPr>
          <w:rFonts w:hint="eastAsia" w:ascii="宋体" w:hAnsi="宋体"/>
          <w:color w:val="auto"/>
          <w:sz w:val="24"/>
          <w:szCs w:val="24"/>
        </w:rPr>
        <w:t>2对供</w:t>
      </w:r>
      <w:r>
        <w:rPr>
          <w:rFonts w:ascii="宋体" w:hAnsi="宋体"/>
          <w:color w:val="auto"/>
          <w:sz w:val="24"/>
          <w:szCs w:val="24"/>
        </w:rPr>
        <w:t>应商的限制性规定</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（1）供应商应当无不良信用记录。</w:t>
      </w:r>
      <w:r>
        <w:rPr>
          <w:rFonts w:ascii="宋体" w:hAnsi="宋体"/>
          <w:color w:val="auto"/>
          <w:sz w:val="24"/>
          <w:szCs w:val="24"/>
        </w:rPr>
        <w:t>(</w:t>
      </w:r>
      <w:r>
        <w:rPr>
          <w:rFonts w:hint="eastAsia" w:ascii="宋体" w:hAnsi="宋体"/>
          <w:color w:val="auto"/>
          <w:sz w:val="24"/>
          <w:szCs w:val="24"/>
        </w:rPr>
        <w:t>在“信用中国”</w:t>
      </w:r>
      <w:r>
        <w:rPr>
          <w:rFonts w:ascii="宋体" w:hAnsi="宋体"/>
          <w:color w:val="auto"/>
          <w:sz w:val="24"/>
          <w:szCs w:val="24"/>
        </w:rPr>
        <w:t>&lt;www.creditchina.gov.cn&gt;</w:t>
      </w:r>
      <w:r>
        <w:rPr>
          <w:rFonts w:hint="eastAsia" w:ascii="宋体" w:hAnsi="宋体"/>
          <w:color w:val="auto"/>
          <w:sz w:val="24"/>
          <w:szCs w:val="24"/>
        </w:rPr>
        <w:t>网站的“失信被执行人”和“重大税收违法失信主体”及“中国政府采购网”</w:t>
      </w:r>
      <w:r>
        <w:rPr>
          <w:rFonts w:ascii="宋体" w:hAnsi="宋体"/>
          <w:color w:val="auto"/>
          <w:sz w:val="24"/>
          <w:szCs w:val="24"/>
        </w:rPr>
        <w:t>&lt;www.ccgp.gov.cn&gt;</w:t>
      </w:r>
      <w:r>
        <w:rPr>
          <w:rFonts w:hint="eastAsia" w:ascii="宋体" w:hAnsi="宋体"/>
          <w:color w:val="auto"/>
          <w:sz w:val="24"/>
          <w:szCs w:val="24"/>
        </w:rPr>
        <w:t>网站的“政府采购严重违法失信行为记录名单”</w:t>
      </w:r>
      <w:r>
        <w:rPr>
          <w:rFonts w:hint="eastAsia" w:ascii="宋体" w:hAnsi="宋体"/>
          <w:b/>
          <w:color w:val="auto"/>
          <w:sz w:val="24"/>
          <w:szCs w:val="24"/>
        </w:rPr>
        <w:t>均未列入</w:t>
      </w:r>
      <w:r>
        <w:rPr>
          <w:rFonts w:ascii="宋体" w:hAnsi="宋体"/>
          <w:color w:val="auto"/>
          <w:sz w:val="24"/>
          <w:szCs w:val="24"/>
        </w:rPr>
        <w:t>)</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供应商递交《响应文件》后，采购人或者采购代理机构将按以上信用信息查询渠道在解密《响应文件》之前对参加本项目的供应商信用记录进行查询，供应商有上述任一不良信用记录的，其</w:t>
      </w:r>
      <w:r>
        <w:rPr>
          <w:rFonts w:ascii="宋体" w:hAnsi="宋体"/>
          <w:color w:val="auto"/>
          <w:sz w:val="24"/>
          <w:szCs w:val="24"/>
        </w:rPr>
        <w:t>投标将被</w:t>
      </w:r>
      <w:r>
        <w:rPr>
          <w:rFonts w:hint="eastAsia" w:ascii="宋体" w:hAnsi="宋体"/>
          <w:color w:val="auto"/>
          <w:sz w:val="24"/>
          <w:szCs w:val="24"/>
        </w:rPr>
        <w:t>拒</w:t>
      </w:r>
      <w:r>
        <w:rPr>
          <w:rFonts w:ascii="宋体" w:hAnsi="宋体"/>
          <w:color w:val="auto"/>
          <w:sz w:val="24"/>
          <w:szCs w:val="24"/>
        </w:rPr>
        <w:t>绝</w:t>
      </w:r>
      <w:r>
        <w:rPr>
          <w:rFonts w:hint="eastAsia" w:ascii="宋体" w:hAnsi="宋体"/>
          <w:color w:val="auto"/>
          <w:sz w:val="24"/>
          <w:szCs w:val="24"/>
        </w:rPr>
        <w:t>、</w:t>
      </w:r>
      <w:r>
        <w:rPr>
          <w:rFonts w:ascii="宋体" w:hAnsi="宋体"/>
          <w:color w:val="auto"/>
          <w:sz w:val="24"/>
          <w:szCs w:val="24"/>
        </w:rPr>
        <w:t>为无效投</w:t>
      </w:r>
      <w:r>
        <w:rPr>
          <w:rFonts w:hint="eastAsia" w:ascii="宋体" w:hAnsi="宋体"/>
          <w:color w:val="auto"/>
          <w:sz w:val="24"/>
          <w:szCs w:val="24"/>
        </w:rPr>
        <w:t>标。查询的网页内容将以截图或者拍照作为证据留存。</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单位负责人为同一人或者存在直接控股、管理关系的不同供应商，不得参加本合同项下的政府采购活动。供应商自行承诺并承担后果，承诺书不实的，按《政府采购法》有关提供虚假材料的有关规定给予处罚</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3）为本采购项目提供整体设计、规范编制或者项目管理、监理、检测等服务的供应商，不得再参加本采购项目。供应商自行承诺并承担后果，承诺书不实的，按《政府采购法》有关提供虚假材料的有关规定给予处罚。</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2.3.3项目的特定资格要求：</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（1）具有建筑工程施工总承包三级及以上或建筑装饰装修工程专业承包二级及以上资质，及有效的安全生产许可证。■提供相应证书。</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拟派项目经理须具有建筑工程专业贰级及以上注册建造师证书，并具备有效的安全生产考核合格证，项目经理承诺无在建并保证整个施工期间在本项目施工现场。■提供相应证书、为其缴纳社保的证明和无在建承诺函。</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（3）具备法律、行政法规规定的其他条件。</w:t>
      </w:r>
    </w:p>
    <w:p>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（4）本项目（是/否）接受联合体投标：同“项目基本情况”1.7款要求。</w:t>
      </w:r>
    </w:p>
    <w:p>
      <w:pPr>
        <w:widowControl w:val="0"/>
        <w:adjustRightInd w:val="0"/>
        <w:spacing w:beforeLines="50" w:line="300" w:lineRule="auto"/>
        <w:ind w:firstLine="540" w:firstLineChars="225"/>
        <w:rPr>
          <w:color w:val="auto"/>
          <w:sz w:val="24"/>
          <w:szCs w:val="24"/>
        </w:rPr>
      </w:pPr>
      <w:r>
        <w:rPr>
          <w:rFonts w:hint="eastAsia"/>
          <w:color w:val="auto"/>
          <w:sz w:val="24"/>
          <w:szCs w:val="24"/>
        </w:rPr>
        <w:t>注：（1）所有证照均应为有效的证照；文中“近”、“前”指距投标截止时间。</w:t>
      </w:r>
    </w:p>
    <w:p>
      <w:pPr>
        <w:widowControl w:val="0"/>
        <w:adjustRightInd w:val="0"/>
        <w:spacing w:beforeLines="50" w:line="300" w:lineRule="auto"/>
        <w:ind w:firstLine="540" w:firstLineChars="225"/>
        <w:rPr>
          <w:color w:val="auto"/>
          <w:sz w:val="24"/>
          <w:szCs w:val="24"/>
        </w:rPr>
      </w:pPr>
      <w:r>
        <w:rPr>
          <w:rFonts w:hint="eastAsia"/>
          <w:color w:val="auto"/>
          <w:sz w:val="24"/>
          <w:szCs w:val="24"/>
        </w:rPr>
        <w:t>（2）资格证明材料（文件）应附于《响应文件》中并经供应商</w:t>
      </w:r>
      <w:r>
        <w:rPr>
          <w:rFonts w:hint="eastAsia" w:ascii="宋体" w:hAnsi="宋体" w:cs="楷体_GB2312"/>
          <w:color w:val="auto"/>
          <w:sz w:val="24"/>
        </w:rPr>
        <w:t>电子签章</w:t>
      </w:r>
      <w:r>
        <w:rPr>
          <w:rFonts w:hint="eastAsia"/>
          <w:color w:val="auto"/>
          <w:sz w:val="24"/>
          <w:szCs w:val="24"/>
        </w:rPr>
        <w:t>。供应商对资格证明文件真实性有效合规承担责任，提供虚假材料的为无效投标并将进一步追究其责任。</w:t>
      </w:r>
    </w:p>
    <w:p>
      <w:pPr>
        <w:pStyle w:val="16"/>
        <w:shd w:val="clear" w:color="auto" w:fill="FFFFFF"/>
        <w:adjustRightInd w:val="0"/>
        <w:spacing w:before="50" w:beforeAutospacing="0" w:after="0" w:afterAutospacing="0" w:line="300" w:lineRule="auto"/>
        <w:ind w:firstLine="540" w:firstLineChars="225"/>
        <w:rPr>
          <w:color w:val="auto"/>
        </w:rPr>
      </w:pPr>
      <w:r>
        <w:rPr>
          <w:rFonts w:hint="eastAsia"/>
          <w:color w:val="auto"/>
        </w:rPr>
        <w:t>（3）本项目采取资格后审，开标后，将由磋商小组对供应商的资格证明材料（文件）进行资格审核，未按要求逐一提供、或资格审查不合格的为无效投标，供应商应自负其风险费用。</w:t>
      </w:r>
    </w:p>
    <w:p>
      <w:pPr>
        <w:pStyle w:val="16"/>
        <w:shd w:val="clear" w:color="auto" w:fill="FFFFFF"/>
        <w:adjustRightInd w:val="0"/>
        <w:spacing w:before="50" w:beforeAutospacing="0" w:after="0" w:afterAutospacing="0" w:line="300" w:lineRule="auto"/>
        <w:rPr>
          <w:b/>
          <w:color w:val="auto"/>
        </w:rPr>
      </w:pPr>
    </w:p>
    <w:p>
      <w:pPr>
        <w:widowControl w:val="0"/>
        <w:snapToGrid w:val="0"/>
        <w:spacing w:line="360" w:lineRule="auto"/>
        <w:ind w:firstLine="562" w:firstLineChars="200"/>
        <w:rPr>
          <w:rFonts w:ascii="黑体" w:hAnsi="黑体" w:eastAsia="黑体"/>
          <w:b/>
          <w:color w:val="auto"/>
          <w:sz w:val="28"/>
          <w:szCs w:val="28"/>
        </w:rPr>
      </w:pPr>
      <w:r>
        <w:rPr>
          <w:rFonts w:ascii="黑体" w:hAnsi="黑体" w:eastAsia="黑体"/>
          <w:b/>
          <w:color w:val="auto"/>
          <w:sz w:val="28"/>
          <w:szCs w:val="28"/>
        </w:rPr>
        <w:t>3</w:t>
      </w:r>
      <w:r>
        <w:rPr>
          <w:rFonts w:hint="eastAsia" w:ascii="黑体" w:hAnsi="黑体" w:eastAsia="黑体"/>
          <w:b/>
          <w:color w:val="auto"/>
          <w:sz w:val="28"/>
          <w:szCs w:val="28"/>
        </w:rPr>
        <w:t>．获取磋商文件</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3.1 本次磋商文件在网上获取，登录安阳市公共资源交易中心网 (https：//xwz.ggzy.anyang.gov.cn：3720/ayggzy/)”,</w:t>
      </w:r>
      <w:r>
        <w:rPr>
          <w:rFonts w:ascii="宋体" w:hAnsi="宋体"/>
          <w:color w:val="auto"/>
          <w:sz w:val="24"/>
          <w:szCs w:val="24"/>
        </w:rPr>
        <w:t xml:space="preserve"> </w:t>
      </w:r>
      <w:r>
        <w:rPr>
          <w:rFonts w:hint="eastAsia" w:ascii="宋体" w:hAnsi="宋体"/>
          <w:color w:val="auto"/>
          <w:sz w:val="24"/>
          <w:szCs w:val="24"/>
        </w:rPr>
        <w:t>在【交易主体登录】入口完成注册。注册手册详见登录页面的手册下载。注册完成后选择项目填写联系人信息后下载文件。</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3.2 凡有意参加投标者，请于2024年</w:t>
      </w:r>
      <w:r>
        <w:rPr>
          <w:rFonts w:hint="eastAsia" w:ascii="宋体" w:hAnsi="宋体"/>
          <w:color w:val="auto"/>
          <w:sz w:val="24"/>
          <w:szCs w:val="24"/>
          <w:lang w:val="en-US" w:eastAsia="zh-CN"/>
        </w:rPr>
        <w:t>7</w:t>
      </w:r>
      <w:r>
        <w:rPr>
          <w:rFonts w:hint="eastAsia" w:ascii="宋体" w:hAnsi="宋体"/>
          <w:color w:val="auto"/>
          <w:sz w:val="24"/>
          <w:szCs w:val="24"/>
        </w:rPr>
        <w:t>月</w:t>
      </w:r>
      <w:r>
        <w:rPr>
          <w:rFonts w:hint="eastAsia" w:ascii="宋体" w:hAnsi="宋体"/>
          <w:color w:val="auto"/>
          <w:sz w:val="24"/>
          <w:szCs w:val="24"/>
          <w:lang w:val="en-US" w:eastAsia="zh-CN"/>
        </w:rPr>
        <w:t>12</w:t>
      </w:r>
      <w:r>
        <w:rPr>
          <w:rFonts w:hint="eastAsia" w:ascii="宋体" w:hAnsi="宋体"/>
          <w:color w:val="auto"/>
          <w:sz w:val="24"/>
          <w:szCs w:val="24"/>
        </w:rPr>
        <w:t>日00时00分至2024年</w:t>
      </w:r>
      <w:r>
        <w:rPr>
          <w:rFonts w:hint="eastAsia" w:ascii="宋体" w:hAnsi="宋体"/>
          <w:color w:val="auto"/>
          <w:sz w:val="24"/>
          <w:szCs w:val="24"/>
          <w:lang w:val="en-US" w:eastAsia="zh-CN"/>
        </w:rPr>
        <w:t>7</w:t>
      </w:r>
      <w:r>
        <w:rPr>
          <w:rFonts w:hint="eastAsia" w:ascii="宋体" w:hAnsi="宋体"/>
          <w:color w:val="auto"/>
          <w:sz w:val="24"/>
          <w:szCs w:val="24"/>
        </w:rPr>
        <w:t>月</w:t>
      </w:r>
      <w:r>
        <w:rPr>
          <w:rFonts w:hint="eastAsia" w:ascii="宋体" w:hAnsi="宋体"/>
          <w:color w:val="auto"/>
          <w:sz w:val="24"/>
          <w:szCs w:val="24"/>
          <w:lang w:val="en-US" w:eastAsia="zh-CN"/>
        </w:rPr>
        <w:t>18</w:t>
      </w:r>
      <w:r>
        <w:rPr>
          <w:rFonts w:hint="eastAsia" w:ascii="宋体" w:hAnsi="宋体"/>
          <w:color w:val="auto"/>
          <w:sz w:val="24"/>
          <w:szCs w:val="24"/>
        </w:rPr>
        <w:t>日23时59分前登录“安阳市公共资源交易中心网站（https：//xwz.ggzy.anyang.gov.cn：3720/ayggzy/）”，凭数字证书下载磋商文件（1、格式为*.ayzf的文件；2、格式为*.aybf的拦标价文件）。注：该项目的磋商文件以该文件为准。不要用格式为*.ZBJ 、*.BDS及*.ZBS的文件制作投标文件）。</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3.3 获取磋商文件后，请到安阳市公共资源交易中心网站（https：//xwz.ggzy.anyang.gov.cn：3720/ayggzy/）下载并安装投标文件制作工具，查看磋商文件和制作电子投标文件。如有技术问题请咨询400-998-0000、0372-3387739。</w:t>
      </w:r>
    </w:p>
    <w:p>
      <w:pPr>
        <w:widowControl w:val="0"/>
        <w:snapToGrid w:val="0"/>
        <w:spacing w:line="360" w:lineRule="auto"/>
        <w:rPr>
          <w:color w:val="auto"/>
          <w:sz w:val="24"/>
          <w:szCs w:val="24"/>
        </w:rPr>
      </w:pPr>
    </w:p>
    <w:p>
      <w:pPr>
        <w:widowControl w:val="0"/>
        <w:snapToGrid w:val="0"/>
        <w:spacing w:line="360" w:lineRule="auto"/>
        <w:ind w:firstLine="562" w:firstLineChars="200"/>
        <w:rPr>
          <w:rFonts w:ascii="黑体" w:hAnsi="黑体" w:eastAsia="黑体"/>
          <w:b/>
          <w:color w:val="auto"/>
          <w:sz w:val="28"/>
          <w:szCs w:val="28"/>
        </w:rPr>
      </w:pPr>
      <w:r>
        <w:rPr>
          <w:rFonts w:ascii="黑体" w:hAnsi="黑体" w:eastAsia="黑体"/>
          <w:b/>
          <w:color w:val="auto"/>
          <w:sz w:val="28"/>
          <w:szCs w:val="28"/>
        </w:rPr>
        <w:t>4</w:t>
      </w:r>
      <w:r>
        <w:rPr>
          <w:rFonts w:hint="eastAsia" w:ascii="黑体" w:hAnsi="黑体" w:eastAsia="黑体"/>
          <w:b/>
          <w:color w:val="auto"/>
          <w:sz w:val="28"/>
          <w:szCs w:val="28"/>
        </w:rPr>
        <w:t>.首次响应文件提交</w:t>
      </w:r>
    </w:p>
    <w:p>
      <w:pPr>
        <w:spacing w:line="360" w:lineRule="auto"/>
        <w:ind w:firstLine="480" w:firstLineChars="200"/>
        <w:rPr>
          <w:rFonts w:ascii="宋体" w:hAnsi="宋体"/>
          <w:color w:val="auto"/>
          <w:sz w:val="24"/>
          <w:szCs w:val="24"/>
        </w:rPr>
      </w:pPr>
      <w:r>
        <w:rPr>
          <w:rFonts w:ascii="宋体" w:hAnsi="宋体"/>
          <w:color w:val="auto"/>
          <w:sz w:val="24"/>
          <w:szCs w:val="24"/>
        </w:rPr>
        <w:t>4.1</w:t>
      </w:r>
      <w:r>
        <w:rPr>
          <w:rFonts w:hint="eastAsia" w:ascii="宋体" w:hAnsi="宋体"/>
          <w:color w:val="auto"/>
          <w:sz w:val="24"/>
          <w:szCs w:val="24"/>
        </w:rPr>
        <w:t>截止时间：</w:t>
      </w:r>
      <w:r>
        <w:rPr>
          <w:rFonts w:ascii="宋体" w:hAnsi="宋体"/>
          <w:color w:val="auto"/>
          <w:sz w:val="24"/>
          <w:szCs w:val="24"/>
        </w:rPr>
        <w:t>2024</w:t>
      </w:r>
      <w:r>
        <w:rPr>
          <w:rFonts w:hint="eastAsia" w:ascii="宋体" w:hAnsi="宋体"/>
          <w:color w:val="auto"/>
          <w:sz w:val="24"/>
          <w:szCs w:val="24"/>
        </w:rPr>
        <w:t>年7月</w:t>
      </w:r>
      <w:r>
        <w:rPr>
          <w:rFonts w:hint="eastAsia" w:ascii="宋体" w:hAnsi="宋体"/>
          <w:color w:val="auto"/>
          <w:sz w:val="24"/>
          <w:szCs w:val="24"/>
          <w:lang w:val="en-US" w:eastAsia="zh-CN"/>
        </w:rPr>
        <w:t>2</w:t>
      </w:r>
      <w:r>
        <w:rPr>
          <w:rFonts w:hint="eastAsia" w:ascii="宋体" w:hAnsi="宋体"/>
          <w:color w:val="auto"/>
          <w:sz w:val="24"/>
          <w:szCs w:val="24"/>
        </w:rPr>
        <w:t>2日</w:t>
      </w:r>
      <w:r>
        <w:rPr>
          <w:rFonts w:ascii="宋体" w:hAnsi="宋体"/>
          <w:color w:val="auto"/>
          <w:sz w:val="24"/>
          <w:szCs w:val="24"/>
        </w:rPr>
        <w:t>09</w:t>
      </w:r>
      <w:r>
        <w:rPr>
          <w:rFonts w:hint="eastAsia" w:ascii="宋体" w:hAnsi="宋体"/>
          <w:color w:val="auto"/>
          <w:sz w:val="24"/>
          <w:szCs w:val="24"/>
        </w:rPr>
        <w:t>时</w:t>
      </w:r>
      <w:r>
        <w:rPr>
          <w:rFonts w:ascii="宋体" w:hAnsi="宋体"/>
          <w:color w:val="auto"/>
          <w:sz w:val="24"/>
          <w:szCs w:val="24"/>
        </w:rPr>
        <w:t>00</w:t>
      </w:r>
      <w:r>
        <w:rPr>
          <w:rFonts w:hint="eastAsia" w:ascii="宋体" w:hAnsi="宋体"/>
          <w:color w:val="auto"/>
          <w:sz w:val="24"/>
          <w:szCs w:val="24"/>
        </w:rPr>
        <w:t>分（北京时间）</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4.2地点：供应商应在投标截止时间前上传加密的电子投标文件（*.aytf）到安阳市公共资源交易平台。上传时供应商须使用制作该投标文件的同一CA锁进行上传操作。请供应商在上传时认真检查上传投标文件是否完整、正确。供应商应充分考虑上传文件时的不可预见因素，未在投标截止时间前完成上传的，视为逾期送达，安阳市公共资源交易平台将拒绝接收。</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4.3逾期送达的或者未送达指定地点的投标文件，采购人不予受理。</w:t>
      </w:r>
    </w:p>
    <w:p>
      <w:pPr>
        <w:widowControl w:val="0"/>
        <w:adjustRightInd w:val="0"/>
        <w:spacing w:beforeLines="50" w:line="300" w:lineRule="auto"/>
        <w:ind w:firstLine="472" w:firstLineChars="225"/>
        <w:rPr>
          <w:rFonts w:ascii="微软雅黑" w:hAnsi="微软雅黑" w:eastAsia="微软雅黑"/>
          <w:color w:val="auto"/>
          <w:szCs w:val="21"/>
        </w:rPr>
      </w:pP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5.首次响应文件开启</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5.1时间：</w:t>
      </w:r>
      <w:r>
        <w:rPr>
          <w:rFonts w:ascii="宋体" w:hAnsi="宋体"/>
          <w:color w:val="auto"/>
          <w:sz w:val="24"/>
          <w:szCs w:val="24"/>
        </w:rPr>
        <w:t>2024</w:t>
      </w:r>
      <w:r>
        <w:rPr>
          <w:rFonts w:hint="eastAsia" w:ascii="宋体" w:hAnsi="宋体"/>
          <w:color w:val="auto"/>
          <w:sz w:val="24"/>
          <w:szCs w:val="24"/>
        </w:rPr>
        <w:t>年7月</w:t>
      </w:r>
      <w:r>
        <w:rPr>
          <w:rFonts w:hint="eastAsia" w:ascii="宋体" w:hAnsi="宋体"/>
          <w:color w:val="auto"/>
          <w:sz w:val="24"/>
          <w:szCs w:val="24"/>
          <w:lang w:val="en-US" w:eastAsia="zh-CN"/>
        </w:rPr>
        <w:t>2</w:t>
      </w:r>
      <w:r>
        <w:rPr>
          <w:rFonts w:hint="eastAsia" w:ascii="宋体" w:hAnsi="宋体"/>
          <w:color w:val="auto"/>
          <w:sz w:val="24"/>
          <w:szCs w:val="24"/>
        </w:rPr>
        <w:t>2日</w:t>
      </w:r>
      <w:r>
        <w:rPr>
          <w:rFonts w:ascii="宋体" w:hAnsi="宋体"/>
          <w:color w:val="auto"/>
          <w:sz w:val="24"/>
          <w:szCs w:val="24"/>
        </w:rPr>
        <w:t>09</w:t>
      </w:r>
      <w:r>
        <w:rPr>
          <w:rFonts w:hint="eastAsia" w:ascii="宋体" w:hAnsi="宋体"/>
          <w:color w:val="auto"/>
          <w:sz w:val="24"/>
          <w:szCs w:val="24"/>
        </w:rPr>
        <w:t>时</w:t>
      </w:r>
      <w:r>
        <w:rPr>
          <w:rFonts w:ascii="宋体" w:hAnsi="宋体"/>
          <w:color w:val="auto"/>
          <w:sz w:val="24"/>
          <w:szCs w:val="24"/>
        </w:rPr>
        <w:t>00</w:t>
      </w:r>
      <w:r>
        <w:rPr>
          <w:rFonts w:hint="eastAsia" w:ascii="宋体" w:hAnsi="宋体"/>
          <w:color w:val="auto"/>
          <w:sz w:val="24"/>
          <w:szCs w:val="24"/>
        </w:rPr>
        <w:t>分（北京时间）</w:t>
      </w:r>
    </w:p>
    <w:p>
      <w:pPr>
        <w:spacing w:line="360" w:lineRule="auto"/>
        <w:ind w:firstLine="480" w:firstLineChars="200"/>
        <w:rPr>
          <w:rFonts w:ascii="宋体" w:hAnsi="宋体"/>
          <w:color w:val="auto"/>
          <w:sz w:val="24"/>
          <w:szCs w:val="24"/>
        </w:rPr>
      </w:pPr>
      <w:r>
        <w:rPr>
          <w:rFonts w:ascii="宋体" w:hAnsi="宋体"/>
          <w:color w:val="auto"/>
          <w:sz w:val="24"/>
          <w:szCs w:val="24"/>
        </w:rPr>
        <w:t>5.2</w:t>
      </w:r>
      <w:r>
        <w:rPr>
          <w:rFonts w:hint="eastAsia" w:ascii="宋体" w:hAnsi="宋体"/>
          <w:color w:val="auto"/>
          <w:sz w:val="24"/>
          <w:szCs w:val="24"/>
        </w:rPr>
        <w:t>地点（管理员网上操作地点）：安阳市公共资源交易中心五楼集中开标大厅</w:t>
      </w:r>
      <w:r>
        <w:rPr>
          <w:rFonts w:hint="eastAsia" w:ascii="宋体" w:hAnsi="宋体"/>
          <w:color w:val="auto"/>
          <w:sz w:val="24"/>
          <w:szCs w:val="24"/>
          <w:lang w:val="en-US" w:eastAsia="zh-CN"/>
        </w:rPr>
        <w:t>4</w:t>
      </w:r>
      <w:r>
        <w:rPr>
          <w:rFonts w:hint="eastAsia" w:ascii="宋体" w:hAnsi="宋体"/>
          <w:color w:val="auto"/>
          <w:sz w:val="24"/>
          <w:szCs w:val="24"/>
        </w:rPr>
        <w:t>室（安阳市文峰大道东段</w:t>
      </w:r>
      <w:r>
        <w:rPr>
          <w:rFonts w:ascii="宋体" w:hAnsi="宋体"/>
          <w:color w:val="auto"/>
          <w:sz w:val="24"/>
          <w:szCs w:val="24"/>
        </w:rPr>
        <w:t>559</w:t>
      </w:r>
      <w:r>
        <w:rPr>
          <w:rFonts w:hint="eastAsia" w:ascii="宋体" w:hAnsi="宋体"/>
          <w:color w:val="auto"/>
          <w:sz w:val="24"/>
          <w:szCs w:val="24"/>
        </w:rPr>
        <w:t>号安阳市民之家）。</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5.3本项目采用远程不见面交易的模式，开标当日，供应商无需到开标现场参加开标会议，供应商应当在投标截止时间前，使用IE浏览器登录到安阳市公共资源交易不见面开标大厅，点击右上方【登录】按钮进入，在线准时参加开标活动并进行投标文件解密等。因供应商原因未能解密、解密失败或解密超时的将被拒绝。</w:t>
      </w:r>
    </w:p>
    <w:p>
      <w:pPr>
        <w:widowControl w:val="0"/>
        <w:snapToGrid w:val="0"/>
        <w:spacing w:line="360" w:lineRule="auto"/>
        <w:ind w:firstLine="562" w:firstLineChars="200"/>
        <w:rPr>
          <w:rFonts w:ascii="黑体" w:hAnsi="黑体" w:eastAsia="黑体"/>
          <w:b/>
          <w:color w:val="auto"/>
          <w:sz w:val="28"/>
          <w:szCs w:val="28"/>
        </w:rPr>
      </w:pP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6.</w:t>
      </w:r>
      <w:r>
        <w:rPr>
          <w:rFonts w:hint="eastAsia"/>
          <w:color w:val="auto"/>
        </w:rPr>
        <w:t xml:space="preserve"> </w:t>
      </w:r>
      <w:r>
        <w:rPr>
          <w:rFonts w:hint="eastAsia" w:ascii="黑体" w:hAnsi="黑体" w:eastAsia="黑体"/>
          <w:b/>
          <w:color w:val="auto"/>
          <w:sz w:val="28"/>
          <w:szCs w:val="28"/>
        </w:rPr>
        <w:t>发布公告的媒介及公告期限</w:t>
      </w:r>
    </w:p>
    <w:p>
      <w:pPr>
        <w:widowControl w:val="0"/>
        <w:tabs>
          <w:tab w:val="left" w:pos="39"/>
          <w:tab w:val="left" w:pos="96"/>
        </w:tabs>
        <w:snapToGrid w:val="0"/>
        <w:spacing w:line="360" w:lineRule="auto"/>
        <w:ind w:firstLine="566" w:firstLineChars="236"/>
        <w:rPr>
          <w:rFonts w:ascii="宋体" w:hAnsi="宋体"/>
          <w:color w:val="auto"/>
          <w:sz w:val="24"/>
          <w:szCs w:val="24"/>
        </w:rPr>
      </w:pPr>
      <w:r>
        <w:rPr>
          <w:rFonts w:hint="eastAsia" w:ascii="宋体" w:hAnsi="宋体"/>
          <w:color w:val="auto"/>
          <w:sz w:val="24"/>
          <w:szCs w:val="24"/>
        </w:rPr>
        <w:t>本项目在“河南省政府采购网（安阳市政府采购网）</w:t>
      </w:r>
      <w:r>
        <w:rPr>
          <w:rFonts w:ascii="宋体" w:hAnsi="宋体"/>
          <w:color w:val="auto"/>
          <w:sz w:val="24"/>
          <w:szCs w:val="24"/>
        </w:rPr>
        <w:t>https</w:t>
      </w:r>
      <w:r>
        <w:rPr>
          <w:rFonts w:hint="eastAsia" w:ascii="宋体" w:hAnsi="宋体"/>
          <w:color w:val="auto"/>
          <w:sz w:val="24"/>
          <w:szCs w:val="24"/>
        </w:rPr>
        <w:t>：</w:t>
      </w:r>
      <w:r>
        <w:rPr>
          <w:rFonts w:ascii="宋体" w:hAnsi="宋体"/>
          <w:color w:val="auto"/>
          <w:sz w:val="24"/>
          <w:szCs w:val="24"/>
        </w:rPr>
        <w:t>//</w:t>
      </w:r>
      <w:r>
        <w:rPr>
          <w:color w:val="auto"/>
          <w:sz w:val="24"/>
          <w:szCs w:val="24"/>
        </w:rPr>
        <w:t>zfcg.henan.gov.cn</w:t>
      </w:r>
      <w:r>
        <w:rPr>
          <w:rFonts w:hint="eastAsia" w:ascii="宋体" w:hAnsi="宋体"/>
          <w:color w:val="auto"/>
          <w:sz w:val="24"/>
          <w:szCs w:val="24"/>
        </w:rPr>
        <w:t>”、 “安阳市公共资源交易中心网</w:t>
      </w:r>
      <w:r>
        <w:rPr>
          <w:color w:val="auto"/>
          <w:sz w:val="24"/>
          <w:szCs w:val="24"/>
        </w:rPr>
        <w:t>https</w:t>
      </w:r>
      <w:r>
        <w:rPr>
          <w:rFonts w:hint="eastAsia"/>
          <w:color w:val="auto"/>
          <w:sz w:val="24"/>
          <w:szCs w:val="24"/>
        </w:rPr>
        <w:t>：</w:t>
      </w:r>
      <w:r>
        <w:rPr>
          <w:color w:val="auto"/>
          <w:sz w:val="24"/>
          <w:szCs w:val="24"/>
        </w:rPr>
        <w:t>//xwz.ggzy.anyang.gov.cn</w:t>
      </w:r>
      <w:r>
        <w:rPr>
          <w:rFonts w:hint="eastAsia"/>
          <w:color w:val="auto"/>
          <w:sz w:val="24"/>
          <w:szCs w:val="24"/>
        </w:rPr>
        <w:t>：</w:t>
      </w:r>
      <w:r>
        <w:rPr>
          <w:color w:val="auto"/>
          <w:sz w:val="24"/>
          <w:szCs w:val="24"/>
        </w:rPr>
        <w:t>3720/ayggzy/</w:t>
      </w:r>
      <w:r>
        <w:rPr>
          <w:rFonts w:hint="eastAsia" w:ascii="宋体" w:hAnsi="宋体"/>
          <w:color w:val="auto"/>
          <w:sz w:val="24"/>
          <w:szCs w:val="24"/>
        </w:rPr>
        <w:t>”</w:t>
      </w:r>
      <w:r>
        <w:rPr>
          <w:rFonts w:hint="eastAsia" w:ascii="宋体" w:hAnsi="宋体" w:cs="宋体"/>
          <w:color w:val="auto"/>
          <w:sz w:val="24"/>
          <w:szCs w:val="24"/>
        </w:rPr>
        <w:t>、</w:t>
      </w:r>
      <w:r>
        <w:rPr>
          <w:rFonts w:hint="eastAsia" w:ascii="宋体" w:hAnsi="宋体"/>
          <w:color w:val="auto"/>
          <w:sz w:val="24"/>
          <w:szCs w:val="24"/>
        </w:rPr>
        <w:t>“安阳招标采购网</w:t>
      </w:r>
      <w:r>
        <w:rPr>
          <w:color w:val="auto"/>
          <w:sz w:val="24"/>
          <w:szCs w:val="24"/>
        </w:rPr>
        <w:t>http</w:t>
      </w:r>
      <w:r>
        <w:rPr>
          <w:rFonts w:hint="eastAsia"/>
          <w:color w:val="auto"/>
          <w:sz w:val="24"/>
          <w:szCs w:val="24"/>
        </w:rPr>
        <w:t>：</w:t>
      </w:r>
      <w:r>
        <w:rPr>
          <w:color w:val="auto"/>
          <w:sz w:val="24"/>
          <w:szCs w:val="24"/>
        </w:rPr>
        <w:t>//www.ayzbcg.com</w:t>
      </w:r>
      <w:r>
        <w:rPr>
          <w:rFonts w:hint="eastAsia" w:ascii="宋体" w:hAnsi="宋体"/>
          <w:color w:val="auto"/>
          <w:sz w:val="24"/>
          <w:szCs w:val="24"/>
        </w:rPr>
        <w:t>”网站上同期发布。公告期限为三个工作日</w:t>
      </w:r>
      <w:r>
        <w:rPr>
          <w:rFonts w:hint="eastAsia" w:ascii="宋体" w:hAnsi="宋体" w:cs="宋体"/>
          <w:color w:val="auto"/>
          <w:sz w:val="24"/>
          <w:szCs w:val="24"/>
        </w:rPr>
        <w:t>。</w:t>
      </w:r>
    </w:p>
    <w:p>
      <w:pPr>
        <w:widowControl w:val="0"/>
        <w:tabs>
          <w:tab w:val="left" w:pos="39"/>
          <w:tab w:val="left" w:pos="96"/>
        </w:tabs>
        <w:snapToGrid w:val="0"/>
        <w:spacing w:line="360" w:lineRule="auto"/>
        <w:ind w:firstLine="566" w:firstLineChars="236"/>
        <w:rPr>
          <w:rFonts w:ascii="宋体" w:hAnsi="宋体" w:cs="宋体"/>
          <w:color w:val="auto"/>
          <w:sz w:val="24"/>
          <w:szCs w:val="24"/>
        </w:rPr>
      </w:pPr>
    </w:p>
    <w:p>
      <w:pPr>
        <w:widowControl w:val="0"/>
        <w:tabs>
          <w:tab w:val="left" w:pos="39"/>
          <w:tab w:val="left" w:pos="96"/>
        </w:tabs>
        <w:snapToGrid w:val="0"/>
        <w:spacing w:line="360" w:lineRule="auto"/>
        <w:ind w:firstLine="663" w:firstLineChars="236"/>
        <w:rPr>
          <w:rFonts w:ascii="黑体" w:hAnsi="黑体" w:eastAsia="黑体"/>
          <w:b/>
          <w:color w:val="auto"/>
          <w:sz w:val="28"/>
          <w:szCs w:val="28"/>
        </w:rPr>
      </w:pPr>
      <w:r>
        <w:rPr>
          <w:rFonts w:hint="eastAsia" w:ascii="黑体" w:hAnsi="黑体" w:eastAsia="黑体"/>
          <w:b/>
          <w:color w:val="auto"/>
          <w:sz w:val="28"/>
          <w:szCs w:val="28"/>
        </w:rPr>
        <w:t>7. 其他补充事宜</w:t>
      </w:r>
    </w:p>
    <w:p>
      <w:pPr>
        <w:widowControl w:val="0"/>
        <w:snapToGrid w:val="0"/>
        <w:spacing w:line="360" w:lineRule="auto"/>
        <w:ind w:firstLine="540" w:firstLineChars="225"/>
        <w:jc w:val="left"/>
        <w:rPr>
          <w:color w:val="auto"/>
          <w:sz w:val="24"/>
          <w:szCs w:val="24"/>
        </w:rPr>
      </w:pPr>
      <w:r>
        <w:rPr>
          <w:rFonts w:hint="eastAsia" w:ascii="宋体" w:hAnsi="宋体"/>
          <w:color w:val="auto"/>
          <w:sz w:val="24"/>
          <w:szCs w:val="24"/>
        </w:rPr>
        <w:t>7.1项目落实的政府采购政策：</w:t>
      </w:r>
      <w:r>
        <w:rPr>
          <w:rFonts w:hint="eastAsia"/>
          <w:color w:val="auto"/>
          <w:sz w:val="24"/>
          <w:szCs w:val="24"/>
        </w:rPr>
        <w:t>强制节能产品强制采购、节能产品、环境标志产品优先采购、促进中小企业发展扶持政策、进口产品政策、信息安全产品、社会信用体系建设、促进残疾人就业、支持监狱企业发展、</w:t>
      </w:r>
      <w:r>
        <w:rPr>
          <w:rFonts w:hint="eastAsia" w:ascii="宋体" w:hAnsi="宋体"/>
          <w:color w:val="auto"/>
          <w:sz w:val="24"/>
          <w:szCs w:val="24"/>
        </w:rPr>
        <w:t>支持绿色建筑、绿色建材，支持不发达、少数民族地区的企业，促进自主创新产业发展，支持脱贫攻坚等</w:t>
      </w:r>
      <w:r>
        <w:rPr>
          <w:rFonts w:hint="eastAsia"/>
          <w:color w:val="auto"/>
          <w:sz w:val="24"/>
          <w:szCs w:val="24"/>
        </w:rPr>
        <w:t>。</w:t>
      </w:r>
    </w:p>
    <w:p>
      <w:pPr>
        <w:widowControl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7.2政府采购合同融资</w:t>
      </w:r>
    </w:p>
    <w:p>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pPr>
        <w:pStyle w:val="16"/>
        <w:shd w:val="clear" w:color="auto" w:fill="FFFFFF"/>
        <w:adjustRightInd w:val="0"/>
        <w:spacing w:before="50" w:beforeAutospacing="0" w:after="0" w:afterAutospacing="0" w:line="300" w:lineRule="auto"/>
        <w:ind w:firstLine="540" w:firstLineChars="225"/>
        <w:rPr>
          <w:rFonts w:cs="Times New Roman"/>
          <w:color w:val="auto"/>
        </w:rPr>
      </w:pPr>
      <w:r>
        <w:rPr>
          <w:rFonts w:hint="eastAsia"/>
          <w:color w:val="auto"/>
        </w:rPr>
        <w:t>7.3</w:t>
      </w:r>
      <w:r>
        <w:rPr>
          <w:color w:val="auto"/>
        </w:rPr>
        <w:t>.</w:t>
      </w:r>
      <w:r>
        <w:rPr>
          <w:rFonts w:hint="eastAsia" w:cs="Times New Roman"/>
          <w:color w:val="auto"/>
        </w:rPr>
        <w:t>网</w:t>
      </w:r>
      <w:r>
        <w:rPr>
          <w:rFonts w:cs="Times New Roman"/>
          <w:color w:val="auto"/>
        </w:rPr>
        <w:t>上</w:t>
      </w:r>
      <w:r>
        <w:rPr>
          <w:rFonts w:hint="eastAsia" w:cs="Times New Roman"/>
          <w:color w:val="auto"/>
        </w:rPr>
        <w:t>电子交易系</w:t>
      </w:r>
      <w:r>
        <w:rPr>
          <w:rFonts w:cs="Times New Roman"/>
          <w:color w:val="auto"/>
        </w:rPr>
        <w:t>统</w:t>
      </w:r>
      <w:r>
        <w:rPr>
          <w:rFonts w:hint="eastAsia" w:cs="Times New Roman"/>
          <w:color w:val="auto"/>
        </w:rPr>
        <w:t>网</w:t>
      </w:r>
      <w:r>
        <w:rPr>
          <w:rFonts w:cs="Times New Roman"/>
          <w:color w:val="auto"/>
        </w:rPr>
        <w:t>址</w:t>
      </w:r>
    </w:p>
    <w:p>
      <w:pPr>
        <w:widowControl w:val="0"/>
        <w:tabs>
          <w:tab w:val="left" w:pos="39"/>
          <w:tab w:val="left" w:pos="96"/>
        </w:tabs>
        <w:snapToGrid w:val="0"/>
        <w:spacing w:line="360" w:lineRule="auto"/>
        <w:ind w:firstLine="600" w:firstLineChars="250"/>
        <w:rPr>
          <w:rFonts w:ascii="宋体" w:hAnsi="宋体"/>
          <w:color w:val="auto"/>
          <w:sz w:val="24"/>
          <w:szCs w:val="24"/>
        </w:rPr>
      </w:pPr>
      <w:r>
        <w:rPr>
          <w:rFonts w:hint="eastAsia" w:ascii="宋体" w:hAnsi="宋体"/>
          <w:color w:val="auto"/>
          <w:sz w:val="24"/>
          <w:szCs w:val="24"/>
        </w:rPr>
        <w:t>7.3.1全国公共资源交易平</w:t>
      </w:r>
      <w:r>
        <w:rPr>
          <w:rFonts w:ascii="宋体" w:hAnsi="宋体"/>
          <w:color w:val="auto"/>
          <w:sz w:val="24"/>
          <w:szCs w:val="24"/>
        </w:rPr>
        <w:t>台</w:t>
      </w:r>
      <w:r>
        <w:rPr>
          <w:rFonts w:hint="eastAsia" w:ascii="宋体" w:hAnsi="宋体"/>
          <w:color w:val="auto"/>
          <w:sz w:val="24"/>
          <w:szCs w:val="24"/>
        </w:rPr>
        <w:t>（河南</w:t>
      </w:r>
      <w:r>
        <w:rPr>
          <w:rFonts w:ascii="宋体" w:hAnsi="宋体"/>
          <w:color w:val="auto"/>
          <w:sz w:val="24"/>
          <w:szCs w:val="24"/>
        </w:rPr>
        <w:t>省</w:t>
      </w:r>
      <w:r>
        <w:rPr>
          <w:rFonts w:hint="eastAsia" w:ascii="宋体" w:hAnsi="宋体"/>
          <w:color w:val="auto"/>
          <w:sz w:val="24"/>
          <w:szCs w:val="24"/>
        </w:rPr>
        <w:t>安</w:t>
      </w:r>
      <w:r>
        <w:rPr>
          <w:rFonts w:ascii="宋体" w:hAnsi="宋体"/>
          <w:color w:val="auto"/>
          <w:sz w:val="24"/>
          <w:szCs w:val="24"/>
        </w:rPr>
        <w:t>阳</w:t>
      </w:r>
      <w:r>
        <w:rPr>
          <w:rFonts w:hint="eastAsia" w:ascii="宋体" w:hAnsi="宋体"/>
          <w:color w:val="auto"/>
          <w:sz w:val="24"/>
          <w:szCs w:val="24"/>
        </w:rPr>
        <w:t>市</w:t>
      </w:r>
      <w:r>
        <w:rPr>
          <w:rFonts w:ascii="宋体" w:hAnsi="宋体"/>
          <w:color w:val="auto"/>
          <w:sz w:val="24"/>
          <w:szCs w:val="24"/>
        </w:rPr>
        <w:t>）</w:t>
      </w:r>
      <w:r>
        <w:rPr>
          <w:rFonts w:ascii="宋体" w:hAnsi="宋体"/>
          <w:bCs/>
          <w:color w:val="auto"/>
          <w:sz w:val="24"/>
          <w:szCs w:val="24"/>
        </w:rPr>
        <w:t>https</w:t>
      </w:r>
      <w:r>
        <w:rPr>
          <w:rFonts w:hint="eastAsia" w:ascii="宋体" w:hAnsi="宋体"/>
          <w:bCs/>
          <w:color w:val="auto"/>
          <w:sz w:val="24"/>
          <w:szCs w:val="24"/>
        </w:rPr>
        <w:t>：</w:t>
      </w:r>
      <w:r>
        <w:rPr>
          <w:rFonts w:ascii="宋体" w:hAnsi="宋体"/>
          <w:bCs/>
          <w:color w:val="auto"/>
          <w:sz w:val="24"/>
          <w:szCs w:val="24"/>
        </w:rPr>
        <w:t>//xwz.ggzy.anyang.gov.cn</w:t>
      </w:r>
      <w:r>
        <w:rPr>
          <w:rFonts w:hint="eastAsia" w:ascii="宋体" w:hAnsi="宋体"/>
          <w:bCs/>
          <w:color w:val="auto"/>
          <w:sz w:val="24"/>
          <w:szCs w:val="24"/>
        </w:rPr>
        <w:t>：</w:t>
      </w:r>
      <w:r>
        <w:rPr>
          <w:rFonts w:ascii="宋体" w:hAnsi="宋体"/>
          <w:bCs/>
          <w:color w:val="auto"/>
          <w:sz w:val="24"/>
          <w:szCs w:val="24"/>
        </w:rPr>
        <w:t>3720/ayggzy/</w:t>
      </w:r>
    </w:p>
    <w:p>
      <w:pPr>
        <w:widowControl w:val="0"/>
        <w:tabs>
          <w:tab w:val="left" w:pos="39"/>
          <w:tab w:val="left" w:pos="96"/>
          <w:tab w:val="left" w:pos="5700"/>
        </w:tabs>
        <w:snapToGrid w:val="0"/>
        <w:spacing w:line="360" w:lineRule="auto"/>
        <w:ind w:firstLine="600" w:firstLineChars="250"/>
        <w:rPr>
          <w:rFonts w:ascii="宋体"/>
          <w:color w:val="auto"/>
          <w:sz w:val="24"/>
          <w:szCs w:val="24"/>
        </w:rPr>
      </w:pPr>
      <w:r>
        <w:rPr>
          <w:rFonts w:hint="eastAsia" w:ascii="宋体" w:hAnsi="宋体"/>
          <w:color w:val="auto"/>
          <w:sz w:val="24"/>
          <w:szCs w:val="24"/>
        </w:rPr>
        <w:t>《磋商文件》</w:t>
      </w:r>
      <w:r>
        <w:rPr>
          <w:rFonts w:ascii="宋体" w:hAnsi="宋体"/>
          <w:color w:val="auto"/>
          <w:sz w:val="24"/>
          <w:szCs w:val="24"/>
        </w:rPr>
        <w:t>简称“</w:t>
      </w:r>
      <w:r>
        <w:rPr>
          <w:rFonts w:hint="eastAsia" w:ascii="宋体" w:hAnsi="宋体"/>
          <w:color w:val="auto"/>
          <w:sz w:val="24"/>
          <w:szCs w:val="24"/>
        </w:rPr>
        <w:t>安</w:t>
      </w:r>
      <w:r>
        <w:rPr>
          <w:rFonts w:ascii="宋体" w:hAnsi="宋体"/>
          <w:color w:val="auto"/>
          <w:sz w:val="24"/>
          <w:szCs w:val="24"/>
        </w:rPr>
        <w:t>阳</w:t>
      </w:r>
      <w:r>
        <w:rPr>
          <w:rFonts w:hint="eastAsia" w:ascii="宋体" w:hAnsi="宋体"/>
          <w:color w:val="auto"/>
          <w:sz w:val="24"/>
          <w:szCs w:val="24"/>
        </w:rPr>
        <w:t>市公共资源交易平</w:t>
      </w:r>
      <w:r>
        <w:rPr>
          <w:rFonts w:ascii="宋体" w:hAnsi="宋体"/>
          <w:color w:val="auto"/>
          <w:sz w:val="24"/>
          <w:szCs w:val="24"/>
        </w:rPr>
        <w:t>台”</w:t>
      </w:r>
    </w:p>
    <w:p>
      <w:pPr>
        <w:widowControl w:val="0"/>
        <w:tabs>
          <w:tab w:val="left" w:pos="39"/>
          <w:tab w:val="left" w:pos="96"/>
        </w:tabs>
        <w:snapToGrid w:val="0"/>
        <w:spacing w:line="360" w:lineRule="auto"/>
        <w:ind w:firstLine="600" w:firstLineChars="250"/>
        <w:rPr>
          <w:rFonts w:ascii="宋体"/>
          <w:color w:val="auto"/>
          <w:sz w:val="24"/>
          <w:szCs w:val="24"/>
        </w:rPr>
      </w:pPr>
      <w:r>
        <w:rPr>
          <w:rFonts w:hint="eastAsia" w:ascii="宋体"/>
          <w:color w:val="auto"/>
          <w:sz w:val="24"/>
          <w:szCs w:val="24"/>
        </w:rPr>
        <w:t>7.3.2投标文件制作工具：在安阳市公共资源交易平台进行下载。</w:t>
      </w:r>
    </w:p>
    <w:p>
      <w:pPr>
        <w:widowControl w:val="0"/>
        <w:snapToGrid w:val="0"/>
        <w:spacing w:line="360" w:lineRule="auto"/>
        <w:jc w:val="left"/>
        <w:rPr>
          <w:rFonts w:ascii="黑体" w:hAnsi="黑体" w:eastAsia="黑体"/>
          <w:b/>
          <w:color w:val="auto"/>
          <w:sz w:val="28"/>
          <w:szCs w:val="28"/>
        </w:rPr>
      </w:pPr>
    </w:p>
    <w:p>
      <w:pPr>
        <w:widowControl w:val="0"/>
        <w:snapToGrid w:val="0"/>
        <w:spacing w:line="360" w:lineRule="auto"/>
        <w:ind w:firstLine="562" w:firstLineChars="200"/>
        <w:rPr>
          <w:rFonts w:ascii="黑体" w:hAnsi="黑体" w:eastAsia="黑体"/>
          <w:b/>
          <w:color w:val="auto"/>
          <w:sz w:val="28"/>
          <w:szCs w:val="28"/>
        </w:rPr>
      </w:pPr>
      <w:bookmarkStart w:id="1" w:name="_Toc28359085"/>
      <w:bookmarkStart w:id="2" w:name="_Toc35393627"/>
      <w:bookmarkStart w:id="3" w:name="_Toc35393796"/>
      <w:bookmarkStart w:id="4" w:name="_Toc28359008"/>
      <w:r>
        <w:rPr>
          <w:rFonts w:hint="eastAsia" w:ascii="黑体" w:hAnsi="黑体" w:eastAsia="黑体"/>
          <w:b/>
          <w:color w:val="auto"/>
          <w:sz w:val="28"/>
          <w:szCs w:val="28"/>
        </w:rPr>
        <w:t>8.凡对本次采购提出询问，请按</w:t>
      </w:r>
      <w:r>
        <w:rPr>
          <w:rFonts w:ascii="黑体" w:hAnsi="黑体" w:eastAsia="黑体"/>
          <w:b/>
          <w:color w:val="auto"/>
          <w:sz w:val="28"/>
          <w:szCs w:val="28"/>
        </w:rPr>
        <w:t>以下方式</w:t>
      </w:r>
      <w:r>
        <w:rPr>
          <w:rFonts w:hint="eastAsia" w:ascii="黑体" w:hAnsi="黑体" w:eastAsia="黑体"/>
          <w:b/>
          <w:color w:val="auto"/>
          <w:sz w:val="28"/>
          <w:szCs w:val="28"/>
        </w:rPr>
        <w:t>联系。</w:t>
      </w:r>
      <w:bookmarkEnd w:id="1"/>
      <w:bookmarkEnd w:id="2"/>
      <w:bookmarkEnd w:id="3"/>
      <w:bookmarkEnd w:id="4"/>
    </w:p>
    <w:p>
      <w:pPr>
        <w:spacing w:line="360" w:lineRule="auto"/>
        <w:ind w:firstLine="480" w:firstLineChars="200"/>
        <w:rPr>
          <w:rFonts w:ascii="宋体" w:hAnsi="宋体"/>
          <w:color w:val="auto"/>
          <w:sz w:val="24"/>
          <w:szCs w:val="24"/>
        </w:rPr>
      </w:pPr>
      <w:r>
        <w:rPr>
          <w:rFonts w:hint="eastAsia" w:ascii="宋体" w:hAnsi="宋体"/>
          <w:color w:val="auto"/>
          <w:sz w:val="24"/>
          <w:szCs w:val="24"/>
        </w:rPr>
        <w:t>8.1采购人信息</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名 称：安阳市第二中学</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地址：安阳市殷都区文源街91号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联系人：侯振明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联系方式：13837278984 </w:t>
      </w:r>
      <w:bookmarkStart w:id="5" w:name="_Toc28359009"/>
      <w:bookmarkStart w:id="6" w:name="_Toc28359086"/>
    </w:p>
    <w:p>
      <w:pPr>
        <w:spacing w:line="360" w:lineRule="auto"/>
        <w:ind w:firstLine="480" w:firstLineChars="200"/>
        <w:rPr>
          <w:rFonts w:ascii="宋体" w:hAnsi="宋体"/>
          <w:color w:val="auto"/>
          <w:sz w:val="24"/>
          <w:szCs w:val="24"/>
        </w:rPr>
      </w:pPr>
      <w:r>
        <w:rPr>
          <w:rFonts w:hint="eastAsia" w:ascii="宋体" w:hAnsi="宋体"/>
          <w:color w:val="auto"/>
          <w:sz w:val="24"/>
          <w:szCs w:val="24"/>
        </w:rPr>
        <w:t>8.2采购代理机构信息</w:t>
      </w:r>
      <w:bookmarkEnd w:id="5"/>
      <w:bookmarkEnd w:id="6"/>
    </w:p>
    <w:p>
      <w:pPr>
        <w:spacing w:line="360" w:lineRule="auto"/>
        <w:ind w:firstLine="480" w:firstLineChars="200"/>
        <w:rPr>
          <w:rFonts w:ascii="宋体" w:hAnsi="宋体"/>
          <w:color w:val="auto"/>
          <w:sz w:val="24"/>
          <w:szCs w:val="24"/>
        </w:rPr>
      </w:pPr>
      <w:r>
        <w:rPr>
          <w:rFonts w:hint="eastAsia" w:ascii="宋体" w:hAnsi="宋体"/>
          <w:color w:val="auto"/>
          <w:sz w:val="24"/>
          <w:szCs w:val="24"/>
        </w:rPr>
        <w:t>名 称：安阳市方正招标采购服务有限责任公司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地　址：安阳市安钢大道39号（人民大道北地下道口南侧、安阳粮食产业集团-后院办公楼五楼）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联系人：白杨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联系方式：</w:t>
      </w:r>
      <w:bookmarkStart w:id="7" w:name="_Toc28359010"/>
      <w:bookmarkStart w:id="8" w:name="_Toc28359087"/>
      <w:r>
        <w:rPr>
          <w:rFonts w:hint="eastAsia" w:ascii="宋体" w:hAnsi="宋体"/>
          <w:color w:val="auto"/>
          <w:sz w:val="24"/>
          <w:szCs w:val="24"/>
        </w:rPr>
        <w:t>0372-2283981、2283982   财务部咨询电话：0372-2283983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8.3项目联系方式</w:t>
      </w:r>
      <w:bookmarkEnd w:id="7"/>
      <w:bookmarkEnd w:id="8"/>
    </w:p>
    <w:p>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项目联系人：白杨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联系方式：15737221608</w:t>
      </w:r>
    </w:p>
    <w:p>
      <w:pPr>
        <w:pStyle w:val="16"/>
        <w:shd w:val="clear" w:color="auto" w:fill="FFFFFF"/>
        <w:adjustRightInd w:val="0"/>
        <w:spacing w:before="50" w:beforeAutospacing="0" w:after="0" w:afterAutospacing="0" w:line="300" w:lineRule="auto"/>
        <w:rPr>
          <w:color w:val="auto"/>
        </w:rPr>
      </w:pP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9</w:t>
      </w:r>
      <w:r>
        <w:rPr>
          <w:rFonts w:ascii="黑体" w:hAnsi="黑体" w:eastAsia="黑体"/>
          <w:b/>
          <w:color w:val="auto"/>
          <w:sz w:val="28"/>
          <w:szCs w:val="28"/>
        </w:rPr>
        <w:t>.</w:t>
      </w:r>
      <w:r>
        <w:rPr>
          <w:rFonts w:hint="eastAsia" w:ascii="黑体" w:hAnsi="黑体" w:eastAsia="黑体"/>
          <w:b/>
          <w:color w:val="auto"/>
          <w:sz w:val="28"/>
          <w:szCs w:val="28"/>
        </w:rPr>
        <w:t>网</w:t>
      </w:r>
      <w:r>
        <w:rPr>
          <w:rFonts w:ascii="黑体" w:hAnsi="黑体" w:eastAsia="黑体"/>
          <w:b/>
          <w:color w:val="auto"/>
          <w:sz w:val="28"/>
          <w:szCs w:val="28"/>
        </w:rPr>
        <w:t>上</w:t>
      </w:r>
      <w:r>
        <w:rPr>
          <w:rFonts w:hint="eastAsia" w:ascii="黑体" w:hAnsi="黑体" w:eastAsia="黑体"/>
          <w:b/>
          <w:color w:val="auto"/>
          <w:sz w:val="28"/>
          <w:szCs w:val="28"/>
        </w:rPr>
        <w:t>电子交易提示：</w:t>
      </w:r>
      <w:r>
        <w:rPr>
          <w:rFonts w:ascii="黑体" w:hAnsi="黑体" w:eastAsia="黑体"/>
          <w:b/>
          <w:color w:val="auto"/>
          <w:sz w:val="28"/>
          <w:szCs w:val="28"/>
        </w:rPr>
        <w:t xml:space="preserve"> </w:t>
      </w:r>
    </w:p>
    <w:p>
      <w:pPr>
        <w:widowControl w:val="0"/>
        <w:tabs>
          <w:tab w:val="left" w:pos="39"/>
          <w:tab w:val="left" w:pos="96"/>
        </w:tabs>
        <w:snapToGrid w:val="0"/>
        <w:spacing w:line="360" w:lineRule="auto"/>
        <w:ind w:left="-145" w:right="-41" w:firstLine="540" w:firstLineChars="225"/>
        <w:rPr>
          <w:rFonts w:ascii="宋体" w:hAnsi="宋体"/>
          <w:color w:val="auto"/>
          <w:sz w:val="24"/>
          <w:szCs w:val="24"/>
        </w:rPr>
      </w:pPr>
      <w:r>
        <w:rPr>
          <w:rFonts w:hint="eastAsia" w:ascii="宋体" w:hAnsi="宋体"/>
          <w:color w:val="auto"/>
          <w:sz w:val="24"/>
          <w:szCs w:val="24"/>
        </w:rPr>
        <w:t>9.1 注册：供应商完成注册、办理数字证书后，方可获取《磋商文件》、参加投标等网上电子交易。</w:t>
      </w:r>
    </w:p>
    <w:p>
      <w:pPr>
        <w:widowControl w:val="0"/>
        <w:tabs>
          <w:tab w:val="left" w:pos="39"/>
          <w:tab w:val="left" w:pos="96"/>
        </w:tabs>
        <w:snapToGrid w:val="0"/>
        <w:spacing w:line="360" w:lineRule="auto"/>
        <w:ind w:left="-145" w:right="-41" w:firstLine="540" w:firstLineChars="225"/>
        <w:rPr>
          <w:rFonts w:ascii="宋体" w:hAnsi="宋体"/>
          <w:color w:val="auto"/>
          <w:sz w:val="24"/>
          <w:szCs w:val="24"/>
        </w:rPr>
      </w:pPr>
      <w:r>
        <w:rPr>
          <w:rFonts w:hint="eastAsia" w:ascii="宋体" w:hAnsi="宋体"/>
          <w:color w:val="auto"/>
          <w:sz w:val="24"/>
          <w:szCs w:val="24"/>
        </w:rPr>
        <w:t>9.2 获取《磋商文件》：按本章第3条“获取磋商文件”办理。</w:t>
      </w:r>
    </w:p>
    <w:p>
      <w:pPr>
        <w:widowControl w:val="0"/>
        <w:tabs>
          <w:tab w:val="left" w:pos="39"/>
          <w:tab w:val="left" w:pos="96"/>
        </w:tabs>
        <w:snapToGrid w:val="0"/>
        <w:spacing w:line="360" w:lineRule="auto"/>
        <w:ind w:left="-145" w:right="-41" w:firstLine="540" w:firstLineChars="225"/>
        <w:rPr>
          <w:rFonts w:ascii="黑体" w:hAnsi="黑体" w:eastAsia="黑体" w:cs="楷体_GB2312"/>
          <w:b/>
          <w:color w:val="auto"/>
          <w:sz w:val="24"/>
          <w:lang w:val="zh-CN"/>
        </w:rPr>
      </w:pPr>
      <w:r>
        <w:rPr>
          <w:rFonts w:hint="eastAsia" w:ascii="宋体" w:hAnsi="宋体"/>
          <w:color w:val="auto"/>
          <w:sz w:val="24"/>
          <w:szCs w:val="24"/>
        </w:rPr>
        <w:t>9.3 《磋商文件》的澄清与修改或延期的通知：按《磋商文件》第三章“供应商须知”第2条“2.4 磋商文件的澄清、修改、补充的通知，及相应时间变更”执行。</w:t>
      </w:r>
      <w:r>
        <w:rPr>
          <w:rFonts w:hint="eastAsia" w:ascii="黑体" w:hAnsi="黑体" w:eastAsia="黑体" w:cs="楷体_GB2312"/>
          <w:b/>
          <w:color w:val="auto"/>
          <w:sz w:val="24"/>
          <w:lang w:val="zh-CN"/>
        </w:rPr>
        <w:t>不另行通知。</w:t>
      </w:r>
    </w:p>
    <w:p>
      <w:pPr>
        <w:widowControl w:val="0"/>
        <w:tabs>
          <w:tab w:val="left" w:pos="39"/>
          <w:tab w:val="left" w:pos="96"/>
        </w:tabs>
        <w:snapToGrid w:val="0"/>
        <w:spacing w:line="360" w:lineRule="auto"/>
        <w:ind w:left="-145" w:right="-41" w:firstLine="540" w:firstLineChars="225"/>
        <w:rPr>
          <w:rFonts w:ascii="黑体" w:hAnsi="黑体" w:eastAsia="黑体" w:cs="楷体_GB2312"/>
          <w:b/>
          <w:color w:val="auto"/>
          <w:sz w:val="24"/>
          <w:lang w:val="zh-CN"/>
        </w:rPr>
      </w:pPr>
      <w:r>
        <w:rPr>
          <w:rFonts w:hint="eastAsia" w:ascii="宋体" w:hAnsi="宋体"/>
          <w:color w:val="auto"/>
          <w:sz w:val="24"/>
          <w:szCs w:val="24"/>
        </w:rPr>
        <w:t>9.4《响应文件》编制：在安阳市公共资源交易中心网站（https：//xwz.ggzy.anyang.gov.cn：3720/ayggzy/）下载并安装投标文件制作工具。按《磋商文件》第三章“供应商须知”第3条第7款“3.7《响应文件》的编制”执行，</w:t>
      </w:r>
      <w:r>
        <w:rPr>
          <w:rFonts w:hint="eastAsia" w:ascii="黑体" w:hAnsi="黑体" w:eastAsia="黑体" w:cs="楷体_GB2312"/>
          <w:b/>
          <w:color w:val="auto"/>
          <w:sz w:val="24"/>
          <w:lang w:val="zh-CN"/>
        </w:rPr>
        <w:t>否则将会评定为无效投标。</w:t>
      </w:r>
    </w:p>
    <w:p>
      <w:pPr>
        <w:widowControl w:val="0"/>
        <w:tabs>
          <w:tab w:val="left" w:pos="39"/>
          <w:tab w:val="left" w:pos="96"/>
        </w:tabs>
        <w:snapToGrid w:val="0"/>
        <w:spacing w:line="360" w:lineRule="auto"/>
        <w:ind w:left="-145" w:right="-41" w:firstLine="540" w:firstLineChars="225"/>
        <w:rPr>
          <w:rFonts w:ascii="宋体" w:hAnsi="宋体"/>
          <w:color w:val="auto"/>
          <w:sz w:val="24"/>
          <w:szCs w:val="24"/>
        </w:rPr>
      </w:pPr>
      <w:r>
        <w:rPr>
          <w:rFonts w:hint="eastAsia" w:ascii="宋体"/>
          <w:color w:val="auto"/>
          <w:sz w:val="24"/>
          <w:szCs w:val="24"/>
        </w:rPr>
        <w:t>9.5 《响应文件》递交：</w:t>
      </w:r>
      <w:r>
        <w:rPr>
          <w:rFonts w:hint="eastAsia" w:ascii="宋体" w:hAnsi="宋体"/>
          <w:color w:val="auto"/>
          <w:sz w:val="24"/>
          <w:szCs w:val="24"/>
        </w:rPr>
        <w:t>供应商应在投标截止时间前上传加密的电子投标文件（*.aytf）到安阳市公共资源交易平台。按《磋商文件》第三章“供应商须知”第4条 “</w:t>
      </w:r>
      <w:r>
        <w:rPr>
          <w:b/>
          <w:color w:val="auto"/>
          <w:sz w:val="24"/>
          <w:szCs w:val="24"/>
        </w:rPr>
        <w:t xml:space="preserve">4. </w:t>
      </w:r>
      <w:r>
        <w:rPr>
          <w:rFonts w:hint="eastAsia"/>
          <w:b/>
          <w:color w:val="auto"/>
          <w:sz w:val="24"/>
          <w:szCs w:val="24"/>
        </w:rPr>
        <w:t>《响应文件》的提交</w:t>
      </w:r>
      <w:r>
        <w:rPr>
          <w:rFonts w:hint="eastAsia" w:ascii="宋体" w:hAnsi="宋体"/>
          <w:color w:val="auto"/>
          <w:sz w:val="24"/>
          <w:szCs w:val="24"/>
        </w:rPr>
        <w:t>”执行，</w:t>
      </w:r>
      <w:r>
        <w:rPr>
          <w:rFonts w:hint="eastAsia" w:ascii="黑体" w:hAnsi="黑体" w:eastAsia="黑体" w:cs="楷体_GB2312"/>
          <w:b/>
          <w:color w:val="auto"/>
          <w:sz w:val="24"/>
          <w:lang w:val="zh-CN"/>
        </w:rPr>
        <w:t>否则将会评定为无效投标。</w:t>
      </w:r>
    </w:p>
    <w:p>
      <w:pPr>
        <w:widowControl w:val="0"/>
        <w:tabs>
          <w:tab w:val="left" w:pos="39"/>
          <w:tab w:val="left" w:pos="96"/>
        </w:tabs>
        <w:snapToGrid w:val="0"/>
        <w:spacing w:line="360" w:lineRule="auto"/>
        <w:ind w:left="-145" w:right="-41" w:firstLine="480" w:firstLineChars="200"/>
        <w:rPr>
          <w:rFonts w:ascii="宋体" w:hAnsi="宋体"/>
          <w:color w:val="auto"/>
          <w:sz w:val="24"/>
          <w:szCs w:val="24"/>
        </w:rPr>
      </w:pPr>
      <w:r>
        <w:rPr>
          <w:rFonts w:hint="eastAsia" w:ascii="宋体"/>
          <w:color w:val="auto"/>
          <w:sz w:val="24"/>
          <w:szCs w:val="24"/>
        </w:rPr>
        <w:t>9.6《响应文件》</w:t>
      </w:r>
      <w:r>
        <w:rPr>
          <w:rFonts w:hint="eastAsia" w:ascii="宋体" w:hAnsi="宋体"/>
          <w:color w:val="auto"/>
          <w:sz w:val="24"/>
          <w:szCs w:val="24"/>
        </w:rPr>
        <w:t>解密</w:t>
      </w:r>
      <w:r>
        <w:rPr>
          <w:rFonts w:hint="eastAsia" w:ascii="宋体"/>
          <w:color w:val="auto"/>
          <w:sz w:val="24"/>
          <w:szCs w:val="24"/>
        </w:rPr>
        <w:t>：</w:t>
      </w:r>
      <w:r>
        <w:rPr>
          <w:rFonts w:hint="eastAsia" w:ascii="宋体" w:hAnsi="宋体"/>
          <w:color w:val="auto"/>
          <w:sz w:val="24"/>
          <w:szCs w:val="24"/>
        </w:rPr>
        <w:t>本项目采用远程不见面交易的模式，开标当日，供应商无需到开标现场参加开标会议，供应商应当在投标截止时间前，使用IE浏览器登录到安阳市公共资源交易不见面开标大厅，点击右上方【登录】按钮进入，在线准时参加开标活动并进行投标文件解密等。按《磋商文件》第三章“供应商须知”第5条“5</w:t>
      </w:r>
      <w:r>
        <w:rPr>
          <w:rFonts w:hint="eastAsia"/>
          <w:b/>
          <w:color w:val="auto"/>
          <w:sz w:val="24"/>
          <w:szCs w:val="24"/>
        </w:rPr>
        <w:t>《响应文件》的开启</w:t>
      </w:r>
      <w:r>
        <w:rPr>
          <w:rFonts w:hint="eastAsia" w:ascii="宋体" w:hAnsi="宋体"/>
          <w:color w:val="auto"/>
          <w:sz w:val="24"/>
          <w:szCs w:val="24"/>
        </w:rPr>
        <w:t>”执行，</w:t>
      </w:r>
      <w:r>
        <w:rPr>
          <w:rFonts w:hint="eastAsia" w:ascii="宋体" w:hAnsi="宋体" w:cs="楷体_GB2312"/>
          <w:color w:val="auto"/>
          <w:sz w:val="24"/>
          <w:lang w:val="zh-CN"/>
        </w:rPr>
        <w:t>否则其投标将不能被接受。</w:t>
      </w:r>
    </w:p>
    <w:p>
      <w:pPr>
        <w:widowControl w:val="0"/>
        <w:tabs>
          <w:tab w:val="left" w:pos="39"/>
          <w:tab w:val="left" w:pos="96"/>
        </w:tabs>
        <w:snapToGrid w:val="0"/>
        <w:spacing w:line="360" w:lineRule="auto"/>
        <w:ind w:left="-145" w:right="-41" w:firstLine="480" w:firstLineChars="200"/>
        <w:rPr>
          <w:rFonts w:ascii="宋体" w:hAnsi="宋体"/>
          <w:color w:val="auto"/>
          <w:sz w:val="24"/>
          <w:szCs w:val="24"/>
        </w:rPr>
      </w:pPr>
      <w:r>
        <w:rPr>
          <w:rFonts w:hint="eastAsia" w:ascii="宋体" w:hAnsi="宋体"/>
          <w:color w:val="auto"/>
          <w:sz w:val="24"/>
          <w:szCs w:val="24"/>
        </w:rPr>
        <w:t xml:space="preserve">9.7 </w:t>
      </w:r>
      <w:r>
        <w:rPr>
          <w:rFonts w:hint="eastAsia"/>
          <w:b/>
          <w:color w:val="auto"/>
          <w:sz w:val="24"/>
          <w:szCs w:val="24"/>
        </w:rPr>
        <w:t>磋商：</w:t>
      </w:r>
      <w:r>
        <w:rPr>
          <w:rFonts w:hint="eastAsia" w:ascii="宋体" w:hAnsi="宋体"/>
          <w:color w:val="auto"/>
          <w:sz w:val="24"/>
        </w:rPr>
        <w:t>时刻关注电子开标室并及时澄清，有效供应商在规定时间进行最后报价，</w:t>
      </w:r>
      <w:r>
        <w:rPr>
          <w:rFonts w:hint="eastAsia" w:ascii="宋体" w:hAnsi="宋体"/>
          <w:color w:val="auto"/>
          <w:sz w:val="24"/>
          <w:szCs w:val="24"/>
        </w:rPr>
        <w:t>按《磋商文件》第四章“评审办法”执行，</w:t>
      </w:r>
      <w:r>
        <w:rPr>
          <w:rFonts w:hint="eastAsia" w:ascii="黑体" w:hAnsi="黑体" w:eastAsia="黑体" w:cs="楷体_GB2312"/>
          <w:b/>
          <w:color w:val="auto"/>
          <w:sz w:val="24"/>
          <w:lang w:val="zh-CN"/>
        </w:rPr>
        <w:t>否则将会评定为无效投标。</w:t>
      </w:r>
    </w:p>
    <w:p>
      <w:pPr>
        <w:widowControl w:val="0"/>
        <w:tabs>
          <w:tab w:val="left" w:pos="39"/>
          <w:tab w:val="left" w:pos="96"/>
        </w:tabs>
        <w:snapToGrid w:val="0"/>
        <w:spacing w:line="360" w:lineRule="auto"/>
        <w:ind w:left="-145" w:right="-41" w:firstLine="540" w:firstLineChars="225"/>
        <w:rPr>
          <w:rFonts w:ascii="宋体" w:hAnsi="宋体"/>
          <w:color w:val="auto"/>
          <w:sz w:val="24"/>
          <w:szCs w:val="24"/>
        </w:rPr>
      </w:pPr>
      <w:r>
        <w:rPr>
          <w:rFonts w:hint="eastAsia" w:ascii="宋体" w:hAnsi="宋体"/>
          <w:color w:val="auto"/>
          <w:sz w:val="24"/>
          <w:szCs w:val="24"/>
        </w:rPr>
        <w:t>9.8  政府采购电子交易中，供应商网上电子交易的系统操作规则应以安阳市公共资源交易中心网站即时发布的相关规则为准。</w:t>
      </w:r>
    </w:p>
    <w:p>
      <w:pPr>
        <w:widowControl w:val="0"/>
        <w:tabs>
          <w:tab w:val="left" w:pos="39"/>
          <w:tab w:val="left" w:pos="96"/>
        </w:tabs>
        <w:snapToGrid w:val="0"/>
        <w:spacing w:line="360" w:lineRule="auto"/>
        <w:ind w:left="-145" w:right="-41" w:firstLine="540" w:firstLineChars="225"/>
        <w:rPr>
          <w:rFonts w:ascii="宋体"/>
          <w:color w:val="auto"/>
          <w:sz w:val="24"/>
          <w:szCs w:val="24"/>
        </w:rPr>
      </w:pPr>
      <w:r>
        <w:rPr>
          <w:rFonts w:hint="eastAsia" w:ascii="宋体" w:hAnsi="宋体"/>
          <w:color w:val="auto"/>
          <w:sz w:val="24"/>
          <w:szCs w:val="24"/>
        </w:rPr>
        <w:t>9.9 望供应商充分熟悉网上电子交易操作流程、以便有效投标。</w:t>
      </w:r>
    </w:p>
    <w:p>
      <w:pPr>
        <w:widowControl w:val="0"/>
        <w:tabs>
          <w:tab w:val="left" w:pos="39"/>
          <w:tab w:val="left" w:pos="96"/>
        </w:tabs>
        <w:snapToGrid w:val="0"/>
        <w:spacing w:line="360" w:lineRule="auto"/>
        <w:ind w:left="-145" w:right="-41" w:firstLine="540" w:firstLineChars="225"/>
        <w:rPr>
          <w:rFonts w:ascii="宋体" w:hAnsi="宋体"/>
          <w:color w:val="auto"/>
          <w:sz w:val="24"/>
          <w:szCs w:val="24"/>
        </w:rPr>
      </w:pPr>
      <w:r>
        <w:rPr>
          <w:rFonts w:hint="eastAsia" w:ascii="宋体" w:hAnsi="宋体"/>
          <w:color w:val="auto"/>
          <w:sz w:val="24"/>
          <w:szCs w:val="24"/>
        </w:rPr>
        <w:t>9.10 如遇到网上系统操作等技术问题请咨询400-998-0000、0372-3387739。</w:t>
      </w:r>
    </w:p>
    <w:p>
      <w:pPr>
        <w:widowControl w:val="0"/>
        <w:tabs>
          <w:tab w:val="left" w:pos="39"/>
          <w:tab w:val="left" w:pos="96"/>
        </w:tabs>
        <w:snapToGrid w:val="0"/>
        <w:spacing w:line="360" w:lineRule="auto"/>
        <w:rPr>
          <w:rFonts w:ascii="宋体"/>
          <w:color w:val="auto"/>
          <w:sz w:val="24"/>
          <w:szCs w:val="24"/>
        </w:rPr>
      </w:pPr>
    </w:p>
    <w:p>
      <w:pPr>
        <w:widowControl w:val="0"/>
        <w:tabs>
          <w:tab w:val="left" w:pos="39"/>
          <w:tab w:val="left" w:pos="96"/>
        </w:tabs>
        <w:snapToGrid w:val="0"/>
        <w:spacing w:line="360" w:lineRule="auto"/>
        <w:ind w:firstLine="5220" w:firstLineChars="2175"/>
        <w:jc w:val="right"/>
        <w:rPr>
          <w:rFonts w:ascii="宋体"/>
          <w:color w:val="auto"/>
          <w:sz w:val="24"/>
          <w:szCs w:val="24"/>
        </w:rPr>
      </w:pPr>
      <w:r>
        <w:rPr>
          <w:rFonts w:hint="eastAsia" w:ascii="宋体"/>
          <w:color w:val="auto"/>
          <w:sz w:val="24"/>
          <w:szCs w:val="24"/>
        </w:rPr>
        <w:t>安阳市方正招标采购服务有限责任公司</w:t>
      </w:r>
    </w:p>
    <w:p>
      <w:pPr>
        <w:widowControl w:val="0"/>
        <w:tabs>
          <w:tab w:val="left" w:pos="39"/>
          <w:tab w:val="left" w:pos="96"/>
        </w:tabs>
        <w:snapToGrid w:val="0"/>
        <w:spacing w:line="360" w:lineRule="auto"/>
        <w:ind w:firstLine="540" w:firstLineChars="225"/>
        <w:jc w:val="right"/>
        <w:rPr>
          <w:rFonts w:ascii="宋体"/>
          <w:color w:val="auto"/>
          <w:sz w:val="24"/>
          <w:szCs w:val="24"/>
        </w:rPr>
      </w:pPr>
      <w:r>
        <w:rPr>
          <w:rFonts w:hint="eastAsia" w:ascii="宋体"/>
          <w:color w:val="auto"/>
          <w:sz w:val="24"/>
          <w:szCs w:val="24"/>
        </w:rPr>
        <w:t>二〇二四年</w:t>
      </w:r>
      <w:r>
        <w:rPr>
          <w:rFonts w:hint="eastAsia" w:ascii="宋体"/>
          <w:color w:val="auto"/>
          <w:sz w:val="24"/>
          <w:szCs w:val="24"/>
          <w:lang w:eastAsia="zh-CN"/>
        </w:rPr>
        <w:t>七</w:t>
      </w:r>
      <w:r>
        <w:rPr>
          <w:rFonts w:hint="eastAsia" w:ascii="宋体"/>
          <w:color w:val="auto"/>
          <w:sz w:val="24"/>
          <w:szCs w:val="24"/>
        </w:rPr>
        <w:t>月十</w:t>
      </w:r>
      <w:r>
        <w:rPr>
          <w:rFonts w:hint="eastAsia" w:ascii="宋体"/>
          <w:color w:val="auto"/>
          <w:sz w:val="24"/>
          <w:szCs w:val="24"/>
          <w:lang w:eastAsia="zh-CN"/>
        </w:rPr>
        <w:t>一</w:t>
      </w:r>
      <w:r>
        <w:rPr>
          <w:rFonts w:hint="eastAsia" w:ascii="宋体"/>
          <w:color w:val="auto"/>
          <w:sz w:val="24"/>
          <w:szCs w:val="24"/>
        </w:rPr>
        <w:t>日</w:t>
      </w:r>
    </w:p>
    <w:p>
      <w:pPr>
        <w:widowControl w:val="0"/>
        <w:tabs>
          <w:tab w:val="left" w:pos="39"/>
          <w:tab w:val="left" w:pos="96"/>
        </w:tabs>
        <w:snapToGrid w:val="0"/>
        <w:spacing w:line="360" w:lineRule="auto"/>
        <w:rPr>
          <w:rFonts w:eastAsia="方正黑体简体"/>
          <w:color w:val="auto"/>
          <w:sz w:val="28"/>
          <w:szCs w:val="28"/>
        </w:rPr>
      </w:pPr>
    </w:p>
    <w:p>
      <w:pPr>
        <w:widowControl w:val="0"/>
        <w:snapToGrid w:val="0"/>
        <w:spacing w:line="360" w:lineRule="auto"/>
        <w:rPr>
          <w:rFonts w:ascii="宋体" w:hAnsi="宋体" w:cs="宋体"/>
          <w:b/>
          <w:color w:val="auto"/>
          <w:sz w:val="24"/>
        </w:rPr>
      </w:pPr>
    </w:p>
    <w:p>
      <w:pPr>
        <w:widowControl w:val="0"/>
        <w:tabs>
          <w:tab w:val="left" w:pos="39"/>
          <w:tab w:val="left" w:pos="96"/>
        </w:tabs>
        <w:snapToGrid w:val="0"/>
        <w:spacing w:line="360" w:lineRule="auto"/>
        <w:rPr>
          <w:rFonts w:eastAsia="方正黑体简体"/>
          <w:color w:val="auto"/>
          <w:sz w:val="28"/>
          <w:szCs w:val="28"/>
        </w:rPr>
      </w:pPr>
    </w:p>
    <w:p>
      <w:pPr>
        <w:widowControl w:val="0"/>
        <w:tabs>
          <w:tab w:val="left" w:pos="39"/>
          <w:tab w:val="left" w:pos="96"/>
        </w:tabs>
        <w:snapToGrid w:val="0"/>
        <w:spacing w:line="360" w:lineRule="auto"/>
        <w:ind w:firstLine="540" w:firstLineChars="225"/>
        <w:rPr>
          <w:rFonts w:eastAsia="方正黑体简体"/>
          <w:color w:val="auto"/>
          <w:sz w:val="28"/>
          <w:szCs w:val="28"/>
        </w:rPr>
      </w:pPr>
      <w:r>
        <w:rPr>
          <w:color w:val="auto"/>
          <w:sz w:val="24"/>
          <w:szCs w:val="24"/>
        </w:rPr>
        <w:br w:type="page"/>
      </w:r>
    </w:p>
    <w:p>
      <w:pPr>
        <w:widowControl w:val="0"/>
        <w:snapToGrid w:val="0"/>
        <w:spacing w:line="360" w:lineRule="auto"/>
        <w:jc w:val="center"/>
        <w:outlineLvl w:val="0"/>
        <w:rPr>
          <w:rFonts w:eastAsia="方正黑体简体"/>
          <w:color w:val="auto"/>
          <w:sz w:val="36"/>
          <w:szCs w:val="36"/>
        </w:rPr>
      </w:pPr>
      <w:bookmarkStart w:id="9" w:name="_Toc65745038"/>
      <w:r>
        <w:rPr>
          <w:rFonts w:hint="eastAsia" w:eastAsia="黑体"/>
          <w:b/>
          <w:color w:val="auto"/>
          <w:sz w:val="36"/>
          <w:szCs w:val="36"/>
        </w:rPr>
        <w:t>第二章</w:t>
      </w:r>
      <w:r>
        <w:rPr>
          <w:rFonts w:eastAsia="黑体"/>
          <w:b/>
          <w:color w:val="auto"/>
          <w:sz w:val="36"/>
          <w:szCs w:val="36"/>
        </w:rPr>
        <w:t xml:space="preserve">  </w:t>
      </w:r>
      <w:r>
        <w:rPr>
          <w:rFonts w:hint="eastAsia" w:eastAsia="黑体"/>
          <w:b/>
          <w:color w:val="auto"/>
          <w:sz w:val="36"/>
          <w:szCs w:val="36"/>
        </w:rPr>
        <w:t>采购项目及技术服务要求</w:t>
      </w:r>
      <w:bookmarkEnd w:id="9"/>
    </w:p>
    <w:p>
      <w:pPr>
        <w:widowControl w:val="0"/>
        <w:snapToGrid w:val="0"/>
        <w:spacing w:line="360" w:lineRule="auto"/>
        <w:jc w:val="center"/>
        <w:rPr>
          <w:b/>
          <w:color w:val="auto"/>
          <w:sz w:val="28"/>
        </w:rPr>
      </w:pPr>
    </w:p>
    <w:p>
      <w:pPr>
        <w:widowControl w:val="0"/>
        <w:snapToGrid w:val="0"/>
        <w:spacing w:line="360" w:lineRule="auto"/>
        <w:ind w:firstLine="422" w:firstLineChars="150"/>
        <w:jc w:val="left"/>
        <w:outlineLvl w:val="1"/>
        <w:rPr>
          <w:rFonts w:ascii="黑体" w:hAnsi="黑体" w:eastAsia="黑体"/>
          <w:b/>
          <w:color w:val="auto"/>
          <w:sz w:val="28"/>
        </w:rPr>
      </w:pPr>
      <w:bookmarkStart w:id="10" w:name="_Toc65745039"/>
      <w:r>
        <w:rPr>
          <w:rFonts w:ascii="黑体" w:hAnsi="黑体" w:eastAsia="黑体"/>
          <w:b/>
          <w:color w:val="auto"/>
          <w:sz w:val="28"/>
        </w:rPr>
        <w:t xml:space="preserve">1. </w:t>
      </w:r>
      <w:r>
        <w:rPr>
          <w:rFonts w:hint="eastAsia" w:ascii="黑体" w:hAnsi="黑体" w:eastAsia="黑体"/>
          <w:b/>
          <w:color w:val="auto"/>
          <w:sz w:val="28"/>
        </w:rPr>
        <w:t>采购项目、标段（包）划分、磋商报价</w:t>
      </w:r>
      <w:bookmarkEnd w:id="10"/>
    </w:p>
    <w:p>
      <w:pPr>
        <w:widowControl w:val="0"/>
        <w:snapToGrid w:val="0"/>
        <w:spacing w:line="360" w:lineRule="auto"/>
        <w:ind w:firstLine="482" w:firstLineChars="200"/>
        <w:jc w:val="left"/>
        <w:rPr>
          <w:color w:val="auto"/>
          <w:sz w:val="24"/>
          <w:szCs w:val="24"/>
        </w:rPr>
      </w:pPr>
      <w:r>
        <w:rPr>
          <w:rFonts w:ascii="黑体" w:hAnsi="黑体" w:eastAsia="黑体"/>
          <w:b/>
          <w:color w:val="auto"/>
          <w:sz w:val="24"/>
          <w:szCs w:val="24"/>
        </w:rPr>
        <w:t>1.1</w:t>
      </w:r>
      <w:r>
        <w:rPr>
          <w:rFonts w:hint="eastAsia" w:ascii="黑体" w:hAnsi="黑体" w:eastAsia="黑体"/>
          <w:b/>
          <w:color w:val="auto"/>
          <w:sz w:val="24"/>
          <w:szCs w:val="24"/>
        </w:rPr>
        <w:t>采购项目名称</w:t>
      </w:r>
      <w:r>
        <w:rPr>
          <w:rFonts w:hint="eastAsia"/>
          <w:color w:val="auto"/>
          <w:sz w:val="24"/>
          <w:szCs w:val="24"/>
        </w:rPr>
        <w:t>：</w:t>
      </w:r>
      <w:r>
        <w:rPr>
          <w:rFonts w:hint="eastAsia" w:ascii="宋体" w:hAnsi="宋体"/>
          <w:color w:val="auto"/>
          <w:sz w:val="24"/>
          <w:szCs w:val="24"/>
        </w:rPr>
        <w:t>安阳市第二中学校舍装修改造项目(二次)</w:t>
      </w:r>
    </w:p>
    <w:p>
      <w:pPr>
        <w:widowControl w:val="0"/>
        <w:snapToGrid w:val="0"/>
        <w:spacing w:line="360" w:lineRule="auto"/>
        <w:ind w:firstLine="482" w:firstLineChars="200"/>
        <w:jc w:val="left"/>
        <w:rPr>
          <w:color w:val="auto"/>
          <w:sz w:val="24"/>
          <w:szCs w:val="24"/>
        </w:rPr>
      </w:pPr>
      <w:r>
        <w:rPr>
          <w:rFonts w:ascii="黑体" w:hAnsi="黑体" w:eastAsia="黑体"/>
          <w:b/>
          <w:color w:val="auto"/>
          <w:sz w:val="24"/>
          <w:szCs w:val="24"/>
        </w:rPr>
        <w:t xml:space="preserve">1.2 </w:t>
      </w:r>
      <w:r>
        <w:rPr>
          <w:rFonts w:hint="eastAsia" w:ascii="黑体" w:hAnsi="黑体" w:eastAsia="黑体"/>
          <w:b/>
          <w:color w:val="auto"/>
          <w:sz w:val="24"/>
          <w:szCs w:val="24"/>
        </w:rPr>
        <w:t>标段（包）划分及其工期施工地点</w:t>
      </w:r>
      <w:r>
        <w:rPr>
          <w:rFonts w:hint="eastAsia"/>
          <w:color w:val="auto"/>
          <w:sz w:val="24"/>
          <w:szCs w:val="24"/>
        </w:rPr>
        <w:t>：本次采购项目划分为1个标段（包）。</w:t>
      </w:r>
    </w:p>
    <w:tbl>
      <w:tblPr>
        <w:tblStyle w:val="21"/>
        <w:tblW w:w="96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126"/>
        <w:gridCol w:w="2693"/>
        <w:gridCol w:w="1881"/>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604" w:type="dxa"/>
            <w:gridSpan w:val="5"/>
            <w:vAlign w:val="center"/>
          </w:tcPr>
          <w:p>
            <w:pPr>
              <w:widowControl w:val="0"/>
              <w:snapToGrid w:val="0"/>
              <w:spacing w:line="240" w:lineRule="auto"/>
              <w:jc w:val="center"/>
              <w:rPr>
                <w:rFonts w:ascii="宋体"/>
                <w:b/>
                <w:color w:val="auto"/>
                <w:sz w:val="24"/>
                <w:szCs w:val="24"/>
              </w:rPr>
            </w:pPr>
            <w:r>
              <w:rPr>
                <w:rFonts w:hint="eastAsia" w:ascii="宋体" w:hAnsi="宋体"/>
                <w:b/>
                <w:color w:val="auto"/>
                <w:sz w:val="24"/>
                <w:szCs w:val="24"/>
              </w:rPr>
              <w:t>标段（包）一览表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526" w:type="dxa"/>
            <w:vAlign w:val="center"/>
          </w:tcPr>
          <w:p>
            <w:pPr>
              <w:widowControl w:val="0"/>
              <w:snapToGrid w:val="0"/>
              <w:spacing w:line="240" w:lineRule="auto"/>
              <w:jc w:val="center"/>
              <w:rPr>
                <w:b/>
                <w:color w:val="auto"/>
                <w:sz w:val="24"/>
                <w:szCs w:val="24"/>
              </w:rPr>
            </w:pPr>
            <w:r>
              <w:rPr>
                <w:rFonts w:hint="eastAsia"/>
                <w:b/>
                <w:color w:val="auto"/>
                <w:sz w:val="24"/>
                <w:szCs w:val="24"/>
              </w:rPr>
              <w:t>项目名称</w:t>
            </w:r>
          </w:p>
        </w:tc>
        <w:tc>
          <w:tcPr>
            <w:tcW w:w="2126" w:type="dxa"/>
            <w:vAlign w:val="center"/>
          </w:tcPr>
          <w:p>
            <w:pPr>
              <w:widowControl w:val="0"/>
              <w:snapToGrid w:val="0"/>
              <w:spacing w:line="240" w:lineRule="auto"/>
              <w:jc w:val="center"/>
              <w:rPr>
                <w:b/>
                <w:color w:val="auto"/>
                <w:sz w:val="24"/>
                <w:szCs w:val="24"/>
              </w:rPr>
            </w:pPr>
            <w:r>
              <w:rPr>
                <w:rFonts w:hint="eastAsia"/>
                <w:b/>
                <w:color w:val="auto"/>
                <w:sz w:val="24"/>
                <w:szCs w:val="24"/>
              </w:rPr>
              <w:t>标段（包）名称</w:t>
            </w:r>
          </w:p>
        </w:tc>
        <w:tc>
          <w:tcPr>
            <w:tcW w:w="2693" w:type="dxa"/>
            <w:vAlign w:val="center"/>
          </w:tcPr>
          <w:p>
            <w:pPr>
              <w:widowControl w:val="0"/>
              <w:snapToGrid w:val="0"/>
              <w:spacing w:line="240" w:lineRule="auto"/>
              <w:jc w:val="center"/>
              <w:rPr>
                <w:rFonts w:ascii="宋体"/>
                <w:b/>
                <w:color w:val="auto"/>
                <w:sz w:val="24"/>
                <w:szCs w:val="24"/>
              </w:rPr>
            </w:pPr>
            <w:r>
              <w:rPr>
                <w:rFonts w:hint="eastAsia" w:ascii="宋体" w:hAnsi="宋体"/>
                <w:b/>
                <w:color w:val="auto"/>
                <w:sz w:val="24"/>
                <w:szCs w:val="24"/>
              </w:rPr>
              <w:t>标段（包）内容（范围）</w:t>
            </w:r>
          </w:p>
        </w:tc>
        <w:tc>
          <w:tcPr>
            <w:tcW w:w="1881" w:type="dxa"/>
            <w:vAlign w:val="center"/>
          </w:tcPr>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合同履行期限</w:t>
            </w:r>
          </w:p>
          <w:p>
            <w:pPr>
              <w:widowControl w:val="0"/>
              <w:snapToGrid w:val="0"/>
              <w:spacing w:line="240" w:lineRule="auto"/>
              <w:jc w:val="center"/>
              <w:rPr>
                <w:b/>
                <w:color w:val="auto"/>
                <w:sz w:val="24"/>
                <w:szCs w:val="24"/>
              </w:rPr>
            </w:pPr>
            <w:r>
              <w:rPr>
                <w:rFonts w:hint="eastAsia" w:ascii="宋体" w:hAnsi="宋体"/>
                <w:b/>
                <w:color w:val="auto"/>
                <w:sz w:val="24"/>
                <w:szCs w:val="24"/>
              </w:rPr>
              <w:t>（工期）</w:t>
            </w:r>
          </w:p>
        </w:tc>
        <w:tc>
          <w:tcPr>
            <w:tcW w:w="1378" w:type="dxa"/>
            <w:vAlign w:val="center"/>
          </w:tcPr>
          <w:p>
            <w:pPr>
              <w:widowControl w:val="0"/>
              <w:snapToGrid w:val="0"/>
              <w:spacing w:line="240" w:lineRule="auto"/>
              <w:jc w:val="center"/>
              <w:rPr>
                <w:b/>
                <w:color w:val="auto"/>
                <w:sz w:val="24"/>
                <w:szCs w:val="24"/>
              </w:rPr>
            </w:pPr>
            <w:r>
              <w:rPr>
                <w:rFonts w:hint="eastAsia" w:ascii="宋体" w:hAnsi="宋体"/>
                <w:b/>
                <w:color w:val="auto"/>
                <w:sz w:val="24"/>
                <w:szCs w:val="24"/>
              </w:rPr>
              <w:t>施工地点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1" w:hRule="atLeast"/>
          <w:jc w:val="center"/>
        </w:trPr>
        <w:tc>
          <w:tcPr>
            <w:tcW w:w="1526" w:type="dxa"/>
            <w:vAlign w:val="center"/>
          </w:tcPr>
          <w:p>
            <w:pPr>
              <w:widowControl w:val="0"/>
              <w:snapToGrid w:val="0"/>
              <w:spacing w:line="240" w:lineRule="auto"/>
              <w:rPr>
                <w:color w:val="auto"/>
                <w:sz w:val="24"/>
                <w:szCs w:val="24"/>
              </w:rPr>
            </w:pPr>
            <w:r>
              <w:rPr>
                <w:rFonts w:hint="eastAsia" w:ascii="宋体" w:hAnsi="宋体"/>
                <w:color w:val="auto"/>
                <w:sz w:val="24"/>
                <w:szCs w:val="24"/>
              </w:rPr>
              <w:t>安阳市第二中学校舍装修改造项目(二次)</w:t>
            </w:r>
          </w:p>
        </w:tc>
        <w:tc>
          <w:tcPr>
            <w:tcW w:w="2126" w:type="dxa"/>
            <w:vAlign w:val="center"/>
          </w:tcPr>
          <w:p>
            <w:pPr>
              <w:widowControl w:val="0"/>
              <w:snapToGrid w:val="0"/>
              <w:spacing w:line="240" w:lineRule="auto"/>
              <w:rPr>
                <w:color w:val="auto"/>
                <w:sz w:val="24"/>
                <w:szCs w:val="24"/>
              </w:rPr>
            </w:pPr>
            <w:r>
              <w:rPr>
                <w:rFonts w:hint="eastAsia"/>
                <w:color w:val="auto"/>
                <w:sz w:val="24"/>
                <w:szCs w:val="24"/>
              </w:rPr>
              <w:t>同项目名称</w:t>
            </w:r>
          </w:p>
        </w:tc>
        <w:tc>
          <w:tcPr>
            <w:tcW w:w="2693" w:type="dxa"/>
            <w:vAlign w:val="center"/>
          </w:tcPr>
          <w:p>
            <w:pPr>
              <w:widowControl w:val="0"/>
              <w:snapToGrid w:val="0"/>
              <w:spacing w:line="240" w:lineRule="auto"/>
              <w:rPr>
                <w:color w:val="auto"/>
                <w:sz w:val="24"/>
                <w:szCs w:val="24"/>
              </w:rPr>
            </w:pPr>
            <w:r>
              <w:rPr>
                <w:rFonts w:hint="eastAsia"/>
                <w:color w:val="auto"/>
                <w:sz w:val="24"/>
                <w:szCs w:val="24"/>
              </w:rPr>
              <w:t>见“第二章第</w:t>
            </w:r>
            <w:r>
              <w:rPr>
                <w:color w:val="auto"/>
                <w:sz w:val="24"/>
                <w:szCs w:val="24"/>
              </w:rPr>
              <w:t>2</w:t>
            </w:r>
            <w:r>
              <w:rPr>
                <w:rFonts w:hint="eastAsia"/>
                <w:color w:val="auto"/>
                <w:sz w:val="24"/>
                <w:szCs w:val="24"/>
              </w:rPr>
              <w:t>条：标段（包）内容（范围）及基本技术要求”</w:t>
            </w:r>
          </w:p>
        </w:tc>
        <w:tc>
          <w:tcPr>
            <w:tcW w:w="1881" w:type="dxa"/>
            <w:vAlign w:val="center"/>
          </w:tcPr>
          <w:p>
            <w:pPr>
              <w:widowControl w:val="0"/>
              <w:snapToGrid w:val="0"/>
              <w:spacing w:line="240" w:lineRule="auto"/>
              <w:rPr>
                <w:color w:val="auto"/>
                <w:sz w:val="24"/>
                <w:szCs w:val="24"/>
              </w:rPr>
            </w:pPr>
            <w:r>
              <w:rPr>
                <w:rFonts w:hint="eastAsia"/>
                <w:color w:val="auto"/>
                <w:sz w:val="24"/>
                <w:szCs w:val="24"/>
              </w:rPr>
              <w:t>见竞争性磋商公告</w:t>
            </w:r>
            <w:r>
              <w:rPr>
                <w:color w:val="auto"/>
                <w:sz w:val="24"/>
                <w:szCs w:val="24"/>
              </w:rPr>
              <w:t>1.6</w:t>
            </w:r>
          </w:p>
        </w:tc>
        <w:tc>
          <w:tcPr>
            <w:tcW w:w="1378" w:type="dxa"/>
            <w:vAlign w:val="center"/>
          </w:tcPr>
          <w:p>
            <w:pPr>
              <w:widowControl w:val="0"/>
              <w:snapToGrid w:val="0"/>
              <w:spacing w:line="240" w:lineRule="auto"/>
              <w:rPr>
                <w:color w:val="auto"/>
                <w:sz w:val="24"/>
                <w:szCs w:val="24"/>
              </w:rPr>
            </w:pPr>
            <w:r>
              <w:rPr>
                <w:rFonts w:hint="eastAsia"/>
                <w:color w:val="auto"/>
                <w:sz w:val="24"/>
                <w:szCs w:val="24"/>
              </w:rPr>
              <w:t>采购人指定地点</w:t>
            </w:r>
          </w:p>
        </w:tc>
      </w:tr>
    </w:tbl>
    <w:p>
      <w:pPr>
        <w:spacing w:line="560" w:lineRule="exact"/>
        <w:ind w:firstLine="482" w:firstLineChars="200"/>
        <w:rPr>
          <w:rFonts w:ascii="黑体" w:hAnsi="黑体" w:eastAsia="黑体"/>
          <w:b/>
          <w:color w:val="auto"/>
          <w:sz w:val="24"/>
          <w:szCs w:val="24"/>
        </w:rPr>
      </w:pPr>
      <w:r>
        <w:rPr>
          <w:rFonts w:ascii="黑体" w:hAnsi="黑体" w:eastAsia="黑体"/>
          <w:b/>
          <w:color w:val="auto"/>
          <w:sz w:val="24"/>
          <w:szCs w:val="24"/>
        </w:rPr>
        <w:t xml:space="preserve">1.3 </w:t>
      </w:r>
      <w:r>
        <w:rPr>
          <w:rFonts w:hint="eastAsia" w:ascii="黑体" w:hAnsi="黑体" w:eastAsia="黑体"/>
          <w:b/>
          <w:color w:val="auto"/>
          <w:sz w:val="24"/>
          <w:szCs w:val="24"/>
        </w:rPr>
        <w:t>磋商报价（价格构成）</w:t>
      </w:r>
    </w:p>
    <w:p>
      <w:pPr>
        <w:widowControl w:val="0"/>
        <w:snapToGrid w:val="0"/>
        <w:spacing w:line="360" w:lineRule="auto"/>
        <w:ind w:firstLine="360" w:firstLineChars="150"/>
        <w:jc w:val="left"/>
        <w:rPr>
          <w:color w:val="auto"/>
          <w:sz w:val="24"/>
          <w:szCs w:val="24"/>
        </w:rPr>
      </w:pPr>
      <w:r>
        <w:rPr>
          <w:color w:val="auto"/>
          <w:sz w:val="24"/>
          <w:szCs w:val="24"/>
        </w:rPr>
        <w:t>1.3.1</w:t>
      </w:r>
      <w:r>
        <w:rPr>
          <w:rFonts w:hint="eastAsia"/>
          <w:color w:val="auto"/>
          <w:sz w:val="24"/>
          <w:szCs w:val="24"/>
        </w:rPr>
        <w:t>供应商的磋商报价应为施工地完工交验价，包括材料及设备费、人工费、施工机械使用费、施工达到现行环保要求所需费用、现场遇到意外突发情况处置费用、运输、现场协调、现场安装、现场配合验收、抢工措施、检验试验、材料二次搬运、垃圾清运费、施工水电、缺陷修复费、保险费，知识产权（如有）、所涉货物包装、因质量问题引起的维修和更换、技术指导和培训、成品保护、供应商的利润、税金、政策性文件的规定以及包括但不限于原材料涨价等明示或暗示的所有一切风险、责任和义务的费用等与采购项目相关的、必须的款项及费用（包括未列明而完成交验所必须的所有费用、材料、工具、设施）。</w:t>
      </w:r>
    </w:p>
    <w:p>
      <w:pPr>
        <w:widowControl w:val="0"/>
        <w:snapToGrid w:val="0"/>
        <w:spacing w:line="360" w:lineRule="auto"/>
        <w:ind w:firstLine="480" w:firstLineChars="200"/>
        <w:jc w:val="left"/>
        <w:rPr>
          <w:color w:val="auto"/>
          <w:sz w:val="24"/>
          <w:szCs w:val="24"/>
        </w:rPr>
      </w:pPr>
      <w:r>
        <w:rPr>
          <w:color w:val="auto"/>
          <w:sz w:val="24"/>
          <w:szCs w:val="24"/>
        </w:rPr>
        <w:t>1.3.2</w:t>
      </w:r>
      <w:r>
        <w:rPr>
          <w:rFonts w:hint="eastAsia"/>
          <w:color w:val="auto"/>
          <w:sz w:val="24"/>
          <w:szCs w:val="24"/>
        </w:rPr>
        <w:t>本次竞争性磋商共二次报价（含系统中</w:t>
      </w:r>
      <w:r>
        <w:rPr>
          <w:rFonts w:hint="eastAsia"/>
          <w:b/>
          <w:color w:val="auto"/>
          <w:sz w:val="24"/>
          <w:szCs w:val="24"/>
        </w:rPr>
        <w:t>开标一览表</w:t>
      </w:r>
      <w:r>
        <w:rPr>
          <w:rFonts w:hint="eastAsia"/>
          <w:color w:val="auto"/>
          <w:sz w:val="24"/>
          <w:szCs w:val="24"/>
        </w:rPr>
        <w:t>报价共二次价格磋商）。磋商小组未对《磋商文件》作优化变更增加的，磋商中的报价均不应超过前次报价，供应商擅自调高报价的，磋商小组将按二次报价中的最低报价作为有效报价。供应商拒绝接受上述意见的，磋商小组将视为变相在提交《响应文件》截止时间后撤回《响应文件》，并评定其为无效投标，</w:t>
      </w:r>
      <w:r>
        <w:rPr>
          <w:rFonts w:hint="eastAsia" w:ascii="宋体" w:hAnsi="宋体"/>
          <w:color w:val="auto"/>
          <w:sz w:val="24"/>
          <w:szCs w:val="24"/>
        </w:rPr>
        <w:t>依据磋商文件“第三章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”，供应商</w:t>
      </w:r>
      <w:r>
        <w:rPr>
          <w:rFonts w:hint="eastAsia" w:ascii="宋体" w:hAnsi="宋体" w:cs="楷体_GB2312"/>
          <w:color w:val="auto"/>
          <w:sz w:val="24"/>
          <w:szCs w:val="22"/>
        </w:rPr>
        <w:t>承担相应法律责任及违约责任。</w:t>
      </w:r>
    </w:p>
    <w:p>
      <w:pPr>
        <w:autoSpaceDE w:val="0"/>
        <w:autoSpaceDN w:val="0"/>
        <w:adjustRightInd w:val="0"/>
        <w:snapToGrid w:val="0"/>
        <w:spacing w:beforeLines="50" w:line="300" w:lineRule="auto"/>
        <w:ind w:firstLine="569" w:firstLineChars="236"/>
        <w:jc w:val="left"/>
        <w:rPr>
          <w:b/>
          <w:color w:val="auto"/>
          <w:sz w:val="24"/>
          <w:szCs w:val="24"/>
        </w:rPr>
      </w:pPr>
      <w:r>
        <w:rPr>
          <w:rFonts w:hint="eastAsia"/>
          <w:b/>
          <w:color w:val="auto"/>
          <w:sz w:val="24"/>
          <w:szCs w:val="24"/>
        </w:rPr>
        <w:t>价</w:t>
      </w:r>
      <w:r>
        <w:rPr>
          <w:b/>
          <w:color w:val="auto"/>
          <w:sz w:val="24"/>
          <w:szCs w:val="24"/>
        </w:rPr>
        <w:t>格</w:t>
      </w:r>
      <w:r>
        <w:rPr>
          <w:rFonts w:hint="eastAsia"/>
          <w:b/>
          <w:color w:val="auto"/>
          <w:sz w:val="24"/>
          <w:szCs w:val="24"/>
        </w:rPr>
        <w:t>磋商</w:t>
      </w:r>
      <w:r>
        <w:rPr>
          <w:b/>
          <w:color w:val="auto"/>
          <w:sz w:val="24"/>
          <w:szCs w:val="24"/>
        </w:rPr>
        <w:t>规</w:t>
      </w:r>
      <w:r>
        <w:rPr>
          <w:rFonts w:hint="eastAsia"/>
          <w:b/>
          <w:color w:val="auto"/>
          <w:sz w:val="24"/>
          <w:szCs w:val="24"/>
        </w:rPr>
        <w:t>则</w:t>
      </w:r>
      <w:r>
        <w:rPr>
          <w:b/>
          <w:color w:val="auto"/>
          <w:sz w:val="24"/>
          <w:szCs w:val="24"/>
        </w:rPr>
        <w:t>详见第四章</w:t>
      </w:r>
      <w:r>
        <w:rPr>
          <w:rFonts w:hint="eastAsia"/>
          <w:b/>
          <w:color w:val="auto"/>
          <w:sz w:val="24"/>
          <w:szCs w:val="24"/>
        </w:rPr>
        <w:t>“评审办法”</w:t>
      </w:r>
      <w:r>
        <w:rPr>
          <w:b/>
          <w:color w:val="auto"/>
          <w:sz w:val="24"/>
          <w:szCs w:val="24"/>
        </w:rPr>
        <w:t>第</w:t>
      </w:r>
      <w:r>
        <w:rPr>
          <w:rFonts w:hint="eastAsia"/>
          <w:b/>
          <w:color w:val="auto"/>
          <w:sz w:val="24"/>
          <w:szCs w:val="24"/>
        </w:rPr>
        <w:t>“</w:t>
      </w:r>
      <w:r>
        <w:rPr>
          <w:b/>
          <w:color w:val="auto"/>
          <w:sz w:val="24"/>
          <w:szCs w:val="24"/>
        </w:rPr>
        <w:t>3.</w:t>
      </w:r>
      <w:r>
        <w:rPr>
          <w:rFonts w:hint="eastAsia"/>
          <w:b/>
          <w:color w:val="auto"/>
          <w:sz w:val="24"/>
          <w:szCs w:val="24"/>
        </w:rPr>
        <w:t>4</w:t>
      </w:r>
      <w:r>
        <w:rPr>
          <w:b/>
          <w:color w:val="auto"/>
          <w:sz w:val="24"/>
          <w:szCs w:val="24"/>
        </w:rPr>
        <w:t xml:space="preserve">.7 </w:t>
      </w:r>
      <w:r>
        <w:rPr>
          <w:rFonts w:hint="eastAsia"/>
          <w:b/>
          <w:color w:val="auto"/>
          <w:sz w:val="24"/>
          <w:szCs w:val="24"/>
        </w:rPr>
        <w:t>价格磋商”</w:t>
      </w:r>
      <w:r>
        <w:rPr>
          <w:b/>
          <w:color w:val="auto"/>
          <w:sz w:val="24"/>
          <w:szCs w:val="24"/>
        </w:rPr>
        <w:t>条款</w:t>
      </w:r>
      <w:r>
        <w:rPr>
          <w:rFonts w:hint="eastAsia"/>
          <w:b/>
          <w:color w:val="auto"/>
          <w:sz w:val="24"/>
          <w:szCs w:val="24"/>
        </w:rPr>
        <w:t>。</w:t>
      </w:r>
    </w:p>
    <w:p>
      <w:pPr>
        <w:widowControl w:val="0"/>
        <w:snapToGrid w:val="0"/>
        <w:spacing w:line="360" w:lineRule="auto"/>
        <w:ind w:firstLine="480" w:firstLineChars="200"/>
        <w:jc w:val="left"/>
        <w:rPr>
          <w:color w:val="auto"/>
          <w:sz w:val="24"/>
          <w:szCs w:val="24"/>
        </w:rPr>
      </w:pPr>
      <w:r>
        <w:rPr>
          <w:color w:val="auto"/>
          <w:sz w:val="24"/>
          <w:szCs w:val="24"/>
        </w:rPr>
        <w:t xml:space="preserve">1.3.3 </w:t>
      </w:r>
      <w:r>
        <w:rPr>
          <w:rFonts w:hint="eastAsia"/>
          <w:color w:val="auto"/>
          <w:sz w:val="24"/>
          <w:szCs w:val="24"/>
        </w:rPr>
        <w:t>如供应商的磋商报价未超过</w:t>
      </w:r>
      <w:r>
        <w:rPr>
          <w:rFonts w:hint="eastAsia" w:ascii="宋体" w:hAnsi="宋体" w:cs="楷体_GB2312"/>
          <w:bCs/>
          <w:color w:val="auto"/>
          <w:sz w:val="24"/>
          <w:lang w:val="zh-CN"/>
        </w:rPr>
        <w:t>预算金额</w:t>
      </w:r>
      <w:r>
        <w:rPr>
          <w:rFonts w:hint="eastAsia"/>
          <w:color w:val="auto"/>
          <w:sz w:val="24"/>
          <w:szCs w:val="24"/>
        </w:rPr>
        <w:t>（见竞争性磋商公告</w:t>
      </w:r>
      <w:r>
        <w:rPr>
          <w:color w:val="auto"/>
          <w:sz w:val="24"/>
          <w:szCs w:val="24"/>
        </w:rPr>
        <w:t>1.</w:t>
      </w:r>
      <w:r>
        <w:rPr>
          <w:rFonts w:hint="eastAsia"/>
          <w:color w:val="auto"/>
          <w:sz w:val="24"/>
          <w:szCs w:val="24"/>
        </w:rPr>
        <w:t>4）的供应商不足三家的，该标段（包）做废标处理。</w:t>
      </w:r>
    </w:p>
    <w:p>
      <w:pPr>
        <w:widowControl w:val="0"/>
        <w:snapToGrid w:val="0"/>
        <w:spacing w:line="360" w:lineRule="auto"/>
        <w:ind w:firstLine="480" w:firstLineChars="200"/>
        <w:jc w:val="left"/>
        <w:rPr>
          <w:color w:val="auto"/>
          <w:sz w:val="24"/>
          <w:szCs w:val="24"/>
        </w:rPr>
      </w:pPr>
      <w:r>
        <w:rPr>
          <w:color w:val="auto"/>
          <w:sz w:val="24"/>
          <w:szCs w:val="24"/>
        </w:rPr>
        <w:t>1.3.4</w:t>
      </w:r>
      <w:r>
        <w:rPr>
          <w:rFonts w:hint="eastAsia"/>
          <w:color w:val="auto"/>
          <w:sz w:val="24"/>
          <w:szCs w:val="24"/>
        </w:rPr>
        <w:t>遵循第三章供应商须知</w:t>
      </w:r>
      <w:r>
        <w:rPr>
          <w:color w:val="auto"/>
          <w:sz w:val="24"/>
          <w:szCs w:val="24"/>
        </w:rPr>
        <w:t>3.7.</w:t>
      </w:r>
      <w:r>
        <w:rPr>
          <w:rFonts w:hint="eastAsia"/>
          <w:color w:val="auto"/>
          <w:sz w:val="24"/>
          <w:szCs w:val="24"/>
        </w:rPr>
        <w:t>5项规定。</w:t>
      </w:r>
    </w:p>
    <w:p>
      <w:pPr>
        <w:spacing w:line="560" w:lineRule="exact"/>
        <w:ind w:firstLine="562" w:firstLineChars="200"/>
        <w:rPr>
          <w:rFonts w:ascii="黑体" w:hAnsi="黑体" w:eastAsia="黑体"/>
          <w:b/>
          <w:color w:val="auto"/>
          <w:sz w:val="28"/>
        </w:rPr>
      </w:pPr>
    </w:p>
    <w:p>
      <w:pPr>
        <w:spacing w:line="560" w:lineRule="exact"/>
        <w:ind w:firstLine="562" w:firstLineChars="200"/>
        <w:outlineLvl w:val="1"/>
        <w:rPr>
          <w:rFonts w:ascii="黑体" w:hAnsi="黑体" w:eastAsia="黑体"/>
          <w:b/>
          <w:color w:val="auto"/>
          <w:sz w:val="28"/>
        </w:rPr>
      </w:pPr>
      <w:bookmarkStart w:id="11" w:name="_Toc65745040"/>
      <w:r>
        <w:rPr>
          <w:rFonts w:ascii="黑体" w:hAnsi="黑体" w:eastAsia="黑体"/>
          <w:b/>
          <w:color w:val="auto"/>
          <w:sz w:val="28"/>
        </w:rPr>
        <w:t xml:space="preserve">2. </w:t>
      </w:r>
      <w:r>
        <w:rPr>
          <w:rFonts w:hint="eastAsia" w:ascii="黑体" w:hAnsi="黑体" w:eastAsia="黑体"/>
          <w:b/>
          <w:color w:val="auto"/>
          <w:sz w:val="28"/>
        </w:rPr>
        <w:t>标段（包）内容（范围）及基本技术要求</w:t>
      </w:r>
      <w:bookmarkEnd w:id="11"/>
    </w:p>
    <w:p>
      <w:pPr>
        <w:widowControl w:val="0"/>
        <w:adjustRightInd w:val="0"/>
        <w:snapToGrid w:val="0"/>
        <w:spacing w:beforeLines="50" w:line="300" w:lineRule="auto"/>
        <w:ind w:firstLine="463" w:firstLineChars="192"/>
        <w:rPr>
          <w:rFonts w:ascii="宋体"/>
          <w:b/>
          <w:color w:val="auto"/>
          <w:sz w:val="24"/>
          <w:szCs w:val="24"/>
        </w:rPr>
      </w:pPr>
      <w:r>
        <w:rPr>
          <w:rFonts w:hint="eastAsia" w:ascii="宋体" w:hAnsi="宋体"/>
          <w:b/>
          <w:color w:val="auto"/>
          <w:sz w:val="24"/>
          <w:szCs w:val="24"/>
        </w:rPr>
        <w:t>2.1 工程概况：</w:t>
      </w:r>
    </w:p>
    <w:p>
      <w:pPr>
        <w:widowControl w:val="0"/>
        <w:adjustRightInd w:val="0"/>
        <w:snapToGrid w:val="0"/>
        <w:spacing w:line="324" w:lineRule="auto"/>
        <w:ind w:firstLine="460" w:firstLineChars="192"/>
        <w:rPr>
          <w:color w:val="auto"/>
          <w:sz w:val="24"/>
          <w:szCs w:val="24"/>
        </w:rPr>
      </w:pPr>
      <w:r>
        <w:rPr>
          <w:rFonts w:hint="eastAsia"/>
          <w:color w:val="auto"/>
          <w:sz w:val="24"/>
          <w:szCs w:val="24"/>
        </w:rPr>
        <w:t>本项目为</w:t>
      </w:r>
      <w:r>
        <w:rPr>
          <w:rFonts w:hint="eastAsia" w:ascii="宋体" w:hAnsi="宋体"/>
          <w:color w:val="auto"/>
          <w:sz w:val="24"/>
          <w:szCs w:val="24"/>
        </w:rPr>
        <w:t>安日市第二中学校舍装修改造项目</w:t>
      </w:r>
      <w:r>
        <w:rPr>
          <w:rFonts w:hint="eastAsia"/>
          <w:color w:val="auto"/>
          <w:sz w:val="24"/>
          <w:szCs w:val="24"/>
        </w:rPr>
        <w:t>。施工内容及范围：</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（一）1#教学楼室内装修改造</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一层东西向通走廊墙面装修（瓷砖墙裙1.2m高，不含大厅、楼梯间墙面）：做2.9m高600*7厚集成墙板（竹木纤维），在原有瓷砖墙裙上固定护墙板，瓷砖墙裙上部用七厘板衬平，阳角采用配套阳角线收口。在护墙板饰面上做150mm高踢脚线：10厚纤维水泥压力板基层、304#0.8厚不锈钢钢板饰面（结构胶）。</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2、一层东西两侧南北向走廊北端墙面装修（瓷砖墙裙1.2m高）：做600*7厚集成墙板（竹木纤维），在原有瓷砖墙裙上固定护墙板，瓷砖墙裙上部用七厘板衬平，阳角采用配套阳角线收口。在护墙板饰面上做150mm高踢脚线：10厚纤维水泥压力板基层、304#0.8厚不锈钢钢板饰面（结构胶）。</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3、室内有黑板墙面处理：40*60mm@400mm木龙骨基层、600*7厚集成墙板（竹木纤维）、阳角采用配套阳角线收口；智能黑板（4.2*1.3*0.065m）侧壁推拉板开洞，开洞的尺寸（450mm*350mm*三个微机室）满足教学使用要求。在护墙板饰面上做150mm高踢脚线：10厚纤维水泥压力板基层、304#0.8厚不锈钢钢板饰面（结构胶）。</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4、一层及二层微机教室墙面装修（共三个）（瓷砖墙裙1.0m高，黑板墙面处理另详说明）：做600*7厚集成墙板（竹木纤维），在原有瓷砖墙裙上固定护墙板，瓷砖墙裙上部用七厘板衬平，阳角采用配套阳角线收口。在护墙板饰面上做150mm高踢脚线：10厚纤维水泥压力板基层、304#0.8厚不锈钢钢板饰面（结构胶）</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5、一层医务室墙面装修（瓷砖踢脚线0.12m）：拆除下部0.12m高瓷砖踢脚线，建筑垃圾外运，拆除后对墙面进行清理，刷基层处理剂，1：2水泥砂浆找平；做600*7厚集成墙板（竹木纤维），阳角采用配套阳角线收口。在护墙板饰面上做150mm高踢脚线：10厚纤维水泥压力板基层、304#0.8厚不锈钢钢板饰面（结构胶）。</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6、凡是做护墙板墙面的开关插座需要更换，三个微机教室一个医务室共计：21个。</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7、散热器13组拆安：因施工护墙板需要对散热器保护性拆除，等护墙板施工完毕，将原有散热器重新安装。</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8、护墙板的高度除上述明确注明尺寸的，其余的均做到梁底（梁凸出墙面的）或板底。</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9、在施工中对原墙面空鼓、风化部分进行铲除，清理干净基层，刷基层处理剂，20厚1：2水泥砂浆找平。</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10、盥洗间洞口尺寸1.75*2.85m。</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11、室内桌椅板凳及书柜影响施工，进行保护性搬移，施工完毕恢复原状；高考系统、电脑、试验仪器、室内灯具影响施工，进行保护性处理。</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12、影响施工物品必须进行保护性处理，如因施工造成损坏，按物品当下时间购买价合理赔偿。</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（二）3#教学楼室内装修改造</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走廊、楼梯墙面装修（瓷砖墙裙1.35高）：做600*7厚集成墙板（竹木纤维），在原有瓷砖墙裙上固定护墙板，瓷砖墙裙上部用七厘板衬平，阳角采用配套阳角线收口。在护墙板饰面上做150mm高踢脚线：10厚纤维水泥压力板基层、304#0.8厚不锈钢钢板饰面（结构胶）。</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2、教室墙面装修（二层南侧教室瓷砖墙裙1.8高，其余教室瓷砖墙裙1.2高）：做600*7厚集成墙板（竹木纤维），原有瓷砖墙裙不在拆除，瓷砖墙裙上部用七厘板衬平，阳角采用配套阳角线收口。在护墙板饰面上做150mm高踢脚线：10厚纤维水泥压力板基层、304#0.8厚不锈钢钢板饰面（结构胶）。</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3、室内黑板墙面处理：40*60mm@600mm木龙骨基层、600*7厚集成墙板（竹木纤维）、阳角采用配套阳角线收口；智能黑板（4.2*1.3*0.065m）侧壁推拉板开洞，开洞的尺寸（450mm*350mm*24个教室）必须满足教学使用的要求。在护墙板饰面上做150mm高踢脚线：10厚纤维水泥压力板基层、304#0.8厚不锈钢钢板饰面（结构胶）。一共24个教室。</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4、二层210办公室墙面装修（瓷砖墙裙1.13高）：做600*7厚集成墙板（竹木纤维），在原有瓷砖墙裙上固定护墙板，瓷砖墙裙上部用七厘板衬平，阳角采用配套阳角线收口。在护墙板饰面上做150mm高踢脚线：10厚纤维水泥压力板基层、304#0.8厚不锈钢钢板饰面（结构胶）。</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5、其他教师办公室墙面装修（瓷砖踢脚线0.12m）：拆除下部0.12m高瓷砖踢脚线，建筑垃圾外运，拆除后对墙面进行清理，刷基层处理剂，1：2水泥砂浆找平；做600*7厚集成墙板（竹木纤维），阳角采用配套阳角线收口。在护墙板饰面上做150mm高踢脚线：10厚纤维水泥压力板基层、304#0.8厚不锈钢钢板饰面（结构胶）。室内独立柱装修同墙面。</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6、散热器（22组*4层）拆安：因施工护墙板需要对散热器保护性拆除，等护墙板施工完毕，将原有散热器重新安装（现场落实暖气片的材质及尺寸）。</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7、在原有窗台板上做10mm厚人造石窗台板，窗台板长度同窗宽，人造石窗台板外侧做包边。（不含一层）</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8、安装布艺窗帘及窗帘轨道，窗帘的高度到窗台板面，窗帘的宽度按窗宽度*2计算。</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9、凡做护墙板的房间：因未做护墙板而外露的梁面及天棚将原有涂料清除干净，批腻子刷室内乳胶漆两道。</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10、教室天棚涂料房间：仅二层南侧三个教室没有吊顶需做乳胶漆，其他教室已有吊顶不需做乳胶漆。</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11、教师办公室全部没有吊顶。</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12、凡是做护墙板墙面的开关插座需要更，五层走廊、大厅、楼梯，24个教室，8个小办公室，4个大办公室，共计206个。</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13、拖布池共5个：拆除原有陶瓷拖布池，安装304#不锈钢拖布池规格：300*300*350mm，不锈钢板厚度2.0mm。20厚黑金砂大理石台板安装：台面570*650mm，两面有立板（570+650）*650mm</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14、一层14～15轴交A～C轴变更为通道（110室）：墙面及顶棚装修不在这次装修范围。</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15、一层14～15轴交A～C轴（地面尺寸3.44*7.45m）及D～E轴（地面尺寸3.44*5.43m）：原有水泥地面破损，拆除水泥砂浆面层20厚，15厚1：2水泥砂浆找平，5厚水泥砂浆自流平，刷地坪耐磨漆三遍。</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16、盥洗间门洞尺寸1.8*3.4m。</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17、一层101室房间已改造，一层实验室不在本次装修改造范围内。</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18、一层大厅东侧墙面有一块LED屏（3.3*1.53*0.12m）。墙面装饰做法参照黑板墙面。</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19、一层大厅已吊顶，吊顶高度3.2m。</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20、护墙板的高度除上诉明确注明尺寸的，其余的均做到梁底（梁凸出墙面的）或板底。</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21、西墙通窗拆除原有铁栏杆，更换为304#不锈钢扶手栏杆：扶手Φ60*2mm不锈钢钢管、立杆Φ38*1.5mm不锈钢钢管@110mm。栏杆高1.2m。栏杆工程量0.6*4*4层</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22、盥洗间、卫生间均不在本次装修改造范围内。</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23、本教学楼是由原来实验楼改造而成，室内有些墙体已拆除，具体开间布局依实际为准。</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24室内桌椅板凳及书柜影响施工，进行保护性搬移，施工完毕恢复原状；高考系统、电脑、试验仪器、室内灯具影响施工，进行保护性处理。</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25、影响施工物品必须进行保护性处理，如因施工造成损坏，按物品当下时间购买价合理赔偿。</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（三）6#楼(老男生宿舍楼）室内装修改造</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1、二层、三层52个宿舍装修改造：</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1.1宿舍尺寸：宽3.03*长5.13*高3.0m；钢质门宽0.97*高2.65m；窗宽1.45*高1.77m；瓷板踢脚线高0.13m。</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1.2宿舍在原有窗台板上做10mm厚人造石窗台板，窗台板长度同窗宽，人造石窗台板外侧做包边。</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1.3宿舍安装窗帘及窗帘轨道，窗帘的高度到窗台板面，窗帘的宽度按窗宽度*2。</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1.4宿舍墙面及天棚原有涂料清除，批腻子刷室内乳胶漆两道。</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1.5宿舍散热器拆安：因施工墙面乳胶漆需要对散热器保护性拆除，等墙面乳胶漆施工完毕，将原有散热器重新安装。</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2、二层、三层内走廊、一层东部分内走廊装修改造及更换门：</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2.1走廊长52.8m*宽1.97m，现有吊顶高度是2.47m，门宽0.97*高2.65m。</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2.2一层东侧走廊长6.6m*宽1.97m，现有吊顶高度是2.47m，门宽0.97*高2.65m*2个。</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2.3走廊两端塑钢平开门（宽1.45*高2.75m）2樘*2层拆除，更换为90系列隔热断桥铝合金平开窗（中空玻璃5mm+9mm+5mm），安装闭门器、拉手、门锁、转轴合页。</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2.4走廊墙面装修（瓷砖墙裙1.45高）：做600*7厚集成墙板（竹木纤维），在原有瓷砖墙裙上固定护墙板，瓷砖墙裙上部用七厘板衬平，阳角采用配套阳角线收口。在护墙板饰面上做150mm高踢脚线：10厚纤维水泥压力板基层、304#0.8厚不锈钢钢板饰面（结构胶）。</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2.5盥洗间门洞尺寸：宽1.92*高2.20m*5个（含一层东走廊）</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2.6楼梯间门洞尺寸：宽3.0*高2.47m*4个（2层）</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3、楼梯间：</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3.1拆除原有钢管扶手铁栏杆，安装304#不锈钢扶手栏杆：扶手Φ60*2mm不锈钢钢管、立杆Φ38*1.5mm不锈钢钢管。栏杆高1.2m。</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3.2栏杆长度：3.7+0.3*2+3.6+（0.3+3.9+0.3*2+3.6）*3+1.7计38.8m*2个共计77.60m。</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3.3东侧1～3层楼梯间墙面护墙板（高度2.50m）</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3.3.1楼梯间长5.8m、宽3.0m、高2.95m，转向台窗户宽1.48m*高0.55m*2个（每层）*3层。</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3.3.2楼梯墙面装修（瓷砖墙裙1.45高）：做600*7厚集成墙板（竹木纤维），在原有瓷砖墙裙上固定护墙板，瓷砖墙裙上部用七厘板衬平，阳角采用配套阳角线收口。在护墙板饰面上做150mm高踢脚线：10厚纤维水泥压力板基层、304#0.8厚不锈钢钢板饰面（结构胶）。</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3.3.3楼梯间门洞尺寸：宽3.0*高2.47m*4个（3层）</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4、东西两侧外走廊：共5层（含屋面层）后附照片</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4.1东西两侧南北长均为15.82m，宽度1.21m，中间宽度变为1.04m；北面东西长3.50m，南面东西长3.50m，宽度1.21m。</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4.2不锈钢栏杆下部挡水坎宽度：0.12m。（共四层）</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4.3走廊顶下挂檐宽度：0.12m。（共五层）</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4.4走廊顶下挂檐内侧高度：0.28m。</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4.5挡水坎及下挂檐因年久风化裂纹，需拆除老化部分混凝土，清理干净用C50灌浆料修补平整。</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4.6挡水坎及下挂檐用结构胶粘贴4厚（40S）氟碳涂层铝塑板：外侧高0.15m，内侧高0.10m，宽度0.12m。</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4.7外走廊顶棚及下挂檐内面铲除原有涂料，基面清除干净，批腻子刷室外乳胶漆两道。（共五层）</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5、一层2个房间维修改造：</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5.1房间尺寸：宽3.03*长5.13*高3.0m；钢质门宽0.97*高2.65m；窗宽1.45*高1.77m；瓷板踢脚线高0.13m。</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5.2在原有窗台板上做10mm厚人造石窗台板，窗台板长度按窗宽增加50mm，人造石窗台板外侧做包边。</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5.3安装窗帘及窗帘轨道，窗帘的高度到窗台板面，窗帘的宽度按窗宽度*2。</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5.4房间墙面及天棚原有涂料清除，批腻子刷室内乳胶漆两道。</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5.5房间散热器拆安：因施工墙面乳胶漆需要对散热器保护性拆除，等墙面乳胶漆施工完毕，将原有散热器重新安装。</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6、钢制门油漆：</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6.1钢质门宽0.97*高2.65m*54樘铲除原有漆层及锈迹，重新批腻子、刷防锈漆两道、调和漆两道。</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7、其他说明：</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7.1室内桌椅板凳及书柜影响施工，进行保护性搬移，施工完毕恢复原状；电脑、试验仪器、室内灯具影响施工，进行保护性处理。</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7.2影响施工物品必须进行保护性处理，如因施工造成损坏，按物品当下时间购买价合理赔偿。</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（四）8#楼（图书楼）室内装修改造</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1、一层大厅：</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1.1拆除下部0.15m高预制水磨石板踢脚线，建筑垃圾外运，拆除后对墙面进行清理，刷基层处理剂，1：2水泥砂浆找平。做600*7厚集成墙板（竹木纤维），阳角采用配套阳角线收口。在护墙板饰面上做150mm高踢脚线：10厚纤维水泥压力板基层、304#0.8厚不锈钢钢板饰面（结构胶）。室内独立柱装修同墙面。</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1.2吊顶高度3.4m：采用U型轻钢龙骨、600*600*12mm矿棉吸音板吊顶。</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1.3暖气片（15组）拆安：因施工护墙板需要对暖气片保护性拆除，等护墙板施工完毕，将原有暖气片重新安装。</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1.4在原有窗台板上做人造石窗台板，窗台板长度同窗宽，人造石窗台板外侧做包边。</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1.5凡是做护墙板墙面的开关插座需要更换，一层书库大厅及走廊，计12个。</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1.6灯具、配线：90套600*600mmLED平板灯，功率80W，尽量利用原有配管、配线。</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1.7消防管道改造：拆除DN100钢管16.2m，安装DN100钢管10.2m（利用拆除下来管道）。</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1.8暖气管道改造：拆除DN32钢管13.2m，安装DN32钢管10.2m（利用拆除下来管道）。</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1.9安装布艺窗帘及窗帘轨道，窗帘的高度到窗台板面，窗帘的宽度按窗宽度*2计算。</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1.10护墙板的高度除上诉明确注明尺寸的，均做到吊顶底。</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1.11拆除吧台后面墙体，规格尺寸：（3500mm+14700mm+3500mm）*3200mm，建筑垃圾外运；修复拆除后的链接地面及墙面。</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1.12一层2樘木门（1.5*2.7m）拆除，更换为2樘钢质防盗门（1.5*2.7m）。</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2、一层西侧走廊和西门内北墙面：</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2.1墙面装修（瓷砖墙裙1.20高）：做600*7厚集成墙板（竹木纤维），在原有瓷砖墙裙上固定护墙板，瓷砖墙裙上部用七厘板衬平，阳角采用配套阳角线收口。在护墙板饰面上做150mm高踢脚线：10厚纤维水泥压力板基层、304#0.8厚不锈钢钢板饰面（结构胶）。</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2.2拆除卫生间原有木门0.8*2.1m（2樘），更换铝合金平开门0.8*2.1m（2樘）。</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2.3楼梯间门洞尺寸1.5*2.1m。</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2.4吊顶高度3.46m。</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3、三层健身房：</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3.1原有吊顶拆除，采用U型轻钢龙骨、600*600*12mm矿棉吸音板吊顶。</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3.2拆除原有木门1.5*2.7m（1樘），更换为钢质防盗门1.5*2.7m（1樘）。</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3.3灯具、配线：50套600*600mmLED平板灯,功率80W，尽量利用原有配管、配线。</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3.4吊顶高度中间是3.3m，边吊是3.2m。</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4、三层形体房：</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4.1中间原有吊顶拆除，采用U型轻钢龙骨、600*600*12mm矿棉吸音板吊顶。</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4.2房间四周原有纸面石膏板吊顶拆除，采用U型轻钢龙骨、9.5厚纸面石膏板吊顶，批腻子刷室内乳胶漆两道，尺寸宽0.47*高0.12m。</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4.3灯具、配线：40套600*600mmLED平板灯,功率80W，尽量利用原有配管、配线。</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4.4吊顶高度中间是3.3m，边吊是3.2m。</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5、其他说明：</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5.1室内桌椅板凳及书柜影响施工，进行保护性搬移，施工完毕恢复原状；电脑、试验仪器、室内灯具影响施工，进行保护性处理。</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5.2影响施工物品必须进行保护性处理，如因施工造成损坏，按物品当下时间购买价合理赔偿。</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（五）施工用水电由学校免费提供。</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（六）该项目为装修改造工程，在施工过程中，结合现场实际情况，根据发布的施工方案及招标工程量清单，按国家施工规范施工，未注明次要工序均已包含在内。</w:t>
      </w:r>
    </w:p>
    <w:p>
      <w:pPr>
        <w:widowControl w:val="0"/>
        <w:adjustRightInd w:val="0"/>
        <w:snapToGrid w:val="0"/>
        <w:spacing w:line="324" w:lineRule="auto"/>
        <w:ind w:firstLine="463" w:firstLineChars="192"/>
        <w:rPr>
          <w:rFonts w:ascii="宋体"/>
          <w:b/>
          <w:color w:val="auto"/>
          <w:sz w:val="24"/>
          <w:szCs w:val="24"/>
        </w:rPr>
      </w:pPr>
      <w:r>
        <w:rPr>
          <w:rFonts w:hint="eastAsia" w:ascii="宋体" w:hAnsi="宋体"/>
          <w:b/>
          <w:color w:val="auto"/>
          <w:sz w:val="24"/>
          <w:szCs w:val="24"/>
        </w:rPr>
        <w:t>2.2工程建设标准及技术规范：</w:t>
      </w:r>
    </w:p>
    <w:p>
      <w:pPr>
        <w:widowControl w:val="0"/>
        <w:adjustRightInd w:val="0"/>
        <w:snapToGrid w:val="0"/>
        <w:spacing w:line="324" w:lineRule="auto"/>
        <w:ind w:firstLine="460" w:firstLineChars="192"/>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）施工验收规范、规程及标准</w:t>
      </w:r>
    </w:p>
    <w:p>
      <w:pPr>
        <w:widowControl w:val="0"/>
        <w:adjustRightInd w:val="0"/>
        <w:snapToGrid w:val="0"/>
        <w:spacing w:line="324" w:lineRule="auto"/>
        <w:ind w:firstLine="460" w:firstLineChars="192"/>
        <w:rPr>
          <w:rFonts w:ascii="宋体"/>
          <w:color w:val="auto"/>
          <w:sz w:val="24"/>
          <w:szCs w:val="24"/>
        </w:rPr>
      </w:pPr>
      <w:r>
        <w:rPr>
          <w:rFonts w:hint="eastAsia" w:ascii="宋体" w:hAnsi="宋体"/>
          <w:color w:val="auto"/>
          <w:sz w:val="24"/>
          <w:szCs w:val="24"/>
        </w:rPr>
        <w:t>本采购工程项目的材料（工程设备）、施工须达到现行国家、河南省以及安阳市建设部门或行业的工程建设标准、规范的要求；本采购工程项目的材料（工程设备），应优先选购采用环保生产工艺、使用环保材料产品，优先选购具有自主知识产权的产品。</w:t>
      </w:r>
    </w:p>
    <w:p>
      <w:pPr>
        <w:widowControl w:val="0"/>
        <w:adjustRightInd w:val="0"/>
        <w:snapToGrid w:val="0"/>
        <w:spacing w:line="324" w:lineRule="auto"/>
        <w:ind w:firstLine="460" w:firstLineChars="192"/>
        <w:rPr>
          <w:rFonts w:ascii="宋体"/>
          <w:color w:val="auto"/>
          <w:sz w:val="24"/>
          <w:szCs w:val="24"/>
        </w:rPr>
      </w:pPr>
      <w:r>
        <w:rPr>
          <w:rFonts w:hint="eastAsia" w:ascii="宋体" w:hAnsi="宋体"/>
          <w:color w:val="auto"/>
          <w:sz w:val="24"/>
          <w:szCs w:val="24"/>
        </w:rPr>
        <w:t>施工方案的编制要符合国家、地方现行的技术规范、标准。</w:t>
      </w:r>
    </w:p>
    <w:p>
      <w:pPr>
        <w:widowControl w:val="0"/>
        <w:adjustRightInd w:val="0"/>
        <w:snapToGrid w:val="0"/>
        <w:spacing w:line="324" w:lineRule="auto"/>
        <w:ind w:firstLine="460" w:firstLineChars="192"/>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）施工安全管理规范、规程及规定</w:t>
      </w:r>
    </w:p>
    <w:p>
      <w:pPr>
        <w:widowControl w:val="0"/>
        <w:adjustRightInd w:val="0"/>
        <w:snapToGrid w:val="0"/>
        <w:spacing w:line="324" w:lineRule="auto"/>
        <w:ind w:firstLine="460" w:firstLineChars="192"/>
        <w:rPr>
          <w:rFonts w:ascii="宋体"/>
          <w:color w:val="auto"/>
          <w:sz w:val="24"/>
          <w:szCs w:val="24"/>
        </w:rPr>
      </w:pPr>
      <w:r>
        <w:rPr>
          <w:rFonts w:hint="eastAsia" w:ascii="宋体" w:hAnsi="宋体"/>
          <w:color w:val="auto"/>
          <w:sz w:val="24"/>
          <w:szCs w:val="24"/>
        </w:rPr>
        <w:t>《建筑机械使用安全技术规程》</w:t>
      </w:r>
    </w:p>
    <w:p>
      <w:pPr>
        <w:widowControl w:val="0"/>
        <w:adjustRightInd w:val="0"/>
        <w:snapToGrid w:val="0"/>
        <w:spacing w:line="324" w:lineRule="auto"/>
        <w:ind w:firstLine="460" w:firstLineChars="192"/>
        <w:rPr>
          <w:rFonts w:ascii="宋体"/>
          <w:color w:val="auto"/>
          <w:sz w:val="24"/>
          <w:szCs w:val="24"/>
        </w:rPr>
      </w:pPr>
      <w:r>
        <w:rPr>
          <w:rFonts w:hint="eastAsia" w:ascii="宋体" w:hAnsi="宋体"/>
          <w:color w:val="auto"/>
          <w:sz w:val="24"/>
          <w:szCs w:val="24"/>
        </w:rPr>
        <w:t>《施工现场临时用电安全技术规范》</w:t>
      </w:r>
    </w:p>
    <w:p>
      <w:pPr>
        <w:widowControl w:val="0"/>
        <w:adjustRightInd w:val="0"/>
        <w:snapToGrid w:val="0"/>
        <w:spacing w:line="324" w:lineRule="auto"/>
        <w:ind w:firstLine="460" w:firstLineChars="192"/>
        <w:rPr>
          <w:rFonts w:ascii="宋体"/>
          <w:color w:val="auto"/>
          <w:sz w:val="24"/>
          <w:szCs w:val="24"/>
        </w:rPr>
      </w:pPr>
      <w:r>
        <w:rPr>
          <w:rFonts w:hint="eastAsia" w:ascii="宋体"/>
          <w:color w:val="auto"/>
          <w:sz w:val="24"/>
          <w:szCs w:val="24"/>
        </w:rPr>
        <w:t>《建筑施工高处作业安全技术规范》</w:t>
      </w:r>
    </w:p>
    <w:p>
      <w:pPr>
        <w:widowControl w:val="0"/>
        <w:adjustRightInd w:val="0"/>
        <w:snapToGrid w:val="0"/>
        <w:spacing w:line="324" w:lineRule="auto"/>
        <w:ind w:firstLine="460" w:firstLineChars="192"/>
        <w:rPr>
          <w:rFonts w:ascii="宋体"/>
          <w:color w:val="auto"/>
          <w:sz w:val="24"/>
          <w:szCs w:val="24"/>
        </w:rPr>
      </w:pPr>
      <w:r>
        <w:rPr>
          <w:rFonts w:hint="eastAsia" w:ascii="宋体" w:hAnsi="宋体"/>
          <w:color w:val="auto"/>
          <w:sz w:val="24"/>
          <w:szCs w:val="24"/>
        </w:rPr>
        <w:t>河南省建设厅及安阳市有关部门关于建筑施工现场安全管理的有关规定。</w:t>
      </w:r>
    </w:p>
    <w:p>
      <w:pPr>
        <w:widowControl w:val="0"/>
        <w:adjustRightInd w:val="0"/>
        <w:snapToGrid w:val="0"/>
        <w:spacing w:line="324" w:lineRule="auto"/>
        <w:ind w:firstLine="460" w:firstLineChars="192"/>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）施工中涉及到的规范、规程和标准及相关技术要求。</w:t>
      </w:r>
    </w:p>
    <w:p>
      <w:pPr>
        <w:widowControl w:val="0"/>
        <w:adjustRightInd w:val="0"/>
        <w:snapToGrid w:val="0"/>
        <w:spacing w:line="324" w:lineRule="auto"/>
        <w:ind w:firstLine="460" w:firstLineChars="192"/>
        <w:rPr>
          <w:rFonts w:asci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）采购人或监理工程师依据本工程的特点和具体情况以及国家现行规范、规程和标准制定的本工程特定适用的有关补充规定或要求。</w:t>
      </w:r>
    </w:p>
    <w:p>
      <w:pPr>
        <w:widowControl w:val="0"/>
        <w:adjustRightInd w:val="0"/>
        <w:snapToGrid w:val="0"/>
        <w:spacing w:line="324" w:lineRule="auto"/>
        <w:ind w:firstLine="460" w:firstLineChars="192"/>
        <w:rPr>
          <w:rFonts w:ascii="宋体"/>
          <w:color w:val="auto"/>
          <w:sz w:val="24"/>
          <w:szCs w:val="24"/>
        </w:rPr>
      </w:pPr>
      <w:r>
        <w:rPr>
          <w:rFonts w:hint="eastAsia" w:ascii="宋体" w:hAnsi="宋体"/>
          <w:color w:val="auto"/>
          <w:sz w:val="24"/>
          <w:szCs w:val="24"/>
        </w:rPr>
        <w:t>（</w:t>
      </w:r>
      <w:r>
        <w:rPr>
          <w:rFonts w:ascii="宋体" w:hAnsi="宋体"/>
          <w:color w:val="auto"/>
          <w:sz w:val="24"/>
          <w:szCs w:val="24"/>
        </w:rPr>
        <w:t>5</w:t>
      </w:r>
      <w:r>
        <w:rPr>
          <w:rFonts w:hint="eastAsia" w:ascii="宋体" w:hAnsi="宋体"/>
          <w:color w:val="auto"/>
          <w:sz w:val="24"/>
          <w:szCs w:val="24"/>
        </w:rPr>
        <w:t>）在合同有效期内，如相关主管部门对上述的规范、规程、标准等进行了修订或更新，或者采购人（或监理工程师）对其制定的相关补充规定或要求进行了修订，则成交供应商应以更新或修订后的版本为准，并予以执行。</w:t>
      </w:r>
    </w:p>
    <w:p>
      <w:pPr>
        <w:widowControl w:val="0"/>
        <w:adjustRightInd w:val="0"/>
        <w:snapToGrid w:val="0"/>
        <w:spacing w:line="324" w:lineRule="auto"/>
        <w:ind w:firstLine="463" w:firstLineChars="192"/>
        <w:rPr>
          <w:rFonts w:ascii="宋体" w:hAnsi="宋体"/>
          <w:b/>
          <w:color w:val="auto"/>
          <w:sz w:val="24"/>
          <w:szCs w:val="24"/>
        </w:rPr>
      </w:pPr>
      <w:r>
        <w:rPr>
          <w:rFonts w:hint="eastAsia" w:ascii="宋体" w:hAnsi="宋体"/>
          <w:b/>
          <w:color w:val="auto"/>
          <w:sz w:val="24"/>
          <w:szCs w:val="24"/>
        </w:rPr>
        <w:t>2.3 主要工程量概况（含拆除、材料购置、安装及施工、垃圾清运等）</w:t>
      </w:r>
    </w:p>
    <w:p>
      <w:pPr>
        <w:widowControl w:val="0"/>
        <w:adjustRightInd w:val="0"/>
        <w:snapToGrid w:val="0"/>
        <w:spacing w:line="324" w:lineRule="auto"/>
        <w:ind w:firstLine="460" w:firstLineChars="192"/>
        <w:rPr>
          <w:rFonts w:ascii="宋体" w:hAnsi="宋体"/>
          <w:color w:val="auto"/>
          <w:sz w:val="24"/>
          <w:szCs w:val="24"/>
        </w:rPr>
      </w:pPr>
      <w:r>
        <w:rPr>
          <w:rFonts w:hint="eastAsia" w:ascii="宋体" w:hAnsi="宋体"/>
          <w:color w:val="auto"/>
          <w:sz w:val="24"/>
          <w:szCs w:val="24"/>
        </w:rPr>
        <w:t>1、1号教学楼室内装修改造工程</w:t>
      </w:r>
    </w:p>
    <w:tbl>
      <w:tblPr>
        <w:tblStyle w:val="21"/>
        <w:tblW w:w="9640" w:type="dxa"/>
        <w:jc w:val="center"/>
        <w:tblInd w:w="0" w:type="dxa"/>
        <w:tblLayout w:type="fixed"/>
        <w:tblCellMar>
          <w:top w:w="0" w:type="dxa"/>
          <w:left w:w="108" w:type="dxa"/>
          <w:bottom w:w="0" w:type="dxa"/>
          <w:right w:w="108" w:type="dxa"/>
        </w:tblCellMar>
      </w:tblPr>
      <w:tblGrid>
        <w:gridCol w:w="697"/>
        <w:gridCol w:w="1656"/>
        <w:gridCol w:w="1318"/>
        <w:gridCol w:w="4085"/>
        <w:gridCol w:w="828"/>
        <w:gridCol w:w="1056"/>
      </w:tblGrid>
      <w:tr>
        <w:tblPrEx>
          <w:tblLayout w:type="fixed"/>
          <w:tblCellMar>
            <w:top w:w="0" w:type="dxa"/>
            <w:left w:w="108" w:type="dxa"/>
            <w:bottom w:w="0" w:type="dxa"/>
            <w:right w:w="108" w:type="dxa"/>
          </w:tblCellMar>
        </w:tblPrEx>
        <w:trPr>
          <w:trHeight w:val="358" w:hRule="atLeast"/>
          <w:jc w:val="center"/>
        </w:trPr>
        <w:tc>
          <w:tcPr>
            <w:tcW w:w="69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序号</w:t>
            </w:r>
          </w:p>
        </w:tc>
        <w:tc>
          <w:tcPr>
            <w:tcW w:w="16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项目编码</w:t>
            </w:r>
          </w:p>
        </w:tc>
        <w:tc>
          <w:tcPr>
            <w:tcW w:w="131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项目名称</w:t>
            </w:r>
          </w:p>
        </w:tc>
        <w:tc>
          <w:tcPr>
            <w:tcW w:w="40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项目特征描述</w:t>
            </w:r>
          </w:p>
        </w:tc>
        <w:tc>
          <w:tcPr>
            <w:tcW w:w="82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计量单位</w:t>
            </w:r>
          </w:p>
        </w:tc>
        <w:tc>
          <w:tcPr>
            <w:tcW w:w="10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工程量</w:t>
            </w:r>
          </w:p>
        </w:tc>
      </w:tr>
      <w:tr>
        <w:tblPrEx>
          <w:tblLayout w:type="fixed"/>
          <w:tblCellMar>
            <w:top w:w="0" w:type="dxa"/>
            <w:left w:w="108" w:type="dxa"/>
            <w:bottom w:w="0" w:type="dxa"/>
            <w:right w:w="108" w:type="dxa"/>
          </w:tblCellMar>
        </w:tblPrEx>
        <w:trPr>
          <w:trHeight w:val="510" w:hRule="atLeast"/>
          <w:jc w:val="center"/>
        </w:trPr>
        <w:tc>
          <w:tcPr>
            <w:tcW w:w="697" w:type="dxa"/>
            <w:vMerge w:val="continue"/>
            <w:tcBorders>
              <w:top w:val="single" w:color="000000" w:sz="8" w:space="0"/>
              <w:left w:val="single" w:color="000000" w:sz="8" w:space="0"/>
              <w:bottom w:val="single" w:color="000000" w:sz="4" w:space="0"/>
              <w:right w:val="single" w:color="000000" w:sz="4" w:space="0"/>
            </w:tcBorders>
            <w:vAlign w:val="center"/>
          </w:tcPr>
          <w:p>
            <w:pPr>
              <w:spacing w:line="276" w:lineRule="auto"/>
              <w:jc w:val="center"/>
              <w:textAlignment w:val="auto"/>
              <w:rPr>
                <w:rFonts w:ascii="宋体" w:hAnsi="宋体" w:cs="宋体"/>
                <w:b/>
                <w:bCs/>
                <w:color w:val="auto"/>
                <w:sz w:val="24"/>
                <w:szCs w:val="24"/>
              </w:rPr>
            </w:pPr>
          </w:p>
        </w:tc>
        <w:tc>
          <w:tcPr>
            <w:tcW w:w="1656" w:type="dxa"/>
            <w:vMerge w:val="continue"/>
            <w:tcBorders>
              <w:top w:val="single" w:color="000000" w:sz="8" w:space="0"/>
              <w:left w:val="single" w:color="000000" w:sz="4" w:space="0"/>
              <w:bottom w:val="single" w:color="000000" w:sz="4" w:space="0"/>
              <w:right w:val="single" w:color="000000" w:sz="4" w:space="0"/>
            </w:tcBorders>
            <w:vAlign w:val="center"/>
          </w:tcPr>
          <w:p>
            <w:pPr>
              <w:spacing w:line="276" w:lineRule="auto"/>
              <w:jc w:val="center"/>
              <w:textAlignment w:val="auto"/>
              <w:rPr>
                <w:rFonts w:ascii="宋体" w:hAnsi="宋体" w:cs="宋体"/>
                <w:b/>
                <w:bCs/>
                <w:color w:val="auto"/>
                <w:sz w:val="24"/>
                <w:szCs w:val="24"/>
              </w:rPr>
            </w:pPr>
          </w:p>
        </w:tc>
        <w:tc>
          <w:tcPr>
            <w:tcW w:w="1318" w:type="dxa"/>
            <w:vMerge w:val="continue"/>
            <w:tcBorders>
              <w:top w:val="single" w:color="000000" w:sz="8" w:space="0"/>
              <w:left w:val="single" w:color="000000" w:sz="4" w:space="0"/>
              <w:bottom w:val="single" w:color="000000" w:sz="4" w:space="0"/>
              <w:right w:val="single" w:color="000000" w:sz="4" w:space="0"/>
            </w:tcBorders>
            <w:vAlign w:val="center"/>
          </w:tcPr>
          <w:p>
            <w:pPr>
              <w:spacing w:line="276" w:lineRule="auto"/>
              <w:jc w:val="center"/>
              <w:textAlignment w:val="auto"/>
              <w:rPr>
                <w:rFonts w:ascii="宋体" w:hAnsi="宋体" w:cs="宋体"/>
                <w:b/>
                <w:bCs/>
                <w:color w:val="auto"/>
                <w:sz w:val="24"/>
                <w:szCs w:val="24"/>
              </w:rPr>
            </w:pPr>
          </w:p>
        </w:tc>
        <w:tc>
          <w:tcPr>
            <w:tcW w:w="4085" w:type="dxa"/>
            <w:vMerge w:val="continue"/>
            <w:tcBorders>
              <w:top w:val="single" w:color="000000" w:sz="8" w:space="0"/>
              <w:left w:val="single" w:color="000000" w:sz="4" w:space="0"/>
              <w:bottom w:val="single" w:color="000000" w:sz="4" w:space="0"/>
              <w:right w:val="single" w:color="000000" w:sz="4" w:space="0"/>
            </w:tcBorders>
          </w:tcPr>
          <w:p>
            <w:pPr>
              <w:spacing w:line="276" w:lineRule="auto"/>
              <w:textAlignment w:val="auto"/>
              <w:rPr>
                <w:rFonts w:ascii="宋体" w:hAnsi="宋体" w:cs="宋体"/>
                <w:b/>
                <w:bCs/>
                <w:color w:val="auto"/>
                <w:sz w:val="24"/>
                <w:szCs w:val="24"/>
              </w:rPr>
            </w:pPr>
          </w:p>
        </w:tc>
        <w:tc>
          <w:tcPr>
            <w:tcW w:w="828" w:type="dxa"/>
            <w:vMerge w:val="continue"/>
            <w:tcBorders>
              <w:top w:val="single" w:color="000000" w:sz="8" w:space="0"/>
              <w:left w:val="single" w:color="000000" w:sz="4" w:space="0"/>
              <w:bottom w:val="single" w:color="000000" w:sz="4" w:space="0"/>
              <w:right w:val="single" w:color="000000" w:sz="4" w:space="0"/>
            </w:tcBorders>
            <w:vAlign w:val="center"/>
          </w:tcPr>
          <w:p>
            <w:pPr>
              <w:spacing w:line="276" w:lineRule="auto"/>
              <w:jc w:val="center"/>
              <w:textAlignment w:val="auto"/>
              <w:rPr>
                <w:rFonts w:ascii="宋体" w:hAnsi="宋体" w:cs="宋体"/>
                <w:b/>
                <w:bCs/>
                <w:color w:val="auto"/>
                <w:sz w:val="24"/>
                <w:szCs w:val="24"/>
              </w:rPr>
            </w:pPr>
          </w:p>
        </w:tc>
        <w:tc>
          <w:tcPr>
            <w:tcW w:w="1056" w:type="dxa"/>
            <w:vMerge w:val="continue"/>
            <w:tcBorders>
              <w:top w:val="single" w:color="000000" w:sz="8" w:space="0"/>
              <w:left w:val="single" w:color="000000" w:sz="4" w:space="0"/>
              <w:bottom w:val="single" w:color="000000" w:sz="4" w:space="0"/>
              <w:right w:val="single" w:color="000000" w:sz="4" w:space="0"/>
            </w:tcBorders>
            <w:vAlign w:val="center"/>
          </w:tcPr>
          <w:p>
            <w:pPr>
              <w:spacing w:line="276" w:lineRule="auto"/>
              <w:jc w:val="center"/>
              <w:textAlignment w:val="auto"/>
              <w:rPr>
                <w:rFonts w:ascii="宋体" w:hAnsi="宋体" w:cs="宋体"/>
                <w:b/>
                <w:bCs/>
                <w:color w:val="auto"/>
                <w:sz w:val="24"/>
                <w:szCs w:val="24"/>
              </w:rPr>
            </w:pPr>
          </w:p>
        </w:tc>
      </w:tr>
      <w:tr>
        <w:tblPrEx>
          <w:tblLayout w:type="fixed"/>
          <w:tblCellMar>
            <w:top w:w="0" w:type="dxa"/>
            <w:left w:w="108" w:type="dxa"/>
            <w:bottom w:w="0" w:type="dxa"/>
            <w:right w:w="108" w:type="dxa"/>
          </w:tblCellMar>
        </w:tblPrEx>
        <w:trPr>
          <w:trHeight w:val="360" w:hRule="atLeast"/>
          <w:jc w:val="center"/>
        </w:trPr>
        <w:tc>
          <w:tcPr>
            <w:tcW w:w="9640" w:type="dxa"/>
            <w:gridSpan w:val="6"/>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color w:val="auto"/>
                <w:sz w:val="24"/>
                <w:szCs w:val="24"/>
              </w:rPr>
            </w:pPr>
            <w:r>
              <w:rPr>
                <w:rFonts w:hint="eastAsia" w:ascii="宋体" w:hAnsi="宋体" w:cs="宋体"/>
                <w:b/>
                <w:color w:val="auto"/>
                <w:sz w:val="24"/>
                <w:szCs w:val="24"/>
              </w:rPr>
              <w:t>整个项目</w:t>
            </w:r>
          </w:p>
        </w:tc>
      </w:tr>
      <w:tr>
        <w:tblPrEx>
          <w:tblLayout w:type="fixed"/>
          <w:tblCellMar>
            <w:top w:w="0" w:type="dxa"/>
            <w:left w:w="108" w:type="dxa"/>
            <w:bottom w:w="0" w:type="dxa"/>
            <w:right w:w="108" w:type="dxa"/>
          </w:tblCellMar>
        </w:tblPrEx>
        <w:trPr>
          <w:trHeight w:val="513"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011605002001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立面块料拆除</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1.拆除的基层类型：水泥砂浆</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2.饰面材料种类：瓷砖踢脚板</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2.43</w:t>
            </w:r>
          </w:p>
        </w:tc>
      </w:tr>
      <w:tr>
        <w:tblPrEx>
          <w:tblLayout w:type="fixed"/>
          <w:tblCellMar>
            <w:top w:w="0" w:type="dxa"/>
            <w:left w:w="108" w:type="dxa"/>
            <w:bottom w:w="0" w:type="dxa"/>
            <w:right w:w="108" w:type="dxa"/>
          </w:tblCellMar>
        </w:tblPrEx>
        <w:trPr>
          <w:trHeight w:val="960"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010103002001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余方弃置</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1.废弃料品种：建筑垃圾</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2.运距：12km，符合安阳市及环保相关部门要求。</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3.人工运到室外</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m3</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0.07</w:t>
            </w:r>
          </w:p>
        </w:tc>
      </w:tr>
      <w:tr>
        <w:tblPrEx>
          <w:tblLayout w:type="fixed"/>
          <w:tblCellMar>
            <w:top w:w="0" w:type="dxa"/>
            <w:left w:w="108" w:type="dxa"/>
            <w:bottom w:w="0" w:type="dxa"/>
            <w:right w:w="108" w:type="dxa"/>
          </w:tblCellMar>
        </w:tblPrEx>
        <w:trPr>
          <w:trHeight w:val="614"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011105001001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水泥砂浆踢脚线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1.踢脚线高度：120mm</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2.底层厚度、砂浆配合比：20mm 1：2</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水泥砂浆</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2.43</w:t>
            </w:r>
          </w:p>
        </w:tc>
      </w:tr>
      <w:tr>
        <w:tblPrEx>
          <w:tblLayout w:type="fixed"/>
          <w:tblCellMar>
            <w:top w:w="0" w:type="dxa"/>
            <w:left w:w="108" w:type="dxa"/>
            <w:bottom w:w="0" w:type="dxa"/>
            <w:right w:w="108" w:type="dxa"/>
          </w:tblCellMar>
        </w:tblPrEx>
        <w:trPr>
          <w:trHeight w:val="1509"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011105006001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金属踢脚线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1.踢脚线高度：150mm</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2.基层材料种类、规格：10厚纤维水</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泥压力板</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3.面层材料品种、规格、颜色：0.8mm</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厚304不锈钢踢脚线（结构胶）</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37.85</w:t>
            </w:r>
          </w:p>
        </w:tc>
      </w:tr>
      <w:tr>
        <w:tblPrEx>
          <w:tblLayout w:type="fixed"/>
          <w:tblCellMar>
            <w:top w:w="0" w:type="dxa"/>
            <w:left w:w="108" w:type="dxa"/>
            <w:bottom w:w="0" w:type="dxa"/>
            <w:right w:w="108" w:type="dxa"/>
          </w:tblCellMar>
        </w:tblPrEx>
        <w:trPr>
          <w:trHeight w:val="253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5</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011207001001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墙面装饰板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1.龙骨材料种类、规格、中距：40*60</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mm木龙骨@600</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2.面层材料品种、规格、颜色：600*7</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厚集成墙板（竹木纤维）</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3.压条材料种类、规格：配套阳角角线</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4.部位：黑板墙面</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68.46</w:t>
            </w:r>
          </w:p>
        </w:tc>
      </w:tr>
      <w:tr>
        <w:tblPrEx>
          <w:tblLayout w:type="fixed"/>
          <w:tblCellMar>
            <w:top w:w="0" w:type="dxa"/>
            <w:left w:w="108" w:type="dxa"/>
            <w:bottom w:w="0" w:type="dxa"/>
            <w:right w:w="108" w:type="dxa"/>
          </w:tblCellMar>
        </w:tblPrEx>
        <w:trPr>
          <w:trHeight w:val="1273"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6</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011207001002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墙面装饰板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1.面层材料品种、规格、颜色：600*7</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厚集成墙板（竹木纤维）</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2.压条材料种类、规格：配套阳角角</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线</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266.7</w:t>
            </w:r>
          </w:p>
        </w:tc>
      </w:tr>
      <w:tr>
        <w:tblPrEx>
          <w:tblLayout w:type="fixed"/>
          <w:tblCellMar>
            <w:top w:w="0" w:type="dxa"/>
            <w:left w:w="108" w:type="dxa"/>
            <w:bottom w:w="0" w:type="dxa"/>
            <w:right w:w="108" w:type="dxa"/>
          </w:tblCellMar>
        </w:tblPrEx>
        <w:trPr>
          <w:trHeight w:val="1392"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7</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011207001003</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墙面装饰板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1.基层材料种类、规格：7厚 胶合板</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2.面层材料品种、规格、颜色：600*7</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厚集成墙板（竹木纤维）</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3.压条材料种类、规格：配套阳角角</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线</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304.9</w:t>
            </w:r>
          </w:p>
        </w:tc>
      </w:tr>
      <w:tr>
        <w:tblPrEx>
          <w:tblLayout w:type="fixed"/>
          <w:tblCellMar>
            <w:top w:w="0" w:type="dxa"/>
            <w:left w:w="108" w:type="dxa"/>
            <w:bottom w:w="0" w:type="dxa"/>
            <w:right w:w="108" w:type="dxa"/>
          </w:tblCellMar>
        </w:tblPrEx>
        <w:trPr>
          <w:trHeight w:val="86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8</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031005002001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钢制散热器</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1.安装方式：壁挂</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2.原有钢制散热器保护性拆除，等装</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修施工完成后重新安装钢制散热器</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组</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13</w:t>
            </w:r>
          </w:p>
        </w:tc>
      </w:tr>
      <w:tr>
        <w:tblPrEx>
          <w:tblLayout w:type="fixed"/>
          <w:tblCellMar>
            <w:top w:w="0" w:type="dxa"/>
            <w:left w:w="108" w:type="dxa"/>
            <w:bottom w:w="0" w:type="dxa"/>
            <w:right w:w="108" w:type="dxa"/>
          </w:tblCellMar>
        </w:tblPrEx>
        <w:trPr>
          <w:trHeight w:val="960"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9</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01B002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开关、插座更换</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1.室内原有开关、插座拆除，更换新</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的开关、插座</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2.满足使用要求</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项</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r>
      <w:tr>
        <w:tblPrEx>
          <w:tblLayout w:type="fixed"/>
          <w:tblCellMar>
            <w:top w:w="0" w:type="dxa"/>
            <w:left w:w="108" w:type="dxa"/>
            <w:bottom w:w="0" w:type="dxa"/>
            <w:right w:w="108" w:type="dxa"/>
          </w:tblCellMar>
        </w:tblPrEx>
        <w:trPr>
          <w:trHeight w:val="1833"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10</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01B001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室内物品保护</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1.室内桌椅板凳及书柜影响施工，进</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行保护性搬移，施工完毕恢复原状；</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高考系统、电脑、试验仪器、室内灯</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具影响施工，进行保护性处理；如有</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损坏，按时价赔偿,满足正常安全使</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用。</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项</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r>
      <w:tr>
        <w:tblPrEx>
          <w:tblLayout w:type="fixed"/>
          <w:tblCellMar>
            <w:top w:w="0" w:type="dxa"/>
            <w:left w:w="108" w:type="dxa"/>
            <w:bottom w:w="0" w:type="dxa"/>
            <w:right w:w="108" w:type="dxa"/>
          </w:tblCellMar>
        </w:tblPrEx>
        <w:trPr>
          <w:trHeight w:val="360"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措施项目</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011703001001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垂直运输</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1.建筑物建筑类型及结构形式 ：现浇框架结构</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2.根据项目施工内容，自行考虑。</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项</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r>
    </w:tbl>
    <w:p>
      <w:pPr>
        <w:spacing w:line="360" w:lineRule="auto"/>
        <w:ind w:firstLine="240" w:firstLineChars="100"/>
        <w:jc w:val="left"/>
        <w:rPr>
          <w:color w:val="auto"/>
          <w:sz w:val="24"/>
          <w:szCs w:val="24"/>
        </w:rPr>
      </w:pPr>
    </w:p>
    <w:p>
      <w:pPr>
        <w:spacing w:line="360" w:lineRule="auto"/>
        <w:ind w:firstLine="240" w:firstLineChars="100"/>
        <w:jc w:val="left"/>
        <w:rPr>
          <w:color w:val="auto"/>
          <w:sz w:val="24"/>
          <w:szCs w:val="24"/>
        </w:rPr>
      </w:pPr>
      <w:r>
        <w:rPr>
          <w:rFonts w:hint="eastAsia"/>
          <w:color w:val="auto"/>
          <w:sz w:val="24"/>
          <w:szCs w:val="24"/>
        </w:rPr>
        <w:t>2、3号教学楼室内装修改造工程</w:t>
      </w:r>
    </w:p>
    <w:tbl>
      <w:tblPr>
        <w:tblStyle w:val="21"/>
        <w:tblW w:w="9640" w:type="dxa"/>
        <w:jc w:val="center"/>
        <w:tblInd w:w="0" w:type="dxa"/>
        <w:tblLayout w:type="fixed"/>
        <w:tblCellMar>
          <w:top w:w="0" w:type="dxa"/>
          <w:left w:w="108" w:type="dxa"/>
          <w:bottom w:w="0" w:type="dxa"/>
          <w:right w:w="108" w:type="dxa"/>
        </w:tblCellMar>
      </w:tblPr>
      <w:tblGrid>
        <w:gridCol w:w="697"/>
        <w:gridCol w:w="1656"/>
        <w:gridCol w:w="1318"/>
        <w:gridCol w:w="4085"/>
        <w:gridCol w:w="828"/>
        <w:gridCol w:w="1056"/>
      </w:tblGrid>
      <w:tr>
        <w:tblPrEx>
          <w:tblLayout w:type="fixed"/>
          <w:tblCellMar>
            <w:top w:w="0" w:type="dxa"/>
            <w:left w:w="108" w:type="dxa"/>
            <w:bottom w:w="0" w:type="dxa"/>
            <w:right w:w="108" w:type="dxa"/>
          </w:tblCellMar>
        </w:tblPrEx>
        <w:trPr>
          <w:trHeight w:val="358" w:hRule="atLeast"/>
          <w:jc w:val="center"/>
        </w:trPr>
        <w:tc>
          <w:tcPr>
            <w:tcW w:w="69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序号</w:t>
            </w:r>
          </w:p>
        </w:tc>
        <w:tc>
          <w:tcPr>
            <w:tcW w:w="16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项目编码</w:t>
            </w:r>
          </w:p>
        </w:tc>
        <w:tc>
          <w:tcPr>
            <w:tcW w:w="131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项目名称</w:t>
            </w:r>
          </w:p>
        </w:tc>
        <w:tc>
          <w:tcPr>
            <w:tcW w:w="40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项目特征描述</w:t>
            </w:r>
          </w:p>
        </w:tc>
        <w:tc>
          <w:tcPr>
            <w:tcW w:w="82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计量单位</w:t>
            </w:r>
          </w:p>
        </w:tc>
        <w:tc>
          <w:tcPr>
            <w:tcW w:w="10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工程量</w:t>
            </w:r>
          </w:p>
        </w:tc>
      </w:tr>
      <w:tr>
        <w:tblPrEx>
          <w:tblLayout w:type="fixed"/>
          <w:tblCellMar>
            <w:top w:w="0" w:type="dxa"/>
            <w:left w:w="108" w:type="dxa"/>
            <w:bottom w:w="0" w:type="dxa"/>
            <w:right w:w="108" w:type="dxa"/>
          </w:tblCellMar>
        </w:tblPrEx>
        <w:trPr>
          <w:trHeight w:val="510" w:hRule="atLeast"/>
          <w:jc w:val="center"/>
        </w:trPr>
        <w:tc>
          <w:tcPr>
            <w:tcW w:w="697" w:type="dxa"/>
            <w:vMerge w:val="continue"/>
            <w:tcBorders>
              <w:top w:val="single" w:color="000000" w:sz="8" w:space="0"/>
              <w:left w:val="single" w:color="000000" w:sz="8" w:space="0"/>
              <w:bottom w:val="single" w:color="000000" w:sz="4" w:space="0"/>
              <w:right w:val="single" w:color="000000" w:sz="4" w:space="0"/>
            </w:tcBorders>
            <w:vAlign w:val="center"/>
          </w:tcPr>
          <w:p>
            <w:pPr>
              <w:spacing w:line="276" w:lineRule="auto"/>
              <w:jc w:val="center"/>
              <w:textAlignment w:val="auto"/>
              <w:rPr>
                <w:rFonts w:ascii="宋体" w:hAnsi="宋体" w:cs="宋体"/>
                <w:b/>
                <w:bCs/>
                <w:color w:val="auto"/>
                <w:sz w:val="24"/>
                <w:szCs w:val="24"/>
              </w:rPr>
            </w:pPr>
          </w:p>
        </w:tc>
        <w:tc>
          <w:tcPr>
            <w:tcW w:w="1656" w:type="dxa"/>
            <w:vMerge w:val="continue"/>
            <w:tcBorders>
              <w:top w:val="single" w:color="000000" w:sz="8" w:space="0"/>
              <w:left w:val="single" w:color="000000" w:sz="4" w:space="0"/>
              <w:bottom w:val="single" w:color="000000" w:sz="4" w:space="0"/>
              <w:right w:val="single" w:color="000000" w:sz="4" w:space="0"/>
            </w:tcBorders>
            <w:vAlign w:val="center"/>
          </w:tcPr>
          <w:p>
            <w:pPr>
              <w:spacing w:line="276" w:lineRule="auto"/>
              <w:jc w:val="center"/>
              <w:textAlignment w:val="auto"/>
              <w:rPr>
                <w:rFonts w:ascii="宋体" w:hAnsi="宋体" w:cs="宋体"/>
                <w:b/>
                <w:bCs/>
                <w:color w:val="auto"/>
                <w:sz w:val="24"/>
                <w:szCs w:val="24"/>
              </w:rPr>
            </w:pPr>
          </w:p>
        </w:tc>
        <w:tc>
          <w:tcPr>
            <w:tcW w:w="1318" w:type="dxa"/>
            <w:vMerge w:val="continue"/>
            <w:tcBorders>
              <w:top w:val="single" w:color="000000" w:sz="8" w:space="0"/>
              <w:left w:val="single" w:color="000000" w:sz="4" w:space="0"/>
              <w:bottom w:val="single" w:color="000000" w:sz="4" w:space="0"/>
              <w:right w:val="single" w:color="000000" w:sz="4" w:space="0"/>
            </w:tcBorders>
            <w:vAlign w:val="center"/>
          </w:tcPr>
          <w:p>
            <w:pPr>
              <w:spacing w:line="276" w:lineRule="auto"/>
              <w:jc w:val="center"/>
              <w:textAlignment w:val="auto"/>
              <w:rPr>
                <w:rFonts w:ascii="宋体" w:hAnsi="宋体" w:cs="宋体"/>
                <w:b/>
                <w:bCs/>
                <w:color w:val="auto"/>
                <w:sz w:val="24"/>
                <w:szCs w:val="24"/>
              </w:rPr>
            </w:pPr>
          </w:p>
        </w:tc>
        <w:tc>
          <w:tcPr>
            <w:tcW w:w="4085" w:type="dxa"/>
            <w:vMerge w:val="continue"/>
            <w:tcBorders>
              <w:top w:val="single" w:color="000000" w:sz="8" w:space="0"/>
              <w:left w:val="single" w:color="000000" w:sz="4" w:space="0"/>
              <w:bottom w:val="single" w:color="000000" w:sz="4" w:space="0"/>
              <w:right w:val="single" w:color="000000" w:sz="4" w:space="0"/>
            </w:tcBorders>
          </w:tcPr>
          <w:p>
            <w:pPr>
              <w:spacing w:line="276" w:lineRule="auto"/>
              <w:textAlignment w:val="auto"/>
              <w:rPr>
                <w:rFonts w:ascii="宋体" w:hAnsi="宋体" w:cs="宋体"/>
                <w:b/>
                <w:bCs/>
                <w:color w:val="auto"/>
                <w:sz w:val="24"/>
                <w:szCs w:val="24"/>
              </w:rPr>
            </w:pPr>
          </w:p>
        </w:tc>
        <w:tc>
          <w:tcPr>
            <w:tcW w:w="828" w:type="dxa"/>
            <w:vMerge w:val="continue"/>
            <w:tcBorders>
              <w:top w:val="single" w:color="000000" w:sz="8" w:space="0"/>
              <w:left w:val="single" w:color="000000" w:sz="4" w:space="0"/>
              <w:bottom w:val="single" w:color="000000" w:sz="4" w:space="0"/>
              <w:right w:val="single" w:color="000000" w:sz="4" w:space="0"/>
            </w:tcBorders>
            <w:vAlign w:val="center"/>
          </w:tcPr>
          <w:p>
            <w:pPr>
              <w:spacing w:line="276" w:lineRule="auto"/>
              <w:jc w:val="center"/>
              <w:textAlignment w:val="auto"/>
              <w:rPr>
                <w:rFonts w:ascii="宋体" w:hAnsi="宋体" w:cs="宋体"/>
                <w:b/>
                <w:bCs/>
                <w:color w:val="auto"/>
                <w:sz w:val="24"/>
                <w:szCs w:val="24"/>
              </w:rPr>
            </w:pPr>
          </w:p>
        </w:tc>
        <w:tc>
          <w:tcPr>
            <w:tcW w:w="1056" w:type="dxa"/>
            <w:vMerge w:val="continue"/>
            <w:tcBorders>
              <w:top w:val="single" w:color="000000" w:sz="8" w:space="0"/>
              <w:left w:val="single" w:color="000000" w:sz="4" w:space="0"/>
              <w:bottom w:val="single" w:color="000000" w:sz="4" w:space="0"/>
              <w:right w:val="single" w:color="000000" w:sz="4" w:space="0"/>
            </w:tcBorders>
            <w:vAlign w:val="center"/>
          </w:tcPr>
          <w:p>
            <w:pPr>
              <w:spacing w:line="276" w:lineRule="auto"/>
              <w:jc w:val="center"/>
              <w:textAlignment w:val="auto"/>
              <w:rPr>
                <w:rFonts w:ascii="宋体" w:hAnsi="宋体" w:cs="宋体"/>
                <w:b/>
                <w:bCs/>
                <w:color w:val="auto"/>
                <w:sz w:val="24"/>
                <w:szCs w:val="24"/>
              </w:rPr>
            </w:pPr>
          </w:p>
        </w:tc>
      </w:tr>
      <w:tr>
        <w:tblPrEx>
          <w:tblLayout w:type="fixed"/>
          <w:tblCellMar>
            <w:top w:w="0" w:type="dxa"/>
            <w:left w:w="108" w:type="dxa"/>
            <w:bottom w:w="0" w:type="dxa"/>
            <w:right w:w="108" w:type="dxa"/>
          </w:tblCellMar>
        </w:tblPrEx>
        <w:trPr>
          <w:trHeight w:val="382" w:hRule="atLeast"/>
          <w:jc w:val="center"/>
        </w:trPr>
        <w:tc>
          <w:tcPr>
            <w:tcW w:w="9640" w:type="dxa"/>
            <w:gridSpan w:val="6"/>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color w:val="auto"/>
                <w:sz w:val="24"/>
                <w:szCs w:val="24"/>
              </w:rPr>
            </w:pPr>
            <w:r>
              <w:rPr>
                <w:rFonts w:hint="eastAsia" w:ascii="宋体" w:hAnsi="宋体" w:cs="宋体"/>
                <w:b/>
                <w:color w:val="auto"/>
                <w:sz w:val="24"/>
                <w:szCs w:val="24"/>
              </w:rPr>
              <w:t>一层东侧楼梯间地面</w:t>
            </w:r>
          </w:p>
        </w:tc>
      </w:tr>
      <w:tr>
        <w:tblPrEx>
          <w:tblLayout w:type="fixed"/>
          <w:tblCellMar>
            <w:top w:w="0" w:type="dxa"/>
            <w:left w:w="108" w:type="dxa"/>
            <w:bottom w:w="0" w:type="dxa"/>
            <w:right w:w="108" w:type="dxa"/>
          </w:tblCellMar>
        </w:tblPrEx>
        <w:trPr>
          <w:trHeight w:val="700"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011604001001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平面抹灰层拆除</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1.拆除部位：楼地面</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2.抹灰层种类：20厚水泥砂浆</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44.31</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010103002001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余方弃置</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1.废弃料品种：建筑垃圾</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2.运距：12km，符合安阳市及环保相关部门要求。</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3.人工运到室外</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m3</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0.89</w:t>
            </w:r>
          </w:p>
        </w:tc>
      </w:tr>
      <w:tr>
        <w:tblPrEx>
          <w:tblLayout w:type="fixed"/>
          <w:tblCellMar>
            <w:top w:w="0" w:type="dxa"/>
            <w:left w:w="108" w:type="dxa"/>
            <w:bottom w:w="0" w:type="dxa"/>
            <w:right w:w="108" w:type="dxa"/>
          </w:tblCellMar>
        </w:tblPrEx>
        <w:trPr>
          <w:trHeight w:val="240"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011101005001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自流坪楼地面</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1.找平层砂浆配合比、厚度：15厚1：2水泥砂浆</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2.面层材料种类：5厚水泥基自流平</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3.基础清理、107胶素水泥浆一道</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44.31</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011406001001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抹灰面油漆</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1.基层类型：一般抹灰面</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2.腻子种类：成品腻子</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3.刮腻子遍数 ：两遍</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4.油漆品种、刷漆遍数：耐磨地坪漆</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两道</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5.部位：楼地面</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44.31</w:t>
            </w:r>
          </w:p>
        </w:tc>
      </w:tr>
      <w:tr>
        <w:tblPrEx>
          <w:tblLayout w:type="fixed"/>
          <w:tblCellMar>
            <w:top w:w="0" w:type="dxa"/>
            <w:left w:w="108" w:type="dxa"/>
            <w:bottom w:w="0" w:type="dxa"/>
            <w:right w:w="108" w:type="dxa"/>
          </w:tblCellMar>
        </w:tblPrEx>
        <w:trPr>
          <w:trHeight w:val="315" w:hRule="atLeast"/>
          <w:jc w:val="center"/>
        </w:trPr>
        <w:tc>
          <w:tcPr>
            <w:tcW w:w="9640" w:type="dxa"/>
            <w:gridSpan w:val="6"/>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踢脚板、墙面板</w:t>
            </w:r>
          </w:p>
        </w:tc>
      </w:tr>
      <w:tr>
        <w:tblPrEx>
          <w:tblLayout w:type="fixed"/>
          <w:tblCellMar>
            <w:top w:w="0" w:type="dxa"/>
            <w:left w:w="108" w:type="dxa"/>
            <w:bottom w:w="0" w:type="dxa"/>
            <w:right w:w="108" w:type="dxa"/>
          </w:tblCellMar>
        </w:tblPrEx>
        <w:trPr>
          <w:trHeight w:val="518"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011605002001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立面块料拆除</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1.拆除的基层类型：水泥砂浆</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2.饰面材料种类：瓷砖踢脚板</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34.24</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010103002002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余方弃置</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1.废弃料品种：建筑垃圾</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2.运距：12km，符合安阳市及环保相关部门要求。</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3.人工运到室外</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m3</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1.03</w:t>
            </w:r>
          </w:p>
        </w:tc>
      </w:tr>
      <w:tr>
        <w:tblPrEx>
          <w:tblLayout w:type="fixed"/>
          <w:tblCellMar>
            <w:top w:w="0" w:type="dxa"/>
            <w:left w:w="108" w:type="dxa"/>
            <w:bottom w:w="0" w:type="dxa"/>
            <w:right w:w="108" w:type="dxa"/>
          </w:tblCellMar>
        </w:tblPrEx>
        <w:trPr>
          <w:trHeight w:val="747"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011105001001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水泥砂浆踢脚线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1.踢脚线高度：120mm</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2.底层厚度、砂浆配合比：20mm 1：2</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水泥砂浆</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34.24</w:t>
            </w:r>
          </w:p>
        </w:tc>
      </w:tr>
      <w:tr>
        <w:tblPrEx>
          <w:tblLayout w:type="fixed"/>
          <w:tblCellMar>
            <w:top w:w="0" w:type="dxa"/>
            <w:left w:w="108" w:type="dxa"/>
            <w:bottom w:w="0" w:type="dxa"/>
            <w:right w:w="108" w:type="dxa"/>
          </w:tblCellMar>
        </w:tblPrEx>
        <w:trPr>
          <w:trHeight w:val="819"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011105006001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金属踢脚线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1.踢脚线高度：150mm</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2.基层材料种类、规格：10厚纤维水</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泥压力板</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3.面层材料品种、规格、颜色：0.8mm</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厚304不锈钢踢脚线（结构胶）</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250.02</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5</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011207001001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墙面装饰板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1.龙骨材料种类、规格、中距：40*60</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mm木龙骨@600</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2.面层材料品种、规格、颜色：600*7</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厚集成墙板（竹木纤维）</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3.压条材料种类、规格 ：配套阳角角</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线</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4.部位 ：黑板墙面</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499.5</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6</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011207001004</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墙面装饰板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1.龙骨材料种类、规格、中距：40*60</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mm木龙骨@600</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2.面层材料品种、规格、颜色：600*7</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厚集成墙板（竹木纤维）</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3.压条材料种类、规格：配套阳角角</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线</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4.部位 ：一层大厅LED屏墙面</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7.86</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7</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011207001002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墙面装饰板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1.面层材料品种、规格、颜色：600*7</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厚集成墙板（竹木纤维）</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2.压条材料种类、规格：配套阳角角</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线</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2466.57</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8</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011207001003</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墙面装饰板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1.基层材料种类、规格：7厚胶合板</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2.面层材料品种、规格、颜色：600*7</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厚集成墙板（竹木纤维）</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3.压条材料种类、规格：配套阳角角</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线</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1843.52</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9</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011208001001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柱（梁）面装饰</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1.面层材料品种、规格、颜色：600*7</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厚集成墙板（竹木纤维）</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2.压条材料种类、规格：配套阳角角</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线</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26.52</w:t>
            </w:r>
          </w:p>
        </w:tc>
      </w:tr>
      <w:tr>
        <w:tblPrEx>
          <w:tblLayout w:type="fixed"/>
          <w:tblCellMar>
            <w:top w:w="0" w:type="dxa"/>
            <w:left w:w="108" w:type="dxa"/>
            <w:bottom w:w="0" w:type="dxa"/>
            <w:right w:w="108" w:type="dxa"/>
          </w:tblCellMar>
        </w:tblPrEx>
        <w:trPr>
          <w:trHeight w:val="494" w:hRule="atLeast"/>
          <w:jc w:val="center"/>
        </w:trPr>
        <w:tc>
          <w:tcPr>
            <w:tcW w:w="9640" w:type="dxa"/>
            <w:gridSpan w:val="6"/>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散热器、开关及插座</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031005002001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钢制散热器</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1.安装方式：壁挂</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2.原有钢制散热器保护性拆除，等装</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修施工完成后重新安装钢制散热器</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组</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88</w:t>
            </w:r>
          </w:p>
        </w:tc>
      </w:tr>
      <w:tr>
        <w:tblPrEx>
          <w:tblLayout w:type="fixed"/>
          <w:tblCellMar>
            <w:top w:w="0" w:type="dxa"/>
            <w:left w:w="108" w:type="dxa"/>
            <w:bottom w:w="0" w:type="dxa"/>
            <w:right w:w="108" w:type="dxa"/>
          </w:tblCellMar>
        </w:tblPrEx>
        <w:trPr>
          <w:trHeight w:val="929"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01B001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开关、插座更换</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1.室内原有开关、插座拆除，更换新</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的开关、插座</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2.满足使用要求</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项</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r>
      <w:tr>
        <w:tblPrEx>
          <w:tblLayout w:type="fixed"/>
          <w:tblCellMar>
            <w:top w:w="0" w:type="dxa"/>
            <w:left w:w="108" w:type="dxa"/>
            <w:bottom w:w="0" w:type="dxa"/>
            <w:right w:w="108" w:type="dxa"/>
          </w:tblCellMar>
        </w:tblPrEx>
        <w:trPr>
          <w:trHeight w:val="420" w:hRule="atLeast"/>
          <w:jc w:val="center"/>
        </w:trPr>
        <w:tc>
          <w:tcPr>
            <w:tcW w:w="9640" w:type="dxa"/>
            <w:gridSpan w:val="6"/>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乳胶漆</w:t>
            </w:r>
          </w:p>
        </w:tc>
      </w:tr>
      <w:tr>
        <w:tblPrEx>
          <w:tblLayout w:type="fixed"/>
          <w:tblCellMar>
            <w:top w:w="0" w:type="dxa"/>
            <w:left w:w="108" w:type="dxa"/>
            <w:bottom w:w="0" w:type="dxa"/>
            <w:right w:w="108" w:type="dxa"/>
          </w:tblCellMar>
        </w:tblPrEx>
        <w:trPr>
          <w:trHeight w:val="558"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011608001001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铲除油漆面</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r>
              <w:rPr>
                <w:rFonts w:hint="eastAsia" w:ascii="宋体" w:hAnsi="宋体" w:cs="宋体"/>
                <w:color w:val="auto"/>
                <w:sz w:val="24"/>
                <w:szCs w:val="24"/>
              </w:rPr>
              <w:t>1.铲除部位名称：墙面、天棚、梁面</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2723.84</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011406001002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抹灰面油漆</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1.基层类型：一般抹灰面</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2.腻子种类：成品腻子</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3.刮腻子遍数 ：两遍</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4.油漆品种、刷漆遍数：一底两面弹</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性内墙乳胶漆</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5.部位：天棚、梁面</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2724.84</w:t>
            </w:r>
          </w:p>
        </w:tc>
      </w:tr>
      <w:tr>
        <w:tblPrEx>
          <w:tblLayout w:type="fixed"/>
          <w:tblCellMar>
            <w:top w:w="0" w:type="dxa"/>
            <w:left w:w="108" w:type="dxa"/>
            <w:bottom w:w="0" w:type="dxa"/>
            <w:right w:w="108" w:type="dxa"/>
          </w:tblCellMar>
        </w:tblPrEx>
        <w:trPr>
          <w:trHeight w:val="388" w:hRule="atLeast"/>
          <w:jc w:val="center"/>
        </w:trPr>
        <w:tc>
          <w:tcPr>
            <w:tcW w:w="9640" w:type="dxa"/>
            <w:gridSpan w:val="6"/>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窗台板、窗帘</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010809004001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石材窗台板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1.窗台板材质、规格、颜色：10厚人</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造石窗台板</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2.同材质包边</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89.58</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010810001001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窗帘</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1.窗帘材质：布艺（含配件）</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2.窗帘高度、宽度：窗高+0.1m，窗宽</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2倍</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3.窗帘层数：一层</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4.工程量按窗洞宽度计算</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269.6</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010810005001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窗帘轨</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1.窗帘轨材质、规格：成品数量窗帘</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杆</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2.工程量按窗洞宽度计算</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269.6</w:t>
            </w:r>
          </w:p>
        </w:tc>
      </w:tr>
      <w:tr>
        <w:tblPrEx>
          <w:tblLayout w:type="fixed"/>
          <w:tblCellMar>
            <w:top w:w="0" w:type="dxa"/>
            <w:left w:w="108" w:type="dxa"/>
            <w:bottom w:w="0" w:type="dxa"/>
            <w:right w:w="108" w:type="dxa"/>
          </w:tblCellMar>
        </w:tblPrEx>
        <w:trPr>
          <w:trHeight w:val="468" w:hRule="atLeast"/>
          <w:jc w:val="center"/>
        </w:trPr>
        <w:tc>
          <w:tcPr>
            <w:tcW w:w="9640" w:type="dxa"/>
            <w:gridSpan w:val="6"/>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拖布池、不锈钢护窗栏杆及其他</w:t>
            </w:r>
          </w:p>
        </w:tc>
      </w:tr>
      <w:tr>
        <w:tblPrEx>
          <w:tblLayout w:type="fixed"/>
          <w:tblCellMar>
            <w:top w:w="0" w:type="dxa"/>
            <w:left w:w="108" w:type="dxa"/>
            <w:bottom w:w="0" w:type="dxa"/>
            <w:right w:w="108" w:type="dxa"/>
          </w:tblCellMar>
        </w:tblPrEx>
        <w:trPr>
          <w:trHeight w:val="701"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011612002001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卫生洁具拆除</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r>
              <w:rPr>
                <w:rFonts w:hint="eastAsia" w:ascii="宋体" w:hAnsi="宋体" w:cs="宋体"/>
                <w:color w:val="auto"/>
                <w:sz w:val="24"/>
                <w:szCs w:val="24"/>
              </w:rPr>
              <w:t>1.卫生洁具种类：陶瓷拖布池</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套</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5</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031004008001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其他成品卫生器</w:t>
            </w:r>
          </w:p>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 xml:space="preserve">  具</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1.材质：304#2.0厚不锈钢</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2.规格、类型：300*300*350mm</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3.附件名称、数量：管件、 DN15铜芯水嘴、排水栓等</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组</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5</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011505001001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洗漱台</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1.材料品种、规格、颜色：20厚黑金</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砂大理石板</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2.支架、配件品种、规格 ：开洞等</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5.82</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011503001001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金属扶手、栏杆</w:t>
            </w:r>
          </w:p>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 xml:space="preserve">  、栏板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1.扶手材料种类、规格 ：不锈钢钢管</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Φ60*2</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2.栏杆材料种类、规格 ：不锈钢钢管</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Φ38*1.5@110mm</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3.高度1.2m</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9.6</w:t>
            </w:r>
          </w:p>
        </w:tc>
      </w:tr>
      <w:tr>
        <w:tblPrEx>
          <w:tblLayout w:type="fixed"/>
          <w:tblCellMar>
            <w:top w:w="0" w:type="dxa"/>
            <w:left w:w="108" w:type="dxa"/>
            <w:bottom w:w="0" w:type="dxa"/>
            <w:right w:w="108" w:type="dxa"/>
          </w:tblCellMar>
        </w:tblPrEx>
        <w:trPr>
          <w:trHeight w:val="506"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5</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011609001001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栏杆、栏板拆除</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r>
              <w:rPr>
                <w:rFonts w:hint="eastAsia" w:ascii="宋体" w:hAnsi="宋体" w:cs="宋体"/>
                <w:color w:val="auto"/>
                <w:sz w:val="24"/>
                <w:szCs w:val="24"/>
              </w:rPr>
              <w:t>1.栏杆、栏板种类：铁栏杆、铁扶手</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9.6</w:t>
            </w:r>
          </w:p>
        </w:tc>
      </w:tr>
      <w:tr>
        <w:tblPrEx>
          <w:tblLayout w:type="fixed"/>
          <w:tblCellMar>
            <w:top w:w="0" w:type="dxa"/>
            <w:left w:w="108" w:type="dxa"/>
            <w:bottom w:w="0" w:type="dxa"/>
            <w:right w:w="108" w:type="dxa"/>
          </w:tblCellMar>
        </w:tblPrEx>
        <w:trPr>
          <w:trHeight w:val="557"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6</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01B002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室内物品保护</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1.室内桌椅板凳及书柜影响施工，进</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行保护性搬移，施工完毕恢复原状；</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高考系统、电脑、试验仪器、室内灯</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具影响施工，进行保护性处理；如有</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损坏，按时价赔偿,满足正常安全使</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用</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项</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r>
      <w:tr>
        <w:tblPrEx>
          <w:tblLayout w:type="fixed"/>
          <w:tblCellMar>
            <w:top w:w="0" w:type="dxa"/>
            <w:left w:w="108" w:type="dxa"/>
            <w:bottom w:w="0" w:type="dxa"/>
            <w:right w:w="108" w:type="dxa"/>
          </w:tblCellMar>
        </w:tblPrEx>
        <w:trPr>
          <w:trHeight w:val="397"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措施项目</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011703001001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垂直运输</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1.建筑物建筑类型及结构形式：现浇框架结构</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2.根据项目施工内容，自行考虑</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项</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r>
      <w:tr>
        <w:tblPrEx>
          <w:tblLayout w:type="fixed"/>
          <w:tblCellMar>
            <w:top w:w="0" w:type="dxa"/>
            <w:left w:w="108" w:type="dxa"/>
            <w:bottom w:w="0" w:type="dxa"/>
            <w:right w:w="108" w:type="dxa"/>
          </w:tblCellMar>
        </w:tblPrEx>
        <w:trPr>
          <w:trHeight w:val="90"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011701003001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里脚手架</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1.搭设方式：卡扣式钢管脚手架</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2.搭设高度：室内装饰</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3.脚手架材质：钢管、卡口</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3874.26</w:t>
            </w:r>
          </w:p>
        </w:tc>
      </w:tr>
    </w:tbl>
    <w:p>
      <w:pPr>
        <w:widowControl w:val="0"/>
        <w:adjustRightInd w:val="0"/>
        <w:snapToGrid w:val="0"/>
        <w:spacing w:line="324" w:lineRule="auto"/>
        <w:ind w:firstLine="460" w:firstLineChars="192"/>
        <w:rPr>
          <w:rFonts w:ascii="宋体" w:hAnsi="宋体"/>
          <w:color w:val="auto"/>
          <w:sz w:val="24"/>
          <w:szCs w:val="24"/>
        </w:rPr>
      </w:pPr>
    </w:p>
    <w:p>
      <w:pPr>
        <w:widowControl w:val="0"/>
        <w:adjustRightInd w:val="0"/>
        <w:snapToGrid w:val="0"/>
        <w:spacing w:beforeLines="50" w:line="300" w:lineRule="auto"/>
        <w:ind w:left="22" w:firstLine="555"/>
        <w:jc w:val="left"/>
        <w:rPr>
          <w:color w:val="auto"/>
          <w:sz w:val="24"/>
          <w:szCs w:val="24"/>
        </w:rPr>
      </w:pPr>
      <w:r>
        <w:rPr>
          <w:rFonts w:hint="eastAsia"/>
          <w:color w:val="auto"/>
          <w:sz w:val="24"/>
          <w:szCs w:val="24"/>
        </w:rPr>
        <w:t>3、6号楼室内装修改造工程</w:t>
      </w:r>
    </w:p>
    <w:tbl>
      <w:tblPr>
        <w:tblStyle w:val="21"/>
        <w:tblW w:w="9640" w:type="dxa"/>
        <w:jc w:val="center"/>
        <w:tblInd w:w="0" w:type="dxa"/>
        <w:tblLayout w:type="fixed"/>
        <w:tblCellMar>
          <w:top w:w="0" w:type="dxa"/>
          <w:left w:w="108" w:type="dxa"/>
          <w:bottom w:w="0" w:type="dxa"/>
          <w:right w:w="108" w:type="dxa"/>
        </w:tblCellMar>
      </w:tblPr>
      <w:tblGrid>
        <w:gridCol w:w="697"/>
        <w:gridCol w:w="1656"/>
        <w:gridCol w:w="1318"/>
        <w:gridCol w:w="4085"/>
        <w:gridCol w:w="828"/>
        <w:gridCol w:w="1056"/>
      </w:tblGrid>
      <w:tr>
        <w:tblPrEx>
          <w:tblLayout w:type="fixed"/>
          <w:tblCellMar>
            <w:top w:w="0" w:type="dxa"/>
            <w:left w:w="108" w:type="dxa"/>
            <w:bottom w:w="0" w:type="dxa"/>
            <w:right w:w="108" w:type="dxa"/>
          </w:tblCellMar>
        </w:tblPrEx>
        <w:trPr>
          <w:trHeight w:val="358" w:hRule="atLeast"/>
          <w:jc w:val="center"/>
        </w:trPr>
        <w:tc>
          <w:tcPr>
            <w:tcW w:w="69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序号</w:t>
            </w:r>
          </w:p>
        </w:tc>
        <w:tc>
          <w:tcPr>
            <w:tcW w:w="16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项目编码</w:t>
            </w:r>
          </w:p>
        </w:tc>
        <w:tc>
          <w:tcPr>
            <w:tcW w:w="131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项目名称</w:t>
            </w:r>
          </w:p>
        </w:tc>
        <w:tc>
          <w:tcPr>
            <w:tcW w:w="40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项目特征描述</w:t>
            </w:r>
          </w:p>
        </w:tc>
        <w:tc>
          <w:tcPr>
            <w:tcW w:w="82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计量单位</w:t>
            </w:r>
          </w:p>
        </w:tc>
        <w:tc>
          <w:tcPr>
            <w:tcW w:w="10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工程量</w:t>
            </w:r>
          </w:p>
        </w:tc>
      </w:tr>
      <w:tr>
        <w:tblPrEx>
          <w:tblLayout w:type="fixed"/>
          <w:tblCellMar>
            <w:top w:w="0" w:type="dxa"/>
            <w:left w:w="108" w:type="dxa"/>
            <w:bottom w:w="0" w:type="dxa"/>
            <w:right w:w="108" w:type="dxa"/>
          </w:tblCellMar>
        </w:tblPrEx>
        <w:trPr>
          <w:trHeight w:val="510" w:hRule="atLeast"/>
          <w:jc w:val="center"/>
        </w:trPr>
        <w:tc>
          <w:tcPr>
            <w:tcW w:w="697" w:type="dxa"/>
            <w:vMerge w:val="continue"/>
            <w:tcBorders>
              <w:top w:val="single" w:color="000000" w:sz="8" w:space="0"/>
              <w:left w:val="single" w:color="000000" w:sz="8" w:space="0"/>
              <w:bottom w:val="single" w:color="000000" w:sz="4" w:space="0"/>
              <w:right w:val="single" w:color="000000" w:sz="4" w:space="0"/>
            </w:tcBorders>
            <w:vAlign w:val="center"/>
          </w:tcPr>
          <w:p>
            <w:pPr>
              <w:spacing w:line="276" w:lineRule="auto"/>
              <w:jc w:val="center"/>
              <w:textAlignment w:val="auto"/>
              <w:rPr>
                <w:rFonts w:ascii="宋体" w:hAnsi="宋体" w:cs="宋体"/>
                <w:b/>
                <w:bCs/>
                <w:color w:val="auto"/>
                <w:sz w:val="24"/>
                <w:szCs w:val="24"/>
              </w:rPr>
            </w:pPr>
          </w:p>
        </w:tc>
        <w:tc>
          <w:tcPr>
            <w:tcW w:w="1656" w:type="dxa"/>
            <w:vMerge w:val="continue"/>
            <w:tcBorders>
              <w:top w:val="single" w:color="000000" w:sz="8" w:space="0"/>
              <w:left w:val="single" w:color="000000" w:sz="4" w:space="0"/>
              <w:bottom w:val="single" w:color="000000" w:sz="4" w:space="0"/>
              <w:right w:val="single" w:color="000000" w:sz="4" w:space="0"/>
            </w:tcBorders>
            <w:vAlign w:val="center"/>
          </w:tcPr>
          <w:p>
            <w:pPr>
              <w:spacing w:line="276" w:lineRule="auto"/>
              <w:jc w:val="center"/>
              <w:textAlignment w:val="auto"/>
              <w:rPr>
                <w:rFonts w:ascii="宋体" w:hAnsi="宋体" w:cs="宋体"/>
                <w:b/>
                <w:bCs/>
                <w:color w:val="auto"/>
                <w:sz w:val="24"/>
                <w:szCs w:val="24"/>
              </w:rPr>
            </w:pPr>
          </w:p>
        </w:tc>
        <w:tc>
          <w:tcPr>
            <w:tcW w:w="1318" w:type="dxa"/>
            <w:vMerge w:val="continue"/>
            <w:tcBorders>
              <w:top w:val="single" w:color="000000" w:sz="8" w:space="0"/>
              <w:left w:val="single" w:color="000000" w:sz="4" w:space="0"/>
              <w:bottom w:val="single" w:color="000000" w:sz="4" w:space="0"/>
              <w:right w:val="single" w:color="000000" w:sz="4" w:space="0"/>
            </w:tcBorders>
            <w:vAlign w:val="center"/>
          </w:tcPr>
          <w:p>
            <w:pPr>
              <w:spacing w:line="276" w:lineRule="auto"/>
              <w:jc w:val="center"/>
              <w:textAlignment w:val="auto"/>
              <w:rPr>
                <w:rFonts w:ascii="宋体" w:hAnsi="宋体" w:cs="宋体"/>
                <w:b/>
                <w:bCs/>
                <w:color w:val="auto"/>
                <w:sz w:val="24"/>
                <w:szCs w:val="24"/>
              </w:rPr>
            </w:pPr>
          </w:p>
        </w:tc>
        <w:tc>
          <w:tcPr>
            <w:tcW w:w="4085" w:type="dxa"/>
            <w:vMerge w:val="continue"/>
            <w:tcBorders>
              <w:top w:val="single" w:color="000000" w:sz="8" w:space="0"/>
              <w:left w:val="single" w:color="000000" w:sz="4" w:space="0"/>
              <w:bottom w:val="single" w:color="000000" w:sz="4" w:space="0"/>
              <w:right w:val="single" w:color="000000" w:sz="4" w:space="0"/>
            </w:tcBorders>
          </w:tcPr>
          <w:p>
            <w:pPr>
              <w:spacing w:line="276" w:lineRule="auto"/>
              <w:textAlignment w:val="auto"/>
              <w:rPr>
                <w:rFonts w:ascii="宋体" w:hAnsi="宋体" w:cs="宋体"/>
                <w:b/>
                <w:bCs/>
                <w:color w:val="auto"/>
                <w:sz w:val="24"/>
                <w:szCs w:val="24"/>
              </w:rPr>
            </w:pPr>
          </w:p>
        </w:tc>
        <w:tc>
          <w:tcPr>
            <w:tcW w:w="828" w:type="dxa"/>
            <w:vMerge w:val="continue"/>
            <w:tcBorders>
              <w:top w:val="single" w:color="000000" w:sz="8" w:space="0"/>
              <w:left w:val="single" w:color="000000" w:sz="4" w:space="0"/>
              <w:bottom w:val="single" w:color="000000" w:sz="4" w:space="0"/>
              <w:right w:val="single" w:color="000000" w:sz="4" w:space="0"/>
            </w:tcBorders>
            <w:vAlign w:val="center"/>
          </w:tcPr>
          <w:p>
            <w:pPr>
              <w:spacing w:line="276" w:lineRule="auto"/>
              <w:jc w:val="center"/>
              <w:textAlignment w:val="auto"/>
              <w:rPr>
                <w:rFonts w:ascii="宋体" w:hAnsi="宋体" w:cs="宋体"/>
                <w:b/>
                <w:bCs/>
                <w:color w:val="auto"/>
                <w:sz w:val="24"/>
                <w:szCs w:val="24"/>
              </w:rPr>
            </w:pPr>
          </w:p>
        </w:tc>
        <w:tc>
          <w:tcPr>
            <w:tcW w:w="1056" w:type="dxa"/>
            <w:vMerge w:val="continue"/>
            <w:tcBorders>
              <w:top w:val="single" w:color="000000" w:sz="8" w:space="0"/>
              <w:left w:val="single" w:color="000000" w:sz="4" w:space="0"/>
              <w:bottom w:val="single" w:color="000000" w:sz="4" w:space="0"/>
              <w:right w:val="single" w:color="000000" w:sz="4" w:space="0"/>
            </w:tcBorders>
            <w:vAlign w:val="center"/>
          </w:tcPr>
          <w:p>
            <w:pPr>
              <w:spacing w:line="276" w:lineRule="auto"/>
              <w:jc w:val="center"/>
              <w:textAlignment w:val="auto"/>
              <w:rPr>
                <w:rFonts w:ascii="宋体" w:hAnsi="宋体" w:cs="宋体"/>
                <w:b/>
                <w:bCs/>
                <w:color w:val="auto"/>
                <w:sz w:val="24"/>
                <w:szCs w:val="24"/>
              </w:rPr>
            </w:pPr>
          </w:p>
        </w:tc>
      </w:tr>
      <w:tr>
        <w:tblPrEx>
          <w:tblLayout w:type="fixed"/>
          <w:tblCellMar>
            <w:top w:w="0" w:type="dxa"/>
            <w:left w:w="108" w:type="dxa"/>
            <w:bottom w:w="0" w:type="dxa"/>
            <w:right w:w="108" w:type="dxa"/>
          </w:tblCellMar>
        </w:tblPrEx>
        <w:trPr>
          <w:trHeight w:val="422" w:hRule="atLeast"/>
          <w:jc w:val="center"/>
        </w:trPr>
        <w:tc>
          <w:tcPr>
            <w:tcW w:w="9640" w:type="dxa"/>
            <w:gridSpan w:val="6"/>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color w:val="auto"/>
                <w:sz w:val="24"/>
                <w:szCs w:val="24"/>
              </w:rPr>
            </w:pPr>
            <w:r>
              <w:rPr>
                <w:rFonts w:hint="eastAsia" w:ascii="宋体" w:hAnsi="宋体" w:cs="宋体"/>
                <w:b/>
                <w:color w:val="auto"/>
                <w:sz w:val="24"/>
                <w:szCs w:val="24"/>
              </w:rPr>
              <w:t>二层、三层52个宿舍装修改造</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010809004001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石材窗台板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1.窗台板材质、规格、颜色：10厚人</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造石窗台板</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2.同材质包边</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22.62</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010810001001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窗帘</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1.窗帘材质：布艺（含配件）</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2.窗帘高度、宽度：窗高+0.1m，窗宽</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2倍</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3.窗帘层数：一层</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4.工程量按窗洞宽度计算</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75.4</w:t>
            </w:r>
          </w:p>
        </w:tc>
      </w:tr>
      <w:tr>
        <w:tblPrEx>
          <w:tblLayout w:type="fixed"/>
          <w:tblCellMar>
            <w:top w:w="0" w:type="dxa"/>
            <w:left w:w="108" w:type="dxa"/>
            <w:bottom w:w="0" w:type="dxa"/>
            <w:right w:w="108" w:type="dxa"/>
          </w:tblCellMar>
        </w:tblPrEx>
        <w:trPr>
          <w:trHeight w:val="510"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010810005001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窗帘轨</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1.窗帘轨材质、规格：成品数量窗帘</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杆</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2.工程量按窗洞宽度计算</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75.4</w:t>
            </w:r>
          </w:p>
        </w:tc>
      </w:tr>
      <w:tr>
        <w:tblPrEx>
          <w:tblLayout w:type="fixed"/>
          <w:tblCellMar>
            <w:top w:w="0" w:type="dxa"/>
            <w:left w:w="108" w:type="dxa"/>
            <w:bottom w:w="0" w:type="dxa"/>
            <w:right w:w="108" w:type="dxa"/>
          </w:tblCellMar>
        </w:tblPrEx>
        <w:trPr>
          <w:trHeight w:val="630"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011608001001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铲除油漆面</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r>
              <w:rPr>
                <w:rFonts w:hint="eastAsia" w:ascii="宋体" w:hAnsi="宋体" w:cs="宋体"/>
                <w:color w:val="auto"/>
                <w:sz w:val="24"/>
                <w:szCs w:val="24"/>
              </w:rPr>
              <w:t>1.铲除部位名称：天棚</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808.28</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5</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011406001001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抹灰面油漆</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1.基层类型：一般抹灰面</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2.腻子种类：成品腻子</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3.刮腻子遍数：两遍</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4.油漆品种、刷漆遍数：一底两面弹</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性内墙乳胶漆</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5.部位：天棚</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808.28</w:t>
            </w:r>
          </w:p>
        </w:tc>
      </w:tr>
      <w:tr>
        <w:tblPrEx>
          <w:tblLayout w:type="fixed"/>
          <w:tblCellMar>
            <w:top w:w="0" w:type="dxa"/>
            <w:left w:w="108" w:type="dxa"/>
            <w:bottom w:w="0" w:type="dxa"/>
            <w:right w:w="108" w:type="dxa"/>
          </w:tblCellMar>
        </w:tblPrEx>
        <w:trPr>
          <w:trHeight w:val="586"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6</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011608001002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铲除油漆面</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r>
              <w:rPr>
                <w:rFonts w:hint="eastAsia" w:ascii="宋体" w:hAnsi="宋体" w:cs="宋体"/>
                <w:color w:val="auto"/>
                <w:sz w:val="24"/>
                <w:szCs w:val="24"/>
              </w:rPr>
              <w:t>1.铲除部位名称：墙面</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2233.58</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7</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011406001002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抹灰面油漆</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1.基层类型：一般抹灰面</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2.腻子种类：成品腻子</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3.刮腻子遍数：两遍</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4.油漆品种、刷漆遍数：一底两面弹</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性内墙乳胶漆</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2233.58</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8</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031005002001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钢制散热器</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1.安装方式：壁挂</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2.原有钢制散热器保护性拆除，等装</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修施工完成后重新安装钢制散热器</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组</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52</w:t>
            </w:r>
          </w:p>
        </w:tc>
      </w:tr>
      <w:tr>
        <w:tblPrEx>
          <w:tblLayout w:type="fixed"/>
          <w:tblCellMar>
            <w:top w:w="0" w:type="dxa"/>
            <w:left w:w="108" w:type="dxa"/>
            <w:bottom w:w="0" w:type="dxa"/>
            <w:right w:w="108" w:type="dxa"/>
          </w:tblCellMar>
        </w:tblPrEx>
        <w:trPr>
          <w:trHeight w:val="630" w:hRule="atLeast"/>
          <w:jc w:val="center"/>
        </w:trPr>
        <w:tc>
          <w:tcPr>
            <w:tcW w:w="9640" w:type="dxa"/>
            <w:gridSpan w:val="6"/>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二层、三层内走廊及一层东部分走廊装修改造及更换门</w:t>
            </w:r>
          </w:p>
        </w:tc>
      </w:tr>
      <w:tr>
        <w:tblPrEx>
          <w:tblLayout w:type="fixed"/>
          <w:tblCellMar>
            <w:top w:w="0" w:type="dxa"/>
            <w:left w:w="108" w:type="dxa"/>
            <w:bottom w:w="0" w:type="dxa"/>
            <w:right w:w="108" w:type="dxa"/>
          </w:tblCellMar>
        </w:tblPrEx>
        <w:trPr>
          <w:trHeight w:val="412" w:hRule="atLeast"/>
          <w:jc w:val="center"/>
        </w:trPr>
        <w:tc>
          <w:tcPr>
            <w:tcW w:w="9640" w:type="dxa"/>
            <w:gridSpan w:val="6"/>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更换隔热断桥铝合金门</w:t>
            </w:r>
          </w:p>
        </w:tc>
      </w:tr>
      <w:tr>
        <w:tblPrEx>
          <w:tblLayout w:type="fixed"/>
          <w:tblCellMar>
            <w:top w:w="0" w:type="dxa"/>
            <w:left w:w="108" w:type="dxa"/>
            <w:bottom w:w="0" w:type="dxa"/>
            <w:right w:w="108" w:type="dxa"/>
          </w:tblCellMar>
        </w:tblPrEx>
        <w:trPr>
          <w:trHeight w:val="702"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011610002005</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金属门窗拆除</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r>
              <w:rPr>
                <w:rFonts w:hint="eastAsia" w:ascii="宋体" w:hAnsi="宋体" w:cs="宋体"/>
                <w:color w:val="auto"/>
                <w:sz w:val="24"/>
                <w:szCs w:val="24"/>
              </w:rPr>
              <w:t>1.门窗洞口尺寸：塑钢平开门1.45*2.75m</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樘</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010802001001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金属门</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1.门代号及洞口尺寸：90系列隔热断</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桥铝合金平开门</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2.门框、扇材质：铝合金、壁厚1.4</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mm</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3.玻璃品种、厚度：中空玻璃5mm+9mm</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+5mm</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4.五金配件：拉手、门锁、转轴合页</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、闭门器等</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15.95</w:t>
            </w:r>
          </w:p>
        </w:tc>
      </w:tr>
      <w:tr>
        <w:tblPrEx>
          <w:tblLayout w:type="fixed"/>
          <w:tblCellMar>
            <w:top w:w="0" w:type="dxa"/>
            <w:left w:w="108" w:type="dxa"/>
            <w:bottom w:w="0" w:type="dxa"/>
            <w:right w:w="108" w:type="dxa"/>
          </w:tblCellMar>
        </w:tblPrEx>
        <w:trPr>
          <w:trHeight w:val="370" w:hRule="atLeast"/>
          <w:jc w:val="center"/>
        </w:trPr>
        <w:tc>
          <w:tcPr>
            <w:tcW w:w="9640" w:type="dxa"/>
            <w:gridSpan w:val="6"/>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护墙板</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011105006001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金属踢脚线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1.踢脚线高度：150mm</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2.基层材料种类、规格：10厚纤维水</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泥压力板</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3.面层材料品种、规格、颜色：0.8mm</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厚304不锈钢踢脚线（结构胶）</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24.64</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011207001001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墙面装饰板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1.面层材料品种、规格、颜色：600*7</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厚集成墙板（竹木纤维）</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2.压条材料种类、规格 ：配套阳角角</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线</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238.815</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011207001002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墙面装饰板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1.基层材料种类、规格：7厚胶合板</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2.面层材料品种、规格、颜色：600*7</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厚集成墙板（竹木纤维）</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3.压条材料种类、规格：配套阳角角</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线</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167.994</w:t>
            </w:r>
          </w:p>
        </w:tc>
      </w:tr>
      <w:tr>
        <w:tblPrEx>
          <w:tblLayout w:type="fixed"/>
          <w:tblCellMar>
            <w:top w:w="0" w:type="dxa"/>
            <w:left w:w="108" w:type="dxa"/>
            <w:bottom w:w="0" w:type="dxa"/>
            <w:right w:w="108" w:type="dxa"/>
          </w:tblCellMar>
        </w:tblPrEx>
        <w:trPr>
          <w:trHeight w:val="476" w:hRule="atLeast"/>
          <w:jc w:val="center"/>
        </w:trPr>
        <w:tc>
          <w:tcPr>
            <w:tcW w:w="9640" w:type="dxa"/>
            <w:gridSpan w:val="6"/>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楼梯间</w:t>
            </w:r>
          </w:p>
        </w:tc>
      </w:tr>
      <w:tr>
        <w:tblPrEx>
          <w:tblLayout w:type="fixed"/>
          <w:tblCellMar>
            <w:top w:w="0" w:type="dxa"/>
            <w:left w:w="108" w:type="dxa"/>
            <w:bottom w:w="0" w:type="dxa"/>
            <w:right w:w="108" w:type="dxa"/>
          </w:tblCellMar>
        </w:tblPrEx>
        <w:trPr>
          <w:trHeight w:val="696"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011609001001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栏杆、栏板拆除</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1.栏杆(板）的高度：0.9m</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2.栏杆、栏板种类：铁栏杆钢管扶手</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77.6</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011503001001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金属扶手、栏杆</w:t>
            </w:r>
          </w:p>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 xml:space="preserve">  、栏板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1.扶手材料种类、规格：不锈钢钢管</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Φ60*2</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2.栏杆材料种类、规格：不锈钢钢管</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Φ38*1.5@110mm</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3.高度1.2m</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77.6</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011105006002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金属踢脚线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1.踢脚线高度：150mm</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2.基层材料种类、规格：10厚纤维水泥压力板</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3.面层材料品种、规格、颜色：0.8mm厚304不锈钢踢脚线（结构胶）</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7.47</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011207001003</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墙面装饰板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1.面层材料品种、规格、颜色：600*7厚集成墙板（竹木纤维</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2.压条材料种类、规格：配套阳角角线</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60.21</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5</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011207001004</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墙面装饰板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1.基层材料种类、规格：7厚胶合板</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2.面层材料品种、规格、颜色：600*7厚集成墙板（竹木纤维</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3.压条材料种类、规格：配套阳角角线</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45.99</w:t>
            </w:r>
          </w:p>
        </w:tc>
      </w:tr>
      <w:tr>
        <w:tblPrEx>
          <w:tblLayout w:type="fixed"/>
          <w:tblCellMar>
            <w:top w:w="0" w:type="dxa"/>
            <w:left w:w="108" w:type="dxa"/>
            <w:bottom w:w="0" w:type="dxa"/>
            <w:right w:w="108" w:type="dxa"/>
          </w:tblCellMar>
        </w:tblPrEx>
        <w:trPr>
          <w:trHeight w:val="486" w:hRule="atLeast"/>
          <w:jc w:val="center"/>
        </w:trPr>
        <w:tc>
          <w:tcPr>
            <w:tcW w:w="9640" w:type="dxa"/>
            <w:gridSpan w:val="6"/>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东西两侧外走廊：共5层</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01B002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上下檐维修</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1.对上下檐风化裂纹部分进行拆除，</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然后清理干净基层,刷107胶素水泥</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浆一道， C50灌浆料进行修复</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453.78</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010103002002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余方弃置</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1.废弃料品种：建筑垃圾</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2.运距：12km，符合安阳市及环保相关部门要求。</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3.人工运到室外</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m3</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4.49</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011502006001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铝塑装饰线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1.基层类型：一般抹灰面</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2.线条材料品种、规格、颜色：4厚(</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40S）氟碳涂层铝塑板（结构胶）</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453.78</w:t>
            </w:r>
          </w:p>
        </w:tc>
      </w:tr>
      <w:tr>
        <w:tblPrEx>
          <w:tblLayout w:type="fixed"/>
          <w:tblCellMar>
            <w:top w:w="0" w:type="dxa"/>
            <w:left w:w="108" w:type="dxa"/>
            <w:bottom w:w="0" w:type="dxa"/>
            <w:right w:w="108" w:type="dxa"/>
          </w:tblCellMar>
        </w:tblPrEx>
        <w:trPr>
          <w:trHeight w:val="676"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011608001005</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铲除油漆面</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r>
              <w:rPr>
                <w:rFonts w:hint="eastAsia" w:ascii="宋体" w:hAnsi="宋体" w:cs="宋体"/>
                <w:color w:val="auto"/>
                <w:sz w:val="24"/>
                <w:szCs w:val="24"/>
              </w:rPr>
              <w:t>1.铲除部位名称：墙面、天棚、梁面</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326.49</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5</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011406001005</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抹灰面油漆</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1.基层类型：一般抹灰面</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2.腻子种类：成品腻子</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3.刮腻子遍数：两遍</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4.油漆品种、刷漆遍数：一底两面弹</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性外墙乳胶漆</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5.部位 ：天棚、梁面</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326.49</w:t>
            </w:r>
          </w:p>
        </w:tc>
      </w:tr>
      <w:tr>
        <w:tblPrEx>
          <w:tblLayout w:type="fixed"/>
          <w:tblCellMar>
            <w:top w:w="0" w:type="dxa"/>
            <w:left w:w="108" w:type="dxa"/>
            <w:bottom w:w="0" w:type="dxa"/>
            <w:right w:w="108" w:type="dxa"/>
          </w:tblCellMar>
        </w:tblPrEx>
        <w:trPr>
          <w:trHeight w:val="348" w:hRule="atLeast"/>
          <w:jc w:val="center"/>
        </w:trPr>
        <w:tc>
          <w:tcPr>
            <w:tcW w:w="9640" w:type="dxa"/>
            <w:gridSpan w:val="6"/>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一层2个房间维修改造</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010809004002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石材窗台板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1.窗台板材质、规格、颜色：10厚人</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造石窗台板</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2.同材质包边</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0.87</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010810001002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窗帘</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1.窗帘材质：布艺（含配件）</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2.窗帘高度、宽度：窗高+0.1m，窗宽</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2倍</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3.窗帘层数：一层</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4.工程量按窗洞宽度计算</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2.9</w:t>
            </w:r>
          </w:p>
        </w:tc>
      </w:tr>
      <w:tr>
        <w:tblPrEx>
          <w:tblLayout w:type="fixed"/>
          <w:tblCellMar>
            <w:top w:w="0" w:type="dxa"/>
            <w:left w:w="108" w:type="dxa"/>
            <w:bottom w:w="0" w:type="dxa"/>
            <w:right w:w="108" w:type="dxa"/>
          </w:tblCellMar>
        </w:tblPrEx>
        <w:trPr>
          <w:trHeight w:val="90"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010810005002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窗帘轨</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1.窗帘轨材质、规格：成品数量窗帘</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杆</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2.工程量按窗洞宽度计算</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2.9</w:t>
            </w:r>
          </w:p>
        </w:tc>
      </w:tr>
      <w:tr>
        <w:tblPrEx>
          <w:tblLayout w:type="fixed"/>
          <w:tblCellMar>
            <w:top w:w="0" w:type="dxa"/>
            <w:left w:w="108" w:type="dxa"/>
            <w:bottom w:w="0" w:type="dxa"/>
            <w:right w:w="108" w:type="dxa"/>
          </w:tblCellMar>
        </w:tblPrEx>
        <w:trPr>
          <w:trHeight w:val="400"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011608001003</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铲除油漆面</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r>
              <w:rPr>
                <w:rFonts w:hint="eastAsia" w:ascii="宋体" w:hAnsi="宋体" w:cs="宋体"/>
                <w:color w:val="auto"/>
                <w:sz w:val="24"/>
                <w:szCs w:val="24"/>
              </w:rPr>
              <w:t>1.铲除部位名称：天棚</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31.09</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5</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011406001003</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抹灰面油漆</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1.基层类型：一般抹灰面</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2.腻子种类：成品腻子</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3.刮腻子遍数：两遍</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4.油漆品种、刷漆遍数：一底两面弹</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性内墙乳胶漆</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5.部位 ：天棚</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31.09</w:t>
            </w:r>
          </w:p>
        </w:tc>
      </w:tr>
      <w:tr>
        <w:tblPrEx>
          <w:tblLayout w:type="fixed"/>
          <w:tblCellMar>
            <w:top w:w="0" w:type="dxa"/>
            <w:left w:w="108" w:type="dxa"/>
            <w:bottom w:w="0" w:type="dxa"/>
            <w:right w:w="108" w:type="dxa"/>
          </w:tblCellMar>
        </w:tblPrEx>
        <w:trPr>
          <w:trHeight w:val="498"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6</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011608001004</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铲除油漆面</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r>
              <w:rPr>
                <w:rFonts w:hint="eastAsia" w:ascii="宋体" w:hAnsi="宋体" w:cs="宋体"/>
                <w:color w:val="auto"/>
                <w:sz w:val="24"/>
                <w:szCs w:val="24"/>
              </w:rPr>
              <w:t>1.铲除部位名称：墙面</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85.91</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7</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011406001004</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抹灰面油漆</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1.基层类型：一般抹灰面</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2.腻子种类：成品腻子</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3.刮腻子遍数：两遍</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4.油漆品种、刷漆遍数：一底两面弹</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性内墙乳胶漆</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85.91</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8</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031005002002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钢制散热器</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1.安装方式：壁挂</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2.原有钢制散热器保护性拆除，等装</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修施工完成后重新安装钢制散热器</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组</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r>
      <w:tr>
        <w:tblPrEx>
          <w:tblLayout w:type="fixed"/>
          <w:tblCellMar>
            <w:top w:w="0" w:type="dxa"/>
            <w:left w:w="108" w:type="dxa"/>
            <w:bottom w:w="0" w:type="dxa"/>
            <w:right w:w="108" w:type="dxa"/>
          </w:tblCellMar>
        </w:tblPrEx>
        <w:trPr>
          <w:trHeight w:val="466" w:hRule="atLeast"/>
          <w:jc w:val="center"/>
        </w:trPr>
        <w:tc>
          <w:tcPr>
            <w:tcW w:w="9640" w:type="dxa"/>
            <w:gridSpan w:val="6"/>
            <w:tcBorders>
              <w:top w:val="nil"/>
              <w:left w:val="single" w:color="000000" w:sz="8" w:space="0"/>
              <w:bottom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钢质门油漆及其他</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011401002001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金属门油漆</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1.门类型：钢质门</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2.门代号及洞口尺寸：0.97*2.65m</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3.腻子种类：成品腻子</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4.刮腻子遍数：二遍</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5.油漆品种、刷漆</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遍数 ：防锈漆两遍、调和漆两遍</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6.铲除原有漆层、锈迹</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樘</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54</w:t>
            </w:r>
          </w:p>
        </w:tc>
      </w:tr>
      <w:tr>
        <w:tblPrEx>
          <w:tblLayout w:type="fixed"/>
          <w:tblCellMar>
            <w:top w:w="0" w:type="dxa"/>
            <w:left w:w="108" w:type="dxa"/>
            <w:bottom w:w="0" w:type="dxa"/>
            <w:right w:w="108" w:type="dxa"/>
          </w:tblCellMar>
        </w:tblPrEx>
        <w:trPr>
          <w:trHeight w:val="274"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01B001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室内物品保护</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1.室内桌椅板凳及书柜影响施工，进</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行保护性搬移，施工完毕恢复原状；</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高考系统、电脑、试验仪器、室内灯</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具影响施工，进行保护性处理；如有</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损坏，按时价赔偿,满足正常安全使用</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项</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r>
      <w:tr>
        <w:tblPrEx>
          <w:tblLayout w:type="fixed"/>
          <w:tblCellMar>
            <w:top w:w="0" w:type="dxa"/>
            <w:left w:w="108" w:type="dxa"/>
            <w:bottom w:w="0" w:type="dxa"/>
            <w:right w:w="108" w:type="dxa"/>
          </w:tblCellMar>
        </w:tblPrEx>
        <w:trPr>
          <w:trHeight w:val="477"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措施项目</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011703001001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垂直运输</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1.建筑物建筑类型及结构形式：现浇框架结构</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2.根据项目施工内容，自行考虑</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项</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r>
      <w:tr>
        <w:tblPrEx>
          <w:tblLayout w:type="fixed"/>
          <w:tblCellMar>
            <w:top w:w="0" w:type="dxa"/>
            <w:left w:w="108" w:type="dxa"/>
            <w:bottom w:w="0" w:type="dxa"/>
            <w:right w:w="108" w:type="dxa"/>
          </w:tblCellMar>
        </w:tblPrEx>
        <w:trPr>
          <w:trHeight w:val="594"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011701005001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挑脚手架</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r>
              <w:rPr>
                <w:rFonts w:hint="eastAsia" w:ascii="宋体" w:hAnsi="宋体" w:cs="宋体"/>
                <w:color w:val="auto"/>
                <w:sz w:val="24"/>
                <w:szCs w:val="24"/>
              </w:rPr>
              <w:t>1.悬挑宽度：室外走廊装饰</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252.1</w:t>
            </w:r>
          </w:p>
        </w:tc>
      </w:tr>
    </w:tbl>
    <w:p>
      <w:pPr>
        <w:widowControl w:val="0"/>
        <w:adjustRightInd w:val="0"/>
        <w:snapToGrid w:val="0"/>
        <w:spacing w:beforeLines="50" w:line="300" w:lineRule="auto"/>
        <w:ind w:left="22" w:firstLine="555"/>
        <w:jc w:val="left"/>
        <w:rPr>
          <w:color w:val="auto"/>
          <w:sz w:val="24"/>
          <w:szCs w:val="24"/>
        </w:rPr>
      </w:pPr>
    </w:p>
    <w:p>
      <w:pPr>
        <w:widowControl w:val="0"/>
        <w:adjustRightInd w:val="0"/>
        <w:snapToGrid w:val="0"/>
        <w:spacing w:beforeLines="50" w:line="300" w:lineRule="auto"/>
        <w:ind w:left="22" w:firstLine="555"/>
        <w:jc w:val="left"/>
        <w:rPr>
          <w:color w:val="auto"/>
          <w:sz w:val="24"/>
          <w:szCs w:val="24"/>
        </w:rPr>
      </w:pPr>
      <w:r>
        <w:rPr>
          <w:rFonts w:hint="eastAsia"/>
          <w:color w:val="auto"/>
          <w:sz w:val="24"/>
          <w:szCs w:val="24"/>
        </w:rPr>
        <w:t>4、图书馆室内装修改造工程</w:t>
      </w:r>
    </w:p>
    <w:tbl>
      <w:tblPr>
        <w:tblStyle w:val="21"/>
        <w:tblW w:w="9640" w:type="dxa"/>
        <w:jc w:val="center"/>
        <w:tblInd w:w="0" w:type="dxa"/>
        <w:tblLayout w:type="fixed"/>
        <w:tblCellMar>
          <w:top w:w="0" w:type="dxa"/>
          <w:left w:w="108" w:type="dxa"/>
          <w:bottom w:w="0" w:type="dxa"/>
          <w:right w:w="108" w:type="dxa"/>
        </w:tblCellMar>
      </w:tblPr>
      <w:tblGrid>
        <w:gridCol w:w="697"/>
        <w:gridCol w:w="1656"/>
        <w:gridCol w:w="1318"/>
        <w:gridCol w:w="4085"/>
        <w:gridCol w:w="828"/>
        <w:gridCol w:w="1056"/>
      </w:tblGrid>
      <w:tr>
        <w:tblPrEx>
          <w:tblLayout w:type="fixed"/>
          <w:tblCellMar>
            <w:top w:w="0" w:type="dxa"/>
            <w:left w:w="108" w:type="dxa"/>
            <w:bottom w:w="0" w:type="dxa"/>
            <w:right w:w="108" w:type="dxa"/>
          </w:tblCellMar>
        </w:tblPrEx>
        <w:trPr>
          <w:trHeight w:val="358" w:hRule="atLeast"/>
          <w:jc w:val="center"/>
        </w:trPr>
        <w:tc>
          <w:tcPr>
            <w:tcW w:w="69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序号</w:t>
            </w:r>
          </w:p>
        </w:tc>
        <w:tc>
          <w:tcPr>
            <w:tcW w:w="16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项目编码</w:t>
            </w:r>
          </w:p>
        </w:tc>
        <w:tc>
          <w:tcPr>
            <w:tcW w:w="131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项目名称</w:t>
            </w:r>
          </w:p>
        </w:tc>
        <w:tc>
          <w:tcPr>
            <w:tcW w:w="40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项目特征描述</w:t>
            </w:r>
          </w:p>
        </w:tc>
        <w:tc>
          <w:tcPr>
            <w:tcW w:w="82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计量单位</w:t>
            </w:r>
          </w:p>
        </w:tc>
        <w:tc>
          <w:tcPr>
            <w:tcW w:w="10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工程量</w:t>
            </w:r>
          </w:p>
        </w:tc>
      </w:tr>
      <w:tr>
        <w:tblPrEx>
          <w:tblLayout w:type="fixed"/>
          <w:tblCellMar>
            <w:top w:w="0" w:type="dxa"/>
            <w:left w:w="108" w:type="dxa"/>
            <w:bottom w:w="0" w:type="dxa"/>
            <w:right w:w="108" w:type="dxa"/>
          </w:tblCellMar>
        </w:tblPrEx>
        <w:trPr>
          <w:trHeight w:val="510" w:hRule="atLeast"/>
          <w:jc w:val="center"/>
        </w:trPr>
        <w:tc>
          <w:tcPr>
            <w:tcW w:w="697" w:type="dxa"/>
            <w:vMerge w:val="continue"/>
            <w:tcBorders>
              <w:top w:val="single" w:color="000000" w:sz="8" w:space="0"/>
              <w:left w:val="single" w:color="000000" w:sz="8" w:space="0"/>
              <w:bottom w:val="single" w:color="000000" w:sz="4" w:space="0"/>
              <w:right w:val="single" w:color="000000" w:sz="4" w:space="0"/>
            </w:tcBorders>
            <w:vAlign w:val="center"/>
          </w:tcPr>
          <w:p>
            <w:pPr>
              <w:spacing w:line="276" w:lineRule="auto"/>
              <w:jc w:val="center"/>
              <w:textAlignment w:val="auto"/>
              <w:rPr>
                <w:rFonts w:ascii="宋体" w:hAnsi="宋体" w:cs="宋体"/>
                <w:b/>
                <w:bCs/>
                <w:color w:val="auto"/>
                <w:sz w:val="24"/>
                <w:szCs w:val="24"/>
              </w:rPr>
            </w:pPr>
          </w:p>
        </w:tc>
        <w:tc>
          <w:tcPr>
            <w:tcW w:w="1656" w:type="dxa"/>
            <w:vMerge w:val="continue"/>
            <w:tcBorders>
              <w:top w:val="single" w:color="000000" w:sz="8" w:space="0"/>
              <w:left w:val="single" w:color="000000" w:sz="4" w:space="0"/>
              <w:bottom w:val="single" w:color="000000" w:sz="4" w:space="0"/>
              <w:right w:val="single" w:color="000000" w:sz="4" w:space="0"/>
            </w:tcBorders>
            <w:vAlign w:val="center"/>
          </w:tcPr>
          <w:p>
            <w:pPr>
              <w:spacing w:line="276" w:lineRule="auto"/>
              <w:jc w:val="center"/>
              <w:textAlignment w:val="auto"/>
              <w:rPr>
                <w:rFonts w:ascii="宋体" w:hAnsi="宋体" w:cs="宋体"/>
                <w:b/>
                <w:bCs/>
                <w:color w:val="auto"/>
                <w:sz w:val="24"/>
                <w:szCs w:val="24"/>
              </w:rPr>
            </w:pPr>
          </w:p>
        </w:tc>
        <w:tc>
          <w:tcPr>
            <w:tcW w:w="1318" w:type="dxa"/>
            <w:vMerge w:val="continue"/>
            <w:tcBorders>
              <w:top w:val="single" w:color="000000" w:sz="8" w:space="0"/>
              <w:left w:val="single" w:color="000000" w:sz="4" w:space="0"/>
              <w:bottom w:val="single" w:color="000000" w:sz="4" w:space="0"/>
              <w:right w:val="single" w:color="000000" w:sz="4" w:space="0"/>
            </w:tcBorders>
            <w:vAlign w:val="center"/>
          </w:tcPr>
          <w:p>
            <w:pPr>
              <w:spacing w:line="276" w:lineRule="auto"/>
              <w:jc w:val="center"/>
              <w:textAlignment w:val="auto"/>
              <w:rPr>
                <w:rFonts w:ascii="宋体" w:hAnsi="宋体" w:cs="宋体"/>
                <w:b/>
                <w:bCs/>
                <w:color w:val="auto"/>
                <w:sz w:val="24"/>
                <w:szCs w:val="24"/>
              </w:rPr>
            </w:pPr>
          </w:p>
        </w:tc>
        <w:tc>
          <w:tcPr>
            <w:tcW w:w="4085" w:type="dxa"/>
            <w:vMerge w:val="continue"/>
            <w:tcBorders>
              <w:top w:val="single" w:color="000000" w:sz="8" w:space="0"/>
              <w:left w:val="single" w:color="000000" w:sz="4" w:space="0"/>
              <w:bottom w:val="single" w:color="000000" w:sz="4" w:space="0"/>
              <w:right w:val="single" w:color="000000" w:sz="4" w:space="0"/>
            </w:tcBorders>
          </w:tcPr>
          <w:p>
            <w:pPr>
              <w:spacing w:line="276" w:lineRule="auto"/>
              <w:textAlignment w:val="auto"/>
              <w:rPr>
                <w:rFonts w:ascii="宋体" w:hAnsi="宋体" w:cs="宋体"/>
                <w:b/>
                <w:bCs/>
                <w:color w:val="auto"/>
                <w:sz w:val="24"/>
                <w:szCs w:val="24"/>
              </w:rPr>
            </w:pPr>
          </w:p>
        </w:tc>
        <w:tc>
          <w:tcPr>
            <w:tcW w:w="828" w:type="dxa"/>
            <w:vMerge w:val="continue"/>
            <w:tcBorders>
              <w:top w:val="single" w:color="000000" w:sz="8" w:space="0"/>
              <w:left w:val="single" w:color="000000" w:sz="4" w:space="0"/>
              <w:bottom w:val="single" w:color="000000" w:sz="4" w:space="0"/>
              <w:right w:val="single" w:color="000000" w:sz="4" w:space="0"/>
            </w:tcBorders>
            <w:vAlign w:val="center"/>
          </w:tcPr>
          <w:p>
            <w:pPr>
              <w:spacing w:line="276" w:lineRule="auto"/>
              <w:jc w:val="center"/>
              <w:textAlignment w:val="auto"/>
              <w:rPr>
                <w:rFonts w:ascii="宋体" w:hAnsi="宋体" w:cs="宋体"/>
                <w:b/>
                <w:bCs/>
                <w:color w:val="auto"/>
                <w:sz w:val="24"/>
                <w:szCs w:val="24"/>
              </w:rPr>
            </w:pPr>
          </w:p>
        </w:tc>
        <w:tc>
          <w:tcPr>
            <w:tcW w:w="1056" w:type="dxa"/>
            <w:vMerge w:val="continue"/>
            <w:tcBorders>
              <w:top w:val="single" w:color="000000" w:sz="8" w:space="0"/>
              <w:left w:val="single" w:color="000000" w:sz="4" w:space="0"/>
              <w:bottom w:val="single" w:color="000000" w:sz="4" w:space="0"/>
              <w:right w:val="single" w:color="000000" w:sz="4" w:space="0"/>
            </w:tcBorders>
            <w:vAlign w:val="center"/>
          </w:tcPr>
          <w:p>
            <w:pPr>
              <w:spacing w:line="276" w:lineRule="auto"/>
              <w:jc w:val="center"/>
              <w:textAlignment w:val="auto"/>
              <w:rPr>
                <w:rFonts w:ascii="宋体" w:hAnsi="宋体" w:cs="宋体"/>
                <w:b/>
                <w:bCs/>
                <w:color w:val="auto"/>
                <w:sz w:val="24"/>
                <w:szCs w:val="24"/>
              </w:rPr>
            </w:pPr>
          </w:p>
        </w:tc>
      </w:tr>
      <w:tr>
        <w:tblPrEx>
          <w:tblLayout w:type="fixed"/>
          <w:tblCellMar>
            <w:top w:w="0" w:type="dxa"/>
            <w:left w:w="108" w:type="dxa"/>
            <w:bottom w:w="0" w:type="dxa"/>
            <w:right w:w="108" w:type="dxa"/>
          </w:tblCellMar>
        </w:tblPrEx>
        <w:trPr>
          <w:trHeight w:val="468" w:hRule="atLeast"/>
          <w:jc w:val="center"/>
        </w:trPr>
        <w:tc>
          <w:tcPr>
            <w:tcW w:w="9640" w:type="dxa"/>
            <w:gridSpan w:val="6"/>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b/>
                <w:color w:val="auto"/>
                <w:sz w:val="24"/>
                <w:szCs w:val="24"/>
              </w:rPr>
            </w:pPr>
            <w:r>
              <w:rPr>
                <w:rFonts w:hint="eastAsia" w:ascii="宋体" w:hAnsi="宋体" w:cs="宋体"/>
                <w:b/>
                <w:color w:val="auto"/>
                <w:sz w:val="24"/>
                <w:szCs w:val="24"/>
              </w:rPr>
              <w:t>一层大厅</w:t>
            </w:r>
          </w:p>
        </w:tc>
      </w:tr>
      <w:tr>
        <w:tblPrEx>
          <w:tblLayout w:type="fixed"/>
          <w:tblCellMar>
            <w:top w:w="0" w:type="dxa"/>
            <w:left w:w="108" w:type="dxa"/>
            <w:bottom w:w="0" w:type="dxa"/>
            <w:right w:w="108" w:type="dxa"/>
          </w:tblCellMar>
        </w:tblPrEx>
        <w:trPr>
          <w:trHeight w:val="574"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011610001001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木门窗拆除</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r>
              <w:rPr>
                <w:rFonts w:hint="eastAsia" w:ascii="宋体" w:hAnsi="宋体" w:cs="宋体"/>
                <w:color w:val="auto"/>
                <w:sz w:val="24"/>
                <w:szCs w:val="24"/>
              </w:rPr>
              <w:t>1.门窗洞口尺寸：木门1.5*2.7m</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樘</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r>
      <w:tr>
        <w:tblPrEx>
          <w:tblLayout w:type="fixed"/>
          <w:tblCellMar>
            <w:top w:w="0" w:type="dxa"/>
            <w:left w:w="108" w:type="dxa"/>
            <w:bottom w:w="0" w:type="dxa"/>
            <w:right w:w="108" w:type="dxa"/>
          </w:tblCellMar>
        </w:tblPrEx>
        <w:trPr>
          <w:trHeight w:val="542"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010802003001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钢质防火门</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r>
              <w:rPr>
                <w:rFonts w:hint="eastAsia" w:ascii="宋体" w:hAnsi="宋体" w:cs="宋体"/>
                <w:color w:val="auto"/>
                <w:sz w:val="24"/>
                <w:szCs w:val="24"/>
              </w:rPr>
              <w:t>1.门代号及洞口尺寸：成品钢制防盗门1.5*2.7m</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8.1</w:t>
            </w:r>
          </w:p>
        </w:tc>
      </w:tr>
      <w:tr>
        <w:tblPrEx>
          <w:tblLayout w:type="fixed"/>
          <w:tblCellMar>
            <w:top w:w="0" w:type="dxa"/>
            <w:left w:w="108" w:type="dxa"/>
            <w:bottom w:w="0" w:type="dxa"/>
            <w:right w:w="108" w:type="dxa"/>
          </w:tblCellMar>
        </w:tblPrEx>
        <w:trPr>
          <w:trHeight w:val="822"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011610001003</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木门窗拆除</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r>
              <w:rPr>
                <w:rFonts w:hint="eastAsia" w:ascii="宋体" w:hAnsi="宋体" w:cs="宋体"/>
                <w:color w:val="auto"/>
                <w:sz w:val="24"/>
                <w:szCs w:val="24"/>
              </w:rPr>
              <w:t>1.门窗洞口尺寸：木门1.0*2.7m</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樘</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r>
      <w:tr>
        <w:tblPrEx>
          <w:tblLayout w:type="fixed"/>
          <w:tblCellMar>
            <w:top w:w="0" w:type="dxa"/>
            <w:left w:w="108" w:type="dxa"/>
            <w:bottom w:w="0" w:type="dxa"/>
            <w:right w:w="108" w:type="dxa"/>
          </w:tblCellMar>
        </w:tblPrEx>
        <w:trPr>
          <w:trHeight w:val="408" w:hRule="atLeast"/>
          <w:jc w:val="center"/>
        </w:trPr>
        <w:tc>
          <w:tcPr>
            <w:tcW w:w="9640" w:type="dxa"/>
            <w:gridSpan w:val="6"/>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窗台板、窗帘</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010809004001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石材窗台板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1.窗台板材质、规格、颜色：10厚人</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造石窗台板</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2.同材质包边</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15.93</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010810001001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窗帘</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1.窗帘材质：布艺（含配件）</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2.窗帘高度、宽度：窗高+0.1m，窗宽</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2倍</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3.窗帘层数：一层</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4.工程量按窗洞宽度计算</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53.1</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010810005001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窗帘轨</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1.窗帘轨材质、规格 ：成品数量窗帘</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杆</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2.工程量按窗洞宽度计算</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53.1</w:t>
            </w:r>
          </w:p>
        </w:tc>
      </w:tr>
      <w:tr>
        <w:tblPrEx>
          <w:tblLayout w:type="fixed"/>
          <w:tblCellMar>
            <w:top w:w="0" w:type="dxa"/>
            <w:left w:w="108" w:type="dxa"/>
            <w:bottom w:w="0" w:type="dxa"/>
            <w:right w:w="108" w:type="dxa"/>
          </w:tblCellMar>
        </w:tblPrEx>
        <w:trPr>
          <w:trHeight w:val="332" w:hRule="atLeast"/>
          <w:jc w:val="center"/>
        </w:trPr>
        <w:tc>
          <w:tcPr>
            <w:tcW w:w="9640" w:type="dxa"/>
            <w:gridSpan w:val="6"/>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踢脚线</w:t>
            </w:r>
          </w:p>
        </w:tc>
      </w:tr>
      <w:tr>
        <w:tblPrEx>
          <w:tblLayout w:type="fixed"/>
          <w:tblCellMar>
            <w:top w:w="0" w:type="dxa"/>
            <w:left w:w="108" w:type="dxa"/>
            <w:bottom w:w="0" w:type="dxa"/>
            <w:right w:w="108" w:type="dxa"/>
          </w:tblCellMar>
        </w:tblPrEx>
        <w:trPr>
          <w:trHeight w:val="678"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011605002001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立面块料拆除</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1.拆除的基层类型：水泥砂浆</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2.饰面材料种类：预制水磨石板</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20.4</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010103002002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余方弃置</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1.废弃料品种：建筑垃圾</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2.运距：12km，符合安阳市及环保相关部门要求。</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3.人工运到室外</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m3</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0.61</w:t>
            </w:r>
          </w:p>
        </w:tc>
      </w:tr>
      <w:tr>
        <w:tblPrEx>
          <w:tblLayout w:type="fixed"/>
          <w:tblCellMar>
            <w:top w:w="0" w:type="dxa"/>
            <w:left w:w="108" w:type="dxa"/>
            <w:bottom w:w="0" w:type="dxa"/>
            <w:right w:w="108" w:type="dxa"/>
          </w:tblCellMar>
        </w:tblPrEx>
        <w:trPr>
          <w:trHeight w:val="638"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011105001001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水泥砂浆踢脚线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1.踢脚线高度：150mm</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2.底层厚度、砂浆配合比：20mm 1：2</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水泥砂浆</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20.4</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011105006003</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金属踢脚线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1.踢脚线高度：150mm</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2.基层材料种类、规格：10厚纤维水</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泥压力板</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3.面层材料品种、规格、颜色：0.8mm</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厚304不锈钢踢脚线（结构胶）</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20.4</w:t>
            </w:r>
          </w:p>
        </w:tc>
      </w:tr>
      <w:tr>
        <w:tblPrEx>
          <w:tblLayout w:type="fixed"/>
          <w:tblCellMar>
            <w:top w:w="0" w:type="dxa"/>
            <w:left w:w="108" w:type="dxa"/>
            <w:bottom w:w="0" w:type="dxa"/>
            <w:right w:w="108" w:type="dxa"/>
          </w:tblCellMar>
        </w:tblPrEx>
        <w:trPr>
          <w:trHeight w:val="454" w:hRule="atLeast"/>
          <w:jc w:val="center"/>
        </w:trPr>
        <w:tc>
          <w:tcPr>
            <w:tcW w:w="9640" w:type="dxa"/>
            <w:gridSpan w:val="6"/>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墙面</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011207001001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墙面装饰板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1.面层材料品种、规格、颜色：600*7</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厚集成墙板（竹木纤维）</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2.压条材料种类、规格 ：配套阳角角</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线</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294.07</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011208001001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柱（梁）面装饰</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1.面层材料品种、规格、颜色：600*7</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厚集成墙板（竹木纤维）</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2.压条材料种类、规格：配套阳角角</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线</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55.65</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031005002001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钢制散热器</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1.安装方式 ：壁挂</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2.原有钢制散热器保护性拆除，等装</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修施工完成后重新安装钢制散热器</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组</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15</w:t>
            </w:r>
          </w:p>
        </w:tc>
      </w:tr>
      <w:tr>
        <w:tblPrEx>
          <w:tblLayout w:type="fixed"/>
          <w:tblCellMar>
            <w:top w:w="0" w:type="dxa"/>
            <w:left w:w="108" w:type="dxa"/>
            <w:bottom w:w="0" w:type="dxa"/>
            <w:right w:w="108" w:type="dxa"/>
          </w:tblCellMar>
        </w:tblPrEx>
        <w:trPr>
          <w:trHeight w:val="449" w:hRule="atLeast"/>
          <w:jc w:val="center"/>
        </w:trPr>
        <w:tc>
          <w:tcPr>
            <w:tcW w:w="9640" w:type="dxa"/>
            <w:gridSpan w:val="6"/>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吊顶</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011606003001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天棚面龙骨及饰  面拆除</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r>
              <w:rPr>
                <w:rFonts w:hint="eastAsia" w:ascii="宋体" w:hAnsi="宋体" w:cs="宋体"/>
                <w:color w:val="auto"/>
                <w:sz w:val="24"/>
                <w:szCs w:val="24"/>
              </w:rPr>
              <w:t>1.龙骨及饰面种类：轻钢龙骨石膏板</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29.15</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011302001001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吊顶天棚</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1.吊顶形式、吊杆规格、高度 ：不上</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人</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2.龙骨材料种类、规格、中距：U型轻钢龙骨</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3.面层材料品种、规格：600*600*12</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mm矿棉吸音板</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4.600*600mm灯光孔</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671.75</w:t>
            </w:r>
          </w:p>
        </w:tc>
      </w:tr>
      <w:tr>
        <w:tblPrEx>
          <w:tblLayout w:type="fixed"/>
          <w:tblCellMar>
            <w:top w:w="0" w:type="dxa"/>
            <w:left w:w="108" w:type="dxa"/>
            <w:bottom w:w="0" w:type="dxa"/>
            <w:right w:w="108" w:type="dxa"/>
          </w:tblCellMar>
        </w:tblPrEx>
        <w:trPr>
          <w:trHeight w:val="252"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030412004001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装饰灯</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1.名称：600*600mmLED平板灯</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2.安装形式：嵌入式</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套</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90</w:t>
            </w:r>
          </w:p>
        </w:tc>
      </w:tr>
      <w:tr>
        <w:tblPrEx>
          <w:tblLayout w:type="fixed"/>
          <w:tblCellMar>
            <w:top w:w="0" w:type="dxa"/>
            <w:left w:w="108" w:type="dxa"/>
            <w:bottom w:w="0" w:type="dxa"/>
            <w:right w:w="108" w:type="dxa"/>
          </w:tblCellMar>
        </w:tblPrEx>
        <w:trPr>
          <w:trHeight w:val="376" w:hRule="atLeast"/>
          <w:jc w:val="center"/>
        </w:trPr>
        <w:tc>
          <w:tcPr>
            <w:tcW w:w="9640" w:type="dxa"/>
            <w:gridSpan w:val="6"/>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其他</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011601001001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砖砌体拆除</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1.砌体名称：砖墙</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2.砌体表面的附着物种类：水泥砂浆</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m3</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8.74</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010103002001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余方弃置</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1.废弃料品种：建筑垃圾</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2.运距：12km，符合安阳市及环保相关部门要求。</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3.人工运到室外</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m3</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8.74</w:t>
            </w:r>
          </w:p>
        </w:tc>
      </w:tr>
      <w:tr>
        <w:tblPrEx>
          <w:tblLayout w:type="fixed"/>
          <w:tblCellMar>
            <w:top w:w="0" w:type="dxa"/>
            <w:left w:w="108" w:type="dxa"/>
            <w:bottom w:w="0" w:type="dxa"/>
            <w:right w:w="108" w:type="dxa"/>
          </w:tblCellMar>
        </w:tblPrEx>
        <w:trPr>
          <w:trHeight w:val="841"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01B001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墙地面修复</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1.拆除砖墙等后，对地面、墙面进行</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修复，满足使用及美观的要求。</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项</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r>
      <w:tr>
        <w:tblPrEx>
          <w:tblLayout w:type="fixed"/>
          <w:tblCellMar>
            <w:top w:w="0" w:type="dxa"/>
            <w:left w:w="108" w:type="dxa"/>
            <w:bottom w:w="0" w:type="dxa"/>
            <w:right w:w="108" w:type="dxa"/>
          </w:tblCellMar>
        </w:tblPrEx>
        <w:trPr>
          <w:trHeight w:val="55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011612001001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管道拆除</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r>
              <w:rPr>
                <w:rFonts w:hint="eastAsia" w:ascii="宋体" w:hAnsi="宋体" w:cs="宋体"/>
                <w:color w:val="auto"/>
                <w:sz w:val="24"/>
                <w:szCs w:val="24"/>
              </w:rPr>
              <w:t>1.管道种类、材质：DN100镀锌钢管</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16.2</w:t>
            </w:r>
          </w:p>
        </w:tc>
      </w:tr>
      <w:tr>
        <w:tblPrEx>
          <w:tblLayout w:type="fixed"/>
          <w:tblCellMar>
            <w:top w:w="0" w:type="dxa"/>
            <w:left w:w="108" w:type="dxa"/>
            <w:bottom w:w="0" w:type="dxa"/>
            <w:right w:w="108" w:type="dxa"/>
          </w:tblCellMar>
        </w:tblPrEx>
        <w:trPr>
          <w:trHeight w:val="548"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5</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011612001002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管道拆除</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r>
              <w:rPr>
                <w:rFonts w:hint="eastAsia" w:ascii="宋体" w:hAnsi="宋体" w:cs="宋体"/>
                <w:color w:val="auto"/>
                <w:sz w:val="24"/>
                <w:szCs w:val="24"/>
              </w:rPr>
              <w:t>1.管道种类、材质：DN32镀锌钢管</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13.2</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6</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030901002001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消火栓钢管</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1.安装部位：室内</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2.材质、规格：DN100镀锌钢管（利旧)</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3.连接形式：焊接</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4.压力试验及冲洗设计要求：液压试验</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10.2</w:t>
            </w:r>
          </w:p>
        </w:tc>
      </w:tr>
      <w:tr>
        <w:tblPrEx>
          <w:tblLayout w:type="fixed"/>
          <w:tblCellMar>
            <w:top w:w="0" w:type="dxa"/>
            <w:left w:w="108" w:type="dxa"/>
            <w:bottom w:w="0" w:type="dxa"/>
            <w:right w:w="108" w:type="dxa"/>
          </w:tblCellMar>
        </w:tblPrEx>
        <w:trPr>
          <w:trHeight w:val="900"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7</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031001001001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镀锌钢管</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1.安装部位：室内</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2.介质：采暖</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3.规格、压力等级：DN32镀锌钢管(</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利旧）</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4.连接形式：螺纹连接</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5.压力试验及吹、洗设计要求：水压</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试验</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10.2</w:t>
            </w:r>
          </w:p>
        </w:tc>
      </w:tr>
      <w:tr>
        <w:tblPrEx>
          <w:tblLayout w:type="fixed"/>
          <w:tblCellMar>
            <w:top w:w="0" w:type="dxa"/>
            <w:left w:w="108" w:type="dxa"/>
            <w:bottom w:w="0" w:type="dxa"/>
            <w:right w:w="108" w:type="dxa"/>
          </w:tblCellMar>
        </w:tblPrEx>
        <w:trPr>
          <w:trHeight w:val="438" w:hRule="atLeast"/>
          <w:jc w:val="center"/>
        </w:trPr>
        <w:tc>
          <w:tcPr>
            <w:tcW w:w="9640" w:type="dxa"/>
            <w:gridSpan w:val="6"/>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一层走廊</w:t>
            </w:r>
          </w:p>
        </w:tc>
      </w:tr>
      <w:tr>
        <w:tblPrEx>
          <w:tblLayout w:type="fixed"/>
          <w:tblCellMar>
            <w:top w:w="0" w:type="dxa"/>
            <w:left w:w="108" w:type="dxa"/>
            <w:bottom w:w="0" w:type="dxa"/>
            <w:right w:w="108" w:type="dxa"/>
          </w:tblCellMar>
        </w:tblPrEx>
        <w:trPr>
          <w:trHeight w:val="402"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011610001002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木门窗拆除</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r>
              <w:rPr>
                <w:rFonts w:hint="eastAsia" w:ascii="宋体" w:hAnsi="宋体" w:cs="宋体"/>
                <w:color w:val="auto"/>
                <w:sz w:val="24"/>
                <w:szCs w:val="24"/>
              </w:rPr>
              <w:t>1.门窗洞口尺寸：木门0.8*2.1m</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樘</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010802001001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金属(塑钢）门</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1.门代号及洞口尺寸：90系列铝合金</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平开门</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2.门框或扇外围尺寸：铝合金、壁厚1.4mm</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3.玻璃品种、厚度：磨砂玻璃</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3.36</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011105006002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金属踢脚线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1.踢脚线高度：150mm</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2.基层材料种类、规格：10厚纤维水</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泥压力板</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3.面层材料品种、规格、颜色：0.8mm</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厚304不锈钢踢脚线（结构胶）</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2.38</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011207001002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墙面装饰板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1.面层材料品种、规格、颜色：600*7</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厚集成墙板（竹木纤维）</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2.压条材料种类、规格 ：配套阳角角</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线</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16.67</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5</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011207001003</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墙面装饰板</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1.基层材料种类、规格：7厚胶合板</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2.面层材料品种、规格、颜色：600*7</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厚集成墙板（竹木纤维）</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3.压条材料种类、规格：配套阳角角</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线</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38.43</w:t>
            </w:r>
          </w:p>
        </w:tc>
      </w:tr>
      <w:tr>
        <w:tblPrEx>
          <w:tblLayout w:type="fixed"/>
          <w:tblCellMar>
            <w:top w:w="0" w:type="dxa"/>
            <w:left w:w="108" w:type="dxa"/>
            <w:bottom w:w="0" w:type="dxa"/>
            <w:right w:w="108" w:type="dxa"/>
          </w:tblCellMar>
        </w:tblPrEx>
        <w:trPr>
          <w:trHeight w:val="132" w:hRule="atLeast"/>
          <w:jc w:val="center"/>
        </w:trPr>
        <w:tc>
          <w:tcPr>
            <w:tcW w:w="9640" w:type="dxa"/>
            <w:gridSpan w:val="6"/>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三层健身房</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011606003002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天棚面龙骨及饰</w:t>
            </w:r>
          </w:p>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 xml:space="preserve">  面拆除</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r>
              <w:rPr>
                <w:rFonts w:hint="eastAsia" w:ascii="宋体" w:hAnsi="宋体" w:cs="宋体"/>
                <w:color w:val="auto"/>
                <w:sz w:val="24"/>
                <w:szCs w:val="24"/>
              </w:rPr>
              <w:t>1.龙骨及饰面种类：轻钢龙骨石膏板</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345.49</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011302001002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吊顶天棚</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1.吊顶形式、吊杆规格、高度 ：不上</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人</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2.龙骨材料种类、规格、中距：U型轻钢龙骨</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3.面层材料品种、规格：600*600*12</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mm矿棉吸音板</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4.600*600mm灯光孔</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345.49</w:t>
            </w:r>
          </w:p>
        </w:tc>
      </w:tr>
      <w:tr>
        <w:tblPrEx>
          <w:tblLayout w:type="fixed"/>
          <w:tblCellMar>
            <w:top w:w="0" w:type="dxa"/>
            <w:left w:w="108" w:type="dxa"/>
            <w:bottom w:w="0" w:type="dxa"/>
            <w:right w:w="108" w:type="dxa"/>
          </w:tblCellMar>
        </w:tblPrEx>
        <w:trPr>
          <w:trHeight w:val="19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030412004002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装饰灯</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1.名称：600*600mmLED平板灯</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2.安装形式：嵌入式</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套</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50</w:t>
            </w:r>
          </w:p>
        </w:tc>
      </w:tr>
      <w:tr>
        <w:tblPrEx>
          <w:tblLayout w:type="fixed"/>
          <w:tblCellMar>
            <w:top w:w="0" w:type="dxa"/>
            <w:left w:w="108" w:type="dxa"/>
            <w:bottom w:w="0" w:type="dxa"/>
            <w:right w:w="108" w:type="dxa"/>
          </w:tblCellMar>
        </w:tblPrEx>
        <w:trPr>
          <w:trHeight w:val="249"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011610001004</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木门窗拆除</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r>
              <w:rPr>
                <w:rFonts w:hint="eastAsia" w:ascii="宋体" w:hAnsi="宋体" w:cs="宋体"/>
                <w:color w:val="auto"/>
                <w:sz w:val="24"/>
                <w:szCs w:val="24"/>
              </w:rPr>
              <w:t>1.门窗洞口尺寸：木门1.5*2.7m</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樘</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r>
      <w:tr>
        <w:tblPrEx>
          <w:tblLayout w:type="fixed"/>
          <w:tblCellMar>
            <w:top w:w="0" w:type="dxa"/>
            <w:left w:w="108" w:type="dxa"/>
            <w:bottom w:w="0" w:type="dxa"/>
            <w:right w:w="108" w:type="dxa"/>
          </w:tblCellMar>
        </w:tblPrEx>
        <w:trPr>
          <w:trHeight w:val="450"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5</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010802003002</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钢质防火门</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r>
              <w:rPr>
                <w:rFonts w:hint="eastAsia" w:ascii="宋体" w:hAnsi="宋体" w:cs="宋体"/>
                <w:color w:val="auto"/>
                <w:sz w:val="24"/>
                <w:szCs w:val="24"/>
              </w:rPr>
              <w:t>1.门代号及洞口尺寸：成品钢制防盗门1.5*2.7m</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4.05</w:t>
            </w:r>
          </w:p>
        </w:tc>
      </w:tr>
      <w:tr>
        <w:tblPrEx>
          <w:tblLayout w:type="fixed"/>
          <w:tblCellMar>
            <w:top w:w="0" w:type="dxa"/>
            <w:left w:w="108" w:type="dxa"/>
            <w:bottom w:w="0" w:type="dxa"/>
            <w:right w:w="108" w:type="dxa"/>
          </w:tblCellMar>
        </w:tblPrEx>
        <w:trPr>
          <w:trHeight w:val="460" w:hRule="atLeast"/>
          <w:jc w:val="center"/>
        </w:trPr>
        <w:tc>
          <w:tcPr>
            <w:tcW w:w="9640" w:type="dxa"/>
            <w:gridSpan w:val="6"/>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三层形体房</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011606003003</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天棚面龙骨及饰</w:t>
            </w:r>
          </w:p>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 xml:space="preserve">  面拆除</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r>
              <w:rPr>
                <w:rFonts w:hint="eastAsia" w:ascii="宋体" w:hAnsi="宋体" w:cs="宋体"/>
                <w:color w:val="auto"/>
                <w:sz w:val="24"/>
                <w:szCs w:val="24"/>
              </w:rPr>
              <w:t>1.龙骨及饰面种类：轻钢龙骨石膏板</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300.45</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011302001003</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吊顶天棚</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1.吊顶形式、吊杆规格、高度 ：不上</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人</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2.龙骨材料种类、规格、中距：U型轻</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钢龙骨</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3.面层材料品种、规格：600*600*12</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mm矿棉吸音板</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4.600*600mm灯光孔</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315.75</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3</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011302001004</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吊顶天棚</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1.吊顶形式、吊杆规格、高度：不上</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人</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2.龙骨材料种类、规格、中距：U型轻钢龙骨</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3.面层材料品种、规格：9.5厚纸面石膏板</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29.74</w:t>
            </w: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011406001001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抹灰面油漆</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1.基层类型：吊顶</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2.腻子种类：成品腻子</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3.刮腻子遍数：两遍</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4.油漆品种、刷漆遍数 ：一底两面弹</w:t>
            </w:r>
          </w:p>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性内墙乳胶漆</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5.部位：天棚</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m2</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43.13</w:t>
            </w:r>
          </w:p>
        </w:tc>
      </w:tr>
      <w:tr>
        <w:tblPrEx>
          <w:tblLayout w:type="fixed"/>
          <w:tblCellMar>
            <w:top w:w="0" w:type="dxa"/>
            <w:left w:w="108" w:type="dxa"/>
            <w:bottom w:w="0" w:type="dxa"/>
            <w:right w:w="108" w:type="dxa"/>
          </w:tblCellMar>
        </w:tblPrEx>
        <w:trPr>
          <w:trHeight w:val="388"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5</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030412004003</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装饰灯</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1.名称：600*600mmLED平板灯</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2.安装形式：嵌入式</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套</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40</w:t>
            </w:r>
          </w:p>
        </w:tc>
      </w:tr>
      <w:tr>
        <w:tblPrEx>
          <w:tblLayout w:type="fixed"/>
          <w:tblCellMar>
            <w:top w:w="0" w:type="dxa"/>
            <w:left w:w="108" w:type="dxa"/>
            <w:bottom w:w="0" w:type="dxa"/>
            <w:right w:w="108" w:type="dxa"/>
          </w:tblCellMar>
        </w:tblPrEx>
        <w:trPr>
          <w:trHeight w:val="371"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措施项目</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ascii="宋体" w:hAnsi="宋体" w:cs="宋体"/>
                <w:color w:val="auto"/>
                <w:sz w:val="24"/>
                <w:szCs w:val="24"/>
              </w:rPr>
            </w:pP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p>
        </w:tc>
      </w:tr>
      <w:tr>
        <w:tblPrEx>
          <w:tblLayout w:type="fixed"/>
          <w:tblCellMar>
            <w:top w:w="0" w:type="dxa"/>
            <w:left w:w="108" w:type="dxa"/>
            <w:bottom w:w="0" w:type="dxa"/>
            <w:right w:w="108" w:type="dxa"/>
          </w:tblCellMar>
        </w:tblPrEx>
        <w:trPr>
          <w:trHeight w:val="1185" w:hRule="atLeast"/>
          <w:jc w:val="center"/>
        </w:trPr>
        <w:tc>
          <w:tcPr>
            <w:tcW w:w="697" w:type="dxa"/>
            <w:tcBorders>
              <w:top w:val="nil"/>
              <w:left w:val="single" w:color="000000" w:sz="8" w:space="0"/>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16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011703001001</w:t>
            </w:r>
          </w:p>
        </w:tc>
        <w:tc>
          <w:tcPr>
            <w:tcW w:w="131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垂直运输</w:t>
            </w:r>
          </w:p>
        </w:tc>
        <w:tc>
          <w:tcPr>
            <w:tcW w:w="4085" w:type="dxa"/>
            <w:tcBorders>
              <w:top w:val="single" w:color="000000" w:sz="4" w:space="0"/>
              <w:left w:val="nil"/>
              <w:bottom w:val="single" w:color="000000" w:sz="4" w:space="0"/>
              <w:right w:val="single" w:color="000000" w:sz="4" w:space="0"/>
            </w:tcBorders>
            <w:shd w:val="clear" w:color="FFFFFF" w:fill="FFFFFF"/>
          </w:tcPr>
          <w:p>
            <w:pPr>
              <w:spacing w:line="276"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1.建筑物建筑类型及结构形式 ：现浇框架结构</w:t>
            </w:r>
          </w:p>
          <w:p>
            <w:pPr>
              <w:spacing w:line="276" w:lineRule="auto"/>
              <w:textAlignment w:val="auto"/>
              <w:rPr>
                <w:rFonts w:ascii="宋体" w:hAnsi="宋体" w:cs="宋体"/>
                <w:color w:val="auto"/>
                <w:sz w:val="24"/>
                <w:szCs w:val="24"/>
              </w:rPr>
            </w:pPr>
            <w:r>
              <w:rPr>
                <w:rFonts w:hint="eastAsia" w:ascii="宋体" w:hAnsi="宋体" w:cs="宋体"/>
                <w:color w:val="auto"/>
                <w:sz w:val="24"/>
                <w:szCs w:val="24"/>
              </w:rPr>
              <w:t>2.根据项目施工内容，自行考虑</w:t>
            </w:r>
          </w:p>
        </w:tc>
        <w:tc>
          <w:tcPr>
            <w:tcW w:w="828"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项</w:t>
            </w:r>
          </w:p>
        </w:tc>
        <w:tc>
          <w:tcPr>
            <w:tcW w:w="1056" w:type="dxa"/>
            <w:tcBorders>
              <w:top w:val="nil"/>
              <w:left w:val="nil"/>
              <w:bottom w:val="single" w:color="000000" w:sz="4" w:space="0"/>
              <w:right w:val="single" w:color="000000" w:sz="4" w:space="0"/>
            </w:tcBorders>
            <w:shd w:val="clear" w:color="FFFFFF" w:fill="FFFFFF"/>
            <w:vAlign w:val="center"/>
          </w:tcPr>
          <w:p>
            <w:pPr>
              <w:spacing w:line="276"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r>
    </w:tbl>
    <w:p>
      <w:pPr>
        <w:spacing w:line="360" w:lineRule="auto"/>
        <w:ind w:firstLine="240" w:firstLineChars="100"/>
        <w:jc w:val="left"/>
        <w:rPr>
          <w:color w:val="auto"/>
          <w:sz w:val="24"/>
          <w:szCs w:val="24"/>
        </w:rPr>
      </w:pPr>
    </w:p>
    <w:p>
      <w:pPr>
        <w:spacing w:line="360" w:lineRule="auto"/>
        <w:ind w:firstLine="240" w:firstLineChars="100"/>
        <w:jc w:val="left"/>
        <w:rPr>
          <w:rFonts w:ascii="宋体" w:hAnsi="宋体" w:cs="宋体"/>
          <w:b/>
          <w:color w:val="auto"/>
          <w:sz w:val="24"/>
          <w:szCs w:val="24"/>
        </w:rPr>
      </w:pPr>
      <w:r>
        <w:rPr>
          <w:rFonts w:hint="eastAsia"/>
          <w:color w:val="auto"/>
          <w:sz w:val="24"/>
          <w:szCs w:val="24"/>
        </w:rPr>
        <w:t>注：</w:t>
      </w:r>
      <w:r>
        <w:rPr>
          <w:rFonts w:hint="eastAsia" w:ascii="宋体" w:hAnsi="宋体" w:cs="宋体"/>
          <w:b/>
          <w:color w:val="auto"/>
          <w:sz w:val="24"/>
          <w:szCs w:val="24"/>
        </w:rPr>
        <w:t>1、以上是为完成该工程能正常交付使用所需的最低配置，包括但不限于以上内容；表中项目特征描述为基本技术要求，除符合基本技术要求外还应符合现场施工条件及采购人要求，当出现情况不一致时以最有利于采购人的原则确定技术要求。</w:t>
      </w:r>
    </w:p>
    <w:p>
      <w:pPr>
        <w:widowControl w:val="0"/>
        <w:adjustRightInd w:val="0"/>
        <w:snapToGrid w:val="0"/>
        <w:spacing w:beforeLines="50" w:line="360" w:lineRule="auto"/>
        <w:ind w:firstLine="463" w:firstLineChars="192"/>
        <w:rPr>
          <w:b/>
          <w:color w:val="auto"/>
          <w:sz w:val="24"/>
          <w:szCs w:val="24"/>
        </w:rPr>
      </w:pPr>
      <w:r>
        <w:rPr>
          <w:rFonts w:hint="eastAsia"/>
          <w:b/>
          <w:color w:val="auto"/>
          <w:sz w:val="24"/>
          <w:szCs w:val="24"/>
        </w:rPr>
        <w:t>2、</w:t>
      </w:r>
      <w:r>
        <w:rPr>
          <w:rFonts w:hint="eastAsia" w:ascii="宋体" w:hAnsi="宋体" w:cs="宋体"/>
          <w:b/>
          <w:color w:val="auto"/>
          <w:sz w:val="24"/>
          <w:szCs w:val="24"/>
        </w:rPr>
        <w:t>供应商</w:t>
      </w:r>
      <w:r>
        <w:rPr>
          <w:rFonts w:hint="eastAsia"/>
          <w:b/>
          <w:color w:val="auto"/>
          <w:sz w:val="24"/>
          <w:szCs w:val="24"/>
        </w:rPr>
        <w:t>应完成以上工程量清单中的所有工作内容，所产生的垃圾应做到日产日清；</w:t>
      </w:r>
      <w:r>
        <w:rPr>
          <w:rFonts w:hint="eastAsia" w:ascii="宋体" w:hAnsi="宋体"/>
          <w:b/>
          <w:color w:val="auto"/>
          <w:sz w:val="24"/>
          <w:szCs w:val="24"/>
        </w:rPr>
        <w:t>成交施工单位负责垃圾清运，所需拆除的设备及设施归采购人所有，其他物品经采购人认可后方可进行清运（到指定地点）。</w:t>
      </w:r>
    </w:p>
    <w:p>
      <w:pPr>
        <w:widowControl w:val="0"/>
        <w:adjustRightInd w:val="0"/>
        <w:snapToGrid w:val="0"/>
        <w:spacing w:beforeLines="50" w:line="360" w:lineRule="auto"/>
        <w:ind w:firstLine="463" w:firstLineChars="192"/>
        <w:rPr>
          <w:b/>
          <w:color w:val="auto"/>
          <w:sz w:val="24"/>
          <w:szCs w:val="24"/>
        </w:rPr>
      </w:pPr>
      <w:r>
        <w:rPr>
          <w:rFonts w:hint="eastAsia"/>
          <w:b/>
          <w:color w:val="auto"/>
          <w:sz w:val="24"/>
          <w:szCs w:val="24"/>
        </w:rPr>
        <w:t>3、</w:t>
      </w:r>
      <w:r>
        <w:rPr>
          <w:rFonts w:hint="eastAsia" w:ascii="宋体" w:hAnsi="宋体" w:cs="宋体"/>
          <w:b/>
          <w:color w:val="auto"/>
          <w:sz w:val="24"/>
          <w:szCs w:val="24"/>
        </w:rPr>
        <w:t>供应商</w:t>
      </w:r>
      <w:r>
        <w:rPr>
          <w:rFonts w:hint="eastAsia"/>
          <w:b/>
          <w:color w:val="auto"/>
          <w:sz w:val="24"/>
          <w:szCs w:val="24"/>
        </w:rPr>
        <w:t>应当加强劳动安全管理，加强劳动合同管理。如因管理不善和其它意外（包括上下班途中）引起的各类人身伤害、工伤事故等，或出现劳动纠纷，由</w:t>
      </w:r>
      <w:r>
        <w:rPr>
          <w:rFonts w:hint="eastAsia" w:ascii="宋体" w:hAnsi="宋体" w:cs="宋体"/>
          <w:b/>
          <w:color w:val="auto"/>
          <w:sz w:val="24"/>
          <w:szCs w:val="24"/>
        </w:rPr>
        <w:t>供应商</w:t>
      </w:r>
      <w:r>
        <w:rPr>
          <w:rFonts w:hint="eastAsia"/>
          <w:b/>
          <w:color w:val="auto"/>
          <w:sz w:val="24"/>
          <w:szCs w:val="24"/>
        </w:rPr>
        <w:t>负责并承担经济和道义上的责任，采购人不承担任何责任。</w:t>
      </w:r>
      <w:r>
        <w:rPr>
          <w:rFonts w:hint="eastAsia" w:ascii="宋体" w:hAnsi="宋体" w:cs="宋体"/>
          <w:b/>
          <w:color w:val="auto"/>
          <w:sz w:val="24"/>
          <w:szCs w:val="24"/>
        </w:rPr>
        <w:t>供应商</w:t>
      </w:r>
      <w:r>
        <w:rPr>
          <w:rFonts w:hint="eastAsia"/>
          <w:b/>
          <w:color w:val="auto"/>
          <w:sz w:val="24"/>
          <w:szCs w:val="24"/>
        </w:rPr>
        <w:t>违反国家相关法规与聘用人员发生纠纷，均由成交</w:t>
      </w:r>
      <w:r>
        <w:rPr>
          <w:rFonts w:hint="eastAsia" w:ascii="宋体" w:hAnsi="宋体" w:cs="宋体"/>
          <w:b/>
          <w:color w:val="auto"/>
          <w:sz w:val="24"/>
          <w:szCs w:val="24"/>
        </w:rPr>
        <w:t>供应商</w:t>
      </w:r>
      <w:r>
        <w:rPr>
          <w:rFonts w:hint="eastAsia"/>
          <w:b/>
          <w:color w:val="auto"/>
          <w:sz w:val="24"/>
          <w:szCs w:val="24"/>
        </w:rPr>
        <w:t>负责人负责调解和处理，采购人不承担责任。</w:t>
      </w:r>
    </w:p>
    <w:p>
      <w:pPr>
        <w:widowControl w:val="0"/>
        <w:adjustRightInd w:val="0"/>
        <w:snapToGrid w:val="0"/>
        <w:spacing w:beforeLines="50" w:line="300" w:lineRule="auto"/>
        <w:ind w:firstLine="463" w:firstLineChars="192"/>
        <w:rPr>
          <w:b/>
          <w:color w:val="auto"/>
          <w:sz w:val="24"/>
          <w:szCs w:val="24"/>
        </w:rPr>
      </w:pPr>
      <w:r>
        <w:rPr>
          <w:rFonts w:hint="eastAsia" w:ascii="宋体" w:hAnsi="宋体" w:cs="宋体"/>
          <w:b/>
          <w:color w:val="auto"/>
          <w:sz w:val="24"/>
          <w:szCs w:val="24"/>
        </w:rPr>
        <w:t>4、</w:t>
      </w:r>
      <w:r>
        <w:rPr>
          <w:rFonts w:hint="eastAsia" w:ascii="宋体" w:hAnsi="宋体"/>
          <w:b/>
          <w:color w:val="auto"/>
          <w:sz w:val="24"/>
          <w:szCs w:val="24"/>
        </w:rPr>
        <w:t>安日市第二中学校舍装修改造项目(二次)</w:t>
      </w:r>
      <w:r>
        <w:rPr>
          <w:rFonts w:hint="eastAsia"/>
          <w:b/>
          <w:color w:val="auto"/>
          <w:sz w:val="24"/>
          <w:szCs w:val="24"/>
        </w:rPr>
        <w:t>的中小企业划分标准所属行业为：建筑业。</w:t>
      </w:r>
    </w:p>
    <w:p>
      <w:pPr>
        <w:spacing w:line="300" w:lineRule="auto"/>
        <w:ind w:firstLine="480" w:firstLineChars="200"/>
        <w:rPr>
          <w:color w:val="auto"/>
          <w:sz w:val="24"/>
          <w:szCs w:val="24"/>
        </w:rPr>
      </w:pPr>
      <w:r>
        <w:rPr>
          <w:rFonts w:hint="eastAsia"/>
          <w:color w:val="auto"/>
          <w:sz w:val="24"/>
          <w:szCs w:val="24"/>
        </w:rPr>
        <w:t>提醒：供应商按照磋商文件中标明的工程项目的所属行业、按该行业所对应的中小企业划分标准，作为工程的承建企业（供应商）是否属于中小企业的判断标准。</w:t>
      </w:r>
    </w:p>
    <w:p>
      <w:pPr>
        <w:spacing w:line="300" w:lineRule="auto"/>
        <w:ind w:firstLine="480" w:firstLineChars="200"/>
        <w:rPr>
          <w:color w:val="auto"/>
          <w:sz w:val="24"/>
          <w:szCs w:val="24"/>
        </w:rPr>
      </w:pPr>
      <w:r>
        <w:rPr>
          <w:rFonts w:hint="eastAsia"/>
          <w:color w:val="auto"/>
          <w:sz w:val="24"/>
          <w:szCs w:val="24"/>
        </w:rPr>
        <w:t>供应商不应按照自身的行业属性作为中小企业的判断标准（应按采购文件标明的所属行业进行判断）。</w:t>
      </w:r>
    </w:p>
    <w:p>
      <w:pPr>
        <w:widowControl w:val="0"/>
        <w:adjustRightInd w:val="0"/>
        <w:snapToGrid w:val="0"/>
        <w:spacing w:beforeLines="50" w:line="300" w:lineRule="auto"/>
        <w:ind w:firstLine="463" w:firstLineChars="192"/>
        <w:rPr>
          <w:b/>
          <w:color w:val="auto"/>
          <w:sz w:val="24"/>
          <w:szCs w:val="24"/>
        </w:rPr>
      </w:pPr>
      <w:r>
        <w:rPr>
          <w:rFonts w:hint="eastAsia"/>
          <w:b/>
          <w:color w:val="auto"/>
          <w:sz w:val="24"/>
          <w:szCs w:val="24"/>
        </w:rPr>
        <w:t>2.4项目说明</w:t>
      </w:r>
    </w:p>
    <w:p>
      <w:pPr>
        <w:widowControl w:val="0"/>
        <w:adjustRightInd w:val="0"/>
        <w:snapToGrid w:val="0"/>
        <w:spacing w:beforeLines="50" w:line="300" w:lineRule="auto"/>
        <w:ind w:firstLine="460" w:firstLineChars="192"/>
        <w:rPr>
          <w:color w:val="auto"/>
          <w:sz w:val="24"/>
          <w:szCs w:val="24"/>
        </w:rPr>
      </w:pPr>
      <w:r>
        <w:rPr>
          <w:rFonts w:hint="eastAsia"/>
          <w:color w:val="auto"/>
          <w:sz w:val="24"/>
          <w:szCs w:val="24"/>
        </w:rPr>
        <w:t>（</w:t>
      </w:r>
      <w:r>
        <w:rPr>
          <w:color w:val="auto"/>
          <w:sz w:val="24"/>
          <w:szCs w:val="24"/>
        </w:rPr>
        <w:t>1</w:t>
      </w:r>
      <w:r>
        <w:rPr>
          <w:rFonts w:hint="eastAsia"/>
          <w:color w:val="auto"/>
          <w:sz w:val="24"/>
          <w:szCs w:val="24"/>
        </w:rPr>
        <w:t>）工程质量要求：工程质量必须达到对应专业现行的国家</w:t>
      </w:r>
      <w:r>
        <w:rPr>
          <w:rFonts w:hint="eastAsia" w:ascii="宋体" w:hAnsi="宋体"/>
          <w:color w:val="auto"/>
          <w:sz w:val="24"/>
          <w:szCs w:val="24"/>
        </w:rPr>
        <w:t>（</w:t>
      </w:r>
      <w:r>
        <w:rPr>
          <w:rFonts w:hint="eastAsia"/>
          <w:color w:val="auto"/>
          <w:sz w:val="24"/>
          <w:szCs w:val="24"/>
        </w:rPr>
        <w:t>行业</w:t>
      </w:r>
      <w:r>
        <w:rPr>
          <w:rFonts w:hint="eastAsia" w:ascii="宋体" w:hAnsi="宋体"/>
          <w:color w:val="auto"/>
          <w:sz w:val="24"/>
          <w:szCs w:val="24"/>
        </w:rPr>
        <w:t>）</w:t>
      </w:r>
      <w:r>
        <w:rPr>
          <w:rFonts w:hint="eastAsia"/>
          <w:color w:val="auto"/>
          <w:sz w:val="24"/>
          <w:szCs w:val="24"/>
        </w:rPr>
        <w:t>的技术标准、规范且符合相关环保要求。</w:t>
      </w:r>
    </w:p>
    <w:p>
      <w:pPr>
        <w:widowControl w:val="0"/>
        <w:adjustRightInd w:val="0"/>
        <w:snapToGrid w:val="0"/>
        <w:spacing w:beforeLines="50" w:line="300" w:lineRule="auto"/>
        <w:ind w:left="22" w:firstLine="555"/>
        <w:jc w:val="left"/>
        <w:rPr>
          <w:color w:val="auto"/>
          <w:sz w:val="24"/>
          <w:szCs w:val="24"/>
        </w:rPr>
      </w:pPr>
      <w:r>
        <w:rPr>
          <w:rFonts w:hint="eastAsia"/>
          <w:color w:val="auto"/>
          <w:sz w:val="24"/>
          <w:szCs w:val="24"/>
        </w:rPr>
        <w:t>（</w:t>
      </w:r>
      <w:r>
        <w:rPr>
          <w:color w:val="auto"/>
          <w:sz w:val="24"/>
          <w:szCs w:val="24"/>
        </w:rPr>
        <w:t>2</w:t>
      </w:r>
      <w:r>
        <w:rPr>
          <w:rFonts w:hint="eastAsia"/>
          <w:color w:val="auto"/>
          <w:sz w:val="24"/>
          <w:szCs w:val="24"/>
        </w:rPr>
        <w:t>）工程所涉货物材料的技术偏离：</w:t>
      </w:r>
    </w:p>
    <w:p>
      <w:pPr>
        <w:widowControl w:val="0"/>
        <w:adjustRightInd w:val="0"/>
        <w:snapToGrid w:val="0"/>
        <w:spacing w:beforeLines="50" w:line="300" w:lineRule="auto"/>
        <w:ind w:left="22" w:firstLine="555"/>
        <w:jc w:val="left"/>
        <w:rPr>
          <w:color w:val="auto"/>
          <w:sz w:val="24"/>
          <w:szCs w:val="24"/>
        </w:rPr>
      </w:pPr>
      <w:r>
        <w:rPr>
          <w:rFonts w:hint="eastAsia"/>
          <w:color w:val="auto"/>
          <w:sz w:val="24"/>
          <w:szCs w:val="24"/>
        </w:rPr>
        <w:t>“基本技术要求”列示货物材料的参数、规格为基础</w:t>
      </w:r>
      <w:r>
        <w:rPr>
          <w:color w:val="auto"/>
          <w:sz w:val="24"/>
          <w:szCs w:val="24"/>
        </w:rPr>
        <w:t>性</w:t>
      </w:r>
      <w:r>
        <w:rPr>
          <w:rFonts w:hint="eastAsia"/>
          <w:color w:val="auto"/>
          <w:sz w:val="24"/>
          <w:szCs w:val="24"/>
        </w:rPr>
        <w:t>要求，供应商可提供质量性能参数相等或优于的其他产品；投</w:t>
      </w:r>
      <w:r>
        <w:rPr>
          <w:color w:val="auto"/>
          <w:sz w:val="24"/>
          <w:szCs w:val="24"/>
        </w:rPr>
        <w:t>标产品的</w:t>
      </w:r>
      <w:r>
        <w:rPr>
          <w:rFonts w:hint="eastAsia"/>
          <w:color w:val="auto"/>
          <w:sz w:val="24"/>
          <w:szCs w:val="24"/>
        </w:rPr>
        <w:t>规格参数与“基本技术要求”不</w:t>
      </w:r>
      <w:r>
        <w:rPr>
          <w:color w:val="auto"/>
          <w:sz w:val="24"/>
          <w:szCs w:val="24"/>
        </w:rPr>
        <w:t>同</w:t>
      </w:r>
      <w:r>
        <w:rPr>
          <w:rFonts w:hint="eastAsia"/>
          <w:color w:val="auto"/>
          <w:sz w:val="24"/>
          <w:szCs w:val="24"/>
        </w:rPr>
        <w:t>、</w:t>
      </w:r>
      <w:r>
        <w:rPr>
          <w:color w:val="auto"/>
          <w:sz w:val="24"/>
          <w:szCs w:val="24"/>
        </w:rPr>
        <w:t>且</w:t>
      </w:r>
      <w:r>
        <w:rPr>
          <w:rFonts w:hint="eastAsia"/>
          <w:color w:val="auto"/>
          <w:sz w:val="24"/>
          <w:szCs w:val="24"/>
        </w:rPr>
        <w:t>供应商认</w:t>
      </w:r>
      <w:r>
        <w:rPr>
          <w:color w:val="auto"/>
          <w:sz w:val="24"/>
          <w:szCs w:val="24"/>
        </w:rPr>
        <w:t>为</w:t>
      </w:r>
      <w:r>
        <w:rPr>
          <w:rFonts w:hint="eastAsia"/>
          <w:color w:val="auto"/>
          <w:sz w:val="24"/>
          <w:szCs w:val="24"/>
        </w:rPr>
        <w:t>投</w:t>
      </w:r>
      <w:r>
        <w:rPr>
          <w:color w:val="auto"/>
          <w:sz w:val="24"/>
          <w:szCs w:val="24"/>
        </w:rPr>
        <w:t>标产品的</w:t>
      </w:r>
      <w:r>
        <w:rPr>
          <w:rFonts w:hint="eastAsia"/>
          <w:color w:val="auto"/>
          <w:sz w:val="24"/>
          <w:szCs w:val="24"/>
        </w:rPr>
        <w:t>规格参数等</w:t>
      </w:r>
      <w:r>
        <w:rPr>
          <w:color w:val="auto"/>
          <w:sz w:val="24"/>
          <w:szCs w:val="24"/>
        </w:rPr>
        <w:t>于或优于</w:t>
      </w:r>
      <w:r>
        <w:rPr>
          <w:rFonts w:hint="eastAsia"/>
          <w:color w:val="auto"/>
          <w:sz w:val="24"/>
          <w:szCs w:val="24"/>
        </w:rPr>
        <w:t>“基本技术要求”的</w:t>
      </w:r>
      <w:r>
        <w:rPr>
          <w:color w:val="auto"/>
          <w:sz w:val="24"/>
          <w:szCs w:val="24"/>
        </w:rPr>
        <w:t>，</w:t>
      </w:r>
      <w:r>
        <w:rPr>
          <w:rFonts w:hint="eastAsia"/>
          <w:color w:val="auto"/>
          <w:sz w:val="24"/>
          <w:szCs w:val="24"/>
        </w:rPr>
        <w:t>供应商应提供相关证明材料（如权威评测资料、及印刷品产品说明书或印刷品图册等）以供磋商小组评审投标产品是</w:t>
      </w:r>
      <w:r>
        <w:rPr>
          <w:color w:val="auto"/>
          <w:sz w:val="24"/>
          <w:szCs w:val="24"/>
        </w:rPr>
        <w:t>否</w:t>
      </w:r>
      <w:r>
        <w:rPr>
          <w:rFonts w:hint="eastAsia"/>
          <w:color w:val="auto"/>
          <w:sz w:val="24"/>
          <w:szCs w:val="24"/>
        </w:rPr>
        <w:t>等于或优于“基本技术要求”、从而</w:t>
      </w:r>
      <w:r>
        <w:rPr>
          <w:color w:val="auto"/>
          <w:sz w:val="24"/>
          <w:szCs w:val="24"/>
        </w:rPr>
        <w:t>评定</w:t>
      </w:r>
      <w:r>
        <w:rPr>
          <w:rFonts w:hint="eastAsia"/>
          <w:color w:val="auto"/>
          <w:sz w:val="24"/>
          <w:szCs w:val="24"/>
        </w:rPr>
        <w:t>投标产品是</w:t>
      </w:r>
      <w:r>
        <w:rPr>
          <w:color w:val="auto"/>
          <w:sz w:val="24"/>
          <w:szCs w:val="24"/>
        </w:rPr>
        <w:t>否</w:t>
      </w:r>
      <w:r>
        <w:rPr>
          <w:rFonts w:hint="eastAsia"/>
          <w:color w:val="auto"/>
          <w:sz w:val="24"/>
          <w:szCs w:val="24"/>
        </w:rPr>
        <w:t>满</w:t>
      </w:r>
      <w:r>
        <w:rPr>
          <w:color w:val="auto"/>
          <w:sz w:val="24"/>
          <w:szCs w:val="24"/>
        </w:rPr>
        <w:t>足</w:t>
      </w:r>
      <w:r>
        <w:rPr>
          <w:rFonts w:hint="eastAsia"/>
          <w:color w:val="auto"/>
          <w:sz w:val="24"/>
          <w:szCs w:val="24"/>
        </w:rPr>
        <w:t>“基本技术要求”。</w:t>
      </w:r>
    </w:p>
    <w:p>
      <w:pPr>
        <w:widowControl w:val="0"/>
        <w:adjustRightInd w:val="0"/>
        <w:snapToGrid w:val="0"/>
        <w:spacing w:beforeLines="50" w:line="300" w:lineRule="auto"/>
        <w:ind w:left="22" w:firstLine="555"/>
        <w:jc w:val="left"/>
        <w:rPr>
          <w:color w:val="auto"/>
          <w:sz w:val="24"/>
          <w:szCs w:val="24"/>
        </w:rPr>
      </w:pPr>
      <w:r>
        <w:rPr>
          <w:rFonts w:hint="eastAsia"/>
          <w:color w:val="auto"/>
          <w:sz w:val="24"/>
          <w:szCs w:val="24"/>
        </w:rPr>
        <w:t xml:space="preserve"> “基本技术要求”列示货物材料的参数、规格为区</w:t>
      </w:r>
      <w:r>
        <w:rPr>
          <w:color w:val="auto"/>
          <w:sz w:val="24"/>
          <w:szCs w:val="24"/>
        </w:rPr>
        <w:t>间性描述的，</w:t>
      </w:r>
      <w:r>
        <w:rPr>
          <w:rFonts w:hint="eastAsia"/>
          <w:color w:val="auto"/>
          <w:sz w:val="24"/>
          <w:szCs w:val="24"/>
        </w:rPr>
        <w:t>投</w:t>
      </w:r>
      <w:r>
        <w:rPr>
          <w:color w:val="auto"/>
          <w:sz w:val="24"/>
          <w:szCs w:val="24"/>
        </w:rPr>
        <w:t>标产品</w:t>
      </w:r>
      <w:r>
        <w:rPr>
          <w:rFonts w:hint="eastAsia"/>
          <w:color w:val="auto"/>
          <w:sz w:val="24"/>
          <w:szCs w:val="24"/>
        </w:rPr>
        <w:t>参数规格</w:t>
      </w:r>
      <w:r>
        <w:rPr>
          <w:color w:val="auto"/>
          <w:sz w:val="24"/>
          <w:szCs w:val="24"/>
        </w:rPr>
        <w:t>在此区间内的</w:t>
      </w:r>
      <w:r>
        <w:rPr>
          <w:rFonts w:hint="eastAsia"/>
          <w:color w:val="auto"/>
          <w:sz w:val="24"/>
          <w:szCs w:val="24"/>
        </w:rPr>
        <w:t>、则</w:t>
      </w:r>
      <w:r>
        <w:rPr>
          <w:color w:val="auto"/>
          <w:sz w:val="24"/>
          <w:szCs w:val="24"/>
        </w:rPr>
        <w:t>显见的为</w:t>
      </w:r>
      <w:r>
        <w:rPr>
          <w:rFonts w:hint="eastAsia"/>
          <w:color w:val="auto"/>
          <w:sz w:val="24"/>
          <w:szCs w:val="24"/>
        </w:rPr>
        <w:t>符</w:t>
      </w:r>
      <w:r>
        <w:rPr>
          <w:color w:val="auto"/>
          <w:sz w:val="24"/>
          <w:szCs w:val="24"/>
        </w:rPr>
        <w:t>合</w:t>
      </w:r>
      <w:r>
        <w:rPr>
          <w:rFonts w:hint="eastAsia"/>
          <w:color w:val="auto"/>
          <w:sz w:val="24"/>
          <w:szCs w:val="24"/>
        </w:rPr>
        <w:t>“基本技术要求”。</w:t>
      </w:r>
    </w:p>
    <w:p>
      <w:pPr>
        <w:widowControl w:val="0"/>
        <w:adjustRightInd w:val="0"/>
        <w:snapToGrid w:val="0"/>
        <w:spacing w:beforeLines="50" w:line="300" w:lineRule="auto"/>
        <w:ind w:left="22" w:firstLine="555"/>
        <w:jc w:val="left"/>
        <w:rPr>
          <w:color w:val="auto"/>
          <w:sz w:val="24"/>
          <w:szCs w:val="24"/>
        </w:rPr>
      </w:pPr>
      <w:r>
        <w:rPr>
          <w:color w:val="auto"/>
          <w:sz w:val="24"/>
          <w:szCs w:val="24"/>
        </w:rPr>
        <w:t>如</w:t>
      </w:r>
      <w:r>
        <w:rPr>
          <w:rFonts w:hint="eastAsia"/>
          <w:color w:val="auto"/>
          <w:sz w:val="24"/>
          <w:szCs w:val="24"/>
        </w:rPr>
        <w:t>“基本技术要求”中列示有品牌</w:t>
      </w:r>
      <w:r>
        <w:rPr>
          <w:color w:val="auto"/>
          <w:sz w:val="24"/>
          <w:szCs w:val="24"/>
        </w:rPr>
        <w:t>、</w:t>
      </w:r>
      <w:r>
        <w:rPr>
          <w:rFonts w:hint="eastAsia"/>
          <w:color w:val="auto"/>
          <w:sz w:val="24"/>
          <w:szCs w:val="24"/>
        </w:rPr>
        <w:t>型号、生</w:t>
      </w:r>
      <w:r>
        <w:rPr>
          <w:color w:val="auto"/>
          <w:sz w:val="24"/>
          <w:szCs w:val="24"/>
        </w:rPr>
        <w:t>产供应商名称</w:t>
      </w:r>
      <w:r>
        <w:rPr>
          <w:rFonts w:hint="eastAsia"/>
          <w:color w:val="auto"/>
          <w:sz w:val="24"/>
          <w:szCs w:val="24"/>
        </w:rPr>
        <w:t>、</w:t>
      </w:r>
      <w:r>
        <w:rPr>
          <w:color w:val="auto"/>
          <w:sz w:val="24"/>
          <w:szCs w:val="24"/>
        </w:rPr>
        <w:t>专利、商标</w:t>
      </w:r>
      <w:r>
        <w:rPr>
          <w:rFonts w:hint="eastAsia"/>
          <w:color w:val="auto"/>
          <w:sz w:val="24"/>
          <w:szCs w:val="24"/>
        </w:rPr>
        <w:t>的</w:t>
      </w:r>
      <w:r>
        <w:rPr>
          <w:color w:val="auto"/>
          <w:sz w:val="24"/>
          <w:szCs w:val="24"/>
        </w:rPr>
        <w:t>，</w:t>
      </w:r>
      <w:r>
        <w:rPr>
          <w:rFonts w:hint="eastAsia"/>
          <w:color w:val="auto"/>
          <w:sz w:val="24"/>
          <w:szCs w:val="24"/>
        </w:rPr>
        <w:t>均为“参</w:t>
      </w:r>
      <w:r>
        <w:rPr>
          <w:color w:val="auto"/>
          <w:sz w:val="24"/>
          <w:szCs w:val="24"/>
        </w:rPr>
        <w:t>照或相当于</w:t>
      </w:r>
      <w:r>
        <w:rPr>
          <w:rFonts w:hint="eastAsia"/>
          <w:color w:val="auto"/>
          <w:sz w:val="24"/>
          <w:szCs w:val="24"/>
        </w:rPr>
        <w:t>”的</w:t>
      </w:r>
      <w:r>
        <w:rPr>
          <w:color w:val="auto"/>
          <w:sz w:val="24"/>
          <w:szCs w:val="24"/>
        </w:rPr>
        <w:t>技术标准</w:t>
      </w:r>
      <w:r>
        <w:rPr>
          <w:rFonts w:hint="eastAsia"/>
          <w:color w:val="auto"/>
          <w:sz w:val="24"/>
          <w:szCs w:val="24"/>
        </w:rPr>
        <w:t>，供应商可提供等于或优于的其他产品（其他</w:t>
      </w:r>
      <w:r>
        <w:rPr>
          <w:color w:val="auto"/>
          <w:sz w:val="24"/>
          <w:szCs w:val="24"/>
        </w:rPr>
        <w:t>的</w:t>
      </w:r>
      <w:r>
        <w:rPr>
          <w:rFonts w:hint="eastAsia"/>
          <w:color w:val="auto"/>
          <w:sz w:val="24"/>
          <w:szCs w:val="24"/>
        </w:rPr>
        <w:t>品牌、型号、生产供应商、专利、商标</w:t>
      </w:r>
      <w:r>
        <w:rPr>
          <w:color w:val="auto"/>
          <w:sz w:val="24"/>
          <w:szCs w:val="24"/>
        </w:rPr>
        <w:t>）</w:t>
      </w:r>
      <w:r>
        <w:rPr>
          <w:rFonts w:hint="eastAsia"/>
          <w:color w:val="auto"/>
          <w:sz w:val="24"/>
          <w:szCs w:val="24"/>
        </w:rPr>
        <w:t>；供应商应提供相关证明材料（如权威评测资料、及印刷品产品说明书或印刷品图册等）以供磋商小组评审投标产品是否等于或优于“基本技术要求”、从而评定投标产品是否满足“基本技术要求”。</w:t>
      </w:r>
    </w:p>
    <w:p>
      <w:pPr>
        <w:widowControl w:val="0"/>
        <w:adjustRightInd w:val="0"/>
        <w:snapToGrid w:val="0"/>
        <w:spacing w:beforeLines="50" w:line="300" w:lineRule="auto"/>
        <w:ind w:firstLine="463" w:firstLineChars="192"/>
        <w:rPr>
          <w:color w:val="auto"/>
          <w:sz w:val="24"/>
          <w:szCs w:val="24"/>
        </w:rPr>
      </w:pPr>
      <w:r>
        <w:rPr>
          <w:rFonts w:hint="eastAsia" w:ascii="黑体" w:hAnsi="黑体" w:eastAsia="黑体"/>
          <w:b/>
          <w:color w:val="auto"/>
          <w:sz w:val="24"/>
          <w:szCs w:val="24"/>
        </w:rPr>
        <w:t>不</w:t>
      </w:r>
      <w:r>
        <w:rPr>
          <w:rFonts w:ascii="黑体" w:hAnsi="黑体" w:eastAsia="黑体"/>
          <w:b/>
          <w:color w:val="auto"/>
          <w:sz w:val="24"/>
          <w:szCs w:val="24"/>
        </w:rPr>
        <w:t>接受负</w:t>
      </w:r>
      <w:r>
        <w:rPr>
          <w:rFonts w:hint="eastAsia" w:ascii="黑体" w:hAnsi="黑体" w:eastAsia="黑体"/>
          <w:b/>
          <w:color w:val="auto"/>
          <w:sz w:val="24"/>
          <w:szCs w:val="24"/>
        </w:rPr>
        <w:t>偏差，低</w:t>
      </w:r>
      <w:r>
        <w:rPr>
          <w:rFonts w:ascii="黑体" w:hAnsi="黑体" w:eastAsia="黑体"/>
          <w:b/>
          <w:color w:val="auto"/>
          <w:sz w:val="24"/>
          <w:szCs w:val="24"/>
        </w:rPr>
        <w:t>于</w:t>
      </w:r>
      <w:r>
        <w:rPr>
          <w:rFonts w:hint="eastAsia" w:ascii="黑体" w:hAnsi="黑体" w:eastAsia="黑体"/>
          <w:b/>
          <w:color w:val="auto"/>
          <w:sz w:val="24"/>
          <w:szCs w:val="24"/>
        </w:rPr>
        <w:t>“基本技术要求”</w:t>
      </w:r>
      <w:r>
        <w:rPr>
          <w:rFonts w:ascii="黑体" w:hAnsi="黑体" w:eastAsia="黑体"/>
          <w:b/>
          <w:color w:val="auto"/>
          <w:sz w:val="24"/>
          <w:szCs w:val="24"/>
        </w:rPr>
        <w:t>的、为无效投标。</w:t>
      </w:r>
    </w:p>
    <w:p>
      <w:pPr>
        <w:widowControl w:val="0"/>
        <w:adjustRightInd w:val="0"/>
        <w:snapToGrid w:val="0"/>
        <w:spacing w:beforeLines="50" w:line="300" w:lineRule="auto"/>
        <w:ind w:firstLine="460" w:firstLineChars="192"/>
        <w:rPr>
          <w:color w:val="auto"/>
          <w:sz w:val="24"/>
          <w:szCs w:val="24"/>
        </w:rPr>
      </w:pPr>
      <w:r>
        <w:rPr>
          <w:rFonts w:hint="eastAsia"/>
          <w:color w:val="auto"/>
          <w:sz w:val="24"/>
          <w:szCs w:val="24"/>
        </w:rPr>
        <w:t>（3）本工程不准转包、挂靠承包、层层分包。</w:t>
      </w:r>
    </w:p>
    <w:p>
      <w:pPr>
        <w:widowControl w:val="0"/>
        <w:adjustRightInd w:val="0"/>
        <w:snapToGrid w:val="0"/>
        <w:spacing w:beforeLines="50" w:line="300" w:lineRule="auto"/>
        <w:ind w:firstLine="460" w:firstLineChars="192"/>
        <w:rPr>
          <w:color w:val="auto"/>
          <w:sz w:val="24"/>
          <w:szCs w:val="24"/>
        </w:rPr>
      </w:pPr>
      <w:r>
        <w:rPr>
          <w:rFonts w:hint="eastAsia"/>
          <w:color w:val="auto"/>
          <w:sz w:val="24"/>
          <w:szCs w:val="24"/>
        </w:rPr>
        <w:t>（4）承包方式：本工程包工包料，中标价及合同价为固定总价合同，不因人工、材料和设备等价格的波动而影响合同价格；</w:t>
      </w:r>
      <w:r>
        <w:rPr>
          <w:rFonts w:hint="eastAsia" w:ascii="宋体" w:hAnsi="宋体"/>
          <w:color w:val="auto"/>
          <w:sz w:val="24"/>
          <w:szCs w:val="24"/>
        </w:rPr>
        <w:t>为完成本项目所需的一切辅件、零配件均由成交供应商免费提供；除“基本技术要求”有明确说明之外，所有设备及材料均不得低于国标标准且经采购人认可后方可进场。</w:t>
      </w:r>
    </w:p>
    <w:p>
      <w:pPr>
        <w:widowControl w:val="0"/>
        <w:adjustRightInd w:val="0"/>
        <w:snapToGrid w:val="0"/>
        <w:spacing w:beforeLines="50" w:line="300" w:lineRule="auto"/>
        <w:ind w:firstLine="460" w:firstLineChars="192"/>
        <w:rPr>
          <w:color w:val="auto"/>
          <w:sz w:val="24"/>
          <w:szCs w:val="24"/>
        </w:rPr>
      </w:pPr>
      <w:r>
        <w:rPr>
          <w:rFonts w:hint="eastAsia"/>
          <w:color w:val="auto"/>
          <w:sz w:val="24"/>
          <w:szCs w:val="24"/>
        </w:rPr>
        <w:t>（5）磋商报价为供应商自主报价，供应商应充分考虑综合费用。成交供应商须按采购人要求清理施工现场并负责垃圾清运（到指定地点）；</w:t>
      </w:r>
      <w:r>
        <w:rPr>
          <w:rFonts w:hint="eastAsia" w:ascii="宋体" w:hAnsi="宋体"/>
          <w:color w:val="auto"/>
          <w:sz w:val="24"/>
          <w:szCs w:val="24"/>
        </w:rPr>
        <w:t>因施工造成的破坏需及时恢复原状；以上</w:t>
      </w:r>
      <w:r>
        <w:rPr>
          <w:rFonts w:hint="eastAsia"/>
          <w:color w:val="auto"/>
          <w:sz w:val="24"/>
          <w:szCs w:val="24"/>
        </w:rPr>
        <w:t>费用均含在磋商报价内。注：遵守市蓝天工程和创建卫生城市相关要求，取得相关许可及证件，如违反规定接受上级处罚，由成交供应商自行承担，给采购人造成损失的应进行补偿。</w:t>
      </w:r>
    </w:p>
    <w:p>
      <w:pPr>
        <w:widowControl w:val="0"/>
        <w:adjustRightInd w:val="0"/>
        <w:snapToGrid w:val="0"/>
        <w:spacing w:beforeLines="50" w:line="300" w:lineRule="auto"/>
        <w:ind w:firstLine="460" w:firstLineChars="192"/>
        <w:rPr>
          <w:color w:val="auto"/>
          <w:sz w:val="24"/>
          <w:szCs w:val="24"/>
        </w:rPr>
      </w:pPr>
      <w:r>
        <w:rPr>
          <w:rFonts w:hint="eastAsia"/>
          <w:color w:val="auto"/>
          <w:sz w:val="24"/>
          <w:szCs w:val="24"/>
        </w:rPr>
        <w:t>（6）施工过程中应注意施工规范，文明施工、安全施工，保持校园整洁有序。</w:t>
      </w:r>
    </w:p>
    <w:p>
      <w:pPr>
        <w:widowControl w:val="0"/>
        <w:adjustRightInd w:val="0"/>
        <w:snapToGrid w:val="0"/>
        <w:spacing w:beforeLines="50" w:line="300" w:lineRule="auto"/>
        <w:ind w:firstLine="460" w:firstLineChars="192"/>
        <w:rPr>
          <w:color w:val="auto"/>
          <w:sz w:val="24"/>
          <w:szCs w:val="24"/>
        </w:rPr>
      </w:pPr>
      <w:r>
        <w:rPr>
          <w:rFonts w:hint="eastAsia"/>
          <w:color w:val="auto"/>
          <w:sz w:val="24"/>
          <w:szCs w:val="24"/>
        </w:rPr>
        <w:t>（7）施工过程中每道施工程序完成后必须经采购人签字认可，签字文字材料将作为工程验收的必备条件。以上工程质量必须达到</w:t>
      </w:r>
      <w:r>
        <w:rPr>
          <w:color w:val="auto"/>
          <w:sz w:val="24"/>
          <w:szCs w:val="24"/>
        </w:rPr>
        <w:t>&lt;&lt;</w:t>
      </w:r>
      <w:r>
        <w:rPr>
          <w:rFonts w:hint="eastAsia"/>
          <w:color w:val="auto"/>
          <w:sz w:val="24"/>
          <w:szCs w:val="24"/>
        </w:rPr>
        <w:t>建筑工程施工质量验收统一标准</w:t>
      </w:r>
      <w:r>
        <w:rPr>
          <w:color w:val="auto"/>
          <w:sz w:val="24"/>
          <w:szCs w:val="24"/>
        </w:rPr>
        <w:t>&gt;&gt;GB50300-2013</w:t>
      </w:r>
      <w:r>
        <w:rPr>
          <w:rFonts w:hint="eastAsia"/>
          <w:color w:val="auto"/>
          <w:sz w:val="24"/>
          <w:szCs w:val="24"/>
        </w:rPr>
        <w:t>。</w:t>
      </w:r>
    </w:p>
    <w:p>
      <w:pPr>
        <w:widowControl w:val="0"/>
        <w:adjustRightInd w:val="0"/>
        <w:snapToGrid w:val="0"/>
        <w:spacing w:beforeLines="50" w:line="300" w:lineRule="auto"/>
        <w:ind w:firstLine="460" w:firstLineChars="192"/>
        <w:rPr>
          <w:color w:val="auto"/>
          <w:sz w:val="24"/>
          <w:szCs w:val="24"/>
        </w:rPr>
      </w:pPr>
      <w:r>
        <w:rPr>
          <w:rFonts w:hint="eastAsia"/>
          <w:color w:val="auto"/>
          <w:sz w:val="24"/>
          <w:szCs w:val="24"/>
        </w:rPr>
        <w:t>（8）供应商为准确投标，开标前应自行与采购人联系，详细勘察现场，并按采购人施工条件及要求编制磋商报价；供应商的磋商报价应包括未列明而完成本工程所必须的所有设备、材料、工具、费用等，否则由成交施工单位自行解决；详细勘察现场是供应商的责任，供应商自行承担相应风险。</w:t>
      </w:r>
    </w:p>
    <w:p>
      <w:pPr>
        <w:widowControl w:val="0"/>
        <w:adjustRightInd w:val="0"/>
        <w:snapToGrid w:val="0"/>
        <w:spacing w:beforeLines="50" w:line="300" w:lineRule="auto"/>
        <w:ind w:firstLine="460" w:firstLineChars="192"/>
        <w:rPr>
          <w:color w:val="auto"/>
          <w:sz w:val="24"/>
          <w:szCs w:val="24"/>
        </w:rPr>
      </w:pPr>
      <w:r>
        <w:rPr>
          <w:rFonts w:hint="eastAsia"/>
          <w:color w:val="auto"/>
          <w:sz w:val="24"/>
          <w:szCs w:val="24"/>
        </w:rPr>
        <w:t>（9）当主要工程量概况现场勘察情况不符时，以现场勘察情况为准；供应商自行承担相应风险。</w:t>
      </w:r>
    </w:p>
    <w:p>
      <w:pPr>
        <w:widowControl w:val="0"/>
        <w:adjustRightInd w:val="0"/>
        <w:snapToGrid w:val="0"/>
        <w:spacing w:beforeLines="50" w:line="300" w:lineRule="auto"/>
        <w:ind w:firstLine="460" w:firstLineChars="192"/>
        <w:rPr>
          <w:color w:val="auto"/>
          <w:sz w:val="24"/>
          <w:szCs w:val="24"/>
        </w:rPr>
      </w:pPr>
      <w:r>
        <w:rPr>
          <w:rFonts w:hint="eastAsia"/>
          <w:color w:val="auto"/>
          <w:sz w:val="24"/>
          <w:szCs w:val="24"/>
        </w:rPr>
        <w:t>（</w:t>
      </w:r>
      <w:r>
        <w:rPr>
          <w:color w:val="auto"/>
          <w:sz w:val="24"/>
          <w:szCs w:val="24"/>
        </w:rPr>
        <w:t>10</w:t>
      </w:r>
      <w:r>
        <w:rPr>
          <w:rFonts w:hint="eastAsia"/>
          <w:color w:val="auto"/>
          <w:sz w:val="24"/>
          <w:szCs w:val="24"/>
        </w:rPr>
        <w:t>）</w:t>
      </w:r>
      <w:r>
        <w:rPr>
          <w:rFonts w:hint="eastAsia"/>
          <w:b/>
          <w:color w:val="auto"/>
          <w:sz w:val="24"/>
          <w:szCs w:val="24"/>
        </w:rPr>
        <w:t>本项目质保期：</w:t>
      </w:r>
      <w:r>
        <w:rPr>
          <w:rFonts w:hint="eastAsia"/>
          <w:color w:val="auto"/>
        </w:rPr>
        <w:t xml:space="preserve"> </w:t>
      </w:r>
      <w:r>
        <w:rPr>
          <w:rFonts w:hint="eastAsia"/>
          <w:b/>
          <w:color w:val="auto"/>
          <w:sz w:val="24"/>
          <w:szCs w:val="24"/>
        </w:rPr>
        <w:t>不低于一年。</w:t>
      </w:r>
    </w:p>
    <w:p>
      <w:pPr>
        <w:widowControl w:val="0"/>
        <w:adjustRightInd w:val="0"/>
        <w:snapToGrid w:val="0"/>
        <w:spacing w:beforeLines="50" w:line="276" w:lineRule="auto"/>
        <w:ind w:firstLine="460" w:firstLineChars="192"/>
        <w:rPr>
          <w:color w:val="auto"/>
          <w:sz w:val="24"/>
          <w:szCs w:val="24"/>
        </w:rPr>
      </w:pPr>
      <w:r>
        <w:rPr>
          <w:rFonts w:hint="eastAsia"/>
          <w:color w:val="auto"/>
          <w:sz w:val="24"/>
          <w:szCs w:val="24"/>
        </w:rPr>
        <w:t>（11）应遵循第三章供应商须知</w:t>
      </w:r>
      <w:r>
        <w:rPr>
          <w:color w:val="auto"/>
          <w:sz w:val="24"/>
          <w:szCs w:val="24"/>
        </w:rPr>
        <w:t>3.7.</w:t>
      </w:r>
      <w:r>
        <w:rPr>
          <w:rFonts w:hint="eastAsia"/>
          <w:color w:val="auto"/>
          <w:sz w:val="24"/>
          <w:szCs w:val="24"/>
        </w:rPr>
        <w:t>3项规定。</w:t>
      </w:r>
    </w:p>
    <w:p>
      <w:pPr>
        <w:widowControl w:val="0"/>
        <w:adjustRightInd w:val="0"/>
        <w:snapToGrid w:val="0"/>
        <w:spacing w:beforeLines="50" w:line="300" w:lineRule="auto"/>
        <w:ind w:firstLine="463" w:firstLineChars="192"/>
        <w:rPr>
          <w:rFonts w:ascii="宋体" w:hAnsi="宋体"/>
          <w:b/>
          <w:color w:val="auto"/>
          <w:sz w:val="24"/>
          <w:szCs w:val="24"/>
        </w:rPr>
      </w:pPr>
      <w:r>
        <w:rPr>
          <w:rFonts w:hint="eastAsia" w:ascii="宋体" w:hAnsi="宋体"/>
          <w:b/>
          <w:color w:val="auto"/>
          <w:sz w:val="24"/>
          <w:szCs w:val="24"/>
        </w:rPr>
        <w:t>2.5 安全</w:t>
      </w:r>
    </w:p>
    <w:p>
      <w:pPr>
        <w:widowControl w:val="0"/>
        <w:adjustRightInd w:val="0"/>
        <w:snapToGrid w:val="0"/>
        <w:spacing w:beforeLines="50" w:line="300" w:lineRule="auto"/>
        <w:ind w:left="22" w:firstLine="555"/>
        <w:jc w:val="left"/>
        <w:rPr>
          <w:color w:val="auto"/>
          <w:sz w:val="24"/>
          <w:szCs w:val="24"/>
        </w:rPr>
      </w:pPr>
      <w:r>
        <w:rPr>
          <w:rFonts w:hint="eastAsia"/>
          <w:color w:val="auto"/>
          <w:sz w:val="24"/>
          <w:szCs w:val="24"/>
        </w:rPr>
        <w:t>投标工程（及涉货物材料）应符合国家、行业的各</w:t>
      </w:r>
      <w:r>
        <w:rPr>
          <w:color w:val="auto"/>
          <w:sz w:val="24"/>
          <w:szCs w:val="24"/>
        </w:rPr>
        <w:t>项</w:t>
      </w:r>
      <w:r>
        <w:rPr>
          <w:rFonts w:hint="eastAsia"/>
          <w:color w:val="auto"/>
          <w:sz w:val="24"/>
          <w:szCs w:val="24"/>
        </w:rPr>
        <w:t>安全标准，供应商</w:t>
      </w:r>
      <w:r>
        <w:rPr>
          <w:color w:val="auto"/>
          <w:sz w:val="24"/>
          <w:szCs w:val="24"/>
        </w:rPr>
        <w:t>对</w:t>
      </w:r>
      <w:r>
        <w:rPr>
          <w:rFonts w:hint="eastAsia"/>
          <w:color w:val="auto"/>
          <w:sz w:val="24"/>
          <w:szCs w:val="24"/>
        </w:rPr>
        <w:t>所投工程（及涉货物材料）的</w:t>
      </w:r>
      <w:r>
        <w:rPr>
          <w:color w:val="auto"/>
          <w:sz w:val="24"/>
          <w:szCs w:val="24"/>
        </w:rPr>
        <w:t>安全性承担全部责任。</w:t>
      </w:r>
      <w:r>
        <w:rPr>
          <w:rFonts w:hint="eastAsia"/>
          <w:color w:val="auto"/>
          <w:sz w:val="24"/>
          <w:szCs w:val="24"/>
        </w:rPr>
        <w:t>工期内不符合保障人身、财产安全的国家标准、行业标准的工程（及涉货物材料），将</w:t>
      </w:r>
      <w:r>
        <w:rPr>
          <w:color w:val="auto"/>
          <w:sz w:val="24"/>
          <w:szCs w:val="24"/>
        </w:rPr>
        <w:t>依法承担民事及相应刑事责任</w:t>
      </w:r>
      <w:r>
        <w:rPr>
          <w:rFonts w:hint="eastAsia"/>
          <w:color w:val="auto"/>
          <w:sz w:val="24"/>
          <w:szCs w:val="24"/>
        </w:rPr>
        <w:t>。合</w:t>
      </w:r>
      <w:r>
        <w:rPr>
          <w:color w:val="auto"/>
          <w:sz w:val="24"/>
          <w:szCs w:val="24"/>
        </w:rPr>
        <w:t>同履行中的安全责任由</w:t>
      </w:r>
      <w:r>
        <w:rPr>
          <w:rFonts w:hint="eastAsia"/>
          <w:color w:val="auto"/>
          <w:sz w:val="24"/>
          <w:szCs w:val="24"/>
        </w:rPr>
        <w:t>成交供应商</w:t>
      </w:r>
      <w:r>
        <w:rPr>
          <w:color w:val="auto"/>
          <w:sz w:val="24"/>
          <w:szCs w:val="24"/>
        </w:rPr>
        <w:t>承担全部责任。</w:t>
      </w:r>
    </w:p>
    <w:p>
      <w:pPr>
        <w:widowControl w:val="0"/>
        <w:adjustRightInd w:val="0"/>
        <w:snapToGrid w:val="0"/>
        <w:spacing w:beforeLines="50" w:line="300" w:lineRule="auto"/>
        <w:ind w:firstLine="463" w:firstLineChars="192"/>
        <w:rPr>
          <w:rFonts w:ascii="宋体" w:hAnsi="宋体"/>
          <w:b/>
          <w:color w:val="auto"/>
          <w:sz w:val="24"/>
          <w:szCs w:val="24"/>
        </w:rPr>
      </w:pPr>
      <w:r>
        <w:rPr>
          <w:rFonts w:hint="eastAsia" w:ascii="宋体" w:hAnsi="宋体"/>
          <w:b/>
          <w:color w:val="auto"/>
          <w:sz w:val="24"/>
          <w:szCs w:val="24"/>
        </w:rPr>
        <w:t>2.6 投标工程标准</w:t>
      </w:r>
    </w:p>
    <w:p>
      <w:pPr>
        <w:widowControl w:val="0"/>
        <w:adjustRightInd w:val="0"/>
        <w:snapToGrid w:val="0"/>
        <w:spacing w:beforeLines="50" w:line="300" w:lineRule="auto"/>
        <w:ind w:left="22" w:firstLine="555"/>
        <w:rPr>
          <w:color w:val="auto"/>
          <w:sz w:val="24"/>
          <w:szCs w:val="24"/>
        </w:rPr>
      </w:pPr>
      <w:r>
        <w:rPr>
          <w:rFonts w:hint="eastAsia"/>
          <w:color w:val="auto"/>
          <w:sz w:val="24"/>
          <w:szCs w:val="24"/>
        </w:rPr>
        <w:t>供应商所投工程（及涉货物材料）应符合国家质量标准、部颁标准及行业规范的要求，符合国家各项强制性规范及安全标准，投标工程（及涉货物材料）不应与第三方存在知识产权权属问题；供应商应本着服务客户、为客户着想的宗旨，来完善工程（及涉货物材料）及技术要求未尽事宜，不得以《磋商文件》未列明事项为由，来降低响应投标工程（及涉货物材料）的质量。</w:t>
      </w:r>
    </w:p>
    <w:p>
      <w:pPr>
        <w:widowControl w:val="0"/>
        <w:adjustRightInd w:val="0"/>
        <w:snapToGrid w:val="0"/>
        <w:spacing w:beforeLines="50" w:line="300" w:lineRule="auto"/>
        <w:ind w:firstLine="463" w:firstLineChars="192"/>
        <w:rPr>
          <w:b/>
          <w:color w:val="auto"/>
          <w:sz w:val="24"/>
          <w:szCs w:val="24"/>
        </w:rPr>
      </w:pPr>
      <w:r>
        <w:rPr>
          <w:rFonts w:hint="eastAsia"/>
          <w:b/>
          <w:color w:val="auto"/>
          <w:sz w:val="24"/>
          <w:szCs w:val="24"/>
        </w:rPr>
        <w:t>2.7</w:t>
      </w:r>
      <w:r>
        <w:rPr>
          <w:b/>
          <w:color w:val="auto"/>
          <w:sz w:val="24"/>
          <w:szCs w:val="24"/>
        </w:rPr>
        <w:t xml:space="preserve"> </w:t>
      </w:r>
      <w:r>
        <w:rPr>
          <w:rFonts w:hint="eastAsia"/>
          <w:b/>
          <w:color w:val="auto"/>
          <w:sz w:val="24"/>
          <w:szCs w:val="24"/>
        </w:rPr>
        <w:t>项目落实的政府采购政策（法规标准条款）</w:t>
      </w:r>
    </w:p>
    <w:p>
      <w:pPr>
        <w:adjustRightInd w:val="0"/>
        <w:snapToGrid w:val="0"/>
        <w:spacing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7</w:t>
      </w:r>
      <w:r>
        <w:rPr>
          <w:rFonts w:ascii="宋体" w:hAnsi="宋体"/>
          <w:color w:val="auto"/>
          <w:sz w:val="24"/>
          <w:szCs w:val="24"/>
        </w:rPr>
        <w:t xml:space="preserve">.1 </w:t>
      </w:r>
      <w:r>
        <w:rPr>
          <w:rFonts w:hint="eastAsia" w:ascii="宋体" w:hAnsi="宋体"/>
          <w:color w:val="auto"/>
          <w:sz w:val="24"/>
          <w:szCs w:val="24"/>
        </w:rPr>
        <w:t>政府采购节能产品、环境标志产品实施品目清单管理后，对本次采购产品属于“节能产品政府采购品目清单”中强制采购品目的</w:t>
      </w:r>
      <w:r>
        <w:rPr>
          <w:rFonts w:ascii="宋体" w:hAnsi="宋体" w:cs="宋体"/>
          <w:color w:val="auto"/>
          <w:sz w:val="24"/>
          <w:szCs w:val="24"/>
        </w:rPr>
        <w:t>，</w:t>
      </w:r>
      <w:r>
        <w:rPr>
          <w:rFonts w:hint="eastAsia" w:ascii="宋体" w:hAnsi="宋体" w:cs="宋体"/>
          <w:color w:val="auto"/>
          <w:sz w:val="24"/>
          <w:szCs w:val="24"/>
        </w:rPr>
        <w:t>投</w:t>
      </w:r>
      <w:r>
        <w:rPr>
          <w:rFonts w:ascii="宋体" w:hAnsi="宋体" w:cs="宋体"/>
          <w:color w:val="auto"/>
          <w:sz w:val="24"/>
          <w:szCs w:val="24"/>
        </w:rPr>
        <w:t>标产</w:t>
      </w:r>
      <w:r>
        <w:rPr>
          <w:rFonts w:hint="eastAsia" w:ascii="宋体" w:hAnsi="宋体" w:cs="宋体"/>
          <w:color w:val="auto"/>
          <w:sz w:val="24"/>
          <w:szCs w:val="24"/>
        </w:rPr>
        <w:t>品</w:t>
      </w:r>
      <w:r>
        <w:rPr>
          <w:rFonts w:ascii="宋体" w:hAnsi="宋体" w:cs="宋体"/>
          <w:color w:val="auto"/>
          <w:sz w:val="24"/>
          <w:szCs w:val="24"/>
        </w:rPr>
        <w:t>应当具有</w:t>
      </w:r>
      <w:r>
        <w:rPr>
          <w:rFonts w:hint="eastAsia" w:ascii="宋体" w:hAnsi="宋体" w:cs="宋体"/>
          <w:color w:val="auto"/>
          <w:sz w:val="24"/>
          <w:szCs w:val="24"/>
        </w:rPr>
        <w:t>相</w:t>
      </w:r>
      <w:r>
        <w:rPr>
          <w:rFonts w:ascii="宋体" w:hAnsi="宋体" w:cs="宋体"/>
          <w:color w:val="auto"/>
          <w:sz w:val="24"/>
          <w:szCs w:val="24"/>
        </w:rPr>
        <w:t>应</w:t>
      </w:r>
      <w:r>
        <w:rPr>
          <w:rFonts w:hint="eastAsia" w:ascii="宋体" w:hAnsi="宋体" w:cs="宋体"/>
          <w:color w:val="auto"/>
          <w:sz w:val="24"/>
          <w:szCs w:val="24"/>
        </w:rPr>
        <w:t>的认证证书（认证证书应当为国家确定的认证机构出具、且应处于有效期之内</w:t>
      </w:r>
      <w:r>
        <w:rPr>
          <w:rFonts w:ascii="宋体" w:hAnsi="宋体" w:cs="宋体"/>
          <w:color w:val="auto"/>
          <w:sz w:val="24"/>
          <w:szCs w:val="24"/>
        </w:rPr>
        <w:t>）</w:t>
      </w:r>
      <w:r>
        <w:rPr>
          <w:rFonts w:hint="eastAsia" w:ascii="宋体" w:hAnsi="宋体" w:cs="宋体"/>
          <w:color w:val="auto"/>
          <w:sz w:val="24"/>
          <w:szCs w:val="24"/>
        </w:rPr>
        <w:t>，投</w:t>
      </w:r>
      <w:r>
        <w:rPr>
          <w:rFonts w:ascii="宋体" w:hAnsi="宋体" w:cs="宋体"/>
          <w:color w:val="auto"/>
          <w:sz w:val="24"/>
          <w:szCs w:val="24"/>
        </w:rPr>
        <w:t>标文件中应当提供</w:t>
      </w:r>
      <w:r>
        <w:rPr>
          <w:rFonts w:hint="eastAsia" w:ascii="宋体" w:hAnsi="宋体" w:cs="宋体"/>
          <w:color w:val="auto"/>
          <w:sz w:val="24"/>
          <w:szCs w:val="24"/>
        </w:rPr>
        <w:t>相</w:t>
      </w:r>
      <w:r>
        <w:rPr>
          <w:rFonts w:ascii="宋体" w:hAnsi="宋体" w:cs="宋体"/>
          <w:color w:val="auto"/>
          <w:sz w:val="24"/>
          <w:szCs w:val="24"/>
        </w:rPr>
        <w:t>应</w:t>
      </w:r>
      <w:r>
        <w:rPr>
          <w:rFonts w:hint="eastAsia" w:ascii="宋体" w:hAnsi="宋体" w:cs="宋体"/>
          <w:color w:val="auto"/>
          <w:sz w:val="24"/>
          <w:szCs w:val="24"/>
        </w:rPr>
        <w:t>的认证证书（认证证书应当为国家确定的认证机构出具、且应处于有效期之内）。</w:t>
      </w:r>
    </w:p>
    <w:p>
      <w:pPr>
        <w:adjustRightInd w:val="0"/>
        <w:snapToGrid w:val="0"/>
        <w:spacing w:beforeLines="50" w:line="300" w:lineRule="auto"/>
        <w:ind w:firstLine="480" w:firstLineChars="200"/>
        <w:rPr>
          <w:rFonts w:ascii="宋体" w:hAnsi="宋体"/>
          <w:color w:val="auto"/>
          <w:sz w:val="24"/>
          <w:szCs w:val="24"/>
        </w:rPr>
      </w:pPr>
      <w:r>
        <w:rPr>
          <w:rFonts w:hint="eastAsia" w:ascii="宋体" w:hAnsi="宋体"/>
          <w:color w:val="auto"/>
          <w:sz w:val="24"/>
          <w:szCs w:val="24"/>
        </w:rPr>
        <w:t>属于政府强制采购</w:t>
      </w:r>
      <w:r>
        <w:rPr>
          <w:rFonts w:hint="eastAsia" w:ascii="宋体" w:hAnsi="宋体" w:cs="宋体"/>
          <w:color w:val="auto"/>
          <w:sz w:val="24"/>
          <w:szCs w:val="24"/>
        </w:rPr>
        <w:t>品目</w:t>
      </w:r>
      <w:r>
        <w:rPr>
          <w:rFonts w:hint="eastAsia" w:ascii="宋体" w:hAnsi="宋体"/>
          <w:color w:val="auto"/>
          <w:sz w:val="24"/>
          <w:szCs w:val="24"/>
        </w:rPr>
        <w:t>、而未按要求提供相应资料的，</w:t>
      </w:r>
      <w:r>
        <w:rPr>
          <w:rFonts w:hint="eastAsia" w:ascii="宋体" w:hAnsi="宋体"/>
          <w:b/>
          <w:color w:val="auto"/>
          <w:sz w:val="24"/>
          <w:szCs w:val="24"/>
        </w:rPr>
        <w:t>为无效投标</w:t>
      </w:r>
      <w:r>
        <w:rPr>
          <w:rFonts w:hint="eastAsia" w:ascii="宋体" w:hAnsi="宋体"/>
          <w:color w:val="auto"/>
          <w:sz w:val="24"/>
          <w:szCs w:val="24"/>
        </w:rPr>
        <w:t>。</w:t>
      </w:r>
    </w:p>
    <w:p>
      <w:pPr>
        <w:adjustRightInd w:val="0"/>
        <w:snapToGrid w:val="0"/>
        <w:spacing w:beforeLines="50" w:line="300" w:lineRule="auto"/>
        <w:ind w:firstLine="480" w:firstLineChars="200"/>
        <w:rPr>
          <w:rFonts w:ascii="宋体" w:hAnsi="宋体" w:cs="宋体"/>
          <w:color w:val="auto"/>
          <w:sz w:val="24"/>
          <w:szCs w:val="24"/>
        </w:rPr>
      </w:pPr>
      <w:r>
        <w:rPr>
          <w:rFonts w:ascii="宋体" w:hAnsi="宋体"/>
          <w:color w:val="auto"/>
          <w:sz w:val="24"/>
          <w:szCs w:val="24"/>
        </w:rPr>
        <w:t>2.</w:t>
      </w:r>
      <w:r>
        <w:rPr>
          <w:rFonts w:hint="eastAsia" w:ascii="宋体" w:hAnsi="宋体"/>
          <w:color w:val="auto"/>
          <w:sz w:val="24"/>
          <w:szCs w:val="24"/>
        </w:rPr>
        <w:t>7</w:t>
      </w:r>
      <w:r>
        <w:rPr>
          <w:rFonts w:ascii="宋体" w:hAnsi="宋体"/>
          <w:color w:val="auto"/>
          <w:sz w:val="24"/>
          <w:szCs w:val="24"/>
        </w:rPr>
        <w:t xml:space="preserve">.2 </w:t>
      </w:r>
      <w:r>
        <w:rPr>
          <w:rFonts w:hint="eastAsia" w:ascii="宋体" w:hAnsi="宋体"/>
          <w:color w:val="auto"/>
          <w:sz w:val="24"/>
          <w:szCs w:val="24"/>
        </w:rPr>
        <w:t>同等条件下，</w:t>
      </w:r>
      <w:r>
        <w:rPr>
          <w:rFonts w:hint="eastAsia" w:ascii="宋体" w:hAnsi="宋体" w:cs="宋体"/>
          <w:color w:val="auto"/>
          <w:sz w:val="24"/>
          <w:szCs w:val="24"/>
        </w:rPr>
        <w:t>获得节能产品认证证书或环境标志产品认证证书的产品优先采购。(认证证书应</w:t>
      </w:r>
      <w:r>
        <w:rPr>
          <w:rFonts w:ascii="宋体" w:hAnsi="宋体" w:cs="宋体"/>
          <w:color w:val="auto"/>
          <w:sz w:val="24"/>
          <w:szCs w:val="24"/>
        </w:rPr>
        <w:t>当为</w:t>
      </w:r>
      <w:r>
        <w:rPr>
          <w:rFonts w:hint="eastAsia" w:ascii="宋体" w:hAnsi="宋体" w:cs="宋体"/>
          <w:color w:val="auto"/>
          <w:sz w:val="24"/>
          <w:szCs w:val="24"/>
        </w:rPr>
        <w:t>国家确定的认证机构出具、且</w:t>
      </w:r>
      <w:r>
        <w:rPr>
          <w:rFonts w:ascii="宋体" w:hAnsi="宋体" w:cs="宋体"/>
          <w:color w:val="auto"/>
          <w:sz w:val="24"/>
          <w:szCs w:val="24"/>
        </w:rPr>
        <w:t>应</w:t>
      </w:r>
      <w:r>
        <w:rPr>
          <w:rFonts w:hint="eastAsia" w:ascii="宋体" w:hAnsi="宋体" w:cs="宋体"/>
          <w:color w:val="auto"/>
          <w:sz w:val="24"/>
          <w:szCs w:val="24"/>
        </w:rPr>
        <w:t>处于有效期之内。)</w:t>
      </w:r>
    </w:p>
    <w:p>
      <w:pPr>
        <w:adjustRightInd w:val="0"/>
        <w:snapToGrid w:val="0"/>
        <w:spacing w:beforeLines="50" w:line="300" w:lineRule="auto"/>
        <w:ind w:firstLine="480" w:firstLineChars="200"/>
        <w:rPr>
          <w:color w:val="auto"/>
          <w:sz w:val="24"/>
          <w:szCs w:val="24"/>
        </w:rPr>
      </w:pPr>
      <w:r>
        <w:rPr>
          <w:rFonts w:ascii="宋体" w:hAnsi="宋体"/>
          <w:color w:val="auto"/>
          <w:sz w:val="24"/>
          <w:szCs w:val="24"/>
        </w:rPr>
        <w:t>2.</w:t>
      </w:r>
      <w:r>
        <w:rPr>
          <w:rFonts w:hint="eastAsia" w:ascii="宋体" w:hAnsi="宋体"/>
          <w:color w:val="auto"/>
          <w:sz w:val="24"/>
          <w:szCs w:val="24"/>
        </w:rPr>
        <w:t>7</w:t>
      </w:r>
      <w:r>
        <w:rPr>
          <w:rFonts w:ascii="宋体" w:hAnsi="宋体"/>
          <w:color w:val="auto"/>
          <w:sz w:val="24"/>
          <w:szCs w:val="24"/>
        </w:rPr>
        <w:t>.</w:t>
      </w:r>
      <w:r>
        <w:rPr>
          <w:rFonts w:hint="eastAsia" w:ascii="宋体" w:hAnsi="宋体"/>
          <w:color w:val="auto"/>
          <w:sz w:val="24"/>
          <w:szCs w:val="24"/>
        </w:rPr>
        <w:t>3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w:t>
      </w:r>
      <w:r>
        <w:rPr>
          <w:rFonts w:hint="eastAsia" w:ascii="宋体" w:hAnsi="宋体" w:cs="宋体"/>
          <w:color w:val="auto"/>
          <w:sz w:val="24"/>
          <w:szCs w:val="24"/>
        </w:rPr>
        <w:t>应处于有效期内</w:t>
      </w:r>
      <w:r>
        <w:rPr>
          <w:rFonts w:hint="eastAsia" w:ascii="宋体" w:hAnsi="宋体"/>
          <w:color w:val="auto"/>
          <w:sz w:val="24"/>
          <w:szCs w:val="24"/>
        </w:rPr>
        <w:t>）。</w:t>
      </w:r>
    </w:p>
    <w:p>
      <w:pPr>
        <w:adjustRightInd w:val="0"/>
        <w:snapToGrid w:val="0"/>
        <w:spacing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7</w:t>
      </w:r>
      <w:r>
        <w:rPr>
          <w:rFonts w:ascii="宋体" w:hAnsi="宋体"/>
          <w:color w:val="auto"/>
          <w:sz w:val="24"/>
          <w:szCs w:val="24"/>
        </w:rPr>
        <w:t>.</w:t>
      </w:r>
      <w:r>
        <w:rPr>
          <w:rFonts w:hint="eastAsia" w:ascii="宋体" w:hAnsi="宋体"/>
          <w:color w:val="auto"/>
          <w:sz w:val="24"/>
          <w:szCs w:val="24"/>
        </w:rPr>
        <w:t>4计算机产品须预装正版操作系统软件。</w:t>
      </w:r>
    </w:p>
    <w:p>
      <w:pPr>
        <w:adjustRightInd w:val="0"/>
        <w:snapToGrid w:val="0"/>
        <w:spacing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7</w:t>
      </w:r>
      <w:r>
        <w:rPr>
          <w:rFonts w:ascii="宋体" w:hAnsi="宋体"/>
          <w:color w:val="auto"/>
          <w:sz w:val="24"/>
          <w:szCs w:val="24"/>
        </w:rPr>
        <w:t>.</w:t>
      </w:r>
      <w:r>
        <w:rPr>
          <w:rFonts w:hint="eastAsia" w:ascii="宋体" w:hAnsi="宋体"/>
          <w:color w:val="auto"/>
          <w:sz w:val="24"/>
          <w:szCs w:val="24"/>
        </w:rPr>
        <w:t>5</w:t>
      </w:r>
      <w:r>
        <w:rPr>
          <w:rFonts w:ascii="宋体" w:hAnsi="宋体"/>
          <w:color w:val="auto"/>
          <w:sz w:val="24"/>
          <w:szCs w:val="24"/>
        </w:rPr>
        <w:t xml:space="preserve"> </w:t>
      </w:r>
      <w:r>
        <w:rPr>
          <w:rFonts w:hint="eastAsia" w:ascii="宋体" w:hAnsi="宋体"/>
          <w:color w:val="auto"/>
          <w:sz w:val="24"/>
          <w:szCs w:val="24"/>
        </w:rPr>
        <w:t>本次采购不允许进口产品参加。</w:t>
      </w:r>
    </w:p>
    <w:p>
      <w:pPr>
        <w:adjustRightInd w:val="0"/>
        <w:snapToGrid w:val="0"/>
        <w:spacing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7</w:t>
      </w:r>
      <w:r>
        <w:rPr>
          <w:rFonts w:ascii="宋体" w:hAnsi="宋体"/>
          <w:color w:val="auto"/>
          <w:sz w:val="24"/>
          <w:szCs w:val="24"/>
        </w:rPr>
        <w:t>.</w:t>
      </w:r>
      <w:r>
        <w:rPr>
          <w:rFonts w:hint="eastAsia" w:ascii="宋体" w:hAnsi="宋体"/>
          <w:color w:val="auto"/>
          <w:sz w:val="24"/>
          <w:szCs w:val="24"/>
        </w:rPr>
        <w:t>6如允许采购进口产品的，优先采购向我国企业转让技术、与我国企业签订消化吸收再创新方案的供应商的进口产品。</w:t>
      </w:r>
    </w:p>
    <w:p>
      <w:pPr>
        <w:adjustRightInd w:val="0"/>
        <w:snapToGrid w:val="0"/>
        <w:spacing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7</w:t>
      </w:r>
      <w:r>
        <w:rPr>
          <w:rFonts w:ascii="宋体" w:hAnsi="宋体"/>
          <w:color w:val="auto"/>
          <w:sz w:val="24"/>
          <w:szCs w:val="24"/>
        </w:rPr>
        <w:t>.</w:t>
      </w:r>
      <w:r>
        <w:rPr>
          <w:rFonts w:hint="eastAsia" w:ascii="宋体" w:hAnsi="宋体"/>
          <w:color w:val="auto"/>
          <w:sz w:val="24"/>
          <w:szCs w:val="24"/>
        </w:rPr>
        <w:t>7</w:t>
      </w:r>
      <w:r>
        <w:rPr>
          <w:rFonts w:ascii="宋体" w:hAnsi="宋体"/>
          <w:color w:val="auto"/>
          <w:sz w:val="24"/>
          <w:szCs w:val="24"/>
        </w:rPr>
        <w:t xml:space="preserve"> </w:t>
      </w:r>
      <w:r>
        <w:rPr>
          <w:rFonts w:hint="eastAsia" w:ascii="宋体" w:hAnsi="宋体"/>
          <w:color w:val="auto"/>
          <w:sz w:val="24"/>
          <w:szCs w:val="24"/>
        </w:rPr>
        <w:t>促进中小企业发展扶持政策：见第四章“评审办法”第</w:t>
      </w:r>
      <w:r>
        <w:rPr>
          <w:rFonts w:ascii="宋体" w:hAnsi="宋体"/>
          <w:color w:val="auto"/>
          <w:sz w:val="24"/>
          <w:szCs w:val="24"/>
        </w:rPr>
        <w:t>4</w:t>
      </w:r>
      <w:r>
        <w:rPr>
          <w:rFonts w:hint="eastAsia" w:ascii="宋体" w:hAnsi="宋体"/>
          <w:color w:val="auto"/>
          <w:sz w:val="24"/>
          <w:szCs w:val="24"/>
        </w:rPr>
        <w:t>条。</w:t>
      </w:r>
    </w:p>
    <w:p>
      <w:pPr>
        <w:adjustRightInd w:val="0"/>
        <w:snapToGrid w:val="0"/>
        <w:spacing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7</w:t>
      </w:r>
      <w:r>
        <w:rPr>
          <w:rFonts w:ascii="宋体" w:hAnsi="宋体"/>
          <w:color w:val="auto"/>
          <w:sz w:val="24"/>
          <w:szCs w:val="24"/>
        </w:rPr>
        <w:t>.</w:t>
      </w:r>
      <w:r>
        <w:rPr>
          <w:rFonts w:hint="eastAsia" w:ascii="宋体" w:hAnsi="宋体"/>
          <w:color w:val="auto"/>
          <w:sz w:val="24"/>
          <w:szCs w:val="24"/>
        </w:rPr>
        <w:t>8促进残疾人就业、支持监狱企业发展：见第四章“评审办法”第</w:t>
      </w:r>
      <w:r>
        <w:rPr>
          <w:rFonts w:ascii="宋体" w:hAnsi="宋体"/>
          <w:color w:val="auto"/>
          <w:sz w:val="24"/>
          <w:szCs w:val="24"/>
        </w:rPr>
        <w:t>4</w:t>
      </w:r>
      <w:r>
        <w:rPr>
          <w:rFonts w:hint="eastAsia" w:ascii="宋体" w:hAnsi="宋体"/>
          <w:color w:val="auto"/>
          <w:sz w:val="24"/>
          <w:szCs w:val="24"/>
        </w:rPr>
        <w:t>条。</w:t>
      </w:r>
    </w:p>
    <w:p>
      <w:pPr>
        <w:adjustRightInd w:val="0"/>
        <w:snapToGrid w:val="0"/>
        <w:spacing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7</w:t>
      </w:r>
      <w:r>
        <w:rPr>
          <w:rFonts w:ascii="宋体" w:hAnsi="宋体"/>
          <w:color w:val="auto"/>
          <w:sz w:val="24"/>
          <w:szCs w:val="24"/>
        </w:rPr>
        <w:t>.</w:t>
      </w:r>
      <w:r>
        <w:rPr>
          <w:rFonts w:hint="eastAsia" w:ascii="宋体" w:hAnsi="宋体"/>
          <w:color w:val="auto"/>
          <w:sz w:val="24"/>
          <w:szCs w:val="24"/>
        </w:rPr>
        <w:t>9</w:t>
      </w:r>
      <w:r>
        <w:rPr>
          <w:rFonts w:ascii="宋体" w:hAnsi="宋体"/>
          <w:color w:val="auto"/>
          <w:sz w:val="24"/>
          <w:szCs w:val="24"/>
        </w:rPr>
        <w:t xml:space="preserve"> </w:t>
      </w:r>
      <w:r>
        <w:rPr>
          <w:rFonts w:hint="eastAsia" w:ascii="宋体" w:hAnsi="宋体"/>
          <w:color w:val="auto"/>
          <w:sz w:val="24"/>
          <w:szCs w:val="24"/>
        </w:rPr>
        <w:t>所供产品有商品包装的应当使用绿色包装。所供产品有其他环保政策要求的，应符合相关环保法律政策要求。</w:t>
      </w:r>
    </w:p>
    <w:p>
      <w:pPr>
        <w:adjustRightInd w:val="0"/>
        <w:snapToGrid w:val="0"/>
        <w:spacing w:beforeLines="50" w:line="300" w:lineRule="auto"/>
        <w:ind w:firstLine="480" w:firstLineChars="200"/>
        <w:rPr>
          <w:rFonts w:ascii="宋体" w:hAnsi="宋体"/>
          <w:color w:val="auto"/>
          <w:sz w:val="24"/>
          <w:szCs w:val="24"/>
        </w:rPr>
      </w:pPr>
      <w:r>
        <w:rPr>
          <w:rFonts w:hint="eastAsia" w:ascii="宋体" w:hAnsi="宋体"/>
          <w:color w:val="auto"/>
          <w:sz w:val="24"/>
          <w:szCs w:val="24"/>
        </w:rPr>
        <w:t>2.7.10</w:t>
      </w:r>
      <w:r>
        <w:rPr>
          <w:rFonts w:ascii="宋体" w:hAnsi="宋体"/>
          <w:color w:val="auto"/>
          <w:sz w:val="24"/>
          <w:szCs w:val="24"/>
        </w:rPr>
        <w:t xml:space="preserve"> </w:t>
      </w:r>
      <w:r>
        <w:rPr>
          <w:rFonts w:hint="eastAsia" w:ascii="宋体" w:hAnsi="宋体"/>
          <w:color w:val="auto"/>
          <w:sz w:val="24"/>
          <w:szCs w:val="24"/>
        </w:rPr>
        <w:t>支持绿色建筑、绿色建材，支持使用低</w:t>
      </w:r>
      <w:r>
        <w:rPr>
          <w:rFonts w:ascii="Arial" w:hAnsi="Arial" w:cs="Arial"/>
          <w:color w:val="auto"/>
          <w:szCs w:val="21"/>
          <w:shd w:val="clear" w:color="auto" w:fill="FFFFFF"/>
        </w:rPr>
        <w:t>VOCs</w:t>
      </w:r>
      <w:r>
        <w:rPr>
          <w:rFonts w:hint="eastAsia" w:ascii="宋体" w:hAnsi="宋体"/>
          <w:color w:val="auto"/>
          <w:sz w:val="24"/>
          <w:szCs w:val="24"/>
        </w:rPr>
        <w:t>含量涂料和胶黏剂，支持不发达、少数民族地区的企业，促进自主创新产业发展，支持脱贫攻坚等；同等条件下，优先采购。</w:t>
      </w:r>
    </w:p>
    <w:p>
      <w:pPr>
        <w:adjustRightInd w:val="0"/>
        <w:snapToGrid w:val="0"/>
        <w:spacing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8保险、所涉货物包装</w:t>
      </w:r>
    </w:p>
    <w:p>
      <w:pPr>
        <w:adjustRightInd w:val="0"/>
        <w:snapToGrid w:val="0"/>
        <w:spacing w:line="300" w:lineRule="auto"/>
        <w:ind w:firstLine="564" w:firstLineChars="235"/>
        <w:jc w:val="left"/>
        <w:rPr>
          <w:color w:val="auto"/>
          <w:sz w:val="24"/>
          <w:szCs w:val="24"/>
        </w:rPr>
      </w:pPr>
      <w:r>
        <w:rPr>
          <w:rFonts w:hint="eastAsia"/>
          <w:color w:val="auto"/>
          <w:sz w:val="24"/>
          <w:szCs w:val="24"/>
        </w:rPr>
        <w:t>2.8.1保险：</w:t>
      </w:r>
    </w:p>
    <w:p>
      <w:pPr>
        <w:adjustRightInd w:val="0"/>
        <w:snapToGrid w:val="0"/>
        <w:spacing w:line="300" w:lineRule="auto"/>
        <w:ind w:firstLine="564" w:firstLineChars="235"/>
        <w:jc w:val="left"/>
        <w:rPr>
          <w:color w:val="auto"/>
          <w:sz w:val="24"/>
          <w:szCs w:val="24"/>
        </w:rPr>
      </w:pPr>
      <w:r>
        <w:rPr>
          <w:rFonts w:hint="eastAsia"/>
          <w:color w:val="auto"/>
          <w:sz w:val="24"/>
          <w:szCs w:val="24"/>
        </w:rPr>
        <w:t>投标人应遵循国家相关保险的规定，依照法规规定，根据项目属性需要，办理货物设施等的财产保险、危险作业人员的工伤和意外伤害保险、设计和工程保险、第三方责任险，相关保险费用及相应责任由成交人承担。</w:t>
      </w:r>
    </w:p>
    <w:p>
      <w:pPr>
        <w:adjustRightInd w:val="0"/>
        <w:snapToGrid w:val="0"/>
        <w:spacing w:line="300" w:lineRule="auto"/>
        <w:ind w:firstLine="564" w:firstLineChars="235"/>
        <w:jc w:val="left"/>
        <w:rPr>
          <w:color w:val="auto"/>
          <w:sz w:val="24"/>
          <w:szCs w:val="24"/>
        </w:rPr>
      </w:pPr>
      <w:r>
        <w:rPr>
          <w:rFonts w:hint="eastAsia"/>
          <w:color w:val="auto"/>
          <w:sz w:val="24"/>
          <w:szCs w:val="24"/>
        </w:rPr>
        <w:t>2.8.2所涉货物包装：</w:t>
      </w:r>
    </w:p>
    <w:p>
      <w:pPr>
        <w:adjustRightInd w:val="0"/>
        <w:snapToGrid w:val="0"/>
        <w:spacing w:line="300" w:lineRule="auto"/>
        <w:ind w:firstLine="564" w:firstLineChars="235"/>
        <w:jc w:val="left"/>
        <w:rPr>
          <w:color w:val="auto"/>
          <w:sz w:val="24"/>
          <w:szCs w:val="24"/>
        </w:rPr>
      </w:pPr>
      <w:r>
        <w:rPr>
          <w:rFonts w:hint="eastAsia"/>
          <w:color w:val="auto"/>
          <w:sz w:val="24"/>
          <w:szCs w:val="24"/>
        </w:rPr>
        <w:t>成交人负责按国家相关标准进行货物包装，设备的包装均应有良好的防湿、防锈、防潮、防雨、防腐及防碰撞的措施，凡由于包装不良造成的损失和由此产生的费用均由成交人承担。</w:t>
      </w:r>
    </w:p>
    <w:p>
      <w:pPr>
        <w:adjustRightInd w:val="0"/>
        <w:snapToGrid w:val="0"/>
        <w:spacing w:beforeLines="50" w:line="300" w:lineRule="auto"/>
        <w:ind w:firstLine="480" w:firstLineChars="200"/>
        <w:rPr>
          <w:color w:val="auto"/>
          <w:sz w:val="24"/>
          <w:szCs w:val="24"/>
        </w:rPr>
      </w:pPr>
    </w:p>
    <w:p>
      <w:pPr>
        <w:adjustRightInd w:val="0"/>
        <w:snapToGrid w:val="0"/>
        <w:spacing w:beforeLines="50" w:line="300" w:lineRule="auto"/>
        <w:rPr>
          <w:rFonts w:ascii="黑体" w:hAnsi="黑体" w:eastAsia="黑体"/>
          <w:b/>
          <w:color w:val="auto"/>
          <w:sz w:val="24"/>
          <w:szCs w:val="24"/>
        </w:rPr>
      </w:pPr>
      <w:r>
        <w:rPr>
          <w:rFonts w:ascii="黑体" w:hAnsi="黑体" w:eastAsia="黑体"/>
          <w:b/>
          <w:color w:val="auto"/>
          <w:sz w:val="24"/>
          <w:szCs w:val="24"/>
        </w:rPr>
        <w:br w:type="page"/>
      </w:r>
    </w:p>
    <w:p>
      <w:pPr>
        <w:spacing w:line="360" w:lineRule="auto"/>
        <w:ind w:right="238"/>
        <w:jc w:val="center"/>
        <w:outlineLvl w:val="0"/>
        <w:rPr>
          <w:rFonts w:eastAsia="黑体"/>
          <w:b/>
          <w:color w:val="auto"/>
          <w:sz w:val="36"/>
          <w:szCs w:val="36"/>
        </w:rPr>
      </w:pPr>
      <w:bookmarkStart w:id="12" w:name="_Toc65745041"/>
      <w:r>
        <w:rPr>
          <w:rFonts w:hint="eastAsia" w:eastAsia="黑体"/>
          <w:b/>
          <w:color w:val="auto"/>
          <w:sz w:val="36"/>
          <w:szCs w:val="36"/>
        </w:rPr>
        <w:t>第三章</w:t>
      </w:r>
      <w:r>
        <w:rPr>
          <w:rFonts w:eastAsia="黑体"/>
          <w:b/>
          <w:color w:val="auto"/>
          <w:sz w:val="36"/>
          <w:szCs w:val="36"/>
        </w:rPr>
        <w:t xml:space="preserve">  </w:t>
      </w:r>
      <w:r>
        <w:rPr>
          <w:rFonts w:hint="eastAsia" w:eastAsia="黑体"/>
          <w:b/>
          <w:color w:val="auto"/>
          <w:sz w:val="36"/>
          <w:szCs w:val="36"/>
        </w:rPr>
        <w:t>供应商须知</w:t>
      </w:r>
      <w:bookmarkEnd w:id="12"/>
    </w:p>
    <w:p>
      <w:pPr>
        <w:spacing w:line="360" w:lineRule="auto"/>
        <w:ind w:right="240"/>
        <w:jc w:val="center"/>
        <w:rPr>
          <w:rFonts w:eastAsia="黑体"/>
          <w:b/>
          <w:color w:val="auto"/>
          <w:spacing w:val="36"/>
          <w:sz w:val="36"/>
          <w:szCs w:val="36"/>
        </w:rPr>
      </w:pPr>
    </w:p>
    <w:p>
      <w:pPr>
        <w:spacing w:line="360" w:lineRule="auto"/>
        <w:ind w:right="238"/>
        <w:jc w:val="left"/>
        <w:outlineLvl w:val="1"/>
        <w:rPr>
          <w:rFonts w:eastAsia="黑体"/>
          <w:b/>
          <w:color w:val="auto"/>
          <w:sz w:val="28"/>
          <w:szCs w:val="28"/>
        </w:rPr>
      </w:pPr>
      <w:bookmarkStart w:id="13" w:name="_Toc65745042"/>
      <w:r>
        <w:rPr>
          <w:rFonts w:hint="eastAsia" w:eastAsia="黑体"/>
          <w:b/>
          <w:color w:val="auto"/>
          <w:sz w:val="28"/>
          <w:szCs w:val="28"/>
        </w:rPr>
        <w:t>供应商须知前附表</w:t>
      </w:r>
      <w:bookmarkEnd w:id="13"/>
    </w:p>
    <w:tbl>
      <w:tblPr>
        <w:tblStyle w:val="21"/>
        <w:tblW w:w="9753" w:type="dxa"/>
        <w:jc w:val="center"/>
        <w:tblInd w:w="0" w:type="dxa"/>
        <w:tblLayout w:type="fixed"/>
        <w:tblCellMar>
          <w:top w:w="0" w:type="dxa"/>
          <w:left w:w="108" w:type="dxa"/>
          <w:bottom w:w="0" w:type="dxa"/>
          <w:right w:w="108" w:type="dxa"/>
        </w:tblCellMar>
      </w:tblPr>
      <w:tblGrid>
        <w:gridCol w:w="508"/>
        <w:gridCol w:w="699"/>
        <w:gridCol w:w="1893"/>
        <w:gridCol w:w="6653"/>
      </w:tblGrid>
      <w:tr>
        <w:tblPrEx>
          <w:tblLayout w:type="fixed"/>
          <w:tblCellMar>
            <w:top w:w="0" w:type="dxa"/>
            <w:left w:w="108" w:type="dxa"/>
            <w:bottom w:w="0" w:type="dxa"/>
            <w:right w:w="108" w:type="dxa"/>
          </w:tblCellMar>
        </w:tblPrEx>
        <w:trPr>
          <w:trHeight w:val="571" w:hRule="atLeast"/>
          <w:jc w:val="center"/>
        </w:trPr>
        <w:tc>
          <w:tcPr>
            <w:tcW w:w="508" w:type="dxa"/>
            <w:tcBorders>
              <w:top w:val="single" w:color="auto" w:sz="12" w:space="0"/>
              <w:left w:val="single" w:color="auto" w:sz="12" w:space="0"/>
              <w:bottom w:val="single" w:color="auto" w:sz="6" w:space="0"/>
              <w:right w:val="single" w:color="auto" w:sz="6" w:space="0"/>
            </w:tcBorders>
          </w:tcPr>
          <w:p>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章节</w:t>
            </w:r>
          </w:p>
        </w:tc>
        <w:tc>
          <w:tcPr>
            <w:tcW w:w="699"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条款号</w:t>
            </w:r>
          </w:p>
        </w:tc>
        <w:tc>
          <w:tcPr>
            <w:tcW w:w="1893"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条款名称</w:t>
            </w:r>
          </w:p>
        </w:tc>
        <w:tc>
          <w:tcPr>
            <w:tcW w:w="6653"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编列内容</w:t>
            </w:r>
          </w:p>
        </w:tc>
      </w:tr>
      <w:tr>
        <w:tblPrEx>
          <w:tblLayout w:type="fixed"/>
          <w:tblCellMar>
            <w:top w:w="0" w:type="dxa"/>
            <w:left w:w="108" w:type="dxa"/>
            <w:bottom w:w="0" w:type="dxa"/>
            <w:right w:w="108" w:type="dxa"/>
          </w:tblCellMar>
        </w:tblPrEx>
        <w:trPr>
          <w:trHeight w:val="422" w:hRule="atLeast"/>
          <w:jc w:val="center"/>
        </w:trPr>
        <w:tc>
          <w:tcPr>
            <w:tcW w:w="508"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rPr>
            </w:pPr>
            <w:r>
              <w:rPr>
                <w:rFonts w:hint="eastAsia" w:ascii="宋体" w:hAnsi="宋体" w:cs="楷体_GB2312"/>
                <w:b/>
                <w:bCs/>
                <w:color w:val="auto"/>
                <w:sz w:val="24"/>
              </w:rPr>
              <w:t>第一章</w:t>
            </w: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2</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color w:val="auto"/>
                <w:sz w:val="24"/>
                <w:lang w:val="zh-CN"/>
              </w:rPr>
            </w:pPr>
            <w:r>
              <w:rPr>
                <w:rFonts w:hint="eastAsia" w:ascii="宋体" w:hAnsi="宋体" w:cs="楷体_GB2312"/>
                <w:b/>
                <w:bCs/>
                <w:color w:val="auto"/>
                <w:sz w:val="24"/>
              </w:rPr>
              <w:t>采购项目名称</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见“第一章竞争性磋商公告”相应条款</w:t>
            </w:r>
          </w:p>
        </w:tc>
      </w:tr>
      <w:tr>
        <w:tblPrEx>
          <w:tblLayout w:type="fixed"/>
          <w:tblCellMar>
            <w:top w:w="0" w:type="dxa"/>
            <w:left w:w="108" w:type="dxa"/>
            <w:bottom w:w="0" w:type="dxa"/>
            <w:right w:w="108" w:type="dxa"/>
          </w:tblCellMar>
        </w:tblPrEx>
        <w:trPr>
          <w:trHeight w:val="422" w:hRule="atLeast"/>
          <w:jc w:val="center"/>
        </w:trPr>
        <w:tc>
          <w:tcPr>
            <w:tcW w:w="508" w:type="dxa"/>
            <w:vMerge w:val="continue"/>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项目编号</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见“第一章竞争性磋商公告”相应条款</w:t>
            </w:r>
          </w:p>
        </w:tc>
      </w:tr>
      <w:tr>
        <w:tblPrEx>
          <w:tblLayout w:type="fixed"/>
          <w:tblCellMar>
            <w:top w:w="0" w:type="dxa"/>
            <w:left w:w="108" w:type="dxa"/>
            <w:bottom w:w="0" w:type="dxa"/>
            <w:right w:w="108" w:type="dxa"/>
          </w:tblCellMar>
        </w:tblPrEx>
        <w:trPr>
          <w:trHeight w:val="422" w:hRule="atLeast"/>
          <w:jc w:val="center"/>
        </w:trPr>
        <w:tc>
          <w:tcPr>
            <w:tcW w:w="508" w:type="dxa"/>
            <w:vMerge w:val="continue"/>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1.3</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采购方式</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竞争性磋商</w:t>
            </w:r>
          </w:p>
        </w:tc>
      </w:tr>
      <w:tr>
        <w:tblPrEx>
          <w:tblLayout w:type="fixed"/>
          <w:tblCellMar>
            <w:top w:w="0" w:type="dxa"/>
            <w:left w:w="108" w:type="dxa"/>
            <w:bottom w:w="0" w:type="dxa"/>
            <w:right w:w="108" w:type="dxa"/>
          </w:tblCellMar>
        </w:tblPrEx>
        <w:trPr>
          <w:trHeight w:val="370"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w:t>
            </w:r>
            <w:r>
              <w:rPr>
                <w:rFonts w:hint="eastAsia" w:ascii="宋体" w:hAnsi="宋体" w:cs="楷体_GB2312"/>
                <w:b/>
                <w:bCs/>
                <w:color w:val="auto"/>
                <w:szCs w:val="21"/>
                <w:lang w:val="zh-CN"/>
              </w:rPr>
              <w:t>4</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预算金额</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见“第一章竞争性磋商公告”相应条款。</w:t>
            </w:r>
            <w:r>
              <w:rPr>
                <w:rFonts w:hint="eastAsia" w:ascii="宋体" w:hAnsi="宋体" w:cs="楷体_GB2312"/>
                <w:b/>
                <w:color w:val="auto"/>
                <w:sz w:val="24"/>
                <w:lang w:val="zh-CN"/>
              </w:rPr>
              <w:t>注：供应商的磋商报价未超过</w:t>
            </w:r>
            <w:r>
              <w:rPr>
                <w:rFonts w:hint="eastAsia" w:ascii="宋体" w:hAnsi="宋体" w:cs="楷体_GB2312"/>
                <w:b/>
                <w:bCs/>
                <w:color w:val="auto"/>
                <w:sz w:val="24"/>
                <w:lang w:val="zh-CN"/>
              </w:rPr>
              <w:t>预算金额</w:t>
            </w:r>
            <w:r>
              <w:rPr>
                <w:rFonts w:hint="eastAsia" w:ascii="宋体" w:hAnsi="宋体" w:cs="楷体_GB2312"/>
                <w:b/>
                <w:color w:val="auto"/>
                <w:sz w:val="24"/>
                <w:lang w:val="zh-CN"/>
              </w:rPr>
              <w:t>的不足三家时，该项目（标段&lt;包&gt;）终止。</w:t>
            </w:r>
          </w:p>
        </w:tc>
      </w:tr>
      <w:tr>
        <w:tblPrEx>
          <w:tblLayout w:type="fixed"/>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申请人的资格要求及相关证明材料要求</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见“第一章竞争性磋商公告”相应条款</w:t>
            </w:r>
          </w:p>
        </w:tc>
      </w:tr>
      <w:tr>
        <w:tblPrEx>
          <w:tblLayout w:type="fixed"/>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8.1</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采购人</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见“第一章竞争性磋商公告”相应条款</w:t>
            </w:r>
          </w:p>
        </w:tc>
      </w:tr>
      <w:tr>
        <w:tblPrEx>
          <w:tblLayout w:type="fixed"/>
          <w:tblCellMar>
            <w:top w:w="0" w:type="dxa"/>
            <w:left w:w="108" w:type="dxa"/>
            <w:bottom w:w="0" w:type="dxa"/>
            <w:right w:w="108" w:type="dxa"/>
          </w:tblCellMar>
        </w:tblPrEx>
        <w:trPr>
          <w:trHeight w:val="90" w:hRule="atLeast"/>
          <w:jc w:val="center"/>
        </w:trPr>
        <w:tc>
          <w:tcPr>
            <w:tcW w:w="508"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8.2</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采购代理机构</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见“第一章竞争性磋商公告”相应条款</w:t>
            </w:r>
          </w:p>
        </w:tc>
      </w:tr>
      <w:tr>
        <w:tblPrEx>
          <w:tblLayout w:type="fixed"/>
          <w:tblCellMar>
            <w:top w:w="0" w:type="dxa"/>
            <w:left w:w="108" w:type="dxa"/>
            <w:bottom w:w="0" w:type="dxa"/>
            <w:right w:w="108" w:type="dxa"/>
          </w:tblCellMar>
        </w:tblPrEx>
        <w:trPr>
          <w:trHeight w:val="90" w:hRule="atLeast"/>
          <w:jc w:val="center"/>
        </w:trPr>
        <w:tc>
          <w:tcPr>
            <w:tcW w:w="508"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第二章</w:t>
            </w: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b/>
                <w:color w:val="auto"/>
                <w:sz w:val="24"/>
                <w:szCs w:val="24"/>
              </w:rPr>
              <w:t>标段（包）划分</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见“第二章采购项目及技术服务要求”相应条款</w:t>
            </w:r>
          </w:p>
        </w:tc>
      </w:tr>
      <w:tr>
        <w:tblPrEx>
          <w:tblLayout w:type="fixed"/>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rPr>
              <w:t>工期</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bCs/>
                <w:color w:val="auto"/>
                <w:sz w:val="24"/>
                <w:lang w:val="zh-CN"/>
              </w:rPr>
            </w:pPr>
            <w:r>
              <w:rPr>
                <w:rFonts w:hint="eastAsia" w:ascii="宋体" w:hAnsi="宋体"/>
                <w:color w:val="auto"/>
                <w:sz w:val="24"/>
              </w:rPr>
              <w:t>见“第二部分采购项目及技术服务要求”</w:t>
            </w:r>
            <w:r>
              <w:rPr>
                <w:rFonts w:hint="eastAsia"/>
                <w:color w:val="auto"/>
                <w:sz w:val="24"/>
                <w:szCs w:val="24"/>
              </w:rPr>
              <w:t>相应条款</w:t>
            </w:r>
          </w:p>
        </w:tc>
      </w:tr>
      <w:tr>
        <w:tblPrEx>
          <w:tblLayout w:type="fixed"/>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施工地</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Layout w:type="fixed"/>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1.3</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szCs w:val="24"/>
              </w:rPr>
            </w:pPr>
            <w:r>
              <w:rPr>
                <w:rFonts w:hint="eastAsia" w:ascii="宋体" w:hAnsi="宋体"/>
                <w:b/>
                <w:color w:val="auto"/>
                <w:sz w:val="24"/>
                <w:szCs w:val="24"/>
              </w:rPr>
              <w:t>磋商报价</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color w:val="auto"/>
                <w:sz w:val="24"/>
                <w:szCs w:val="24"/>
              </w:rPr>
            </w:pPr>
            <w:r>
              <w:rPr>
                <w:rFonts w:hint="eastAsia"/>
                <w:color w:val="auto"/>
                <w:sz w:val="24"/>
                <w:szCs w:val="24"/>
              </w:rPr>
              <w:t>见“第二章采购项目及技术服务要求”相应条款</w:t>
            </w:r>
          </w:p>
        </w:tc>
      </w:tr>
      <w:tr>
        <w:tblPrEx>
          <w:tblLayout w:type="fixed"/>
          <w:tblCellMar>
            <w:top w:w="0" w:type="dxa"/>
            <w:left w:w="108" w:type="dxa"/>
            <w:bottom w:w="0" w:type="dxa"/>
            <w:right w:w="108" w:type="dxa"/>
          </w:tblCellMar>
        </w:tblPrEx>
        <w:trPr>
          <w:trHeight w:val="321"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标段（包）内容（范围）及基本技术要求</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Layout w:type="fixed"/>
          <w:tblCellMar>
            <w:top w:w="0" w:type="dxa"/>
            <w:left w:w="108" w:type="dxa"/>
            <w:bottom w:w="0" w:type="dxa"/>
            <w:right w:w="108" w:type="dxa"/>
          </w:tblCellMar>
        </w:tblPrEx>
        <w:trPr>
          <w:trHeight w:val="366" w:hRule="atLeast"/>
          <w:jc w:val="center"/>
        </w:trPr>
        <w:tc>
          <w:tcPr>
            <w:tcW w:w="508" w:type="dxa"/>
            <w:vMerge w:val="restart"/>
            <w:tcBorders>
              <w:top w:val="single" w:color="auto" w:sz="6" w:space="0"/>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1.4</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联合体投标</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 xml:space="preserve">不接受   </w:t>
            </w:r>
          </w:p>
        </w:tc>
      </w:tr>
      <w:tr>
        <w:tblPrEx>
          <w:tblLayout w:type="fixed"/>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10</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踏勘现场</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hAnsi="宋体" w:cs="楷体_GB2312"/>
                <w:color w:val="auto"/>
                <w:sz w:val="24"/>
                <w:lang w:val="zh-CN"/>
              </w:rPr>
            </w:pPr>
            <w:r>
              <w:rPr>
                <w:rFonts w:hint="eastAsia" w:ascii="宋体" w:hAnsi="宋体" w:cs="楷体_GB2312"/>
                <w:color w:val="auto"/>
                <w:sz w:val="24"/>
                <w:lang w:val="zh-CN"/>
              </w:rPr>
              <w:t>不组织</w:t>
            </w:r>
          </w:p>
        </w:tc>
      </w:tr>
      <w:tr>
        <w:tblPrEx>
          <w:tblLayout w:type="fixed"/>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w:t>
            </w:r>
            <w:r>
              <w:rPr>
                <w:rFonts w:hint="eastAsia" w:ascii="宋体" w:hAnsi="宋体" w:cs="楷体_GB2312"/>
                <w:b/>
                <w:bCs/>
                <w:color w:val="auto"/>
                <w:szCs w:val="21"/>
              </w:rPr>
              <w:t>1</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投标预备会</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不召开</w:t>
            </w:r>
          </w:p>
        </w:tc>
      </w:tr>
      <w:tr>
        <w:tblPrEx>
          <w:tblLayout w:type="fixed"/>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w:t>
            </w:r>
            <w:r>
              <w:rPr>
                <w:rFonts w:hint="eastAsia" w:ascii="宋体" w:hAnsi="宋体" w:cs="楷体_GB2312"/>
                <w:b/>
                <w:bCs/>
                <w:color w:val="auto"/>
                <w:szCs w:val="21"/>
              </w:rPr>
              <w:t>2</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分包</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 xml:space="preserve">不允许 </w:t>
            </w:r>
          </w:p>
        </w:tc>
      </w:tr>
      <w:tr>
        <w:tblPrEx>
          <w:tblLayout w:type="fixed"/>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2.1</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lang w:val="zh-CN"/>
              </w:rPr>
              <w:t>构成《磋商文件》的其他材料</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Layout w:type="fixed"/>
          <w:tblCellMar>
            <w:top w:w="0" w:type="dxa"/>
            <w:left w:w="108" w:type="dxa"/>
            <w:bottom w:w="0" w:type="dxa"/>
            <w:right w:w="108" w:type="dxa"/>
          </w:tblCellMar>
        </w:tblPrEx>
        <w:trPr>
          <w:trHeight w:val="604"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2.2.1</w:t>
            </w:r>
            <w:r>
              <w:rPr>
                <w:rFonts w:hint="eastAsia" w:ascii="宋体" w:hAnsi="宋体" w:cs="楷体_GB2312"/>
                <w:b/>
                <w:bCs/>
                <w:color w:val="auto"/>
                <w:szCs w:val="21"/>
              </w:rPr>
              <w:t xml:space="preserve"> </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供应商提出问题的截止时间</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lang w:val="zh-CN"/>
              </w:rPr>
              <w:t>2</w:t>
            </w:r>
            <w:r>
              <w:rPr>
                <w:rFonts w:hint="eastAsia" w:ascii="宋体" w:hAnsi="宋体" w:cs="楷体_GB2312"/>
                <w:color w:val="auto"/>
                <w:sz w:val="24"/>
                <w:lang w:val="zh-CN"/>
              </w:rPr>
              <w:t xml:space="preserve">日前 </w:t>
            </w:r>
          </w:p>
        </w:tc>
      </w:tr>
      <w:tr>
        <w:tblPrEx>
          <w:tblLayout w:type="fixed"/>
          <w:tblCellMar>
            <w:top w:w="0" w:type="dxa"/>
            <w:left w:w="108" w:type="dxa"/>
            <w:bottom w:w="0" w:type="dxa"/>
            <w:right w:w="108" w:type="dxa"/>
          </w:tblCellMar>
        </w:tblPrEx>
        <w:trPr>
          <w:trHeight w:val="604"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rPr>
                <w:rFonts w:ascii="宋体" w:cs="楷体_GB2312"/>
                <w:b/>
                <w:bCs/>
                <w:color w:val="auto"/>
                <w:szCs w:val="21"/>
                <w:lang w:val="zh-CN"/>
              </w:rPr>
            </w:pPr>
            <w:r>
              <w:rPr>
                <w:rFonts w:ascii="宋体" w:hAnsi="宋体" w:cs="楷体_GB2312"/>
                <w:b/>
                <w:bCs/>
                <w:color w:val="auto"/>
                <w:szCs w:val="21"/>
                <w:lang w:val="zh-CN"/>
              </w:rPr>
              <w:t>2.3</w:t>
            </w:r>
            <w:r>
              <w:rPr>
                <w:rFonts w:hint="eastAsia" w:ascii="宋体" w:hAnsi="宋体" w:cs="楷体_GB2312"/>
                <w:b/>
                <w:bCs/>
                <w:color w:val="auto"/>
                <w:szCs w:val="21"/>
                <w:lang w:val="zh-CN"/>
              </w:rPr>
              <w:t xml:space="preserve">   </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《磋商文件》澄清修改补充时间</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hAns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rPr>
              <w:t>5</w:t>
            </w:r>
            <w:r>
              <w:rPr>
                <w:rFonts w:hint="eastAsia" w:ascii="宋体" w:hAnsi="宋体" w:cs="楷体_GB2312"/>
                <w:color w:val="auto"/>
                <w:sz w:val="24"/>
                <w:lang w:val="zh-CN"/>
              </w:rPr>
              <w:t>日前。</w:t>
            </w:r>
          </w:p>
        </w:tc>
      </w:tr>
      <w:tr>
        <w:tblPrEx>
          <w:tblLayout w:type="fixed"/>
          <w:tblCellMar>
            <w:top w:w="0" w:type="dxa"/>
            <w:left w:w="108" w:type="dxa"/>
            <w:bottom w:w="0" w:type="dxa"/>
            <w:right w:w="108" w:type="dxa"/>
          </w:tblCellMar>
        </w:tblPrEx>
        <w:trPr>
          <w:trHeight w:val="300"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rPr>
                <w:rFonts w:ascii="宋体" w:cs="楷体_GB2312"/>
                <w:b/>
                <w:bCs/>
                <w:color w:val="auto"/>
                <w:szCs w:val="21"/>
              </w:rPr>
            </w:pPr>
            <w:r>
              <w:rPr>
                <w:rFonts w:ascii="宋体" w:hAnsi="宋体" w:cs="楷体_GB2312"/>
                <w:b/>
                <w:bCs/>
                <w:color w:val="auto"/>
                <w:szCs w:val="21"/>
                <w:lang w:val="zh-CN"/>
              </w:rPr>
              <w:t>2.</w:t>
            </w:r>
            <w:r>
              <w:rPr>
                <w:rFonts w:hint="eastAsia" w:ascii="宋体" w:hAnsi="宋体" w:cs="楷体_GB2312"/>
                <w:b/>
                <w:bCs/>
                <w:color w:val="auto"/>
                <w:szCs w:val="21"/>
                <w:lang w:val="zh-CN"/>
              </w:rPr>
              <w:t xml:space="preserve">4   </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left="-126" w:leftChars="-60" w:right="-36" w:rightChars="-17"/>
              <w:jc w:val="center"/>
              <w:rPr>
                <w:rFonts w:ascii="宋体" w:cs="楷体_GB2312"/>
                <w:b/>
                <w:bCs/>
                <w:color w:val="auto"/>
                <w:szCs w:val="21"/>
                <w:lang w:val="zh-CN"/>
              </w:rPr>
            </w:pPr>
            <w:r>
              <w:rPr>
                <w:rFonts w:hint="eastAsia" w:ascii="宋体" w:hAnsi="宋体" w:cs="楷体_GB2312"/>
                <w:b/>
                <w:bCs/>
                <w:color w:val="auto"/>
                <w:szCs w:val="21"/>
                <w:lang w:val="zh-CN"/>
              </w:rPr>
              <w:t>《磋商文件》的澄清修改补充告知方式</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Layout w:type="fixed"/>
          <w:tblCellMar>
            <w:top w:w="0" w:type="dxa"/>
            <w:left w:w="108" w:type="dxa"/>
            <w:bottom w:w="0" w:type="dxa"/>
            <w:right w:w="108" w:type="dxa"/>
          </w:tblCellMar>
        </w:tblPrEx>
        <w:trPr>
          <w:trHeight w:val="535" w:hRule="atLeast"/>
          <w:jc w:val="center"/>
        </w:trPr>
        <w:tc>
          <w:tcPr>
            <w:tcW w:w="508"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3.2</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构成《响应文件》的其他材料</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Layout w:type="fixed"/>
          <w:tblCellMar>
            <w:top w:w="0" w:type="dxa"/>
            <w:left w:w="108" w:type="dxa"/>
            <w:bottom w:w="0" w:type="dxa"/>
            <w:right w:w="108" w:type="dxa"/>
          </w:tblCellMar>
        </w:tblPrEx>
        <w:trPr>
          <w:trHeight w:val="535" w:hRule="atLeast"/>
          <w:jc w:val="center"/>
        </w:trPr>
        <w:tc>
          <w:tcPr>
            <w:tcW w:w="508" w:type="dxa"/>
            <w:vMerge w:val="restart"/>
            <w:tcBorders>
              <w:top w:val="single" w:color="auto" w:sz="6" w:space="0"/>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3.4.1</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响应有效期</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从《响应文件》开启之日起，响应有效期为</w:t>
            </w:r>
            <w:r>
              <w:rPr>
                <w:rFonts w:ascii="宋体" w:hAnsi="宋体" w:cs="楷体_GB2312"/>
                <w:color w:val="auto"/>
                <w:sz w:val="24"/>
                <w:lang w:val="zh-CN"/>
              </w:rPr>
              <w:t>90</w:t>
            </w:r>
            <w:r>
              <w:rPr>
                <w:rFonts w:hint="eastAsia" w:ascii="宋体" w:hAnsi="宋体" w:cs="楷体_GB2312"/>
                <w:color w:val="auto"/>
                <w:sz w:val="24"/>
                <w:lang w:val="zh-CN"/>
              </w:rPr>
              <w:t>日历天</w:t>
            </w:r>
          </w:p>
        </w:tc>
      </w:tr>
      <w:tr>
        <w:tblPrEx>
          <w:tblLayout w:type="fixed"/>
          <w:tblCellMar>
            <w:top w:w="0" w:type="dxa"/>
            <w:left w:w="108" w:type="dxa"/>
            <w:bottom w:w="0" w:type="dxa"/>
            <w:right w:w="108" w:type="dxa"/>
          </w:tblCellMar>
        </w:tblPrEx>
        <w:trPr>
          <w:trHeight w:val="694"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3.5</w:t>
            </w:r>
          </w:p>
        </w:tc>
        <w:tc>
          <w:tcPr>
            <w:tcW w:w="1893" w:type="dxa"/>
            <w:tcBorders>
              <w:top w:val="single" w:color="auto" w:sz="6" w:space="0"/>
              <w:left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cs="楷体_GB2312"/>
                <w:b/>
                <w:bCs/>
                <w:color w:val="auto"/>
                <w:sz w:val="24"/>
                <w:lang w:val="zh-CN"/>
              </w:rPr>
              <w:t>投标承诺函</w:t>
            </w:r>
          </w:p>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cs="楷体_GB2312"/>
                <w:b/>
                <w:bCs/>
                <w:color w:val="auto"/>
                <w:sz w:val="24"/>
                <w:lang w:val="zh-CN"/>
              </w:rPr>
              <w:t>（替代投标保证金）</w:t>
            </w:r>
          </w:p>
        </w:tc>
        <w:tc>
          <w:tcPr>
            <w:tcW w:w="6653" w:type="dxa"/>
            <w:tcBorders>
              <w:top w:val="single" w:color="auto" w:sz="6" w:space="0"/>
              <w:left w:val="single" w:color="auto" w:sz="6" w:space="0"/>
              <w:right w:val="single" w:color="auto" w:sz="12" w:space="0"/>
            </w:tcBorders>
            <w:vAlign w:val="center"/>
          </w:tcPr>
          <w:p>
            <w:pPr>
              <w:widowControl w:val="0"/>
              <w:snapToGrid w:val="0"/>
              <w:spacing w:beforeLines="50" w:line="240" w:lineRule="auto"/>
              <w:rPr>
                <w:color w:val="auto"/>
                <w:sz w:val="24"/>
                <w:szCs w:val="24"/>
              </w:rPr>
            </w:pPr>
            <w:r>
              <w:rPr>
                <w:rFonts w:hint="eastAsia"/>
                <w:color w:val="auto"/>
                <w:sz w:val="24"/>
                <w:szCs w:val="24"/>
              </w:rPr>
              <w:t>以投标承诺函形式替代投标保证金。</w:t>
            </w:r>
          </w:p>
          <w:p>
            <w:pPr>
              <w:widowControl w:val="0"/>
              <w:snapToGrid w:val="0"/>
              <w:spacing w:beforeLines="50" w:line="240" w:lineRule="auto"/>
              <w:rPr>
                <w:color w:val="auto"/>
                <w:sz w:val="24"/>
                <w:szCs w:val="24"/>
              </w:rPr>
            </w:pPr>
            <w:r>
              <w:rPr>
                <w:rFonts w:hint="eastAsia"/>
                <w:color w:val="auto"/>
                <w:sz w:val="24"/>
                <w:szCs w:val="24"/>
              </w:rPr>
              <w:t>供应商应按附件格式进行投标承诺、违背承诺的责任追究。</w:t>
            </w:r>
          </w:p>
        </w:tc>
      </w:tr>
      <w:tr>
        <w:tblPrEx>
          <w:tblLayout w:type="fixed"/>
          <w:tblCellMar>
            <w:top w:w="0" w:type="dxa"/>
            <w:left w:w="108" w:type="dxa"/>
            <w:bottom w:w="0" w:type="dxa"/>
            <w:right w:w="108" w:type="dxa"/>
          </w:tblCellMar>
        </w:tblPrEx>
        <w:trPr>
          <w:trHeight w:val="577"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4"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3.7.3</w:t>
            </w:r>
          </w:p>
        </w:tc>
        <w:tc>
          <w:tcPr>
            <w:tcW w:w="1893"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偏差描述</w:t>
            </w:r>
          </w:p>
        </w:tc>
        <w:tc>
          <w:tcPr>
            <w:tcW w:w="6653" w:type="dxa"/>
            <w:tcBorders>
              <w:top w:val="single" w:color="auto" w:sz="4" w:space="0"/>
              <w:left w:val="single" w:color="auto" w:sz="6" w:space="0"/>
              <w:bottom w:val="single" w:color="auto" w:sz="6" w:space="0"/>
              <w:right w:val="single" w:color="auto" w:sz="12" w:space="0"/>
            </w:tcBorders>
            <w:vAlign w:val="center"/>
          </w:tcPr>
          <w:p>
            <w:pPr>
              <w:widowControl w:val="0"/>
              <w:snapToGrid w:val="0"/>
              <w:spacing w:beforeLines="50" w:line="240" w:lineRule="auto"/>
              <w:rPr>
                <w:b/>
                <w:color w:val="auto"/>
                <w:sz w:val="24"/>
                <w:szCs w:val="24"/>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Layout w:type="fixed"/>
          <w:tblCellMar>
            <w:top w:w="0" w:type="dxa"/>
            <w:left w:w="108" w:type="dxa"/>
            <w:bottom w:w="0" w:type="dxa"/>
            <w:right w:w="108" w:type="dxa"/>
          </w:tblCellMar>
        </w:tblPrEx>
        <w:trPr>
          <w:trHeight w:val="65"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rPr>
                <w:rFonts w:ascii="宋体" w:cs="楷体_GB2312"/>
                <w:b/>
                <w:bCs/>
                <w:color w:val="auto"/>
                <w:szCs w:val="21"/>
                <w:lang w:val="zh-CN"/>
              </w:rPr>
            </w:pPr>
            <w:r>
              <w:rPr>
                <w:rFonts w:ascii="宋体" w:hAnsi="宋体" w:cs="楷体_GB2312"/>
                <w:b/>
                <w:bCs/>
                <w:color w:val="auto"/>
                <w:szCs w:val="21"/>
              </w:rPr>
              <w:t>3.7.4</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签字或盖章要求</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Layout w:type="fixed"/>
          <w:tblCellMar>
            <w:top w:w="0" w:type="dxa"/>
            <w:left w:w="108" w:type="dxa"/>
            <w:bottom w:w="0" w:type="dxa"/>
            <w:right w:w="108" w:type="dxa"/>
          </w:tblCellMar>
        </w:tblPrEx>
        <w:trPr>
          <w:trHeight w:val="343"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rPr>
                <w:rFonts w:ascii="宋体" w:cs="楷体_GB2312"/>
                <w:b/>
                <w:bCs/>
                <w:color w:val="auto"/>
                <w:szCs w:val="21"/>
                <w:lang w:val="zh-CN"/>
              </w:rPr>
            </w:pPr>
            <w:r>
              <w:rPr>
                <w:rFonts w:ascii="宋体" w:hAnsi="宋体" w:cs="楷体_GB2312"/>
                <w:b/>
                <w:bCs/>
                <w:color w:val="auto"/>
                <w:szCs w:val="21"/>
              </w:rPr>
              <w:t>4.2.4</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是否退还《响应文件》</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否</w:t>
            </w:r>
          </w:p>
        </w:tc>
      </w:tr>
      <w:tr>
        <w:tblPrEx>
          <w:tblLayout w:type="fixed"/>
          <w:tblCellMar>
            <w:top w:w="0" w:type="dxa"/>
            <w:left w:w="108" w:type="dxa"/>
            <w:bottom w:w="0" w:type="dxa"/>
            <w:right w:w="108" w:type="dxa"/>
          </w:tblCellMar>
        </w:tblPrEx>
        <w:trPr>
          <w:trHeight w:val="507" w:hRule="atLeast"/>
          <w:jc w:val="center"/>
        </w:trPr>
        <w:tc>
          <w:tcPr>
            <w:tcW w:w="508"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6.1</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磋商小组的组建</w:t>
            </w:r>
          </w:p>
        </w:tc>
        <w:tc>
          <w:tcPr>
            <w:tcW w:w="665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Layout w:type="fixed"/>
          <w:tblCellMar>
            <w:top w:w="0" w:type="dxa"/>
            <w:left w:w="108" w:type="dxa"/>
            <w:bottom w:w="0" w:type="dxa"/>
            <w:right w:w="108" w:type="dxa"/>
          </w:tblCellMar>
        </w:tblPrEx>
        <w:trPr>
          <w:trHeight w:val="543" w:hRule="atLeast"/>
          <w:jc w:val="center"/>
        </w:trPr>
        <w:tc>
          <w:tcPr>
            <w:tcW w:w="508" w:type="dxa"/>
            <w:vMerge w:val="restart"/>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第三章</w:t>
            </w: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rPr>
            </w:pPr>
            <w:r>
              <w:rPr>
                <w:rFonts w:ascii="宋体" w:hAnsi="宋体" w:cs="楷体_GB2312"/>
                <w:b/>
                <w:bCs/>
                <w:color w:val="auto"/>
                <w:szCs w:val="21"/>
              </w:rPr>
              <w:t>7.1</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是否授权磋商小组确定成交供应商</w:t>
            </w:r>
          </w:p>
        </w:tc>
        <w:tc>
          <w:tcPr>
            <w:tcW w:w="6653"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Lines="50" w:line="240" w:lineRule="auto"/>
              <w:rPr>
                <w:rFonts w:ascii="宋体"/>
                <w:color w:val="auto"/>
                <w:sz w:val="24"/>
              </w:rPr>
            </w:pPr>
            <w:r>
              <w:rPr>
                <w:rFonts w:hint="eastAsia" w:ascii="宋体" w:hAnsi="宋体"/>
                <w:color w:val="auto"/>
                <w:sz w:val="24"/>
              </w:rPr>
              <w:t>是。按照评审得分由高到低顺序推荐</w:t>
            </w:r>
            <w:r>
              <w:rPr>
                <w:rFonts w:ascii="宋体" w:hAnsi="宋体"/>
                <w:color w:val="auto"/>
                <w:sz w:val="24"/>
              </w:rPr>
              <w:t>3</w:t>
            </w:r>
            <w:r>
              <w:rPr>
                <w:rFonts w:hint="eastAsia" w:ascii="宋体" w:hAnsi="宋体"/>
                <w:color w:val="auto"/>
                <w:sz w:val="24"/>
              </w:rPr>
              <w:t>名以上成交候选供应商，并确定排名第一的成交候选人为成交供应商。</w:t>
            </w:r>
          </w:p>
        </w:tc>
      </w:tr>
      <w:tr>
        <w:tblPrEx>
          <w:tblLayout w:type="fixed"/>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ascii="宋体" w:hAnsi="宋体" w:cs="楷体_GB2312"/>
                <w:b/>
                <w:bCs/>
                <w:color w:val="auto"/>
                <w:sz w:val="24"/>
              </w:rPr>
              <w:t>7.2</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成交结果公告</w:t>
            </w:r>
          </w:p>
        </w:tc>
        <w:tc>
          <w:tcPr>
            <w:tcW w:w="6653"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Lines="50" w:line="240" w:lineRule="auto"/>
              <w:rPr>
                <w:rFonts w:ascii="宋体" w:hAnsi="宋体"/>
                <w:color w:val="auto"/>
                <w:sz w:val="24"/>
              </w:rPr>
            </w:pPr>
            <w:r>
              <w:rPr>
                <w:rFonts w:hint="eastAsia" w:ascii="宋体" w:hAnsi="宋体"/>
                <w:color w:val="auto"/>
                <w:sz w:val="24"/>
              </w:rPr>
              <w:t>本次竞争性磋商的成交结果将在成交供应商确定当天在竞争性磋商公告所述媒介公告</w:t>
            </w:r>
            <w:r>
              <w:rPr>
                <w:rFonts w:ascii="宋体" w:hAnsi="宋体"/>
                <w:color w:val="auto"/>
                <w:sz w:val="24"/>
              </w:rPr>
              <w:t>1</w:t>
            </w:r>
            <w:r>
              <w:rPr>
                <w:rFonts w:hint="eastAsia" w:ascii="宋体" w:hAnsi="宋体"/>
                <w:color w:val="auto"/>
                <w:sz w:val="24"/>
              </w:rPr>
              <w:t>个工作日。</w:t>
            </w:r>
          </w:p>
        </w:tc>
      </w:tr>
      <w:tr>
        <w:tblPrEx>
          <w:tblLayout w:type="fixed"/>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ascii="宋体" w:hAnsi="宋体" w:cs="楷体_GB2312"/>
                <w:b/>
                <w:bCs/>
                <w:color w:val="auto"/>
                <w:sz w:val="24"/>
              </w:rPr>
              <w:t>7.3</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质疑</w:t>
            </w:r>
          </w:p>
        </w:tc>
        <w:tc>
          <w:tcPr>
            <w:tcW w:w="6653" w:type="dxa"/>
            <w:tcBorders>
              <w:top w:val="single" w:color="auto" w:sz="6" w:space="0"/>
              <w:left w:val="single" w:color="auto" w:sz="6" w:space="0"/>
              <w:bottom w:val="single" w:color="auto" w:sz="6" w:space="0"/>
              <w:right w:val="single" w:color="auto" w:sz="12" w:space="0"/>
            </w:tcBorders>
            <w:vAlign w:val="center"/>
          </w:tcPr>
          <w:p>
            <w:pPr>
              <w:rPr>
                <w:rFonts w:ascii="宋体" w:hAnsi="宋体"/>
                <w:color w:val="auto"/>
                <w:sz w:val="24"/>
              </w:rPr>
            </w:pPr>
            <w:r>
              <w:rPr>
                <w:rFonts w:hint="eastAsia" w:ascii="宋体" w:hAnsi="宋体"/>
                <w:color w:val="auto"/>
                <w:sz w:val="24"/>
              </w:rPr>
              <w:t>参与本次采购活动的供应商如有异议，可在各环节法定质疑期内向采购代理机构一次性提出针对该采购程序环节的书面质疑函，书面原件送达至磋商文件列示的采购代理机构及采购单位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w:t>
            </w:r>
            <w:r>
              <w:rPr>
                <w:rFonts w:hint="eastAsia" w:ascii="宋体" w:hAnsi="宋体"/>
                <w:bCs/>
                <w:color w:val="auto"/>
                <w:sz w:val="24"/>
                <w:szCs w:val="24"/>
              </w:rPr>
              <w:t>疑的日期。供应商为自然人的，应当由本人签字；供应商为法人或者其他组织的，应当由法定代表人、主要负责人，或者其授权代表签字或者盖章，并加盖公章。</w:t>
            </w:r>
            <w:r>
              <w:rPr>
                <w:rFonts w:hint="eastAsia" w:ascii="宋体" w:hAnsi="宋体"/>
                <w:color w:val="auto"/>
                <w:sz w:val="24"/>
              </w:rPr>
              <w:t>如对采购代理机构的答复仍有异议的，可向同级财政局政府采购监督管理办公室提出书面投诉。（具体程序按照《政府采购质疑和投诉办法》执行）。</w:t>
            </w:r>
          </w:p>
        </w:tc>
      </w:tr>
      <w:tr>
        <w:tblPrEx>
          <w:tblLayout w:type="fixed"/>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ascii="宋体" w:hAnsi="宋体" w:cs="楷体_GB2312"/>
                <w:b/>
                <w:bCs/>
                <w:color w:val="auto"/>
                <w:sz w:val="24"/>
              </w:rPr>
              <w:t>7.4</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成交通知书</w:t>
            </w:r>
          </w:p>
        </w:tc>
        <w:tc>
          <w:tcPr>
            <w:tcW w:w="6653"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Lines="50" w:line="240" w:lineRule="auto"/>
              <w:rPr>
                <w:rFonts w:ascii="宋体" w:hAnsi="宋体" w:cs="楷体_GB2312"/>
                <w:color w:val="auto"/>
                <w:sz w:val="24"/>
                <w:lang w:val="zh-CN"/>
              </w:rPr>
            </w:pPr>
            <w:r>
              <w:rPr>
                <w:rFonts w:hint="eastAsia" w:ascii="宋体" w:hAnsi="宋体" w:cs="楷体_GB2312"/>
                <w:color w:val="auto"/>
                <w:sz w:val="24"/>
                <w:lang w:val="zh-CN"/>
              </w:rPr>
              <w:t>采购代理机构在成交供应商确定当天向成交供应商发出成交通知书。</w:t>
            </w:r>
          </w:p>
        </w:tc>
      </w:tr>
      <w:tr>
        <w:tblPrEx>
          <w:tblLayout w:type="fixed"/>
          <w:tblCellMar>
            <w:top w:w="0" w:type="dxa"/>
            <w:left w:w="108" w:type="dxa"/>
            <w:bottom w:w="0" w:type="dxa"/>
            <w:right w:w="108" w:type="dxa"/>
          </w:tblCellMar>
        </w:tblPrEx>
        <w:trPr>
          <w:trHeight w:val="453" w:hRule="atLeast"/>
          <w:jc w:val="center"/>
        </w:trPr>
        <w:tc>
          <w:tcPr>
            <w:tcW w:w="508" w:type="dxa"/>
            <w:vMerge w:val="restart"/>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ascii="宋体" w:hAnsi="宋体" w:cs="楷体_GB2312"/>
                <w:b/>
                <w:bCs/>
                <w:color w:val="auto"/>
                <w:sz w:val="24"/>
                <w:lang w:val="zh-CN"/>
              </w:rPr>
              <w:t>7.5</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履约保证金</w:t>
            </w:r>
          </w:p>
        </w:tc>
        <w:tc>
          <w:tcPr>
            <w:tcW w:w="6653" w:type="dxa"/>
            <w:tcBorders>
              <w:top w:val="single" w:color="auto" w:sz="6" w:space="0"/>
              <w:left w:val="single" w:color="auto" w:sz="6" w:space="0"/>
              <w:bottom w:val="single" w:color="auto" w:sz="6" w:space="0"/>
              <w:right w:val="single" w:color="auto" w:sz="12" w:space="0"/>
            </w:tcBorders>
            <w:vAlign w:val="center"/>
          </w:tcPr>
          <w:p>
            <w:pPr>
              <w:widowControl w:val="0"/>
              <w:snapToGrid w:val="0"/>
              <w:spacing w:beforeLines="50" w:line="240" w:lineRule="auto"/>
              <w:rPr>
                <w:color w:val="auto"/>
                <w:sz w:val="24"/>
                <w:szCs w:val="24"/>
              </w:rPr>
            </w:pPr>
            <w:r>
              <w:rPr>
                <w:rFonts w:hint="eastAsia"/>
                <w:color w:val="auto"/>
                <w:sz w:val="24"/>
                <w:szCs w:val="24"/>
              </w:rPr>
              <w:t>不需缴纳</w:t>
            </w:r>
          </w:p>
        </w:tc>
      </w:tr>
      <w:tr>
        <w:tblPrEx>
          <w:tblLayout w:type="fixed"/>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ascii="宋体" w:hAnsi="宋体" w:cs="楷体_GB2312"/>
                <w:b/>
                <w:bCs/>
                <w:color w:val="auto"/>
                <w:sz w:val="24"/>
                <w:lang w:val="zh-CN"/>
              </w:rPr>
              <w:t>8</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验收</w:t>
            </w:r>
          </w:p>
        </w:tc>
        <w:tc>
          <w:tcPr>
            <w:tcW w:w="6653" w:type="dxa"/>
            <w:tcBorders>
              <w:top w:val="single" w:color="auto" w:sz="6" w:space="0"/>
              <w:left w:val="single" w:color="auto" w:sz="6" w:space="0"/>
              <w:bottom w:val="single" w:color="auto" w:sz="6" w:space="0"/>
              <w:right w:val="single" w:color="auto" w:sz="12" w:space="0"/>
            </w:tcBorders>
            <w:vAlign w:val="center"/>
          </w:tcPr>
          <w:p>
            <w:pPr>
              <w:widowControl w:val="0"/>
              <w:snapToGrid w:val="0"/>
              <w:spacing w:beforeLines="50" w:line="240" w:lineRule="auto"/>
              <w:rPr>
                <w:color w:val="auto"/>
                <w:sz w:val="24"/>
                <w:szCs w:val="24"/>
              </w:rPr>
            </w:pPr>
            <w:r>
              <w:rPr>
                <w:rFonts w:hint="eastAsia"/>
                <w:color w:val="auto"/>
                <w:sz w:val="24"/>
                <w:szCs w:val="24"/>
              </w:rPr>
              <w:t>见“第三章供应商须知”相应条款</w:t>
            </w:r>
          </w:p>
        </w:tc>
      </w:tr>
      <w:tr>
        <w:tblPrEx>
          <w:tblLayout w:type="fixed"/>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pPr>
              <w:autoSpaceDE w:val="0"/>
              <w:autoSpaceDN w:val="0"/>
              <w:adjustRightInd w:val="0"/>
              <w:spacing w:line="360" w:lineRule="auto"/>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cs="楷体_GB2312"/>
                <w:b/>
                <w:bCs/>
                <w:color w:val="auto"/>
                <w:sz w:val="24"/>
              </w:rPr>
            </w:pPr>
            <w:r>
              <w:rPr>
                <w:rFonts w:ascii="宋体" w:hAnsi="宋体" w:cs="楷体_GB2312"/>
                <w:b/>
                <w:bCs/>
                <w:color w:val="auto"/>
                <w:sz w:val="24"/>
              </w:rPr>
              <w:t>9</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付款</w:t>
            </w:r>
          </w:p>
        </w:tc>
        <w:tc>
          <w:tcPr>
            <w:tcW w:w="6653" w:type="dxa"/>
            <w:tcBorders>
              <w:top w:val="single" w:color="auto" w:sz="6" w:space="0"/>
              <w:left w:val="single" w:color="auto" w:sz="6" w:space="0"/>
              <w:bottom w:val="single" w:color="auto" w:sz="6" w:space="0"/>
              <w:right w:val="single" w:color="auto" w:sz="12" w:space="0"/>
            </w:tcBorders>
            <w:vAlign w:val="center"/>
          </w:tcPr>
          <w:p>
            <w:pPr>
              <w:snapToGrid w:val="0"/>
              <w:spacing w:beforeLines="50" w:line="240" w:lineRule="auto"/>
              <w:ind w:firstLine="480" w:firstLineChars="200"/>
              <w:rPr>
                <w:color w:val="auto"/>
                <w:sz w:val="24"/>
                <w:szCs w:val="24"/>
              </w:rPr>
            </w:pPr>
            <w:bookmarkStart w:id="14" w:name="OLE_LINK11"/>
            <w:r>
              <w:rPr>
                <w:rFonts w:hint="eastAsia"/>
                <w:color w:val="auto"/>
                <w:sz w:val="24"/>
                <w:szCs w:val="24"/>
              </w:rPr>
              <w:t>为优化政府采购营商环境，根据安财购﹝2019﹞8号文件落实政府采购预付款的规定，采购人可在政府采购合同履约前向成交供应商预付</w:t>
            </w:r>
            <w:r>
              <w:rPr>
                <w:color w:val="auto"/>
                <w:sz w:val="24"/>
                <w:szCs w:val="24"/>
                <w:u w:val="single"/>
              </w:rPr>
              <w:t>30%</w:t>
            </w:r>
            <w:r>
              <w:rPr>
                <w:rFonts w:hint="eastAsia"/>
                <w:color w:val="auto"/>
                <w:sz w:val="24"/>
                <w:szCs w:val="24"/>
              </w:rPr>
              <w:t>合同资金，成交供应商应向采购人提交预付款保函，未提供保函的，视同其放弃项目预付款的支付。</w:t>
            </w:r>
          </w:p>
          <w:p>
            <w:pPr>
              <w:snapToGrid w:val="0"/>
              <w:spacing w:beforeLines="50" w:line="240" w:lineRule="auto"/>
              <w:ind w:firstLine="480" w:firstLineChars="200"/>
              <w:rPr>
                <w:color w:val="auto"/>
                <w:sz w:val="24"/>
                <w:szCs w:val="24"/>
              </w:rPr>
            </w:pPr>
            <w:r>
              <w:rPr>
                <w:rFonts w:hint="eastAsia"/>
                <w:color w:val="auto"/>
                <w:sz w:val="24"/>
                <w:szCs w:val="24"/>
              </w:rPr>
              <w:t>为进一步优化营商环境，根据安财购﹝2022﹞8号文件落实政府采购中小企业预付款的规定，采购人可在政府采购合同签订后，向成交供应商原则上预付不低于合同金额50%的预付款，成交供应商应向采购人提交预付款保函，未提供保函的，视同其放弃项目预付款的支付。</w:t>
            </w:r>
          </w:p>
          <w:p>
            <w:pPr>
              <w:snapToGrid w:val="0"/>
              <w:spacing w:beforeLines="50" w:line="240" w:lineRule="auto"/>
              <w:ind w:firstLine="480" w:firstLineChars="200"/>
              <w:rPr>
                <w:color w:val="auto"/>
                <w:sz w:val="24"/>
                <w:szCs w:val="24"/>
              </w:rPr>
            </w:pPr>
            <w:r>
              <w:rPr>
                <w:rFonts w:hint="eastAsia"/>
                <w:color w:val="auto"/>
                <w:sz w:val="24"/>
                <w:szCs w:val="24"/>
              </w:rPr>
              <w:t>项目完成后，采购人需持从“安阳市政府采购网”登录系统下载本项目带水印的《安阳市市直政府采购资金申请表》和《安阳市市直政府采购申报表》，以及《政府采购验收报告》和发票等，作为付款依据，报安阳市财政国库支付中心审核确认后一次无息付清剩余项目款。</w:t>
            </w:r>
            <w:bookmarkEnd w:id="14"/>
          </w:p>
        </w:tc>
      </w:tr>
      <w:tr>
        <w:tblPrEx>
          <w:tblLayout w:type="fixed"/>
          <w:tblCellMar>
            <w:top w:w="0" w:type="dxa"/>
            <w:left w:w="108" w:type="dxa"/>
            <w:bottom w:w="0" w:type="dxa"/>
            <w:right w:w="108" w:type="dxa"/>
          </w:tblCellMar>
        </w:tblPrEx>
        <w:trPr>
          <w:trHeight w:val="453" w:hRule="atLeast"/>
          <w:jc w:val="center"/>
        </w:trPr>
        <w:tc>
          <w:tcPr>
            <w:tcW w:w="508" w:type="dxa"/>
            <w:tcBorders>
              <w:left w:val="single" w:color="auto" w:sz="12" w:space="0"/>
              <w:bottom w:val="single" w:color="auto" w:sz="6" w:space="0"/>
              <w:right w:val="single" w:color="auto" w:sz="6" w:space="0"/>
            </w:tcBorders>
          </w:tcPr>
          <w:p>
            <w:pPr>
              <w:autoSpaceDE w:val="0"/>
              <w:autoSpaceDN w:val="0"/>
              <w:adjustRightInd w:val="0"/>
              <w:spacing w:line="360" w:lineRule="auto"/>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楷体_GB2312"/>
                <w:b/>
                <w:bCs/>
                <w:color w:val="auto"/>
                <w:sz w:val="24"/>
              </w:rPr>
            </w:pPr>
            <w:r>
              <w:rPr>
                <w:rFonts w:ascii="宋体" w:hAnsi="宋体" w:cs="楷体_GB2312"/>
                <w:b/>
                <w:bCs/>
                <w:color w:val="auto"/>
                <w:sz w:val="24"/>
              </w:rPr>
              <w:t>10.1</w:t>
            </w:r>
          </w:p>
        </w:tc>
        <w:tc>
          <w:tcPr>
            <w:tcW w:w="18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hAnsi="宋体"/>
                <w:b/>
                <w:color w:val="auto"/>
                <w:sz w:val="24"/>
              </w:rPr>
            </w:pPr>
            <w:r>
              <w:rPr>
                <w:rFonts w:hint="eastAsia" w:ascii="宋体" w:hAnsi="宋体"/>
                <w:b/>
                <w:color w:val="auto"/>
                <w:sz w:val="24"/>
              </w:rPr>
              <w:t>代理服务费</w:t>
            </w:r>
          </w:p>
        </w:tc>
        <w:tc>
          <w:tcPr>
            <w:tcW w:w="6653"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Lines="50" w:line="240" w:lineRule="auto"/>
              <w:rPr>
                <w:rFonts w:ascii="宋体" w:hAnsi="宋体"/>
                <w:color w:val="auto"/>
                <w:sz w:val="24"/>
              </w:rPr>
            </w:pPr>
            <w:r>
              <w:rPr>
                <w:rFonts w:hint="eastAsia" w:ascii="宋体" w:hAnsi="宋体"/>
                <w:color w:val="auto"/>
                <w:sz w:val="24"/>
              </w:rPr>
              <w:t>参照国家计委《招标代理服务收费管理暂行办法》（计价格【</w:t>
            </w:r>
            <w:r>
              <w:rPr>
                <w:rFonts w:ascii="宋体" w:hAnsi="宋体"/>
                <w:color w:val="auto"/>
                <w:sz w:val="24"/>
              </w:rPr>
              <w:t>2002</w:t>
            </w:r>
            <w:r>
              <w:rPr>
                <w:rFonts w:hint="eastAsia" w:ascii="宋体" w:hAnsi="宋体"/>
                <w:color w:val="auto"/>
                <w:sz w:val="24"/>
              </w:rPr>
              <w:t>】</w:t>
            </w:r>
            <w:r>
              <w:rPr>
                <w:rFonts w:ascii="宋体" w:hAnsi="宋体"/>
                <w:color w:val="auto"/>
                <w:sz w:val="24"/>
              </w:rPr>
              <w:t>1980</w:t>
            </w:r>
            <w:r>
              <w:rPr>
                <w:rFonts w:hint="eastAsia" w:ascii="宋体" w:hAnsi="宋体"/>
                <w:color w:val="auto"/>
                <w:sz w:val="24"/>
              </w:rPr>
              <w:t>号）、《国家发展和改革委员会办公厅关于招标代理服务费有关问题的通知》（发改办价格【</w:t>
            </w:r>
            <w:r>
              <w:rPr>
                <w:rFonts w:ascii="宋体" w:hAnsi="宋体"/>
                <w:color w:val="auto"/>
                <w:sz w:val="24"/>
              </w:rPr>
              <w:t>2003</w:t>
            </w:r>
            <w:r>
              <w:rPr>
                <w:rFonts w:hint="eastAsia" w:ascii="宋体" w:hAnsi="宋体"/>
                <w:color w:val="auto"/>
                <w:sz w:val="24"/>
              </w:rPr>
              <w:t>】</w:t>
            </w:r>
            <w:r>
              <w:rPr>
                <w:rFonts w:ascii="宋体" w:hAnsi="宋体"/>
                <w:color w:val="auto"/>
                <w:sz w:val="24"/>
              </w:rPr>
              <w:t>857</w:t>
            </w:r>
            <w:r>
              <w:rPr>
                <w:rFonts w:hint="eastAsia" w:ascii="宋体" w:hAnsi="宋体"/>
                <w:color w:val="auto"/>
                <w:sz w:val="24"/>
              </w:rPr>
              <w:t>号）及发改价格【</w:t>
            </w:r>
            <w:r>
              <w:rPr>
                <w:rFonts w:ascii="宋体" w:hAnsi="宋体"/>
                <w:color w:val="auto"/>
                <w:sz w:val="24"/>
              </w:rPr>
              <w:t>2011</w:t>
            </w:r>
            <w:r>
              <w:rPr>
                <w:rFonts w:hint="eastAsia" w:ascii="宋体" w:hAnsi="宋体"/>
                <w:color w:val="auto"/>
                <w:sz w:val="24"/>
              </w:rPr>
              <w:t>】</w:t>
            </w:r>
            <w:r>
              <w:rPr>
                <w:rFonts w:ascii="宋体" w:hAnsi="宋体"/>
                <w:color w:val="auto"/>
                <w:sz w:val="24"/>
              </w:rPr>
              <w:t>534</w:t>
            </w:r>
            <w:r>
              <w:rPr>
                <w:rFonts w:hint="eastAsia" w:ascii="宋体" w:hAnsi="宋体"/>
                <w:color w:val="auto"/>
                <w:sz w:val="24"/>
              </w:rPr>
              <w:t>号文件的规定，招标代理服务费由中标（成交）供应商支付。</w:t>
            </w:r>
          </w:p>
        </w:tc>
      </w:tr>
    </w:tbl>
    <w:p>
      <w:pPr>
        <w:autoSpaceDE w:val="0"/>
        <w:autoSpaceDN w:val="0"/>
        <w:adjustRightInd w:val="0"/>
        <w:spacing w:line="360" w:lineRule="auto"/>
        <w:ind w:firstLine="539"/>
        <w:rPr>
          <w:color w:val="auto"/>
        </w:rPr>
      </w:pPr>
      <w:r>
        <w:rPr>
          <w:color w:val="auto"/>
        </w:rPr>
        <w:br w:type="page"/>
      </w:r>
    </w:p>
    <w:p>
      <w:pPr>
        <w:autoSpaceDE w:val="0"/>
        <w:autoSpaceDN w:val="0"/>
        <w:adjustRightInd w:val="0"/>
        <w:snapToGrid w:val="0"/>
        <w:spacing w:beforeLines="50" w:line="300" w:lineRule="auto"/>
        <w:ind w:firstLine="539"/>
        <w:outlineLvl w:val="1"/>
        <w:rPr>
          <w:rFonts w:ascii="黑体" w:hAnsi="黑体" w:eastAsia="黑体"/>
          <w:color w:val="auto"/>
          <w:sz w:val="28"/>
          <w:szCs w:val="28"/>
          <w:lang w:val="zh-CN"/>
        </w:rPr>
      </w:pPr>
      <w:bookmarkStart w:id="15" w:name="_Toc65745043"/>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总则</w:t>
      </w:r>
      <w:bookmarkEnd w:id="15"/>
    </w:p>
    <w:p>
      <w:pPr>
        <w:autoSpaceDE w:val="0"/>
        <w:autoSpaceDN w:val="0"/>
        <w:adjustRightInd w:val="0"/>
        <w:snapToGrid w:val="0"/>
        <w:spacing w:beforeLines="50" w:line="300" w:lineRule="auto"/>
        <w:ind w:firstLine="539"/>
        <w:rPr>
          <w:rFonts w:ascii="宋体"/>
          <w:color w:val="auto"/>
          <w:sz w:val="24"/>
          <w:szCs w:val="24"/>
        </w:rPr>
      </w:pPr>
      <w:r>
        <w:rPr>
          <w:rFonts w:ascii="黑体" w:hAnsi="黑体" w:eastAsia="黑体" w:cs="楷体_GB2312"/>
          <w:b/>
          <w:color w:val="auto"/>
          <w:sz w:val="24"/>
          <w:lang w:val="zh-CN"/>
        </w:rPr>
        <w:t xml:space="preserve">1.1  </w:t>
      </w:r>
      <w:r>
        <w:rPr>
          <w:rFonts w:hint="eastAsia" w:ascii="宋体" w:hAnsi="宋体"/>
          <w:color w:val="auto"/>
          <w:sz w:val="24"/>
          <w:szCs w:val="24"/>
        </w:rPr>
        <w:t>根据《中华人民共和国政府采购法》、《中华人民共和国政府采购法实施条例》、《政府采购竞争性磋商采购方式管理暂行办法》及相关政府采购法律法规等制定本文件。</w:t>
      </w:r>
    </w:p>
    <w:p>
      <w:pPr>
        <w:adjustRightInd w:val="0"/>
        <w:snapToGrid w:val="0"/>
        <w:spacing w:beforeLines="50" w:line="300" w:lineRule="auto"/>
        <w:ind w:right="240" w:firstLine="482" w:firstLineChars="200"/>
        <w:rPr>
          <w:rFonts w:ascii="黑体" w:hAnsi="黑体" w:eastAsia="黑体" w:cs="楷体_GB2312"/>
          <w:b/>
          <w:color w:val="auto"/>
          <w:sz w:val="24"/>
        </w:rPr>
      </w:pPr>
      <w:r>
        <w:rPr>
          <w:rFonts w:ascii="黑体" w:hAnsi="黑体" w:eastAsia="黑体" w:cs="楷体_GB2312"/>
          <w:b/>
          <w:color w:val="auto"/>
          <w:sz w:val="24"/>
        </w:rPr>
        <w:t xml:space="preserve">1.2  </w:t>
      </w:r>
      <w:r>
        <w:rPr>
          <w:rFonts w:hint="eastAsia" w:ascii="黑体" w:hAnsi="黑体" w:eastAsia="黑体" w:cs="楷体_GB2312"/>
          <w:b/>
          <w:color w:val="auto"/>
          <w:sz w:val="24"/>
          <w:lang w:val="zh-CN"/>
        </w:rPr>
        <w:t>《磋商文件》的法律适用及法律效力</w:t>
      </w:r>
    </w:p>
    <w:p>
      <w:pPr>
        <w:adjustRightInd w:val="0"/>
        <w:snapToGrid w:val="0"/>
        <w:spacing w:beforeLines="50" w:line="300" w:lineRule="auto"/>
        <w:ind w:right="240" w:firstLine="547" w:firstLineChars="228"/>
        <w:rPr>
          <w:rFonts w:ascii="宋体"/>
          <w:color w:val="auto"/>
          <w:sz w:val="24"/>
          <w:szCs w:val="24"/>
        </w:rPr>
      </w:pPr>
      <w:r>
        <w:rPr>
          <w:rFonts w:ascii="宋体" w:hAnsi="宋体"/>
          <w:color w:val="auto"/>
          <w:sz w:val="24"/>
          <w:szCs w:val="24"/>
        </w:rPr>
        <w:t>1.2.1</w:t>
      </w:r>
      <w:r>
        <w:rPr>
          <w:rFonts w:hint="eastAsia" w:ascii="宋体" w:hAnsi="宋体"/>
          <w:color w:val="auto"/>
          <w:sz w:val="24"/>
          <w:szCs w:val="24"/>
        </w:rPr>
        <w:t>本</w:t>
      </w:r>
      <w:r>
        <w:rPr>
          <w:rFonts w:hint="eastAsia" w:ascii="宋体" w:hAnsi="宋体" w:cs="宋体"/>
          <w:color w:val="auto"/>
          <w:sz w:val="24"/>
          <w:szCs w:val="24"/>
        </w:rPr>
        <w:t>《磋商文件》</w:t>
      </w:r>
      <w:r>
        <w:rPr>
          <w:rFonts w:hint="eastAsia" w:ascii="宋体" w:hAnsi="宋体"/>
          <w:color w:val="auto"/>
          <w:sz w:val="24"/>
          <w:szCs w:val="24"/>
        </w:rPr>
        <w:t>所述内容，仅适用于本次项目采购。</w:t>
      </w:r>
    </w:p>
    <w:p>
      <w:pPr>
        <w:adjustRightInd w:val="0"/>
        <w:snapToGrid w:val="0"/>
        <w:spacing w:beforeLines="50" w:line="300" w:lineRule="auto"/>
        <w:ind w:right="240" w:firstLine="547" w:firstLineChars="228"/>
        <w:rPr>
          <w:rFonts w:ascii="宋体"/>
          <w:color w:val="auto"/>
          <w:sz w:val="24"/>
          <w:szCs w:val="24"/>
        </w:rPr>
      </w:pPr>
      <w:r>
        <w:rPr>
          <w:rFonts w:ascii="宋体" w:hAnsi="宋体"/>
          <w:color w:val="auto"/>
          <w:sz w:val="24"/>
          <w:szCs w:val="24"/>
        </w:rPr>
        <w:t xml:space="preserve">1.2.2 </w:t>
      </w:r>
      <w:r>
        <w:rPr>
          <w:rFonts w:hint="eastAsia" w:ascii="宋体" w:hAnsi="宋体" w:cs="宋体"/>
          <w:color w:val="auto"/>
          <w:sz w:val="24"/>
          <w:szCs w:val="24"/>
        </w:rPr>
        <w:t>《磋商文件》</w:t>
      </w:r>
      <w:r>
        <w:rPr>
          <w:rFonts w:hint="eastAsia" w:ascii="宋体" w:hAnsi="宋体"/>
          <w:color w:val="auto"/>
          <w:sz w:val="24"/>
          <w:szCs w:val="24"/>
        </w:rPr>
        <w:t>的修改性文件、补充文件、澄清文件或说明具有同等法律效力。</w:t>
      </w:r>
    </w:p>
    <w:p>
      <w:pPr>
        <w:adjustRightInd w:val="0"/>
        <w:snapToGrid w:val="0"/>
        <w:spacing w:beforeLines="50" w:line="300" w:lineRule="auto"/>
        <w:ind w:right="240" w:firstLine="547" w:firstLineChars="228"/>
        <w:rPr>
          <w:rFonts w:ascii="宋体"/>
          <w:color w:val="auto"/>
          <w:sz w:val="24"/>
          <w:szCs w:val="24"/>
        </w:rPr>
      </w:pPr>
      <w:r>
        <w:rPr>
          <w:rFonts w:ascii="宋体" w:hAnsi="宋体"/>
          <w:color w:val="auto"/>
          <w:sz w:val="24"/>
          <w:szCs w:val="24"/>
        </w:rPr>
        <w:t xml:space="preserve">1.2.3 </w:t>
      </w:r>
      <w:r>
        <w:rPr>
          <w:rFonts w:hint="eastAsia" w:ascii="宋体" w:hAnsi="宋体"/>
          <w:color w:val="auto"/>
          <w:sz w:val="24"/>
          <w:szCs w:val="24"/>
        </w:rPr>
        <w:t>本</w:t>
      </w:r>
      <w:r>
        <w:rPr>
          <w:rFonts w:hint="eastAsia" w:ascii="宋体" w:hAnsi="宋体" w:cs="宋体"/>
          <w:color w:val="auto"/>
          <w:sz w:val="24"/>
          <w:szCs w:val="24"/>
        </w:rPr>
        <w:t>《磋商文件》</w:t>
      </w:r>
      <w:r>
        <w:rPr>
          <w:rFonts w:hint="eastAsia" w:ascii="宋体" w:hAnsi="宋体"/>
          <w:color w:val="auto"/>
          <w:sz w:val="24"/>
          <w:szCs w:val="24"/>
        </w:rPr>
        <w:t>适用于并执行《政府采购法》和其它相关的法律、法规。</w:t>
      </w:r>
    </w:p>
    <w:p>
      <w:pPr>
        <w:adjustRightInd w:val="0"/>
        <w:snapToGrid w:val="0"/>
        <w:spacing w:beforeLines="50" w:line="300" w:lineRule="auto"/>
        <w:ind w:right="240" w:firstLine="600" w:firstLineChars="250"/>
        <w:rPr>
          <w:rFonts w:ascii="宋体"/>
          <w:color w:val="auto"/>
          <w:sz w:val="24"/>
          <w:szCs w:val="24"/>
        </w:rPr>
      </w:pPr>
      <w:r>
        <w:rPr>
          <w:rFonts w:ascii="宋体" w:hAnsi="宋体"/>
          <w:color w:val="auto"/>
          <w:sz w:val="24"/>
          <w:szCs w:val="24"/>
        </w:rPr>
        <w:t xml:space="preserve">1.2.4 </w:t>
      </w:r>
      <w:r>
        <w:rPr>
          <w:rFonts w:hint="eastAsia" w:ascii="宋体" w:hAnsi="宋体"/>
          <w:color w:val="auto"/>
          <w:sz w:val="24"/>
          <w:szCs w:val="24"/>
        </w:rPr>
        <w:t>本</w:t>
      </w:r>
      <w:r>
        <w:rPr>
          <w:rFonts w:hint="eastAsia" w:ascii="宋体" w:hAnsi="宋体" w:cs="宋体"/>
          <w:color w:val="auto"/>
          <w:sz w:val="24"/>
          <w:szCs w:val="24"/>
        </w:rPr>
        <w:t>《磋商文件》</w:t>
      </w:r>
      <w:r>
        <w:rPr>
          <w:rFonts w:hint="eastAsia" w:ascii="宋体" w:hAnsi="宋体"/>
          <w:color w:val="auto"/>
          <w:sz w:val="24"/>
          <w:szCs w:val="24"/>
        </w:rPr>
        <w:t>的解释权属采购人及代理机构。</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1.3  </w:t>
      </w:r>
      <w:r>
        <w:rPr>
          <w:rFonts w:hint="eastAsia" w:ascii="黑体" w:hAnsi="黑体" w:eastAsia="黑体" w:cs="楷体_GB2312"/>
          <w:b/>
          <w:color w:val="auto"/>
          <w:sz w:val="24"/>
          <w:lang w:val="zh-CN"/>
        </w:rPr>
        <w:t>合格的供应商</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1.3.1 </w:t>
      </w:r>
      <w:r>
        <w:rPr>
          <w:rFonts w:hint="eastAsia" w:ascii="宋体" w:hAnsi="宋体" w:cs="楷体_GB2312"/>
          <w:color w:val="auto"/>
          <w:sz w:val="24"/>
          <w:lang w:val="zh-CN"/>
        </w:rPr>
        <w:t>凡符合《磋商文件》规定，承认本《磋商文件》所有内容的供应商为合格的供应商。</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1.3.2 </w:t>
      </w:r>
      <w:r>
        <w:rPr>
          <w:rFonts w:hint="eastAsia" w:ascii="宋体" w:hAnsi="宋体" w:cs="楷体_GB2312"/>
          <w:color w:val="auto"/>
          <w:sz w:val="24"/>
          <w:lang w:val="zh-CN"/>
        </w:rPr>
        <w:t>单位负责人为同一人或者存在直接控股、管理关系的不同供应商，不得参加同一合同项下的政府采购活动。</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1.3.3 </w:t>
      </w:r>
      <w:r>
        <w:rPr>
          <w:rFonts w:hint="eastAsia" w:ascii="宋体" w:hAnsi="宋体" w:cs="楷体_GB2312"/>
          <w:color w:val="auto"/>
          <w:sz w:val="24"/>
          <w:lang w:val="zh-CN"/>
        </w:rPr>
        <w:t>为采购项目提供整体设计、规范编制或者项目管理、监理、检测等服务的供应商，不得再参加该采购项目的其他采购活动。</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1.3.4 </w:t>
      </w:r>
      <w:r>
        <w:rPr>
          <w:rFonts w:hint="eastAsia" w:ascii="宋体" w:hAnsi="宋体" w:cs="楷体_GB2312"/>
          <w:color w:val="auto"/>
          <w:sz w:val="24"/>
          <w:lang w:val="zh-CN"/>
        </w:rPr>
        <w:t>供应商应遵守国家法律、法规和《磋商文件》的规定。</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1.4</w:t>
      </w:r>
      <w:r>
        <w:rPr>
          <w:rFonts w:hint="eastAsia" w:ascii="黑体" w:hAnsi="黑体" w:eastAsia="黑体" w:cs="楷体_GB2312"/>
          <w:b/>
          <w:color w:val="auto"/>
          <w:sz w:val="24"/>
          <w:lang w:val="zh-CN"/>
        </w:rPr>
        <w:t>　联合体</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如供应商须知前附表规定接受联合体投标的，应遵守以下规定：</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1</w:t>
      </w:r>
      <w:r>
        <w:rPr>
          <w:rFonts w:hint="eastAsia" w:ascii="宋体" w:cs="楷体_GB2312"/>
          <w:color w:val="auto"/>
          <w:sz w:val="24"/>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）两个以上供应商可以组成一个投标联合体，以一个供应商的身份投标，但必须确定其中一个单位为投标的全权代表参加投标活动，并承担投标及履约中应承担的全部责任和义务。</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以联合体形式参加投标的，应符供应商须知前附表的要求，联合体各方均应当符合政府采购法第二十二条第一款规定的条件，联合体各方均应当具备承担采购项目（标段&lt;包&gt;）的相应能力、具备规定的相应资格条件。</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）联合体中有同类资质的供应商按照联合体分工承担相同工作的，应当按照资质等级较低的供应商确定资质等级。</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）联合体各方之间应当签订联合投标协议，明确约定联合体各方承担的工作和相应的责任，并将联合投标协议连同《响应文件》一并提交采购代理机构。</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）联合体各方签订联合投标协议后，不得再以自己名义单独在同一项目中投标，也不得组成新的联合体参加同一项目投标。</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）联合体中标（成交）的，联合体各方应当共同与采购人签订合同，就中标（成交）项目（标段&lt;包&gt;）向采购人承担连带责任。</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（8）预留中小企业份额项目中，</w:t>
      </w:r>
      <w:r>
        <w:rPr>
          <w:rFonts w:hint="eastAsia" w:ascii="宋体" w:hAnsi="宋体"/>
          <w:color w:val="auto"/>
          <w:sz w:val="24"/>
          <w:szCs w:val="24"/>
        </w:rPr>
        <w:t>组成联合体的中小企业与联合体内其他企业不得存在直接控股、管理关系。</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hint="eastAsia" w:ascii="黑体" w:hAnsi="黑体" w:eastAsia="黑体" w:cs="楷体_GB2312"/>
          <w:b/>
          <w:color w:val="auto"/>
          <w:sz w:val="24"/>
          <w:lang w:val="zh-CN"/>
        </w:rPr>
        <w:t>1.5  知识产权</w:t>
      </w:r>
    </w:p>
    <w:p>
      <w:pPr>
        <w:ind w:firstLine="480" w:firstLineChars="200"/>
        <w:rPr>
          <w:rFonts w:ascii="宋体" w:hAnsi="宋体"/>
          <w:color w:val="auto"/>
          <w:sz w:val="24"/>
        </w:rPr>
      </w:pPr>
      <w:r>
        <w:rPr>
          <w:rFonts w:hint="eastAsia" w:ascii="宋体" w:hAnsi="宋体" w:cs="楷体_GB2312"/>
          <w:color w:val="auto"/>
          <w:sz w:val="24"/>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rPr>
        <w:t>如因专利权、商标权或其它知识产权而引起法律和经济纠纷，由供应商承担所有相关责任。</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如供应商不拥有相应的知识产权，则在投标报价中必须包括合法获取该知识产权的一切相关费用。如因此导致采购人损失的，供应商须承担全部赔偿责任。</w:t>
      </w:r>
    </w:p>
    <w:p>
      <w:pPr>
        <w:spacing w:line="360" w:lineRule="auto"/>
        <w:ind w:firstLine="480" w:firstLineChars="200"/>
        <w:jc w:val="left"/>
        <w:rPr>
          <w:rFonts w:ascii="宋体" w:hAnsi="宋体"/>
          <w:color w:val="auto"/>
          <w:sz w:val="24"/>
        </w:rPr>
      </w:pPr>
      <w:r>
        <w:rPr>
          <w:rFonts w:hint="eastAsia" w:ascii="宋体" w:hAnsi="宋体"/>
          <w:color w:val="auto"/>
          <w:sz w:val="24"/>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pPr>
        <w:spacing w:line="360" w:lineRule="auto"/>
        <w:ind w:firstLine="480" w:firstLineChars="200"/>
        <w:jc w:val="left"/>
        <w:rPr>
          <w:rFonts w:ascii="宋体" w:hAnsi="宋体"/>
          <w:color w:val="auto"/>
          <w:sz w:val="24"/>
        </w:rPr>
      </w:pPr>
      <w:r>
        <w:rPr>
          <w:rFonts w:hint="eastAsia" w:ascii="宋体" w:hAnsi="宋体"/>
          <w:color w:val="auto"/>
          <w:sz w:val="24"/>
        </w:rPr>
        <w:t>1.5.3 除非磋商文件特别规定，采购人享有本项目实施过程中产生的知识成果及知识产权。</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6</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费用</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无论磋商过程中的做法和结果如何，无论何种原因的磋商失败或终止，供应商应自行承担所有与准备和参加磋商有关的全部费用（类比商业采购中的客户洽谈费用），采购代理机构在任何情况下均无义务和责任承担供应商的任何费用。</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7</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保密</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.1 </w:t>
      </w:r>
      <w:r>
        <w:rPr>
          <w:rFonts w:hint="eastAsia" w:ascii="宋体" w:hAnsi="宋体" w:cs="楷体_GB2312"/>
          <w:color w:val="auto"/>
          <w:sz w:val="24"/>
          <w:lang w:val="zh-CN"/>
        </w:rPr>
        <w:t>参与竞争性磋商活动的各方应对《磋商文件》和《响应文件》中的商业和技术等秘密保密，供应商应在《响应文件》中对需保密事项予以书面声明，否则视为非保密事项。</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.2 </w:t>
      </w:r>
      <w:r>
        <w:rPr>
          <w:rFonts w:hint="eastAsia" w:ascii="宋体" w:hAnsi="宋体" w:cs="楷体_GB2312"/>
          <w:color w:val="auto"/>
          <w:sz w:val="24"/>
          <w:lang w:val="zh-CN"/>
        </w:rPr>
        <w:t>依据政府采购成交结果及合同公告规定，成交（合同）标的名称、规格型号、单价及成交（合同）金额等内容不得作为商业秘密。</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8</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语言文字</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除专用术语外，与竞争性磋商有关的语言均使用中文。必要时专用术语应附有中文注释。如果《响应文件》或与投标有关的其它文件、信件及来往函电以其它语言书写，供应商应将其译成中文，并对中文译稿的真实、准确、完整承担责任。</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9</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计量单位</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所有计量均采用中华人民共和国法定计量单位。</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10</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踏勘现场</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.1</w:t>
      </w:r>
      <w:r>
        <w:rPr>
          <w:rFonts w:hint="eastAsia" w:ascii="宋体" w:hAnsi="宋体" w:cs="楷体_GB2312"/>
          <w:color w:val="auto"/>
          <w:sz w:val="24"/>
          <w:lang w:val="zh-CN"/>
        </w:rPr>
        <w:t>供应商踏勘现场发生的费用自理，供应商自行负责在踏勘现场中所发生的人员伤亡和财产损失。</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.2</w:t>
      </w:r>
      <w:r>
        <w:rPr>
          <w:rFonts w:hint="eastAsia" w:ascii="宋体" w:hAnsi="宋体" w:cs="楷体_GB2312"/>
          <w:color w:val="auto"/>
          <w:sz w:val="24"/>
          <w:lang w:val="zh-CN"/>
        </w:rPr>
        <w:t>供应商须知前附表规定组织踏勘现场的，采购人及代理机构按供应商须知前附表规定的时间、地点组织供应商踏勘项目现场。采购人及代理机构在踏勘现场中介绍的交验安装条件和相关的周边环境情况，供应商在编制《响应文件》时参考，采购人及代理机构不对供应商据此作出的判断和决策负责。</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 xml:space="preserve">.3  </w:t>
      </w:r>
      <w:r>
        <w:rPr>
          <w:rFonts w:hint="eastAsia" w:ascii="宋体" w:hAnsi="宋体" w:cs="楷体_GB2312"/>
          <w:color w:val="auto"/>
          <w:sz w:val="24"/>
          <w:lang w:val="zh-CN"/>
        </w:rPr>
        <w:t>供应商须知前附表规定不组织踏勘现场的，《磋商文件》不单独提供交验地自然环境、气候条件、交验安装条件等情况说明，供应商被视为熟悉前述与履行合同有关的一切情况，供应商可自行踏勘现场并自行了解相关情况。</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1</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投标预备会</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.1 </w:t>
      </w:r>
      <w:r>
        <w:rPr>
          <w:rFonts w:hint="eastAsia" w:ascii="宋体" w:hAnsi="宋体" w:cs="楷体_GB2312"/>
          <w:color w:val="auto"/>
          <w:sz w:val="24"/>
          <w:lang w:val="zh-CN"/>
        </w:rPr>
        <w:t>供应商须知前附表规定召开投标预备会的，采购人及代理机构按供应商须知前附表规定的时间和地点召开投标预备会，澄清供应商提出的问题。</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.2 </w:t>
      </w:r>
      <w:r>
        <w:rPr>
          <w:rFonts w:hint="eastAsia" w:ascii="宋体" w:hAnsi="宋体" w:cs="楷体_GB2312"/>
          <w:color w:val="auto"/>
          <w:sz w:val="24"/>
          <w:lang w:val="zh-CN"/>
        </w:rPr>
        <w:t>供应商应在供应商须知前附表规定的时间前，以书面形式将提出的问题送达采购人及代理机构，以便采购人及代理机构在会议期间澄清。</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.3 </w:t>
      </w:r>
      <w:r>
        <w:rPr>
          <w:rFonts w:hint="eastAsia" w:ascii="宋体" w:hAnsi="宋体" w:cs="楷体_GB2312"/>
          <w:color w:val="auto"/>
          <w:sz w:val="24"/>
          <w:lang w:val="zh-CN"/>
        </w:rPr>
        <w:t>投标预备会后，采购人及代理机构在供应商须知前附表规定的时间内，将对供应商所提问题的澄清，以本章</w:t>
      </w:r>
      <w:r>
        <w:rPr>
          <w:rFonts w:ascii="宋体" w:hAnsi="宋体" w:cs="楷体_GB2312"/>
          <w:color w:val="auto"/>
          <w:sz w:val="24"/>
          <w:lang w:val="zh-CN"/>
        </w:rPr>
        <w:t>2.3.2</w:t>
      </w:r>
      <w:r>
        <w:rPr>
          <w:rFonts w:hint="eastAsia" w:ascii="宋体" w:hAnsi="宋体" w:cs="楷体_GB2312"/>
          <w:color w:val="auto"/>
          <w:sz w:val="24"/>
          <w:lang w:val="zh-CN"/>
        </w:rPr>
        <w:t>项方式通告潜在供应商。该澄清内容为《磋商文件》的组成部分。</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2</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分包</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供应商拟在成交后将成交项目</w:t>
      </w:r>
      <w:r>
        <w:rPr>
          <w:rFonts w:ascii="宋体" w:hAnsi="宋体" w:cs="楷体_GB2312"/>
          <w:color w:val="auto"/>
          <w:sz w:val="24"/>
          <w:lang w:val="zh-CN"/>
        </w:rPr>
        <w:t>(</w:t>
      </w:r>
      <w:r>
        <w:rPr>
          <w:rFonts w:hint="eastAsia" w:ascii="宋体" w:hAnsi="宋体" w:cs="楷体_GB2312"/>
          <w:color w:val="auto"/>
          <w:sz w:val="24"/>
          <w:lang w:val="zh-CN"/>
        </w:rPr>
        <w:t>标段&lt;包&gt;</w:t>
      </w:r>
      <w:r>
        <w:rPr>
          <w:rFonts w:ascii="宋体" w:hAnsi="宋体" w:cs="楷体_GB2312"/>
          <w:color w:val="auto"/>
          <w:sz w:val="24"/>
          <w:lang w:val="zh-CN"/>
        </w:rPr>
        <w:t>)</w:t>
      </w:r>
      <w:r>
        <w:rPr>
          <w:rFonts w:hint="eastAsia" w:ascii="宋体" w:hAnsi="宋体" w:cs="楷体_GB2312"/>
          <w:color w:val="auto"/>
          <w:sz w:val="24"/>
          <w:lang w:val="zh-CN"/>
        </w:rPr>
        <w:t>的部分非主体、非关键性工作进行分包的，应符合供应商须知前附表规定的分包内容、分包金额和接受分包的第三人资质要求等限制性条件。</w:t>
      </w:r>
    </w:p>
    <w:p>
      <w:pPr>
        <w:autoSpaceDE w:val="0"/>
        <w:autoSpaceDN w:val="0"/>
        <w:adjustRightInd w:val="0"/>
        <w:snapToGrid w:val="0"/>
        <w:spacing w:beforeLines="50" w:line="300" w:lineRule="auto"/>
        <w:ind w:firstLine="539"/>
        <w:rPr>
          <w:rFonts w:ascii="宋体" w:hAnsi="宋体"/>
          <w:color w:val="auto"/>
          <w:sz w:val="24"/>
          <w:szCs w:val="24"/>
        </w:rPr>
      </w:pPr>
      <w:r>
        <w:rPr>
          <w:rFonts w:hint="eastAsia" w:ascii="宋体" w:hAnsi="宋体" w:cs="楷体_GB2312"/>
          <w:color w:val="auto"/>
          <w:sz w:val="24"/>
          <w:lang w:val="zh-CN"/>
        </w:rPr>
        <w:t>预留中小企业份额项目中，</w:t>
      </w:r>
      <w:r>
        <w:rPr>
          <w:rFonts w:hint="eastAsia" w:ascii="宋体" w:hAnsi="宋体"/>
          <w:color w:val="auto"/>
          <w:sz w:val="24"/>
          <w:szCs w:val="24"/>
        </w:rPr>
        <w:t>接受分包合同的中小企业与分包企业之间不得存在直接控股、管理关系</w:t>
      </w:r>
    </w:p>
    <w:p>
      <w:pPr>
        <w:autoSpaceDE w:val="0"/>
        <w:autoSpaceDN w:val="0"/>
        <w:adjustRightInd w:val="0"/>
        <w:snapToGrid w:val="0"/>
        <w:spacing w:beforeLines="50" w:line="300" w:lineRule="auto"/>
        <w:ind w:firstLine="539"/>
        <w:rPr>
          <w:rFonts w:ascii="宋体" w:cs="楷体_GB2312"/>
          <w:color w:val="auto"/>
          <w:sz w:val="24"/>
        </w:rPr>
      </w:pPr>
      <w:r>
        <w:rPr>
          <w:rFonts w:hint="eastAsia" w:ascii="宋体" w:cs="楷体_GB2312"/>
          <w:color w:val="auto"/>
          <w:sz w:val="24"/>
        </w:rPr>
        <w:t>依法享受扶持政策获得政府采购合同的，小微企业不得将合同分包给大中型企业，中型企业不得将合同分包给大型企业。</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3</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偏离</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《磋商文件》允许《响应文件》偏离《磋商文件》某些要求的，偏离应当符合《磋商文件》规定的偏离范围和幅度。</w:t>
      </w:r>
    </w:p>
    <w:p>
      <w:pPr>
        <w:autoSpaceDE w:val="0"/>
        <w:autoSpaceDN w:val="0"/>
        <w:adjustRightInd w:val="0"/>
        <w:snapToGrid w:val="0"/>
        <w:spacing w:beforeLines="50" w:line="300" w:lineRule="auto"/>
        <w:ind w:firstLine="539"/>
        <w:rPr>
          <w:rFonts w:ascii="黑体" w:hAnsi="黑体" w:eastAsia="黑体" w:cs="楷体_GB2312"/>
          <w:b/>
          <w:bCs/>
          <w:color w:val="auto"/>
          <w:sz w:val="28"/>
          <w:szCs w:val="28"/>
          <w:lang w:val="zh-CN"/>
        </w:rPr>
      </w:pP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16" w:name="_Toc65745044"/>
      <w:r>
        <w:rPr>
          <w:rFonts w:ascii="黑体" w:hAnsi="黑体" w:eastAsia="黑体" w:cs="楷体_GB2312"/>
          <w:b/>
          <w:bCs/>
          <w:color w:val="auto"/>
          <w:sz w:val="28"/>
          <w:szCs w:val="28"/>
          <w:lang w:val="zh-CN"/>
        </w:rPr>
        <w:t xml:space="preserve">2. </w:t>
      </w:r>
      <w:r>
        <w:rPr>
          <w:rFonts w:hint="eastAsia" w:ascii="黑体" w:hAnsi="黑体" w:eastAsia="黑体" w:cs="楷体_GB2312"/>
          <w:b/>
          <w:bCs/>
          <w:color w:val="auto"/>
          <w:sz w:val="28"/>
          <w:szCs w:val="28"/>
          <w:lang w:val="zh-CN"/>
        </w:rPr>
        <w:t>《磋商文件》</w:t>
      </w:r>
      <w:bookmarkEnd w:id="16"/>
    </w:p>
    <w:p>
      <w:pPr>
        <w:autoSpaceDE w:val="0"/>
        <w:autoSpaceDN w:val="0"/>
        <w:adjustRightInd w:val="0"/>
        <w:snapToGrid w:val="0"/>
        <w:spacing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2.1</w:t>
      </w:r>
      <w:r>
        <w:rPr>
          <w:rFonts w:hint="eastAsia" w:ascii="黑体" w:hAnsi="黑体" w:eastAsia="黑体" w:cs="楷体_GB2312"/>
          <w:b/>
          <w:color w:val="auto"/>
          <w:sz w:val="24"/>
          <w:lang w:val="zh-CN"/>
        </w:rPr>
        <w:t>《磋商文件》的组成</w:t>
      </w:r>
      <w:r>
        <w:rPr>
          <w:rFonts w:hint="eastAsia" w:ascii="宋体" w:hAnsi="宋体" w:cs="楷体_GB2312"/>
          <w:color w:val="auto"/>
          <w:sz w:val="24"/>
          <w:lang w:val="zh-CN"/>
        </w:rPr>
        <w:t>：</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2.1.1 </w:t>
      </w:r>
      <w:r>
        <w:rPr>
          <w:rFonts w:hint="eastAsia" w:ascii="宋体" w:hAnsi="宋体" w:cs="楷体_GB2312"/>
          <w:color w:val="auto"/>
          <w:sz w:val="24"/>
          <w:lang w:val="zh-CN"/>
        </w:rPr>
        <w:t>《磋商文件》用以阐明采购项目的内容、程序和合同主要条款。《磋商文件》由下述部分组成：</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）竞争性磋商公告</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）采购项目及技术、服务要求</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）供应商须知</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）评审办法</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）合同主要条款</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）《响应文件》格式</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2.1.2 </w:t>
      </w:r>
      <w:r>
        <w:rPr>
          <w:rFonts w:hint="eastAsia" w:ascii="宋体" w:hAnsi="宋体" w:cs="楷体_GB2312"/>
          <w:color w:val="auto"/>
          <w:sz w:val="24"/>
          <w:lang w:val="zh-CN"/>
        </w:rPr>
        <w:t>根据本章第</w:t>
      </w:r>
      <w:r>
        <w:rPr>
          <w:rFonts w:ascii="宋体" w:hAnsi="宋体" w:cs="楷体_GB2312"/>
          <w:color w:val="auto"/>
          <w:sz w:val="24"/>
          <w:lang w:val="zh-CN"/>
        </w:rPr>
        <w:t>1.1</w:t>
      </w:r>
      <w:r>
        <w:rPr>
          <w:rFonts w:hint="eastAsia" w:ascii="宋体" w:hAnsi="宋体" w:cs="楷体_GB2312"/>
          <w:color w:val="auto"/>
          <w:sz w:val="24"/>
          <w:lang w:val="zh-CN"/>
        </w:rPr>
        <w:t>1款、第</w:t>
      </w:r>
      <w:r>
        <w:rPr>
          <w:rFonts w:ascii="宋体" w:hAnsi="宋体" w:cs="楷体_GB2312"/>
          <w:color w:val="auto"/>
          <w:sz w:val="24"/>
          <w:lang w:val="zh-CN"/>
        </w:rPr>
        <w:t>2.2</w:t>
      </w:r>
      <w:r>
        <w:rPr>
          <w:rFonts w:hint="eastAsia" w:ascii="宋体" w:hAnsi="宋体" w:cs="楷体_GB2312"/>
          <w:color w:val="auto"/>
          <w:sz w:val="24"/>
          <w:lang w:val="zh-CN"/>
        </w:rPr>
        <w:t>款和第</w:t>
      </w:r>
      <w:r>
        <w:rPr>
          <w:rFonts w:ascii="宋体" w:hAnsi="宋体" w:cs="楷体_GB2312"/>
          <w:color w:val="auto"/>
          <w:sz w:val="24"/>
          <w:lang w:val="zh-CN"/>
        </w:rPr>
        <w:t>2.3</w:t>
      </w:r>
      <w:r>
        <w:rPr>
          <w:rFonts w:hint="eastAsia" w:ascii="宋体" w:hAnsi="宋体" w:cs="楷体_GB2312"/>
          <w:color w:val="auto"/>
          <w:sz w:val="24"/>
          <w:lang w:val="zh-CN"/>
        </w:rPr>
        <w:t>款、对《磋商文件》的澄清、修改、补充书构成《磋商文件》的组成部分，并取代《磋商文件》中被澄清、修改处，对所有供应商均有约束力。</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2.1.3 </w:t>
      </w:r>
      <w:r>
        <w:rPr>
          <w:rFonts w:hint="eastAsia" w:ascii="宋体" w:hAnsi="宋体" w:cs="楷体_GB2312"/>
          <w:color w:val="auto"/>
          <w:sz w:val="24"/>
          <w:lang w:val="zh-CN"/>
        </w:rPr>
        <w:t>当《磋商文件》、《磋商文件》的澄清、修改、补充等在同一内容的表述上不一致时，以最后发出（发布）的文件为准。</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2.1.4 </w:t>
      </w:r>
      <w:r>
        <w:rPr>
          <w:rFonts w:hint="eastAsia" w:ascii="宋体" w:hAnsi="宋体" w:cs="楷体_GB2312"/>
          <w:color w:val="auto"/>
          <w:sz w:val="24"/>
          <w:lang w:val="zh-CN"/>
        </w:rPr>
        <w:t>供应商与任何人的口头协议不影响《磋商文件》的任何条款和内容。</w:t>
      </w:r>
    </w:p>
    <w:p>
      <w:pPr>
        <w:autoSpaceDE w:val="0"/>
        <w:autoSpaceDN w:val="0"/>
        <w:adjustRightInd w:val="0"/>
        <w:snapToGrid w:val="0"/>
        <w:spacing w:beforeLines="50" w:line="300" w:lineRule="auto"/>
        <w:ind w:firstLine="539"/>
        <w:rPr>
          <w:rFonts w:ascii="宋体" w:cs="楷体_GB2312"/>
          <w:color w:val="auto"/>
          <w:sz w:val="24"/>
        </w:rPr>
      </w:pPr>
      <w:r>
        <w:rPr>
          <w:rFonts w:ascii="宋体" w:hAnsi="宋体" w:cs="楷体_GB2312"/>
          <w:color w:val="auto"/>
          <w:sz w:val="24"/>
        </w:rPr>
        <w:t>2.1.5</w:t>
      </w:r>
      <w:r>
        <w:rPr>
          <w:rFonts w:hint="eastAsia" w:ascii="宋体" w:hAnsi="宋体" w:cs="楷体_GB2312"/>
          <w:color w:val="auto"/>
          <w:sz w:val="24"/>
        </w:rPr>
        <w:t>供应商应仔细阅读和检查《磋商文件》的全部内容是否齐全，如发现缺页或附件不全等遗漏，应及时向采购代理机构提出并索取补齐，否则责任及风险自负。</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2.2 </w:t>
      </w:r>
      <w:r>
        <w:rPr>
          <w:rFonts w:hint="eastAsia" w:ascii="黑体" w:hAnsi="黑体" w:eastAsia="黑体" w:cs="楷体_GB2312"/>
          <w:b/>
          <w:color w:val="auto"/>
          <w:sz w:val="24"/>
          <w:lang w:val="zh-CN"/>
        </w:rPr>
        <w:t>《磋商文件》的澄清</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2.2.1 </w:t>
      </w:r>
      <w:r>
        <w:rPr>
          <w:rFonts w:hint="eastAsia" w:ascii="宋体" w:hAnsi="宋体" w:cs="楷体_GB2312"/>
          <w:color w:val="auto"/>
          <w:sz w:val="24"/>
          <w:lang w:val="zh-CN"/>
        </w:rPr>
        <w:t>合规获取《磋商文件》的所有潜在供应商对《磋商文件》如有需澄清的疑问，应在供应商须知前附表规定的时间内按竞争性磋商公告中载明的地址以纸质书面形式通知到采购代理机构。在规定的时间内未提出疑问的，将视为对《磋商文件》的完全认可。</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2.2.2 </w:t>
      </w:r>
      <w:r>
        <w:rPr>
          <w:rFonts w:hint="eastAsia" w:ascii="宋体" w:hAnsi="宋体" w:cs="楷体_GB2312"/>
          <w:color w:val="auto"/>
          <w:sz w:val="24"/>
          <w:lang w:val="zh-CN"/>
        </w:rPr>
        <w:t>采购代理机构对潜在供应商在规定的时间内提出的疑问，将视情况以书面形式予以答复，并在其认为必要时，将不标明查询来源的书面答复，在“竞争性磋商公告”所述媒体通告所有潜在供应商。</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2.2.3 </w:t>
      </w:r>
      <w:r>
        <w:rPr>
          <w:rFonts w:hint="eastAsia" w:ascii="宋体" w:hAnsi="宋体" w:cs="楷体_GB2312"/>
          <w:color w:val="auto"/>
          <w:sz w:val="24"/>
          <w:lang w:val="zh-CN"/>
        </w:rPr>
        <w:t>《磋商文件》中如有不符合国家有关强制性规定、不符合国家标准及行业标准的，供应商应在投标阶段或成交实施阶段予以纠正或尽提醒义务。如作为有经验的供应商（成交供应商）应当知道而未尽提醒义务的，执行指令而造成的损失及风险由供应商（成交供应商）承担。</w:t>
      </w:r>
    </w:p>
    <w:p>
      <w:pPr>
        <w:adjustRightInd w:val="0"/>
        <w:snapToGrid w:val="0"/>
        <w:spacing w:beforeLines="50" w:line="300" w:lineRule="auto"/>
        <w:ind w:firstLine="480" w:firstLineChars="200"/>
        <w:jc w:val="left"/>
        <w:rPr>
          <w:rFonts w:ascii="宋体" w:hAnsi="宋体" w:cs="楷体_GB2312"/>
          <w:color w:val="auto"/>
          <w:sz w:val="24"/>
          <w:lang w:val="zh-CN"/>
        </w:rPr>
      </w:pPr>
      <w:r>
        <w:rPr>
          <w:rFonts w:ascii="宋体" w:hAnsi="宋体" w:cs="楷体_GB2312"/>
          <w:color w:val="auto"/>
          <w:sz w:val="24"/>
          <w:lang w:val="zh-CN"/>
        </w:rPr>
        <w:t>2.2.4</w:t>
      </w:r>
      <w:r>
        <w:rPr>
          <w:rFonts w:hint="eastAsia" w:ascii="宋体" w:hAnsi="宋体" w:cs="楷体_GB2312"/>
          <w:color w:val="auto"/>
          <w:sz w:val="24"/>
          <w:lang w:val="zh-CN"/>
        </w:rPr>
        <w:t>采购代理机构可视情况在投标截止前答疑。</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2.3 </w:t>
      </w:r>
      <w:r>
        <w:rPr>
          <w:rFonts w:hint="eastAsia" w:ascii="黑体" w:hAnsi="黑体" w:eastAsia="黑体" w:cs="楷体_GB2312"/>
          <w:b/>
          <w:color w:val="auto"/>
          <w:sz w:val="24"/>
          <w:lang w:val="zh-CN"/>
        </w:rPr>
        <w:t>《磋商文件》的澄清、修改、补充</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2.3.1 </w:t>
      </w:r>
      <w:r>
        <w:rPr>
          <w:rFonts w:hint="eastAsia" w:ascii="宋体" w:hAnsi="宋体" w:cs="楷体_GB2312"/>
          <w:color w:val="auto"/>
          <w:sz w:val="24"/>
          <w:lang w:val="zh-CN"/>
        </w:rPr>
        <w:t>采购人、代理机构在投标截止时间前有权澄清修改、补充已发售的《磋商文件》。</w:t>
      </w:r>
    </w:p>
    <w:p>
      <w:pPr>
        <w:autoSpaceDE w:val="0"/>
        <w:autoSpaceDN w:val="0"/>
        <w:adjustRightInd w:val="0"/>
        <w:snapToGrid w:val="0"/>
        <w:spacing w:beforeLines="50" w:line="300" w:lineRule="auto"/>
        <w:ind w:firstLine="539"/>
        <w:rPr>
          <w:rFonts w:ascii="宋体" w:hAnsi="宋体"/>
          <w:color w:val="auto"/>
          <w:sz w:val="24"/>
        </w:rPr>
      </w:pPr>
      <w:r>
        <w:rPr>
          <w:rFonts w:ascii="宋体" w:hAnsi="宋体" w:cs="楷体_GB2312"/>
          <w:color w:val="auto"/>
          <w:sz w:val="24"/>
          <w:lang w:val="zh-CN"/>
        </w:rPr>
        <w:t>2.3.</w:t>
      </w:r>
      <w:r>
        <w:rPr>
          <w:rFonts w:ascii="宋体" w:hAnsi="宋体"/>
          <w:color w:val="auto"/>
          <w:sz w:val="24"/>
        </w:rPr>
        <w:t xml:space="preserve">2 </w:t>
      </w:r>
      <w:r>
        <w:rPr>
          <w:rFonts w:hint="eastAsia" w:ascii="宋体" w:hAnsi="宋体"/>
          <w:color w:val="auto"/>
          <w:sz w:val="24"/>
        </w:rPr>
        <w:t>磋商过程中对《磋商文件》的变动见第四章评审办法</w:t>
      </w:r>
      <w:r>
        <w:rPr>
          <w:rFonts w:ascii="宋体" w:hAnsi="宋体"/>
          <w:color w:val="auto"/>
          <w:sz w:val="24"/>
        </w:rPr>
        <w:t>3.</w:t>
      </w:r>
      <w:r>
        <w:rPr>
          <w:rFonts w:hint="eastAsia" w:ascii="宋体" w:hAnsi="宋体"/>
          <w:color w:val="auto"/>
          <w:sz w:val="24"/>
        </w:rPr>
        <w:t>4款磋商规则。</w:t>
      </w:r>
    </w:p>
    <w:p>
      <w:pPr>
        <w:autoSpaceDE w:val="0"/>
        <w:autoSpaceDN w:val="0"/>
        <w:adjustRightInd w:val="0"/>
        <w:snapToGrid w:val="0"/>
        <w:spacing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2.4 </w:t>
      </w:r>
      <w:r>
        <w:rPr>
          <w:rFonts w:hint="eastAsia" w:ascii="黑体" w:hAnsi="黑体" w:eastAsia="黑体" w:cs="楷体_GB2312"/>
          <w:b/>
          <w:color w:val="auto"/>
          <w:sz w:val="24"/>
          <w:lang w:val="zh-CN"/>
        </w:rPr>
        <w:t>《磋商文件》的澄清、修改、补充的</w:t>
      </w:r>
      <w:r>
        <w:rPr>
          <w:rFonts w:ascii="黑体" w:hAnsi="黑体" w:eastAsia="黑体" w:cs="楷体_GB2312"/>
          <w:b/>
          <w:color w:val="auto"/>
          <w:sz w:val="24"/>
          <w:lang w:val="zh-CN"/>
        </w:rPr>
        <w:t>通知</w:t>
      </w:r>
      <w:r>
        <w:rPr>
          <w:rFonts w:hint="eastAsia" w:ascii="黑体" w:hAnsi="黑体" w:eastAsia="黑体" w:cs="楷体_GB2312"/>
          <w:b/>
          <w:color w:val="auto"/>
          <w:sz w:val="24"/>
          <w:lang w:val="zh-CN"/>
        </w:rPr>
        <w:t>，及</w:t>
      </w:r>
      <w:r>
        <w:rPr>
          <w:rFonts w:ascii="黑体" w:hAnsi="黑体" w:eastAsia="黑体" w:cs="楷体_GB2312"/>
          <w:b/>
          <w:color w:val="auto"/>
          <w:sz w:val="24"/>
          <w:lang w:val="zh-CN"/>
        </w:rPr>
        <w:t>相应</w:t>
      </w:r>
      <w:r>
        <w:rPr>
          <w:rFonts w:hint="eastAsia" w:ascii="黑体" w:hAnsi="黑体" w:eastAsia="黑体" w:cs="楷体_GB2312"/>
          <w:b/>
          <w:color w:val="auto"/>
          <w:sz w:val="24"/>
          <w:lang w:val="zh-CN"/>
        </w:rPr>
        <w:t>时间变更</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color w:val="auto"/>
          <w:sz w:val="24"/>
          <w:lang w:val="zh-CN"/>
        </w:rPr>
        <w:t xml:space="preserve">2.4.1 </w:t>
      </w:r>
      <w:r>
        <w:rPr>
          <w:rFonts w:hint="eastAsia" w:ascii="宋体" w:hAnsi="宋体"/>
          <w:color w:val="auto"/>
          <w:sz w:val="24"/>
        </w:rPr>
        <w:t>《磋商文件》</w:t>
      </w:r>
      <w:r>
        <w:rPr>
          <w:rFonts w:hint="eastAsia" w:ascii="宋体" w:hAnsi="宋体" w:cs="楷体_GB2312"/>
          <w:color w:val="auto"/>
          <w:sz w:val="24"/>
          <w:lang w:val="zh-CN"/>
        </w:rPr>
        <w:t>在递交截止时间前的所有澄清、修改（包括时间变更等）、补充事项，均在“竞争性磋商公告”所述媒体予以公告。</w:t>
      </w:r>
      <w:r>
        <w:rPr>
          <w:rFonts w:hint="eastAsia" w:ascii="宋体" w:hAnsi="宋体" w:cs="楷体_GB2312"/>
          <w:b/>
          <w:color w:val="auto"/>
          <w:sz w:val="24"/>
          <w:lang w:val="zh-CN"/>
        </w:rPr>
        <w:t>澄清或修改公告一经在</w:t>
      </w:r>
      <w:r>
        <w:rPr>
          <w:rFonts w:ascii="宋体" w:hAnsi="宋体" w:cs="楷体_GB2312"/>
          <w:b/>
          <w:color w:val="auto"/>
          <w:sz w:val="24"/>
          <w:lang w:val="zh-CN"/>
        </w:rPr>
        <w:t>法定网</w:t>
      </w:r>
      <w:r>
        <w:rPr>
          <w:rFonts w:hint="eastAsia" w:ascii="宋体" w:hAnsi="宋体" w:cs="楷体_GB2312"/>
          <w:b/>
          <w:color w:val="auto"/>
          <w:sz w:val="24"/>
          <w:lang w:val="zh-CN"/>
        </w:rPr>
        <w:t>站以</w:t>
      </w:r>
      <w:r>
        <w:rPr>
          <w:rFonts w:ascii="宋体" w:hAnsi="宋体" w:cs="楷体_GB2312"/>
          <w:b/>
          <w:color w:val="auto"/>
          <w:sz w:val="24"/>
          <w:lang w:val="zh-CN"/>
        </w:rPr>
        <w:t>公</w:t>
      </w:r>
      <w:r>
        <w:rPr>
          <w:rFonts w:hint="eastAsia" w:ascii="宋体" w:hAnsi="宋体" w:cs="楷体_GB2312"/>
          <w:b/>
          <w:color w:val="auto"/>
          <w:sz w:val="24"/>
          <w:lang w:val="zh-CN"/>
        </w:rPr>
        <w:t>告</w:t>
      </w:r>
      <w:r>
        <w:rPr>
          <w:rFonts w:ascii="宋体" w:hAnsi="宋体" w:cs="楷体_GB2312"/>
          <w:b/>
          <w:color w:val="auto"/>
          <w:sz w:val="24"/>
          <w:lang w:val="zh-CN"/>
        </w:rPr>
        <w:t>形式</w:t>
      </w:r>
      <w:r>
        <w:rPr>
          <w:rFonts w:hint="eastAsia" w:ascii="宋体" w:hAnsi="宋体" w:cs="楷体_GB2312"/>
          <w:b/>
          <w:color w:val="auto"/>
          <w:sz w:val="24"/>
          <w:lang w:val="zh-CN"/>
        </w:rPr>
        <w:t>发布，依法视为书面通知，不再另行通知。</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基于网</w:t>
      </w:r>
      <w:r>
        <w:rPr>
          <w:rFonts w:ascii="宋体" w:hAnsi="宋体" w:cs="楷体_GB2312"/>
          <w:b/>
          <w:color w:val="auto"/>
          <w:sz w:val="24"/>
          <w:lang w:val="zh-CN"/>
        </w:rPr>
        <w:t>上</w:t>
      </w:r>
      <w:r>
        <w:rPr>
          <w:rFonts w:hint="eastAsia" w:ascii="宋体" w:hAnsi="宋体" w:cs="楷体_GB2312"/>
          <w:b/>
          <w:color w:val="auto"/>
          <w:sz w:val="24"/>
          <w:lang w:val="zh-CN"/>
        </w:rPr>
        <w:t>电</w:t>
      </w:r>
      <w:r>
        <w:rPr>
          <w:rFonts w:ascii="宋体" w:hAnsi="宋体" w:cs="楷体_GB2312"/>
          <w:b/>
          <w:color w:val="auto"/>
          <w:sz w:val="24"/>
          <w:lang w:val="zh-CN"/>
        </w:rPr>
        <w:t>子</w:t>
      </w:r>
      <w:r>
        <w:rPr>
          <w:rFonts w:hint="eastAsia" w:ascii="宋体" w:hAnsi="宋体" w:cs="楷体_GB2312"/>
          <w:b/>
          <w:color w:val="auto"/>
          <w:sz w:val="24"/>
          <w:lang w:val="zh-CN"/>
        </w:rPr>
        <w:t>交易</w:t>
      </w:r>
      <w:r>
        <w:rPr>
          <w:rFonts w:ascii="宋体" w:hAnsi="宋体" w:cs="楷体_GB2312"/>
          <w:b/>
          <w:color w:val="auto"/>
          <w:sz w:val="24"/>
          <w:lang w:val="zh-CN"/>
        </w:rPr>
        <w:t>的特点—</w:t>
      </w:r>
      <w:r>
        <w:rPr>
          <w:rFonts w:ascii="宋体" w:cs="楷体_GB2312"/>
          <w:b/>
          <w:color w:val="auto"/>
          <w:sz w:val="24"/>
          <w:lang w:val="zh-CN"/>
        </w:rPr>
        <w:t>-</w:t>
      </w:r>
      <w:r>
        <w:rPr>
          <w:rFonts w:hint="eastAsia" w:ascii="宋体" w:hAnsi="宋体" w:cs="楷体_GB2312"/>
          <w:b/>
          <w:color w:val="auto"/>
          <w:sz w:val="24"/>
          <w:lang w:val="zh-CN"/>
        </w:rPr>
        <w:t>无权限获知或通知潜在供应商，潜在供应商应随时关注“竞争性磋商公告”所</w:t>
      </w:r>
      <w:r>
        <w:rPr>
          <w:rFonts w:ascii="宋体" w:hAnsi="宋体" w:cs="楷体_GB2312"/>
          <w:b/>
          <w:color w:val="auto"/>
          <w:sz w:val="24"/>
          <w:lang w:val="zh-CN"/>
        </w:rPr>
        <w:t>述媒体</w:t>
      </w:r>
      <w:r>
        <w:rPr>
          <w:rFonts w:hint="eastAsia" w:ascii="宋体" w:hAnsi="宋体" w:cs="楷体_GB2312"/>
          <w:b/>
          <w:color w:val="auto"/>
          <w:sz w:val="24"/>
          <w:lang w:val="zh-CN"/>
        </w:rPr>
        <w:t>相关项目信息（为免各部门网站出现维护等情况，潜在供应商应对“竞争性磋商公告”所述媒体逐一查阅），如有遗漏，后果自负。</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cs="楷体_GB2312"/>
          <w:color w:val="auto"/>
          <w:sz w:val="24"/>
          <w:lang w:val="zh-CN"/>
        </w:rPr>
        <w:t>2.</w:t>
      </w:r>
      <w:r>
        <w:rPr>
          <w:rFonts w:ascii="宋体" w:cs="楷体_GB2312"/>
          <w:color w:val="auto"/>
          <w:sz w:val="24"/>
          <w:lang w:val="zh-CN"/>
        </w:rPr>
        <w:t>4</w:t>
      </w:r>
      <w:r>
        <w:rPr>
          <w:rFonts w:hint="eastAsia" w:ascii="宋体" w:cs="楷体_GB2312"/>
          <w:color w:val="auto"/>
          <w:sz w:val="24"/>
          <w:lang w:val="zh-CN"/>
        </w:rPr>
        <w:t>.2</w:t>
      </w:r>
      <w:r>
        <w:rPr>
          <w:rFonts w:ascii="宋体" w:cs="楷体_GB2312"/>
          <w:color w:val="auto"/>
          <w:sz w:val="24"/>
          <w:lang w:val="zh-CN"/>
        </w:rPr>
        <w:t xml:space="preserve"> </w:t>
      </w:r>
      <w:r>
        <w:rPr>
          <w:rFonts w:hint="eastAsia" w:ascii="宋体" w:hAnsi="宋体"/>
          <w:color w:val="auto"/>
          <w:sz w:val="24"/>
        </w:rPr>
        <w:t>《磋商文件》</w:t>
      </w:r>
      <w:r>
        <w:rPr>
          <w:rFonts w:hint="eastAsia" w:ascii="宋体" w:cs="楷体_GB2312"/>
          <w:color w:val="auto"/>
          <w:sz w:val="24"/>
          <w:lang w:val="zh-CN"/>
        </w:rPr>
        <w:t>的澄清、修改、补充书构成</w:t>
      </w:r>
      <w:r>
        <w:rPr>
          <w:rFonts w:hint="eastAsia" w:ascii="宋体" w:hAnsi="宋体"/>
          <w:color w:val="auto"/>
          <w:sz w:val="24"/>
        </w:rPr>
        <w:t>《磋商文件》</w:t>
      </w:r>
      <w:r>
        <w:rPr>
          <w:rFonts w:hint="eastAsia" w:ascii="宋体" w:cs="楷体_GB2312"/>
          <w:color w:val="auto"/>
          <w:sz w:val="24"/>
          <w:lang w:val="zh-CN"/>
        </w:rPr>
        <w:t>的组成部分，并取代</w:t>
      </w:r>
      <w:r>
        <w:rPr>
          <w:rFonts w:hint="eastAsia" w:ascii="宋体" w:hAnsi="宋体"/>
          <w:color w:val="auto"/>
          <w:sz w:val="24"/>
        </w:rPr>
        <w:t>《磋商文件》</w:t>
      </w:r>
      <w:r>
        <w:rPr>
          <w:rFonts w:hint="eastAsia" w:ascii="宋体" w:cs="楷体_GB2312"/>
          <w:color w:val="auto"/>
          <w:sz w:val="24"/>
          <w:lang w:val="zh-CN"/>
        </w:rPr>
        <w:t>中被澄清、修改处，对所有供应商均有约束力。</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2.4.3 </w:t>
      </w:r>
      <w:r>
        <w:rPr>
          <w:rFonts w:hint="eastAsia" w:ascii="宋体" w:hAnsi="宋体" w:cs="楷体_GB2312"/>
          <w:color w:val="auto"/>
          <w:sz w:val="24"/>
          <w:lang w:val="zh-CN"/>
        </w:rPr>
        <w:t>如果提交首次《响应文件》截止时间前的澄清修改补充发出的时间不满足供应商须知前附表规定时间，并且澄清修改补充内容影响《响应文件》编制的，代理机构可视采购具体情况延长投标截止时间和开标时间，并将在“竞争性磋商公告”所述媒体予以公告。</w:t>
      </w:r>
    </w:p>
    <w:p>
      <w:pPr>
        <w:autoSpaceDE w:val="0"/>
        <w:autoSpaceDN w:val="0"/>
        <w:adjustRightInd w:val="0"/>
        <w:snapToGrid w:val="0"/>
        <w:spacing w:beforeLines="50" w:line="300" w:lineRule="auto"/>
        <w:rPr>
          <w:rFonts w:ascii="宋体" w:cs="楷体_GB2312"/>
          <w:color w:val="auto"/>
          <w:sz w:val="24"/>
        </w:rPr>
      </w:pP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17" w:name="_Toc65745045"/>
      <w:r>
        <w:rPr>
          <w:rFonts w:ascii="黑体" w:hAnsi="黑体" w:eastAsia="黑体" w:cs="楷体_GB2312"/>
          <w:b/>
          <w:bCs/>
          <w:color w:val="auto"/>
          <w:sz w:val="28"/>
          <w:szCs w:val="28"/>
          <w:lang w:val="zh-CN"/>
        </w:rPr>
        <w:t xml:space="preserve">3. </w:t>
      </w:r>
      <w:r>
        <w:rPr>
          <w:rFonts w:hint="eastAsia" w:ascii="黑体" w:hAnsi="黑体" w:eastAsia="黑体" w:cs="楷体_GB2312"/>
          <w:b/>
          <w:bCs/>
          <w:color w:val="auto"/>
          <w:sz w:val="28"/>
          <w:szCs w:val="28"/>
          <w:lang w:val="zh-CN"/>
        </w:rPr>
        <w:t>《响应文件》</w:t>
      </w:r>
      <w:bookmarkEnd w:id="17"/>
    </w:p>
    <w:p>
      <w:pPr>
        <w:autoSpaceDE w:val="0"/>
        <w:autoSpaceDN w:val="0"/>
        <w:adjustRightInd w:val="0"/>
        <w:snapToGrid w:val="0"/>
        <w:spacing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3.1</w:t>
      </w:r>
      <w:r>
        <w:rPr>
          <w:rFonts w:hint="eastAsia" w:ascii="宋体" w:hAnsi="宋体" w:cs="楷体_GB2312"/>
          <w:color w:val="auto"/>
          <w:sz w:val="24"/>
          <w:lang w:val="zh-CN"/>
        </w:rPr>
        <w:t>　供应商应仔细阅读《磋商文件》的所有内容，按《磋商文件》的要求提供《响应文件》，并保证所提供全部资料的真实性。《响应文件》应对《磋商文件》实质性要求作出实质性响应。磋商小组对《响应文件》的有效性、完整性和响应程度进行审查，不满足实质性要求的为</w:t>
      </w:r>
      <w:r>
        <w:rPr>
          <w:rFonts w:hint="eastAsia" w:ascii="宋体" w:hAnsi="宋体" w:cs="楷体_GB2312"/>
          <w:b/>
          <w:color w:val="auto"/>
          <w:sz w:val="24"/>
          <w:lang w:val="zh-CN"/>
        </w:rPr>
        <w:t>无效文件</w:t>
      </w:r>
      <w:r>
        <w:rPr>
          <w:rFonts w:hint="eastAsia" w:ascii="宋体" w:hAnsi="宋体" w:cs="楷体_GB2312"/>
          <w:color w:val="auto"/>
          <w:sz w:val="24"/>
          <w:lang w:val="zh-CN"/>
        </w:rPr>
        <w:t>。</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3.2 </w:t>
      </w:r>
      <w:r>
        <w:rPr>
          <w:rFonts w:hint="eastAsia" w:ascii="黑体" w:hAnsi="黑体" w:eastAsia="黑体" w:cs="楷体_GB2312"/>
          <w:b/>
          <w:color w:val="auto"/>
          <w:sz w:val="24"/>
          <w:lang w:val="zh-CN"/>
        </w:rPr>
        <w:t>《响应文件》的组成</w:t>
      </w:r>
    </w:p>
    <w:p>
      <w:pPr>
        <w:adjustRightInd w:val="0"/>
        <w:snapToGrid w:val="0"/>
        <w:spacing w:beforeLines="50" w:line="300" w:lineRule="auto"/>
        <w:ind w:firstLine="539"/>
        <w:textAlignment w:val="top"/>
        <w:rPr>
          <w:rFonts w:ascii="宋体" w:cs="楷体_GB2312"/>
          <w:color w:val="auto"/>
          <w:sz w:val="24"/>
          <w:lang w:val="zh-CN"/>
        </w:rPr>
      </w:pPr>
      <w:r>
        <w:rPr>
          <w:rFonts w:ascii="宋体" w:hAnsi="宋体" w:cs="楷体_GB2312"/>
          <w:color w:val="auto"/>
          <w:sz w:val="24"/>
          <w:lang w:val="zh-CN"/>
        </w:rPr>
        <w:t xml:space="preserve">3.2.1 </w:t>
      </w:r>
      <w:r>
        <w:rPr>
          <w:rFonts w:hint="eastAsia" w:ascii="宋体" w:hAnsi="宋体" w:cs="楷体_GB2312"/>
          <w:color w:val="auto"/>
          <w:sz w:val="24"/>
          <w:lang w:val="zh-CN"/>
        </w:rPr>
        <w:t>《响应文件》组成如有缺项，磋商小组按照实质性判断原则（实质性要求和实质性响应两因素）、有权视情况将其作无效响应处理，供应商自负此项风险；《响应文件》组成内容未对《磋商文件》实质性要求作出实质性响应，磋商小组按照实质性判断原则、视情况将其作无效响应处理，供应商自负此项风险</w:t>
      </w:r>
    </w:p>
    <w:p>
      <w:pPr>
        <w:adjustRightInd w:val="0"/>
        <w:snapToGrid w:val="0"/>
        <w:spacing w:beforeLines="50" w:line="300" w:lineRule="auto"/>
        <w:ind w:firstLine="539"/>
        <w:textAlignment w:val="top"/>
        <w:rPr>
          <w:color w:val="auto"/>
          <w:sz w:val="24"/>
          <w:szCs w:val="24"/>
        </w:rPr>
      </w:pPr>
      <w:r>
        <w:rPr>
          <w:color w:val="auto"/>
          <w:sz w:val="24"/>
          <w:szCs w:val="24"/>
        </w:rPr>
        <w:t>3.2.2</w:t>
      </w:r>
      <w:r>
        <w:rPr>
          <w:rFonts w:hint="eastAsia"/>
          <w:color w:val="auto"/>
          <w:sz w:val="24"/>
          <w:szCs w:val="24"/>
        </w:rPr>
        <w:t>《响应文件》应包括下列内容：</w:t>
      </w:r>
    </w:p>
    <w:p>
      <w:pPr>
        <w:adjustRightInd w:val="0"/>
        <w:snapToGrid w:val="0"/>
        <w:spacing w:line="300" w:lineRule="auto"/>
        <w:ind w:firstLine="539"/>
        <w:textAlignment w:val="top"/>
        <w:rPr>
          <w:color w:val="auto"/>
          <w:sz w:val="24"/>
        </w:rPr>
      </w:pPr>
      <w:r>
        <w:rPr>
          <w:rFonts w:hint="eastAsia"/>
          <w:color w:val="auto"/>
          <w:sz w:val="24"/>
        </w:rPr>
        <w:t>（</w:t>
      </w:r>
      <w:r>
        <w:rPr>
          <w:color w:val="auto"/>
          <w:sz w:val="24"/>
        </w:rPr>
        <w:t>1</w:t>
      </w:r>
      <w:r>
        <w:rPr>
          <w:rFonts w:hint="eastAsia"/>
          <w:color w:val="auto"/>
          <w:sz w:val="24"/>
        </w:rPr>
        <w:t>）投标书。</w:t>
      </w:r>
    </w:p>
    <w:p>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w:t>
      </w:r>
      <w:r>
        <w:rPr>
          <w:rFonts w:hint="eastAsia"/>
          <w:color w:val="auto"/>
          <w:sz w:val="24"/>
        </w:rPr>
        <w:t>开标一览表（报价一览表）</w:t>
      </w:r>
    </w:p>
    <w:p>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）第一次</w:t>
      </w:r>
      <w:r>
        <w:rPr>
          <w:rFonts w:hint="eastAsia"/>
          <w:color w:val="auto"/>
          <w:sz w:val="24"/>
        </w:rPr>
        <w:t>报价明细表（或预算书）</w:t>
      </w:r>
    </w:p>
    <w:p>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w:t>
      </w:r>
      <w:r>
        <w:rPr>
          <w:rFonts w:hint="eastAsia"/>
          <w:color w:val="auto"/>
          <w:sz w:val="24"/>
        </w:rPr>
        <w:t>施工方案</w:t>
      </w:r>
    </w:p>
    <w:p>
      <w:pPr>
        <w:autoSpaceDE w:val="0"/>
        <w:autoSpaceDN w:val="0"/>
        <w:adjustRightInd w:val="0"/>
        <w:snapToGrid w:val="0"/>
        <w:spacing w:line="300" w:lineRule="auto"/>
        <w:ind w:firstLine="520" w:firstLineChars="217"/>
        <w:rPr>
          <w:rFonts w:ascii="宋体" w:hAnsi="宋体"/>
          <w:color w:val="auto"/>
          <w:sz w:val="24"/>
        </w:rPr>
      </w:pPr>
      <w:r>
        <w:rPr>
          <w:rFonts w:hint="eastAsia"/>
          <w:color w:val="auto"/>
          <w:sz w:val="24"/>
        </w:rPr>
        <w:t>（5）</w:t>
      </w:r>
      <w:r>
        <w:rPr>
          <w:rFonts w:hint="eastAsia" w:ascii="宋体" w:hAnsi="宋体"/>
          <w:color w:val="auto"/>
          <w:sz w:val="24"/>
        </w:rPr>
        <w:t>工程质量保修书</w:t>
      </w:r>
    </w:p>
    <w:p>
      <w:pPr>
        <w:autoSpaceDE w:val="0"/>
        <w:autoSpaceDN w:val="0"/>
        <w:adjustRightInd w:val="0"/>
        <w:snapToGrid w:val="0"/>
        <w:spacing w:line="300" w:lineRule="auto"/>
        <w:ind w:firstLine="520" w:firstLineChars="217"/>
        <w:rPr>
          <w:rFonts w:ascii="宋体" w:hAnsi="宋体"/>
          <w:color w:val="auto"/>
          <w:sz w:val="24"/>
        </w:rPr>
      </w:pPr>
      <w:r>
        <w:rPr>
          <w:rFonts w:hint="eastAsia"/>
          <w:color w:val="auto"/>
          <w:sz w:val="24"/>
        </w:rPr>
        <w:t>（6）</w:t>
      </w:r>
      <w:r>
        <w:rPr>
          <w:rFonts w:hint="eastAsia" w:ascii="宋体" w:hAnsi="宋体"/>
          <w:color w:val="auto"/>
          <w:sz w:val="24"/>
        </w:rPr>
        <w:t>工程质量、安全、工期承诺书</w:t>
      </w:r>
    </w:p>
    <w:p>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（7）</w:t>
      </w:r>
      <w:r>
        <w:rPr>
          <w:rFonts w:hint="eastAsia"/>
          <w:color w:val="auto"/>
          <w:sz w:val="24"/>
        </w:rPr>
        <w:t>偏差表</w:t>
      </w:r>
    </w:p>
    <w:p>
      <w:pPr>
        <w:adjustRightInd w:val="0"/>
        <w:snapToGrid w:val="0"/>
        <w:spacing w:line="300" w:lineRule="auto"/>
        <w:ind w:firstLine="539"/>
        <w:rPr>
          <w:color w:val="auto"/>
          <w:sz w:val="24"/>
        </w:rPr>
      </w:pPr>
      <w:r>
        <w:rPr>
          <w:rFonts w:hint="eastAsia" w:ascii="宋体" w:hAnsi="宋体" w:cs="楷体_GB2312"/>
          <w:color w:val="auto"/>
          <w:sz w:val="24"/>
          <w:lang w:val="zh-CN"/>
        </w:rPr>
        <w:t>（</w:t>
      </w:r>
      <w:r>
        <w:rPr>
          <w:rFonts w:ascii="宋体" w:hAnsi="宋体" w:cs="楷体_GB2312"/>
          <w:color w:val="auto"/>
          <w:sz w:val="24"/>
          <w:lang w:val="zh-CN"/>
        </w:rPr>
        <w:t>8</w:t>
      </w:r>
      <w:r>
        <w:rPr>
          <w:rFonts w:hint="eastAsia" w:ascii="宋体" w:hAnsi="宋体" w:cs="楷体_GB2312"/>
          <w:color w:val="auto"/>
          <w:sz w:val="24"/>
          <w:lang w:val="zh-CN"/>
        </w:rPr>
        <w:t>）</w:t>
      </w:r>
      <w:r>
        <w:rPr>
          <w:rFonts w:hint="eastAsia"/>
          <w:color w:val="auto"/>
          <w:sz w:val="24"/>
        </w:rPr>
        <w:t>关于资格的声明函</w:t>
      </w:r>
    </w:p>
    <w:p>
      <w:pPr>
        <w:adjustRightInd w:val="0"/>
        <w:snapToGrid w:val="0"/>
        <w:spacing w:line="300" w:lineRule="auto"/>
        <w:ind w:firstLine="539"/>
        <w:rPr>
          <w:color w:val="auto"/>
          <w:sz w:val="24"/>
        </w:rPr>
      </w:pPr>
      <w:r>
        <w:rPr>
          <w:rFonts w:hint="eastAsia" w:ascii="宋体" w:hAnsi="宋体" w:cs="楷体_GB2312"/>
          <w:color w:val="auto"/>
          <w:sz w:val="24"/>
          <w:lang w:val="zh-CN"/>
        </w:rPr>
        <w:t>（</w:t>
      </w:r>
      <w:r>
        <w:rPr>
          <w:rFonts w:ascii="宋体" w:hAnsi="宋体" w:cs="楷体_GB2312"/>
          <w:color w:val="auto"/>
          <w:sz w:val="24"/>
          <w:lang w:val="zh-CN"/>
        </w:rPr>
        <w:t>9</w:t>
      </w:r>
      <w:r>
        <w:rPr>
          <w:rFonts w:hint="eastAsia" w:ascii="宋体" w:hAnsi="宋体" w:cs="楷体_GB2312"/>
          <w:color w:val="auto"/>
          <w:sz w:val="24"/>
          <w:lang w:val="zh-CN"/>
        </w:rPr>
        <w:t>）</w:t>
      </w:r>
      <w:r>
        <w:rPr>
          <w:rFonts w:hint="eastAsia"/>
          <w:color w:val="auto"/>
          <w:sz w:val="24"/>
        </w:rPr>
        <w:t>反商业贿赂承诺书。</w:t>
      </w:r>
    </w:p>
    <w:p>
      <w:pPr>
        <w:adjustRightInd w:val="0"/>
        <w:snapToGrid w:val="0"/>
        <w:spacing w:line="300" w:lineRule="auto"/>
        <w:ind w:firstLine="539"/>
        <w:rPr>
          <w:color w:val="auto"/>
          <w:sz w:val="24"/>
        </w:rPr>
      </w:pPr>
      <w:r>
        <w:rPr>
          <w:rFonts w:hint="eastAsia" w:ascii="宋体" w:hAnsi="宋体" w:cs="楷体_GB2312"/>
          <w:color w:val="auto"/>
          <w:sz w:val="24"/>
          <w:lang w:val="zh-CN"/>
        </w:rPr>
        <w:t>（</w:t>
      </w:r>
      <w:r>
        <w:rPr>
          <w:rFonts w:ascii="宋体" w:hAnsi="宋体" w:cs="楷体_GB2312"/>
          <w:color w:val="auto"/>
          <w:sz w:val="24"/>
          <w:lang w:val="zh-CN"/>
        </w:rPr>
        <w:t>10</w:t>
      </w:r>
      <w:r>
        <w:rPr>
          <w:rFonts w:hint="eastAsia" w:ascii="宋体" w:hAnsi="宋体" w:cs="楷体_GB2312"/>
          <w:color w:val="auto"/>
          <w:sz w:val="24"/>
          <w:lang w:val="zh-CN"/>
        </w:rPr>
        <w:t>）</w:t>
      </w:r>
      <w:r>
        <w:rPr>
          <w:rFonts w:hint="eastAsia"/>
          <w:color w:val="auto"/>
          <w:sz w:val="24"/>
        </w:rPr>
        <w:t>履约承诺书。</w:t>
      </w:r>
    </w:p>
    <w:p>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11</w:t>
      </w:r>
      <w:r>
        <w:rPr>
          <w:rFonts w:hint="eastAsia"/>
          <w:color w:val="auto"/>
          <w:sz w:val="24"/>
        </w:rPr>
        <w:t>）资格要求相关证明材料（文件）</w:t>
      </w:r>
    </w:p>
    <w:p>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12</w:t>
      </w:r>
      <w:r>
        <w:rPr>
          <w:rFonts w:hint="eastAsia"/>
          <w:color w:val="auto"/>
          <w:sz w:val="24"/>
        </w:rPr>
        <w:t>）采购项目及技术服务要求所需的其他材料（按条款需要）</w:t>
      </w:r>
    </w:p>
    <w:p>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13</w:t>
      </w:r>
      <w:r>
        <w:rPr>
          <w:rFonts w:hint="eastAsia"/>
          <w:color w:val="auto"/>
          <w:sz w:val="24"/>
        </w:rPr>
        <w:t>）供应商须知所需的其他材料（按条款需要）</w:t>
      </w:r>
    </w:p>
    <w:p>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14</w:t>
      </w:r>
      <w:r>
        <w:rPr>
          <w:rFonts w:hint="eastAsia"/>
          <w:color w:val="auto"/>
          <w:sz w:val="24"/>
        </w:rPr>
        <w:t>）评审办法所需的其他材料（按条款需要）</w:t>
      </w:r>
    </w:p>
    <w:p>
      <w:pPr>
        <w:autoSpaceDE w:val="0"/>
        <w:autoSpaceDN w:val="0"/>
        <w:adjustRightInd w:val="0"/>
        <w:snapToGrid w:val="0"/>
        <w:spacing w:line="300" w:lineRule="auto"/>
        <w:ind w:firstLine="520" w:firstLineChars="217"/>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15</w:t>
      </w:r>
      <w:r>
        <w:rPr>
          <w:rFonts w:hint="eastAsia" w:ascii="宋体" w:hAnsi="宋体" w:cs="楷体_GB2312"/>
          <w:color w:val="auto"/>
          <w:sz w:val="24"/>
          <w:lang w:val="zh-CN"/>
        </w:rPr>
        <w:t>）</w:t>
      </w:r>
      <w:r>
        <w:rPr>
          <w:rFonts w:hint="eastAsia" w:ascii="宋体" w:hAnsi="宋体"/>
          <w:color w:val="auto"/>
          <w:sz w:val="24"/>
        </w:rPr>
        <w:t>供应商认为有必要提交的其它材料</w:t>
      </w:r>
    </w:p>
    <w:p>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3.2.3</w:t>
      </w:r>
      <w:r>
        <w:rPr>
          <w:rFonts w:hint="eastAsia" w:ascii="宋体" w:hAnsi="宋体" w:cs="楷体_GB2312"/>
          <w:color w:val="auto"/>
          <w:sz w:val="24"/>
          <w:lang w:val="zh-CN"/>
        </w:rPr>
        <w:t>按照本章第</w:t>
      </w:r>
      <w:r>
        <w:rPr>
          <w:rFonts w:ascii="宋体" w:hAnsi="宋体" w:cs="楷体_GB2312"/>
          <w:color w:val="auto"/>
          <w:sz w:val="24"/>
          <w:lang w:val="zh-CN"/>
        </w:rPr>
        <w:t>4.3</w:t>
      </w:r>
      <w:r>
        <w:rPr>
          <w:rFonts w:hint="eastAsia" w:ascii="宋体" w:hAnsi="宋体" w:cs="楷体_GB2312"/>
          <w:color w:val="auto"/>
          <w:sz w:val="24"/>
          <w:lang w:val="zh-CN"/>
        </w:rPr>
        <w:t>款、第四章第</w:t>
      </w:r>
      <w:r>
        <w:rPr>
          <w:rFonts w:ascii="宋体" w:hAnsi="宋体" w:cs="楷体_GB2312"/>
          <w:color w:val="auto"/>
          <w:sz w:val="24"/>
          <w:lang w:val="zh-CN"/>
        </w:rPr>
        <w:t>3.4</w:t>
      </w:r>
      <w:r>
        <w:rPr>
          <w:rFonts w:hint="eastAsia" w:ascii="宋体" w:hAnsi="宋体" w:cs="楷体_GB2312"/>
          <w:color w:val="auto"/>
          <w:sz w:val="24"/>
          <w:lang w:val="zh-CN"/>
        </w:rPr>
        <w:t>款规定，对《响应文件》的补充、修改、澄清、说明或者更正构成《响应文件》的组成部分，</w:t>
      </w:r>
    </w:p>
    <w:p>
      <w:pPr>
        <w:topLinePunct/>
        <w:adjustRightInd w:val="0"/>
        <w:snapToGrid w:val="0"/>
        <w:spacing w:beforeLines="50" w:line="300" w:lineRule="auto"/>
        <w:ind w:firstLine="566" w:firstLineChars="235"/>
        <w:rPr>
          <w:rFonts w:ascii="宋体" w:cs="楷体_GB2312"/>
          <w:color w:val="auto"/>
          <w:sz w:val="24"/>
          <w:lang w:val="zh-CN"/>
        </w:rPr>
      </w:pPr>
      <w:r>
        <w:rPr>
          <w:rFonts w:ascii="黑体" w:hAnsi="黑体" w:eastAsia="黑体" w:cs="楷体_GB2312"/>
          <w:b/>
          <w:color w:val="auto"/>
          <w:sz w:val="24"/>
          <w:lang w:val="zh-CN"/>
        </w:rPr>
        <w:t xml:space="preserve">3.3 </w:t>
      </w:r>
      <w:r>
        <w:rPr>
          <w:rFonts w:hint="eastAsia" w:ascii="黑体" w:hAnsi="黑体" w:eastAsia="黑体" w:cs="楷体_GB2312"/>
          <w:b/>
          <w:color w:val="auto"/>
          <w:sz w:val="24"/>
          <w:lang w:val="zh-CN"/>
        </w:rPr>
        <w:t>磋商报价</w:t>
      </w:r>
      <w:r>
        <w:rPr>
          <w:rFonts w:hint="eastAsia" w:ascii="宋体" w:hAnsi="宋体" w:cs="楷体_GB2312"/>
          <w:color w:val="auto"/>
          <w:sz w:val="24"/>
          <w:lang w:val="zh-CN"/>
        </w:rPr>
        <w:t>（价格构成）：见第二章</w:t>
      </w:r>
      <w:r>
        <w:rPr>
          <w:rFonts w:ascii="宋体" w:hAnsi="宋体" w:cs="楷体_GB2312"/>
          <w:color w:val="auto"/>
          <w:sz w:val="24"/>
          <w:lang w:val="zh-CN"/>
        </w:rPr>
        <w:t>1.3</w:t>
      </w:r>
      <w:r>
        <w:rPr>
          <w:rFonts w:hint="eastAsia" w:ascii="宋体" w:hAnsi="宋体" w:cs="楷体_GB2312"/>
          <w:color w:val="auto"/>
          <w:sz w:val="24"/>
          <w:lang w:val="zh-CN"/>
        </w:rPr>
        <w:t>款。</w:t>
      </w:r>
    </w:p>
    <w:p>
      <w:pPr>
        <w:topLinePunct/>
        <w:adjustRightInd w:val="0"/>
        <w:snapToGrid w:val="0"/>
        <w:spacing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3.4 </w:t>
      </w:r>
      <w:r>
        <w:rPr>
          <w:rFonts w:hint="eastAsia" w:ascii="黑体" w:hAnsi="黑体" w:eastAsia="黑体" w:cs="楷体_GB2312"/>
          <w:b/>
          <w:color w:val="auto"/>
          <w:sz w:val="24"/>
          <w:lang w:val="zh-CN"/>
        </w:rPr>
        <w:t>响应有效期</w:t>
      </w:r>
    </w:p>
    <w:p>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3.4.1</w:t>
      </w:r>
      <w:r>
        <w:rPr>
          <w:rFonts w:hint="eastAsia" w:ascii="宋体" w:hAnsi="宋体" w:cs="楷体_GB2312"/>
          <w:color w:val="auto"/>
          <w:sz w:val="24"/>
          <w:lang w:val="zh-CN"/>
        </w:rPr>
        <w:t>响应有效期见供应商须知前附表。《响应文件》在响应有效期内保持不变（包括价格等《响应文件》各项条款）。</w:t>
      </w:r>
    </w:p>
    <w:p>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3.4.2</w:t>
      </w:r>
      <w:r>
        <w:rPr>
          <w:rFonts w:hint="eastAsia" w:ascii="宋体" w:hAnsi="宋体" w:cs="楷体_GB2312"/>
          <w:color w:val="auto"/>
          <w:sz w:val="24"/>
          <w:lang w:val="zh-CN"/>
        </w:rPr>
        <w:t>在响应有效期内，供应商撤销或修改其《响应文件》的，应承担《磋商文件》和法律规定的责任。</w:t>
      </w:r>
    </w:p>
    <w:p>
      <w:pPr>
        <w:topLinePunct/>
        <w:adjustRightInd w:val="0"/>
        <w:snapToGrid w:val="0"/>
        <w:spacing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3.5 </w:t>
      </w:r>
      <w:r>
        <w:rPr>
          <w:rFonts w:hint="eastAsia" w:ascii="黑体" w:hAnsi="黑体" w:eastAsia="黑体" w:cs="楷体_GB2312"/>
          <w:b/>
          <w:color w:val="auto"/>
          <w:sz w:val="24"/>
        </w:rPr>
        <w:t>投标承诺函</w:t>
      </w:r>
      <w:r>
        <w:rPr>
          <w:rFonts w:hint="eastAsia" w:ascii="黑体" w:hAnsi="黑体" w:eastAsia="黑体" w:cs="楷体_GB2312"/>
          <w:b/>
          <w:color w:val="auto"/>
          <w:sz w:val="24"/>
          <w:lang w:val="zh-CN"/>
        </w:rPr>
        <w:t>（</w:t>
      </w:r>
      <w:r>
        <w:rPr>
          <w:rFonts w:hint="eastAsia" w:ascii="黑体" w:hAnsi="黑体" w:eastAsia="黑体" w:cs="楷体_GB2312"/>
          <w:b/>
          <w:color w:val="auto"/>
          <w:sz w:val="24"/>
        </w:rPr>
        <w:t>替代</w:t>
      </w:r>
      <w:r>
        <w:rPr>
          <w:rFonts w:hint="eastAsia" w:ascii="黑体" w:hAnsi="黑体" w:eastAsia="黑体" w:cs="楷体_GB2312"/>
          <w:b/>
          <w:color w:val="auto"/>
          <w:sz w:val="24"/>
          <w:lang w:val="zh-CN"/>
        </w:rPr>
        <w:t>投标保证金）：</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lang w:val="zh-CN"/>
        </w:rPr>
        <w:t xml:space="preserve">3.5.1 </w:t>
      </w:r>
      <w:r>
        <w:rPr>
          <w:rFonts w:hint="eastAsia" w:ascii="宋体" w:hAnsi="宋体"/>
          <w:color w:val="auto"/>
          <w:sz w:val="24"/>
          <w:szCs w:val="24"/>
        </w:rPr>
        <w:t>按照豫财购〔2019〕4号文件规定，本项目以投标承诺函的形式替代投标保证金，供应商应按附件格式进行投标承诺，违背承诺的将承担相应的法律责任及违约责任。</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3.5.2 未提供投标承诺函的为无效投标。</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3.5.3 供应商的投标承诺函包含供应商承诺的事项及违背承诺的责任追究措施。</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 承诺事项：</w:t>
      </w:r>
    </w:p>
    <w:p>
      <w:pPr>
        <w:widowControl w:val="0"/>
        <w:tabs>
          <w:tab w:val="left" w:pos="65"/>
        </w:tabs>
        <w:spacing w:line="460" w:lineRule="atLeas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3.5.4.1、供应商应遵循公开、公平、公正和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的原则自愿参加项目的投标；</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 xml:space="preserve">    3.5.4.2、供应商在政府采购活动中应提供真实、准确、有效、合法的材料，不</w:t>
      </w:r>
      <w:r>
        <w:rPr>
          <w:rFonts w:hint="eastAsia" w:ascii="宋体" w:hAnsi="宋体"/>
          <w:color w:val="auto"/>
          <w:sz w:val="24"/>
          <w:szCs w:val="24"/>
          <w:lang w:val="zh-CN"/>
        </w:rPr>
        <w:t>提供虚假材料；</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3.5.4.3、供应商</w:t>
      </w:r>
      <w:r>
        <w:rPr>
          <w:rFonts w:hint="eastAsia" w:ascii="宋体" w:hAnsi="宋体"/>
          <w:color w:val="auto"/>
          <w:sz w:val="24"/>
          <w:szCs w:val="24"/>
          <w:lang w:val="zh-CN"/>
        </w:rPr>
        <w:t>按照</w:t>
      </w:r>
      <w:r>
        <w:rPr>
          <w:rFonts w:hint="eastAsia" w:ascii="宋体" w:hAnsi="宋体"/>
          <w:color w:val="auto"/>
          <w:sz w:val="24"/>
          <w:szCs w:val="24"/>
        </w:rPr>
        <w:t>磋商</w:t>
      </w:r>
      <w:r>
        <w:rPr>
          <w:rFonts w:hint="eastAsia" w:ascii="宋体" w:hAnsi="宋体"/>
          <w:color w:val="auto"/>
          <w:sz w:val="24"/>
          <w:szCs w:val="24"/>
          <w:lang w:val="zh-CN"/>
        </w:rPr>
        <w:t>文件规定，在提交响应文件截止时间后，在</w:t>
      </w:r>
      <w:r>
        <w:rPr>
          <w:rFonts w:hint="eastAsia" w:ascii="宋体" w:hAnsi="宋体"/>
          <w:color w:val="auto"/>
          <w:sz w:val="24"/>
          <w:szCs w:val="24"/>
        </w:rPr>
        <w:t>磋商</w:t>
      </w:r>
      <w:r>
        <w:rPr>
          <w:rFonts w:hint="eastAsia" w:ascii="宋体" w:hAnsi="宋体"/>
          <w:color w:val="auto"/>
          <w:sz w:val="24"/>
          <w:szCs w:val="24"/>
          <w:lang w:val="zh-CN"/>
        </w:rPr>
        <w:t>文件规定的投标有效期限内不</w:t>
      </w:r>
      <w:r>
        <w:rPr>
          <w:rFonts w:hint="eastAsia" w:ascii="宋体" w:hAnsi="宋体"/>
          <w:color w:val="auto"/>
          <w:sz w:val="24"/>
          <w:szCs w:val="24"/>
        </w:rPr>
        <w:t>应</w:t>
      </w:r>
      <w:r>
        <w:rPr>
          <w:rFonts w:hint="eastAsia" w:ascii="宋体" w:hAnsi="宋体"/>
          <w:color w:val="auto"/>
          <w:sz w:val="24"/>
          <w:szCs w:val="24"/>
          <w:lang w:val="zh-CN"/>
        </w:rPr>
        <w:t>撤回响应文件；</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3.5.4.4、不应</w:t>
      </w:r>
      <w:r>
        <w:rPr>
          <w:rFonts w:hint="eastAsia" w:ascii="宋体" w:hAnsi="宋体"/>
          <w:color w:val="auto"/>
          <w:sz w:val="24"/>
          <w:szCs w:val="24"/>
          <w:lang w:val="zh-CN"/>
        </w:rPr>
        <w:t>与其他供应商、采购人或采购代理机构串通或恶意串通。</w:t>
      </w:r>
    </w:p>
    <w:p>
      <w:pPr>
        <w:widowControl w:val="0"/>
        <w:tabs>
          <w:tab w:val="left" w:pos="65"/>
        </w:tabs>
        <w:spacing w:line="460" w:lineRule="atLeast"/>
        <w:ind w:firstLine="480" w:firstLineChars="200"/>
        <w:textAlignment w:val="auto"/>
        <w:rPr>
          <w:rFonts w:hint="eastAsia" w:ascii="宋体" w:hAnsi="宋体" w:eastAsia="宋体"/>
          <w:color w:val="auto"/>
          <w:sz w:val="24"/>
          <w:szCs w:val="24"/>
          <w:lang w:val="zh-CN" w:eastAsia="zh-CN"/>
        </w:rPr>
      </w:pPr>
      <w:r>
        <w:rPr>
          <w:rFonts w:hint="eastAsia" w:ascii="宋体" w:hAnsi="宋体"/>
          <w:color w:val="auto"/>
          <w:sz w:val="24"/>
          <w:szCs w:val="24"/>
        </w:rPr>
        <w:t>3.5.4.5、中标后</w:t>
      </w:r>
      <w:r>
        <w:rPr>
          <w:rFonts w:hint="eastAsia" w:ascii="宋体" w:hAnsi="宋体"/>
          <w:color w:val="auto"/>
          <w:sz w:val="24"/>
          <w:szCs w:val="24"/>
          <w:lang w:val="zh-CN"/>
        </w:rPr>
        <w:t>除不可抗拒力或</w:t>
      </w:r>
      <w:r>
        <w:rPr>
          <w:rFonts w:hint="eastAsia" w:ascii="宋体" w:hAnsi="宋体"/>
          <w:color w:val="auto"/>
          <w:sz w:val="24"/>
          <w:szCs w:val="24"/>
        </w:rPr>
        <w:t>磋商</w:t>
      </w:r>
      <w:r>
        <w:rPr>
          <w:rFonts w:hint="eastAsia" w:ascii="宋体" w:hAnsi="宋体"/>
          <w:color w:val="auto"/>
          <w:sz w:val="24"/>
          <w:szCs w:val="24"/>
          <w:lang w:val="zh-CN"/>
        </w:rPr>
        <w:t>文件认可的情形外</w:t>
      </w:r>
      <w:r>
        <w:rPr>
          <w:rFonts w:hint="eastAsia" w:ascii="宋体" w:hAnsi="宋体"/>
          <w:color w:val="auto"/>
          <w:sz w:val="24"/>
          <w:szCs w:val="24"/>
        </w:rPr>
        <w:t>，供应商应及时领取中标通知书，</w:t>
      </w:r>
      <w:r>
        <w:rPr>
          <w:rFonts w:hint="eastAsia" w:ascii="宋体" w:hAnsi="宋体"/>
          <w:color w:val="auto"/>
          <w:sz w:val="24"/>
          <w:szCs w:val="24"/>
          <w:lang w:val="zh-CN"/>
        </w:rPr>
        <w:t>在成交通知书规定时间、地点与采购人签订合同；</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 xml:space="preserve">    3.5.4.6、供应商应</w:t>
      </w:r>
      <w:r>
        <w:rPr>
          <w:rFonts w:hint="eastAsia" w:ascii="宋体" w:hAnsi="宋体"/>
          <w:color w:val="auto"/>
          <w:sz w:val="24"/>
          <w:szCs w:val="24"/>
          <w:lang w:val="zh-CN"/>
        </w:rPr>
        <w:t>遵守法律法规及</w:t>
      </w:r>
      <w:r>
        <w:rPr>
          <w:rFonts w:hint="eastAsia" w:ascii="宋体" w:hAnsi="宋体"/>
          <w:color w:val="auto"/>
          <w:sz w:val="24"/>
          <w:szCs w:val="24"/>
        </w:rPr>
        <w:t>磋商</w:t>
      </w:r>
      <w:r>
        <w:rPr>
          <w:rFonts w:hint="eastAsia" w:ascii="宋体" w:hAnsi="宋体"/>
          <w:color w:val="auto"/>
          <w:sz w:val="24"/>
          <w:szCs w:val="24"/>
          <w:lang w:val="zh-CN"/>
        </w:rPr>
        <w:t>文件规定的其他情况；</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3.5.4.7、供应商应按磋商文件规定及时缴纳中标服务费。</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 违背承诺的责任追究措施</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供应商如违背上述承诺事项，应无条件接受以下责任追究：</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3.5.5.1</w:t>
      </w:r>
      <w:r>
        <w:rPr>
          <w:rFonts w:hint="eastAsia" w:ascii="宋体" w:hAnsi="宋体"/>
          <w:color w:val="auto"/>
          <w:sz w:val="24"/>
          <w:szCs w:val="24"/>
          <w:lang w:val="zh-CN"/>
        </w:rPr>
        <w:t>法定责任：</w:t>
      </w:r>
      <w:r>
        <w:rPr>
          <w:rFonts w:hint="eastAsia" w:ascii="宋体" w:hAnsi="宋体"/>
          <w:color w:val="auto"/>
          <w:sz w:val="24"/>
          <w:szCs w:val="24"/>
        </w:rPr>
        <w:t>按照政府采购相关法规，</w:t>
      </w:r>
      <w:r>
        <w:rPr>
          <w:rFonts w:hint="eastAsia" w:ascii="宋体" w:hAnsi="宋体"/>
          <w:color w:val="auto"/>
          <w:sz w:val="24"/>
          <w:szCs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给采购人及他人造成损失的，应承担相应的赔偿责任。</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w:t>
      </w:r>
      <w:r>
        <w:rPr>
          <w:rFonts w:hint="eastAsia" w:ascii="宋体" w:hAnsi="宋体"/>
          <w:color w:val="auto"/>
          <w:sz w:val="24"/>
          <w:szCs w:val="24"/>
          <w:lang w:val="zh-CN"/>
        </w:rPr>
        <w:t>违约责任：</w:t>
      </w:r>
      <w:r>
        <w:rPr>
          <w:rFonts w:hint="eastAsia" w:ascii="宋体" w:hAnsi="宋体"/>
          <w:color w:val="auto"/>
          <w:sz w:val="24"/>
          <w:szCs w:val="24"/>
        </w:rPr>
        <w:t xml:space="preserve"> </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3.5.5.2.1 已中标的，中标（成交）无效；</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3.5.5.2.2 支付采购人违约标的预算金额2%的</w:t>
      </w:r>
      <w:r>
        <w:rPr>
          <w:rFonts w:hint="eastAsia" w:ascii="宋体" w:hAnsi="宋体"/>
          <w:color w:val="auto"/>
          <w:sz w:val="24"/>
          <w:szCs w:val="24"/>
          <w:lang w:val="zh-CN"/>
        </w:rPr>
        <w:t>违约金</w:t>
      </w:r>
      <w:r>
        <w:rPr>
          <w:rFonts w:hint="eastAsia" w:ascii="宋体" w:hAnsi="宋体"/>
          <w:color w:val="auto"/>
          <w:sz w:val="24"/>
          <w:szCs w:val="24"/>
        </w:rPr>
        <w:t>；</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3.5.5.2.3中标后未缴中标服务费的，作为违约及违背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原则，在履行承诺前，代理机构将视该单位为失信企业、不予办理其后相关业务。</w:t>
      </w:r>
    </w:p>
    <w:p>
      <w:pPr>
        <w:autoSpaceDE w:val="0"/>
        <w:autoSpaceDN w:val="0"/>
        <w:adjustRightInd w:val="0"/>
        <w:spacing w:beforeLines="50" w:line="360" w:lineRule="auto"/>
        <w:ind w:firstLine="539"/>
        <w:rPr>
          <w:rFonts w:ascii="黑体" w:hAnsi="黑体" w:eastAsia="黑体" w:cs="楷体_GB2312"/>
          <w:b/>
          <w:bCs/>
          <w:color w:val="auto"/>
          <w:sz w:val="28"/>
          <w:szCs w:val="28"/>
          <w:lang w:val="zh-CN"/>
        </w:rPr>
      </w:pPr>
      <w:r>
        <w:rPr>
          <w:rFonts w:ascii="黑体" w:hAnsi="黑体" w:eastAsia="黑体" w:cs="楷体_GB2312"/>
          <w:b/>
          <w:color w:val="auto"/>
          <w:sz w:val="24"/>
          <w:lang w:val="zh-CN"/>
        </w:rPr>
        <w:t xml:space="preserve">3.6 </w:t>
      </w:r>
      <w:r>
        <w:rPr>
          <w:rFonts w:hint="eastAsia" w:ascii="黑体" w:hAnsi="黑体" w:eastAsia="黑体" w:cs="楷体_GB2312"/>
          <w:b/>
          <w:color w:val="auto"/>
          <w:sz w:val="24"/>
          <w:lang w:val="zh-CN"/>
        </w:rPr>
        <w:t>投标资格文件：</w:t>
      </w:r>
      <w:r>
        <w:rPr>
          <w:rFonts w:hint="eastAsia" w:ascii="宋体" w:hAnsi="宋体" w:cs="楷体_GB2312"/>
          <w:color w:val="auto"/>
          <w:sz w:val="24"/>
          <w:lang w:val="zh-CN"/>
        </w:rPr>
        <w:t>要求见竞争性磋商公告</w:t>
      </w:r>
    </w:p>
    <w:p>
      <w:pPr>
        <w:topLinePunct/>
        <w:adjustRightInd w:val="0"/>
        <w:snapToGrid w:val="0"/>
        <w:spacing w:beforeLines="50" w:line="300" w:lineRule="auto"/>
        <w:ind w:left="561" w:leftChars="267" w:firstLine="5" w:firstLineChars="2"/>
        <w:rPr>
          <w:rFonts w:ascii="黑体" w:hAnsi="黑体" w:eastAsia="黑体" w:cs="楷体_GB2312"/>
          <w:b/>
          <w:color w:val="auto"/>
          <w:sz w:val="24"/>
          <w:lang w:val="zh-CN"/>
        </w:rPr>
      </w:pPr>
      <w:r>
        <w:rPr>
          <w:rFonts w:ascii="黑体" w:hAnsi="黑体" w:eastAsia="黑体" w:cs="楷体_GB2312"/>
          <w:b/>
          <w:color w:val="auto"/>
          <w:sz w:val="24"/>
          <w:lang w:val="zh-CN"/>
        </w:rPr>
        <w:t>3.7</w:t>
      </w:r>
      <w:r>
        <w:rPr>
          <w:rFonts w:hint="eastAsia" w:ascii="黑体" w:hAnsi="黑体" w:eastAsia="黑体" w:cs="楷体_GB2312"/>
          <w:b/>
          <w:color w:val="auto"/>
          <w:sz w:val="24"/>
          <w:lang w:val="zh-CN"/>
        </w:rPr>
        <w:t>《响应文件》的编制</w:t>
      </w:r>
    </w:p>
    <w:p>
      <w:pPr>
        <w:topLinePunct/>
        <w:adjustRightInd w:val="0"/>
        <w:snapToGrid w:val="0"/>
        <w:spacing w:beforeLines="50" w:line="300" w:lineRule="auto"/>
        <w:ind w:firstLine="564" w:firstLineChars="235"/>
        <w:rPr>
          <w:rFonts w:ascii="宋体" w:hAnsi="宋体" w:cs="楷体_GB2312"/>
          <w:color w:val="auto"/>
          <w:sz w:val="24"/>
          <w:lang w:val="zh-CN"/>
        </w:rPr>
      </w:pPr>
      <w:r>
        <w:rPr>
          <w:rFonts w:ascii="宋体" w:hAnsi="宋体" w:cs="楷体_GB2312"/>
          <w:color w:val="auto"/>
          <w:sz w:val="24"/>
          <w:lang w:val="zh-CN"/>
        </w:rPr>
        <w:t>3.7.1</w:t>
      </w:r>
      <w:r>
        <w:rPr>
          <w:rFonts w:hint="eastAsia" w:ascii="宋体" w:hAnsi="宋体" w:cs="楷体_GB2312"/>
          <w:color w:val="auto"/>
          <w:sz w:val="24"/>
          <w:lang w:val="zh-CN"/>
        </w:rPr>
        <w:t>《响应文件》应按第六章“《响应文件》格式”进行编写，如有必要，可以增加附页，作为《响应文件》的组成部分。《磋商文件》中未列明格式的，由供应商按一般通用格式自行设计编写。</w:t>
      </w:r>
    </w:p>
    <w:p>
      <w:pPr>
        <w:widowControl w:val="0"/>
        <w:adjustRightInd w:val="0"/>
        <w:spacing w:beforeLines="50" w:line="300" w:lineRule="auto"/>
        <w:ind w:firstLine="540" w:firstLineChars="225"/>
        <w:rPr>
          <w:rFonts w:ascii="宋体" w:hAnsi="宋体"/>
          <w:color w:val="auto"/>
          <w:sz w:val="24"/>
          <w:szCs w:val="24"/>
        </w:rPr>
      </w:pPr>
      <w:r>
        <w:rPr>
          <w:rFonts w:hint="eastAsia" w:ascii="宋体" w:hAnsi="宋体" w:cs="楷体_GB2312"/>
          <w:color w:val="auto"/>
          <w:sz w:val="24"/>
          <w:lang w:val="zh-CN"/>
        </w:rPr>
        <w:t>响应文件编制后，</w:t>
      </w:r>
      <w:r>
        <w:rPr>
          <w:rFonts w:hint="eastAsia" w:ascii="宋体" w:hAnsi="宋体"/>
          <w:color w:val="auto"/>
          <w:sz w:val="24"/>
          <w:szCs w:val="24"/>
        </w:rPr>
        <w:t>供应商应在投标截止时间前上传加密的电子投标文件（*.aytf）到安阳市公共资源交易平台。上传时供应商须使用制作该投标文件的同一CA锁进行上传操作。请供应商在上传时认真检查上传投标文件是否完整、正确。供应商应充分考虑上传文件时的不可预见因素，未在投标截止时间前完成上传的，视为逾期送达，安阳市公共资源交易平台将拒绝接收。</w:t>
      </w:r>
    </w:p>
    <w:p>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 xml:space="preserve">3.7.2 </w:t>
      </w:r>
      <w:r>
        <w:rPr>
          <w:rFonts w:hint="eastAsia" w:ascii="宋体" w:hAnsi="宋体" w:cs="楷体_GB2312"/>
          <w:color w:val="auto"/>
          <w:sz w:val="24"/>
          <w:lang w:val="zh-CN"/>
        </w:rPr>
        <w:t>“《响应文件》格式”仅为对《响应文件》部分内容的格式化规范，并非《响应文件》所应具备的全部内容。供应商应按本章“</w:t>
      </w:r>
      <w:r>
        <w:rPr>
          <w:rFonts w:ascii="宋体" w:hAnsi="宋体" w:cs="楷体_GB2312"/>
          <w:color w:val="auto"/>
          <w:sz w:val="24"/>
          <w:lang w:val="zh-CN"/>
        </w:rPr>
        <w:t>3.2</w:t>
      </w:r>
      <w:r>
        <w:rPr>
          <w:rFonts w:hint="eastAsia" w:ascii="宋体" w:hAnsi="宋体" w:cs="楷体_GB2312"/>
          <w:color w:val="auto"/>
          <w:sz w:val="24"/>
          <w:lang w:val="zh-CN"/>
        </w:rPr>
        <w:t>《响应文件》的组成”列示内容编制《响应文件》。</w:t>
      </w:r>
    </w:p>
    <w:p>
      <w:pPr>
        <w:adjustRightInd w:val="0"/>
        <w:snapToGrid w:val="0"/>
        <w:spacing w:beforeLines="50" w:line="300" w:lineRule="auto"/>
        <w:ind w:firstLine="480" w:firstLineChars="200"/>
        <w:rPr>
          <w:rFonts w:ascii="宋体" w:cs="楷体_GB2312"/>
          <w:color w:val="auto"/>
          <w:sz w:val="24"/>
          <w:lang w:val="zh-CN"/>
        </w:rPr>
      </w:pPr>
      <w:r>
        <w:rPr>
          <w:rFonts w:ascii="宋体" w:hAnsi="宋体" w:cs="楷体_GB2312"/>
          <w:color w:val="auto"/>
          <w:sz w:val="24"/>
          <w:lang w:val="zh-CN"/>
        </w:rPr>
        <w:t>3.7</w:t>
      </w:r>
      <w:r>
        <w:rPr>
          <w:rFonts w:asci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响应文件》应当对《磋商文件》有关标段（包）内容（范围）、技术要求、售后服务、工期、投标有效期等实质性内容作出响应。在满足《磋商文件》实质性要求的基础上，可以提出比《磋商文件》要求更有利于采购人的承诺。并符合《磋商文件》偏差规定。</w:t>
      </w:r>
    </w:p>
    <w:p>
      <w:pPr>
        <w:adjustRightInd w:val="0"/>
        <w:snapToGrid w:val="0"/>
        <w:spacing w:beforeLines="50" w:line="300" w:lineRule="auto"/>
        <w:ind w:firstLine="480" w:firstLineChars="200"/>
        <w:rPr>
          <w:rFonts w:ascii="宋体" w:cs="楷体_GB2312"/>
          <w:color w:val="auto"/>
          <w:sz w:val="24"/>
          <w:lang w:val="zh-CN"/>
        </w:rPr>
      </w:pPr>
      <w:r>
        <w:rPr>
          <w:rFonts w:hint="eastAsia" w:ascii="宋体" w:hAnsi="宋体" w:cs="楷体_GB2312"/>
          <w:color w:val="auto"/>
          <w:sz w:val="24"/>
          <w:lang w:val="zh-CN"/>
        </w:rPr>
        <w:t>《响应文件》的所有条款与《磋商文件》要求有任何不同之处，应按《偏差表》格式逐一填列。《响应文件》与《磋商文件》所有要求存在偏差而未填列的，磋商小组有权按照实质性判断原则（实质性要求和实质性响应两因素）评定其为</w:t>
      </w:r>
      <w:r>
        <w:rPr>
          <w:rFonts w:hint="eastAsia" w:ascii="宋体" w:hAnsi="宋体" w:cs="楷体_GB2312"/>
          <w:b/>
          <w:color w:val="auto"/>
          <w:sz w:val="24"/>
          <w:lang w:val="zh-CN"/>
        </w:rPr>
        <w:t>无效投标</w:t>
      </w:r>
      <w:r>
        <w:rPr>
          <w:rFonts w:hint="eastAsia" w:ascii="宋体" w:hAnsi="宋体" w:cs="楷体_GB2312"/>
          <w:color w:val="auto"/>
          <w:sz w:val="24"/>
          <w:lang w:val="zh-CN"/>
        </w:rPr>
        <w:t>。供应商应认真编制《响应文件》并自负此项风险。</w:t>
      </w:r>
    </w:p>
    <w:p>
      <w:pPr>
        <w:autoSpaceDE w:val="0"/>
        <w:autoSpaceDN w:val="0"/>
        <w:adjustRightInd w:val="0"/>
        <w:snapToGrid w:val="0"/>
        <w:spacing w:beforeLines="50" w:line="300" w:lineRule="auto"/>
        <w:ind w:firstLine="539"/>
        <w:rPr>
          <w:rFonts w:ascii="宋体" w:cs="楷体_GB2312"/>
          <w:b/>
          <w:color w:val="auto"/>
          <w:sz w:val="24"/>
        </w:rPr>
      </w:pPr>
      <w:r>
        <w:rPr>
          <w:rFonts w:ascii="宋体" w:hAnsi="宋体" w:cs="楷体_GB2312"/>
          <w:b/>
          <w:color w:val="auto"/>
          <w:sz w:val="24"/>
          <w:lang w:val="zh-CN"/>
        </w:rPr>
        <w:t>3</w:t>
      </w:r>
      <w:r>
        <w:rPr>
          <w:rFonts w:ascii="宋体" w:hAnsi="宋体" w:cs="楷体_GB2312"/>
          <w:b/>
          <w:color w:val="auto"/>
          <w:sz w:val="24"/>
        </w:rPr>
        <w:t>.7.</w:t>
      </w:r>
      <w:r>
        <w:rPr>
          <w:rFonts w:hint="eastAsia" w:ascii="宋体" w:hAnsi="宋体" w:cs="楷体_GB2312"/>
          <w:b/>
          <w:color w:val="auto"/>
          <w:sz w:val="24"/>
        </w:rPr>
        <w:t>4</w:t>
      </w:r>
      <w:r>
        <w:rPr>
          <w:rFonts w:ascii="宋体" w:hAnsi="宋体" w:cs="楷体_GB2312"/>
          <w:b/>
          <w:color w:val="auto"/>
          <w:sz w:val="24"/>
        </w:rPr>
        <w:t xml:space="preserve"> </w:t>
      </w:r>
      <w:r>
        <w:rPr>
          <w:rFonts w:hint="eastAsia" w:ascii="宋体" w:hAnsi="宋体" w:cs="楷体_GB2312"/>
          <w:b/>
          <w:color w:val="auto"/>
          <w:sz w:val="24"/>
        </w:rPr>
        <w:t>《响应文件》应按《磋商文件》</w:t>
      </w:r>
      <w:r>
        <w:rPr>
          <w:rFonts w:hint="eastAsia" w:ascii="宋体" w:hAnsi="宋体" w:cs="楷体_GB2312"/>
          <w:b/>
          <w:color w:val="auto"/>
          <w:sz w:val="24"/>
          <w:lang w:val="zh-CN"/>
        </w:rPr>
        <w:t>相关要求（含格式上标注的要求）、</w:t>
      </w:r>
      <w:r>
        <w:rPr>
          <w:rFonts w:hint="eastAsia" w:ascii="宋体" w:hAnsi="宋体" w:cs="楷体_GB2312"/>
          <w:b/>
          <w:color w:val="auto"/>
          <w:sz w:val="24"/>
        </w:rPr>
        <w:t>使用供应商企业数字证书进行电</w:t>
      </w:r>
      <w:r>
        <w:rPr>
          <w:rFonts w:ascii="宋体" w:hAnsi="宋体" w:cs="楷体_GB2312"/>
          <w:b/>
          <w:color w:val="auto"/>
          <w:sz w:val="24"/>
        </w:rPr>
        <w:t>子</w:t>
      </w:r>
      <w:r>
        <w:rPr>
          <w:rFonts w:hint="eastAsia" w:ascii="宋体" w:hAnsi="宋体" w:cs="楷体_GB2312"/>
          <w:b/>
          <w:color w:val="auto"/>
          <w:sz w:val="24"/>
        </w:rPr>
        <w:t>签章和供应商法定代表人数字证书进行电</w:t>
      </w:r>
      <w:r>
        <w:rPr>
          <w:rFonts w:ascii="宋体" w:hAnsi="宋体" w:cs="楷体_GB2312"/>
          <w:b/>
          <w:color w:val="auto"/>
          <w:sz w:val="24"/>
        </w:rPr>
        <w:t>子</w:t>
      </w:r>
      <w:r>
        <w:rPr>
          <w:rFonts w:hint="eastAsia" w:ascii="宋体" w:hAnsi="宋体" w:cs="楷体_GB2312"/>
          <w:b/>
          <w:color w:val="auto"/>
          <w:sz w:val="24"/>
        </w:rPr>
        <w:t>签名（签章）、并加密，没有使用供应商企业数字证书和供应商法定代表人数字证书进行电</w:t>
      </w:r>
      <w:r>
        <w:rPr>
          <w:rFonts w:ascii="宋体" w:hAnsi="宋体" w:cs="楷体_GB2312"/>
          <w:b/>
          <w:color w:val="auto"/>
          <w:sz w:val="24"/>
        </w:rPr>
        <w:t>子</w:t>
      </w:r>
      <w:r>
        <w:rPr>
          <w:rFonts w:hint="eastAsia" w:ascii="宋体" w:hAnsi="宋体" w:cs="楷体_GB2312"/>
          <w:b/>
          <w:color w:val="auto"/>
          <w:sz w:val="24"/>
        </w:rPr>
        <w:t>签名（签章）并加密的《响应文件》，属于未按照《磋商文件》要求进行签署。</w:t>
      </w:r>
    </w:p>
    <w:p>
      <w:pPr>
        <w:autoSpaceDE w:val="0"/>
        <w:autoSpaceDN w:val="0"/>
        <w:adjustRightInd w:val="0"/>
        <w:snapToGrid w:val="0"/>
        <w:spacing w:beforeLines="50" w:line="300" w:lineRule="auto"/>
        <w:ind w:firstLine="539"/>
        <w:rPr>
          <w:rFonts w:ascii="宋体" w:cs="楷体_GB2312"/>
          <w:color w:val="auto"/>
          <w:sz w:val="24"/>
        </w:rPr>
      </w:pPr>
      <w:r>
        <w:rPr>
          <w:rFonts w:hint="eastAsia" w:ascii="宋体" w:hAnsi="宋体" w:cs="楷体_GB2312"/>
          <w:b/>
          <w:color w:val="auto"/>
          <w:sz w:val="24"/>
        </w:rPr>
        <w:t>根据《中华人民共和国电子签名法》规定，可靠的电子签名与手写签名或者盖章具有同等的法律效力。本次采购活动中，供应商使用有效的企业数字证书对《响应文件》进行电子签章与加盖供应商</w:t>
      </w:r>
      <w:r>
        <w:rPr>
          <w:rFonts w:ascii="宋体" w:hAnsi="宋体" w:cs="楷体_GB2312"/>
          <w:b/>
          <w:color w:val="auto"/>
          <w:sz w:val="24"/>
        </w:rPr>
        <w:t>公</w:t>
      </w:r>
      <w:r>
        <w:rPr>
          <w:rFonts w:hint="eastAsia" w:ascii="宋体" w:hAnsi="宋体" w:cs="楷体_GB2312"/>
          <w:b/>
          <w:color w:val="auto"/>
          <w:sz w:val="24"/>
        </w:rPr>
        <w:t>章具有同等法律效力；供应商法定代表人使用有效的个人数字证书对《响应文件》进行签名（签章）与法人签章具有同等法律效力。</w:t>
      </w:r>
    </w:p>
    <w:p>
      <w:pPr>
        <w:adjustRightInd w:val="0"/>
        <w:snapToGrid w:val="0"/>
        <w:spacing w:beforeLines="50" w:line="300" w:lineRule="auto"/>
        <w:ind w:firstLine="480" w:firstLineChars="200"/>
        <w:rPr>
          <w:rFonts w:ascii="宋体" w:cs="楷体_GB2312"/>
          <w:color w:val="auto"/>
          <w:sz w:val="24"/>
          <w:lang w:val="zh-CN"/>
        </w:rPr>
      </w:pPr>
      <w:r>
        <w:rPr>
          <w:rFonts w:ascii="宋体" w:hAnsi="宋体" w:cs="楷体_GB2312"/>
          <w:color w:val="auto"/>
          <w:sz w:val="24"/>
          <w:lang w:val="zh-CN"/>
        </w:rPr>
        <w:t>3.7.5</w:t>
      </w:r>
      <w:r>
        <w:rPr>
          <w:rFonts w:hint="eastAsia" w:ascii="宋体" w:hAnsi="宋体" w:cs="楷体_GB2312"/>
          <w:color w:val="auto"/>
          <w:sz w:val="24"/>
          <w:lang w:val="zh-CN"/>
        </w:rPr>
        <w:t>供应商可对本《磋商文件》“标段（包）一览表”中所列的所有标段（包）进行分别投标，也可选择其中一个标段（包）或几个标段（包）投标，但不得将《磋商文件》规定的同一标段（包）的内容拆开投标，否则将按</w:t>
      </w:r>
      <w:r>
        <w:rPr>
          <w:rFonts w:hint="eastAsia" w:ascii="宋体" w:hAnsi="宋体" w:cs="楷体_GB2312"/>
          <w:b/>
          <w:color w:val="auto"/>
          <w:sz w:val="24"/>
          <w:lang w:val="zh-CN"/>
        </w:rPr>
        <w:t>无效投标</w:t>
      </w:r>
      <w:r>
        <w:rPr>
          <w:rFonts w:hint="eastAsia" w:ascii="宋体" w:hAnsi="宋体" w:cs="楷体_GB2312"/>
          <w:color w:val="auto"/>
          <w:sz w:val="24"/>
          <w:lang w:val="zh-CN"/>
        </w:rPr>
        <w:t>处理。</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3.7.6 </w:t>
      </w:r>
      <w:r>
        <w:rPr>
          <w:rFonts w:hint="eastAsia" w:ascii="宋体" w:hAnsi="宋体" w:cs="楷体_GB2312"/>
          <w:color w:val="auto"/>
          <w:sz w:val="24"/>
          <w:lang w:val="zh-CN"/>
        </w:rPr>
        <w:t>《响应文件》因字迹或表述不清所引起的后果由供应商自行负责。</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3.7.7 </w:t>
      </w:r>
      <w:r>
        <w:rPr>
          <w:rFonts w:hint="eastAsia" w:ascii="宋体" w:hAnsi="宋体" w:cs="楷体_GB2312"/>
          <w:color w:val="auto"/>
          <w:sz w:val="24"/>
          <w:lang w:val="zh-CN"/>
        </w:rPr>
        <w:t>未按上述要求提交的《响应文件》将视为</w:t>
      </w:r>
      <w:r>
        <w:rPr>
          <w:rFonts w:hint="eastAsia" w:ascii="宋体" w:hAnsi="宋体" w:cs="楷体_GB2312"/>
          <w:b/>
          <w:color w:val="auto"/>
          <w:sz w:val="24"/>
          <w:lang w:val="zh-CN"/>
        </w:rPr>
        <w:t>无效投标。</w:t>
      </w:r>
    </w:p>
    <w:p>
      <w:pPr>
        <w:autoSpaceDE w:val="0"/>
        <w:autoSpaceDN w:val="0"/>
        <w:adjustRightInd w:val="0"/>
        <w:spacing w:line="360" w:lineRule="auto"/>
        <w:rPr>
          <w:rFonts w:ascii="黑体" w:hAnsi="黑体" w:eastAsia="黑体" w:cs="楷体_GB2312"/>
          <w:b/>
          <w:bCs/>
          <w:color w:val="auto"/>
          <w:sz w:val="28"/>
          <w:szCs w:val="28"/>
          <w:lang w:val="zh-CN"/>
        </w:rPr>
      </w:pP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18" w:name="_Toc65745046"/>
      <w:r>
        <w:rPr>
          <w:rFonts w:ascii="黑体" w:hAnsi="黑体" w:eastAsia="黑体" w:cs="楷体_GB2312"/>
          <w:b/>
          <w:bCs/>
          <w:color w:val="auto"/>
          <w:sz w:val="28"/>
          <w:szCs w:val="28"/>
          <w:lang w:val="zh-CN"/>
        </w:rPr>
        <w:t>4.</w:t>
      </w:r>
      <w:r>
        <w:rPr>
          <w:rFonts w:hint="eastAsia" w:ascii="黑体" w:hAnsi="黑体" w:eastAsia="黑体" w:cs="楷体_GB2312"/>
          <w:b/>
          <w:bCs/>
          <w:color w:val="auto"/>
          <w:sz w:val="28"/>
          <w:szCs w:val="28"/>
          <w:lang w:val="zh-CN"/>
        </w:rPr>
        <w:t>《响应文件》的提交</w:t>
      </w:r>
      <w:bookmarkEnd w:id="18"/>
    </w:p>
    <w:p>
      <w:pPr>
        <w:autoSpaceDE w:val="0"/>
        <w:autoSpaceDN w:val="0"/>
        <w:adjustRightInd w:val="0"/>
        <w:snapToGrid w:val="0"/>
        <w:spacing w:beforeLines="50" w:line="300" w:lineRule="auto"/>
        <w:ind w:firstLine="539"/>
        <w:rPr>
          <w:rFonts w:ascii="宋体" w:hAnsi="宋体" w:cs="楷体_GB2312"/>
          <w:b/>
          <w:color w:val="auto"/>
          <w:sz w:val="24"/>
          <w:lang w:val="zh-CN"/>
        </w:rPr>
      </w:pPr>
      <w:bookmarkStart w:id="19" w:name="OLE_LINK2"/>
      <w:bookmarkStart w:id="20" w:name="_Toc296602445"/>
      <w:r>
        <w:rPr>
          <w:rFonts w:hint="eastAsia" w:ascii="宋体" w:hAnsi="宋体" w:cs="楷体_GB2312"/>
          <w:b/>
          <w:color w:val="auto"/>
          <w:sz w:val="24"/>
          <w:lang w:val="zh-CN"/>
        </w:rPr>
        <w:t>4.1《响应文件》的密封和标记：</w:t>
      </w:r>
    </w:p>
    <w:p>
      <w:pPr>
        <w:autoSpaceDE w:val="0"/>
        <w:autoSpaceDN w:val="0"/>
        <w:adjustRightInd w:val="0"/>
        <w:snapToGrid w:val="0"/>
        <w:spacing w:beforeLines="50" w:line="300" w:lineRule="auto"/>
        <w:ind w:firstLine="539"/>
        <w:rPr>
          <w:rFonts w:ascii="宋体" w:cs="楷体_GB2312"/>
          <w:b/>
          <w:color w:val="auto"/>
          <w:sz w:val="24"/>
          <w:lang w:val="zh-CN"/>
        </w:rPr>
      </w:pPr>
      <w:r>
        <w:rPr>
          <w:rFonts w:ascii="宋体" w:hAnsi="宋体" w:cs="楷体_GB2312"/>
          <w:b/>
          <w:color w:val="auto"/>
          <w:sz w:val="24"/>
          <w:lang w:val="zh-CN"/>
        </w:rPr>
        <w:t xml:space="preserve">4.1.1 </w:t>
      </w:r>
      <w:r>
        <w:rPr>
          <w:rFonts w:hint="eastAsia" w:ascii="宋体" w:hAnsi="宋体" w:cs="楷体_GB2312"/>
          <w:b/>
          <w:color w:val="auto"/>
          <w:sz w:val="24"/>
          <w:lang w:val="zh-CN"/>
        </w:rPr>
        <w:t>《响应文件》应</w:t>
      </w:r>
      <w:r>
        <w:rPr>
          <w:rFonts w:ascii="宋体" w:hAnsi="宋体" w:cs="楷体_GB2312"/>
          <w:b/>
          <w:color w:val="auto"/>
          <w:sz w:val="24"/>
          <w:lang w:val="zh-CN"/>
        </w:rPr>
        <w:t>当</w:t>
      </w:r>
      <w:r>
        <w:rPr>
          <w:rFonts w:hint="eastAsia" w:ascii="宋体" w:hAnsi="宋体" w:cs="楷体_GB2312"/>
          <w:b/>
          <w:color w:val="auto"/>
          <w:sz w:val="24"/>
          <w:lang w:val="zh-CN"/>
        </w:rPr>
        <w:t>按网上电子交易系统要</w:t>
      </w:r>
      <w:r>
        <w:rPr>
          <w:rFonts w:ascii="宋体" w:hAnsi="宋体" w:cs="楷体_GB2312"/>
          <w:b/>
          <w:color w:val="auto"/>
          <w:sz w:val="24"/>
          <w:lang w:val="zh-CN"/>
        </w:rPr>
        <w:t>求</w:t>
      </w:r>
      <w:r>
        <w:rPr>
          <w:rFonts w:hint="eastAsia" w:ascii="宋体" w:hAnsi="宋体" w:cs="楷体_GB2312"/>
          <w:b/>
          <w:color w:val="auto"/>
          <w:sz w:val="24"/>
          <w:lang w:val="zh-CN"/>
        </w:rPr>
        <w:t>进行</w:t>
      </w:r>
      <w:r>
        <w:rPr>
          <w:rFonts w:ascii="宋体" w:hAnsi="宋体" w:cs="楷体_GB2312"/>
          <w:b/>
          <w:color w:val="auto"/>
          <w:sz w:val="24"/>
          <w:lang w:val="zh-CN"/>
        </w:rPr>
        <w:t>加密</w:t>
      </w:r>
      <w:r>
        <w:rPr>
          <w:rFonts w:hint="eastAsia" w:ascii="宋体" w:hAnsi="宋体" w:cs="楷体_GB2312"/>
          <w:b/>
          <w:color w:val="auto"/>
          <w:sz w:val="24"/>
          <w:lang w:val="zh-CN"/>
        </w:rPr>
        <w:t>和标记，</w:t>
      </w:r>
      <w:r>
        <w:rPr>
          <w:rFonts w:ascii="宋体" w:hAnsi="宋体" w:cs="楷体_GB2312"/>
          <w:b/>
          <w:color w:val="auto"/>
          <w:sz w:val="24"/>
          <w:lang w:val="zh-CN"/>
        </w:rPr>
        <w:t>在</w:t>
      </w:r>
      <w:r>
        <w:rPr>
          <w:rFonts w:hint="eastAsia" w:ascii="宋体" w:hAnsi="宋体" w:cs="楷体_GB2312"/>
          <w:b/>
          <w:color w:val="auto"/>
          <w:sz w:val="24"/>
          <w:lang w:val="zh-CN"/>
        </w:rPr>
        <w:t>《响应文件》提</w:t>
      </w:r>
      <w:r>
        <w:rPr>
          <w:rFonts w:ascii="宋体" w:hAnsi="宋体" w:cs="楷体_GB2312"/>
          <w:b/>
          <w:color w:val="auto"/>
          <w:sz w:val="24"/>
          <w:lang w:val="zh-CN"/>
        </w:rPr>
        <w:t>交</w:t>
      </w:r>
      <w:r>
        <w:rPr>
          <w:rFonts w:hint="eastAsia" w:ascii="宋体" w:hAnsi="宋体" w:cs="楷体_GB2312"/>
          <w:b/>
          <w:color w:val="auto"/>
          <w:sz w:val="24"/>
          <w:lang w:val="zh-CN"/>
        </w:rPr>
        <w:t>截止时间前，将</w:t>
      </w:r>
      <w:r>
        <w:rPr>
          <w:rFonts w:ascii="宋体" w:hAnsi="宋体" w:cs="楷体_GB2312"/>
          <w:b/>
          <w:color w:val="auto"/>
          <w:sz w:val="24"/>
          <w:lang w:val="zh-CN"/>
        </w:rPr>
        <w:t>加密的</w:t>
      </w:r>
      <w:r>
        <w:rPr>
          <w:rFonts w:hint="eastAsia" w:ascii="宋体" w:hAnsi="宋体" w:cs="楷体_GB2312"/>
          <w:b/>
          <w:color w:val="auto"/>
          <w:sz w:val="24"/>
          <w:lang w:val="zh-CN"/>
        </w:rPr>
        <w:t>《响应文件》</w:t>
      </w:r>
      <w:r>
        <w:rPr>
          <w:rFonts w:ascii="宋体" w:hAnsi="宋体" w:cs="楷体_GB2312"/>
          <w:b/>
          <w:color w:val="auto"/>
          <w:sz w:val="24"/>
          <w:lang w:val="zh-CN"/>
        </w:rPr>
        <w:t>上</w:t>
      </w:r>
      <w:r>
        <w:rPr>
          <w:rFonts w:hint="eastAsia" w:ascii="宋体" w:hAnsi="宋体" w:cs="楷体_GB2312"/>
          <w:b/>
          <w:color w:val="auto"/>
          <w:sz w:val="24"/>
          <w:lang w:val="zh-CN"/>
        </w:rPr>
        <w:t>传至“竞争性磋商</w:t>
      </w:r>
      <w:r>
        <w:rPr>
          <w:rFonts w:ascii="宋体" w:hAnsi="宋体" w:cs="楷体_GB2312"/>
          <w:b/>
          <w:color w:val="auto"/>
          <w:sz w:val="24"/>
          <w:lang w:val="zh-CN"/>
        </w:rPr>
        <w:t>公告</w:t>
      </w:r>
      <w:r>
        <w:rPr>
          <w:rFonts w:hint="eastAsia" w:ascii="宋体" w:hAnsi="宋体" w:cs="楷体_GB2312"/>
          <w:b/>
          <w:color w:val="auto"/>
          <w:sz w:val="24"/>
          <w:lang w:val="zh-CN"/>
        </w:rPr>
        <w:t>”所述网上电子交易系</w:t>
      </w:r>
      <w:r>
        <w:rPr>
          <w:rFonts w:ascii="宋体" w:hAnsi="宋体" w:cs="楷体_GB2312"/>
          <w:b/>
          <w:color w:val="auto"/>
          <w:sz w:val="24"/>
          <w:lang w:val="zh-CN"/>
        </w:rPr>
        <w:t>统</w:t>
      </w:r>
      <w:r>
        <w:rPr>
          <w:rFonts w:hint="eastAsia" w:ascii="宋体" w:hAnsi="宋体" w:cs="楷体_GB2312"/>
          <w:b/>
          <w:color w:val="auto"/>
          <w:sz w:val="24"/>
          <w:lang w:val="zh-CN"/>
        </w:rPr>
        <w:t>。</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bookmarkStart w:id="21" w:name="OLE_LINK1"/>
      <w:r>
        <w:rPr>
          <w:rFonts w:ascii="宋体" w:hAnsi="宋体" w:cs="楷体_GB2312"/>
          <w:b/>
          <w:color w:val="auto"/>
          <w:sz w:val="24"/>
          <w:lang w:val="zh-CN"/>
        </w:rPr>
        <w:t xml:space="preserve">4.1.2 </w:t>
      </w:r>
      <w:r>
        <w:rPr>
          <w:rFonts w:hint="eastAsia" w:ascii="宋体" w:hAnsi="宋体" w:cs="楷体_GB2312"/>
          <w:b/>
          <w:color w:val="auto"/>
          <w:sz w:val="24"/>
          <w:lang w:val="zh-CN"/>
        </w:rPr>
        <w:t>《响应文件》没有按照上述要求进行</w:t>
      </w:r>
      <w:r>
        <w:rPr>
          <w:rFonts w:ascii="宋体" w:hAnsi="宋体" w:cs="楷体_GB2312"/>
          <w:b/>
          <w:color w:val="auto"/>
          <w:sz w:val="24"/>
          <w:lang w:val="zh-CN"/>
        </w:rPr>
        <w:t>加密</w:t>
      </w:r>
      <w:r>
        <w:rPr>
          <w:rFonts w:hint="eastAsia" w:ascii="黑体" w:hAnsi="黑体" w:eastAsia="黑体" w:cs="楷体_GB2312"/>
          <w:b/>
          <w:color w:val="auto"/>
          <w:sz w:val="24"/>
          <w:lang w:val="zh-CN"/>
        </w:rPr>
        <w:t>和标记</w:t>
      </w:r>
      <w:r>
        <w:rPr>
          <w:rFonts w:hint="eastAsia" w:ascii="宋体" w:hAnsi="宋体" w:cs="楷体_GB2312"/>
          <w:b/>
          <w:color w:val="auto"/>
          <w:sz w:val="24"/>
          <w:lang w:val="zh-CN"/>
        </w:rPr>
        <w:t>的、网上电子交易系</w:t>
      </w:r>
      <w:r>
        <w:rPr>
          <w:rFonts w:ascii="宋体" w:hAnsi="宋体" w:cs="楷体_GB2312"/>
          <w:b/>
          <w:color w:val="auto"/>
          <w:sz w:val="24"/>
          <w:lang w:val="zh-CN"/>
        </w:rPr>
        <w:t>统</w:t>
      </w:r>
      <w:r>
        <w:rPr>
          <w:rFonts w:hint="eastAsia" w:ascii="宋体" w:hAnsi="宋体" w:cs="楷体_GB2312"/>
          <w:b/>
          <w:color w:val="auto"/>
          <w:sz w:val="24"/>
          <w:lang w:val="zh-CN"/>
        </w:rPr>
        <w:t>将</w:t>
      </w:r>
      <w:r>
        <w:rPr>
          <w:rFonts w:ascii="宋体" w:hAnsi="宋体" w:cs="楷体_GB2312"/>
          <w:b/>
          <w:color w:val="auto"/>
          <w:sz w:val="24"/>
          <w:lang w:val="zh-CN"/>
        </w:rPr>
        <w:t>据系统设定</w:t>
      </w:r>
      <w:r>
        <w:rPr>
          <w:rFonts w:hint="eastAsia" w:ascii="宋体" w:hAnsi="宋体" w:cs="楷体_GB2312"/>
          <w:b/>
          <w:color w:val="auto"/>
          <w:sz w:val="24"/>
          <w:lang w:val="zh-CN"/>
        </w:rPr>
        <w:t>拒收其《响应文件》，供应商应自负该项风险，采购代理机构对可能产</w:t>
      </w:r>
      <w:r>
        <w:rPr>
          <w:rFonts w:ascii="宋体" w:hAnsi="宋体" w:cs="楷体_GB2312"/>
          <w:b/>
          <w:color w:val="auto"/>
          <w:sz w:val="24"/>
          <w:lang w:val="zh-CN"/>
        </w:rPr>
        <w:t>生的</w:t>
      </w:r>
      <w:r>
        <w:rPr>
          <w:rFonts w:hint="eastAsia" w:ascii="宋体" w:hAnsi="宋体" w:cs="楷体_GB2312"/>
          <w:b/>
          <w:color w:val="auto"/>
          <w:sz w:val="24"/>
          <w:lang w:val="zh-CN"/>
        </w:rPr>
        <w:t>误投或提前启封概不负责。</w:t>
      </w:r>
      <w:bookmarkEnd w:id="21"/>
    </w:p>
    <w:bookmarkEnd w:id="19"/>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4.2 </w:t>
      </w:r>
      <w:r>
        <w:rPr>
          <w:rFonts w:hint="eastAsia" w:ascii="黑体" w:hAnsi="黑体" w:eastAsia="黑体" w:cs="楷体_GB2312"/>
          <w:b/>
          <w:color w:val="auto"/>
          <w:sz w:val="24"/>
          <w:lang w:val="zh-CN"/>
        </w:rPr>
        <w:t>《响应文件》的递交</w:t>
      </w:r>
      <w:bookmarkEnd w:id="20"/>
    </w:p>
    <w:p>
      <w:pPr>
        <w:autoSpaceDE w:val="0"/>
        <w:autoSpaceDN w:val="0"/>
        <w:adjustRightInd w:val="0"/>
        <w:snapToGrid w:val="0"/>
        <w:spacing w:beforeLines="50" w:line="300" w:lineRule="auto"/>
        <w:ind w:left="-145" w:leftChars="-69" w:firstLine="657" w:firstLineChars="274"/>
        <w:rPr>
          <w:rFonts w:ascii="宋体" w:hAnsi="宋体" w:cs="楷体_GB2312"/>
          <w:color w:val="auto"/>
          <w:sz w:val="24"/>
          <w:lang w:val="zh-CN"/>
        </w:rPr>
      </w:pPr>
      <w:r>
        <w:rPr>
          <w:rFonts w:ascii="宋体" w:hAnsi="宋体" w:cs="楷体_GB2312"/>
          <w:color w:val="auto"/>
          <w:sz w:val="24"/>
          <w:lang w:val="zh-CN"/>
        </w:rPr>
        <w:t>4.2.1</w:t>
      </w:r>
      <w:r>
        <w:rPr>
          <w:rFonts w:hint="eastAsia" w:ascii="宋体" w:hAnsi="宋体"/>
          <w:color w:val="auto"/>
          <w:sz w:val="24"/>
          <w:szCs w:val="24"/>
        </w:rPr>
        <w:t>供应商应在投标截止时间前上传加密的电子投标文件（*.aytf）到安阳市公共资源交易平台。上传时供应商须使用制作该投标文件的同一CA锁进行上传操作。请供应商在上传时认真检查上传投标文件是否完整、正确。供应商应充分考虑上传文件时的不可预见因素，未在投标截止时间前完成上传的，视为逾期送达，安阳市公共资源交易平台将拒绝接收。</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4.2.2 </w:t>
      </w:r>
      <w:r>
        <w:rPr>
          <w:rFonts w:hint="eastAsia" w:ascii="宋体" w:hAnsi="宋体" w:cs="楷体_GB2312"/>
          <w:color w:val="auto"/>
          <w:sz w:val="24"/>
          <w:lang w:val="zh-CN"/>
        </w:rPr>
        <w:t>据网上电子交易系统设</w:t>
      </w:r>
      <w:r>
        <w:rPr>
          <w:rFonts w:ascii="宋体" w:hAnsi="宋体" w:cs="楷体_GB2312"/>
          <w:color w:val="auto"/>
          <w:sz w:val="24"/>
          <w:lang w:val="zh-CN"/>
        </w:rPr>
        <w:t>定，</w:t>
      </w:r>
      <w:r>
        <w:rPr>
          <w:rFonts w:hint="eastAsia" w:ascii="宋体" w:hAnsi="宋体" w:cs="楷体_GB2312"/>
          <w:color w:val="auto"/>
          <w:sz w:val="24"/>
          <w:lang w:val="zh-CN"/>
        </w:rPr>
        <w:t>《响应文件》提交截止时间后，系统将自动锁定已经提交的电子《响应文件》，拒绝再次提交。供应商将无法通过网上电子交易系统进行上传，采购代理机构将无法接受并拒绝接受投标截止时间以后提</w:t>
      </w:r>
      <w:r>
        <w:rPr>
          <w:rFonts w:ascii="宋体" w:hAnsi="宋体" w:cs="楷体_GB2312"/>
          <w:color w:val="auto"/>
          <w:sz w:val="24"/>
          <w:lang w:val="zh-CN"/>
        </w:rPr>
        <w:t>交</w:t>
      </w:r>
      <w:r>
        <w:rPr>
          <w:rFonts w:hint="eastAsia" w:ascii="宋体" w:hAnsi="宋体" w:cs="楷体_GB2312"/>
          <w:color w:val="auto"/>
          <w:sz w:val="24"/>
          <w:lang w:val="zh-CN"/>
        </w:rPr>
        <w:t>的《响应文件》。</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4.2.3 </w:t>
      </w:r>
      <w:r>
        <w:rPr>
          <w:rFonts w:hint="eastAsia" w:ascii="宋体" w:hAnsi="宋体" w:cs="楷体_GB2312"/>
          <w:color w:val="auto"/>
          <w:sz w:val="24"/>
          <w:lang w:val="zh-CN"/>
        </w:rPr>
        <w:t>由于不可抗拒的原因，代理机构对《响应文件》的遗失和损坏不负任何责任。</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4.2.4 </w:t>
      </w:r>
      <w:r>
        <w:rPr>
          <w:rFonts w:hint="eastAsia" w:ascii="宋体" w:hAnsi="宋体" w:cs="楷体_GB2312"/>
          <w:color w:val="auto"/>
          <w:sz w:val="24"/>
          <w:lang w:val="zh-CN"/>
        </w:rPr>
        <w:t>除供应商须知前附表另有规定外，供应商所递交的《响应文件》不予退还。</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4.2.5 </w:t>
      </w:r>
      <w:r>
        <w:rPr>
          <w:rFonts w:hint="eastAsia" w:ascii="宋体" w:hAnsi="宋体" w:cs="楷体_GB2312"/>
          <w:b/>
          <w:color w:val="auto"/>
          <w:sz w:val="24"/>
          <w:lang w:val="zh-CN"/>
        </w:rPr>
        <w:t>基于</w:t>
      </w:r>
      <w:r>
        <w:rPr>
          <w:rFonts w:ascii="宋体" w:hAnsi="宋体" w:cs="楷体_GB2312"/>
          <w:b/>
          <w:color w:val="auto"/>
          <w:sz w:val="24"/>
          <w:lang w:val="zh-CN"/>
        </w:rPr>
        <w:t>网上电子交易的</w:t>
      </w:r>
      <w:r>
        <w:rPr>
          <w:rFonts w:hint="eastAsia" w:ascii="宋体" w:hAnsi="宋体" w:cs="楷体_GB2312"/>
          <w:b/>
          <w:color w:val="auto"/>
          <w:sz w:val="24"/>
          <w:lang w:val="zh-CN"/>
        </w:rPr>
        <w:t>系统</w:t>
      </w:r>
      <w:r>
        <w:rPr>
          <w:rFonts w:ascii="宋体" w:hAnsi="宋体" w:cs="楷体_GB2312"/>
          <w:b/>
          <w:color w:val="auto"/>
          <w:sz w:val="24"/>
          <w:lang w:val="zh-CN"/>
        </w:rPr>
        <w:t>要求及</w:t>
      </w:r>
      <w:r>
        <w:rPr>
          <w:rFonts w:hint="eastAsia" w:ascii="宋体" w:hAnsi="宋体" w:cs="楷体_GB2312"/>
          <w:b/>
          <w:color w:val="auto"/>
          <w:sz w:val="24"/>
          <w:lang w:val="zh-CN"/>
        </w:rPr>
        <w:t>特点</w:t>
      </w:r>
      <w:r>
        <w:rPr>
          <w:rFonts w:ascii="宋体" w:hAnsi="宋体" w:cs="楷体_GB2312"/>
          <w:b/>
          <w:color w:val="auto"/>
          <w:sz w:val="24"/>
          <w:lang w:val="zh-CN"/>
        </w:rPr>
        <w:t>，</w:t>
      </w:r>
      <w:r>
        <w:rPr>
          <w:rFonts w:hint="eastAsia" w:ascii="宋体" w:hAnsi="宋体" w:cs="楷体_GB2312"/>
          <w:b/>
          <w:color w:val="auto"/>
          <w:sz w:val="24"/>
          <w:lang w:val="zh-CN"/>
        </w:rPr>
        <w:t>只</w:t>
      </w:r>
      <w:r>
        <w:rPr>
          <w:rFonts w:ascii="宋体" w:hAnsi="宋体" w:cs="楷体_GB2312"/>
          <w:b/>
          <w:color w:val="auto"/>
          <w:sz w:val="24"/>
          <w:lang w:val="zh-CN"/>
        </w:rPr>
        <w:t>接受基于</w:t>
      </w:r>
      <w:r>
        <w:rPr>
          <w:rFonts w:hint="eastAsia" w:ascii="宋体" w:hAnsi="宋体" w:cs="楷体_GB2312"/>
          <w:b/>
          <w:color w:val="auto"/>
          <w:sz w:val="24"/>
          <w:lang w:val="zh-CN"/>
        </w:rPr>
        <w:t>符</w:t>
      </w:r>
      <w:r>
        <w:rPr>
          <w:rFonts w:ascii="宋体" w:hAnsi="宋体" w:cs="楷体_GB2312"/>
          <w:b/>
          <w:color w:val="auto"/>
          <w:sz w:val="24"/>
          <w:lang w:val="zh-CN"/>
        </w:rPr>
        <w:t>合</w:t>
      </w:r>
      <w:r>
        <w:rPr>
          <w:rFonts w:hint="eastAsia" w:ascii="宋体" w:hAnsi="宋体" w:cs="楷体_GB2312"/>
          <w:b/>
          <w:color w:val="auto"/>
          <w:sz w:val="24"/>
          <w:lang w:val="zh-CN"/>
        </w:rPr>
        <w:t>网上电子交易系统要</w:t>
      </w:r>
      <w:r>
        <w:rPr>
          <w:rFonts w:ascii="宋体" w:hAnsi="宋体" w:cs="楷体_GB2312"/>
          <w:b/>
          <w:color w:val="auto"/>
          <w:sz w:val="24"/>
          <w:lang w:val="zh-CN"/>
        </w:rPr>
        <w:t>求</w:t>
      </w:r>
      <w:r>
        <w:rPr>
          <w:rFonts w:hint="eastAsia" w:ascii="宋体" w:hAnsi="宋体" w:cs="楷体_GB2312"/>
          <w:b/>
          <w:color w:val="auto"/>
          <w:sz w:val="24"/>
          <w:lang w:val="zh-CN"/>
        </w:rPr>
        <w:t>的</w:t>
      </w:r>
      <w:r>
        <w:rPr>
          <w:rFonts w:ascii="宋体" w:hAnsi="宋体" w:cs="楷体_GB2312"/>
          <w:b/>
          <w:color w:val="auto"/>
          <w:sz w:val="24"/>
          <w:lang w:val="zh-CN"/>
        </w:rPr>
        <w:t>投标</w:t>
      </w:r>
      <w:r>
        <w:rPr>
          <w:rFonts w:hint="eastAsia" w:ascii="宋体" w:hAnsi="宋体" w:cs="楷体_GB2312"/>
          <w:b/>
          <w:color w:val="auto"/>
          <w:sz w:val="24"/>
          <w:lang w:val="zh-CN"/>
        </w:rPr>
        <w:t>，</w:t>
      </w:r>
      <w:r>
        <w:rPr>
          <w:rFonts w:ascii="宋体" w:hAnsi="宋体" w:cs="楷体_GB2312"/>
          <w:b/>
          <w:color w:val="auto"/>
          <w:sz w:val="24"/>
          <w:lang w:val="zh-CN"/>
        </w:rPr>
        <w:t>其他如纸制、送达、</w:t>
      </w:r>
      <w:r>
        <w:rPr>
          <w:rFonts w:hint="eastAsia" w:ascii="宋体" w:hAnsi="宋体" w:cs="楷体_GB2312"/>
          <w:b/>
          <w:color w:val="auto"/>
          <w:sz w:val="24"/>
          <w:lang w:val="zh-CN"/>
        </w:rPr>
        <w:t>电报、电话、电子邮件等形式的投标概不接受。</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ascii="黑体" w:hAnsi="黑体" w:eastAsia="黑体" w:cs="楷体_GB2312"/>
          <w:b/>
          <w:color w:val="auto"/>
          <w:sz w:val="24"/>
          <w:lang w:val="zh-CN"/>
        </w:rPr>
        <w:t xml:space="preserve">4.3 </w:t>
      </w:r>
      <w:r>
        <w:rPr>
          <w:rFonts w:hint="eastAsia" w:ascii="黑体" w:hAnsi="黑体" w:eastAsia="黑体" w:cs="楷体_GB2312"/>
          <w:b/>
          <w:color w:val="auto"/>
          <w:sz w:val="24"/>
          <w:lang w:val="zh-CN"/>
        </w:rPr>
        <w:t>《响应文件》的修改与撤回</w:t>
      </w:r>
      <w:r>
        <w:rPr>
          <w:rFonts w:hint="eastAsia" w:ascii="宋体" w:hAnsi="宋体" w:cs="楷体_GB2312"/>
          <w:color w:val="auto"/>
          <w:sz w:val="24"/>
          <w:lang w:val="zh-CN"/>
        </w:rPr>
        <w:t>：</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4.3.1</w:t>
      </w:r>
      <w:r>
        <w:rPr>
          <w:rFonts w:hint="eastAsia" w:ascii="宋体" w:hAnsi="宋体" w:cs="楷体_GB2312"/>
          <w:b/>
          <w:color w:val="auto"/>
          <w:sz w:val="24"/>
          <w:lang w:val="zh-CN"/>
        </w:rPr>
        <w:t xml:space="preserve"> 供应商于提交《响应文件》截止时间前如对《响应文件》进行补充、修改，可以上传新的《响应文件》进行覆盖。供应商如撤回《响应文件》，应及时书面通知采购代理机构进行办理。</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4.3.</w:t>
      </w:r>
      <w:r>
        <w:rPr>
          <w:rFonts w:hint="eastAsia" w:ascii="宋体" w:hAnsi="宋体" w:cs="楷体_GB2312"/>
          <w:b/>
          <w:color w:val="auto"/>
          <w:sz w:val="24"/>
          <w:lang w:val="zh-CN"/>
        </w:rPr>
        <w:t>2 供应商在《响应文件》提</w:t>
      </w:r>
      <w:r>
        <w:rPr>
          <w:rFonts w:ascii="宋体" w:hAnsi="宋体" w:cs="楷体_GB2312"/>
          <w:b/>
          <w:color w:val="auto"/>
          <w:sz w:val="24"/>
          <w:lang w:val="zh-CN"/>
        </w:rPr>
        <w:t>交</w:t>
      </w:r>
      <w:r>
        <w:rPr>
          <w:rFonts w:hint="eastAsia" w:ascii="宋体" w:hAnsi="宋体" w:cs="楷体_GB2312"/>
          <w:b/>
          <w:color w:val="auto"/>
          <w:sz w:val="24"/>
          <w:lang w:val="zh-CN"/>
        </w:rPr>
        <w:t>截止时间后不得自行修改或撤回其投标，否则</w:t>
      </w:r>
      <w:r>
        <w:rPr>
          <w:rFonts w:hint="eastAsia" w:ascii="宋体" w:hAnsi="宋体"/>
          <w:color w:val="auto"/>
          <w:sz w:val="24"/>
          <w:szCs w:val="24"/>
        </w:rPr>
        <w:t>依据磋商文件“第三章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”，供应商</w:t>
      </w:r>
      <w:r>
        <w:rPr>
          <w:rFonts w:hint="eastAsia" w:ascii="宋体" w:hAnsi="宋体" w:cs="楷体_GB2312"/>
          <w:color w:val="auto"/>
          <w:sz w:val="24"/>
          <w:szCs w:val="22"/>
        </w:rPr>
        <w:t>承担相应法律责任及违约责任。</w:t>
      </w:r>
    </w:p>
    <w:p>
      <w:pPr>
        <w:autoSpaceDE w:val="0"/>
        <w:autoSpaceDN w:val="0"/>
        <w:adjustRightInd w:val="0"/>
        <w:snapToGrid w:val="0"/>
        <w:spacing w:beforeLines="50" w:line="300" w:lineRule="auto"/>
        <w:rPr>
          <w:rFonts w:ascii="宋体" w:cs="楷体_GB2312"/>
          <w:color w:val="auto"/>
          <w:sz w:val="24"/>
          <w:lang w:val="zh-CN"/>
        </w:rPr>
      </w:pPr>
    </w:p>
    <w:p>
      <w:pPr>
        <w:autoSpaceDE w:val="0"/>
        <w:autoSpaceDN w:val="0"/>
        <w:adjustRightInd w:val="0"/>
        <w:snapToGrid w:val="0"/>
        <w:spacing w:beforeLines="50" w:line="300" w:lineRule="auto"/>
        <w:ind w:firstLine="539"/>
        <w:outlineLvl w:val="1"/>
        <w:rPr>
          <w:rFonts w:ascii="宋体" w:cs="楷体_GB2312"/>
          <w:color w:val="auto"/>
          <w:sz w:val="24"/>
          <w:lang w:val="zh-CN"/>
        </w:rPr>
      </w:pPr>
      <w:bookmarkStart w:id="22" w:name="_Toc65745047"/>
      <w:r>
        <w:rPr>
          <w:rFonts w:ascii="黑体" w:hAnsi="黑体" w:eastAsia="黑体" w:cs="楷体_GB2312"/>
          <w:b/>
          <w:bCs/>
          <w:color w:val="auto"/>
          <w:sz w:val="28"/>
          <w:szCs w:val="28"/>
          <w:lang w:val="zh-CN"/>
        </w:rPr>
        <w:t>5.</w:t>
      </w:r>
      <w:r>
        <w:rPr>
          <w:rFonts w:hint="eastAsia" w:ascii="黑体" w:hAnsi="黑体" w:eastAsia="黑体" w:cs="楷体_GB2312"/>
          <w:b/>
          <w:bCs/>
          <w:color w:val="auto"/>
          <w:sz w:val="28"/>
          <w:szCs w:val="28"/>
          <w:lang w:val="zh-CN"/>
        </w:rPr>
        <w:t>《响应文件》的开启</w:t>
      </w:r>
      <w:bookmarkEnd w:id="22"/>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5.1 </w:t>
      </w:r>
      <w:r>
        <w:rPr>
          <w:rFonts w:hint="eastAsia" w:ascii="黑体" w:hAnsi="黑体" w:eastAsia="黑体" w:cs="楷体_GB2312"/>
          <w:b/>
          <w:color w:val="auto"/>
          <w:sz w:val="24"/>
          <w:lang w:val="zh-CN"/>
        </w:rPr>
        <w:t>《响应文件》开启时间和地点</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5.1.1 </w:t>
      </w:r>
      <w:r>
        <w:rPr>
          <w:rFonts w:hint="eastAsia" w:ascii="宋体" w:hAnsi="宋体" w:cs="楷体_GB2312"/>
          <w:b/>
          <w:color w:val="auto"/>
          <w:sz w:val="24"/>
          <w:lang w:val="zh-CN"/>
        </w:rPr>
        <w:t>采购人和采购代理机构按“竞争性磋商</w:t>
      </w:r>
      <w:r>
        <w:rPr>
          <w:rFonts w:ascii="宋体" w:hAnsi="宋体" w:cs="楷体_GB2312"/>
          <w:b/>
          <w:color w:val="auto"/>
          <w:sz w:val="24"/>
          <w:lang w:val="zh-CN"/>
        </w:rPr>
        <w:t>公告</w:t>
      </w:r>
      <w:r>
        <w:rPr>
          <w:rFonts w:hint="eastAsia" w:ascii="宋体" w:hAnsi="宋体" w:cs="楷体_GB2312"/>
          <w:b/>
          <w:color w:val="auto"/>
          <w:sz w:val="24"/>
          <w:lang w:val="zh-CN"/>
        </w:rPr>
        <w:t>”规定的时间和地点于</w:t>
      </w:r>
      <w:r>
        <w:rPr>
          <w:rFonts w:ascii="宋体" w:hAnsi="宋体" w:cs="楷体_GB2312"/>
          <w:b/>
          <w:color w:val="auto"/>
          <w:sz w:val="24"/>
          <w:lang w:val="zh-CN"/>
        </w:rPr>
        <w:t>网上</w:t>
      </w:r>
      <w:r>
        <w:rPr>
          <w:rFonts w:hint="eastAsia" w:ascii="宋体" w:hAnsi="宋体" w:cs="楷体_GB2312"/>
          <w:b/>
          <w:color w:val="auto"/>
          <w:sz w:val="24"/>
          <w:lang w:val="zh-CN"/>
        </w:rPr>
        <w:t>（竞争性磋商公告所述网上电子交易系统</w:t>
      </w:r>
      <w:r>
        <w:rPr>
          <w:rFonts w:ascii="宋体" w:hAnsi="宋体" w:cs="楷体_GB2312"/>
          <w:b/>
          <w:color w:val="auto"/>
          <w:sz w:val="24"/>
          <w:lang w:val="zh-CN"/>
        </w:rPr>
        <w:t>）</w:t>
      </w:r>
      <w:r>
        <w:rPr>
          <w:rFonts w:hint="eastAsia" w:ascii="宋体" w:hAnsi="宋体" w:cs="楷体_GB2312"/>
          <w:b/>
          <w:color w:val="auto"/>
          <w:sz w:val="24"/>
          <w:lang w:val="zh-CN"/>
        </w:rPr>
        <w:t>公开《响应文件》开启。</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5.1.2</w:t>
      </w:r>
      <w:r>
        <w:rPr>
          <w:rFonts w:hint="eastAsia" w:ascii="宋体" w:hAnsi="宋体" w:cs="楷体_GB2312"/>
          <w:b/>
          <w:color w:val="auto"/>
          <w:sz w:val="24"/>
          <w:lang w:val="zh-CN"/>
        </w:rPr>
        <w:t xml:space="preserve"> 本项目采用远程不见面交易的模式，开标当日，供应商无需到开标现场参加开标会议，供应商应当在投标截止时间前，使用IE浏览器登录到安阳市公共资源交易不见面开标大厅，点击右上方【登录】按钮进入，在线准时参加开标活动并进行投标文件解密等。因供应商原因未能解密、解密失败或解密超时的将被拒绝。</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5.2 </w:t>
      </w:r>
      <w:r>
        <w:rPr>
          <w:rFonts w:hint="eastAsia" w:ascii="黑体" w:hAnsi="黑体" w:eastAsia="黑体" w:cs="楷体_GB2312"/>
          <w:b/>
          <w:color w:val="auto"/>
          <w:sz w:val="24"/>
          <w:lang w:val="zh-CN"/>
        </w:rPr>
        <w:t>《响应文件》开启程序</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5.2.1</w:t>
      </w:r>
      <w:r>
        <w:rPr>
          <w:rFonts w:hint="eastAsia" w:ascii="宋体" w:hAnsi="宋体" w:cs="楷体_GB2312"/>
          <w:b/>
          <w:color w:val="auto"/>
          <w:sz w:val="24"/>
          <w:lang w:val="zh-CN"/>
        </w:rPr>
        <w:t xml:space="preserve"> 本项目为网</w:t>
      </w:r>
      <w:r>
        <w:rPr>
          <w:rFonts w:ascii="宋体" w:hAnsi="宋体" w:cs="楷体_GB2312"/>
          <w:b/>
          <w:color w:val="auto"/>
          <w:sz w:val="24"/>
          <w:lang w:val="zh-CN"/>
        </w:rPr>
        <w:t>上</w:t>
      </w:r>
      <w:r>
        <w:rPr>
          <w:rFonts w:hint="eastAsia" w:ascii="宋体" w:hAnsi="宋体" w:cs="楷体_GB2312"/>
          <w:b/>
          <w:color w:val="auto"/>
          <w:sz w:val="24"/>
          <w:lang w:val="zh-CN"/>
        </w:rPr>
        <w:t>电子交易方</w:t>
      </w:r>
      <w:r>
        <w:rPr>
          <w:rFonts w:ascii="宋体" w:hAnsi="宋体" w:cs="楷体_GB2312"/>
          <w:b/>
          <w:color w:val="auto"/>
          <w:sz w:val="24"/>
          <w:lang w:val="zh-CN"/>
        </w:rPr>
        <w:t>式，</w:t>
      </w:r>
      <w:r>
        <w:rPr>
          <w:rFonts w:hint="eastAsia" w:ascii="宋体" w:hAnsi="宋体" w:cs="楷体_GB2312"/>
          <w:b/>
          <w:color w:val="auto"/>
          <w:sz w:val="24"/>
          <w:lang w:val="zh-CN"/>
        </w:rPr>
        <w:t>《响应文件》的开启方式为远程解密，为保证开启工作顺利进行，供应商需在开标阶段</w:t>
      </w:r>
      <w:r>
        <w:rPr>
          <w:rFonts w:ascii="宋体" w:hAnsi="宋体" w:cs="楷体_GB2312"/>
          <w:b/>
          <w:color w:val="auto"/>
          <w:sz w:val="24"/>
          <w:lang w:val="zh-CN"/>
        </w:rPr>
        <w:t>、在</w:t>
      </w:r>
      <w:r>
        <w:rPr>
          <w:rFonts w:hint="eastAsia" w:ascii="宋体" w:hAnsi="宋体" w:cs="楷体_GB2312"/>
          <w:b/>
          <w:color w:val="auto"/>
          <w:sz w:val="24"/>
          <w:lang w:val="zh-CN"/>
        </w:rPr>
        <w:t>管理员下达解密指令后的指定时限内，完成对本单位的加密《响应文件》的远程解密。如供应商因自身原因、在指定时限内没</w:t>
      </w:r>
      <w:r>
        <w:rPr>
          <w:rFonts w:ascii="宋体" w:hAnsi="宋体" w:cs="楷体_GB2312"/>
          <w:b/>
          <w:color w:val="auto"/>
          <w:sz w:val="24"/>
          <w:lang w:val="zh-CN"/>
        </w:rPr>
        <w:t>有</w:t>
      </w:r>
      <w:r>
        <w:rPr>
          <w:rFonts w:hint="eastAsia" w:ascii="宋体" w:hAnsi="宋体" w:cs="楷体_GB2312"/>
          <w:b/>
          <w:color w:val="auto"/>
          <w:sz w:val="24"/>
          <w:lang w:val="zh-CN"/>
        </w:rPr>
        <w:t>解密成功的，其投标将不能被接受，供应商自行承担相应后果。</w:t>
      </w:r>
    </w:p>
    <w:p>
      <w:pPr>
        <w:autoSpaceDE w:val="0"/>
        <w:autoSpaceDN w:val="0"/>
        <w:adjustRightInd w:val="0"/>
        <w:snapToGrid w:val="0"/>
        <w:spacing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鉴于网上电子交易方式的特点，管理员将根据系统情况下达解密指令。</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b/>
          <w:color w:val="auto"/>
          <w:sz w:val="24"/>
          <w:lang w:val="zh-CN"/>
        </w:rPr>
        <w:t>5.2.2</w:t>
      </w:r>
      <w:r>
        <w:rPr>
          <w:rFonts w:hint="eastAsia" w:ascii="宋体" w:hAnsi="宋体" w:cs="楷体_GB2312"/>
          <w:b/>
          <w:color w:val="auto"/>
          <w:sz w:val="24"/>
          <w:lang w:val="zh-CN"/>
        </w:rPr>
        <w:t xml:space="preserve"> 供应商对开标过程和开标记录有疑义，以及认为采购人、采购代理机构相关工作人员有需要回避的情形的，应在系统中提出询问或者回避申请，否则，视为对开标无异议。</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5.2.3 </w:t>
      </w:r>
      <w:r>
        <w:rPr>
          <w:rFonts w:hint="eastAsia" w:ascii="宋体" w:hAnsi="宋体" w:cs="楷体_GB2312"/>
          <w:color w:val="auto"/>
          <w:sz w:val="24"/>
          <w:lang w:val="zh-CN"/>
        </w:rPr>
        <w:t>在开标或评审过程中，有效投标应在三家以上（包括三家）；有效投标不足三家的应予终止（废标）。</w:t>
      </w:r>
    </w:p>
    <w:p>
      <w:pPr>
        <w:autoSpaceDE w:val="0"/>
        <w:autoSpaceDN w:val="0"/>
        <w:adjustRightInd w:val="0"/>
        <w:snapToGrid w:val="0"/>
        <w:spacing w:beforeLines="50" w:line="300" w:lineRule="auto"/>
        <w:ind w:firstLine="539"/>
        <w:rPr>
          <w:rFonts w:ascii="宋体" w:cs="楷体_GB2312"/>
          <w:color w:val="auto"/>
          <w:sz w:val="24"/>
          <w:lang w:val="zh-CN"/>
        </w:rPr>
      </w:pPr>
    </w:p>
    <w:p>
      <w:pPr>
        <w:autoSpaceDE w:val="0"/>
        <w:autoSpaceDN w:val="0"/>
        <w:adjustRightInd w:val="0"/>
        <w:snapToGrid w:val="0"/>
        <w:spacing w:beforeLines="50" w:line="300" w:lineRule="auto"/>
        <w:ind w:firstLine="539"/>
        <w:outlineLvl w:val="1"/>
        <w:rPr>
          <w:rFonts w:ascii="宋体" w:cs="楷体_GB2312"/>
          <w:color w:val="auto"/>
          <w:sz w:val="24"/>
          <w:lang w:val="zh-CN"/>
        </w:rPr>
      </w:pPr>
      <w:bookmarkStart w:id="23" w:name="_Toc65745048"/>
      <w:r>
        <w:rPr>
          <w:rFonts w:ascii="黑体" w:hAnsi="黑体" w:eastAsia="黑体" w:cs="楷体_GB2312"/>
          <w:b/>
          <w:bCs/>
          <w:color w:val="auto"/>
          <w:sz w:val="28"/>
          <w:szCs w:val="28"/>
          <w:lang w:val="zh-CN"/>
        </w:rPr>
        <w:t xml:space="preserve">6. </w:t>
      </w:r>
      <w:r>
        <w:rPr>
          <w:rFonts w:hint="eastAsia" w:ascii="黑体" w:hAnsi="黑体" w:eastAsia="黑体" w:cs="楷体_GB2312"/>
          <w:b/>
          <w:bCs/>
          <w:color w:val="auto"/>
          <w:sz w:val="28"/>
          <w:szCs w:val="28"/>
          <w:lang w:val="zh-CN"/>
        </w:rPr>
        <w:t>评审</w:t>
      </w:r>
      <w:bookmarkEnd w:id="23"/>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6.1 </w:t>
      </w:r>
      <w:r>
        <w:rPr>
          <w:rFonts w:hint="eastAsia" w:ascii="黑体" w:hAnsi="黑体" w:eastAsia="黑体" w:cs="楷体_GB2312"/>
          <w:b/>
          <w:color w:val="auto"/>
          <w:sz w:val="24"/>
          <w:lang w:val="zh-CN"/>
        </w:rPr>
        <w:t xml:space="preserve">磋商小组 </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评审工作由依法组建的磋商小组负责。磋商小组由采购人代表和评审专家共</w:t>
      </w:r>
      <w:r>
        <w:rPr>
          <w:rFonts w:ascii="宋体" w:hAnsi="宋体" w:cs="楷体_GB2312"/>
          <w:color w:val="auto"/>
          <w:sz w:val="24"/>
          <w:lang w:val="zh-CN"/>
        </w:rPr>
        <w:t>3</w:t>
      </w:r>
      <w:r>
        <w:rPr>
          <w:rFonts w:hint="eastAsia" w:ascii="宋体" w:hAnsi="宋体" w:cs="楷体_GB2312"/>
          <w:color w:val="auto"/>
          <w:sz w:val="24"/>
          <w:lang w:val="zh-CN"/>
        </w:rPr>
        <w:t>人及以上单数组成，其中评审专家人数不少于磋商小组成员总数的</w:t>
      </w:r>
      <w:r>
        <w:rPr>
          <w:rFonts w:ascii="宋体" w:hAnsi="宋体" w:cs="楷体_GB2312"/>
          <w:color w:val="auto"/>
          <w:sz w:val="24"/>
          <w:lang w:val="zh-CN"/>
        </w:rPr>
        <w:t>2/3</w:t>
      </w:r>
      <w:r>
        <w:rPr>
          <w:rFonts w:hint="eastAsia" w:ascii="宋体" w:hAnsi="宋体" w:cs="楷体_GB2312"/>
          <w:color w:val="auto"/>
          <w:sz w:val="24"/>
          <w:lang w:val="zh-CN"/>
        </w:rPr>
        <w:t>，评审专家是在监督部门监督下从政府采购专家库中随机抽取产生。</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6.2 </w:t>
      </w:r>
      <w:r>
        <w:rPr>
          <w:rFonts w:hint="eastAsia" w:ascii="黑体" w:hAnsi="黑体" w:eastAsia="黑体" w:cs="楷体_GB2312"/>
          <w:b/>
          <w:color w:val="auto"/>
          <w:sz w:val="24"/>
          <w:lang w:val="zh-CN"/>
        </w:rPr>
        <w:t>评审原则</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6.2.1 </w:t>
      </w:r>
      <w:r>
        <w:rPr>
          <w:rFonts w:hint="eastAsia" w:ascii="宋体" w:hAnsi="宋体" w:cs="楷体_GB2312"/>
          <w:color w:val="auto"/>
          <w:sz w:val="24"/>
          <w:lang w:val="zh-CN"/>
        </w:rPr>
        <w:t>坚持公开、公平、公正地对待所有供应商。</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6.2.2 </w:t>
      </w:r>
      <w:r>
        <w:rPr>
          <w:rFonts w:hint="eastAsia" w:ascii="宋体" w:hAnsi="宋体" w:cs="楷体_GB2312"/>
          <w:color w:val="auto"/>
          <w:sz w:val="24"/>
          <w:lang w:val="zh-CN"/>
        </w:rPr>
        <w:t>按照同一评审程序及方法审查所有供应商的《响应文件》。</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6.2.3 </w:t>
      </w:r>
      <w:r>
        <w:rPr>
          <w:rFonts w:hint="eastAsia" w:ascii="宋体" w:hAnsi="宋体" w:cs="楷体_GB2312"/>
          <w:color w:val="auto"/>
          <w:sz w:val="24"/>
          <w:lang w:val="zh-CN"/>
        </w:rPr>
        <w:t>反对不正当竞争</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6.3 </w:t>
      </w:r>
      <w:r>
        <w:rPr>
          <w:rFonts w:hint="eastAsia" w:ascii="黑体" w:hAnsi="黑体" w:eastAsia="黑体" w:cs="楷体_GB2312"/>
          <w:b/>
          <w:color w:val="auto"/>
          <w:sz w:val="24"/>
          <w:lang w:val="zh-CN"/>
        </w:rPr>
        <w:t>评审</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6.3.1</w:t>
      </w:r>
      <w:r>
        <w:rPr>
          <w:rFonts w:hint="eastAsia" w:ascii="宋体" w:hAnsi="宋体" w:cs="楷体_GB2312"/>
          <w:color w:val="auto"/>
          <w:sz w:val="24"/>
          <w:lang w:val="zh-CN"/>
        </w:rPr>
        <w:t>评审工作在磋商小组内独立进行。磋商小组按照第四章“评审办法”规定的方法、评审因素、标准和程序对《响应文件》进行评审。第四章“评审办法”没有规定的方法、评审因素和标准，不作为评审依据。</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6.3.2</w:t>
      </w:r>
      <w:r>
        <w:rPr>
          <w:rFonts w:hint="eastAsia" w:ascii="宋体" w:hAnsi="宋体" w:cs="楷体_GB2312"/>
          <w:color w:val="auto"/>
          <w:sz w:val="24"/>
          <w:lang w:val="zh-CN"/>
        </w:rPr>
        <w:t>在《响应文件》开启、评审期间，供应商不得向磋商小组成员询问情况，不得进行旨在影响评审结果的活动。</w:t>
      </w:r>
    </w:p>
    <w:p>
      <w:pPr>
        <w:autoSpaceDE w:val="0"/>
        <w:autoSpaceDN w:val="0"/>
        <w:adjustRightInd w:val="0"/>
        <w:snapToGrid w:val="0"/>
        <w:spacing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6.4 </w:t>
      </w:r>
      <w:r>
        <w:rPr>
          <w:rFonts w:hint="eastAsia" w:ascii="黑体" w:hAnsi="黑体" w:eastAsia="黑体" w:cs="楷体_GB2312"/>
          <w:b/>
          <w:color w:val="auto"/>
          <w:sz w:val="24"/>
          <w:lang w:val="zh-CN"/>
        </w:rPr>
        <w:t>磋商：</w:t>
      </w:r>
      <w:r>
        <w:rPr>
          <w:rFonts w:hint="eastAsia" w:ascii="宋体" w:hAnsi="宋体" w:cs="楷体_GB2312"/>
          <w:color w:val="auto"/>
          <w:sz w:val="24"/>
          <w:lang w:val="zh-CN"/>
        </w:rPr>
        <w:t>见第四章评审办法</w:t>
      </w:r>
      <w:r>
        <w:rPr>
          <w:rFonts w:ascii="宋体" w:hAnsi="宋体" w:cs="楷体_GB2312"/>
          <w:color w:val="auto"/>
          <w:sz w:val="24"/>
          <w:lang w:val="zh-CN"/>
        </w:rPr>
        <w:t>3.4</w:t>
      </w:r>
      <w:r>
        <w:rPr>
          <w:rFonts w:hint="eastAsia" w:ascii="宋体" w:hAnsi="宋体" w:cs="楷体_GB2312"/>
          <w:color w:val="auto"/>
          <w:sz w:val="24"/>
          <w:lang w:val="zh-CN"/>
        </w:rPr>
        <w:t>款磋商规则</w:t>
      </w:r>
    </w:p>
    <w:p>
      <w:pPr>
        <w:autoSpaceDE w:val="0"/>
        <w:autoSpaceDN w:val="0"/>
        <w:adjustRightInd w:val="0"/>
        <w:snapToGrid w:val="0"/>
        <w:spacing w:beforeLines="50" w:line="300" w:lineRule="auto"/>
        <w:ind w:firstLine="539"/>
        <w:rPr>
          <w:rFonts w:ascii="宋体" w:cs="楷体_GB2312"/>
          <w:color w:val="auto"/>
          <w:sz w:val="24"/>
          <w:lang w:val="zh-CN"/>
        </w:rPr>
      </w:pPr>
    </w:p>
    <w:p>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24" w:name="_Toc65745049"/>
      <w:r>
        <w:rPr>
          <w:rFonts w:ascii="黑体" w:hAnsi="黑体" w:eastAsia="黑体" w:cs="楷体_GB2312"/>
          <w:b/>
          <w:bCs/>
          <w:color w:val="auto"/>
          <w:sz w:val="28"/>
          <w:szCs w:val="28"/>
          <w:lang w:val="zh-CN"/>
        </w:rPr>
        <w:t xml:space="preserve">7. </w:t>
      </w:r>
      <w:r>
        <w:rPr>
          <w:rFonts w:hint="eastAsia" w:ascii="黑体" w:hAnsi="黑体" w:eastAsia="黑体" w:cs="楷体_GB2312"/>
          <w:b/>
          <w:bCs/>
          <w:color w:val="auto"/>
          <w:sz w:val="28"/>
          <w:szCs w:val="28"/>
          <w:lang w:val="zh-CN"/>
        </w:rPr>
        <w:t>授予合同</w:t>
      </w:r>
      <w:bookmarkEnd w:id="24"/>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7.1 </w:t>
      </w:r>
      <w:r>
        <w:rPr>
          <w:rFonts w:hint="eastAsia" w:ascii="黑体" w:hAnsi="黑体" w:eastAsia="黑体" w:cs="楷体_GB2312"/>
          <w:b/>
          <w:color w:val="auto"/>
          <w:sz w:val="24"/>
          <w:lang w:val="zh-CN"/>
        </w:rPr>
        <w:t>确定成交供应商方式</w:t>
      </w:r>
    </w:p>
    <w:p>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除供应商须知前附表规定授权磋商小组直接确定成交供应商外，采购人应当自收到评审报告之日起</w:t>
      </w:r>
      <w:r>
        <w:rPr>
          <w:rFonts w:ascii="宋体" w:hAnsi="宋体" w:cs="楷体_GB2312"/>
          <w:color w:val="auto"/>
          <w:sz w:val="24"/>
          <w:lang w:val="zh-CN"/>
        </w:rPr>
        <w:t>5</w:t>
      </w:r>
      <w:r>
        <w:rPr>
          <w:rFonts w:hint="eastAsia" w:ascii="宋体" w:hAnsi="宋体" w:cs="楷体_GB2312"/>
          <w:color w:val="auto"/>
          <w:sz w:val="24"/>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磋商小组提出的成交候选人名单排序依次确定其他成交候选人为成交供应商，也可以重新采购。</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7.2 </w:t>
      </w:r>
      <w:r>
        <w:rPr>
          <w:rFonts w:hint="eastAsia" w:ascii="黑体" w:hAnsi="黑体" w:eastAsia="黑体" w:cs="楷体_GB2312"/>
          <w:b/>
          <w:color w:val="auto"/>
          <w:sz w:val="24"/>
          <w:lang w:val="zh-CN"/>
        </w:rPr>
        <w:t>成交结果公告</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采购代理机构在成交供应商确定当天在竞争性磋商公告所述媒体公告成交结果。同时向成交供应商发出成交通知书。成交结果公告期限为</w:t>
      </w:r>
      <w:r>
        <w:rPr>
          <w:rFonts w:ascii="宋体" w:hAnsi="宋体" w:cs="楷体_GB2312"/>
          <w:color w:val="auto"/>
          <w:sz w:val="24"/>
          <w:lang w:val="zh-CN"/>
        </w:rPr>
        <w:t>1</w:t>
      </w:r>
      <w:r>
        <w:rPr>
          <w:rFonts w:hint="eastAsia" w:ascii="宋体" w:hAnsi="宋体" w:cs="楷体_GB2312"/>
          <w:color w:val="auto"/>
          <w:sz w:val="24"/>
          <w:lang w:val="zh-CN"/>
        </w:rPr>
        <w:t>个工作日。</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7.3 </w:t>
      </w:r>
      <w:r>
        <w:rPr>
          <w:rFonts w:hint="eastAsia" w:ascii="黑体" w:hAnsi="黑体" w:eastAsia="黑体" w:cs="楷体_GB2312"/>
          <w:b/>
          <w:color w:val="auto"/>
          <w:sz w:val="24"/>
          <w:lang w:val="zh-CN"/>
        </w:rPr>
        <w:t>质疑：</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olor w:val="auto"/>
          <w:sz w:val="24"/>
        </w:rPr>
        <w:t>7.3.1</w:t>
      </w:r>
      <w:r>
        <w:rPr>
          <w:rFonts w:hint="eastAsia" w:ascii="宋体" w:hAnsi="宋体" w:cs="楷体_GB2312"/>
          <w:color w:val="auto"/>
          <w:sz w:val="24"/>
          <w:lang w:val="zh-CN"/>
        </w:rPr>
        <w:t>见供应商须知前附表</w:t>
      </w:r>
    </w:p>
    <w:p>
      <w:pPr>
        <w:adjustRightInd w:val="0"/>
        <w:snapToGrid w:val="0"/>
        <w:spacing w:beforeLines="50" w:line="240" w:lineRule="auto"/>
        <w:ind w:firstLine="600" w:firstLineChars="250"/>
        <w:rPr>
          <w:rFonts w:ascii="宋体"/>
          <w:color w:val="auto"/>
          <w:sz w:val="24"/>
        </w:rPr>
      </w:pPr>
      <w:r>
        <w:rPr>
          <w:rFonts w:ascii="宋体" w:hAnsi="宋体"/>
          <w:color w:val="auto"/>
          <w:sz w:val="24"/>
        </w:rPr>
        <w:t>7.3.2</w:t>
      </w:r>
      <w:r>
        <w:rPr>
          <w:rFonts w:hint="eastAsia" w:ascii="宋体" w:hAnsi="宋体"/>
          <w:color w:val="auto"/>
          <w:sz w:val="24"/>
        </w:rPr>
        <w:t>询问或者质疑事项可能影响成交结果的，采购人应当暂停签订合同，已经签订合同的，应当中止履行合同。</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7.4 </w:t>
      </w:r>
      <w:r>
        <w:rPr>
          <w:rFonts w:hint="eastAsia" w:ascii="黑体" w:hAnsi="黑体" w:eastAsia="黑体" w:cs="楷体_GB2312"/>
          <w:b/>
          <w:color w:val="auto"/>
          <w:sz w:val="24"/>
          <w:lang w:val="zh-CN"/>
        </w:rPr>
        <w:t>成交通知：</w:t>
      </w:r>
      <w:r>
        <w:rPr>
          <w:rFonts w:hint="eastAsia" w:ascii="宋体" w:hAnsi="宋体" w:cs="楷体_GB2312"/>
          <w:color w:val="auto"/>
          <w:sz w:val="24"/>
          <w:lang w:val="zh-CN"/>
        </w:rPr>
        <w:t>见供应商须知前附表</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7.5 </w:t>
      </w:r>
      <w:r>
        <w:rPr>
          <w:rFonts w:hint="eastAsia" w:ascii="黑体" w:hAnsi="黑体" w:eastAsia="黑体" w:cs="楷体_GB2312"/>
          <w:b/>
          <w:color w:val="auto"/>
          <w:sz w:val="24"/>
          <w:lang w:val="zh-CN"/>
        </w:rPr>
        <w:t>履约保证金</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7.5.1</w:t>
      </w:r>
      <w:r>
        <w:rPr>
          <w:rFonts w:hint="eastAsia" w:ascii="宋体" w:hAnsi="宋体" w:cs="楷体_GB2312"/>
          <w:color w:val="auto"/>
          <w:sz w:val="24"/>
          <w:lang w:val="zh-CN"/>
        </w:rPr>
        <w:t>在签订合同时，成交供应商应按供应商须知前附表规定向采购人提交履约保证金。</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7.5.2 </w:t>
      </w:r>
      <w:r>
        <w:rPr>
          <w:rFonts w:hint="eastAsia" w:ascii="宋体" w:hAnsi="宋体" w:cs="楷体_GB2312"/>
          <w:color w:val="auto"/>
          <w:sz w:val="24"/>
          <w:lang w:val="zh-CN"/>
        </w:rPr>
        <w:t>成交供应商不能按本章第</w:t>
      </w:r>
      <w:r>
        <w:rPr>
          <w:rFonts w:ascii="宋体" w:hAnsi="宋体" w:cs="楷体_GB2312"/>
          <w:color w:val="auto"/>
          <w:sz w:val="24"/>
          <w:lang w:val="zh-CN"/>
        </w:rPr>
        <w:t>7.5.1</w:t>
      </w:r>
      <w:r>
        <w:rPr>
          <w:rFonts w:hint="eastAsia" w:ascii="宋体" w:hAnsi="宋体" w:cs="楷体_GB2312"/>
          <w:color w:val="auto"/>
          <w:sz w:val="24"/>
          <w:lang w:val="zh-CN"/>
        </w:rPr>
        <w:t>项要求提交履约保证金的，视为放弃成交资格，</w:t>
      </w:r>
      <w:r>
        <w:rPr>
          <w:rFonts w:hint="eastAsia" w:ascii="宋体" w:hAnsi="宋体"/>
          <w:color w:val="auto"/>
          <w:sz w:val="24"/>
          <w:szCs w:val="24"/>
        </w:rPr>
        <w:t>依据磋商文件“第三章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”，供应商</w:t>
      </w:r>
      <w:r>
        <w:rPr>
          <w:rFonts w:hint="eastAsia" w:ascii="宋体" w:hAnsi="宋体" w:cs="楷体_GB2312"/>
          <w:color w:val="auto"/>
          <w:sz w:val="24"/>
          <w:szCs w:val="22"/>
        </w:rPr>
        <w:t>承担相应法律责任及违约责任。</w:t>
      </w:r>
      <w:r>
        <w:rPr>
          <w:rFonts w:hint="eastAsia" w:ascii="宋体" w:hAnsi="宋体" w:cs="楷体_GB2312"/>
          <w:color w:val="auto"/>
          <w:sz w:val="24"/>
          <w:lang w:val="zh-CN"/>
        </w:rPr>
        <w:t>给采购人及采购代理机构造成损失的，成交供应商应当予以赔偿。</w:t>
      </w:r>
    </w:p>
    <w:p>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7.6 </w:t>
      </w:r>
      <w:r>
        <w:rPr>
          <w:rFonts w:hint="eastAsia" w:ascii="黑体" w:hAnsi="黑体" w:eastAsia="黑体" w:cs="楷体_GB2312"/>
          <w:b/>
          <w:color w:val="auto"/>
          <w:sz w:val="24"/>
          <w:lang w:val="zh-CN"/>
        </w:rPr>
        <w:t>签订合同</w:t>
      </w:r>
    </w:p>
    <w:p>
      <w:pPr>
        <w:autoSpaceDE w:val="0"/>
        <w:autoSpaceDN w:val="0"/>
        <w:adjustRightInd w:val="0"/>
        <w:snapToGrid w:val="0"/>
        <w:spacing w:beforeLines="50" w:line="300" w:lineRule="auto"/>
        <w:ind w:firstLine="539"/>
        <w:rPr>
          <w:rFonts w:ascii="宋体" w:hAnsi="宋体"/>
          <w:color w:val="auto"/>
          <w:sz w:val="24"/>
        </w:rPr>
      </w:pPr>
      <w:r>
        <w:rPr>
          <w:rFonts w:ascii="宋体" w:hAnsi="宋体"/>
          <w:color w:val="auto"/>
          <w:sz w:val="24"/>
        </w:rPr>
        <w:t xml:space="preserve">7.6.1 </w:t>
      </w:r>
      <w:r>
        <w:rPr>
          <w:rFonts w:hint="eastAsia" w:ascii="宋体" w:hAnsi="宋体"/>
          <w:color w:val="auto"/>
          <w:sz w:val="24"/>
        </w:rPr>
        <w:t>据优化营商环境精神，成交供应商应在《成交通知书》发出后2个工作日内，按照《磋商文件》确定的合同文本以及成交标的、技术和服务等事项与采购人签订</w:t>
      </w:r>
      <w:r>
        <w:rPr>
          <w:rFonts w:hint="eastAsia" w:ascii="宋体" w:hAnsi="宋体" w:cs="楷体_GB2312"/>
          <w:color w:val="auto"/>
          <w:sz w:val="24"/>
          <w:lang w:val="zh-CN"/>
        </w:rPr>
        <w:t>书面</w:t>
      </w:r>
      <w:r>
        <w:rPr>
          <w:rFonts w:hint="eastAsia" w:ascii="宋体" w:hAnsi="宋体"/>
          <w:color w:val="auto"/>
          <w:sz w:val="24"/>
        </w:rPr>
        <w:t>政府采购合同。</w:t>
      </w:r>
    </w:p>
    <w:p>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olor w:val="auto"/>
          <w:sz w:val="24"/>
        </w:rPr>
        <w:t xml:space="preserve">7.6.2 </w:t>
      </w:r>
      <w:r>
        <w:rPr>
          <w:rFonts w:hint="eastAsia" w:ascii="宋体" w:hAnsi="宋体"/>
          <w:color w:val="auto"/>
          <w:sz w:val="24"/>
        </w:rPr>
        <w:t>如成交供应商不按时签订合同、</w:t>
      </w:r>
      <w:r>
        <w:rPr>
          <w:rFonts w:hint="eastAsia" w:ascii="宋体" w:hAnsi="宋体" w:cs="楷体_GB2312"/>
          <w:color w:val="auto"/>
          <w:sz w:val="24"/>
          <w:lang w:val="zh-CN"/>
        </w:rPr>
        <w:t>拒签合同的，取消其成交资格，</w:t>
      </w:r>
      <w:r>
        <w:rPr>
          <w:rFonts w:hint="eastAsia" w:ascii="宋体" w:hAnsi="宋体"/>
          <w:color w:val="auto"/>
          <w:sz w:val="24"/>
          <w:szCs w:val="24"/>
        </w:rPr>
        <w:t>依据磋商文件“第三章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”，供应商</w:t>
      </w:r>
      <w:r>
        <w:rPr>
          <w:rFonts w:hint="eastAsia" w:ascii="宋体" w:hAnsi="宋体" w:cs="楷体_GB2312"/>
          <w:color w:val="auto"/>
          <w:sz w:val="24"/>
          <w:szCs w:val="22"/>
        </w:rPr>
        <w:t>承担相应法律责任及违约责任。</w:t>
      </w:r>
      <w:r>
        <w:rPr>
          <w:rFonts w:hint="eastAsia" w:ascii="宋体" w:hAnsi="宋体" w:cs="楷体_GB2312"/>
          <w:color w:val="auto"/>
          <w:sz w:val="24"/>
          <w:lang w:val="zh-CN"/>
        </w:rPr>
        <w:t>给采购人造成的损失，成交供应商应予以赔偿。</w:t>
      </w:r>
    </w:p>
    <w:p>
      <w:pPr>
        <w:widowControl w:val="0"/>
        <w:adjustRightInd w:val="0"/>
        <w:snapToGrid w:val="0"/>
        <w:spacing w:beforeLines="50" w:line="300" w:lineRule="auto"/>
        <w:ind w:firstLine="566"/>
        <w:rPr>
          <w:rFonts w:ascii="宋体" w:hAnsi="宋体"/>
          <w:color w:val="auto"/>
          <w:sz w:val="24"/>
          <w:szCs w:val="24"/>
        </w:rPr>
      </w:pPr>
      <w:r>
        <w:rPr>
          <w:color w:val="auto"/>
          <w:sz w:val="24"/>
          <w:szCs w:val="24"/>
        </w:rPr>
        <w:t>7.6.3</w:t>
      </w:r>
      <w:r>
        <w:rPr>
          <w:rFonts w:hint="eastAsia"/>
          <w:color w:val="auto"/>
          <w:sz w:val="24"/>
          <w:szCs w:val="24"/>
        </w:rPr>
        <w:t>合同生效：成交供应商与采购人签订的合同，双方签字后盖章生效。</w:t>
      </w:r>
      <w:r>
        <w:rPr>
          <w:rFonts w:hint="eastAsia" w:ascii="宋体" w:hAnsi="宋体"/>
          <w:color w:val="auto"/>
          <w:sz w:val="24"/>
          <w:szCs w:val="24"/>
        </w:rPr>
        <w:t>采购人要在合同签订后1个工作日内登陆安阳市政府采购网进行备案并公告。</w:t>
      </w:r>
    </w:p>
    <w:p>
      <w:pPr>
        <w:widowControl w:val="0"/>
        <w:adjustRightInd w:val="0"/>
        <w:snapToGrid w:val="0"/>
        <w:spacing w:beforeLines="50" w:line="300" w:lineRule="auto"/>
        <w:ind w:firstLine="566"/>
        <w:rPr>
          <w:color w:val="auto"/>
          <w:sz w:val="24"/>
          <w:szCs w:val="24"/>
        </w:rPr>
      </w:pPr>
      <w:r>
        <w:rPr>
          <w:color w:val="auto"/>
          <w:sz w:val="24"/>
          <w:szCs w:val="24"/>
        </w:rPr>
        <w:t>7.6.4</w:t>
      </w:r>
      <w:r>
        <w:rPr>
          <w:rFonts w:hint="eastAsia"/>
          <w:color w:val="auto"/>
          <w:sz w:val="24"/>
          <w:szCs w:val="24"/>
        </w:rPr>
        <w:t>《成交通知书》、《磋商文件》</w:t>
      </w:r>
      <w:r>
        <w:rPr>
          <w:rFonts w:hint="eastAsia"/>
          <w:color w:val="auto"/>
          <w:spacing w:val="20"/>
          <w:sz w:val="24"/>
          <w:szCs w:val="24"/>
        </w:rPr>
        <w:t>及其修改补充澄清</w:t>
      </w:r>
      <w:r>
        <w:rPr>
          <w:rFonts w:hint="eastAsia"/>
          <w:color w:val="auto"/>
          <w:sz w:val="24"/>
          <w:szCs w:val="24"/>
        </w:rPr>
        <w:t>、成交供应商的《响应文件》及</w:t>
      </w:r>
      <w:r>
        <w:rPr>
          <w:rFonts w:hint="eastAsia"/>
          <w:color w:val="auto"/>
          <w:spacing w:val="20"/>
          <w:sz w:val="24"/>
          <w:szCs w:val="24"/>
        </w:rPr>
        <w:t>其修改补充澄清</w:t>
      </w:r>
      <w:r>
        <w:rPr>
          <w:rFonts w:hint="eastAsia"/>
          <w:color w:val="auto"/>
          <w:sz w:val="24"/>
          <w:szCs w:val="24"/>
        </w:rPr>
        <w:t>等，均为签订合同的依据。所定合同不得对《磋商文件》和成交供应商的《响应文件》作实质性修改，采购人和成交供应商不得私下订立背离合同实质性内容的协议。</w:t>
      </w:r>
    </w:p>
    <w:p>
      <w:pPr>
        <w:widowControl w:val="0"/>
        <w:adjustRightInd w:val="0"/>
        <w:snapToGrid w:val="0"/>
        <w:spacing w:beforeLines="50" w:line="300" w:lineRule="auto"/>
        <w:ind w:firstLine="549"/>
        <w:rPr>
          <w:color w:val="auto"/>
          <w:sz w:val="24"/>
          <w:szCs w:val="24"/>
        </w:rPr>
      </w:pPr>
      <w:r>
        <w:rPr>
          <w:color w:val="auto"/>
          <w:sz w:val="24"/>
          <w:szCs w:val="24"/>
        </w:rPr>
        <w:t xml:space="preserve">7.6.5 </w:t>
      </w:r>
      <w:r>
        <w:rPr>
          <w:rFonts w:hint="eastAsia"/>
          <w:color w:val="auto"/>
          <w:sz w:val="24"/>
          <w:szCs w:val="24"/>
        </w:rPr>
        <w:t>评审会后，成交供应商、采购人之间擅自私下谈判、变更中标（成交）标的、价格及《磋商文件》《响应文件》实质性内容的，有关部门将按《中华人民共和国政府采购法》及相关法规的规定处理。</w:t>
      </w:r>
    </w:p>
    <w:p>
      <w:pPr>
        <w:widowControl w:val="0"/>
        <w:adjustRightInd w:val="0"/>
        <w:snapToGrid w:val="0"/>
        <w:spacing w:beforeLines="50" w:line="300" w:lineRule="auto"/>
        <w:ind w:firstLine="549"/>
        <w:rPr>
          <w:color w:val="auto"/>
          <w:sz w:val="24"/>
          <w:szCs w:val="24"/>
        </w:rPr>
      </w:pPr>
      <w:r>
        <w:rPr>
          <w:color w:val="auto"/>
          <w:sz w:val="24"/>
          <w:szCs w:val="24"/>
        </w:rPr>
        <w:t>7.6.</w:t>
      </w:r>
      <w:r>
        <w:rPr>
          <w:rFonts w:hint="eastAsia"/>
          <w:color w:val="auto"/>
          <w:sz w:val="24"/>
          <w:szCs w:val="24"/>
        </w:rPr>
        <w:t>6</w:t>
      </w:r>
      <w:r>
        <w:rPr>
          <w:color w:val="auto"/>
          <w:sz w:val="24"/>
          <w:szCs w:val="24"/>
        </w:rPr>
        <w:t xml:space="preserve"> </w:t>
      </w:r>
      <w:r>
        <w:rPr>
          <w:rFonts w:hint="eastAsia"/>
          <w:color w:val="auto"/>
          <w:sz w:val="24"/>
          <w:szCs w:val="24"/>
        </w:rPr>
        <w:t>采购人与成交供应商签订《政府采购合同》后，合同履行中产生的纠纷、争议，由采购人与成交供应商按合同条款及《中华人民共和国民法典》处理。</w:t>
      </w:r>
    </w:p>
    <w:p>
      <w:pPr>
        <w:widowControl w:val="0"/>
        <w:adjustRightInd w:val="0"/>
        <w:snapToGrid w:val="0"/>
        <w:spacing w:beforeLines="50" w:line="300" w:lineRule="auto"/>
        <w:ind w:firstLine="555"/>
        <w:rPr>
          <w:rFonts w:ascii="黑体" w:hAnsi="黑体" w:eastAsia="黑体" w:cs="楷体_GB2312"/>
          <w:b/>
          <w:color w:val="auto"/>
          <w:sz w:val="24"/>
          <w:lang w:val="zh-CN"/>
        </w:rPr>
      </w:pPr>
      <w:r>
        <w:rPr>
          <w:rFonts w:ascii="黑体" w:hAnsi="黑体" w:eastAsia="黑体" w:cs="楷体_GB2312"/>
          <w:b/>
          <w:color w:val="auto"/>
          <w:sz w:val="24"/>
          <w:lang w:val="zh-CN"/>
        </w:rPr>
        <w:t xml:space="preserve">7.7 </w:t>
      </w:r>
      <w:r>
        <w:rPr>
          <w:rFonts w:hint="eastAsia" w:ascii="黑体" w:hAnsi="黑体" w:eastAsia="黑体" w:cs="楷体_GB2312"/>
          <w:b/>
          <w:color w:val="auto"/>
          <w:sz w:val="24"/>
          <w:lang w:val="zh-CN"/>
        </w:rPr>
        <w:t>合同补充变更</w:t>
      </w:r>
    </w:p>
    <w:p>
      <w:pPr>
        <w:widowControl w:val="0"/>
        <w:adjustRightInd w:val="0"/>
        <w:snapToGrid w:val="0"/>
        <w:spacing w:beforeLines="50" w:line="300" w:lineRule="auto"/>
        <w:ind w:firstLine="555"/>
        <w:rPr>
          <w:color w:val="auto"/>
          <w:sz w:val="24"/>
          <w:szCs w:val="24"/>
        </w:rPr>
      </w:pPr>
      <w:r>
        <w:rPr>
          <w:color w:val="auto"/>
          <w:sz w:val="24"/>
          <w:szCs w:val="24"/>
        </w:rPr>
        <w:t xml:space="preserve">7.7.1 </w:t>
      </w:r>
      <w:r>
        <w:rPr>
          <w:rFonts w:hint="eastAsia"/>
          <w:color w:val="auto"/>
          <w:sz w:val="24"/>
          <w:szCs w:val="24"/>
        </w:rPr>
        <w:t>政府采购合同履行中，采购人需追加或减少与合同标的相同的货物</w:t>
      </w:r>
      <w:r>
        <w:rPr>
          <w:rFonts w:hint="eastAsia" w:ascii="宋体" w:hAnsi="宋体"/>
          <w:color w:val="auto"/>
          <w:sz w:val="24"/>
          <w:szCs w:val="24"/>
        </w:rPr>
        <w:t>、工程和服务的</w:t>
      </w:r>
      <w:r>
        <w:rPr>
          <w:rFonts w:hint="eastAsia"/>
          <w:color w:val="auto"/>
          <w:sz w:val="24"/>
          <w:szCs w:val="24"/>
        </w:rPr>
        <w:t>（即追加或减少原合同标的数量），在不改变合同条款（包括原合同单价）的前提下，双方可以协商签订补充合同，但所有补充合同总金额不得超过原合同采购金额的</w:t>
      </w:r>
      <w:r>
        <w:rPr>
          <w:color w:val="auto"/>
          <w:sz w:val="24"/>
          <w:szCs w:val="24"/>
        </w:rPr>
        <w:t>10%</w:t>
      </w:r>
      <w:r>
        <w:rPr>
          <w:rFonts w:hint="eastAsia"/>
          <w:color w:val="auto"/>
          <w:sz w:val="24"/>
          <w:szCs w:val="24"/>
        </w:rPr>
        <w:t>，不得调增原合同单价，不得超出项目预算，超过原合同采购金额的</w:t>
      </w:r>
      <w:r>
        <w:rPr>
          <w:color w:val="auto"/>
          <w:sz w:val="24"/>
          <w:szCs w:val="24"/>
        </w:rPr>
        <w:t>10%</w:t>
      </w:r>
      <w:r>
        <w:rPr>
          <w:rFonts w:hint="eastAsia"/>
          <w:color w:val="auto"/>
          <w:sz w:val="24"/>
          <w:szCs w:val="24"/>
        </w:rPr>
        <w:t>，应重新组织采购活动。</w:t>
      </w:r>
    </w:p>
    <w:p>
      <w:pPr>
        <w:widowControl w:val="0"/>
        <w:adjustRightInd w:val="0"/>
        <w:snapToGrid w:val="0"/>
        <w:spacing w:beforeLines="50" w:line="300" w:lineRule="auto"/>
        <w:ind w:firstLine="555"/>
        <w:rPr>
          <w:color w:val="auto"/>
          <w:sz w:val="24"/>
          <w:szCs w:val="24"/>
        </w:rPr>
      </w:pPr>
      <w:r>
        <w:rPr>
          <w:b/>
          <w:color w:val="auto"/>
          <w:sz w:val="24"/>
          <w:szCs w:val="24"/>
        </w:rPr>
        <w:t>7.7.2</w:t>
      </w:r>
      <w:r>
        <w:rPr>
          <w:rFonts w:hint="eastAsia"/>
          <w:color w:val="auto"/>
          <w:sz w:val="24"/>
          <w:szCs w:val="24"/>
        </w:rPr>
        <w:t>采购人需追加或减少的货物</w:t>
      </w:r>
      <w:r>
        <w:rPr>
          <w:rFonts w:hint="eastAsia" w:ascii="宋体" w:hAnsi="宋体"/>
          <w:color w:val="auto"/>
          <w:sz w:val="24"/>
          <w:szCs w:val="24"/>
        </w:rPr>
        <w:t>、工程和服务的</w:t>
      </w:r>
      <w:r>
        <w:rPr>
          <w:rFonts w:hint="eastAsia"/>
          <w:color w:val="auto"/>
          <w:sz w:val="24"/>
          <w:szCs w:val="24"/>
        </w:rPr>
        <w:t>金额达到</w:t>
      </w:r>
      <w:r>
        <w:rPr>
          <w:color w:val="auto"/>
          <w:sz w:val="24"/>
          <w:szCs w:val="24"/>
        </w:rPr>
        <w:t>50</w:t>
      </w:r>
      <w:r>
        <w:rPr>
          <w:rFonts w:hint="eastAsia"/>
          <w:color w:val="auto"/>
          <w:sz w:val="24"/>
          <w:szCs w:val="24"/>
        </w:rPr>
        <w:t>万元以上（含</w:t>
      </w:r>
      <w:r>
        <w:rPr>
          <w:color w:val="auto"/>
          <w:sz w:val="24"/>
          <w:szCs w:val="24"/>
        </w:rPr>
        <w:t>50</w:t>
      </w:r>
      <w:r>
        <w:rPr>
          <w:rFonts w:hint="eastAsia"/>
          <w:color w:val="auto"/>
          <w:sz w:val="24"/>
          <w:szCs w:val="24"/>
        </w:rPr>
        <w:t>万元）、且超过中标（成交）价</w:t>
      </w:r>
      <w:r>
        <w:rPr>
          <w:color w:val="auto"/>
          <w:sz w:val="24"/>
          <w:szCs w:val="24"/>
        </w:rPr>
        <w:t>3%</w:t>
      </w:r>
      <w:r>
        <w:rPr>
          <w:rFonts w:hint="eastAsia"/>
          <w:color w:val="auto"/>
          <w:sz w:val="24"/>
          <w:szCs w:val="24"/>
        </w:rPr>
        <w:t>的，采购人应当自确定变更之日起</w:t>
      </w:r>
      <w:r>
        <w:rPr>
          <w:color w:val="auto"/>
          <w:sz w:val="24"/>
          <w:szCs w:val="24"/>
        </w:rPr>
        <w:t>5</w:t>
      </w:r>
      <w:r>
        <w:rPr>
          <w:rFonts w:hint="eastAsia"/>
          <w:color w:val="auto"/>
          <w:sz w:val="24"/>
          <w:szCs w:val="24"/>
        </w:rPr>
        <w:t>个工作日内将变更情况及事由报送同级监察机关。</w:t>
      </w:r>
    </w:p>
    <w:p>
      <w:pPr>
        <w:widowControl w:val="0"/>
        <w:adjustRightInd w:val="0"/>
        <w:snapToGrid w:val="0"/>
        <w:spacing w:beforeLines="50" w:line="300" w:lineRule="auto"/>
        <w:ind w:firstLine="555"/>
        <w:rPr>
          <w:color w:val="auto"/>
          <w:sz w:val="24"/>
          <w:szCs w:val="24"/>
        </w:rPr>
      </w:pPr>
      <w:r>
        <w:rPr>
          <w:rFonts w:hint="eastAsia"/>
          <w:color w:val="auto"/>
          <w:sz w:val="24"/>
          <w:szCs w:val="24"/>
        </w:rPr>
        <w:t>采购项目在中标（成交）后经有关行政机关批准变更的，批准的行政机关应当自批准之日起</w:t>
      </w:r>
      <w:r>
        <w:rPr>
          <w:color w:val="auto"/>
          <w:sz w:val="24"/>
          <w:szCs w:val="24"/>
        </w:rPr>
        <w:t>3</w:t>
      </w:r>
      <w:r>
        <w:rPr>
          <w:rFonts w:hint="eastAsia"/>
          <w:color w:val="auto"/>
          <w:sz w:val="24"/>
          <w:szCs w:val="24"/>
        </w:rPr>
        <w:t>个工作日内将批准文件抄送同级监察机关备案。</w:t>
      </w:r>
    </w:p>
    <w:p>
      <w:pPr>
        <w:widowControl w:val="0"/>
        <w:adjustRightInd w:val="0"/>
        <w:snapToGrid w:val="0"/>
        <w:spacing w:beforeLines="50" w:line="300" w:lineRule="auto"/>
        <w:ind w:firstLine="555"/>
        <w:rPr>
          <w:color w:val="auto"/>
          <w:sz w:val="24"/>
          <w:szCs w:val="24"/>
        </w:rPr>
      </w:pPr>
    </w:p>
    <w:p>
      <w:pPr>
        <w:widowControl w:val="0"/>
        <w:adjustRightInd w:val="0"/>
        <w:snapToGrid w:val="0"/>
        <w:spacing w:beforeLines="50" w:line="300" w:lineRule="auto"/>
        <w:ind w:firstLine="561"/>
        <w:outlineLvl w:val="1"/>
        <w:rPr>
          <w:rFonts w:ascii="黑体" w:hAnsi="黑体" w:eastAsia="黑体" w:cs="楷体_GB2312"/>
          <w:b/>
          <w:bCs/>
          <w:color w:val="auto"/>
          <w:sz w:val="28"/>
          <w:szCs w:val="28"/>
          <w:lang w:val="zh-CN"/>
        </w:rPr>
      </w:pPr>
      <w:bookmarkStart w:id="25" w:name="_Toc65745050"/>
      <w:r>
        <w:rPr>
          <w:rFonts w:ascii="黑体" w:hAnsi="黑体" w:eastAsia="黑体" w:cs="楷体_GB2312"/>
          <w:b/>
          <w:bCs/>
          <w:color w:val="auto"/>
          <w:sz w:val="28"/>
          <w:szCs w:val="28"/>
          <w:lang w:val="zh-CN"/>
        </w:rPr>
        <w:t xml:space="preserve">8. </w:t>
      </w:r>
      <w:r>
        <w:rPr>
          <w:rFonts w:hint="eastAsia" w:ascii="黑体" w:hAnsi="黑体" w:eastAsia="黑体" w:cs="楷体_GB2312"/>
          <w:b/>
          <w:bCs/>
          <w:color w:val="auto"/>
          <w:sz w:val="28"/>
          <w:szCs w:val="28"/>
          <w:lang w:val="zh-CN"/>
        </w:rPr>
        <w:t>验收</w:t>
      </w:r>
      <w:bookmarkEnd w:id="25"/>
    </w:p>
    <w:p>
      <w:pPr>
        <w:widowControl w:val="0"/>
        <w:adjustRightInd w:val="0"/>
        <w:snapToGrid w:val="0"/>
        <w:spacing w:beforeLines="50" w:line="300" w:lineRule="auto"/>
        <w:ind w:firstLine="561"/>
        <w:rPr>
          <w:rFonts w:ascii="宋体" w:cs="楷体_GB2312"/>
          <w:color w:val="auto"/>
          <w:sz w:val="24"/>
          <w:lang w:val="zh-CN"/>
        </w:rPr>
      </w:pPr>
      <w:r>
        <w:rPr>
          <w:rFonts w:hint="eastAsia" w:ascii="宋体" w:hAnsi="宋体" w:cs="楷体_GB2312"/>
          <w:color w:val="auto"/>
          <w:sz w:val="24"/>
          <w:lang w:val="zh-CN"/>
        </w:rPr>
        <w:t>8.1验收时间：项目完工达到验收条件时，由采购</w:t>
      </w:r>
      <w:r>
        <w:rPr>
          <w:rFonts w:hint="eastAsia" w:ascii="宋体" w:hAnsi="宋体" w:cs="楷体_GB2312"/>
          <w:color w:val="auto"/>
          <w:sz w:val="24"/>
        </w:rPr>
        <w:t>人</w:t>
      </w:r>
      <w:r>
        <w:rPr>
          <w:rFonts w:hint="eastAsia" w:ascii="宋体" w:hAnsi="宋体" w:cs="楷体_GB2312"/>
          <w:color w:val="auto"/>
          <w:sz w:val="24"/>
          <w:lang w:val="zh-CN"/>
        </w:rPr>
        <w:t>成立验收工作组负责验收。</w:t>
      </w:r>
      <w:r>
        <w:rPr>
          <w:rFonts w:hint="eastAsia" w:ascii="宋体" w:hAnsi="宋体" w:cs="楷体_GB2312"/>
          <w:color w:val="auto"/>
          <w:sz w:val="24"/>
        </w:rPr>
        <w:t>技术复杂、社会影响较大的货物类项目，可以根据需要设置出厂检验、到货检验、安装调试检验、配套服务检验等多重验收环节；服务类项目，可根据项目特点对工期内的服务实施情况进行分期考核，结合考核情况和服务效果进行验收。</w:t>
      </w:r>
    </w:p>
    <w:p>
      <w:pPr>
        <w:widowControl w:val="0"/>
        <w:adjustRightInd w:val="0"/>
        <w:snapToGrid w:val="0"/>
        <w:spacing w:beforeLines="50" w:line="300" w:lineRule="auto"/>
        <w:ind w:firstLine="561"/>
        <w:rPr>
          <w:rFonts w:ascii="宋体" w:hAnsi="宋体" w:cs="楷体_GB2312"/>
          <w:color w:val="auto"/>
          <w:sz w:val="24"/>
          <w:lang w:val="zh-CN"/>
        </w:rPr>
      </w:pPr>
      <w:r>
        <w:rPr>
          <w:rFonts w:ascii="宋体" w:hAnsi="宋体" w:cs="楷体_GB2312"/>
          <w:color w:val="auto"/>
          <w:sz w:val="24"/>
          <w:lang w:val="zh-CN"/>
        </w:rPr>
        <w:t>8.2</w:t>
      </w:r>
      <w:r>
        <w:rPr>
          <w:rFonts w:hint="eastAsia" w:ascii="宋体" w:hAnsi="宋体" w:cs="楷体_GB2312"/>
          <w:color w:val="auto"/>
          <w:sz w:val="24"/>
          <w:lang w:val="zh-CN"/>
        </w:rPr>
        <w:t>验收工作组：合同履约验收工作应成立验收工作组专门负责。</w:t>
      </w:r>
    </w:p>
    <w:p>
      <w:pPr>
        <w:widowControl w:val="0"/>
        <w:adjustRightInd w:val="0"/>
        <w:snapToGrid w:val="0"/>
        <w:spacing w:beforeLines="50" w:line="300" w:lineRule="auto"/>
        <w:ind w:firstLine="561"/>
        <w:rPr>
          <w:rFonts w:ascii="宋体" w:hAnsi="宋体" w:cs="楷体_GB2312"/>
          <w:color w:val="auto"/>
          <w:sz w:val="24"/>
          <w:lang w:val="zh-CN"/>
        </w:rPr>
      </w:pPr>
      <w:r>
        <w:rPr>
          <w:rFonts w:hint="eastAsia" w:ascii="宋体" w:hAnsi="宋体" w:cs="楷体_GB2312"/>
          <w:color w:val="auto"/>
          <w:sz w:val="24"/>
          <w:lang w:val="zh-CN"/>
        </w:rPr>
        <w:t>直接参与该项目政府采购活动的主要负责人不得作为验收工作的主要负责人。</w:t>
      </w:r>
      <w:r>
        <w:rPr>
          <w:rFonts w:hint="eastAsia" w:ascii="宋体" w:hAnsi="宋体" w:cs="楷体_GB2312"/>
          <w:color w:val="auto"/>
          <w:sz w:val="24"/>
        </w:rPr>
        <w:t>对于采购人和使用人分离的采购项目，应当邀请实际使用人参与验收；政府向社会公众提供的公共服务项目，验收时应当邀请服务对象参与并出具意见，验收结果应当向社会公告。</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8.2.1</w:t>
      </w:r>
      <w:r>
        <w:rPr>
          <w:rFonts w:hint="eastAsia" w:ascii="宋体" w:hAnsi="宋体" w:cs="楷体_GB2312"/>
          <w:color w:val="auto"/>
          <w:sz w:val="24"/>
          <w:lang w:val="zh-CN"/>
        </w:rPr>
        <w:t>政府采购合同金额</w:t>
      </w:r>
      <w:r>
        <w:rPr>
          <w:rFonts w:hint="eastAsia" w:ascii="宋体" w:hAnsi="宋体" w:cs="楷体_GB2312"/>
          <w:color w:val="auto"/>
          <w:sz w:val="24"/>
        </w:rPr>
        <w:t>在</w:t>
      </w:r>
      <w:r>
        <w:rPr>
          <w:rFonts w:hint="eastAsia" w:ascii="宋体" w:hAnsi="宋体" w:cs="楷体_GB2312"/>
          <w:color w:val="auto"/>
          <w:sz w:val="24"/>
          <w:lang w:val="zh-CN"/>
        </w:rPr>
        <w:t>10万元以下（</w:t>
      </w:r>
      <w:r>
        <w:rPr>
          <w:rFonts w:hint="eastAsia" w:ascii="宋体" w:hAnsi="宋体" w:cs="楷体_GB2312"/>
          <w:color w:val="auto"/>
          <w:sz w:val="24"/>
        </w:rPr>
        <w:t>含10万元</w:t>
      </w:r>
      <w:r>
        <w:rPr>
          <w:rFonts w:hint="eastAsia" w:ascii="宋体" w:hAnsi="宋体" w:cs="楷体_GB2312"/>
          <w:color w:val="auto"/>
          <w:sz w:val="24"/>
          <w:lang w:val="zh-CN"/>
        </w:rPr>
        <w:t>）的项目，原则上可以不邀请评审专家参加，组织方成立验收小组自行验收。</w:t>
      </w:r>
      <w:r>
        <w:rPr>
          <w:rFonts w:hint="eastAsia" w:ascii="宋体" w:hAnsi="宋体" w:cs="楷体_GB2312"/>
          <w:color w:val="auto"/>
          <w:sz w:val="24"/>
        </w:rPr>
        <w:t>自行验收时，验收小组应仔细对照采购文件及合同，对标的物的数量、质量、规格、型号等参数逐一核对，并编制验收报告。组织方认为不能独立完成验收任务的，可以邀请评审专家参与验收。</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8.2.2</w:t>
      </w:r>
      <w:r>
        <w:rPr>
          <w:rFonts w:hint="eastAsia" w:ascii="宋体" w:hAnsi="宋体" w:cs="楷体_GB2312"/>
          <w:color w:val="auto"/>
          <w:sz w:val="24"/>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rPr>
        <w:t>采购人</w:t>
      </w:r>
      <w:r>
        <w:rPr>
          <w:rFonts w:hint="eastAsia" w:ascii="宋体" w:hAnsi="宋体" w:cs="楷体_GB2312"/>
          <w:color w:val="auto"/>
          <w:sz w:val="24"/>
          <w:lang w:val="zh-CN"/>
        </w:rPr>
        <w:t>领导牵头，财务、审计、监察、资产管理、技术等部门人员参与，成员不少于五人。验收工作</w:t>
      </w:r>
      <w:r>
        <w:rPr>
          <w:rFonts w:hint="eastAsia" w:ascii="宋体" w:hAnsi="宋体" w:cs="楷体_GB2312"/>
          <w:color w:val="auto"/>
          <w:sz w:val="24"/>
        </w:rPr>
        <w:t>原则上</w:t>
      </w:r>
      <w:r>
        <w:rPr>
          <w:rFonts w:hint="eastAsia" w:ascii="宋体" w:hAnsi="宋体" w:cs="楷体_GB2312"/>
          <w:color w:val="auto"/>
          <w:sz w:val="24"/>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rPr>
        <w:t>采购人</w:t>
      </w:r>
      <w:r>
        <w:rPr>
          <w:rFonts w:hint="eastAsia" w:ascii="宋体" w:hAnsi="宋体" w:cs="楷体_GB2312"/>
          <w:color w:val="auto"/>
          <w:sz w:val="24"/>
          <w:lang w:val="zh-CN"/>
        </w:rPr>
        <w:t>必须委托国家认可专业检测机构进行验收。</w:t>
      </w:r>
    </w:p>
    <w:p>
      <w:pPr>
        <w:widowControl w:val="0"/>
        <w:adjustRightInd w:val="0"/>
        <w:snapToGrid w:val="0"/>
        <w:spacing w:beforeLines="50" w:line="300" w:lineRule="auto"/>
        <w:ind w:firstLine="561"/>
        <w:rPr>
          <w:rFonts w:ascii="宋体" w:hAnsi="宋体" w:cs="楷体_GB2312"/>
          <w:color w:val="auto"/>
          <w:sz w:val="24"/>
          <w:lang w:val="zh-CN"/>
        </w:rPr>
      </w:pPr>
      <w:r>
        <w:rPr>
          <w:rFonts w:hint="eastAsia" w:ascii="宋体" w:hAnsi="宋体" w:cs="楷体_GB2312"/>
          <w:color w:val="auto"/>
          <w:sz w:val="24"/>
        </w:rPr>
        <w:t>8.3验收时，验收小组按照采购合同的约定对每一项技术、服务、安全标准的履约情况进行确认。</w:t>
      </w:r>
      <w:r>
        <w:rPr>
          <w:rFonts w:hint="eastAsia" w:ascii="宋体" w:hAnsi="宋体" w:cs="楷体_GB2312"/>
          <w:color w:val="auto"/>
          <w:sz w:val="24"/>
          <w:lang w:val="zh-CN"/>
        </w:rPr>
        <w:t>验收时需要进行破坏性试验的，供应商应进行充分的配合并提供备品备件。</w:t>
      </w:r>
    </w:p>
    <w:p>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工程质量必须达到对应专业现行的国家（行业）的技术标准、规范且符合相关环保要求。</w:t>
      </w:r>
    </w:p>
    <w:p>
      <w:pPr>
        <w:widowControl w:val="0"/>
        <w:adjustRightInd w:val="0"/>
        <w:snapToGrid w:val="0"/>
        <w:spacing w:beforeLines="50" w:line="300" w:lineRule="auto"/>
        <w:ind w:firstLine="561"/>
        <w:rPr>
          <w:rFonts w:ascii="宋体" w:hAnsi="宋体" w:cs="楷体_GB2312"/>
          <w:color w:val="auto"/>
          <w:sz w:val="24"/>
        </w:rPr>
      </w:pPr>
      <w:r>
        <w:rPr>
          <w:rFonts w:ascii="宋体" w:hAnsi="宋体" w:cs="楷体_GB2312"/>
          <w:color w:val="auto"/>
          <w:sz w:val="24"/>
          <w:lang w:val="zh-CN"/>
        </w:rPr>
        <w:t>8.</w:t>
      </w:r>
      <w:r>
        <w:rPr>
          <w:rFonts w:hint="eastAsia" w:ascii="宋体" w:hAnsi="宋体" w:cs="楷体_GB2312"/>
          <w:color w:val="auto"/>
          <w:sz w:val="24"/>
        </w:rPr>
        <w:t>4</w:t>
      </w:r>
      <w:r>
        <w:rPr>
          <w:rFonts w:ascii="宋体" w:hAnsi="宋体" w:cs="楷体_GB2312"/>
          <w:color w:val="auto"/>
          <w:sz w:val="24"/>
          <w:lang w:val="zh-CN"/>
        </w:rPr>
        <w:t xml:space="preserve"> </w:t>
      </w:r>
      <w:r>
        <w:rPr>
          <w:rFonts w:hint="eastAsia" w:ascii="宋体" w:hAnsi="宋体" w:cs="楷体_GB2312"/>
          <w:color w:val="auto"/>
          <w:sz w:val="24"/>
          <w:lang w:val="zh-CN"/>
        </w:rPr>
        <w:t>验收报告：验收后，由采购</w:t>
      </w:r>
      <w:r>
        <w:rPr>
          <w:rFonts w:hint="eastAsia" w:ascii="宋体" w:hAnsi="宋体" w:cs="楷体_GB2312"/>
          <w:color w:val="auto"/>
          <w:sz w:val="24"/>
        </w:rPr>
        <w:t>人</w:t>
      </w:r>
      <w:r>
        <w:rPr>
          <w:rFonts w:hint="eastAsia" w:ascii="宋体" w:hAnsi="宋体" w:cs="楷体_GB2312"/>
          <w:color w:val="auto"/>
          <w:sz w:val="24"/>
          <w:lang w:val="zh-CN"/>
        </w:rPr>
        <w:t>及专家等出具验收报告（</w:t>
      </w:r>
      <w:r>
        <w:rPr>
          <w:rFonts w:hint="eastAsia" w:ascii="宋体" w:hAnsi="宋体" w:cs="楷体_GB2312"/>
          <w:color w:val="auto"/>
          <w:sz w:val="24"/>
        </w:rPr>
        <w:t>自行验收的，由采购人出具</w:t>
      </w:r>
      <w:r>
        <w:rPr>
          <w:rFonts w:hint="eastAsia" w:ascii="宋体" w:hAnsi="宋体" w:cs="楷体_GB2312"/>
          <w:color w:val="auto"/>
          <w:sz w:val="24"/>
          <w:lang w:val="zh-CN"/>
        </w:rPr>
        <w:t>），国家规定强制性检测的采购项目应附国家认可的专业检测机构出具的验收报告。</w:t>
      </w:r>
    </w:p>
    <w:p>
      <w:pPr>
        <w:widowControl w:val="0"/>
        <w:adjustRightInd w:val="0"/>
        <w:snapToGrid w:val="0"/>
        <w:spacing w:beforeLines="50" w:line="300" w:lineRule="auto"/>
        <w:ind w:firstLine="561"/>
        <w:rPr>
          <w:rFonts w:ascii="宋体" w:cs="楷体_GB2312"/>
          <w:color w:val="auto"/>
          <w:sz w:val="24"/>
          <w:lang w:val="zh-CN"/>
        </w:rPr>
      </w:pPr>
      <w:r>
        <w:rPr>
          <w:rFonts w:hint="eastAsia" w:ascii="宋体" w:hAnsi="宋体" w:cs="楷体_GB2312"/>
          <w:color w:val="auto"/>
          <w:sz w:val="24"/>
          <w:lang w:val="zh-CN"/>
        </w:rPr>
        <w:t>8.</w:t>
      </w:r>
      <w:r>
        <w:rPr>
          <w:rFonts w:hint="eastAsia" w:ascii="宋体" w:hAnsi="宋体" w:cs="楷体_GB2312"/>
          <w:color w:val="auto"/>
          <w:sz w:val="24"/>
        </w:rPr>
        <w:t>5</w:t>
      </w:r>
      <w:r>
        <w:rPr>
          <w:rFonts w:hint="eastAsia" w:ascii="宋体" w:hAnsi="宋体" w:cs="楷体_GB2312"/>
          <w:color w:val="auto"/>
          <w:sz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pPr>
        <w:autoSpaceDE w:val="0"/>
        <w:autoSpaceDN w:val="0"/>
        <w:adjustRightInd w:val="0"/>
        <w:snapToGrid w:val="0"/>
        <w:spacing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8.6 验收公告的时限：采购人要在政府采购项目验收完成后1个工作日内登陆安阳市政府采购网进行验收公告。</w:t>
      </w:r>
    </w:p>
    <w:p>
      <w:pPr>
        <w:autoSpaceDE w:val="0"/>
        <w:autoSpaceDN w:val="0"/>
        <w:adjustRightInd w:val="0"/>
        <w:snapToGrid w:val="0"/>
        <w:spacing w:beforeLines="50" w:line="300" w:lineRule="auto"/>
        <w:ind w:firstLine="539"/>
        <w:rPr>
          <w:rFonts w:ascii="宋体" w:hAnsi="宋体" w:cs="楷体_GB2312"/>
          <w:color w:val="auto"/>
          <w:sz w:val="24"/>
          <w:lang w:val="zh-CN"/>
        </w:rPr>
      </w:pPr>
    </w:p>
    <w:p>
      <w:pPr>
        <w:widowControl w:val="0"/>
        <w:adjustRightInd w:val="0"/>
        <w:snapToGrid w:val="0"/>
        <w:spacing w:beforeLines="50" w:line="300" w:lineRule="auto"/>
        <w:ind w:firstLine="561"/>
        <w:outlineLvl w:val="1"/>
        <w:rPr>
          <w:rFonts w:ascii="黑体" w:hAnsi="黑体" w:eastAsia="黑体" w:cs="楷体_GB2312"/>
          <w:b/>
          <w:bCs/>
          <w:color w:val="auto"/>
          <w:sz w:val="28"/>
          <w:szCs w:val="28"/>
          <w:lang w:val="zh-CN"/>
        </w:rPr>
      </w:pPr>
      <w:bookmarkStart w:id="26" w:name="_Toc65745051"/>
      <w:r>
        <w:rPr>
          <w:rFonts w:ascii="黑体" w:hAnsi="黑体" w:eastAsia="黑体" w:cs="楷体_GB2312"/>
          <w:b/>
          <w:bCs/>
          <w:color w:val="auto"/>
          <w:sz w:val="28"/>
          <w:szCs w:val="28"/>
          <w:lang w:val="zh-CN"/>
        </w:rPr>
        <w:t>9.</w:t>
      </w:r>
      <w:r>
        <w:rPr>
          <w:rFonts w:hint="eastAsia" w:ascii="黑体" w:hAnsi="黑体" w:eastAsia="黑体" w:cs="楷体_GB2312"/>
          <w:b/>
          <w:bCs/>
          <w:color w:val="auto"/>
          <w:sz w:val="28"/>
          <w:szCs w:val="28"/>
          <w:lang w:val="zh-CN"/>
        </w:rPr>
        <w:t>付款</w:t>
      </w:r>
      <w:bookmarkEnd w:id="26"/>
    </w:p>
    <w:p>
      <w:pPr>
        <w:widowControl w:val="0"/>
        <w:adjustRightInd w:val="0"/>
        <w:snapToGrid w:val="0"/>
        <w:spacing w:beforeLines="50" w:line="300" w:lineRule="auto"/>
        <w:ind w:firstLine="561"/>
        <w:rPr>
          <w:rFonts w:ascii="宋体" w:cs="楷体_GB2312"/>
          <w:color w:val="auto"/>
          <w:sz w:val="24"/>
          <w:lang w:val="zh-CN"/>
        </w:rPr>
      </w:pPr>
      <w:r>
        <w:rPr>
          <w:rFonts w:hint="eastAsia" w:ascii="宋体" w:hAnsi="宋体" w:cs="楷体_GB2312"/>
          <w:color w:val="auto"/>
          <w:sz w:val="24"/>
          <w:lang w:val="zh-CN"/>
        </w:rPr>
        <w:t>见供应商须知前附表</w:t>
      </w:r>
    </w:p>
    <w:p>
      <w:pPr>
        <w:widowControl w:val="0"/>
        <w:adjustRightInd w:val="0"/>
        <w:snapToGrid w:val="0"/>
        <w:spacing w:beforeLines="50" w:line="300" w:lineRule="auto"/>
        <w:ind w:firstLine="561"/>
        <w:rPr>
          <w:rFonts w:ascii="黑体" w:hAnsi="黑体" w:eastAsia="黑体" w:cs="楷体_GB2312"/>
          <w:b/>
          <w:bCs/>
          <w:color w:val="auto"/>
          <w:sz w:val="28"/>
          <w:szCs w:val="28"/>
          <w:lang w:val="zh-CN"/>
        </w:rPr>
      </w:pPr>
    </w:p>
    <w:p>
      <w:pPr>
        <w:widowControl w:val="0"/>
        <w:adjustRightInd w:val="0"/>
        <w:snapToGrid w:val="0"/>
        <w:spacing w:beforeLines="50" w:line="300" w:lineRule="auto"/>
        <w:ind w:firstLine="561"/>
        <w:outlineLvl w:val="1"/>
        <w:rPr>
          <w:rFonts w:ascii="黑体" w:hAnsi="黑体" w:eastAsia="黑体" w:cs="楷体_GB2312"/>
          <w:b/>
          <w:bCs/>
          <w:color w:val="auto"/>
          <w:sz w:val="28"/>
          <w:szCs w:val="28"/>
          <w:lang w:val="zh-CN"/>
        </w:rPr>
      </w:pPr>
      <w:bookmarkStart w:id="27" w:name="_Toc65745052"/>
      <w:r>
        <w:rPr>
          <w:rFonts w:ascii="黑体" w:hAnsi="黑体" w:eastAsia="黑体" w:cs="楷体_GB2312"/>
          <w:b/>
          <w:bCs/>
          <w:color w:val="auto"/>
          <w:sz w:val="28"/>
          <w:szCs w:val="28"/>
          <w:lang w:val="zh-CN"/>
        </w:rPr>
        <w:t xml:space="preserve">10. </w:t>
      </w:r>
      <w:r>
        <w:rPr>
          <w:rFonts w:hint="eastAsia" w:ascii="黑体" w:hAnsi="黑体" w:eastAsia="黑体" w:cs="楷体_GB2312"/>
          <w:b/>
          <w:bCs/>
          <w:color w:val="auto"/>
          <w:sz w:val="28"/>
          <w:szCs w:val="28"/>
          <w:lang w:val="zh-CN"/>
        </w:rPr>
        <w:t>其他</w:t>
      </w:r>
      <w:bookmarkEnd w:id="27"/>
    </w:p>
    <w:p>
      <w:pPr>
        <w:widowControl w:val="0"/>
        <w:adjustRightInd w:val="0"/>
        <w:snapToGrid w:val="0"/>
        <w:spacing w:beforeLines="50" w:line="300" w:lineRule="auto"/>
        <w:ind w:firstLine="561"/>
        <w:rPr>
          <w:rFonts w:ascii="宋体" w:cs="楷体_GB2312"/>
          <w:color w:val="auto"/>
          <w:sz w:val="24"/>
          <w:lang w:val="zh-CN"/>
        </w:rPr>
      </w:pPr>
      <w:r>
        <w:rPr>
          <w:rFonts w:ascii="宋体" w:hAnsi="宋体" w:cs="楷体_GB2312"/>
          <w:color w:val="auto"/>
          <w:sz w:val="24"/>
          <w:lang w:val="zh-CN"/>
        </w:rPr>
        <w:t>10.1</w:t>
      </w:r>
      <w:r>
        <w:rPr>
          <w:rFonts w:hint="eastAsia" w:ascii="宋体" w:hAnsi="宋体" w:cs="楷体_GB2312"/>
          <w:color w:val="auto"/>
          <w:sz w:val="24"/>
          <w:lang w:val="zh-CN"/>
        </w:rPr>
        <w:t>中标服务费等：见供应商须知前附表</w:t>
      </w:r>
    </w:p>
    <w:p>
      <w:pPr>
        <w:widowControl w:val="0"/>
        <w:adjustRightInd w:val="0"/>
        <w:snapToGrid w:val="0"/>
        <w:spacing w:beforeLines="50" w:line="300" w:lineRule="auto"/>
        <w:ind w:firstLine="561"/>
        <w:rPr>
          <w:rFonts w:ascii="宋体" w:cs="楷体_GB2312"/>
          <w:color w:val="auto"/>
          <w:sz w:val="24"/>
          <w:lang w:val="zh-CN"/>
        </w:rPr>
      </w:pPr>
      <w:r>
        <w:rPr>
          <w:rFonts w:ascii="宋体" w:hAnsi="宋体" w:cs="楷体_GB2312"/>
          <w:color w:val="auto"/>
          <w:sz w:val="24"/>
          <w:lang w:val="zh-CN"/>
        </w:rPr>
        <w:t>1</w:t>
      </w:r>
      <w:r>
        <w:rPr>
          <w:rFonts w:ascii="宋体" w:cs="楷体_GB2312"/>
          <w:color w:val="auto"/>
          <w:sz w:val="24"/>
          <w:lang w:val="zh-CN"/>
        </w:rPr>
        <w:t>0</w:t>
      </w:r>
      <w:r>
        <w:rPr>
          <w:rFonts w:ascii="宋体" w:hAnsi="宋体" w:cs="楷体_GB2312"/>
          <w:color w:val="auto"/>
          <w:sz w:val="24"/>
          <w:lang w:val="zh-CN"/>
        </w:rPr>
        <w:t xml:space="preserve">.2 </w:t>
      </w:r>
      <w:r>
        <w:rPr>
          <w:rFonts w:hint="eastAsia" w:ascii="宋体" w:hAnsi="宋体" w:cs="楷体_GB2312"/>
          <w:color w:val="auto"/>
          <w:sz w:val="24"/>
          <w:lang w:val="zh-CN"/>
        </w:rPr>
        <w:t>近义解释。《磋商文件》中：“投标”同义“递交《响应文件》”，“供应商”同义“递交《响应文件》的供应商”，“《响应文件》”同义“《投标文件》”，“中标”同义“成交”，“中标供应商”同义“成交供应商</w:t>
      </w:r>
      <w:r>
        <w:rPr>
          <w:rFonts w:hint="eastAsia" w:ascii="宋体" w:cs="楷体_GB2312"/>
          <w:color w:val="auto"/>
          <w:sz w:val="24"/>
          <w:lang w:val="zh-CN"/>
        </w:rPr>
        <w:t>”</w:t>
      </w:r>
      <w:r>
        <w:rPr>
          <w:rFonts w:hint="eastAsia" w:ascii="宋体" w:hAnsi="宋体" w:cs="楷体_GB2312"/>
          <w:color w:val="auto"/>
          <w:sz w:val="24"/>
          <w:lang w:val="zh-CN"/>
        </w:rPr>
        <w:t>，</w:t>
      </w:r>
      <w:r>
        <w:rPr>
          <w:rFonts w:hint="eastAsia" w:ascii="宋体" w:cs="楷体_GB2312"/>
          <w:color w:val="auto"/>
          <w:sz w:val="24"/>
          <w:lang w:val="zh-CN"/>
        </w:rPr>
        <w:t>“</w:t>
      </w:r>
      <w:r>
        <w:rPr>
          <w:rFonts w:hint="eastAsia" w:ascii="宋体" w:hAnsi="宋体" w:cs="楷体_GB2312"/>
          <w:color w:val="auto"/>
          <w:sz w:val="24"/>
          <w:lang w:val="zh-CN"/>
        </w:rPr>
        <w:t>《响应文件》开启”同义“《响应文件》的开启</w:t>
      </w:r>
      <w:r>
        <w:rPr>
          <w:rFonts w:hint="eastAsia" w:ascii="宋体" w:cs="楷体_GB2312"/>
          <w:color w:val="auto"/>
          <w:sz w:val="24"/>
          <w:lang w:val="zh-CN"/>
        </w:rPr>
        <w:t>”</w:t>
      </w:r>
      <w:r>
        <w:rPr>
          <w:rFonts w:hint="eastAsia" w:ascii="宋体" w:hAnsi="宋体" w:cs="楷体_GB2312"/>
          <w:color w:val="auto"/>
          <w:sz w:val="24"/>
          <w:lang w:val="zh-CN"/>
        </w:rPr>
        <w:t>。</w:t>
      </w:r>
    </w:p>
    <w:p>
      <w:pPr>
        <w:widowControl w:val="0"/>
        <w:adjustRightInd w:val="0"/>
        <w:snapToGrid w:val="0"/>
        <w:spacing w:beforeLines="50" w:line="300" w:lineRule="auto"/>
        <w:ind w:firstLine="561"/>
        <w:rPr>
          <w:rFonts w:ascii="宋体" w:cs="楷体_GB2312"/>
          <w:color w:val="auto"/>
          <w:sz w:val="24"/>
          <w:lang w:val="zh-CN"/>
        </w:rPr>
      </w:pPr>
      <w:r>
        <w:rPr>
          <w:rFonts w:ascii="宋体" w:hAnsi="宋体" w:cs="楷体_GB2312"/>
          <w:color w:val="auto"/>
          <w:sz w:val="24"/>
          <w:lang w:val="zh-CN"/>
        </w:rPr>
        <w:t xml:space="preserve">10.3 </w:t>
      </w:r>
      <w:r>
        <w:rPr>
          <w:rFonts w:hint="eastAsia" w:ascii="宋体" w:hAnsi="宋体" w:cs="楷体_GB2312"/>
          <w:color w:val="auto"/>
          <w:sz w:val="24"/>
          <w:lang w:val="zh-CN"/>
        </w:rPr>
        <w:t>供应商资格条件中包含非法人单位的，《磋商文件》中法定代表人一词相应包含表示证照标示的负责人；</w:t>
      </w:r>
      <w:r>
        <w:rPr>
          <w:rFonts w:ascii="宋体" w:hAnsi="宋体" w:cs="楷体_GB2312"/>
          <w:color w:val="auto"/>
          <w:sz w:val="24"/>
          <w:lang w:val="zh-CN"/>
        </w:rPr>
        <w:t xml:space="preserve"> </w:t>
      </w:r>
      <w:r>
        <w:rPr>
          <w:rFonts w:hint="eastAsia" w:ascii="宋体" w:hAnsi="宋体" w:cs="楷体_GB2312"/>
          <w:color w:val="auto"/>
          <w:sz w:val="24"/>
          <w:lang w:val="zh-CN"/>
        </w:rPr>
        <w:t>供应商资格条件中包含自然人的，《磋商文件》中法定代表人一词相应包含表示自然人，自然人应由其本人签署《响应文件》、参加投标，不应再授权他人。</w:t>
      </w:r>
    </w:p>
    <w:p>
      <w:pPr>
        <w:widowControl w:val="0"/>
        <w:autoSpaceDE w:val="0"/>
        <w:autoSpaceDN w:val="0"/>
        <w:adjustRightInd w:val="0"/>
        <w:spacing w:beforeLines="50" w:line="300" w:lineRule="auto"/>
        <w:ind w:firstLine="480" w:firstLineChars="200"/>
        <w:jc w:val="left"/>
        <w:textAlignment w:val="auto"/>
        <w:rPr>
          <w:rFonts w:ascii="宋体" w:hAnsi="宋体" w:cs="楷体_GB2312"/>
          <w:color w:val="auto"/>
          <w:sz w:val="24"/>
          <w:lang w:val="zh-CN"/>
        </w:rPr>
      </w:pPr>
      <w:r>
        <w:rPr>
          <w:rFonts w:ascii="宋体" w:hAnsi="宋体" w:cs="楷体_GB2312"/>
          <w:color w:val="auto"/>
          <w:sz w:val="24"/>
          <w:lang w:val="zh-CN"/>
        </w:rPr>
        <w:t xml:space="preserve">10.4  </w:t>
      </w:r>
      <w:r>
        <w:rPr>
          <w:rFonts w:hint="eastAsia" w:ascii="宋体" w:hAnsi="宋体" w:cs="楷体_GB2312"/>
          <w:color w:val="auto"/>
          <w:sz w:val="24"/>
          <w:lang w:val="zh-CN"/>
        </w:rPr>
        <w:t>《磋商文件》第一章至第四章各章中，用序号标示条、款、项、目，例如：</w:t>
      </w:r>
      <w:r>
        <w:rPr>
          <w:rFonts w:ascii="宋体" w:hAnsi="宋体" w:cs="楷体_GB2312"/>
          <w:color w:val="auto"/>
          <w:sz w:val="24"/>
          <w:lang w:val="zh-CN"/>
        </w:rPr>
        <w:t>1</w:t>
      </w:r>
      <w:r>
        <w:rPr>
          <w:rFonts w:hint="eastAsia" w:ascii="宋体" w:hAnsi="宋体" w:cs="楷体_GB2312"/>
          <w:color w:val="auto"/>
          <w:sz w:val="24"/>
          <w:lang w:val="zh-CN"/>
        </w:rPr>
        <w:t>为第</w:t>
      </w:r>
      <w:r>
        <w:rPr>
          <w:rFonts w:ascii="宋体" w:hAnsi="宋体" w:cs="楷体_GB2312"/>
          <w:color w:val="auto"/>
          <w:sz w:val="24"/>
          <w:lang w:val="zh-CN"/>
        </w:rPr>
        <w:t xml:space="preserve">1 </w:t>
      </w:r>
      <w:r>
        <w:rPr>
          <w:rFonts w:hint="eastAsia" w:ascii="宋体" w:hAnsi="宋体" w:cs="楷体_GB2312"/>
          <w:color w:val="auto"/>
          <w:sz w:val="24"/>
          <w:lang w:val="zh-CN"/>
        </w:rPr>
        <w:t>条，</w:t>
      </w:r>
      <w:r>
        <w:rPr>
          <w:rFonts w:ascii="宋体" w:hAnsi="宋体" w:cs="楷体_GB2312"/>
          <w:color w:val="auto"/>
          <w:sz w:val="24"/>
          <w:lang w:val="zh-CN"/>
        </w:rPr>
        <w:t>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款（简称</w:t>
      </w:r>
      <w:r>
        <w:rPr>
          <w:rFonts w:ascii="宋体" w:hAnsi="宋体" w:cs="楷体_GB2312"/>
          <w:color w:val="auto"/>
          <w:sz w:val="24"/>
          <w:lang w:val="zh-CN"/>
        </w:rPr>
        <w:t>1.1</w:t>
      </w:r>
      <w:r>
        <w:rPr>
          <w:rFonts w:hint="eastAsia" w:ascii="宋体" w:hAnsi="宋体" w:cs="楷体_GB2312"/>
          <w:color w:val="auto"/>
          <w:sz w:val="24"/>
          <w:lang w:val="zh-CN"/>
        </w:rPr>
        <w:t>款），</w:t>
      </w:r>
      <w:r>
        <w:rPr>
          <w:rFonts w:ascii="宋体" w:hAnsi="宋体" w:cs="楷体_GB2312"/>
          <w:color w:val="auto"/>
          <w:sz w:val="24"/>
          <w:lang w:val="zh-CN"/>
        </w:rPr>
        <w:t>1.1.1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款第</w:t>
      </w:r>
      <w:r>
        <w:rPr>
          <w:rFonts w:ascii="宋体" w:hAnsi="宋体" w:cs="楷体_GB2312"/>
          <w:color w:val="auto"/>
          <w:sz w:val="24"/>
          <w:lang w:val="zh-CN"/>
        </w:rPr>
        <w:t>1</w:t>
      </w:r>
      <w:r>
        <w:rPr>
          <w:rFonts w:hint="eastAsia" w:ascii="宋体" w:hAnsi="宋体" w:cs="楷体_GB2312"/>
          <w:color w:val="auto"/>
          <w:sz w:val="24"/>
          <w:lang w:val="zh-CN"/>
        </w:rPr>
        <w:t>项（简称</w:t>
      </w:r>
      <w:r>
        <w:rPr>
          <w:rFonts w:ascii="宋体" w:hAnsi="宋体" w:cs="楷体_GB2312"/>
          <w:color w:val="auto"/>
          <w:sz w:val="24"/>
          <w:lang w:val="zh-CN"/>
        </w:rPr>
        <w:t>1.1.1</w:t>
      </w:r>
      <w:r>
        <w:rPr>
          <w:rFonts w:hint="eastAsia" w:ascii="宋体" w:hAnsi="宋体" w:cs="楷体_GB2312"/>
          <w:color w:val="auto"/>
          <w:sz w:val="24"/>
          <w:lang w:val="zh-CN"/>
        </w:rPr>
        <w:t>项）。“条”包含款、项、目；“款”包含项、目；“项”包含目。</w:t>
      </w:r>
    </w:p>
    <w:p>
      <w:pPr>
        <w:widowControl w:val="0"/>
        <w:autoSpaceDE w:val="0"/>
        <w:autoSpaceDN w:val="0"/>
        <w:adjustRightInd w:val="0"/>
        <w:spacing w:beforeLines="50" w:line="300" w:lineRule="auto"/>
        <w:ind w:firstLine="480" w:firstLineChars="200"/>
        <w:jc w:val="left"/>
        <w:textAlignment w:val="auto"/>
        <w:rPr>
          <w:rFonts w:ascii="宋体" w:hAnsi="宋体" w:cs="楷体_GB2312"/>
          <w:color w:val="auto"/>
          <w:sz w:val="24"/>
          <w:lang w:val="zh-CN"/>
        </w:rPr>
      </w:pPr>
    </w:p>
    <w:p>
      <w:pPr>
        <w:widowControl w:val="0"/>
        <w:adjustRightInd w:val="0"/>
        <w:snapToGrid w:val="0"/>
        <w:spacing w:beforeLines="50" w:line="300" w:lineRule="auto"/>
        <w:ind w:firstLine="561"/>
        <w:outlineLvl w:val="1"/>
        <w:rPr>
          <w:rFonts w:ascii="黑体" w:hAnsi="黑体" w:eastAsia="黑体" w:cs="楷体_GB2312"/>
          <w:b/>
          <w:bCs/>
          <w:color w:val="auto"/>
          <w:sz w:val="28"/>
          <w:szCs w:val="28"/>
          <w:lang w:val="zh-CN"/>
        </w:rPr>
      </w:pPr>
      <w:bookmarkStart w:id="28" w:name="_Toc65745053"/>
      <w:bookmarkStart w:id="29" w:name="_Toc58858635"/>
      <w:r>
        <w:rPr>
          <w:rFonts w:hint="eastAsia" w:ascii="黑体" w:hAnsi="黑体" w:eastAsia="黑体" w:cs="楷体_GB2312"/>
          <w:b/>
          <w:bCs/>
          <w:color w:val="auto"/>
          <w:sz w:val="28"/>
          <w:szCs w:val="28"/>
          <w:lang w:val="zh-CN"/>
        </w:rPr>
        <w:t>11. 河南省政府采购合同融资政策告知函</w:t>
      </w:r>
      <w:bookmarkEnd w:id="28"/>
      <w:bookmarkEnd w:id="29"/>
    </w:p>
    <w:p>
      <w:pPr>
        <w:widowControl w:val="0"/>
        <w:adjustRightInd w:val="0"/>
        <w:snapToGrid w:val="0"/>
        <w:spacing w:beforeLines="50" w:line="300" w:lineRule="auto"/>
        <w:ind w:firstLine="555"/>
        <w:rPr>
          <w:rFonts w:ascii="宋体" w:hAnsi="宋体"/>
          <w:color w:val="auto"/>
          <w:sz w:val="24"/>
          <w:szCs w:val="24"/>
        </w:rPr>
      </w:pPr>
      <w:r>
        <w:rPr>
          <w:rFonts w:hint="eastAsia" w:ascii="宋体" w:hAnsi="宋体"/>
          <w:color w:val="auto"/>
          <w:sz w:val="24"/>
          <w:szCs w:val="24"/>
        </w:rPr>
        <w:t>各供应商：</w:t>
      </w:r>
    </w:p>
    <w:p>
      <w:pPr>
        <w:widowControl w:val="0"/>
        <w:adjustRightInd w:val="0"/>
        <w:snapToGrid w:val="0"/>
        <w:spacing w:beforeLines="50" w:line="300" w:lineRule="auto"/>
        <w:ind w:firstLine="555"/>
        <w:rPr>
          <w:rFonts w:ascii="宋体" w:hAnsi="宋体"/>
          <w:color w:val="auto"/>
          <w:sz w:val="24"/>
          <w:szCs w:val="24"/>
        </w:rPr>
      </w:pPr>
      <w:r>
        <w:rPr>
          <w:rFonts w:hint="eastAsia" w:ascii="宋体" w:hAnsi="宋体"/>
          <w:color w:val="auto"/>
          <w:sz w:val="24"/>
          <w:szCs w:val="24"/>
        </w:rPr>
        <w:t>欢迎贵公司参与河南省政府采购活动！</w:t>
      </w:r>
    </w:p>
    <w:p>
      <w:pPr>
        <w:widowControl w:val="0"/>
        <w:adjustRightInd w:val="0"/>
        <w:snapToGrid w:val="0"/>
        <w:spacing w:beforeLines="50" w:line="300" w:lineRule="auto"/>
        <w:ind w:firstLine="555"/>
        <w:rPr>
          <w:rFonts w:ascii="宋体" w:hAnsi="宋体"/>
          <w:color w:val="auto"/>
          <w:sz w:val="24"/>
          <w:szCs w:val="24"/>
        </w:rPr>
      </w:pPr>
      <w:r>
        <w:rPr>
          <w:rFonts w:hint="eastAsia" w:ascii="宋体" w:hAnsi="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val="0"/>
        <w:adjustRightInd w:val="0"/>
        <w:snapToGrid w:val="0"/>
        <w:spacing w:beforeLines="50" w:line="300" w:lineRule="auto"/>
        <w:ind w:firstLine="555"/>
        <w:rPr>
          <w:rFonts w:ascii="宋体" w:hAnsi="宋体"/>
          <w:color w:val="auto"/>
          <w:sz w:val="24"/>
          <w:szCs w:val="24"/>
        </w:rPr>
      </w:pPr>
      <w:r>
        <w:rPr>
          <w:rFonts w:hint="eastAsia" w:ascii="宋体" w:hAnsi="宋体"/>
          <w:color w:val="auto"/>
          <w:sz w:val="24"/>
          <w:szCs w:val="24"/>
        </w:rPr>
        <w:t>贷款渠道和提供贷款的金融机构，可在河南省政府采购网“河南省政府采购合同融资平台”查询联系。</w:t>
      </w:r>
    </w:p>
    <w:p>
      <w:pPr>
        <w:widowControl w:val="0"/>
        <w:snapToGrid w:val="0"/>
        <w:spacing w:line="560" w:lineRule="exact"/>
        <w:jc w:val="left"/>
        <w:rPr>
          <w:rFonts w:ascii="黑体" w:hAnsi="黑体" w:eastAsia="黑体"/>
          <w:b/>
          <w:color w:val="auto"/>
          <w:sz w:val="30"/>
          <w:szCs w:val="30"/>
        </w:rPr>
      </w:pPr>
      <w:bookmarkStart w:id="30" w:name="_GoBack"/>
      <w:bookmarkEnd w:id="30"/>
    </w:p>
    <w:sectPr>
      <w:pgSz w:w="11905" w:h="16837"/>
      <w:pgMar w:top="1091" w:right="1106" w:bottom="993" w:left="1418" w:header="567" w:footer="567" w:gutter="0"/>
      <w:pgNumType w:fmt="numberInDash"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egoe Print"/>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E1002EFF" w:usb1="C000605B" w:usb2="00000029" w:usb3="00000000" w:csb0="200101FF" w:csb1="20280000"/>
  </w:font>
  <w:font w:name="MingLiU">
    <w:altName w:val="Microsoft JhengHei UI"/>
    <w:panose1 w:val="02020509000000000000"/>
    <w:charset w:val="88"/>
    <w:family w:val="modern"/>
    <w:pitch w:val="default"/>
    <w:sig w:usb0="00000000" w:usb1="00000000" w:usb2="00000016" w:usb3="00000000" w:csb0="00100001" w:csb1="00000000"/>
  </w:font>
  <w:font w:name="华文新魏">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Adobe 宋体 Std L">
    <w:altName w:val="黑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jc w:val="left"/>
      <w:rPr>
        <w:rFonts w:ascii="宋体" w:hAnsi="宋体"/>
        <w:szCs w:val="21"/>
        <w:u w:val="single"/>
      </w:rPr>
    </w:pPr>
    <w:r>
      <w:rPr>
        <w:rFonts w:hint="eastAsia" w:ascii="宋体" w:hAnsi="宋体"/>
        <w:szCs w:val="21"/>
        <w:u w:val="single"/>
      </w:rPr>
      <w:t>《磋商文件》</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19"/>
        <w:rFonts w:ascii="宋体" w:hAnsi="宋体"/>
        <w:szCs w:val="21"/>
        <w:u w:val="single"/>
      </w:rPr>
      <w:fldChar w:fldCharType="begin"/>
    </w:r>
    <w:r>
      <w:rPr>
        <w:rStyle w:val="19"/>
        <w:rFonts w:ascii="宋体" w:hAnsi="宋体"/>
        <w:szCs w:val="21"/>
        <w:u w:val="single"/>
      </w:rPr>
      <w:instrText xml:space="preserve"> PAGE </w:instrText>
    </w:r>
    <w:r>
      <w:rPr>
        <w:rStyle w:val="19"/>
        <w:rFonts w:ascii="宋体" w:hAnsi="宋体"/>
        <w:szCs w:val="21"/>
        <w:u w:val="single"/>
      </w:rPr>
      <w:fldChar w:fldCharType="separate"/>
    </w:r>
    <w:r>
      <w:rPr>
        <w:rStyle w:val="19"/>
        <w:rFonts w:ascii="宋体" w:hAnsi="宋体"/>
        <w:szCs w:val="21"/>
        <w:u w:val="single"/>
      </w:rPr>
      <w:t>- 48 -</w:t>
    </w:r>
    <w:r>
      <w:rPr>
        <w:rStyle w:val="19"/>
        <w:rFonts w:ascii="宋体" w:hAnsi="宋体"/>
        <w:szCs w:val="21"/>
        <w:u w:val="single"/>
      </w:rPr>
      <w:fldChar w:fldCharType="end"/>
    </w:r>
    <w:r>
      <w:rPr>
        <w:rStyle w:val="19"/>
        <w:rFonts w:ascii="宋体" w:hAnsi="宋体"/>
        <w:szCs w:val="21"/>
        <w:u w:val="single"/>
      </w:rPr>
      <w:t xml:space="preserve"> </w:t>
    </w:r>
    <w:r>
      <w:rPr>
        <w:rStyle w:val="19"/>
        <w:rFonts w:hint="eastAsia" w:ascii="宋体" w:hAnsi="宋体"/>
        <w:szCs w:val="21"/>
        <w:u w:val="single"/>
      </w:rPr>
      <w:t>（</w:t>
    </w:r>
    <w:r>
      <w:rPr>
        <w:rFonts w:hint="eastAsia" w:ascii="宋体" w:hAnsi="宋体"/>
        <w:szCs w:val="21"/>
        <w:u w:val="single"/>
      </w:rPr>
      <w:t>共</w:t>
    </w:r>
    <w:r>
      <w:fldChar w:fldCharType="begin"/>
    </w:r>
    <w:r>
      <w:instrText xml:space="preserve"> SECTIONPAGES   \* MERGEFORMAT </w:instrText>
    </w:r>
    <w:r>
      <w:fldChar w:fldCharType="separate"/>
    </w:r>
    <w:r>
      <w:rPr>
        <w:rStyle w:val="19"/>
        <w:szCs w:val="21"/>
        <w:u w:val="single"/>
      </w:rPr>
      <w:t>79</w:t>
    </w:r>
    <w:r>
      <w:rPr>
        <w:rStyle w:val="19"/>
        <w:szCs w:val="21"/>
        <w:u w:val="single"/>
      </w:rPr>
      <w:fldChar w:fldCharType="end"/>
    </w:r>
    <w:r>
      <w:rPr>
        <w:rFonts w:hint="eastAsia" w:ascii="宋体" w:hAnsi="宋体"/>
        <w:szCs w:val="21"/>
        <w:u w:val="single"/>
      </w:rPr>
      <w:t>页</w:t>
    </w:r>
    <w:r>
      <w:rPr>
        <w:rFonts w:ascii="宋体" w:hAnsi="宋体"/>
        <w:szCs w:val="21"/>
        <w:u w:val="single"/>
      </w:rPr>
      <w:t>)</w:t>
    </w:r>
    <w:r>
      <w:rPr>
        <w:rFonts w:ascii="宋体" w:hAnsi="宋体"/>
      </w:rPr>
      <w:pict>
        <v:shape id="_x0000_s4098" o:spid="_x0000_s4098" o:spt="202" type="#_x0000_t202" style="position:absolute;left:0pt;margin-left:70.85pt;margin-top:799.35pt;height:14.15pt;width:453.5pt;mso-position-horizontal-relative:page;mso-position-vertical-relative:page;z-index:-251656192;mso-width-relative:page;mso-height-relative:page;" filled="f" o:preferrelative="t" stroked="f" coordsize="21600,21600" o:allowincell="f">
          <v:path/>
          <v:fill on="f" opacity="0f" focussize="0,0"/>
          <v:stroke on="f" joinstyle="miter"/>
          <v:imagedata o:title=""/>
          <o:lock v:ext="edit"/>
          <v:textbox inset="0mm,0mm,0mm,0mm"/>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9"/>
      </w:rPr>
    </w:pPr>
    <w:r>
      <w:rPr>
        <w:rStyle w:val="19"/>
      </w:rPr>
      <w:fldChar w:fldCharType="begin"/>
    </w:r>
    <w:r>
      <w:rPr>
        <w:rStyle w:val="19"/>
      </w:rPr>
      <w:instrText xml:space="preserve">PAGE  </w:instrText>
    </w:r>
    <w:r>
      <w:rPr>
        <w:rStyle w:val="19"/>
      </w:rP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r>
      <w:rPr>
        <w:rFonts w:ascii="宋体" w:hAnsi="宋体"/>
      </w:rPr>
      <w:pict>
        <v:shape id="Text Box 1" o:spid="_x0000_s4097" o:spt="202" type="#_x0000_t202" style="position:absolute;left:0pt;margin-left:70.85pt;margin-top:28.3pt;height:14.15pt;width:453.5pt;mso-position-horizontal-relative:page;mso-position-vertical-relative:page;z-index:-251657216;mso-width-relative:page;mso-height-relative:page;" filled="f" o:preferrelative="t" stroked="f" coordsize="21600,21600" o:allowincell="f">
          <v:path/>
          <v:fill on="f" opacity="0f" focussize="0,0"/>
          <v:stroke on="f" joinstyle="miter"/>
          <v:imagedata o:title=""/>
          <o:lock v:ext="edit"/>
          <v:textbox inset="0mm,0mm,0mm,0mm"/>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kzMDdjZWM2YjY2YTQ0YTA2YTk1NzgyZTJmNzM5Y2MifQ=="/>
  </w:docVars>
  <w:rsids>
    <w:rsidRoot w:val="00172A27"/>
    <w:rsid w:val="00001D7A"/>
    <w:rsid w:val="00004B3A"/>
    <w:rsid w:val="00007E7D"/>
    <w:rsid w:val="0001069F"/>
    <w:rsid w:val="0001105E"/>
    <w:rsid w:val="00013814"/>
    <w:rsid w:val="00013DB2"/>
    <w:rsid w:val="00017E1E"/>
    <w:rsid w:val="0002046F"/>
    <w:rsid w:val="00023676"/>
    <w:rsid w:val="00024608"/>
    <w:rsid w:val="000251A5"/>
    <w:rsid w:val="00025F1E"/>
    <w:rsid w:val="0002701F"/>
    <w:rsid w:val="0002739B"/>
    <w:rsid w:val="0003351F"/>
    <w:rsid w:val="000339BC"/>
    <w:rsid w:val="00033BB5"/>
    <w:rsid w:val="000350F9"/>
    <w:rsid w:val="00035118"/>
    <w:rsid w:val="0003567F"/>
    <w:rsid w:val="00035BA8"/>
    <w:rsid w:val="00036AA4"/>
    <w:rsid w:val="00040BE7"/>
    <w:rsid w:val="00041891"/>
    <w:rsid w:val="00042CA8"/>
    <w:rsid w:val="00043821"/>
    <w:rsid w:val="00043CBA"/>
    <w:rsid w:val="0004440A"/>
    <w:rsid w:val="00044F84"/>
    <w:rsid w:val="00046A4B"/>
    <w:rsid w:val="00050113"/>
    <w:rsid w:val="00054E34"/>
    <w:rsid w:val="00055755"/>
    <w:rsid w:val="00055F94"/>
    <w:rsid w:val="00056832"/>
    <w:rsid w:val="000570E1"/>
    <w:rsid w:val="00057F78"/>
    <w:rsid w:val="000602CF"/>
    <w:rsid w:val="000605CF"/>
    <w:rsid w:val="0006134B"/>
    <w:rsid w:val="00062821"/>
    <w:rsid w:val="00066B7E"/>
    <w:rsid w:val="00067307"/>
    <w:rsid w:val="000673ED"/>
    <w:rsid w:val="00070AA2"/>
    <w:rsid w:val="00070FA8"/>
    <w:rsid w:val="00072834"/>
    <w:rsid w:val="0007390E"/>
    <w:rsid w:val="00073A45"/>
    <w:rsid w:val="00073DBF"/>
    <w:rsid w:val="00074197"/>
    <w:rsid w:val="00074766"/>
    <w:rsid w:val="00077629"/>
    <w:rsid w:val="00077B42"/>
    <w:rsid w:val="00080AE9"/>
    <w:rsid w:val="00080F86"/>
    <w:rsid w:val="00081801"/>
    <w:rsid w:val="00081C6C"/>
    <w:rsid w:val="000823AD"/>
    <w:rsid w:val="000829A8"/>
    <w:rsid w:val="00083BD4"/>
    <w:rsid w:val="00086B70"/>
    <w:rsid w:val="00086B8A"/>
    <w:rsid w:val="00090D6B"/>
    <w:rsid w:val="00090EB6"/>
    <w:rsid w:val="00091C5E"/>
    <w:rsid w:val="0009203C"/>
    <w:rsid w:val="0009268E"/>
    <w:rsid w:val="00093A6B"/>
    <w:rsid w:val="00095619"/>
    <w:rsid w:val="000956CE"/>
    <w:rsid w:val="000A152E"/>
    <w:rsid w:val="000A1C72"/>
    <w:rsid w:val="000A23B3"/>
    <w:rsid w:val="000A3FE8"/>
    <w:rsid w:val="000A4640"/>
    <w:rsid w:val="000A55EE"/>
    <w:rsid w:val="000A6CD3"/>
    <w:rsid w:val="000A7CCE"/>
    <w:rsid w:val="000B0EC6"/>
    <w:rsid w:val="000B1334"/>
    <w:rsid w:val="000B4758"/>
    <w:rsid w:val="000B53BD"/>
    <w:rsid w:val="000B5412"/>
    <w:rsid w:val="000B6571"/>
    <w:rsid w:val="000C2342"/>
    <w:rsid w:val="000C282D"/>
    <w:rsid w:val="000C2AA6"/>
    <w:rsid w:val="000C4BA5"/>
    <w:rsid w:val="000C540C"/>
    <w:rsid w:val="000D2631"/>
    <w:rsid w:val="000D69FD"/>
    <w:rsid w:val="000E02FC"/>
    <w:rsid w:val="000E54A0"/>
    <w:rsid w:val="000E68AE"/>
    <w:rsid w:val="000E6D5E"/>
    <w:rsid w:val="000F01A2"/>
    <w:rsid w:val="000F108C"/>
    <w:rsid w:val="000F1C87"/>
    <w:rsid w:val="000F3188"/>
    <w:rsid w:val="000F3D46"/>
    <w:rsid w:val="000F4146"/>
    <w:rsid w:val="000F71A3"/>
    <w:rsid w:val="000F7917"/>
    <w:rsid w:val="00101EAB"/>
    <w:rsid w:val="00107435"/>
    <w:rsid w:val="00110434"/>
    <w:rsid w:val="00111248"/>
    <w:rsid w:val="001118D4"/>
    <w:rsid w:val="001163D8"/>
    <w:rsid w:val="00117877"/>
    <w:rsid w:val="001215D2"/>
    <w:rsid w:val="00123128"/>
    <w:rsid w:val="001234C9"/>
    <w:rsid w:val="00125A47"/>
    <w:rsid w:val="00126132"/>
    <w:rsid w:val="001263CF"/>
    <w:rsid w:val="00131B13"/>
    <w:rsid w:val="00131CCB"/>
    <w:rsid w:val="00132364"/>
    <w:rsid w:val="001342A5"/>
    <w:rsid w:val="00135227"/>
    <w:rsid w:val="00136E35"/>
    <w:rsid w:val="001378C9"/>
    <w:rsid w:val="001401E4"/>
    <w:rsid w:val="001439BF"/>
    <w:rsid w:val="001443E8"/>
    <w:rsid w:val="0014480D"/>
    <w:rsid w:val="00144E92"/>
    <w:rsid w:val="00145776"/>
    <w:rsid w:val="00147524"/>
    <w:rsid w:val="0015053C"/>
    <w:rsid w:val="001532B2"/>
    <w:rsid w:val="001537D5"/>
    <w:rsid w:val="00153A06"/>
    <w:rsid w:val="00154299"/>
    <w:rsid w:val="0016042E"/>
    <w:rsid w:val="001641D5"/>
    <w:rsid w:val="001667B4"/>
    <w:rsid w:val="00166938"/>
    <w:rsid w:val="0016693E"/>
    <w:rsid w:val="0016783C"/>
    <w:rsid w:val="001678FA"/>
    <w:rsid w:val="001708C3"/>
    <w:rsid w:val="00170AE1"/>
    <w:rsid w:val="00170E55"/>
    <w:rsid w:val="001719D7"/>
    <w:rsid w:val="00172A27"/>
    <w:rsid w:val="00172A7E"/>
    <w:rsid w:val="0017374F"/>
    <w:rsid w:val="00175E3A"/>
    <w:rsid w:val="00183C38"/>
    <w:rsid w:val="001863F6"/>
    <w:rsid w:val="00193710"/>
    <w:rsid w:val="00194076"/>
    <w:rsid w:val="00194451"/>
    <w:rsid w:val="00195B76"/>
    <w:rsid w:val="001965C5"/>
    <w:rsid w:val="0019697C"/>
    <w:rsid w:val="00197925"/>
    <w:rsid w:val="001A1BB5"/>
    <w:rsid w:val="001A1D5B"/>
    <w:rsid w:val="001A2082"/>
    <w:rsid w:val="001A26B6"/>
    <w:rsid w:val="001A65F9"/>
    <w:rsid w:val="001A6EC8"/>
    <w:rsid w:val="001A733E"/>
    <w:rsid w:val="001B2A9F"/>
    <w:rsid w:val="001B4914"/>
    <w:rsid w:val="001B5626"/>
    <w:rsid w:val="001B6072"/>
    <w:rsid w:val="001B7C99"/>
    <w:rsid w:val="001C050D"/>
    <w:rsid w:val="001C2D34"/>
    <w:rsid w:val="001C3436"/>
    <w:rsid w:val="001C397C"/>
    <w:rsid w:val="001C3DAF"/>
    <w:rsid w:val="001C528B"/>
    <w:rsid w:val="001C6505"/>
    <w:rsid w:val="001D0DA4"/>
    <w:rsid w:val="001D14A1"/>
    <w:rsid w:val="001D17A7"/>
    <w:rsid w:val="001D181F"/>
    <w:rsid w:val="001D22C4"/>
    <w:rsid w:val="001D2F63"/>
    <w:rsid w:val="001D3921"/>
    <w:rsid w:val="001D3B0B"/>
    <w:rsid w:val="001D4345"/>
    <w:rsid w:val="001D6398"/>
    <w:rsid w:val="001D6640"/>
    <w:rsid w:val="001E04F2"/>
    <w:rsid w:val="001E0705"/>
    <w:rsid w:val="001E0A3F"/>
    <w:rsid w:val="001E1A46"/>
    <w:rsid w:val="001E1FAC"/>
    <w:rsid w:val="001E30AE"/>
    <w:rsid w:val="001E45BE"/>
    <w:rsid w:val="001E55A2"/>
    <w:rsid w:val="001E60A9"/>
    <w:rsid w:val="001F1D57"/>
    <w:rsid w:val="001F4C70"/>
    <w:rsid w:val="001F6921"/>
    <w:rsid w:val="001F6B5C"/>
    <w:rsid w:val="00200BFE"/>
    <w:rsid w:val="00203DFD"/>
    <w:rsid w:val="00204738"/>
    <w:rsid w:val="002052BF"/>
    <w:rsid w:val="00205670"/>
    <w:rsid w:val="00205DC9"/>
    <w:rsid w:val="0020635B"/>
    <w:rsid w:val="002064E1"/>
    <w:rsid w:val="00207A71"/>
    <w:rsid w:val="00210346"/>
    <w:rsid w:val="00212022"/>
    <w:rsid w:val="002146E7"/>
    <w:rsid w:val="00214DD7"/>
    <w:rsid w:val="00214F54"/>
    <w:rsid w:val="002155C5"/>
    <w:rsid w:val="00221964"/>
    <w:rsid w:val="002228C6"/>
    <w:rsid w:val="002238AE"/>
    <w:rsid w:val="0023012A"/>
    <w:rsid w:val="00231508"/>
    <w:rsid w:val="00231D21"/>
    <w:rsid w:val="0023255F"/>
    <w:rsid w:val="002341A2"/>
    <w:rsid w:val="00236A01"/>
    <w:rsid w:val="00237A15"/>
    <w:rsid w:val="00240733"/>
    <w:rsid w:val="002408FB"/>
    <w:rsid w:val="00241D3A"/>
    <w:rsid w:val="0024269B"/>
    <w:rsid w:val="00244532"/>
    <w:rsid w:val="0024502A"/>
    <w:rsid w:val="0024541C"/>
    <w:rsid w:val="002464A8"/>
    <w:rsid w:val="00247523"/>
    <w:rsid w:val="00247993"/>
    <w:rsid w:val="002511FE"/>
    <w:rsid w:val="00254F6E"/>
    <w:rsid w:val="002574D7"/>
    <w:rsid w:val="00257B22"/>
    <w:rsid w:val="002602F6"/>
    <w:rsid w:val="00262D1F"/>
    <w:rsid w:val="00264999"/>
    <w:rsid w:val="002665E4"/>
    <w:rsid w:val="002673AF"/>
    <w:rsid w:val="0027067C"/>
    <w:rsid w:val="00270FE1"/>
    <w:rsid w:val="00271ABB"/>
    <w:rsid w:val="00272B6B"/>
    <w:rsid w:val="00272CD3"/>
    <w:rsid w:val="00272DEC"/>
    <w:rsid w:val="00273FB6"/>
    <w:rsid w:val="00275945"/>
    <w:rsid w:val="002759A2"/>
    <w:rsid w:val="00276204"/>
    <w:rsid w:val="00276418"/>
    <w:rsid w:val="00280E45"/>
    <w:rsid w:val="002810F8"/>
    <w:rsid w:val="0028181D"/>
    <w:rsid w:val="00281F3D"/>
    <w:rsid w:val="0028291D"/>
    <w:rsid w:val="00284EFC"/>
    <w:rsid w:val="00290D50"/>
    <w:rsid w:val="0029442F"/>
    <w:rsid w:val="00294947"/>
    <w:rsid w:val="00295642"/>
    <w:rsid w:val="0029595B"/>
    <w:rsid w:val="00295A34"/>
    <w:rsid w:val="00296060"/>
    <w:rsid w:val="00296501"/>
    <w:rsid w:val="002966BB"/>
    <w:rsid w:val="002968C0"/>
    <w:rsid w:val="002975BF"/>
    <w:rsid w:val="0029782F"/>
    <w:rsid w:val="002A0696"/>
    <w:rsid w:val="002A2037"/>
    <w:rsid w:val="002A2B5C"/>
    <w:rsid w:val="002A35F6"/>
    <w:rsid w:val="002A44D2"/>
    <w:rsid w:val="002A4898"/>
    <w:rsid w:val="002A4F6F"/>
    <w:rsid w:val="002A5411"/>
    <w:rsid w:val="002A6D86"/>
    <w:rsid w:val="002A7073"/>
    <w:rsid w:val="002A7814"/>
    <w:rsid w:val="002B1A64"/>
    <w:rsid w:val="002B3090"/>
    <w:rsid w:val="002B548A"/>
    <w:rsid w:val="002B5E0D"/>
    <w:rsid w:val="002C00FF"/>
    <w:rsid w:val="002C11FF"/>
    <w:rsid w:val="002C3330"/>
    <w:rsid w:val="002D1708"/>
    <w:rsid w:val="002D1EC7"/>
    <w:rsid w:val="002D2579"/>
    <w:rsid w:val="002D2CB8"/>
    <w:rsid w:val="002D40A9"/>
    <w:rsid w:val="002D6349"/>
    <w:rsid w:val="002D6B6F"/>
    <w:rsid w:val="002D7628"/>
    <w:rsid w:val="002D7A77"/>
    <w:rsid w:val="002D7BE8"/>
    <w:rsid w:val="002E098C"/>
    <w:rsid w:val="002E3E40"/>
    <w:rsid w:val="002E76EF"/>
    <w:rsid w:val="002E7E70"/>
    <w:rsid w:val="002F08C6"/>
    <w:rsid w:val="002F24F3"/>
    <w:rsid w:val="002F2754"/>
    <w:rsid w:val="002F37CB"/>
    <w:rsid w:val="002F4ADA"/>
    <w:rsid w:val="002F5465"/>
    <w:rsid w:val="002F7AD0"/>
    <w:rsid w:val="002F7EF3"/>
    <w:rsid w:val="002F7F3A"/>
    <w:rsid w:val="0030084A"/>
    <w:rsid w:val="0030169A"/>
    <w:rsid w:val="00306123"/>
    <w:rsid w:val="00307CF1"/>
    <w:rsid w:val="0031007D"/>
    <w:rsid w:val="003110D4"/>
    <w:rsid w:val="00311B9B"/>
    <w:rsid w:val="003157D1"/>
    <w:rsid w:val="00316A48"/>
    <w:rsid w:val="00317222"/>
    <w:rsid w:val="00320DF9"/>
    <w:rsid w:val="003214B1"/>
    <w:rsid w:val="00322799"/>
    <w:rsid w:val="00322E11"/>
    <w:rsid w:val="003241F1"/>
    <w:rsid w:val="0032688F"/>
    <w:rsid w:val="003275D8"/>
    <w:rsid w:val="00331D60"/>
    <w:rsid w:val="00332038"/>
    <w:rsid w:val="00332C6F"/>
    <w:rsid w:val="00334CC7"/>
    <w:rsid w:val="003355B7"/>
    <w:rsid w:val="00336AAB"/>
    <w:rsid w:val="0034150B"/>
    <w:rsid w:val="0034187B"/>
    <w:rsid w:val="00342477"/>
    <w:rsid w:val="0034283D"/>
    <w:rsid w:val="00343634"/>
    <w:rsid w:val="00343968"/>
    <w:rsid w:val="00343A1D"/>
    <w:rsid w:val="00343D9C"/>
    <w:rsid w:val="0035121B"/>
    <w:rsid w:val="00351B2F"/>
    <w:rsid w:val="003521AC"/>
    <w:rsid w:val="00352D4E"/>
    <w:rsid w:val="00354452"/>
    <w:rsid w:val="00356193"/>
    <w:rsid w:val="00356631"/>
    <w:rsid w:val="00356A9C"/>
    <w:rsid w:val="00357F64"/>
    <w:rsid w:val="0036067C"/>
    <w:rsid w:val="0036276F"/>
    <w:rsid w:val="003634F4"/>
    <w:rsid w:val="00363B02"/>
    <w:rsid w:val="003642B6"/>
    <w:rsid w:val="003655E9"/>
    <w:rsid w:val="00365BD8"/>
    <w:rsid w:val="00367D22"/>
    <w:rsid w:val="00370C68"/>
    <w:rsid w:val="00371760"/>
    <w:rsid w:val="003719EB"/>
    <w:rsid w:val="00371CE6"/>
    <w:rsid w:val="003767F0"/>
    <w:rsid w:val="00376869"/>
    <w:rsid w:val="00377AE0"/>
    <w:rsid w:val="00380598"/>
    <w:rsid w:val="003814FB"/>
    <w:rsid w:val="00381B01"/>
    <w:rsid w:val="003829D9"/>
    <w:rsid w:val="00383B17"/>
    <w:rsid w:val="00384A92"/>
    <w:rsid w:val="003854F3"/>
    <w:rsid w:val="00386518"/>
    <w:rsid w:val="003875CD"/>
    <w:rsid w:val="00387709"/>
    <w:rsid w:val="00387BD5"/>
    <w:rsid w:val="00387FBB"/>
    <w:rsid w:val="00391A61"/>
    <w:rsid w:val="00397B1C"/>
    <w:rsid w:val="00397E86"/>
    <w:rsid w:val="003A0C28"/>
    <w:rsid w:val="003A1388"/>
    <w:rsid w:val="003A1D20"/>
    <w:rsid w:val="003A258C"/>
    <w:rsid w:val="003A3330"/>
    <w:rsid w:val="003A37AB"/>
    <w:rsid w:val="003A40E7"/>
    <w:rsid w:val="003A4472"/>
    <w:rsid w:val="003A78B7"/>
    <w:rsid w:val="003B4A06"/>
    <w:rsid w:val="003B5D7B"/>
    <w:rsid w:val="003B5F19"/>
    <w:rsid w:val="003B67A0"/>
    <w:rsid w:val="003B72E5"/>
    <w:rsid w:val="003C0859"/>
    <w:rsid w:val="003C0E0B"/>
    <w:rsid w:val="003C1220"/>
    <w:rsid w:val="003C5626"/>
    <w:rsid w:val="003C6339"/>
    <w:rsid w:val="003C6B76"/>
    <w:rsid w:val="003D3B92"/>
    <w:rsid w:val="003D4056"/>
    <w:rsid w:val="003D415D"/>
    <w:rsid w:val="003D46D1"/>
    <w:rsid w:val="003D7EC2"/>
    <w:rsid w:val="003E1BD5"/>
    <w:rsid w:val="003E3AC3"/>
    <w:rsid w:val="003E58E5"/>
    <w:rsid w:val="003E58FF"/>
    <w:rsid w:val="003E5EE1"/>
    <w:rsid w:val="003E7C9B"/>
    <w:rsid w:val="003E7D25"/>
    <w:rsid w:val="003F0082"/>
    <w:rsid w:val="003F0417"/>
    <w:rsid w:val="003F0C7E"/>
    <w:rsid w:val="003F4F15"/>
    <w:rsid w:val="003F688C"/>
    <w:rsid w:val="00400DD3"/>
    <w:rsid w:val="00403958"/>
    <w:rsid w:val="004073DB"/>
    <w:rsid w:val="004137F3"/>
    <w:rsid w:val="00414F84"/>
    <w:rsid w:val="00415470"/>
    <w:rsid w:val="00415CFA"/>
    <w:rsid w:val="00416388"/>
    <w:rsid w:val="004173CF"/>
    <w:rsid w:val="00417D4F"/>
    <w:rsid w:val="00421975"/>
    <w:rsid w:val="004223F4"/>
    <w:rsid w:val="004223F7"/>
    <w:rsid w:val="004237AF"/>
    <w:rsid w:val="00426990"/>
    <w:rsid w:val="004300B5"/>
    <w:rsid w:val="0043036E"/>
    <w:rsid w:val="004342C9"/>
    <w:rsid w:val="00440412"/>
    <w:rsid w:val="00440804"/>
    <w:rsid w:val="0044324B"/>
    <w:rsid w:val="00443935"/>
    <w:rsid w:val="00443963"/>
    <w:rsid w:val="004442B3"/>
    <w:rsid w:val="00444D59"/>
    <w:rsid w:val="00446551"/>
    <w:rsid w:val="00447654"/>
    <w:rsid w:val="00447D75"/>
    <w:rsid w:val="004513F9"/>
    <w:rsid w:val="00451DAE"/>
    <w:rsid w:val="00452F36"/>
    <w:rsid w:val="00453130"/>
    <w:rsid w:val="0045394E"/>
    <w:rsid w:val="004543C3"/>
    <w:rsid w:val="00454535"/>
    <w:rsid w:val="00454B5D"/>
    <w:rsid w:val="00455B44"/>
    <w:rsid w:val="00456FA3"/>
    <w:rsid w:val="0045754E"/>
    <w:rsid w:val="00460E98"/>
    <w:rsid w:val="00461626"/>
    <w:rsid w:val="004640E1"/>
    <w:rsid w:val="00464AB4"/>
    <w:rsid w:val="00465462"/>
    <w:rsid w:val="00471684"/>
    <w:rsid w:val="0047294B"/>
    <w:rsid w:val="0047305B"/>
    <w:rsid w:val="0047493D"/>
    <w:rsid w:val="00475717"/>
    <w:rsid w:val="00475A0F"/>
    <w:rsid w:val="004771A7"/>
    <w:rsid w:val="00477DF1"/>
    <w:rsid w:val="004805E1"/>
    <w:rsid w:val="00481911"/>
    <w:rsid w:val="0048194E"/>
    <w:rsid w:val="00481D33"/>
    <w:rsid w:val="00481EFC"/>
    <w:rsid w:val="0048481A"/>
    <w:rsid w:val="00486D4E"/>
    <w:rsid w:val="00487F50"/>
    <w:rsid w:val="00490DEF"/>
    <w:rsid w:val="0049352F"/>
    <w:rsid w:val="00497B97"/>
    <w:rsid w:val="004A28E9"/>
    <w:rsid w:val="004A4443"/>
    <w:rsid w:val="004A465C"/>
    <w:rsid w:val="004A537B"/>
    <w:rsid w:val="004A5A5E"/>
    <w:rsid w:val="004A647D"/>
    <w:rsid w:val="004A6BB2"/>
    <w:rsid w:val="004A7816"/>
    <w:rsid w:val="004A791C"/>
    <w:rsid w:val="004B0A0E"/>
    <w:rsid w:val="004B10CD"/>
    <w:rsid w:val="004B23B3"/>
    <w:rsid w:val="004B2765"/>
    <w:rsid w:val="004B6984"/>
    <w:rsid w:val="004C05F2"/>
    <w:rsid w:val="004C1E04"/>
    <w:rsid w:val="004C1EBB"/>
    <w:rsid w:val="004C407E"/>
    <w:rsid w:val="004C506F"/>
    <w:rsid w:val="004C7A15"/>
    <w:rsid w:val="004D11B7"/>
    <w:rsid w:val="004D57A0"/>
    <w:rsid w:val="004D5993"/>
    <w:rsid w:val="004D5F36"/>
    <w:rsid w:val="004E0791"/>
    <w:rsid w:val="004E44CC"/>
    <w:rsid w:val="004E50CC"/>
    <w:rsid w:val="004E587A"/>
    <w:rsid w:val="004E5CA5"/>
    <w:rsid w:val="004E6804"/>
    <w:rsid w:val="004E6F0E"/>
    <w:rsid w:val="004F02F2"/>
    <w:rsid w:val="004F16A1"/>
    <w:rsid w:val="004F1918"/>
    <w:rsid w:val="004F2DDA"/>
    <w:rsid w:val="004F47FD"/>
    <w:rsid w:val="004F4B65"/>
    <w:rsid w:val="004F6370"/>
    <w:rsid w:val="00502DF4"/>
    <w:rsid w:val="005034FC"/>
    <w:rsid w:val="00503795"/>
    <w:rsid w:val="00503F67"/>
    <w:rsid w:val="005044B9"/>
    <w:rsid w:val="005055E2"/>
    <w:rsid w:val="00507AFA"/>
    <w:rsid w:val="005106D5"/>
    <w:rsid w:val="005112F3"/>
    <w:rsid w:val="00517BF1"/>
    <w:rsid w:val="00520645"/>
    <w:rsid w:val="00520920"/>
    <w:rsid w:val="0052426A"/>
    <w:rsid w:val="00524C98"/>
    <w:rsid w:val="00524D6D"/>
    <w:rsid w:val="005252C0"/>
    <w:rsid w:val="00530CE7"/>
    <w:rsid w:val="005316A8"/>
    <w:rsid w:val="00535C65"/>
    <w:rsid w:val="005361F9"/>
    <w:rsid w:val="0053682D"/>
    <w:rsid w:val="00540388"/>
    <w:rsid w:val="00540FEC"/>
    <w:rsid w:val="005414D6"/>
    <w:rsid w:val="00541F83"/>
    <w:rsid w:val="00542766"/>
    <w:rsid w:val="005430C7"/>
    <w:rsid w:val="00543809"/>
    <w:rsid w:val="00543CB6"/>
    <w:rsid w:val="00543EC9"/>
    <w:rsid w:val="005446B0"/>
    <w:rsid w:val="00546DF7"/>
    <w:rsid w:val="00547386"/>
    <w:rsid w:val="005475A9"/>
    <w:rsid w:val="00547E4F"/>
    <w:rsid w:val="00551DFC"/>
    <w:rsid w:val="0055211A"/>
    <w:rsid w:val="00554187"/>
    <w:rsid w:val="00555958"/>
    <w:rsid w:val="00560522"/>
    <w:rsid w:val="005605F8"/>
    <w:rsid w:val="005615D4"/>
    <w:rsid w:val="005650C2"/>
    <w:rsid w:val="00565A8C"/>
    <w:rsid w:val="00573012"/>
    <w:rsid w:val="005731AA"/>
    <w:rsid w:val="00574068"/>
    <w:rsid w:val="00575709"/>
    <w:rsid w:val="005773BE"/>
    <w:rsid w:val="00577B1E"/>
    <w:rsid w:val="005804F3"/>
    <w:rsid w:val="00580954"/>
    <w:rsid w:val="005824F8"/>
    <w:rsid w:val="00583A5C"/>
    <w:rsid w:val="00584C19"/>
    <w:rsid w:val="005850D6"/>
    <w:rsid w:val="0058643C"/>
    <w:rsid w:val="005866BD"/>
    <w:rsid w:val="00586EDA"/>
    <w:rsid w:val="005927CD"/>
    <w:rsid w:val="0059343A"/>
    <w:rsid w:val="00593E5C"/>
    <w:rsid w:val="005964EC"/>
    <w:rsid w:val="005A0661"/>
    <w:rsid w:val="005A1FDF"/>
    <w:rsid w:val="005A2BEB"/>
    <w:rsid w:val="005A39AF"/>
    <w:rsid w:val="005A4F1F"/>
    <w:rsid w:val="005A61BC"/>
    <w:rsid w:val="005A6732"/>
    <w:rsid w:val="005A7272"/>
    <w:rsid w:val="005A72CE"/>
    <w:rsid w:val="005A7EC2"/>
    <w:rsid w:val="005B19C2"/>
    <w:rsid w:val="005B330F"/>
    <w:rsid w:val="005B334E"/>
    <w:rsid w:val="005B3FB5"/>
    <w:rsid w:val="005C3B65"/>
    <w:rsid w:val="005C71EA"/>
    <w:rsid w:val="005D248A"/>
    <w:rsid w:val="005D2C74"/>
    <w:rsid w:val="005D2CB5"/>
    <w:rsid w:val="005D386F"/>
    <w:rsid w:val="005D4CEB"/>
    <w:rsid w:val="005D511D"/>
    <w:rsid w:val="005D72C1"/>
    <w:rsid w:val="005E00FD"/>
    <w:rsid w:val="005E3DC5"/>
    <w:rsid w:val="005E4813"/>
    <w:rsid w:val="005E6E82"/>
    <w:rsid w:val="005F2B98"/>
    <w:rsid w:val="005F450F"/>
    <w:rsid w:val="005F6167"/>
    <w:rsid w:val="005F756B"/>
    <w:rsid w:val="006031DC"/>
    <w:rsid w:val="006035CB"/>
    <w:rsid w:val="006039CE"/>
    <w:rsid w:val="00604122"/>
    <w:rsid w:val="00604630"/>
    <w:rsid w:val="0060535C"/>
    <w:rsid w:val="00606709"/>
    <w:rsid w:val="00611E40"/>
    <w:rsid w:val="00613D71"/>
    <w:rsid w:val="00615523"/>
    <w:rsid w:val="00615DBE"/>
    <w:rsid w:val="006161C5"/>
    <w:rsid w:val="00623ED3"/>
    <w:rsid w:val="00624E86"/>
    <w:rsid w:val="00625C51"/>
    <w:rsid w:val="00626E6E"/>
    <w:rsid w:val="006313EC"/>
    <w:rsid w:val="00633872"/>
    <w:rsid w:val="0063507E"/>
    <w:rsid w:val="006356A9"/>
    <w:rsid w:val="006369CC"/>
    <w:rsid w:val="006374EF"/>
    <w:rsid w:val="00643CAC"/>
    <w:rsid w:val="00643E16"/>
    <w:rsid w:val="00646631"/>
    <w:rsid w:val="00647F26"/>
    <w:rsid w:val="006536D6"/>
    <w:rsid w:val="00654B00"/>
    <w:rsid w:val="00655415"/>
    <w:rsid w:val="006555FF"/>
    <w:rsid w:val="006560FF"/>
    <w:rsid w:val="00657569"/>
    <w:rsid w:val="00662875"/>
    <w:rsid w:val="00663399"/>
    <w:rsid w:val="006635A7"/>
    <w:rsid w:val="006649C6"/>
    <w:rsid w:val="006656A2"/>
    <w:rsid w:val="00665738"/>
    <w:rsid w:val="00666247"/>
    <w:rsid w:val="006679EB"/>
    <w:rsid w:val="00671EF7"/>
    <w:rsid w:val="00672684"/>
    <w:rsid w:val="00674F5E"/>
    <w:rsid w:val="006763B3"/>
    <w:rsid w:val="00682F0F"/>
    <w:rsid w:val="00683222"/>
    <w:rsid w:val="00685F1B"/>
    <w:rsid w:val="00686A7A"/>
    <w:rsid w:val="00686F46"/>
    <w:rsid w:val="00687A76"/>
    <w:rsid w:val="00687B51"/>
    <w:rsid w:val="006900BC"/>
    <w:rsid w:val="00690176"/>
    <w:rsid w:val="006907CD"/>
    <w:rsid w:val="00692DDF"/>
    <w:rsid w:val="0069376A"/>
    <w:rsid w:val="00694554"/>
    <w:rsid w:val="00695074"/>
    <w:rsid w:val="00695451"/>
    <w:rsid w:val="006A077D"/>
    <w:rsid w:val="006A1725"/>
    <w:rsid w:val="006A211F"/>
    <w:rsid w:val="006A4311"/>
    <w:rsid w:val="006A5EAE"/>
    <w:rsid w:val="006A63AB"/>
    <w:rsid w:val="006A76FE"/>
    <w:rsid w:val="006B1C52"/>
    <w:rsid w:val="006B2BCC"/>
    <w:rsid w:val="006B46DC"/>
    <w:rsid w:val="006B5CB6"/>
    <w:rsid w:val="006B666A"/>
    <w:rsid w:val="006B7F89"/>
    <w:rsid w:val="006C3846"/>
    <w:rsid w:val="006C3A7A"/>
    <w:rsid w:val="006C3BF0"/>
    <w:rsid w:val="006C4725"/>
    <w:rsid w:val="006D09D1"/>
    <w:rsid w:val="006D221B"/>
    <w:rsid w:val="006D4845"/>
    <w:rsid w:val="006D7839"/>
    <w:rsid w:val="006E02B1"/>
    <w:rsid w:val="006E1181"/>
    <w:rsid w:val="006E157D"/>
    <w:rsid w:val="006E3615"/>
    <w:rsid w:val="006E6DDB"/>
    <w:rsid w:val="006F0AC4"/>
    <w:rsid w:val="006F147F"/>
    <w:rsid w:val="006F2CEE"/>
    <w:rsid w:val="006F5195"/>
    <w:rsid w:val="006F5426"/>
    <w:rsid w:val="006F61C3"/>
    <w:rsid w:val="006F65DD"/>
    <w:rsid w:val="006F7546"/>
    <w:rsid w:val="00700495"/>
    <w:rsid w:val="00702286"/>
    <w:rsid w:val="0070375B"/>
    <w:rsid w:val="00705060"/>
    <w:rsid w:val="00705F0C"/>
    <w:rsid w:val="007064D1"/>
    <w:rsid w:val="007069AD"/>
    <w:rsid w:val="00710F95"/>
    <w:rsid w:val="007132C1"/>
    <w:rsid w:val="00714445"/>
    <w:rsid w:val="0072283F"/>
    <w:rsid w:val="00722DD9"/>
    <w:rsid w:val="0072306E"/>
    <w:rsid w:val="007269A4"/>
    <w:rsid w:val="00733E60"/>
    <w:rsid w:val="00734BF0"/>
    <w:rsid w:val="007358D4"/>
    <w:rsid w:val="007362E1"/>
    <w:rsid w:val="00736827"/>
    <w:rsid w:val="007375A2"/>
    <w:rsid w:val="00737D3F"/>
    <w:rsid w:val="00741AD7"/>
    <w:rsid w:val="00742808"/>
    <w:rsid w:val="00743133"/>
    <w:rsid w:val="00745330"/>
    <w:rsid w:val="00745FC7"/>
    <w:rsid w:val="00746653"/>
    <w:rsid w:val="0075061D"/>
    <w:rsid w:val="007506CA"/>
    <w:rsid w:val="00753442"/>
    <w:rsid w:val="00754000"/>
    <w:rsid w:val="0075584E"/>
    <w:rsid w:val="00760447"/>
    <w:rsid w:val="00760C76"/>
    <w:rsid w:val="007616E0"/>
    <w:rsid w:val="007623A6"/>
    <w:rsid w:val="0076316B"/>
    <w:rsid w:val="00771BDB"/>
    <w:rsid w:val="0077232F"/>
    <w:rsid w:val="007767A4"/>
    <w:rsid w:val="007830DD"/>
    <w:rsid w:val="00784AE6"/>
    <w:rsid w:val="00784B1D"/>
    <w:rsid w:val="00784CA4"/>
    <w:rsid w:val="00784D51"/>
    <w:rsid w:val="0078521D"/>
    <w:rsid w:val="00787769"/>
    <w:rsid w:val="0079060C"/>
    <w:rsid w:val="007910EF"/>
    <w:rsid w:val="00791384"/>
    <w:rsid w:val="00792569"/>
    <w:rsid w:val="0079403D"/>
    <w:rsid w:val="00796D05"/>
    <w:rsid w:val="00797162"/>
    <w:rsid w:val="00797A49"/>
    <w:rsid w:val="007A0227"/>
    <w:rsid w:val="007A1908"/>
    <w:rsid w:val="007A31E6"/>
    <w:rsid w:val="007A3201"/>
    <w:rsid w:val="007A4951"/>
    <w:rsid w:val="007A69E3"/>
    <w:rsid w:val="007A7D92"/>
    <w:rsid w:val="007B1CA4"/>
    <w:rsid w:val="007B1D8C"/>
    <w:rsid w:val="007B2424"/>
    <w:rsid w:val="007B39B5"/>
    <w:rsid w:val="007B3A4B"/>
    <w:rsid w:val="007B59F8"/>
    <w:rsid w:val="007B62B0"/>
    <w:rsid w:val="007B677B"/>
    <w:rsid w:val="007B76CF"/>
    <w:rsid w:val="007C06DB"/>
    <w:rsid w:val="007C07F2"/>
    <w:rsid w:val="007C442F"/>
    <w:rsid w:val="007C4873"/>
    <w:rsid w:val="007C6E2F"/>
    <w:rsid w:val="007C7F1C"/>
    <w:rsid w:val="007D0693"/>
    <w:rsid w:val="007D26D0"/>
    <w:rsid w:val="007D2F6E"/>
    <w:rsid w:val="007D502C"/>
    <w:rsid w:val="007D53D2"/>
    <w:rsid w:val="007D542C"/>
    <w:rsid w:val="007D5FB6"/>
    <w:rsid w:val="007D6337"/>
    <w:rsid w:val="007D71B9"/>
    <w:rsid w:val="007E03DA"/>
    <w:rsid w:val="007E0E19"/>
    <w:rsid w:val="007E21C1"/>
    <w:rsid w:val="007E6B47"/>
    <w:rsid w:val="007E7CC7"/>
    <w:rsid w:val="007F12B7"/>
    <w:rsid w:val="007F25A9"/>
    <w:rsid w:val="007F33A7"/>
    <w:rsid w:val="007F35ED"/>
    <w:rsid w:val="00800944"/>
    <w:rsid w:val="00801036"/>
    <w:rsid w:val="00801575"/>
    <w:rsid w:val="00801B7A"/>
    <w:rsid w:val="0080418D"/>
    <w:rsid w:val="00804A64"/>
    <w:rsid w:val="00804F81"/>
    <w:rsid w:val="00810E4C"/>
    <w:rsid w:val="00811C1B"/>
    <w:rsid w:val="00813D5B"/>
    <w:rsid w:val="00815D71"/>
    <w:rsid w:val="00820836"/>
    <w:rsid w:val="00821591"/>
    <w:rsid w:val="008231BA"/>
    <w:rsid w:val="008236C3"/>
    <w:rsid w:val="00824005"/>
    <w:rsid w:val="00824E2B"/>
    <w:rsid w:val="00826779"/>
    <w:rsid w:val="00826980"/>
    <w:rsid w:val="008306DE"/>
    <w:rsid w:val="008313B2"/>
    <w:rsid w:val="00831E17"/>
    <w:rsid w:val="00832B98"/>
    <w:rsid w:val="00835E18"/>
    <w:rsid w:val="00837F0A"/>
    <w:rsid w:val="00840199"/>
    <w:rsid w:val="008405A7"/>
    <w:rsid w:val="00840CF1"/>
    <w:rsid w:val="00842423"/>
    <w:rsid w:val="0084319C"/>
    <w:rsid w:val="00850A83"/>
    <w:rsid w:val="00853B0C"/>
    <w:rsid w:val="00853B1B"/>
    <w:rsid w:val="00854838"/>
    <w:rsid w:val="00856A7E"/>
    <w:rsid w:val="00857361"/>
    <w:rsid w:val="008577D4"/>
    <w:rsid w:val="00860BCB"/>
    <w:rsid w:val="00860C75"/>
    <w:rsid w:val="00860DDC"/>
    <w:rsid w:val="00861136"/>
    <w:rsid w:val="00862065"/>
    <w:rsid w:val="00862400"/>
    <w:rsid w:val="00863DB6"/>
    <w:rsid w:val="00863FD0"/>
    <w:rsid w:val="00866415"/>
    <w:rsid w:val="00867539"/>
    <w:rsid w:val="008675E3"/>
    <w:rsid w:val="008720D8"/>
    <w:rsid w:val="0087367F"/>
    <w:rsid w:val="00873A06"/>
    <w:rsid w:val="008743C8"/>
    <w:rsid w:val="00874D70"/>
    <w:rsid w:val="00875555"/>
    <w:rsid w:val="00876C81"/>
    <w:rsid w:val="0087789D"/>
    <w:rsid w:val="008778A3"/>
    <w:rsid w:val="008838C7"/>
    <w:rsid w:val="00883E6C"/>
    <w:rsid w:val="008862B5"/>
    <w:rsid w:val="0088721E"/>
    <w:rsid w:val="0088740B"/>
    <w:rsid w:val="00887544"/>
    <w:rsid w:val="008908F5"/>
    <w:rsid w:val="00890A4C"/>
    <w:rsid w:val="00890DDA"/>
    <w:rsid w:val="00891914"/>
    <w:rsid w:val="00892FA5"/>
    <w:rsid w:val="008945FD"/>
    <w:rsid w:val="00894A72"/>
    <w:rsid w:val="008951AC"/>
    <w:rsid w:val="008961B7"/>
    <w:rsid w:val="0089677E"/>
    <w:rsid w:val="00897483"/>
    <w:rsid w:val="008978CC"/>
    <w:rsid w:val="00897A55"/>
    <w:rsid w:val="008A072A"/>
    <w:rsid w:val="008A1053"/>
    <w:rsid w:val="008A1FED"/>
    <w:rsid w:val="008A227F"/>
    <w:rsid w:val="008A2418"/>
    <w:rsid w:val="008A6931"/>
    <w:rsid w:val="008B41F6"/>
    <w:rsid w:val="008B5987"/>
    <w:rsid w:val="008C1F86"/>
    <w:rsid w:val="008C2A3C"/>
    <w:rsid w:val="008C2DAD"/>
    <w:rsid w:val="008C2E65"/>
    <w:rsid w:val="008C37C8"/>
    <w:rsid w:val="008C7F13"/>
    <w:rsid w:val="008D0652"/>
    <w:rsid w:val="008D0BF5"/>
    <w:rsid w:val="008D114B"/>
    <w:rsid w:val="008D2E88"/>
    <w:rsid w:val="008D45D9"/>
    <w:rsid w:val="008D7DDB"/>
    <w:rsid w:val="008E08F8"/>
    <w:rsid w:val="008E1F19"/>
    <w:rsid w:val="008E2631"/>
    <w:rsid w:val="008F11E2"/>
    <w:rsid w:val="008F3660"/>
    <w:rsid w:val="008F3F09"/>
    <w:rsid w:val="008F7B87"/>
    <w:rsid w:val="00902C55"/>
    <w:rsid w:val="00905989"/>
    <w:rsid w:val="00906098"/>
    <w:rsid w:val="00907206"/>
    <w:rsid w:val="0090744F"/>
    <w:rsid w:val="0090749A"/>
    <w:rsid w:val="00907611"/>
    <w:rsid w:val="00910208"/>
    <w:rsid w:val="00910DFD"/>
    <w:rsid w:val="00911C69"/>
    <w:rsid w:val="00911E72"/>
    <w:rsid w:val="009129DD"/>
    <w:rsid w:val="00912DEC"/>
    <w:rsid w:val="0091364C"/>
    <w:rsid w:val="009149A9"/>
    <w:rsid w:val="00914C10"/>
    <w:rsid w:val="00915D80"/>
    <w:rsid w:val="00916C5B"/>
    <w:rsid w:val="00917556"/>
    <w:rsid w:val="00917CE6"/>
    <w:rsid w:val="009205BD"/>
    <w:rsid w:val="009209E2"/>
    <w:rsid w:val="00924B22"/>
    <w:rsid w:val="009258F6"/>
    <w:rsid w:val="00927F3E"/>
    <w:rsid w:val="00930A46"/>
    <w:rsid w:val="00930D8F"/>
    <w:rsid w:val="00933E52"/>
    <w:rsid w:val="00934A69"/>
    <w:rsid w:val="00936103"/>
    <w:rsid w:val="00936722"/>
    <w:rsid w:val="009376A3"/>
    <w:rsid w:val="009405F0"/>
    <w:rsid w:val="00941B51"/>
    <w:rsid w:val="00945087"/>
    <w:rsid w:val="009451C2"/>
    <w:rsid w:val="0094695C"/>
    <w:rsid w:val="0095018E"/>
    <w:rsid w:val="0095022F"/>
    <w:rsid w:val="00950C28"/>
    <w:rsid w:val="009528ED"/>
    <w:rsid w:val="009548FE"/>
    <w:rsid w:val="00954B36"/>
    <w:rsid w:val="00963473"/>
    <w:rsid w:val="00964509"/>
    <w:rsid w:val="00965A62"/>
    <w:rsid w:val="00965A8D"/>
    <w:rsid w:val="00966C54"/>
    <w:rsid w:val="009678FD"/>
    <w:rsid w:val="0097037F"/>
    <w:rsid w:val="009706DE"/>
    <w:rsid w:val="00972CB3"/>
    <w:rsid w:val="00975828"/>
    <w:rsid w:val="00975DA4"/>
    <w:rsid w:val="0097649D"/>
    <w:rsid w:val="00976EC3"/>
    <w:rsid w:val="00977466"/>
    <w:rsid w:val="00977987"/>
    <w:rsid w:val="0098169D"/>
    <w:rsid w:val="0098287F"/>
    <w:rsid w:val="00984F86"/>
    <w:rsid w:val="009853EE"/>
    <w:rsid w:val="009862FF"/>
    <w:rsid w:val="00986463"/>
    <w:rsid w:val="009872D8"/>
    <w:rsid w:val="00990627"/>
    <w:rsid w:val="00990D29"/>
    <w:rsid w:val="009916C7"/>
    <w:rsid w:val="00991914"/>
    <w:rsid w:val="009937E4"/>
    <w:rsid w:val="009944E0"/>
    <w:rsid w:val="009946A0"/>
    <w:rsid w:val="009A3216"/>
    <w:rsid w:val="009A32F5"/>
    <w:rsid w:val="009A4397"/>
    <w:rsid w:val="009A5462"/>
    <w:rsid w:val="009A58EC"/>
    <w:rsid w:val="009A5BBB"/>
    <w:rsid w:val="009A7DF7"/>
    <w:rsid w:val="009B0310"/>
    <w:rsid w:val="009B09C6"/>
    <w:rsid w:val="009B13D3"/>
    <w:rsid w:val="009B1ACA"/>
    <w:rsid w:val="009B31FA"/>
    <w:rsid w:val="009B4A2A"/>
    <w:rsid w:val="009B6EF7"/>
    <w:rsid w:val="009C0A02"/>
    <w:rsid w:val="009C3782"/>
    <w:rsid w:val="009C4B02"/>
    <w:rsid w:val="009C6BB7"/>
    <w:rsid w:val="009D182C"/>
    <w:rsid w:val="009D4ED5"/>
    <w:rsid w:val="009D5869"/>
    <w:rsid w:val="009D7CE9"/>
    <w:rsid w:val="009E0EE1"/>
    <w:rsid w:val="009E3979"/>
    <w:rsid w:val="009E40DD"/>
    <w:rsid w:val="009E56B5"/>
    <w:rsid w:val="009E6BFC"/>
    <w:rsid w:val="009E74C5"/>
    <w:rsid w:val="009E776F"/>
    <w:rsid w:val="009E7D0D"/>
    <w:rsid w:val="009F08FE"/>
    <w:rsid w:val="009F0DB1"/>
    <w:rsid w:val="009F11A1"/>
    <w:rsid w:val="009F1A5D"/>
    <w:rsid w:val="009F2104"/>
    <w:rsid w:val="009F2584"/>
    <w:rsid w:val="009F2800"/>
    <w:rsid w:val="009F28F8"/>
    <w:rsid w:val="009F6808"/>
    <w:rsid w:val="009F775D"/>
    <w:rsid w:val="00A00951"/>
    <w:rsid w:val="00A00B8C"/>
    <w:rsid w:val="00A034E8"/>
    <w:rsid w:val="00A03BF8"/>
    <w:rsid w:val="00A06688"/>
    <w:rsid w:val="00A10327"/>
    <w:rsid w:val="00A10F43"/>
    <w:rsid w:val="00A11CB0"/>
    <w:rsid w:val="00A13326"/>
    <w:rsid w:val="00A17418"/>
    <w:rsid w:val="00A179C6"/>
    <w:rsid w:val="00A21A67"/>
    <w:rsid w:val="00A22797"/>
    <w:rsid w:val="00A2594E"/>
    <w:rsid w:val="00A2690A"/>
    <w:rsid w:val="00A26A38"/>
    <w:rsid w:val="00A3056D"/>
    <w:rsid w:val="00A30F8F"/>
    <w:rsid w:val="00A32C0E"/>
    <w:rsid w:val="00A32EFD"/>
    <w:rsid w:val="00A3358B"/>
    <w:rsid w:val="00A34FE8"/>
    <w:rsid w:val="00A35F40"/>
    <w:rsid w:val="00A4131F"/>
    <w:rsid w:val="00A44B4B"/>
    <w:rsid w:val="00A453B1"/>
    <w:rsid w:val="00A52609"/>
    <w:rsid w:val="00A52796"/>
    <w:rsid w:val="00A52E90"/>
    <w:rsid w:val="00A53D36"/>
    <w:rsid w:val="00A603FA"/>
    <w:rsid w:val="00A605D2"/>
    <w:rsid w:val="00A60D25"/>
    <w:rsid w:val="00A622B1"/>
    <w:rsid w:val="00A63BEB"/>
    <w:rsid w:val="00A6519F"/>
    <w:rsid w:val="00A6575E"/>
    <w:rsid w:val="00A65E12"/>
    <w:rsid w:val="00A66FC6"/>
    <w:rsid w:val="00A67467"/>
    <w:rsid w:val="00A71215"/>
    <w:rsid w:val="00A7196F"/>
    <w:rsid w:val="00A74B2E"/>
    <w:rsid w:val="00A758F4"/>
    <w:rsid w:val="00A75B86"/>
    <w:rsid w:val="00A8393C"/>
    <w:rsid w:val="00A866E0"/>
    <w:rsid w:val="00A93155"/>
    <w:rsid w:val="00A93B9A"/>
    <w:rsid w:val="00A9411B"/>
    <w:rsid w:val="00A943CA"/>
    <w:rsid w:val="00A94A12"/>
    <w:rsid w:val="00A95911"/>
    <w:rsid w:val="00AA07EE"/>
    <w:rsid w:val="00AA347C"/>
    <w:rsid w:val="00AA51FF"/>
    <w:rsid w:val="00AA66A4"/>
    <w:rsid w:val="00AA6CAA"/>
    <w:rsid w:val="00AB3041"/>
    <w:rsid w:val="00AB3D2E"/>
    <w:rsid w:val="00AB4415"/>
    <w:rsid w:val="00AB6C79"/>
    <w:rsid w:val="00AB7B74"/>
    <w:rsid w:val="00AC1289"/>
    <w:rsid w:val="00AC298F"/>
    <w:rsid w:val="00AD067A"/>
    <w:rsid w:val="00AD5870"/>
    <w:rsid w:val="00AD5C4D"/>
    <w:rsid w:val="00AD5E53"/>
    <w:rsid w:val="00AD73D2"/>
    <w:rsid w:val="00AD7497"/>
    <w:rsid w:val="00AE35E2"/>
    <w:rsid w:val="00AE407C"/>
    <w:rsid w:val="00AE4B00"/>
    <w:rsid w:val="00AE4E6C"/>
    <w:rsid w:val="00AE5259"/>
    <w:rsid w:val="00AE5F33"/>
    <w:rsid w:val="00AE68AF"/>
    <w:rsid w:val="00AE6B15"/>
    <w:rsid w:val="00AE6FD6"/>
    <w:rsid w:val="00AF0B6C"/>
    <w:rsid w:val="00AF2763"/>
    <w:rsid w:val="00AF27C9"/>
    <w:rsid w:val="00AF3745"/>
    <w:rsid w:val="00AF4175"/>
    <w:rsid w:val="00B0328B"/>
    <w:rsid w:val="00B03E26"/>
    <w:rsid w:val="00B04132"/>
    <w:rsid w:val="00B0583F"/>
    <w:rsid w:val="00B0652F"/>
    <w:rsid w:val="00B0669C"/>
    <w:rsid w:val="00B06911"/>
    <w:rsid w:val="00B07FCB"/>
    <w:rsid w:val="00B10D13"/>
    <w:rsid w:val="00B11C68"/>
    <w:rsid w:val="00B11E69"/>
    <w:rsid w:val="00B12E1D"/>
    <w:rsid w:val="00B13366"/>
    <w:rsid w:val="00B13F72"/>
    <w:rsid w:val="00B15809"/>
    <w:rsid w:val="00B15AE4"/>
    <w:rsid w:val="00B20DFF"/>
    <w:rsid w:val="00B222C9"/>
    <w:rsid w:val="00B231E1"/>
    <w:rsid w:val="00B2438A"/>
    <w:rsid w:val="00B26011"/>
    <w:rsid w:val="00B308A3"/>
    <w:rsid w:val="00B31161"/>
    <w:rsid w:val="00B31DA0"/>
    <w:rsid w:val="00B33815"/>
    <w:rsid w:val="00B347DC"/>
    <w:rsid w:val="00B35E7F"/>
    <w:rsid w:val="00B36561"/>
    <w:rsid w:val="00B400EA"/>
    <w:rsid w:val="00B40306"/>
    <w:rsid w:val="00B41904"/>
    <w:rsid w:val="00B46129"/>
    <w:rsid w:val="00B46ADD"/>
    <w:rsid w:val="00B4704C"/>
    <w:rsid w:val="00B50649"/>
    <w:rsid w:val="00B535E8"/>
    <w:rsid w:val="00B536E6"/>
    <w:rsid w:val="00B54FC2"/>
    <w:rsid w:val="00B57631"/>
    <w:rsid w:val="00B57DB6"/>
    <w:rsid w:val="00B60106"/>
    <w:rsid w:val="00B60169"/>
    <w:rsid w:val="00B630CF"/>
    <w:rsid w:val="00B63F49"/>
    <w:rsid w:val="00B644F7"/>
    <w:rsid w:val="00B65358"/>
    <w:rsid w:val="00B65ACE"/>
    <w:rsid w:val="00B65C97"/>
    <w:rsid w:val="00B65EC2"/>
    <w:rsid w:val="00B6616F"/>
    <w:rsid w:val="00B66FE1"/>
    <w:rsid w:val="00B67904"/>
    <w:rsid w:val="00B7007B"/>
    <w:rsid w:val="00B71560"/>
    <w:rsid w:val="00B72A03"/>
    <w:rsid w:val="00B73982"/>
    <w:rsid w:val="00B73D85"/>
    <w:rsid w:val="00B73ECE"/>
    <w:rsid w:val="00B75D74"/>
    <w:rsid w:val="00B77029"/>
    <w:rsid w:val="00B77183"/>
    <w:rsid w:val="00B817E0"/>
    <w:rsid w:val="00B81C32"/>
    <w:rsid w:val="00B81DA2"/>
    <w:rsid w:val="00B83416"/>
    <w:rsid w:val="00B843CD"/>
    <w:rsid w:val="00B85B62"/>
    <w:rsid w:val="00B86B09"/>
    <w:rsid w:val="00B86B7A"/>
    <w:rsid w:val="00B86BB3"/>
    <w:rsid w:val="00B876EF"/>
    <w:rsid w:val="00B909FE"/>
    <w:rsid w:val="00B92014"/>
    <w:rsid w:val="00B94616"/>
    <w:rsid w:val="00B96979"/>
    <w:rsid w:val="00BA0D6D"/>
    <w:rsid w:val="00BA19EC"/>
    <w:rsid w:val="00BA2225"/>
    <w:rsid w:val="00BA39C4"/>
    <w:rsid w:val="00BA3BB4"/>
    <w:rsid w:val="00BA474B"/>
    <w:rsid w:val="00BA60A8"/>
    <w:rsid w:val="00BB3AEE"/>
    <w:rsid w:val="00BB5EC0"/>
    <w:rsid w:val="00BB6334"/>
    <w:rsid w:val="00BB7050"/>
    <w:rsid w:val="00BB7973"/>
    <w:rsid w:val="00BC08FD"/>
    <w:rsid w:val="00BC1CEE"/>
    <w:rsid w:val="00BC2AA4"/>
    <w:rsid w:val="00BC375A"/>
    <w:rsid w:val="00BC4621"/>
    <w:rsid w:val="00BC55A1"/>
    <w:rsid w:val="00BC5BE9"/>
    <w:rsid w:val="00BC7A6D"/>
    <w:rsid w:val="00BD25BF"/>
    <w:rsid w:val="00BD2C8D"/>
    <w:rsid w:val="00BD32FA"/>
    <w:rsid w:val="00BD47D3"/>
    <w:rsid w:val="00BD4C58"/>
    <w:rsid w:val="00BE0054"/>
    <w:rsid w:val="00BE0F2C"/>
    <w:rsid w:val="00BE0F82"/>
    <w:rsid w:val="00BE11EF"/>
    <w:rsid w:val="00BE309E"/>
    <w:rsid w:val="00BE50AE"/>
    <w:rsid w:val="00BE51FD"/>
    <w:rsid w:val="00BE5D49"/>
    <w:rsid w:val="00BE7CAC"/>
    <w:rsid w:val="00BF0778"/>
    <w:rsid w:val="00BF13A5"/>
    <w:rsid w:val="00BF243B"/>
    <w:rsid w:val="00BF2441"/>
    <w:rsid w:val="00BF2689"/>
    <w:rsid w:val="00BF2EFF"/>
    <w:rsid w:val="00BF3213"/>
    <w:rsid w:val="00BF44BF"/>
    <w:rsid w:val="00BF760E"/>
    <w:rsid w:val="00BF7F06"/>
    <w:rsid w:val="00C00872"/>
    <w:rsid w:val="00C04816"/>
    <w:rsid w:val="00C0489E"/>
    <w:rsid w:val="00C04E48"/>
    <w:rsid w:val="00C0725D"/>
    <w:rsid w:val="00C10437"/>
    <w:rsid w:val="00C116D2"/>
    <w:rsid w:val="00C126FA"/>
    <w:rsid w:val="00C12952"/>
    <w:rsid w:val="00C12F61"/>
    <w:rsid w:val="00C14230"/>
    <w:rsid w:val="00C167AC"/>
    <w:rsid w:val="00C203A0"/>
    <w:rsid w:val="00C22776"/>
    <w:rsid w:val="00C2476B"/>
    <w:rsid w:val="00C250DA"/>
    <w:rsid w:val="00C25E5D"/>
    <w:rsid w:val="00C27F5E"/>
    <w:rsid w:val="00C3000A"/>
    <w:rsid w:val="00C32997"/>
    <w:rsid w:val="00C333C8"/>
    <w:rsid w:val="00C349DE"/>
    <w:rsid w:val="00C3697F"/>
    <w:rsid w:val="00C37494"/>
    <w:rsid w:val="00C374B1"/>
    <w:rsid w:val="00C374F3"/>
    <w:rsid w:val="00C42C0F"/>
    <w:rsid w:val="00C430E3"/>
    <w:rsid w:val="00C43CD6"/>
    <w:rsid w:val="00C45F57"/>
    <w:rsid w:val="00C46500"/>
    <w:rsid w:val="00C465FA"/>
    <w:rsid w:val="00C50250"/>
    <w:rsid w:val="00C51BF2"/>
    <w:rsid w:val="00C51EDF"/>
    <w:rsid w:val="00C5250C"/>
    <w:rsid w:val="00C56AAF"/>
    <w:rsid w:val="00C62CB0"/>
    <w:rsid w:val="00C65011"/>
    <w:rsid w:val="00C66105"/>
    <w:rsid w:val="00C666E3"/>
    <w:rsid w:val="00C671F1"/>
    <w:rsid w:val="00C67644"/>
    <w:rsid w:val="00C67E09"/>
    <w:rsid w:val="00C700AE"/>
    <w:rsid w:val="00C72DC4"/>
    <w:rsid w:val="00C74B63"/>
    <w:rsid w:val="00C81411"/>
    <w:rsid w:val="00C8145D"/>
    <w:rsid w:val="00C8592B"/>
    <w:rsid w:val="00C94481"/>
    <w:rsid w:val="00C9508F"/>
    <w:rsid w:val="00C96E35"/>
    <w:rsid w:val="00CA0FC7"/>
    <w:rsid w:val="00CA279F"/>
    <w:rsid w:val="00CA4A86"/>
    <w:rsid w:val="00CA4E5B"/>
    <w:rsid w:val="00CA4EC4"/>
    <w:rsid w:val="00CA536F"/>
    <w:rsid w:val="00CA63E8"/>
    <w:rsid w:val="00CA652B"/>
    <w:rsid w:val="00CA6FFD"/>
    <w:rsid w:val="00CA7199"/>
    <w:rsid w:val="00CB290E"/>
    <w:rsid w:val="00CB2E26"/>
    <w:rsid w:val="00CB2F0D"/>
    <w:rsid w:val="00CB303B"/>
    <w:rsid w:val="00CB4DAD"/>
    <w:rsid w:val="00CB54BF"/>
    <w:rsid w:val="00CB6EAC"/>
    <w:rsid w:val="00CB7F74"/>
    <w:rsid w:val="00CC14C1"/>
    <w:rsid w:val="00CC157B"/>
    <w:rsid w:val="00CC17AE"/>
    <w:rsid w:val="00CC25EB"/>
    <w:rsid w:val="00CC4269"/>
    <w:rsid w:val="00CC550F"/>
    <w:rsid w:val="00CC56A1"/>
    <w:rsid w:val="00CC7A70"/>
    <w:rsid w:val="00CC7CE2"/>
    <w:rsid w:val="00CD1819"/>
    <w:rsid w:val="00CD2896"/>
    <w:rsid w:val="00CD4E39"/>
    <w:rsid w:val="00CD5611"/>
    <w:rsid w:val="00CD57D3"/>
    <w:rsid w:val="00CD6149"/>
    <w:rsid w:val="00CD688D"/>
    <w:rsid w:val="00CD69B2"/>
    <w:rsid w:val="00CD6FD1"/>
    <w:rsid w:val="00CD7D98"/>
    <w:rsid w:val="00CE06EC"/>
    <w:rsid w:val="00CE1EEB"/>
    <w:rsid w:val="00CE3598"/>
    <w:rsid w:val="00CE45C2"/>
    <w:rsid w:val="00CE6A45"/>
    <w:rsid w:val="00CF0E0A"/>
    <w:rsid w:val="00CF23E3"/>
    <w:rsid w:val="00CF328E"/>
    <w:rsid w:val="00CF6310"/>
    <w:rsid w:val="00D00C66"/>
    <w:rsid w:val="00D01398"/>
    <w:rsid w:val="00D0357C"/>
    <w:rsid w:val="00D03688"/>
    <w:rsid w:val="00D06DA1"/>
    <w:rsid w:val="00D07A67"/>
    <w:rsid w:val="00D132C7"/>
    <w:rsid w:val="00D14D5C"/>
    <w:rsid w:val="00D14E9B"/>
    <w:rsid w:val="00D1593D"/>
    <w:rsid w:val="00D20263"/>
    <w:rsid w:val="00D21F09"/>
    <w:rsid w:val="00D24A23"/>
    <w:rsid w:val="00D250A8"/>
    <w:rsid w:val="00D2595E"/>
    <w:rsid w:val="00D25CA2"/>
    <w:rsid w:val="00D268CF"/>
    <w:rsid w:val="00D27F87"/>
    <w:rsid w:val="00D33262"/>
    <w:rsid w:val="00D363F6"/>
    <w:rsid w:val="00D37B8E"/>
    <w:rsid w:val="00D404F4"/>
    <w:rsid w:val="00D4118C"/>
    <w:rsid w:val="00D419A2"/>
    <w:rsid w:val="00D42C0D"/>
    <w:rsid w:val="00D44FF9"/>
    <w:rsid w:val="00D450BB"/>
    <w:rsid w:val="00D4654C"/>
    <w:rsid w:val="00D46DF1"/>
    <w:rsid w:val="00D47520"/>
    <w:rsid w:val="00D51C9A"/>
    <w:rsid w:val="00D52418"/>
    <w:rsid w:val="00D534A9"/>
    <w:rsid w:val="00D541DC"/>
    <w:rsid w:val="00D54F3E"/>
    <w:rsid w:val="00D56035"/>
    <w:rsid w:val="00D56AFD"/>
    <w:rsid w:val="00D6015C"/>
    <w:rsid w:val="00D619EB"/>
    <w:rsid w:val="00D6227C"/>
    <w:rsid w:val="00D62745"/>
    <w:rsid w:val="00D63C60"/>
    <w:rsid w:val="00D64231"/>
    <w:rsid w:val="00D651DD"/>
    <w:rsid w:val="00D70BC5"/>
    <w:rsid w:val="00D70D37"/>
    <w:rsid w:val="00D72001"/>
    <w:rsid w:val="00D727D0"/>
    <w:rsid w:val="00D75E58"/>
    <w:rsid w:val="00D7649C"/>
    <w:rsid w:val="00D82AD9"/>
    <w:rsid w:val="00D83165"/>
    <w:rsid w:val="00D8376F"/>
    <w:rsid w:val="00D87E6F"/>
    <w:rsid w:val="00D90AE0"/>
    <w:rsid w:val="00D9279B"/>
    <w:rsid w:val="00D94630"/>
    <w:rsid w:val="00D9472B"/>
    <w:rsid w:val="00D94E6E"/>
    <w:rsid w:val="00D96227"/>
    <w:rsid w:val="00D96679"/>
    <w:rsid w:val="00D97347"/>
    <w:rsid w:val="00DA123A"/>
    <w:rsid w:val="00DA16E6"/>
    <w:rsid w:val="00DA19BC"/>
    <w:rsid w:val="00DA2952"/>
    <w:rsid w:val="00DA469F"/>
    <w:rsid w:val="00DA5380"/>
    <w:rsid w:val="00DA5B16"/>
    <w:rsid w:val="00DA6ACF"/>
    <w:rsid w:val="00DB0246"/>
    <w:rsid w:val="00DB11F4"/>
    <w:rsid w:val="00DB4E9C"/>
    <w:rsid w:val="00DB5437"/>
    <w:rsid w:val="00DB6523"/>
    <w:rsid w:val="00DB6685"/>
    <w:rsid w:val="00DB6C15"/>
    <w:rsid w:val="00DB7435"/>
    <w:rsid w:val="00DB74DE"/>
    <w:rsid w:val="00DC1CA3"/>
    <w:rsid w:val="00DC25CB"/>
    <w:rsid w:val="00DC26C4"/>
    <w:rsid w:val="00DC393D"/>
    <w:rsid w:val="00DC3DF5"/>
    <w:rsid w:val="00DC4C3D"/>
    <w:rsid w:val="00DC511E"/>
    <w:rsid w:val="00DC5DD9"/>
    <w:rsid w:val="00DC6423"/>
    <w:rsid w:val="00DC72D6"/>
    <w:rsid w:val="00DD091C"/>
    <w:rsid w:val="00DD2292"/>
    <w:rsid w:val="00DD427D"/>
    <w:rsid w:val="00DD4D95"/>
    <w:rsid w:val="00DD50E4"/>
    <w:rsid w:val="00DD6880"/>
    <w:rsid w:val="00DE2EF4"/>
    <w:rsid w:val="00DE3DFD"/>
    <w:rsid w:val="00DE584B"/>
    <w:rsid w:val="00DE6583"/>
    <w:rsid w:val="00DE6A19"/>
    <w:rsid w:val="00DE78FA"/>
    <w:rsid w:val="00DF6A98"/>
    <w:rsid w:val="00E03529"/>
    <w:rsid w:val="00E0520E"/>
    <w:rsid w:val="00E054BB"/>
    <w:rsid w:val="00E05DE6"/>
    <w:rsid w:val="00E06CC8"/>
    <w:rsid w:val="00E07501"/>
    <w:rsid w:val="00E107B3"/>
    <w:rsid w:val="00E10F19"/>
    <w:rsid w:val="00E1181B"/>
    <w:rsid w:val="00E11E49"/>
    <w:rsid w:val="00E1282D"/>
    <w:rsid w:val="00E14D21"/>
    <w:rsid w:val="00E15791"/>
    <w:rsid w:val="00E159B3"/>
    <w:rsid w:val="00E16F68"/>
    <w:rsid w:val="00E1750C"/>
    <w:rsid w:val="00E200B1"/>
    <w:rsid w:val="00E20CA3"/>
    <w:rsid w:val="00E20D90"/>
    <w:rsid w:val="00E22AC9"/>
    <w:rsid w:val="00E22DB9"/>
    <w:rsid w:val="00E23D18"/>
    <w:rsid w:val="00E240A5"/>
    <w:rsid w:val="00E245B2"/>
    <w:rsid w:val="00E247F0"/>
    <w:rsid w:val="00E25817"/>
    <w:rsid w:val="00E25E6E"/>
    <w:rsid w:val="00E266D4"/>
    <w:rsid w:val="00E30624"/>
    <w:rsid w:val="00E34393"/>
    <w:rsid w:val="00E353C8"/>
    <w:rsid w:val="00E36C86"/>
    <w:rsid w:val="00E36F05"/>
    <w:rsid w:val="00E37305"/>
    <w:rsid w:val="00E37B70"/>
    <w:rsid w:val="00E449A7"/>
    <w:rsid w:val="00E45EEA"/>
    <w:rsid w:val="00E465EC"/>
    <w:rsid w:val="00E523EB"/>
    <w:rsid w:val="00E530DB"/>
    <w:rsid w:val="00E63CFB"/>
    <w:rsid w:val="00E644E0"/>
    <w:rsid w:val="00E64B8A"/>
    <w:rsid w:val="00E65E72"/>
    <w:rsid w:val="00E668D2"/>
    <w:rsid w:val="00E679D7"/>
    <w:rsid w:val="00E67E2E"/>
    <w:rsid w:val="00E70F72"/>
    <w:rsid w:val="00E73F53"/>
    <w:rsid w:val="00E756F8"/>
    <w:rsid w:val="00E7663B"/>
    <w:rsid w:val="00E76C6F"/>
    <w:rsid w:val="00E77246"/>
    <w:rsid w:val="00E80091"/>
    <w:rsid w:val="00E80344"/>
    <w:rsid w:val="00E80B46"/>
    <w:rsid w:val="00E818AD"/>
    <w:rsid w:val="00E84974"/>
    <w:rsid w:val="00E84E7B"/>
    <w:rsid w:val="00E85EB4"/>
    <w:rsid w:val="00E917E6"/>
    <w:rsid w:val="00E92D1B"/>
    <w:rsid w:val="00EA0960"/>
    <w:rsid w:val="00EA1510"/>
    <w:rsid w:val="00EA3FCF"/>
    <w:rsid w:val="00EA499B"/>
    <w:rsid w:val="00EA4F20"/>
    <w:rsid w:val="00EA4F5A"/>
    <w:rsid w:val="00EA562E"/>
    <w:rsid w:val="00EA6050"/>
    <w:rsid w:val="00EA6552"/>
    <w:rsid w:val="00EA73DB"/>
    <w:rsid w:val="00EA77E5"/>
    <w:rsid w:val="00EB0C2C"/>
    <w:rsid w:val="00EB0E5E"/>
    <w:rsid w:val="00EB1EBB"/>
    <w:rsid w:val="00EB23AB"/>
    <w:rsid w:val="00EB39AD"/>
    <w:rsid w:val="00EB4133"/>
    <w:rsid w:val="00EB4D7D"/>
    <w:rsid w:val="00EB5E0E"/>
    <w:rsid w:val="00EB6BC3"/>
    <w:rsid w:val="00EC3E6A"/>
    <w:rsid w:val="00EC5B6B"/>
    <w:rsid w:val="00ED0213"/>
    <w:rsid w:val="00ED0F2D"/>
    <w:rsid w:val="00ED1498"/>
    <w:rsid w:val="00ED1FF5"/>
    <w:rsid w:val="00ED42CE"/>
    <w:rsid w:val="00EE28AB"/>
    <w:rsid w:val="00EE47B2"/>
    <w:rsid w:val="00EE5CB2"/>
    <w:rsid w:val="00EF141F"/>
    <w:rsid w:val="00EF22DB"/>
    <w:rsid w:val="00EF3529"/>
    <w:rsid w:val="00EF5D3F"/>
    <w:rsid w:val="00EF712B"/>
    <w:rsid w:val="00EF7D01"/>
    <w:rsid w:val="00EF7D5A"/>
    <w:rsid w:val="00F018F3"/>
    <w:rsid w:val="00F020DD"/>
    <w:rsid w:val="00F02505"/>
    <w:rsid w:val="00F03617"/>
    <w:rsid w:val="00F0421C"/>
    <w:rsid w:val="00F04EF2"/>
    <w:rsid w:val="00F057EC"/>
    <w:rsid w:val="00F05FA7"/>
    <w:rsid w:val="00F0672A"/>
    <w:rsid w:val="00F06801"/>
    <w:rsid w:val="00F06EAB"/>
    <w:rsid w:val="00F06F54"/>
    <w:rsid w:val="00F112EA"/>
    <w:rsid w:val="00F13519"/>
    <w:rsid w:val="00F16AC7"/>
    <w:rsid w:val="00F16C66"/>
    <w:rsid w:val="00F17781"/>
    <w:rsid w:val="00F25C21"/>
    <w:rsid w:val="00F25F07"/>
    <w:rsid w:val="00F2626E"/>
    <w:rsid w:val="00F262FE"/>
    <w:rsid w:val="00F26B4C"/>
    <w:rsid w:val="00F31EA1"/>
    <w:rsid w:val="00F34DA5"/>
    <w:rsid w:val="00F35EC8"/>
    <w:rsid w:val="00F377A4"/>
    <w:rsid w:val="00F400A5"/>
    <w:rsid w:val="00F41368"/>
    <w:rsid w:val="00F41834"/>
    <w:rsid w:val="00F42D14"/>
    <w:rsid w:val="00F44420"/>
    <w:rsid w:val="00F45C8D"/>
    <w:rsid w:val="00F45CFC"/>
    <w:rsid w:val="00F469BA"/>
    <w:rsid w:val="00F46B66"/>
    <w:rsid w:val="00F474F2"/>
    <w:rsid w:val="00F52628"/>
    <w:rsid w:val="00F532D4"/>
    <w:rsid w:val="00F55401"/>
    <w:rsid w:val="00F55FA6"/>
    <w:rsid w:val="00F5774B"/>
    <w:rsid w:val="00F60480"/>
    <w:rsid w:val="00F60AEB"/>
    <w:rsid w:val="00F61EEE"/>
    <w:rsid w:val="00F64D99"/>
    <w:rsid w:val="00F6590C"/>
    <w:rsid w:val="00F678E0"/>
    <w:rsid w:val="00F703CA"/>
    <w:rsid w:val="00F70A20"/>
    <w:rsid w:val="00F715E6"/>
    <w:rsid w:val="00F7263B"/>
    <w:rsid w:val="00F72EE9"/>
    <w:rsid w:val="00F73563"/>
    <w:rsid w:val="00F743FE"/>
    <w:rsid w:val="00F76B51"/>
    <w:rsid w:val="00F774B6"/>
    <w:rsid w:val="00F779CD"/>
    <w:rsid w:val="00F80A6A"/>
    <w:rsid w:val="00F837B8"/>
    <w:rsid w:val="00F838CE"/>
    <w:rsid w:val="00F84D96"/>
    <w:rsid w:val="00F91422"/>
    <w:rsid w:val="00F9167A"/>
    <w:rsid w:val="00F91DBB"/>
    <w:rsid w:val="00F92FAB"/>
    <w:rsid w:val="00F955B1"/>
    <w:rsid w:val="00F961B9"/>
    <w:rsid w:val="00FA1256"/>
    <w:rsid w:val="00FA208A"/>
    <w:rsid w:val="00FA3EAA"/>
    <w:rsid w:val="00FB2B62"/>
    <w:rsid w:val="00FB3398"/>
    <w:rsid w:val="00FB37AA"/>
    <w:rsid w:val="00FB38B9"/>
    <w:rsid w:val="00FB3EF3"/>
    <w:rsid w:val="00FB45D9"/>
    <w:rsid w:val="00FB4683"/>
    <w:rsid w:val="00FB4FC4"/>
    <w:rsid w:val="00FB50D6"/>
    <w:rsid w:val="00FB665C"/>
    <w:rsid w:val="00FB668B"/>
    <w:rsid w:val="00FC072E"/>
    <w:rsid w:val="00FC5F55"/>
    <w:rsid w:val="00FD0ACF"/>
    <w:rsid w:val="00FD32A7"/>
    <w:rsid w:val="00FD5E24"/>
    <w:rsid w:val="00FE02E7"/>
    <w:rsid w:val="00FE1080"/>
    <w:rsid w:val="00FE133D"/>
    <w:rsid w:val="00FE1A74"/>
    <w:rsid w:val="00FE206C"/>
    <w:rsid w:val="00FE2FAF"/>
    <w:rsid w:val="00FE4D17"/>
    <w:rsid w:val="00FE5427"/>
    <w:rsid w:val="00FE5508"/>
    <w:rsid w:val="00FE63A1"/>
    <w:rsid w:val="00FE71C5"/>
    <w:rsid w:val="00FF21FA"/>
    <w:rsid w:val="00FF23BD"/>
    <w:rsid w:val="00FF33F5"/>
    <w:rsid w:val="00FF536D"/>
    <w:rsid w:val="00FF5408"/>
    <w:rsid w:val="00FF623A"/>
    <w:rsid w:val="00FF6240"/>
    <w:rsid w:val="00FF680E"/>
    <w:rsid w:val="010C1F2E"/>
    <w:rsid w:val="05AB2747"/>
    <w:rsid w:val="07E027FB"/>
    <w:rsid w:val="0E537D4A"/>
    <w:rsid w:val="0EBC1367"/>
    <w:rsid w:val="129F4311"/>
    <w:rsid w:val="15EB515B"/>
    <w:rsid w:val="18E50699"/>
    <w:rsid w:val="22B1221A"/>
    <w:rsid w:val="231E3CEC"/>
    <w:rsid w:val="233037F7"/>
    <w:rsid w:val="23626BE7"/>
    <w:rsid w:val="24295BA6"/>
    <w:rsid w:val="272C532A"/>
    <w:rsid w:val="2B1B4372"/>
    <w:rsid w:val="2DB1273B"/>
    <w:rsid w:val="2E132CAC"/>
    <w:rsid w:val="318949A1"/>
    <w:rsid w:val="35410BA6"/>
    <w:rsid w:val="36BD5142"/>
    <w:rsid w:val="376E7BF5"/>
    <w:rsid w:val="37AC1BBE"/>
    <w:rsid w:val="3D2955F8"/>
    <w:rsid w:val="3FCF4A8E"/>
    <w:rsid w:val="414030A1"/>
    <w:rsid w:val="44DC5472"/>
    <w:rsid w:val="468E71DB"/>
    <w:rsid w:val="47DC09AF"/>
    <w:rsid w:val="4AB27CAF"/>
    <w:rsid w:val="50625682"/>
    <w:rsid w:val="51CF1D01"/>
    <w:rsid w:val="51DA565B"/>
    <w:rsid w:val="53004AAF"/>
    <w:rsid w:val="554B32A8"/>
    <w:rsid w:val="565A40BC"/>
    <w:rsid w:val="5BC61BBC"/>
    <w:rsid w:val="5D077594"/>
    <w:rsid w:val="5DA56BD3"/>
    <w:rsid w:val="5FAB0CE2"/>
    <w:rsid w:val="60F8179E"/>
    <w:rsid w:val="622E2AD0"/>
    <w:rsid w:val="66F463D0"/>
    <w:rsid w:val="671D7C92"/>
    <w:rsid w:val="69903FC9"/>
    <w:rsid w:val="6A4E52F8"/>
    <w:rsid w:val="77763CAD"/>
    <w:rsid w:val="79BD37A5"/>
    <w:rsid w:val="7F2E59FC"/>
  </w:rsids>
  <m:mathPr>
    <m:lMargin m:val="0"/>
    <m:mathFont m:val="Cambria Math"/>
    <m:rMargin m:val="0"/>
    <m:wrapIndent m:val="1440"/>
    <m:brkBin m:val="before"/>
    <m:brkBinSub m:val="--"/>
    <m:defJc m:val="centerGroup"/>
    <m:intLim m:val="subSup"/>
    <m:naryLim m:val="undOvr"/>
    <m:smallFrac m:val="0"/>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0" w:semiHidden="0"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3">
    <w:name w:val="heading 1"/>
    <w:basedOn w:val="1"/>
    <w:next w:val="1"/>
    <w:link w:val="23"/>
    <w:qFormat/>
    <w:uiPriority w:val="99"/>
    <w:pPr>
      <w:keepNext/>
      <w:keepLines/>
      <w:widowControl w:val="0"/>
      <w:spacing w:before="340" w:after="330" w:line="576" w:lineRule="auto"/>
      <w:textAlignment w:val="auto"/>
      <w:outlineLvl w:val="0"/>
    </w:pPr>
    <w:rPr>
      <w:b/>
      <w:bCs/>
      <w:kern w:val="44"/>
      <w:sz w:val="44"/>
      <w:szCs w:val="44"/>
    </w:rPr>
  </w:style>
  <w:style w:type="paragraph" w:styleId="4">
    <w:name w:val="heading 3"/>
    <w:basedOn w:val="1"/>
    <w:next w:val="1"/>
    <w:link w:val="24"/>
    <w:qFormat/>
    <w:uiPriority w:val="99"/>
    <w:pPr>
      <w:keepNext/>
      <w:keepLines/>
      <w:spacing w:before="260" w:after="260" w:line="416" w:lineRule="atLeast"/>
      <w:outlineLvl w:val="2"/>
    </w:pPr>
    <w:rPr>
      <w:b/>
      <w:bCs/>
      <w:sz w:val="32"/>
      <w:szCs w:val="32"/>
    </w:rPr>
  </w:style>
  <w:style w:type="character" w:default="1" w:styleId="17">
    <w:name w:val="Default Paragraph Font"/>
    <w:unhideWhenUsed/>
    <w:qFormat/>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2">
    <w:name w:val="Message Header"/>
    <w:basedOn w:val="1"/>
    <w:qFormat/>
    <w:locked/>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5">
    <w:name w:val="Body Text First Indent"/>
    <w:basedOn w:val="6"/>
    <w:link w:val="62"/>
    <w:unhideWhenUsed/>
    <w:qFormat/>
    <w:locked/>
    <w:uiPriority w:val="99"/>
    <w:pPr>
      <w:ind w:firstLine="420" w:firstLineChars="100"/>
    </w:pPr>
  </w:style>
  <w:style w:type="paragraph" w:styleId="6">
    <w:name w:val="Body Text"/>
    <w:basedOn w:val="1"/>
    <w:link w:val="61"/>
    <w:unhideWhenUsed/>
    <w:qFormat/>
    <w:locked/>
    <w:uiPriority w:val="99"/>
    <w:pPr>
      <w:spacing w:after="120"/>
    </w:pPr>
  </w:style>
  <w:style w:type="paragraph" w:styleId="7">
    <w:name w:val="Body Text Indent"/>
    <w:basedOn w:val="1"/>
    <w:link w:val="25"/>
    <w:qFormat/>
    <w:uiPriority w:val="99"/>
    <w:pPr>
      <w:widowControl w:val="0"/>
      <w:snapToGrid w:val="0"/>
      <w:spacing w:before="283" w:line="560" w:lineRule="exact"/>
      <w:ind w:firstLine="510"/>
    </w:pPr>
    <w:rPr>
      <w:sz w:val="20"/>
    </w:rPr>
  </w:style>
  <w:style w:type="paragraph" w:styleId="8">
    <w:name w:val="Plain Text"/>
    <w:basedOn w:val="1"/>
    <w:link w:val="26"/>
    <w:qFormat/>
    <w:uiPriority w:val="99"/>
    <w:pPr>
      <w:widowControl w:val="0"/>
      <w:spacing w:line="240" w:lineRule="auto"/>
      <w:textAlignment w:val="auto"/>
    </w:pPr>
    <w:rPr>
      <w:rFonts w:ascii="宋体" w:hAnsi="Courier New"/>
      <w:color w:val="auto"/>
      <w:kern w:val="2"/>
    </w:rPr>
  </w:style>
  <w:style w:type="paragraph" w:styleId="9">
    <w:name w:val="Date"/>
    <w:basedOn w:val="1"/>
    <w:next w:val="1"/>
    <w:link w:val="27"/>
    <w:qFormat/>
    <w:uiPriority w:val="99"/>
    <w:pPr>
      <w:ind w:left="100" w:leftChars="2500"/>
    </w:pPr>
  </w:style>
  <w:style w:type="paragraph" w:styleId="10">
    <w:name w:val="Balloon Text"/>
    <w:basedOn w:val="1"/>
    <w:link w:val="28"/>
    <w:qFormat/>
    <w:uiPriority w:val="99"/>
    <w:pPr>
      <w:spacing w:line="240" w:lineRule="auto"/>
    </w:pPr>
    <w:rPr>
      <w:sz w:val="18"/>
      <w:szCs w:val="18"/>
    </w:rPr>
  </w:style>
  <w:style w:type="paragraph" w:styleId="11">
    <w:name w:val="footer"/>
    <w:basedOn w:val="1"/>
    <w:link w:val="29"/>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30"/>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Body Text 2"/>
    <w:basedOn w:val="1"/>
    <w:link w:val="31"/>
    <w:qFormat/>
    <w:uiPriority w:val="99"/>
    <w:pPr>
      <w:spacing w:after="120" w:line="480" w:lineRule="auto"/>
    </w:pPr>
    <w:rPr>
      <w:sz w:val="20"/>
    </w:rPr>
  </w:style>
  <w:style w:type="paragraph" w:styleId="16">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character" w:styleId="18">
    <w:name w:val="Strong"/>
    <w:qFormat/>
    <w:uiPriority w:val="99"/>
    <w:rPr>
      <w:rFonts w:cs="Times New Roman"/>
      <w:b/>
    </w:rPr>
  </w:style>
  <w:style w:type="character" w:styleId="19">
    <w:name w:val="page number"/>
    <w:qFormat/>
    <w:uiPriority w:val="99"/>
    <w:rPr>
      <w:rFonts w:cs="Times New Roman"/>
    </w:rPr>
  </w:style>
  <w:style w:type="character" w:styleId="20">
    <w:name w:val="Hyperlink"/>
    <w:qFormat/>
    <w:uiPriority w:val="99"/>
    <w:rPr>
      <w:rFonts w:cs="Times New Roman"/>
      <w:color w:val="0368A8"/>
      <w:u w:val="none"/>
    </w:rPr>
  </w:style>
  <w:style w:type="table" w:styleId="22">
    <w:name w:val="Table Grid"/>
    <w:basedOn w:val="2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3">
    <w:name w:val="标题 1 Char"/>
    <w:link w:val="3"/>
    <w:qFormat/>
    <w:locked/>
    <w:uiPriority w:val="99"/>
    <w:rPr>
      <w:rFonts w:cs="Times New Roman"/>
      <w:b/>
      <w:color w:val="000000"/>
      <w:kern w:val="44"/>
      <w:sz w:val="44"/>
      <w:u w:val="none" w:color="000000"/>
    </w:rPr>
  </w:style>
  <w:style w:type="character" w:customStyle="1" w:styleId="24">
    <w:name w:val="标题 3 Char"/>
    <w:link w:val="4"/>
    <w:semiHidden/>
    <w:qFormat/>
    <w:locked/>
    <w:uiPriority w:val="99"/>
    <w:rPr>
      <w:rFonts w:cs="Times New Roman"/>
      <w:b/>
      <w:color w:val="000000"/>
      <w:sz w:val="32"/>
      <w:u w:val="none" w:color="000000"/>
    </w:rPr>
  </w:style>
  <w:style w:type="character" w:customStyle="1" w:styleId="25">
    <w:name w:val="正文文本缩进 Char"/>
    <w:link w:val="7"/>
    <w:semiHidden/>
    <w:qFormat/>
    <w:locked/>
    <w:uiPriority w:val="99"/>
    <w:rPr>
      <w:rFonts w:cs="Times New Roman"/>
      <w:color w:val="000000"/>
      <w:kern w:val="0"/>
      <w:sz w:val="20"/>
      <w:u w:val="none" w:color="000000"/>
    </w:rPr>
  </w:style>
  <w:style w:type="character" w:customStyle="1" w:styleId="26">
    <w:name w:val="纯文本 Char1"/>
    <w:link w:val="8"/>
    <w:qFormat/>
    <w:locked/>
    <w:uiPriority w:val="99"/>
    <w:rPr>
      <w:rFonts w:ascii="宋体" w:hAnsi="Courier New" w:cs="Times New Roman"/>
      <w:color w:val="000000"/>
      <w:kern w:val="0"/>
      <w:sz w:val="21"/>
      <w:u w:val="none" w:color="000000"/>
    </w:rPr>
  </w:style>
  <w:style w:type="character" w:customStyle="1" w:styleId="27">
    <w:name w:val="日期 Char"/>
    <w:link w:val="9"/>
    <w:qFormat/>
    <w:locked/>
    <w:uiPriority w:val="99"/>
    <w:rPr>
      <w:rFonts w:cs="Times New Roman"/>
      <w:color w:val="000000"/>
      <w:sz w:val="21"/>
      <w:u w:val="none" w:color="000000"/>
    </w:rPr>
  </w:style>
  <w:style w:type="character" w:customStyle="1" w:styleId="28">
    <w:name w:val="批注框文本 Char"/>
    <w:link w:val="10"/>
    <w:qFormat/>
    <w:locked/>
    <w:uiPriority w:val="99"/>
    <w:rPr>
      <w:rFonts w:cs="Times New Roman"/>
      <w:color w:val="000000"/>
      <w:sz w:val="18"/>
      <w:u w:val="none" w:color="000000"/>
    </w:rPr>
  </w:style>
  <w:style w:type="character" w:customStyle="1" w:styleId="29">
    <w:name w:val="页脚 Char"/>
    <w:link w:val="11"/>
    <w:semiHidden/>
    <w:qFormat/>
    <w:locked/>
    <w:uiPriority w:val="99"/>
    <w:rPr>
      <w:rFonts w:cs="Times New Roman"/>
      <w:color w:val="000000"/>
      <w:kern w:val="0"/>
      <w:sz w:val="18"/>
      <w:u w:val="none" w:color="000000"/>
    </w:rPr>
  </w:style>
  <w:style w:type="character" w:customStyle="1" w:styleId="30">
    <w:name w:val="页眉 Char"/>
    <w:link w:val="12"/>
    <w:semiHidden/>
    <w:qFormat/>
    <w:locked/>
    <w:uiPriority w:val="99"/>
    <w:rPr>
      <w:rFonts w:cs="Times New Roman"/>
      <w:color w:val="000000"/>
      <w:kern w:val="0"/>
      <w:sz w:val="18"/>
      <w:u w:val="none" w:color="000000"/>
    </w:rPr>
  </w:style>
  <w:style w:type="character" w:customStyle="1" w:styleId="31">
    <w:name w:val="正文文本 2 Char"/>
    <w:link w:val="15"/>
    <w:semiHidden/>
    <w:qFormat/>
    <w:locked/>
    <w:uiPriority w:val="99"/>
    <w:rPr>
      <w:rFonts w:cs="Times New Roman"/>
      <w:color w:val="000000"/>
      <w:kern w:val="0"/>
      <w:sz w:val="20"/>
      <w:u w:val="none" w:color="000000"/>
    </w:rPr>
  </w:style>
  <w:style w:type="paragraph" w:customStyle="1" w:styleId="32">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33">
    <w:name w:val="章标题"/>
    <w:basedOn w:val="1"/>
    <w:next w:val="34"/>
    <w:qFormat/>
    <w:uiPriority w:val="99"/>
    <w:pPr>
      <w:spacing w:before="158" w:after="153" w:line="323" w:lineRule="atLeast"/>
      <w:jc w:val="center"/>
    </w:pPr>
    <w:rPr>
      <w:rFonts w:ascii="Arial" w:eastAsia="黑体"/>
      <w:sz w:val="31"/>
    </w:rPr>
  </w:style>
  <w:style w:type="paragraph" w:customStyle="1" w:styleId="34">
    <w:name w:val="节标题"/>
    <w:basedOn w:val="1"/>
    <w:next w:val="35"/>
    <w:qFormat/>
    <w:uiPriority w:val="99"/>
    <w:pPr>
      <w:spacing w:line="289" w:lineRule="atLeast"/>
      <w:jc w:val="center"/>
    </w:pPr>
    <w:rPr>
      <w:sz w:val="28"/>
    </w:rPr>
  </w:style>
  <w:style w:type="paragraph" w:customStyle="1" w:styleId="35">
    <w:name w:val="小节标题"/>
    <w:basedOn w:val="1"/>
    <w:next w:val="1"/>
    <w:qFormat/>
    <w:uiPriority w:val="99"/>
    <w:pPr>
      <w:spacing w:before="175" w:after="102" w:line="351" w:lineRule="atLeast"/>
    </w:pPr>
    <w:rPr>
      <w:rFonts w:eastAsia="黑体"/>
    </w:rPr>
  </w:style>
  <w:style w:type="paragraph" w:customStyle="1" w:styleId="36">
    <w:name w:val="目录2"/>
    <w:basedOn w:val="1"/>
    <w:next w:val="1"/>
    <w:qFormat/>
    <w:uiPriority w:val="99"/>
    <w:pPr>
      <w:tabs>
        <w:tab w:val="left" w:leader="dot" w:pos="8503"/>
      </w:tabs>
      <w:spacing w:line="317" w:lineRule="atLeast"/>
      <w:ind w:firstLine="209"/>
    </w:pPr>
  </w:style>
  <w:style w:type="paragraph" w:customStyle="1" w:styleId="37">
    <w:name w:val="目录4"/>
    <w:basedOn w:val="1"/>
    <w:next w:val="1"/>
    <w:qFormat/>
    <w:uiPriority w:val="99"/>
    <w:pPr>
      <w:tabs>
        <w:tab w:val="left" w:leader="dot" w:pos="8503"/>
      </w:tabs>
      <w:spacing w:line="317" w:lineRule="atLeast"/>
      <w:ind w:firstLine="629"/>
    </w:pPr>
  </w:style>
  <w:style w:type="paragraph" w:customStyle="1" w:styleId="38">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39">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40">
    <w:name w:val="目录3"/>
    <w:basedOn w:val="1"/>
    <w:next w:val="1"/>
    <w:qFormat/>
    <w:uiPriority w:val="99"/>
    <w:pPr>
      <w:tabs>
        <w:tab w:val="left" w:leader="dot" w:pos="8503"/>
      </w:tabs>
      <w:spacing w:line="317" w:lineRule="atLeast"/>
      <w:ind w:firstLine="419"/>
    </w:pPr>
  </w:style>
  <w:style w:type="paragraph" w:customStyle="1" w:styleId="41">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42">
    <w:name w:val="文章总标题"/>
    <w:basedOn w:val="1"/>
    <w:next w:val="43"/>
    <w:qFormat/>
    <w:uiPriority w:val="99"/>
    <w:pPr>
      <w:spacing w:before="566" w:after="544" w:line="566" w:lineRule="atLeast"/>
      <w:jc w:val="center"/>
    </w:pPr>
    <w:rPr>
      <w:rFonts w:ascii="Arial" w:eastAsia="黑体"/>
      <w:sz w:val="54"/>
    </w:rPr>
  </w:style>
  <w:style w:type="paragraph" w:customStyle="1" w:styleId="43">
    <w:name w:val="文章附标题"/>
    <w:basedOn w:val="1"/>
    <w:next w:val="33"/>
    <w:qFormat/>
    <w:uiPriority w:val="99"/>
    <w:pPr>
      <w:spacing w:before="187" w:after="175" w:line="374" w:lineRule="atLeast"/>
      <w:jc w:val="center"/>
    </w:pPr>
    <w:rPr>
      <w:sz w:val="36"/>
    </w:rPr>
  </w:style>
  <w:style w:type="paragraph" w:customStyle="1" w:styleId="44">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45">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46">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47">
    <w:name w:val="WPS Plain"/>
    <w:qFormat/>
    <w:uiPriority w:val="99"/>
    <w:rPr>
      <w:rFonts w:ascii="Times New Roman" w:hAnsi="Times New Roman" w:eastAsia="宋体" w:cs="Times New Roman"/>
      <w:lang w:val="en-US" w:eastAsia="zh-CN" w:bidi="ar-SA"/>
    </w:rPr>
  </w:style>
  <w:style w:type="paragraph" w:customStyle="1" w:styleId="48">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49">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51">
    <w:name w:val="链接"/>
    <w:qFormat/>
    <w:uiPriority w:val="99"/>
    <w:rPr>
      <w:rFonts w:ascii="Times New Roman" w:eastAsia="宋体"/>
      <w:color w:val="0000FF"/>
      <w:sz w:val="21"/>
      <w:u w:val="single" w:color="0000FF"/>
      <w:lang w:val="en-US" w:eastAsia="zh-CN"/>
    </w:rPr>
  </w:style>
  <w:style w:type="character" w:customStyle="1" w:styleId="52">
    <w:name w:val="超级链接"/>
    <w:qFormat/>
    <w:uiPriority w:val="99"/>
    <w:rPr>
      <w:rFonts w:ascii="Times New Roman" w:eastAsia="宋体"/>
      <w:color w:val="0000FF"/>
      <w:sz w:val="21"/>
      <w:u w:val="single" w:color="0000FF"/>
      <w:lang w:val="en-US" w:eastAsia="zh-CN"/>
    </w:rPr>
  </w:style>
  <w:style w:type="character" w:customStyle="1" w:styleId="53">
    <w:name w:val="param_td12"/>
    <w:qFormat/>
    <w:uiPriority w:val="99"/>
  </w:style>
  <w:style w:type="character" w:customStyle="1" w:styleId="54">
    <w:name w:val="纯文本 Char"/>
    <w:qFormat/>
    <w:locked/>
    <w:uiPriority w:val="99"/>
    <w:rPr>
      <w:rFonts w:ascii="宋体" w:hAnsi="Courier New" w:eastAsia="宋体"/>
      <w:kern w:val="2"/>
      <w:sz w:val="21"/>
      <w:lang w:val="en-US" w:eastAsia="zh-CN"/>
    </w:rPr>
  </w:style>
  <w:style w:type="character" w:customStyle="1" w:styleId="55">
    <w:name w:val="纯文本 Char Char"/>
    <w:qFormat/>
    <w:uiPriority w:val="99"/>
    <w:rPr>
      <w:rFonts w:ascii="宋体" w:hAnsi="Courier New" w:eastAsia="宋体"/>
      <w:kern w:val="2"/>
      <w:sz w:val="21"/>
      <w:lang w:val="en-US" w:eastAsia="zh-CN"/>
    </w:rPr>
  </w:style>
  <w:style w:type="character" w:customStyle="1" w:styleId="56">
    <w:name w:val="Char Char4"/>
    <w:qFormat/>
    <w:uiPriority w:val="99"/>
    <w:rPr>
      <w:rFonts w:ascii="宋体" w:eastAsia="宋体"/>
      <w:kern w:val="2"/>
      <w:sz w:val="28"/>
    </w:rPr>
  </w:style>
  <w:style w:type="character" w:customStyle="1" w:styleId="57">
    <w:name w:val="Plain Text Char1"/>
    <w:semiHidden/>
    <w:qFormat/>
    <w:locked/>
    <w:uiPriority w:val="99"/>
    <w:rPr>
      <w:rFonts w:ascii="宋体" w:hAnsi="Courier New" w:cs="Courier New"/>
      <w:color w:val="000000"/>
      <w:kern w:val="0"/>
      <w:sz w:val="21"/>
      <w:szCs w:val="21"/>
      <w:u w:val="none" w:color="000000"/>
    </w:rPr>
  </w:style>
  <w:style w:type="character" w:customStyle="1" w:styleId="58">
    <w:name w:val="15"/>
    <w:basedOn w:val="17"/>
    <w:qFormat/>
    <w:uiPriority w:val="0"/>
  </w:style>
  <w:style w:type="character" w:customStyle="1" w:styleId="59">
    <w:name w:val="样式 首行缩进:  0 字符 Char"/>
    <w:link w:val="60"/>
    <w:qFormat/>
    <w:locked/>
    <w:uiPriority w:val="0"/>
    <w:rPr>
      <w:sz w:val="24"/>
    </w:rPr>
  </w:style>
  <w:style w:type="paragraph" w:customStyle="1" w:styleId="60">
    <w:name w:val="样式 首行缩进:  0 字符"/>
    <w:basedOn w:val="1"/>
    <w:link w:val="59"/>
    <w:qFormat/>
    <w:uiPriority w:val="0"/>
    <w:pPr>
      <w:widowControl w:val="0"/>
      <w:spacing w:line="360" w:lineRule="auto"/>
      <w:ind w:firstLine="200" w:firstLineChars="200"/>
      <w:textAlignment w:val="auto"/>
    </w:pPr>
    <w:rPr>
      <w:color w:val="auto"/>
      <w:sz w:val="24"/>
    </w:rPr>
  </w:style>
  <w:style w:type="character" w:customStyle="1" w:styleId="61">
    <w:name w:val="正文文本 Char"/>
    <w:link w:val="6"/>
    <w:semiHidden/>
    <w:qFormat/>
    <w:uiPriority w:val="99"/>
    <w:rPr>
      <w:color w:val="000000"/>
      <w:sz w:val="21"/>
      <w:u w:color="000000"/>
    </w:rPr>
  </w:style>
  <w:style w:type="character" w:customStyle="1" w:styleId="62">
    <w:name w:val="正文首行缩进 Char"/>
    <w:link w:val="5"/>
    <w:semiHidden/>
    <w:qFormat/>
    <w:uiPriority w:val="99"/>
    <w:rPr>
      <w:color w:val="000000"/>
      <w:sz w:val="21"/>
      <w:u w:color="000000"/>
    </w:rPr>
  </w:style>
  <w:style w:type="paragraph" w:customStyle="1" w:styleId="63">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64">
    <w:name w:val="正文文本 (2)_"/>
    <w:link w:val="65"/>
    <w:qFormat/>
    <w:uiPriority w:val="0"/>
    <w:rPr>
      <w:rFonts w:ascii="MingLiU" w:hAnsi="MingLiU" w:eastAsia="MingLiU" w:cs="MingLiU"/>
      <w:spacing w:val="30"/>
      <w:sz w:val="30"/>
      <w:szCs w:val="30"/>
      <w:shd w:val="clear" w:color="auto" w:fill="FFFFFF"/>
    </w:rPr>
  </w:style>
  <w:style w:type="paragraph" w:customStyle="1" w:styleId="65">
    <w:name w:val="正文文本 (2)"/>
    <w:basedOn w:val="1"/>
    <w:link w:val="64"/>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66">
    <w:name w:val="正文文本 (2) + 斜体"/>
    <w:qFormat/>
    <w:uiPriority w:val="0"/>
    <w:rPr>
      <w:rFonts w:ascii="MingLiU" w:hAnsi="MingLiU" w:eastAsia="MingLiU" w:cs="MingLiU"/>
      <w:i/>
      <w:iCs/>
      <w:color w:val="000000"/>
      <w:spacing w:val="0"/>
      <w:w w:val="100"/>
      <w:position w:val="0"/>
      <w:sz w:val="30"/>
      <w:szCs w:val="30"/>
      <w:u w:val="none"/>
      <w:lang w:val="zh-CN" w:eastAsia="zh-CN" w:bidi="zh-CN"/>
    </w:rPr>
  </w:style>
  <w:style w:type="character" w:customStyle="1" w:styleId="67">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68">
    <w:name w:val="页眉或页脚"/>
    <w:qFormat/>
    <w:uiPriority w:val="0"/>
    <w:rPr>
      <w:rFonts w:ascii="MingLiU" w:hAnsi="MingLiU" w:eastAsia="MingLiU" w:cs="MingLiU"/>
      <w:color w:val="000000"/>
      <w:spacing w:val="0"/>
      <w:w w:val="100"/>
      <w:position w:val="0"/>
      <w:sz w:val="18"/>
      <w:szCs w:val="18"/>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81</Pages>
  <Words>47268</Words>
  <Characters>52838</Characters>
  <Lines>97</Lines>
  <Paragraphs>117</Paragraphs>
  <TotalTime>0</TotalTime>
  <ScaleCrop>false</ScaleCrop>
  <LinksUpToDate>false</LinksUpToDate>
  <CharactersWithSpaces>53916</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2015-09-10T13:42:00Z</dcterms:created>
  <dc:creator>ZM</dc:creator>
  <cp:lastModifiedBy>Administrator</cp:lastModifiedBy>
  <cp:lastPrinted>2024-06-19T02:52:00Z</cp:lastPrinted>
  <dcterms:modified xsi:type="dcterms:W3CDTF">2024-07-19T02:03:35Z</dcterms:modified>
  <dc:title>内黄县第一高级中学所需多媒体教室设备项目</dc:title>
  <cp:revision>372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39BD70F23C8246A0B423E1E62928F2FE_12</vt:lpwstr>
  </property>
</Properties>
</file>