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992719">
      <w:pPr>
        <w:widowControl w:val="0"/>
        <w:snapToGrid w:val="0"/>
        <w:spacing w:line="560" w:lineRule="exact"/>
        <w:ind w:firstLine="241" w:firstLineChars="50"/>
        <w:rPr>
          <w:rFonts w:eastAsia="黑体"/>
          <w:b/>
          <w:color w:val="auto"/>
          <w:spacing w:val="40"/>
          <w:sz w:val="40"/>
          <w:szCs w:val="40"/>
          <w:highlight w:val="none"/>
        </w:rPr>
      </w:pPr>
      <w:bookmarkStart w:id="74" w:name="_GoBack"/>
      <w:bookmarkEnd w:id="74"/>
    </w:p>
    <w:p w14:paraId="7FA72DAA">
      <w:pPr>
        <w:widowControl w:val="0"/>
        <w:snapToGrid w:val="0"/>
        <w:spacing w:line="560" w:lineRule="exact"/>
        <w:ind w:firstLine="241" w:firstLineChars="50"/>
        <w:jc w:val="center"/>
        <w:rPr>
          <w:rFonts w:eastAsia="黑体"/>
          <w:b/>
          <w:color w:val="auto"/>
          <w:spacing w:val="40"/>
          <w:sz w:val="40"/>
          <w:szCs w:val="40"/>
          <w:highlight w:val="none"/>
        </w:rPr>
      </w:pPr>
    </w:p>
    <w:p w14:paraId="233E9642">
      <w:pPr>
        <w:widowControl w:val="0"/>
        <w:snapToGrid w:val="0"/>
        <w:spacing w:line="560" w:lineRule="exact"/>
        <w:ind w:firstLine="241" w:firstLineChars="50"/>
        <w:jc w:val="center"/>
        <w:rPr>
          <w:rFonts w:eastAsia="黑体"/>
          <w:b/>
          <w:color w:val="auto"/>
          <w:spacing w:val="40"/>
          <w:sz w:val="40"/>
          <w:szCs w:val="40"/>
          <w:highlight w:val="none"/>
        </w:rPr>
      </w:pPr>
    </w:p>
    <w:p w14:paraId="14BCE218">
      <w:pPr>
        <w:widowControl w:val="0"/>
        <w:snapToGrid w:val="0"/>
        <w:spacing w:line="560" w:lineRule="exact"/>
        <w:ind w:firstLine="221" w:firstLineChars="50"/>
        <w:jc w:val="center"/>
        <w:rPr>
          <w:rFonts w:ascii="黑体" w:eastAsia="黑体"/>
          <w:b/>
          <w:color w:val="auto"/>
          <w:spacing w:val="40"/>
          <w:sz w:val="44"/>
          <w:szCs w:val="44"/>
          <w:highlight w:val="none"/>
        </w:rPr>
      </w:pPr>
      <w:r>
        <w:rPr>
          <w:rFonts w:hint="eastAsia" w:ascii="黑体" w:eastAsia="黑体"/>
          <w:b/>
          <w:color w:val="auto"/>
          <w:sz w:val="44"/>
          <w:szCs w:val="44"/>
          <w:highlight w:val="none"/>
        </w:rPr>
        <w:t>安阳市融媒体中心演播大厅改造（一期）项目</w:t>
      </w:r>
    </w:p>
    <w:p w14:paraId="58A6EBE6">
      <w:pPr>
        <w:widowControl w:val="0"/>
        <w:snapToGrid w:val="0"/>
        <w:spacing w:line="560" w:lineRule="exact"/>
        <w:ind w:firstLine="261" w:firstLineChars="50"/>
        <w:jc w:val="center"/>
        <w:rPr>
          <w:rFonts w:ascii="黑体" w:eastAsia="黑体"/>
          <w:b/>
          <w:color w:val="auto"/>
          <w:spacing w:val="40"/>
          <w:sz w:val="44"/>
          <w:szCs w:val="44"/>
          <w:highlight w:val="none"/>
        </w:rPr>
      </w:pPr>
    </w:p>
    <w:p w14:paraId="0EE6658F">
      <w:pPr>
        <w:widowControl w:val="0"/>
        <w:snapToGrid w:val="0"/>
        <w:spacing w:before="240" w:beforeLines="100" w:line="560" w:lineRule="exact"/>
        <w:jc w:val="center"/>
        <w:rPr>
          <w:rFonts w:eastAsia="黑体"/>
          <w:b/>
          <w:color w:val="auto"/>
          <w:sz w:val="44"/>
          <w:highlight w:val="none"/>
        </w:rPr>
      </w:pPr>
    </w:p>
    <w:p w14:paraId="79457DBC">
      <w:pPr>
        <w:widowControl w:val="0"/>
        <w:snapToGrid w:val="0"/>
        <w:spacing w:before="240" w:beforeLines="100" w:line="240" w:lineRule="auto"/>
        <w:jc w:val="center"/>
        <w:rPr>
          <w:rFonts w:eastAsia="黑体"/>
          <w:b/>
          <w:color w:val="auto"/>
          <w:sz w:val="44"/>
          <w:highlight w:val="none"/>
        </w:rPr>
      </w:pPr>
    </w:p>
    <w:p w14:paraId="3BD05BDA">
      <w:pPr>
        <w:widowControl w:val="0"/>
        <w:snapToGrid w:val="0"/>
        <w:spacing w:before="240" w:beforeLines="100" w:line="240" w:lineRule="auto"/>
        <w:jc w:val="center"/>
        <w:rPr>
          <w:rFonts w:eastAsia="黑体"/>
          <w:b/>
          <w:color w:val="auto"/>
          <w:sz w:val="44"/>
          <w:highlight w:val="none"/>
        </w:rPr>
      </w:pPr>
    </w:p>
    <w:p w14:paraId="1C093DB9">
      <w:pPr>
        <w:widowControl w:val="0"/>
        <w:snapToGrid w:val="0"/>
        <w:spacing w:before="240" w:beforeLines="100" w:line="240" w:lineRule="auto"/>
        <w:jc w:val="center"/>
        <w:rPr>
          <w:rFonts w:ascii="华文新魏" w:hAnsi="微软雅黑" w:eastAsia="华文新魏"/>
          <w:b/>
          <w:color w:val="auto"/>
          <w:sz w:val="116"/>
          <w:szCs w:val="116"/>
          <w:highlight w:val="none"/>
        </w:rPr>
      </w:pPr>
      <w:r>
        <w:rPr>
          <w:rFonts w:hint="eastAsia" w:ascii="华文新魏" w:hAnsi="微软雅黑" w:eastAsia="华文新魏"/>
          <w:b/>
          <w:color w:val="auto"/>
          <w:sz w:val="116"/>
          <w:szCs w:val="116"/>
          <w:highlight w:val="none"/>
        </w:rPr>
        <w:t>招</w:t>
      </w:r>
      <w:r>
        <w:rPr>
          <w:rFonts w:ascii="华文新魏" w:hAnsi="微软雅黑" w:eastAsia="华文新魏"/>
          <w:b/>
          <w:color w:val="auto"/>
          <w:sz w:val="116"/>
          <w:szCs w:val="116"/>
          <w:highlight w:val="none"/>
        </w:rPr>
        <w:t xml:space="preserve"> </w:t>
      </w:r>
      <w:r>
        <w:rPr>
          <w:rFonts w:hint="eastAsia" w:ascii="华文新魏" w:hAnsi="微软雅黑" w:eastAsia="华文新魏"/>
          <w:b/>
          <w:color w:val="auto"/>
          <w:sz w:val="116"/>
          <w:szCs w:val="116"/>
          <w:highlight w:val="none"/>
        </w:rPr>
        <w:t>标</w:t>
      </w:r>
      <w:r>
        <w:rPr>
          <w:rFonts w:ascii="华文新魏" w:hAnsi="微软雅黑" w:eastAsia="华文新魏"/>
          <w:b/>
          <w:color w:val="auto"/>
          <w:sz w:val="116"/>
          <w:szCs w:val="116"/>
          <w:highlight w:val="none"/>
        </w:rPr>
        <w:t xml:space="preserve"> </w:t>
      </w:r>
      <w:r>
        <w:rPr>
          <w:rFonts w:hint="eastAsia" w:ascii="华文新魏" w:hAnsi="微软雅黑" w:eastAsia="华文新魏"/>
          <w:b/>
          <w:color w:val="auto"/>
          <w:sz w:val="116"/>
          <w:szCs w:val="116"/>
          <w:highlight w:val="none"/>
        </w:rPr>
        <w:t>文</w:t>
      </w:r>
      <w:r>
        <w:rPr>
          <w:rFonts w:ascii="华文新魏" w:hAnsi="微软雅黑" w:eastAsia="华文新魏"/>
          <w:b/>
          <w:color w:val="auto"/>
          <w:sz w:val="116"/>
          <w:szCs w:val="116"/>
          <w:highlight w:val="none"/>
        </w:rPr>
        <w:t xml:space="preserve"> </w:t>
      </w:r>
      <w:r>
        <w:rPr>
          <w:rFonts w:hint="eastAsia" w:ascii="华文新魏" w:hAnsi="微软雅黑" w:eastAsia="华文新魏"/>
          <w:b/>
          <w:color w:val="auto"/>
          <w:sz w:val="116"/>
          <w:szCs w:val="116"/>
          <w:highlight w:val="none"/>
        </w:rPr>
        <w:t>件</w:t>
      </w:r>
    </w:p>
    <w:p w14:paraId="70249B28">
      <w:pPr>
        <w:widowControl w:val="0"/>
        <w:snapToGrid w:val="0"/>
        <w:spacing w:before="240" w:beforeLines="100" w:line="560" w:lineRule="exact"/>
        <w:jc w:val="center"/>
        <w:rPr>
          <w:rFonts w:ascii="宋体" w:hAnsi="宋体"/>
          <w:color w:val="auto"/>
          <w:sz w:val="32"/>
          <w:szCs w:val="32"/>
          <w:highlight w:val="none"/>
        </w:rPr>
      </w:pPr>
      <w:r>
        <w:rPr>
          <w:rFonts w:hint="eastAsia" w:ascii="宋体" w:hAnsi="宋体"/>
          <w:color w:val="auto"/>
          <w:sz w:val="32"/>
          <w:szCs w:val="32"/>
          <w:highlight w:val="none"/>
        </w:rPr>
        <w:t>项目编号：安财招标采购-2025-48</w:t>
      </w:r>
    </w:p>
    <w:p w14:paraId="5EA51422">
      <w:pPr>
        <w:widowControl w:val="0"/>
        <w:snapToGrid w:val="0"/>
        <w:spacing w:before="240" w:beforeLines="100" w:line="560" w:lineRule="exact"/>
        <w:jc w:val="center"/>
        <w:rPr>
          <w:rFonts w:eastAsia="黑体"/>
          <w:b/>
          <w:color w:val="auto"/>
          <w:sz w:val="44"/>
          <w:highlight w:val="none"/>
        </w:rPr>
      </w:pPr>
    </w:p>
    <w:p w14:paraId="0E78480B">
      <w:pPr>
        <w:widowControl w:val="0"/>
        <w:snapToGrid w:val="0"/>
        <w:spacing w:before="240" w:beforeLines="100" w:line="560" w:lineRule="exact"/>
        <w:jc w:val="center"/>
        <w:rPr>
          <w:rFonts w:eastAsia="黑体"/>
          <w:b/>
          <w:color w:val="auto"/>
          <w:sz w:val="44"/>
          <w:highlight w:val="none"/>
        </w:rPr>
      </w:pPr>
    </w:p>
    <w:p w14:paraId="16460D6E">
      <w:pPr>
        <w:widowControl w:val="0"/>
        <w:snapToGrid w:val="0"/>
        <w:spacing w:before="240" w:beforeLines="100" w:line="560" w:lineRule="exact"/>
        <w:jc w:val="center"/>
        <w:rPr>
          <w:rFonts w:eastAsia="黑体"/>
          <w:b/>
          <w:color w:val="auto"/>
          <w:sz w:val="44"/>
          <w:highlight w:val="none"/>
        </w:rPr>
      </w:pPr>
    </w:p>
    <w:p w14:paraId="1E8970B1">
      <w:pPr>
        <w:widowControl w:val="0"/>
        <w:snapToGrid w:val="0"/>
        <w:spacing w:before="240" w:beforeLines="100" w:line="560" w:lineRule="exact"/>
        <w:rPr>
          <w:rFonts w:eastAsia="黑体"/>
          <w:b/>
          <w:color w:val="auto"/>
          <w:sz w:val="44"/>
          <w:highlight w:val="none"/>
        </w:rPr>
      </w:pPr>
    </w:p>
    <w:p w14:paraId="078B60DB">
      <w:pPr>
        <w:widowControl w:val="0"/>
        <w:snapToGrid w:val="0"/>
        <w:spacing w:line="660" w:lineRule="exact"/>
        <w:ind w:firstLine="540" w:firstLineChars="168"/>
        <w:rPr>
          <w:rFonts w:ascii="黑体" w:hAnsi="黑体" w:eastAsia="黑体"/>
          <w:b/>
          <w:color w:val="auto"/>
          <w:sz w:val="32"/>
          <w:szCs w:val="32"/>
          <w:highlight w:val="none"/>
        </w:rPr>
      </w:pPr>
      <w:r>
        <w:rPr>
          <w:rFonts w:hint="eastAsia" w:ascii="黑体" w:hAnsi="黑体" w:eastAsia="黑体"/>
          <w:b/>
          <w:color w:val="auto"/>
          <w:sz w:val="32"/>
          <w:szCs w:val="32"/>
          <w:highlight w:val="none"/>
        </w:rPr>
        <w:t>采购人：安阳市融媒体中心</w:t>
      </w:r>
    </w:p>
    <w:p w14:paraId="0C9EA5F2">
      <w:pPr>
        <w:widowControl w:val="0"/>
        <w:snapToGrid w:val="0"/>
        <w:spacing w:line="660" w:lineRule="exact"/>
        <w:ind w:firstLine="540" w:firstLineChars="168"/>
        <w:rPr>
          <w:rFonts w:ascii="黑体" w:hAnsi="黑体" w:eastAsia="黑体"/>
          <w:b/>
          <w:color w:val="auto"/>
          <w:sz w:val="32"/>
          <w:szCs w:val="32"/>
          <w:highlight w:val="none"/>
        </w:rPr>
      </w:pPr>
      <w:r>
        <w:rPr>
          <w:rFonts w:hint="eastAsia" w:ascii="黑体" w:hAnsi="黑体" w:eastAsia="黑体"/>
          <w:b/>
          <w:color w:val="auto"/>
          <w:sz w:val="32"/>
          <w:szCs w:val="32"/>
          <w:highlight w:val="none"/>
        </w:rPr>
        <w:t>代理机构：安阳市方正招标采购服务有限责任公司</w:t>
      </w:r>
    </w:p>
    <w:p w14:paraId="70715174">
      <w:pPr>
        <w:widowControl w:val="0"/>
        <w:snapToGrid w:val="0"/>
        <w:spacing w:line="660" w:lineRule="exact"/>
        <w:rPr>
          <w:rFonts w:ascii="黑体" w:hAnsi="黑体" w:eastAsia="黑体"/>
          <w:b/>
          <w:color w:val="auto"/>
          <w:sz w:val="36"/>
          <w:szCs w:val="36"/>
          <w:highlight w:val="none"/>
        </w:rPr>
        <w:sectPr>
          <w:footerReference r:id="rId9" w:type="first"/>
          <w:headerReference r:id="rId5" w:type="default"/>
          <w:footerReference r:id="rId7" w:type="default"/>
          <w:headerReference r:id="rId6" w:type="even"/>
          <w:footerReference r:id="rId8" w:type="even"/>
          <w:pgSz w:w="11905" w:h="16837"/>
          <w:pgMar w:top="1418" w:right="1106" w:bottom="1418" w:left="1418" w:header="567" w:footer="567" w:gutter="0"/>
          <w:pgNumType w:fmt="numberInDash" w:start="0"/>
          <w:cols w:space="720" w:num="1"/>
          <w:titlePg/>
        </w:sectPr>
      </w:pPr>
    </w:p>
    <w:p w14:paraId="75563C61">
      <w:pPr>
        <w:widowControl w:val="0"/>
        <w:snapToGrid w:val="0"/>
        <w:spacing w:line="660" w:lineRule="exact"/>
        <w:rPr>
          <w:rFonts w:ascii="黑体" w:hAnsi="黑体" w:eastAsia="黑体"/>
          <w:b/>
          <w:color w:val="auto"/>
          <w:sz w:val="36"/>
          <w:szCs w:val="36"/>
          <w:highlight w:val="none"/>
        </w:rPr>
      </w:pPr>
    </w:p>
    <w:p w14:paraId="212EF819">
      <w:pPr>
        <w:jc w:val="center"/>
        <w:rPr>
          <w:rFonts w:ascii="Times New Roman" w:hAnsi="Times New Roman" w:eastAsia="宋体" w:cs="Times New Roman"/>
          <w:color w:val="auto"/>
          <w:sz w:val="21"/>
          <w:highlight w:val="none"/>
          <w:u w:color="000000"/>
          <w:lang w:val="en-US" w:eastAsia="zh-CN" w:bidi="ar-SA"/>
        </w:rPr>
      </w:pPr>
      <w:r>
        <w:rPr>
          <w:rFonts w:hint="eastAsia" w:ascii="黑体" w:hAnsi="黑体" w:eastAsia="黑体"/>
          <w:b/>
          <w:bCs/>
          <w:color w:val="auto"/>
          <w:sz w:val="36"/>
          <w:szCs w:val="36"/>
          <w:highlight w:val="none"/>
          <w:lang w:val="zh-CN"/>
        </w:rPr>
        <w:t>目</w:t>
      </w:r>
      <w:r>
        <w:rPr>
          <w:rFonts w:ascii="黑体" w:hAnsi="黑体" w:eastAsia="黑体"/>
          <w:b/>
          <w:bCs/>
          <w:color w:val="auto"/>
          <w:sz w:val="36"/>
          <w:szCs w:val="36"/>
          <w:highlight w:val="none"/>
          <w:lang w:val="zh-CN"/>
        </w:rPr>
        <w:t xml:space="preserve"> </w:t>
      </w:r>
      <w:r>
        <w:rPr>
          <w:rFonts w:hint="eastAsia" w:ascii="黑体" w:hAnsi="黑体" w:eastAsia="黑体"/>
          <w:b/>
          <w:bCs/>
          <w:color w:val="auto"/>
          <w:sz w:val="36"/>
          <w:szCs w:val="36"/>
          <w:highlight w:val="none"/>
          <w:lang w:val="zh-CN"/>
        </w:rPr>
        <w:t>录</w:t>
      </w:r>
      <w:r>
        <w:rPr>
          <w:color w:val="auto"/>
          <w:highlight w:val="none"/>
        </w:rPr>
        <w:fldChar w:fldCharType="begin"/>
      </w:r>
      <w:r>
        <w:rPr>
          <w:color w:val="auto"/>
          <w:highlight w:val="none"/>
        </w:rPr>
        <w:instrText xml:space="preserve"> TOC \o "1-3" \h \z \u </w:instrText>
      </w:r>
      <w:r>
        <w:rPr>
          <w:color w:val="auto"/>
          <w:highlight w:val="none"/>
        </w:rPr>
        <w:fldChar w:fldCharType="separate"/>
      </w:r>
    </w:p>
    <w:p w14:paraId="1328569F">
      <w:pPr>
        <w:pStyle w:val="13"/>
        <w:tabs>
          <w:tab w:val="right" w:leader="dot" w:pos="9381"/>
        </w:tabs>
        <w:rPr>
          <w:rFonts w:hint="eastAsia" w:ascii="黑体" w:hAnsi="黑体" w:eastAsia="黑体" w:cs="黑体"/>
          <w:b/>
          <w:bCs/>
        </w:rPr>
      </w:pPr>
      <w:r>
        <w:rPr>
          <w:rFonts w:hint="eastAsia" w:ascii="黑体" w:hAnsi="黑体" w:eastAsia="黑体" w:cs="黑体"/>
          <w:b/>
          <w:bCs/>
          <w:color w:val="auto"/>
          <w:highlight w:val="none"/>
        </w:rPr>
        <w:fldChar w:fldCharType="begin"/>
      </w:r>
      <w:r>
        <w:rPr>
          <w:rFonts w:hint="eastAsia" w:ascii="黑体" w:hAnsi="黑体" w:eastAsia="黑体" w:cs="黑体"/>
          <w:b/>
          <w:bCs/>
          <w:highlight w:val="none"/>
        </w:rPr>
        <w:instrText xml:space="preserve"> HYPERLINK \l _Toc21604 </w:instrText>
      </w:r>
      <w:r>
        <w:rPr>
          <w:rFonts w:hint="eastAsia" w:ascii="黑体" w:hAnsi="黑体" w:eastAsia="黑体" w:cs="黑体"/>
          <w:b/>
          <w:bCs/>
          <w:highlight w:val="none"/>
        </w:rPr>
        <w:fldChar w:fldCharType="separate"/>
      </w:r>
      <w:r>
        <w:rPr>
          <w:rFonts w:hint="eastAsia" w:ascii="黑体" w:hAnsi="黑体" w:eastAsia="黑体" w:cs="黑体"/>
          <w:b/>
          <w:bCs/>
          <w:szCs w:val="36"/>
          <w:highlight w:val="none"/>
        </w:rPr>
        <w:t>第一章  招标公告</w:t>
      </w:r>
      <w:r>
        <w:rPr>
          <w:rFonts w:hint="eastAsia" w:ascii="黑体" w:hAnsi="黑体" w:eastAsia="黑体" w:cs="黑体"/>
          <w:b/>
          <w:bCs/>
        </w:rPr>
        <w:tab/>
      </w:r>
      <w:r>
        <w:rPr>
          <w:rFonts w:hint="eastAsia" w:ascii="黑体" w:hAnsi="黑体" w:eastAsia="黑体" w:cs="黑体"/>
          <w:b/>
          <w:bCs/>
        </w:rPr>
        <w:fldChar w:fldCharType="begin"/>
      </w:r>
      <w:r>
        <w:rPr>
          <w:rFonts w:hint="eastAsia" w:ascii="黑体" w:hAnsi="黑体" w:eastAsia="黑体" w:cs="黑体"/>
          <w:b/>
          <w:bCs/>
        </w:rPr>
        <w:instrText xml:space="preserve"> PAGEREF _Toc21604 \h </w:instrText>
      </w:r>
      <w:r>
        <w:rPr>
          <w:rFonts w:hint="eastAsia" w:ascii="黑体" w:hAnsi="黑体" w:eastAsia="黑体" w:cs="黑体"/>
          <w:b/>
          <w:bCs/>
        </w:rPr>
        <w:fldChar w:fldCharType="separate"/>
      </w:r>
      <w:r>
        <w:rPr>
          <w:rFonts w:hint="eastAsia" w:ascii="黑体" w:hAnsi="黑体" w:eastAsia="黑体" w:cs="黑体"/>
          <w:b/>
          <w:bCs/>
        </w:rPr>
        <w:t>1</w:t>
      </w:r>
      <w:r>
        <w:rPr>
          <w:rFonts w:hint="eastAsia" w:ascii="黑体" w:hAnsi="黑体" w:eastAsia="黑体" w:cs="黑体"/>
          <w:b/>
          <w:bCs/>
        </w:rPr>
        <w:fldChar w:fldCharType="end"/>
      </w:r>
      <w:r>
        <w:rPr>
          <w:rFonts w:hint="eastAsia" w:ascii="黑体" w:hAnsi="黑体" w:eastAsia="黑体" w:cs="黑体"/>
          <w:b/>
          <w:bCs/>
          <w:color w:val="auto"/>
          <w:highlight w:val="none"/>
        </w:rPr>
        <w:fldChar w:fldCharType="end"/>
      </w:r>
    </w:p>
    <w:p w14:paraId="10A9C25A">
      <w:pPr>
        <w:pStyle w:val="13"/>
        <w:tabs>
          <w:tab w:val="right" w:leader="dot" w:pos="9381"/>
        </w:tabs>
        <w:rPr>
          <w:rFonts w:hint="eastAsia" w:ascii="黑体" w:hAnsi="黑体" w:eastAsia="黑体" w:cs="黑体"/>
          <w:b/>
          <w:bCs/>
        </w:rPr>
      </w:pPr>
      <w:r>
        <w:rPr>
          <w:rFonts w:hint="eastAsia" w:ascii="黑体" w:hAnsi="黑体" w:eastAsia="黑体" w:cs="黑体"/>
          <w:b/>
          <w:bCs/>
          <w:color w:val="auto"/>
          <w:highlight w:val="none"/>
        </w:rPr>
        <w:fldChar w:fldCharType="begin"/>
      </w:r>
      <w:r>
        <w:rPr>
          <w:rFonts w:hint="eastAsia" w:ascii="黑体" w:hAnsi="黑体" w:eastAsia="黑体" w:cs="黑体"/>
          <w:b/>
          <w:bCs/>
          <w:highlight w:val="none"/>
        </w:rPr>
        <w:instrText xml:space="preserve"> HYPERLINK \l _Toc25542 </w:instrText>
      </w:r>
      <w:r>
        <w:rPr>
          <w:rFonts w:hint="eastAsia" w:ascii="黑体" w:hAnsi="黑体" w:eastAsia="黑体" w:cs="黑体"/>
          <w:b/>
          <w:bCs/>
          <w:highlight w:val="none"/>
        </w:rPr>
        <w:fldChar w:fldCharType="separate"/>
      </w:r>
      <w:r>
        <w:rPr>
          <w:rFonts w:hint="eastAsia" w:ascii="黑体" w:hAnsi="黑体" w:eastAsia="黑体" w:cs="黑体"/>
          <w:b/>
          <w:bCs/>
          <w:szCs w:val="36"/>
          <w:highlight w:val="none"/>
        </w:rPr>
        <w:t>第二章  招标项目要求及采购需求</w:t>
      </w:r>
      <w:r>
        <w:rPr>
          <w:rFonts w:hint="eastAsia" w:ascii="黑体" w:hAnsi="黑体" w:eastAsia="黑体" w:cs="黑体"/>
          <w:b/>
          <w:bCs/>
        </w:rPr>
        <w:tab/>
      </w:r>
      <w:r>
        <w:rPr>
          <w:rFonts w:hint="eastAsia" w:ascii="黑体" w:hAnsi="黑体" w:eastAsia="黑体" w:cs="黑体"/>
          <w:b/>
          <w:bCs/>
        </w:rPr>
        <w:fldChar w:fldCharType="begin"/>
      </w:r>
      <w:r>
        <w:rPr>
          <w:rFonts w:hint="eastAsia" w:ascii="黑体" w:hAnsi="黑体" w:eastAsia="黑体" w:cs="黑体"/>
          <w:b/>
          <w:bCs/>
        </w:rPr>
        <w:instrText xml:space="preserve"> PAGEREF _Toc25542 \h </w:instrText>
      </w:r>
      <w:r>
        <w:rPr>
          <w:rFonts w:hint="eastAsia" w:ascii="黑体" w:hAnsi="黑体" w:eastAsia="黑体" w:cs="黑体"/>
          <w:b/>
          <w:bCs/>
        </w:rPr>
        <w:fldChar w:fldCharType="separate"/>
      </w:r>
      <w:r>
        <w:rPr>
          <w:rFonts w:hint="eastAsia" w:ascii="黑体" w:hAnsi="黑体" w:eastAsia="黑体" w:cs="黑体"/>
          <w:b/>
          <w:bCs/>
        </w:rPr>
        <w:t>7</w:t>
      </w:r>
      <w:r>
        <w:rPr>
          <w:rFonts w:hint="eastAsia" w:ascii="黑体" w:hAnsi="黑体" w:eastAsia="黑体" w:cs="黑体"/>
          <w:b/>
          <w:bCs/>
        </w:rPr>
        <w:fldChar w:fldCharType="end"/>
      </w:r>
      <w:r>
        <w:rPr>
          <w:rFonts w:hint="eastAsia" w:ascii="黑体" w:hAnsi="黑体" w:eastAsia="黑体" w:cs="黑体"/>
          <w:b/>
          <w:bCs/>
          <w:color w:val="auto"/>
          <w:highlight w:val="none"/>
        </w:rPr>
        <w:fldChar w:fldCharType="end"/>
      </w:r>
    </w:p>
    <w:p w14:paraId="0492D6EA">
      <w:pPr>
        <w:pStyle w:val="15"/>
        <w:tabs>
          <w:tab w:val="right" w:leader="dot" w:pos="9381"/>
        </w:tabs>
        <w:rPr>
          <w:rFonts w:hint="eastAsia" w:ascii="黑体" w:hAnsi="黑体" w:eastAsia="黑体" w:cs="黑体"/>
          <w:b/>
          <w:bCs/>
        </w:rPr>
      </w:pPr>
      <w:r>
        <w:rPr>
          <w:rFonts w:hint="eastAsia" w:ascii="黑体" w:hAnsi="黑体" w:eastAsia="黑体" w:cs="黑体"/>
          <w:b/>
          <w:bCs/>
          <w:color w:val="auto"/>
          <w:highlight w:val="none"/>
        </w:rPr>
        <w:fldChar w:fldCharType="begin"/>
      </w:r>
      <w:r>
        <w:rPr>
          <w:rFonts w:hint="eastAsia" w:ascii="黑体" w:hAnsi="黑体" w:eastAsia="黑体" w:cs="黑体"/>
          <w:b/>
          <w:bCs/>
          <w:highlight w:val="none"/>
        </w:rPr>
        <w:instrText xml:space="preserve"> HYPERLINK \l _Toc10287 </w:instrText>
      </w:r>
      <w:r>
        <w:rPr>
          <w:rFonts w:hint="eastAsia" w:ascii="黑体" w:hAnsi="黑体" w:eastAsia="黑体" w:cs="黑体"/>
          <w:b/>
          <w:bCs/>
          <w:highlight w:val="none"/>
        </w:rPr>
        <w:fldChar w:fldCharType="separate"/>
      </w:r>
      <w:r>
        <w:rPr>
          <w:rFonts w:hint="eastAsia" w:ascii="黑体" w:hAnsi="黑体" w:eastAsia="黑体" w:cs="黑体"/>
          <w:b/>
          <w:bCs/>
          <w:highlight w:val="none"/>
        </w:rPr>
        <w:t>1. 招标项目、标段（包）划分、投标报价</w:t>
      </w:r>
      <w:r>
        <w:rPr>
          <w:rFonts w:hint="eastAsia" w:ascii="黑体" w:hAnsi="黑体" w:eastAsia="黑体" w:cs="黑体"/>
          <w:b/>
          <w:bCs/>
        </w:rPr>
        <w:tab/>
      </w:r>
      <w:r>
        <w:rPr>
          <w:rFonts w:hint="eastAsia" w:ascii="黑体" w:hAnsi="黑体" w:eastAsia="黑体" w:cs="黑体"/>
          <w:b/>
          <w:bCs/>
        </w:rPr>
        <w:fldChar w:fldCharType="begin"/>
      </w:r>
      <w:r>
        <w:rPr>
          <w:rFonts w:hint="eastAsia" w:ascii="黑体" w:hAnsi="黑体" w:eastAsia="黑体" w:cs="黑体"/>
          <w:b/>
          <w:bCs/>
        </w:rPr>
        <w:instrText xml:space="preserve"> PAGEREF _Toc10287 \h </w:instrText>
      </w:r>
      <w:r>
        <w:rPr>
          <w:rFonts w:hint="eastAsia" w:ascii="黑体" w:hAnsi="黑体" w:eastAsia="黑体" w:cs="黑体"/>
          <w:b/>
          <w:bCs/>
        </w:rPr>
        <w:fldChar w:fldCharType="separate"/>
      </w:r>
      <w:r>
        <w:rPr>
          <w:rFonts w:hint="eastAsia" w:ascii="黑体" w:hAnsi="黑体" w:eastAsia="黑体" w:cs="黑体"/>
          <w:b/>
          <w:bCs/>
        </w:rPr>
        <w:t>7</w:t>
      </w:r>
      <w:r>
        <w:rPr>
          <w:rFonts w:hint="eastAsia" w:ascii="黑体" w:hAnsi="黑体" w:eastAsia="黑体" w:cs="黑体"/>
          <w:b/>
          <w:bCs/>
        </w:rPr>
        <w:fldChar w:fldCharType="end"/>
      </w:r>
      <w:r>
        <w:rPr>
          <w:rFonts w:hint="eastAsia" w:ascii="黑体" w:hAnsi="黑体" w:eastAsia="黑体" w:cs="黑体"/>
          <w:b/>
          <w:bCs/>
          <w:color w:val="auto"/>
          <w:highlight w:val="none"/>
        </w:rPr>
        <w:fldChar w:fldCharType="end"/>
      </w:r>
    </w:p>
    <w:p w14:paraId="448A0ABA">
      <w:pPr>
        <w:pStyle w:val="15"/>
        <w:tabs>
          <w:tab w:val="right" w:leader="dot" w:pos="9381"/>
        </w:tabs>
        <w:rPr>
          <w:rFonts w:hint="eastAsia" w:ascii="黑体" w:hAnsi="黑体" w:eastAsia="黑体" w:cs="黑体"/>
          <w:b/>
          <w:bCs/>
        </w:rPr>
      </w:pPr>
      <w:r>
        <w:rPr>
          <w:rFonts w:hint="eastAsia" w:ascii="黑体" w:hAnsi="黑体" w:eastAsia="黑体" w:cs="黑体"/>
          <w:b/>
          <w:bCs/>
          <w:color w:val="auto"/>
          <w:highlight w:val="none"/>
        </w:rPr>
        <w:fldChar w:fldCharType="begin"/>
      </w:r>
      <w:r>
        <w:rPr>
          <w:rFonts w:hint="eastAsia" w:ascii="黑体" w:hAnsi="黑体" w:eastAsia="黑体" w:cs="黑体"/>
          <w:b/>
          <w:bCs/>
          <w:highlight w:val="none"/>
        </w:rPr>
        <w:instrText xml:space="preserve"> HYPERLINK \l _Toc20859 </w:instrText>
      </w:r>
      <w:r>
        <w:rPr>
          <w:rFonts w:hint="eastAsia" w:ascii="黑体" w:hAnsi="黑体" w:eastAsia="黑体" w:cs="黑体"/>
          <w:b/>
          <w:bCs/>
          <w:highlight w:val="none"/>
        </w:rPr>
        <w:fldChar w:fldCharType="separate"/>
      </w:r>
      <w:r>
        <w:rPr>
          <w:rFonts w:hint="eastAsia" w:ascii="黑体" w:hAnsi="黑体" w:eastAsia="黑体" w:cs="黑体"/>
          <w:b/>
          <w:bCs/>
          <w:highlight w:val="none"/>
        </w:rPr>
        <w:t>2. 标段（包）内容（范围）及具体采购需求</w:t>
      </w:r>
      <w:r>
        <w:rPr>
          <w:rFonts w:hint="eastAsia" w:ascii="黑体" w:hAnsi="黑体" w:eastAsia="黑体" w:cs="黑体"/>
          <w:b/>
          <w:bCs/>
        </w:rPr>
        <w:tab/>
      </w:r>
      <w:r>
        <w:rPr>
          <w:rFonts w:hint="eastAsia" w:ascii="黑体" w:hAnsi="黑体" w:eastAsia="黑体" w:cs="黑体"/>
          <w:b/>
          <w:bCs/>
        </w:rPr>
        <w:fldChar w:fldCharType="begin"/>
      </w:r>
      <w:r>
        <w:rPr>
          <w:rFonts w:hint="eastAsia" w:ascii="黑体" w:hAnsi="黑体" w:eastAsia="黑体" w:cs="黑体"/>
          <w:b/>
          <w:bCs/>
        </w:rPr>
        <w:instrText xml:space="preserve"> PAGEREF _Toc20859 \h </w:instrText>
      </w:r>
      <w:r>
        <w:rPr>
          <w:rFonts w:hint="eastAsia" w:ascii="黑体" w:hAnsi="黑体" w:eastAsia="黑体" w:cs="黑体"/>
          <w:b/>
          <w:bCs/>
        </w:rPr>
        <w:fldChar w:fldCharType="separate"/>
      </w:r>
      <w:r>
        <w:rPr>
          <w:rFonts w:hint="eastAsia" w:ascii="黑体" w:hAnsi="黑体" w:eastAsia="黑体" w:cs="黑体"/>
          <w:b/>
          <w:bCs/>
        </w:rPr>
        <w:t>8</w:t>
      </w:r>
      <w:r>
        <w:rPr>
          <w:rFonts w:hint="eastAsia" w:ascii="黑体" w:hAnsi="黑体" w:eastAsia="黑体" w:cs="黑体"/>
          <w:b/>
          <w:bCs/>
        </w:rPr>
        <w:fldChar w:fldCharType="end"/>
      </w:r>
      <w:r>
        <w:rPr>
          <w:rFonts w:hint="eastAsia" w:ascii="黑体" w:hAnsi="黑体" w:eastAsia="黑体" w:cs="黑体"/>
          <w:b/>
          <w:bCs/>
          <w:color w:val="auto"/>
          <w:highlight w:val="none"/>
        </w:rPr>
        <w:fldChar w:fldCharType="end"/>
      </w:r>
    </w:p>
    <w:p w14:paraId="1EB040E0">
      <w:pPr>
        <w:pStyle w:val="15"/>
        <w:tabs>
          <w:tab w:val="right" w:leader="dot" w:pos="9381"/>
        </w:tabs>
        <w:rPr>
          <w:rFonts w:hint="eastAsia" w:ascii="黑体" w:hAnsi="黑体" w:eastAsia="黑体" w:cs="黑体"/>
          <w:b/>
          <w:bCs/>
        </w:rPr>
      </w:pPr>
      <w:r>
        <w:rPr>
          <w:rFonts w:hint="eastAsia" w:ascii="黑体" w:hAnsi="黑体" w:eastAsia="黑体" w:cs="黑体"/>
          <w:b/>
          <w:bCs/>
          <w:color w:val="auto"/>
          <w:highlight w:val="none"/>
        </w:rPr>
        <w:fldChar w:fldCharType="begin"/>
      </w:r>
      <w:r>
        <w:rPr>
          <w:rFonts w:hint="eastAsia" w:ascii="黑体" w:hAnsi="黑体" w:eastAsia="黑体" w:cs="黑体"/>
          <w:b/>
          <w:bCs/>
          <w:highlight w:val="none"/>
        </w:rPr>
        <w:instrText xml:space="preserve"> HYPERLINK \l _Toc5631 </w:instrText>
      </w:r>
      <w:r>
        <w:rPr>
          <w:rFonts w:hint="eastAsia" w:ascii="黑体" w:hAnsi="黑体" w:eastAsia="黑体" w:cs="黑体"/>
          <w:b/>
          <w:bCs/>
          <w:highlight w:val="none"/>
        </w:rPr>
        <w:fldChar w:fldCharType="separate"/>
      </w:r>
      <w:r>
        <w:rPr>
          <w:rFonts w:hint="eastAsia" w:ascii="黑体" w:hAnsi="黑体" w:eastAsia="黑体" w:cs="黑体"/>
          <w:b/>
          <w:bCs/>
          <w:highlight w:val="none"/>
        </w:rPr>
        <w:t>3. 项目其他要求</w:t>
      </w:r>
      <w:r>
        <w:rPr>
          <w:rFonts w:hint="eastAsia" w:ascii="黑体" w:hAnsi="黑体" w:eastAsia="黑体" w:cs="黑体"/>
          <w:b/>
          <w:bCs/>
        </w:rPr>
        <w:tab/>
      </w:r>
      <w:r>
        <w:rPr>
          <w:rFonts w:hint="eastAsia" w:ascii="黑体" w:hAnsi="黑体" w:eastAsia="黑体" w:cs="黑体"/>
          <w:b/>
          <w:bCs/>
        </w:rPr>
        <w:fldChar w:fldCharType="begin"/>
      </w:r>
      <w:r>
        <w:rPr>
          <w:rFonts w:hint="eastAsia" w:ascii="黑体" w:hAnsi="黑体" w:eastAsia="黑体" w:cs="黑体"/>
          <w:b/>
          <w:bCs/>
        </w:rPr>
        <w:instrText xml:space="preserve"> PAGEREF _Toc5631 \h </w:instrText>
      </w:r>
      <w:r>
        <w:rPr>
          <w:rFonts w:hint="eastAsia" w:ascii="黑体" w:hAnsi="黑体" w:eastAsia="黑体" w:cs="黑体"/>
          <w:b/>
          <w:bCs/>
        </w:rPr>
        <w:fldChar w:fldCharType="separate"/>
      </w:r>
      <w:r>
        <w:rPr>
          <w:rFonts w:hint="eastAsia" w:ascii="黑体" w:hAnsi="黑体" w:eastAsia="黑体" w:cs="黑体"/>
          <w:b/>
          <w:bCs/>
        </w:rPr>
        <w:t>20</w:t>
      </w:r>
      <w:r>
        <w:rPr>
          <w:rFonts w:hint="eastAsia" w:ascii="黑体" w:hAnsi="黑体" w:eastAsia="黑体" w:cs="黑体"/>
          <w:b/>
          <w:bCs/>
        </w:rPr>
        <w:fldChar w:fldCharType="end"/>
      </w:r>
      <w:r>
        <w:rPr>
          <w:rFonts w:hint="eastAsia" w:ascii="黑体" w:hAnsi="黑体" w:eastAsia="黑体" w:cs="黑体"/>
          <w:b/>
          <w:bCs/>
          <w:color w:val="auto"/>
          <w:highlight w:val="none"/>
        </w:rPr>
        <w:fldChar w:fldCharType="end"/>
      </w:r>
    </w:p>
    <w:p w14:paraId="2D179B59">
      <w:pPr>
        <w:pStyle w:val="13"/>
        <w:tabs>
          <w:tab w:val="right" w:leader="dot" w:pos="9381"/>
        </w:tabs>
        <w:rPr>
          <w:rFonts w:hint="eastAsia" w:ascii="黑体" w:hAnsi="黑体" w:eastAsia="黑体" w:cs="黑体"/>
          <w:b/>
          <w:bCs/>
        </w:rPr>
      </w:pPr>
      <w:r>
        <w:rPr>
          <w:rFonts w:hint="eastAsia" w:ascii="黑体" w:hAnsi="黑体" w:eastAsia="黑体" w:cs="黑体"/>
          <w:b/>
          <w:bCs/>
          <w:color w:val="auto"/>
          <w:highlight w:val="none"/>
        </w:rPr>
        <w:fldChar w:fldCharType="begin"/>
      </w:r>
      <w:r>
        <w:rPr>
          <w:rFonts w:hint="eastAsia" w:ascii="黑体" w:hAnsi="黑体" w:eastAsia="黑体" w:cs="黑体"/>
          <w:b/>
          <w:bCs/>
          <w:highlight w:val="none"/>
        </w:rPr>
        <w:instrText xml:space="preserve"> HYPERLINK \l _Toc25685 </w:instrText>
      </w:r>
      <w:r>
        <w:rPr>
          <w:rFonts w:hint="eastAsia" w:ascii="黑体" w:hAnsi="黑体" w:eastAsia="黑体" w:cs="黑体"/>
          <w:b/>
          <w:bCs/>
          <w:highlight w:val="none"/>
        </w:rPr>
        <w:fldChar w:fldCharType="separate"/>
      </w:r>
      <w:r>
        <w:rPr>
          <w:rFonts w:hint="eastAsia" w:ascii="黑体" w:hAnsi="黑体" w:eastAsia="黑体" w:cs="黑体"/>
          <w:b/>
          <w:bCs/>
          <w:szCs w:val="36"/>
          <w:highlight w:val="none"/>
        </w:rPr>
        <w:t>第三章  投标人须知</w:t>
      </w:r>
      <w:r>
        <w:rPr>
          <w:rFonts w:hint="eastAsia" w:ascii="黑体" w:hAnsi="黑体" w:eastAsia="黑体" w:cs="黑体"/>
          <w:b/>
          <w:bCs/>
        </w:rPr>
        <w:tab/>
      </w:r>
      <w:r>
        <w:rPr>
          <w:rFonts w:hint="eastAsia" w:ascii="黑体" w:hAnsi="黑体" w:eastAsia="黑体" w:cs="黑体"/>
          <w:b/>
          <w:bCs/>
        </w:rPr>
        <w:fldChar w:fldCharType="begin"/>
      </w:r>
      <w:r>
        <w:rPr>
          <w:rFonts w:hint="eastAsia" w:ascii="黑体" w:hAnsi="黑体" w:eastAsia="黑体" w:cs="黑体"/>
          <w:b/>
          <w:bCs/>
        </w:rPr>
        <w:instrText xml:space="preserve"> PAGEREF _Toc25685 \h </w:instrText>
      </w:r>
      <w:r>
        <w:rPr>
          <w:rFonts w:hint="eastAsia" w:ascii="黑体" w:hAnsi="黑体" w:eastAsia="黑体" w:cs="黑体"/>
          <w:b/>
          <w:bCs/>
        </w:rPr>
        <w:fldChar w:fldCharType="separate"/>
      </w:r>
      <w:r>
        <w:rPr>
          <w:rFonts w:hint="eastAsia" w:ascii="黑体" w:hAnsi="黑体" w:eastAsia="黑体" w:cs="黑体"/>
          <w:b/>
          <w:bCs/>
        </w:rPr>
        <w:t>34</w:t>
      </w:r>
      <w:r>
        <w:rPr>
          <w:rFonts w:hint="eastAsia" w:ascii="黑体" w:hAnsi="黑体" w:eastAsia="黑体" w:cs="黑体"/>
          <w:b/>
          <w:bCs/>
        </w:rPr>
        <w:fldChar w:fldCharType="end"/>
      </w:r>
      <w:r>
        <w:rPr>
          <w:rFonts w:hint="eastAsia" w:ascii="黑体" w:hAnsi="黑体" w:eastAsia="黑体" w:cs="黑体"/>
          <w:b/>
          <w:bCs/>
          <w:color w:val="auto"/>
          <w:highlight w:val="none"/>
        </w:rPr>
        <w:fldChar w:fldCharType="end"/>
      </w:r>
    </w:p>
    <w:p w14:paraId="03F9E93D">
      <w:pPr>
        <w:pStyle w:val="15"/>
        <w:tabs>
          <w:tab w:val="right" w:leader="dot" w:pos="9381"/>
        </w:tabs>
        <w:rPr>
          <w:rFonts w:hint="eastAsia" w:ascii="黑体" w:hAnsi="黑体" w:eastAsia="黑体" w:cs="黑体"/>
          <w:b/>
          <w:bCs/>
        </w:rPr>
      </w:pPr>
      <w:r>
        <w:rPr>
          <w:rFonts w:hint="eastAsia" w:ascii="黑体" w:hAnsi="黑体" w:eastAsia="黑体" w:cs="黑体"/>
          <w:b/>
          <w:bCs/>
          <w:color w:val="auto"/>
          <w:highlight w:val="none"/>
        </w:rPr>
        <w:fldChar w:fldCharType="begin"/>
      </w:r>
      <w:r>
        <w:rPr>
          <w:rFonts w:hint="eastAsia" w:ascii="黑体" w:hAnsi="黑体" w:eastAsia="黑体" w:cs="黑体"/>
          <w:b/>
          <w:bCs/>
          <w:highlight w:val="none"/>
        </w:rPr>
        <w:instrText xml:space="preserve"> HYPERLINK \l _Toc27296 </w:instrText>
      </w:r>
      <w:r>
        <w:rPr>
          <w:rFonts w:hint="eastAsia" w:ascii="黑体" w:hAnsi="黑体" w:eastAsia="黑体" w:cs="黑体"/>
          <w:b/>
          <w:bCs/>
          <w:highlight w:val="none"/>
        </w:rPr>
        <w:fldChar w:fldCharType="separate"/>
      </w:r>
      <w:r>
        <w:rPr>
          <w:rFonts w:hint="eastAsia" w:ascii="黑体" w:hAnsi="黑体" w:eastAsia="黑体" w:cs="黑体"/>
          <w:b/>
          <w:bCs/>
          <w:szCs w:val="28"/>
          <w:highlight w:val="none"/>
        </w:rPr>
        <w:t>投标人须知前附表</w:t>
      </w:r>
      <w:r>
        <w:rPr>
          <w:rFonts w:hint="eastAsia" w:ascii="黑体" w:hAnsi="黑体" w:eastAsia="黑体" w:cs="黑体"/>
          <w:b/>
          <w:bCs/>
        </w:rPr>
        <w:tab/>
      </w:r>
      <w:r>
        <w:rPr>
          <w:rFonts w:hint="eastAsia" w:ascii="黑体" w:hAnsi="黑体" w:eastAsia="黑体" w:cs="黑体"/>
          <w:b/>
          <w:bCs/>
        </w:rPr>
        <w:fldChar w:fldCharType="begin"/>
      </w:r>
      <w:r>
        <w:rPr>
          <w:rFonts w:hint="eastAsia" w:ascii="黑体" w:hAnsi="黑体" w:eastAsia="黑体" w:cs="黑体"/>
          <w:b/>
          <w:bCs/>
        </w:rPr>
        <w:instrText xml:space="preserve"> PAGEREF _Toc27296 \h </w:instrText>
      </w:r>
      <w:r>
        <w:rPr>
          <w:rFonts w:hint="eastAsia" w:ascii="黑体" w:hAnsi="黑体" w:eastAsia="黑体" w:cs="黑体"/>
          <w:b/>
          <w:bCs/>
        </w:rPr>
        <w:fldChar w:fldCharType="separate"/>
      </w:r>
      <w:r>
        <w:rPr>
          <w:rFonts w:hint="eastAsia" w:ascii="黑体" w:hAnsi="黑体" w:eastAsia="黑体" w:cs="黑体"/>
          <w:b/>
          <w:bCs/>
        </w:rPr>
        <w:t>34</w:t>
      </w:r>
      <w:r>
        <w:rPr>
          <w:rFonts w:hint="eastAsia" w:ascii="黑体" w:hAnsi="黑体" w:eastAsia="黑体" w:cs="黑体"/>
          <w:b/>
          <w:bCs/>
        </w:rPr>
        <w:fldChar w:fldCharType="end"/>
      </w:r>
      <w:r>
        <w:rPr>
          <w:rFonts w:hint="eastAsia" w:ascii="黑体" w:hAnsi="黑体" w:eastAsia="黑体" w:cs="黑体"/>
          <w:b/>
          <w:bCs/>
          <w:color w:val="auto"/>
          <w:highlight w:val="none"/>
        </w:rPr>
        <w:fldChar w:fldCharType="end"/>
      </w:r>
    </w:p>
    <w:p w14:paraId="7B14310D">
      <w:pPr>
        <w:pStyle w:val="15"/>
        <w:tabs>
          <w:tab w:val="right" w:leader="dot" w:pos="9381"/>
        </w:tabs>
        <w:rPr>
          <w:rFonts w:hint="eastAsia" w:ascii="黑体" w:hAnsi="黑体" w:eastAsia="黑体" w:cs="黑体"/>
          <w:b/>
          <w:bCs/>
        </w:rPr>
      </w:pPr>
      <w:r>
        <w:rPr>
          <w:rFonts w:hint="eastAsia" w:ascii="黑体" w:hAnsi="黑体" w:eastAsia="黑体" w:cs="黑体"/>
          <w:b/>
          <w:bCs/>
          <w:color w:val="auto"/>
          <w:highlight w:val="none"/>
        </w:rPr>
        <w:fldChar w:fldCharType="begin"/>
      </w:r>
      <w:r>
        <w:rPr>
          <w:rFonts w:hint="eastAsia" w:ascii="黑体" w:hAnsi="黑体" w:eastAsia="黑体" w:cs="黑体"/>
          <w:b/>
          <w:bCs/>
          <w:highlight w:val="none"/>
        </w:rPr>
        <w:instrText xml:space="preserve"> HYPERLINK \l _Toc24840 </w:instrText>
      </w:r>
      <w:r>
        <w:rPr>
          <w:rFonts w:hint="eastAsia" w:ascii="黑体" w:hAnsi="黑体" w:eastAsia="黑体" w:cs="黑体"/>
          <w:b/>
          <w:bCs/>
          <w:highlight w:val="none"/>
        </w:rPr>
        <w:fldChar w:fldCharType="separate"/>
      </w:r>
      <w:r>
        <w:rPr>
          <w:rFonts w:hint="eastAsia" w:ascii="黑体" w:hAnsi="黑体" w:eastAsia="黑体" w:cs="黑体"/>
          <w:b/>
          <w:bCs/>
          <w:szCs w:val="28"/>
          <w:highlight w:val="none"/>
          <w:lang w:val="zh-CN"/>
        </w:rPr>
        <w:t>1 总则</w:t>
      </w:r>
      <w:r>
        <w:rPr>
          <w:rFonts w:hint="eastAsia" w:ascii="黑体" w:hAnsi="黑体" w:eastAsia="黑体" w:cs="黑体"/>
          <w:b/>
          <w:bCs/>
        </w:rPr>
        <w:tab/>
      </w:r>
      <w:r>
        <w:rPr>
          <w:rFonts w:hint="eastAsia" w:ascii="黑体" w:hAnsi="黑体" w:eastAsia="黑体" w:cs="黑体"/>
          <w:b/>
          <w:bCs/>
        </w:rPr>
        <w:fldChar w:fldCharType="begin"/>
      </w:r>
      <w:r>
        <w:rPr>
          <w:rFonts w:hint="eastAsia" w:ascii="黑体" w:hAnsi="黑体" w:eastAsia="黑体" w:cs="黑体"/>
          <w:b/>
          <w:bCs/>
        </w:rPr>
        <w:instrText xml:space="preserve"> PAGEREF _Toc24840 \h </w:instrText>
      </w:r>
      <w:r>
        <w:rPr>
          <w:rFonts w:hint="eastAsia" w:ascii="黑体" w:hAnsi="黑体" w:eastAsia="黑体" w:cs="黑体"/>
          <w:b/>
          <w:bCs/>
        </w:rPr>
        <w:fldChar w:fldCharType="separate"/>
      </w:r>
      <w:r>
        <w:rPr>
          <w:rFonts w:hint="eastAsia" w:ascii="黑体" w:hAnsi="黑体" w:eastAsia="黑体" w:cs="黑体"/>
          <w:b/>
          <w:bCs/>
        </w:rPr>
        <w:t>37</w:t>
      </w:r>
      <w:r>
        <w:rPr>
          <w:rFonts w:hint="eastAsia" w:ascii="黑体" w:hAnsi="黑体" w:eastAsia="黑体" w:cs="黑体"/>
          <w:b/>
          <w:bCs/>
        </w:rPr>
        <w:fldChar w:fldCharType="end"/>
      </w:r>
      <w:r>
        <w:rPr>
          <w:rFonts w:hint="eastAsia" w:ascii="黑体" w:hAnsi="黑体" w:eastAsia="黑体" w:cs="黑体"/>
          <w:b/>
          <w:bCs/>
          <w:color w:val="auto"/>
          <w:highlight w:val="none"/>
        </w:rPr>
        <w:fldChar w:fldCharType="end"/>
      </w:r>
    </w:p>
    <w:p w14:paraId="6A8D6951">
      <w:pPr>
        <w:pStyle w:val="15"/>
        <w:tabs>
          <w:tab w:val="right" w:leader="dot" w:pos="9381"/>
        </w:tabs>
        <w:rPr>
          <w:rFonts w:hint="eastAsia" w:ascii="黑体" w:hAnsi="黑体" w:eastAsia="黑体" w:cs="黑体"/>
          <w:b/>
          <w:bCs/>
        </w:rPr>
      </w:pPr>
      <w:r>
        <w:rPr>
          <w:rFonts w:hint="eastAsia" w:ascii="黑体" w:hAnsi="黑体" w:eastAsia="黑体" w:cs="黑体"/>
          <w:b/>
          <w:bCs/>
          <w:color w:val="auto"/>
          <w:highlight w:val="none"/>
        </w:rPr>
        <w:fldChar w:fldCharType="begin"/>
      </w:r>
      <w:r>
        <w:rPr>
          <w:rFonts w:hint="eastAsia" w:ascii="黑体" w:hAnsi="黑体" w:eastAsia="黑体" w:cs="黑体"/>
          <w:b/>
          <w:bCs/>
          <w:highlight w:val="none"/>
        </w:rPr>
        <w:instrText xml:space="preserve"> HYPERLINK \l _Toc10536 </w:instrText>
      </w:r>
      <w:r>
        <w:rPr>
          <w:rFonts w:hint="eastAsia" w:ascii="黑体" w:hAnsi="黑体" w:eastAsia="黑体" w:cs="黑体"/>
          <w:b/>
          <w:bCs/>
          <w:highlight w:val="none"/>
        </w:rPr>
        <w:fldChar w:fldCharType="separate"/>
      </w:r>
      <w:r>
        <w:rPr>
          <w:rFonts w:hint="eastAsia" w:ascii="黑体" w:hAnsi="黑体" w:eastAsia="黑体" w:cs="黑体"/>
          <w:b/>
          <w:bCs/>
          <w:szCs w:val="28"/>
          <w:highlight w:val="none"/>
          <w:lang w:val="zh-CN"/>
        </w:rPr>
        <w:t>2 招标文件</w:t>
      </w:r>
      <w:r>
        <w:rPr>
          <w:rFonts w:hint="eastAsia" w:ascii="黑体" w:hAnsi="黑体" w:eastAsia="黑体" w:cs="黑体"/>
          <w:b/>
          <w:bCs/>
        </w:rPr>
        <w:tab/>
      </w:r>
      <w:r>
        <w:rPr>
          <w:rFonts w:hint="eastAsia" w:ascii="黑体" w:hAnsi="黑体" w:eastAsia="黑体" w:cs="黑体"/>
          <w:b/>
          <w:bCs/>
        </w:rPr>
        <w:fldChar w:fldCharType="begin"/>
      </w:r>
      <w:r>
        <w:rPr>
          <w:rFonts w:hint="eastAsia" w:ascii="黑体" w:hAnsi="黑体" w:eastAsia="黑体" w:cs="黑体"/>
          <w:b/>
          <w:bCs/>
        </w:rPr>
        <w:instrText xml:space="preserve"> PAGEREF _Toc10536 \h </w:instrText>
      </w:r>
      <w:r>
        <w:rPr>
          <w:rFonts w:hint="eastAsia" w:ascii="黑体" w:hAnsi="黑体" w:eastAsia="黑体" w:cs="黑体"/>
          <w:b/>
          <w:bCs/>
        </w:rPr>
        <w:fldChar w:fldCharType="separate"/>
      </w:r>
      <w:r>
        <w:rPr>
          <w:rFonts w:hint="eastAsia" w:ascii="黑体" w:hAnsi="黑体" w:eastAsia="黑体" w:cs="黑体"/>
          <w:b/>
          <w:bCs/>
        </w:rPr>
        <w:t>40</w:t>
      </w:r>
      <w:r>
        <w:rPr>
          <w:rFonts w:hint="eastAsia" w:ascii="黑体" w:hAnsi="黑体" w:eastAsia="黑体" w:cs="黑体"/>
          <w:b/>
          <w:bCs/>
        </w:rPr>
        <w:fldChar w:fldCharType="end"/>
      </w:r>
      <w:r>
        <w:rPr>
          <w:rFonts w:hint="eastAsia" w:ascii="黑体" w:hAnsi="黑体" w:eastAsia="黑体" w:cs="黑体"/>
          <w:b/>
          <w:bCs/>
          <w:color w:val="auto"/>
          <w:highlight w:val="none"/>
        </w:rPr>
        <w:fldChar w:fldCharType="end"/>
      </w:r>
    </w:p>
    <w:p w14:paraId="60370491">
      <w:pPr>
        <w:pStyle w:val="15"/>
        <w:tabs>
          <w:tab w:val="right" w:leader="dot" w:pos="9381"/>
        </w:tabs>
        <w:rPr>
          <w:rFonts w:hint="eastAsia" w:ascii="黑体" w:hAnsi="黑体" w:eastAsia="黑体" w:cs="黑体"/>
          <w:b/>
          <w:bCs/>
        </w:rPr>
      </w:pPr>
      <w:r>
        <w:rPr>
          <w:rFonts w:hint="eastAsia" w:ascii="黑体" w:hAnsi="黑体" w:eastAsia="黑体" w:cs="黑体"/>
          <w:b/>
          <w:bCs/>
          <w:color w:val="auto"/>
          <w:highlight w:val="none"/>
        </w:rPr>
        <w:fldChar w:fldCharType="begin"/>
      </w:r>
      <w:r>
        <w:rPr>
          <w:rFonts w:hint="eastAsia" w:ascii="黑体" w:hAnsi="黑体" w:eastAsia="黑体" w:cs="黑体"/>
          <w:b/>
          <w:bCs/>
          <w:highlight w:val="none"/>
        </w:rPr>
        <w:instrText xml:space="preserve"> HYPERLINK \l _Toc14640 </w:instrText>
      </w:r>
      <w:r>
        <w:rPr>
          <w:rFonts w:hint="eastAsia" w:ascii="黑体" w:hAnsi="黑体" w:eastAsia="黑体" w:cs="黑体"/>
          <w:b/>
          <w:bCs/>
          <w:highlight w:val="none"/>
        </w:rPr>
        <w:fldChar w:fldCharType="separate"/>
      </w:r>
      <w:r>
        <w:rPr>
          <w:rFonts w:hint="eastAsia" w:ascii="黑体" w:hAnsi="黑体" w:eastAsia="黑体" w:cs="黑体"/>
          <w:b/>
          <w:bCs/>
          <w:szCs w:val="28"/>
          <w:highlight w:val="none"/>
          <w:lang w:val="zh-CN"/>
        </w:rPr>
        <w:t>3 投标文件</w:t>
      </w:r>
      <w:r>
        <w:rPr>
          <w:rFonts w:hint="eastAsia" w:ascii="黑体" w:hAnsi="黑体" w:eastAsia="黑体" w:cs="黑体"/>
          <w:b/>
          <w:bCs/>
        </w:rPr>
        <w:tab/>
      </w:r>
      <w:r>
        <w:rPr>
          <w:rFonts w:hint="eastAsia" w:ascii="黑体" w:hAnsi="黑体" w:eastAsia="黑体" w:cs="黑体"/>
          <w:b/>
          <w:bCs/>
        </w:rPr>
        <w:fldChar w:fldCharType="begin"/>
      </w:r>
      <w:r>
        <w:rPr>
          <w:rFonts w:hint="eastAsia" w:ascii="黑体" w:hAnsi="黑体" w:eastAsia="黑体" w:cs="黑体"/>
          <w:b/>
          <w:bCs/>
        </w:rPr>
        <w:instrText xml:space="preserve"> PAGEREF _Toc14640 \h </w:instrText>
      </w:r>
      <w:r>
        <w:rPr>
          <w:rFonts w:hint="eastAsia" w:ascii="黑体" w:hAnsi="黑体" w:eastAsia="黑体" w:cs="黑体"/>
          <w:b/>
          <w:bCs/>
        </w:rPr>
        <w:fldChar w:fldCharType="separate"/>
      </w:r>
      <w:r>
        <w:rPr>
          <w:rFonts w:hint="eastAsia" w:ascii="黑体" w:hAnsi="黑体" w:eastAsia="黑体" w:cs="黑体"/>
          <w:b/>
          <w:bCs/>
        </w:rPr>
        <w:t>42</w:t>
      </w:r>
      <w:r>
        <w:rPr>
          <w:rFonts w:hint="eastAsia" w:ascii="黑体" w:hAnsi="黑体" w:eastAsia="黑体" w:cs="黑体"/>
          <w:b/>
          <w:bCs/>
        </w:rPr>
        <w:fldChar w:fldCharType="end"/>
      </w:r>
      <w:r>
        <w:rPr>
          <w:rFonts w:hint="eastAsia" w:ascii="黑体" w:hAnsi="黑体" w:eastAsia="黑体" w:cs="黑体"/>
          <w:b/>
          <w:bCs/>
          <w:color w:val="auto"/>
          <w:highlight w:val="none"/>
        </w:rPr>
        <w:fldChar w:fldCharType="end"/>
      </w:r>
    </w:p>
    <w:p w14:paraId="401B83FA">
      <w:pPr>
        <w:pStyle w:val="15"/>
        <w:tabs>
          <w:tab w:val="right" w:leader="dot" w:pos="9381"/>
        </w:tabs>
        <w:rPr>
          <w:rFonts w:hint="eastAsia" w:ascii="黑体" w:hAnsi="黑体" w:eastAsia="黑体" w:cs="黑体"/>
          <w:b/>
          <w:bCs/>
        </w:rPr>
      </w:pPr>
      <w:r>
        <w:rPr>
          <w:rFonts w:hint="eastAsia" w:ascii="黑体" w:hAnsi="黑体" w:eastAsia="黑体" w:cs="黑体"/>
          <w:b/>
          <w:bCs/>
          <w:color w:val="auto"/>
          <w:highlight w:val="none"/>
        </w:rPr>
        <w:fldChar w:fldCharType="begin"/>
      </w:r>
      <w:r>
        <w:rPr>
          <w:rFonts w:hint="eastAsia" w:ascii="黑体" w:hAnsi="黑体" w:eastAsia="黑体" w:cs="黑体"/>
          <w:b/>
          <w:bCs/>
          <w:highlight w:val="none"/>
        </w:rPr>
        <w:instrText xml:space="preserve"> HYPERLINK \l _Toc20624 </w:instrText>
      </w:r>
      <w:r>
        <w:rPr>
          <w:rFonts w:hint="eastAsia" w:ascii="黑体" w:hAnsi="黑体" w:eastAsia="黑体" w:cs="黑体"/>
          <w:b/>
          <w:bCs/>
          <w:highlight w:val="none"/>
        </w:rPr>
        <w:fldChar w:fldCharType="separate"/>
      </w:r>
      <w:r>
        <w:rPr>
          <w:rFonts w:hint="eastAsia" w:ascii="黑体" w:hAnsi="黑体" w:eastAsia="黑体" w:cs="黑体"/>
          <w:b/>
          <w:bCs/>
          <w:szCs w:val="28"/>
          <w:highlight w:val="none"/>
          <w:lang w:val="zh-CN"/>
        </w:rPr>
        <w:t>4 投标</w:t>
      </w:r>
      <w:r>
        <w:rPr>
          <w:rFonts w:hint="eastAsia" w:ascii="黑体" w:hAnsi="黑体" w:eastAsia="黑体" w:cs="黑体"/>
          <w:b/>
          <w:bCs/>
        </w:rPr>
        <w:tab/>
      </w:r>
      <w:r>
        <w:rPr>
          <w:rFonts w:hint="eastAsia" w:ascii="黑体" w:hAnsi="黑体" w:eastAsia="黑体" w:cs="黑体"/>
          <w:b/>
          <w:bCs/>
        </w:rPr>
        <w:fldChar w:fldCharType="begin"/>
      </w:r>
      <w:r>
        <w:rPr>
          <w:rFonts w:hint="eastAsia" w:ascii="黑体" w:hAnsi="黑体" w:eastAsia="黑体" w:cs="黑体"/>
          <w:b/>
          <w:bCs/>
        </w:rPr>
        <w:instrText xml:space="preserve"> PAGEREF _Toc20624 \h </w:instrText>
      </w:r>
      <w:r>
        <w:rPr>
          <w:rFonts w:hint="eastAsia" w:ascii="黑体" w:hAnsi="黑体" w:eastAsia="黑体" w:cs="黑体"/>
          <w:b/>
          <w:bCs/>
        </w:rPr>
        <w:fldChar w:fldCharType="separate"/>
      </w:r>
      <w:r>
        <w:rPr>
          <w:rFonts w:hint="eastAsia" w:ascii="黑体" w:hAnsi="黑体" w:eastAsia="黑体" w:cs="黑体"/>
          <w:b/>
          <w:bCs/>
        </w:rPr>
        <w:t>46</w:t>
      </w:r>
      <w:r>
        <w:rPr>
          <w:rFonts w:hint="eastAsia" w:ascii="黑体" w:hAnsi="黑体" w:eastAsia="黑体" w:cs="黑体"/>
          <w:b/>
          <w:bCs/>
        </w:rPr>
        <w:fldChar w:fldCharType="end"/>
      </w:r>
      <w:r>
        <w:rPr>
          <w:rFonts w:hint="eastAsia" w:ascii="黑体" w:hAnsi="黑体" w:eastAsia="黑体" w:cs="黑体"/>
          <w:b/>
          <w:bCs/>
          <w:color w:val="auto"/>
          <w:highlight w:val="none"/>
        </w:rPr>
        <w:fldChar w:fldCharType="end"/>
      </w:r>
    </w:p>
    <w:p w14:paraId="158A1390">
      <w:pPr>
        <w:pStyle w:val="15"/>
        <w:tabs>
          <w:tab w:val="right" w:leader="dot" w:pos="9381"/>
        </w:tabs>
        <w:rPr>
          <w:rFonts w:hint="eastAsia" w:ascii="黑体" w:hAnsi="黑体" w:eastAsia="黑体" w:cs="黑体"/>
          <w:b/>
          <w:bCs/>
        </w:rPr>
      </w:pPr>
      <w:r>
        <w:rPr>
          <w:rFonts w:hint="eastAsia" w:ascii="黑体" w:hAnsi="黑体" w:eastAsia="黑体" w:cs="黑体"/>
          <w:b/>
          <w:bCs/>
          <w:color w:val="auto"/>
          <w:highlight w:val="none"/>
        </w:rPr>
        <w:fldChar w:fldCharType="begin"/>
      </w:r>
      <w:r>
        <w:rPr>
          <w:rFonts w:hint="eastAsia" w:ascii="黑体" w:hAnsi="黑体" w:eastAsia="黑体" w:cs="黑体"/>
          <w:b/>
          <w:bCs/>
          <w:highlight w:val="none"/>
        </w:rPr>
        <w:instrText xml:space="preserve"> HYPERLINK \l _Toc29180 </w:instrText>
      </w:r>
      <w:r>
        <w:rPr>
          <w:rFonts w:hint="eastAsia" w:ascii="黑体" w:hAnsi="黑体" w:eastAsia="黑体" w:cs="黑体"/>
          <w:b/>
          <w:bCs/>
          <w:highlight w:val="none"/>
        </w:rPr>
        <w:fldChar w:fldCharType="separate"/>
      </w:r>
      <w:r>
        <w:rPr>
          <w:rFonts w:hint="eastAsia" w:ascii="黑体" w:hAnsi="黑体" w:eastAsia="黑体" w:cs="黑体"/>
          <w:b/>
          <w:bCs/>
          <w:szCs w:val="28"/>
          <w:highlight w:val="none"/>
          <w:lang w:val="zh-CN"/>
        </w:rPr>
        <w:t>5 开标</w:t>
      </w:r>
      <w:r>
        <w:rPr>
          <w:rFonts w:hint="eastAsia" w:ascii="黑体" w:hAnsi="黑体" w:eastAsia="黑体" w:cs="黑体"/>
          <w:b/>
          <w:bCs/>
        </w:rPr>
        <w:tab/>
      </w:r>
      <w:r>
        <w:rPr>
          <w:rFonts w:hint="eastAsia" w:ascii="黑体" w:hAnsi="黑体" w:eastAsia="黑体" w:cs="黑体"/>
          <w:b/>
          <w:bCs/>
        </w:rPr>
        <w:fldChar w:fldCharType="begin"/>
      </w:r>
      <w:r>
        <w:rPr>
          <w:rFonts w:hint="eastAsia" w:ascii="黑体" w:hAnsi="黑体" w:eastAsia="黑体" w:cs="黑体"/>
          <w:b/>
          <w:bCs/>
        </w:rPr>
        <w:instrText xml:space="preserve"> PAGEREF _Toc29180 \h </w:instrText>
      </w:r>
      <w:r>
        <w:rPr>
          <w:rFonts w:hint="eastAsia" w:ascii="黑体" w:hAnsi="黑体" w:eastAsia="黑体" w:cs="黑体"/>
          <w:b/>
          <w:bCs/>
        </w:rPr>
        <w:fldChar w:fldCharType="separate"/>
      </w:r>
      <w:r>
        <w:rPr>
          <w:rFonts w:hint="eastAsia" w:ascii="黑体" w:hAnsi="黑体" w:eastAsia="黑体" w:cs="黑体"/>
          <w:b/>
          <w:bCs/>
        </w:rPr>
        <w:t>47</w:t>
      </w:r>
      <w:r>
        <w:rPr>
          <w:rFonts w:hint="eastAsia" w:ascii="黑体" w:hAnsi="黑体" w:eastAsia="黑体" w:cs="黑体"/>
          <w:b/>
          <w:bCs/>
        </w:rPr>
        <w:fldChar w:fldCharType="end"/>
      </w:r>
      <w:r>
        <w:rPr>
          <w:rFonts w:hint="eastAsia" w:ascii="黑体" w:hAnsi="黑体" w:eastAsia="黑体" w:cs="黑体"/>
          <w:b/>
          <w:bCs/>
          <w:color w:val="auto"/>
          <w:highlight w:val="none"/>
        </w:rPr>
        <w:fldChar w:fldCharType="end"/>
      </w:r>
    </w:p>
    <w:p w14:paraId="6D4A2D35">
      <w:pPr>
        <w:pStyle w:val="15"/>
        <w:tabs>
          <w:tab w:val="right" w:leader="dot" w:pos="9381"/>
        </w:tabs>
        <w:rPr>
          <w:rFonts w:hint="eastAsia" w:ascii="黑体" w:hAnsi="黑体" w:eastAsia="黑体" w:cs="黑体"/>
          <w:b/>
          <w:bCs/>
        </w:rPr>
      </w:pPr>
      <w:r>
        <w:rPr>
          <w:rFonts w:hint="eastAsia" w:ascii="黑体" w:hAnsi="黑体" w:eastAsia="黑体" w:cs="黑体"/>
          <w:b/>
          <w:bCs/>
          <w:color w:val="auto"/>
          <w:highlight w:val="none"/>
        </w:rPr>
        <w:fldChar w:fldCharType="begin"/>
      </w:r>
      <w:r>
        <w:rPr>
          <w:rFonts w:hint="eastAsia" w:ascii="黑体" w:hAnsi="黑体" w:eastAsia="黑体" w:cs="黑体"/>
          <w:b/>
          <w:bCs/>
          <w:highlight w:val="none"/>
        </w:rPr>
        <w:instrText xml:space="preserve"> HYPERLINK \l _Toc23877 </w:instrText>
      </w:r>
      <w:r>
        <w:rPr>
          <w:rFonts w:hint="eastAsia" w:ascii="黑体" w:hAnsi="黑体" w:eastAsia="黑体" w:cs="黑体"/>
          <w:b/>
          <w:bCs/>
          <w:highlight w:val="none"/>
        </w:rPr>
        <w:fldChar w:fldCharType="separate"/>
      </w:r>
      <w:r>
        <w:rPr>
          <w:rFonts w:hint="eastAsia" w:ascii="黑体" w:hAnsi="黑体" w:eastAsia="黑体" w:cs="黑体"/>
          <w:b/>
          <w:bCs/>
          <w:szCs w:val="28"/>
          <w:highlight w:val="none"/>
          <w:lang w:val="zh-CN"/>
        </w:rPr>
        <w:t>6 资格性审查</w:t>
      </w:r>
      <w:r>
        <w:rPr>
          <w:rFonts w:hint="eastAsia" w:ascii="黑体" w:hAnsi="黑体" w:eastAsia="黑体" w:cs="黑体"/>
          <w:b/>
          <w:bCs/>
        </w:rPr>
        <w:tab/>
      </w:r>
      <w:r>
        <w:rPr>
          <w:rFonts w:hint="eastAsia" w:ascii="黑体" w:hAnsi="黑体" w:eastAsia="黑体" w:cs="黑体"/>
          <w:b/>
          <w:bCs/>
        </w:rPr>
        <w:fldChar w:fldCharType="begin"/>
      </w:r>
      <w:r>
        <w:rPr>
          <w:rFonts w:hint="eastAsia" w:ascii="黑体" w:hAnsi="黑体" w:eastAsia="黑体" w:cs="黑体"/>
          <w:b/>
          <w:bCs/>
        </w:rPr>
        <w:instrText xml:space="preserve"> PAGEREF _Toc23877 \h </w:instrText>
      </w:r>
      <w:r>
        <w:rPr>
          <w:rFonts w:hint="eastAsia" w:ascii="黑体" w:hAnsi="黑体" w:eastAsia="黑体" w:cs="黑体"/>
          <w:b/>
          <w:bCs/>
        </w:rPr>
        <w:fldChar w:fldCharType="separate"/>
      </w:r>
      <w:r>
        <w:rPr>
          <w:rFonts w:hint="eastAsia" w:ascii="黑体" w:hAnsi="黑体" w:eastAsia="黑体" w:cs="黑体"/>
          <w:b/>
          <w:bCs/>
        </w:rPr>
        <w:t>47</w:t>
      </w:r>
      <w:r>
        <w:rPr>
          <w:rFonts w:hint="eastAsia" w:ascii="黑体" w:hAnsi="黑体" w:eastAsia="黑体" w:cs="黑体"/>
          <w:b/>
          <w:bCs/>
        </w:rPr>
        <w:fldChar w:fldCharType="end"/>
      </w:r>
      <w:r>
        <w:rPr>
          <w:rFonts w:hint="eastAsia" w:ascii="黑体" w:hAnsi="黑体" w:eastAsia="黑体" w:cs="黑体"/>
          <w:b/>
          <w:bCs/>
          <w:color w:val="auto"/>
          <w:highlight w:val="none"/>
        </w:rPr>
        <w:fldChar w:fldCharType="end"/>
      </w:r>
    </w:p>
    <w:p w14:paraId="4C670608">
      <w:pPr>
        <w:pStyle w:val="15"/>
        <w:tabs>
          <w:tab w:val="right" w:leader="dot" w:pos="9381"/>
        </w:tabs>
        <w:rPr>
          <w:rFonts w:hint="eastAsia" w:ascii="黑体" w:hAnsi="黑体" w:eastAsia="黑体" w:cs="黑体"/>
          <w:b/>
          <w:bCs/>
        </w:rPr>
      </w:pPr>
      <w:r>
        <w:rPr>
          <w:rFonts w:hint="eastAsia" w:ascii="黑体" w:hAnsi="黑体" w:eastAsia="黑体" w:cs="黑体"/>
          <w:b/>
          <w:bCs/>
          <w:color w:val="auto"/>
          <w:highlight w:val="none"/>
        </w:rPr>
        <w:fldChar w:fldCharType="begin"/>
      </w:r>
      <w:r>
        <w:rPr>
          <w:rFonts w:hint="eastAsia" w:ascii="黑体" w:hAnsi="黑体" w:eastAsia="黑体" w:cs="黑体"/>
          <w:b/>
          <w:bCs/>
          <w:highlight w:val="none"/>
        </w:rPr>
        <w:instrText xml:space="preserve"> HYPERLINK \l _Toc23092 </w:instrText>
      </w:r>
      <w:r>
        <w:rPr>
          <w:rFonts w:hint="eastAsia" w:ascii="黑体" w:hAnsi="黑体" w:eastAsia="黑体" w:cs="黑体"/>
          <w:b/>
          <w:bCs/>
          <w:highlight w:val="none"/>
        </w:rPr>
        <w:fldChar w:fldCharType="separate"/>
      </w:r>
      <w:r>
        <w:rPr>
          <w:rFonts w:hint="eastAsia" w:ascii="黑体" w:hAnsi="黑体" w:eastAsia="黑体" w:cs="黑体"/>
          <w:b/>
          <w:bCs/>
          <w:szCs w:val="28"/>
          <w:highlight w:val="none"/>
          <w:lang w:val="zh-CN"/>
        </w:rPr>
        <w:t>7 评审</w:t>
      </w:r>
      <w:r>
        <w:rPr>
          <w:rFonts w:hint="eastAsia" w:ascii="黑体" w:hAnsi="黑体" w:eastAsia="黑体" w:cs="黑体"/>
          <w:b/>
          <w:bCs/>
        </w:rPr>
        <w:tab/>
      </w:r>
      <w:r>
        <w:rPr>
          <w:rFonts w:hint="eastAsia" w:ascii="黑体" w:hAnsi="黑体" w:eastAsia="黑体" w:cs="黑体"/>
          <w:b/>
          <w:bCs/>
        </w:rPr>
        <w:fldChar w:fldCharType="begin"/>
      </w:r>
      <w:r>
        <w:rPr>
          <w:rFonts w:hint="eastAsia" w:ascii="黑体" w:hAnsi="黑体" w:eastAsia="黑体" w:cs="黑体"/>
          <w:b/>
          <w:bCs/>
        </w:rPr>
        <w:instrText xml:space="preserve"> PAGEREF _Toc23092 \h </w:instrText>
      </w:r>
      <w:r>
        <w:rPr>
          <w:rFonts w:hint="eastAsia" w:ascii="黑体" w:hAnsi="黑体" w:eastAsia="黑体" w:cs="黑体"/>
          <w:b/>
          <w:bCs/>
        </w:rPr>
        <w:fldChar w:fldCharType="separate"/>
      </w:r>
      <w:r>
        <w:rPr>
          <w:rFonts w:hint="eastAsia" w:ascii="黑体" w:hAnsi="黑体" w:eastAsia="黑体" w:cs="黑体"/>
          <w:b/>
          <w:bCs/>
        </w:rPr>
        <w:t>48</w:t>
      </w:r>
      <w:r>
        <w:rPr>
          <w:rFonts w:hint="eastAsia" w:ascii="黑体" w:hAnsi="黑体" w:eastAsia="黑体" w:cs="黑体"/>
          <w:b/>
          <w:bCs/>
        </w:rPr>
        <w:fldChar w:fldCharType="end"/>
      </w:r>
      <w:r>
        <w:rPr>
          <w:rFonts w:hint="eastAsia" w:ascii="黑体" w:hAnsi="黑体" w:eastAsia="黑体" w:cs="黑体"/>
          <w:b/>
          <w:bCs/>
          <w:color w:val="auto"/>
          <w:highlight w:val="none"/>
        </w:rPr>
        <w:fldChar w:fldCharType="end"/>
      </w:r>
    </w:p>
    <w:p w14:paraId="4F3BAE11">
      <w:pPr>
        <w:pStyle w:val="15"/>
        <w:tabs>
          <w:tab w:val="right" w:leader="dot" w:pos="9381"/>
        </w:tabs>
        <w:rPr>
          <w:rFonts w:hint="eastAsia" w:ascii="黑体" w:hAnsi="黑体" w:eastAsia="黑体" w:cs="黑体"/>
          <w:b/>
          <w:bCs/>
        </w:rPr>
      </w:pPr>
      <w:r>
        <w:rPr>
          <w:rFonts w:hint="eastAsia" w:ascii="黑体" w:hAnsi="黑体" w:eastAsia="黑体" w:cs="黑体"/>
          <w:b/>
          <w:bCs/>
          <w:color w:val="auto"/>
          <w:highlight w:val="none"/>
        </w:rPr>
        <w:fldChar w:fldCharType="begin"/>
      </w:r>
      <w:r>
        <w:rPr>
          <w:rFonts w:hint="eastAsia" w:ascii="黑体" w:hAnsi="黑体" w:eastAsia="黑体" w:cs="黑体"/>
          <w:b/>
          <w:bCs/>
          <w:highlight w:val="none"/>
        </w:rPr>
        <w:instrText xml:space="preserve"> HYPERLINK \l _Toc24247 </w:instrText>
      </w:r>
      <w:r>
        <w:rPr>
          <w:rFonts w:hint="eastAsia" w:ascii="黑体" w:hAnsi="黑体" w:eastAsia="黑体" w:cs="黑体"/>
          <w:b/>
          <w:bCs/>
          <w:highlight w:val="none"/>
        </w:rPr>
        <w:fldChar w:fldCharType="separate"/>
      </w:r>
      <w:r>
        <w:rPr>
          <w:rFonts w:hint="eastAsia" w:ascii="黑体" w:hAnsi="黑体" w:eastAsia="黑体" w:cs="黑体"/>
          <w:b/>
          <w:bCs/>
          <w:szCs w:val="28"/>
          <w:highlight w:val="none"/>
          <w:lang w:val="zh-CN"/>
        </w:rPr>
        <w:t>8 授予合同</w:t>
      </w:r>
      <w:r>
        <w:rPr>
          <w:rFonts w:hint="eastAsia" w:ascii="黑体" w:hAnsi="黑体" w:eastAsia="黑体" w:cs="黑体"/>
          <w:b/>
          <w:bCs/>
        </w:rPr>
        <w:tab/>
      </w:r>
      <w:r>
        <w:rPr>
          <w:rFonts w:hint="eastAsia" w:ascii="黑体" w:hAnsi="黑体" w:eastAsia="黑体" w:cs="黑体"/>
          <w:b/>
          <w:bCs/>
        </w:rPr>
        <w:fldChar w:fldCharType="begin"/>
      </w:r>
      <w:r>
        <w:rPr>
          <w:rFonts w:hint="eastAsia" w:ascii="黑体" w:hAnsi="黑体" w:eastAsia="黑体" w:cs="黑体"/>
          <w:b/>
          <w:bCs/>
        </w:rPr>
        <w:instrText xml:space="preserve"> PAGEREF _Toc24247 \h </w:instrText>
      </w:r>
      <w:r>
        <w:rPr>
          <w:rFonts w:hint="eastAsia" w:ascii="黑体" w:hAnsi="黑体" w:eastAsia="黑体" w:cs="黑体"/>
          <w:b/>
          <w:bCs/>
        </w:rPr>
        <w:fldChar w:fldCharType="separate"/>
      </w:r>
      <w:r>
        <w:rPr>
          <w:rFonts w:hint="eastAsia" w:ascii="黑体" w:hAnsi="黑体" w:eastAsia="黑体" w:cs="黑体"/>
          <w:b/>
          <w:bCs/>
        </w:rPr>
        <w:t>49</w:t>
      </w:r>
      <w:r>
        <w:rPr>
          <w:rFonts w:hint="eastAsia" w:ascii="黑体" w:hAnsi="黑体" w:eastAsia="黑体" w:cs="黑体"/>
          <w:b/>
          <w:bCs/>
        </w:rPr>
        <w:fldChar w:fldCharType="end"/>
      </w:r>
      <w:r>
        <w:rPr>
          <w:rFonts w:hint="eastAsia" w:ascii="黑体" w:hAnsi="黑体" w:eastAsia="黑体" w:cs="黑体"/>
          <w:b/>
          <w:bCs/>
          <w:color w:val="auto"/>
          <w:highlight w:val="none"/>
        </w:rPr>
        <w:fldChar w:fldCharType="end"/>
      </w:r>
    </w:p>
    <w:p w14:paraId="73EC5EF3">
      <w:pPr>
        <w:pStyle w:val="15"/>
        <w:tabs>
          <w:tab w:val="right" w:leader="dot" w:pos="9381"/>
        </w:tabs>
        <w:rPr>
          <w:rFonts w:hint="eastAsia" w:ascii="黑体" w:hAnsi="黑体" w:eastAsia="黑体" w:cs="黑体"/>
          <w:b/>
          <w:bCs/>
        </w:rPr>
      </w:pPr>
      <w:r>
        <w:rPr>
          <w:rFonts w:hint="eastAsia" w:ascii="黑体" w:hAnsi="黑体" w:eastAsia="黑体" w:cs="黑体"/>
          <w:b/>
          <w:bCs/>
          <w:color w:val="auto"/>
          <w:highlight w:val="none"/>
        </w:rPr>
        <w:fldChar w:fldCharType="begin"/>
      </w:r>
      <w:r>
        <w:rPr>
          <w:rFonts w:hint="eastAsia" w:ascii="黑体" w:hAnsi="黑体" w:eastAsia="黑体" w:cs="黑体"/>
          <w:b/>
          <w:bCs/>
          <w:highlight w:val="none"/>
        </w:rPr>
        <w:instrText xml:space="preserve"> HYPERLINK \l _Toc30760 </w:instrText>
      </w:r>
      <w:r>
        <w:rPr>
          <w:rFonts w:hint="eastAsia" w:ascii="黑体" w:hAnsi="黑体" w:eastAsia="黑体" w:cs="黑体"/>
          <w:b/>
          <w:bCs/>
          <w:highlight w:val="none"/>
        </w:rPr>
        <w:fldChar w:fldCharType="separate"/>
      </w:r>
      <w:r>
        <w:rPr>
          <w:rFonts w:hint="eastAsia" w:ascii="黑体" w:hAnsi="黑体" w:eastAsia="黑体" w:cs="黑体"/>
          <w:b/>
          <w:bCs/>
          <w:szCs w:val="28"/>
          <w:highlight w:val="none"/>
          <w:lang w:val="zh-CN"/>
        </w:rPr>
        <w:t>9 验收</w:t>
      </w:r>
      <w:r>
        <w:rPr>
          <w:rFonts w:hint="eastAsia" w:ascii="黑体" w:hAnsi="黑体" w:eastAsia="黑体" w:cs="黑体"/>
          <w:b/>
          <w:bCs/>
        </w:rPr>
        <w:tab/>
      </w:r>
      <w:r>
        <w:rPr>
          <w:rFonts w:hint="eastAsia" w:ascii="黑体" w:hAnsi="黑体" w:eastAsia="黑体" w:cs="黑体"/>
          <w:b/>
          <w:bCs/>
        </w:rPr>
        <w:fldChar w:fldCharType="begin"/>
      </w:r>
      <w:r>
        <w:rPr>
          <w:rFonts w:hint="eastAsia" w:ascii="黑体" w:hAnsi="黑体" w:eastAsia="黑体" w:cs="黑体"/>
          <w:b/>
          <w:bCs/>
        </w:rPr>
        <w:instrText xml:space="preserve"> PAGEREF _Toc30760 \h </w:instrText>
      </w:r>
      <w:r>
        <w:rPr>
          <w:rFonts w:hint="eastAsia" w:ascii="黑体" w:hAnsi="黑体" w:eastAsia="黑体" w:cs="黑体"/>
          <w:b/>
          <w:bCs/>
        </w:rPr>
        <w:fldChar w:fldCharType="separate"/>
      </w:r>
      <w:r>
        <w:rPr>
          <w:rFonts w:hint="eastAsia" w:ascii="黑体" w:hAnsi="黑体" w:eastAsia="黑体" w:cs="黑体"/>
          <w:b/>
          <w:bCs/>
        </w:rPr>
        <w:t>50</w:t>
      </w:r>
      <w:r>
        <w:rPr>
          <w:rFonts w:hint="eastAsia" w:ascii="黑体" w:hAnsi="黑体" w:eastAsia="黑体" w:cs="黑体"/>
          <w:b/>
          <w:bCs/>
        </w:rPr>
        <w:fldChar w:fldCharType="end"/>
      </w:r>
      <w:r>
        <w:rPr>
          <w:rFonts w:hint="eastAsia" w:ascii="黑体" w:hAnsi="黑体" w:eastAsia="黑体" w:cs="黑体"/>
          <w:b/>
          <w:bCs/>
          <w:color w:val="auto"/>
          <w:highlight w:val="none"/>
        </w:rPr>
        <w:fldChar w:fldCharType="end"/>
      </w:r>
    </w:p>
    <w:p w14:paraId="22BCAB0D">
      <w:pPr>
        <w:pStyle w:val="15"/>
        <w:tabs>
          <w:tab w:val="right" w:leader="dot" w:pos="9381"/>
        </w:tabs>
        <w:rPr>
          <w:rFonts w:hint="eastAsia" w:ascii="黑体" w:hAnsi="黑体" w:eastAsia="黑体" w:cs="黑体"/>
          <w:b/>
          <w:bCs/>
        </w:rPr>
      </w:pPr>
      <w:r>
        <w:rPr>
          <w:rFonts w:hint="eastAsia" w:ascii="黑体" w:hAnsi="黑体" w:eastAsia="黑体" w:cs="黑体"/>
          <w:b/>
          <w:bCs/>
          <w:color w:val="auto"/>
          <w:highlight w:val="none"/>
        </w:rPr>
        <w:fldChar w:fldCharType="begin"/>
      </w:r>
      <w:r>
        <w:rPr>
          <w:rFonts w:hint="eastAsia" w:ascii="黑体" w:hAnsi="黑体" w:eastAsia="黑体" w:cs="黑体"/>
          <w:b/>
          <w:bCs/>
          <w:highlight w:val="none"/>
        </w:rPr>
        <w:instrText xml:space="preserve"> HYPERLINK \l _Toc11283 </w:instrText>
      </w:r>
      <w:r>
        <w:rPr>
          <w:rFonts w:hint="eastAsia" w:ascii="黑体" w:hAnsi="黑体" w:eastAsia="黑体" w:cs="黑体"/>
          <w:b/>
          <w:bCs/>
          <w:highlight w:val="none"/>
        </w:rPr>
        <w:fldChar w:fldCharType="separate"/>
      </w:r>
      <w:r>
        <w:rPr>
          <w:rFonts w:hint="eastAsia" w:ascii="黑体" w:hAnsi="黑体" w:eastAsia="黑体" w:cs="黑体"/>
          <w:b/>
          <w:bCs/>
          <w:szCs w:val="28"/>
          <w:highlight w:val="none"/>
          <w:lang w:val="zh-CN"/>
        </w:rPr>
        <w:t>10 付款</w:t>
      </w:r>
      <w:r>
        <w:rPr>
          <w:rFonts w:hint="eastAsia" w:ascii="黑体" w:hAnsi="黑体" w:eastAsia="黑体" w:cs="黑体"/>
          <w:b/>
          <w:bCs/>
        </w:rPr>
        <w:tab/>
      </w:r>
      <w:r>
        <w:rPr>
          <w:rFonts w:hint="eastAsia" w:ascii="黑体" w:hAnsi="黑体" w:eastAsia="黑体" w:cs="黑体"/>
          <w:b/>
          <w:bCs/>
        </w:rPr>
        <w:fldChar w:fldCharType="begin"/>
      </w:r>
      <w:r>
        <w:rPr>
          <w:rFonts w:hint="eastAsia" w:ascii="黑体" w:hAnsi="黑体" w:eastAsia="黑体" w:cs="黑体"/>
          <w:b/>
          <w:bCs/>
        </w:rPr>
        <w:instrText xml:space="preserve"> PAGEREF _Toc11283 \h </w:instrText>
      </w:r>
      <w:r>
        <w:rPr>
          <w:rFonts w:hint="eastAsia" w:ascii="黑体" w:hAnsi="黑体" w:eastAsia="黑体" w:cs="黑体"/>
          <w:b/>
          <w:bCs/>
        </w:rPr>
        <w:fldChar w:fldCharType="separate"/>
      </w:r>
      <w:r>
        <w:rPr>
          <w:rFonts w:hint="eastAsia" w:ascii="黑体" w:hAnsi="黑体" w:eastAsia="黑体" w:cs="黑体"/>
          <w:b/>
          <w:bCs/>
        </w:rPr>
        <w:t>52</w:t>
      </w:r>
      <w:r>
        <w:rPr>
          <w:rFonts w:hint="eastAsia" w:ascii="黑体" w:hAnsi="黑体" w:eastAsia="黑体" w:cs="黑体"/>
          <w:b/>
          <w:bCs/>
        </w:rPr>
        <w:fldChar w:fldCharType="end"/>
      </w:r>
      <w:r>
        <w:rPr>
          <w:rFonts w:hint="eastAsia" w:ascii="黑体" w:hAnsi="黑体" w:eastAsia="黑体" w:cs="黑体"/>
          <w:b/>
          <w:bCs/>
          <w:color w:val="auto"/>
          <w:highlight w:val="none"/>
        </w:rPr>
        <w:fldChar w:fldCharType="end"/>
      </w:r>
    </w:p>
    <w:p w14:paraId="13AA47C8">
      <w:pPr>
        <w:pStyle w:val="15"/>
        <w:tabs>
          <w:tab w:val="right" w:leader="dot" w:pos="9381"/>
        </w:tabs>
        <w:rPr>
          <w:rFonts w:hint="eastAsia" w:ascii="黑体" w:hAnsi="黑体" w:eastAsia="黑体" w:cs="黑体"/>
          <w:b/>
          <w:bCs/>
        </w:rPr>
      </w:pPr>
      <w:r>
        <w:rPr>
          <w:rFonts w:hint="eastAsia" w:ascii="黑体" w:hAnsi="黑体" w:eastAsia="黑体" w:cs="黑体"/>
          <w:b/>
          <w:bCs/>
          <w:color w:val="auto"/>
          <w:highlight w:val="none"/>
        </w:rPr>
        <w:fldChar w:fldCharType="begin"/>
      </w:r>
      <w:r>
        <w:rPr>
          <w:rFonts w:hint="eastAsia" w:ascii="黑体" w:hAnsi="黑体" w:eastAsia="黑体" w:cs="黑体"/>
          <w:b/>
          <w:bCs/>
          <w:highlight w:val="none"/>
        </w:rPr>
        <w:instrText xml:space="preserve"> HYPERLINK \l _Toc28683 </w:instrText>
      </w:r>
      <w:r>
        <w:rPr>
          <w:rFonts w:hint="eastAsia" w:ascii="黑体" w:hAnsi="黑体" w:eastAsia="黑体" w:cs="黑体"/>
          <w:b/>
          <w:bCs/>
          <w:highlight w:val="none"/>
        </w:rPr>
        <w:fldChar w:fldCharType="separate"/>
      </w:r>
      <w:r>
        <w:rPr>
          <w:rFonts w:hint="eastAsia" w:ascii="黑体" w:hAnsi="黑体" w:eastAsia="黑体" w:cs="黑体"/>
          <w:b/>
          <w:bCs/>
          <w:szCs w:val="28"/>
          <w:highlight w:val="none"/>
          <w:lang w:val="zh-CN"/>
        </w:rPr>
        <w:t>11 其他</w:t>
      </w:r>
      <w:r>
        <w:rPr>
          <w:rFonts w:hint="eastAsia" w:ascii="黑体" w:hAnsi="黑体" w:eastAsia="黑体" w:cs="黑体"/>
          <w:b/>
          <w:bCs/>
        </w:rPr>
        <w:tab/>
      </w:r>
      <w:r>
        <w:rPr>
          <w:rFonts w:hint="eastAsia" w:ascii="黑体" w:hAnsi="黑体" w:eastAsia="黑体" w:cs="黑体"/>
          <w:b/>
          <w:bCs/>
        </w:rPr>
        <w:fldChar w:fldCharType="begin"/>
      </w:r>
      <w:r>
        <w:rPr>
          <w:rFonts w:hint="eastAsia" w:ascii="黑体" w:hAnsi="黑体" w:eastAsia="黑体" w:cs="黑体"/>
          <w:b/>
          <w:bCs/>
        </w:rPr>
        <w:instrText xml:space="preserve"> PAGEREF _Toc28683 \h </w:instrText>
      </w:r>
      <w:r>
        <w:rPr>
          <w:rFonts w:hint="eastAsia" w:ascii="黑体" w:hAnsi="黑体" w:eastAsia="黑体" w:cs="黑体"/>
          <w:b/>
          <w:bCs/>
        </w:rPr>
        <w:fldChar w:fldCharType="separate"/>
      </w:r>
      <w:r>
        <w:rPr>
          <w:rFonts w:hint="eastAsia" w:ascii="黑体" w:hAnsi="黑体" w:eastAsia="黑体" w:cs="黑体"/>
          <w:b/>
          <w:bCs/>
        </w:rPr>
        <w:t>52</w:t>
      </w:r>
      <w:r>
        <w:rPr>
          <w:rFonts w:hint="eastAsia" w:ascii="黑体" w:hAnsi="黑体" w:eastAsia="黑体" w:cs="黑体"/>
          <w:b/>
          <w:bCs/>
        </w:rPr>
        <w:fldChar w:fldCharType="end"/>
      </w:r>
      <w:r>
        <w:rPr>
          <w:rFonts w:hint="eastAsia" w:ascii="黑体" w:hAnsi="黑体" w:eastAsia="黑体" w:cs="黑体"/>
          <w:b/>
          <w:bCs/>
          <w:color w:val="auto"/>
          <w:highlight w:val="none"/>
        </w:rPr>
        <w:fldChar w:fldCharType="end"/>
      </w:r>
    </w:p>
    <w:p w14:paraId="2343A22F">
      <w:pPr>
        <w:pStyle w:val="15"/>
        <w:tabs>
          <w:tab w:val="right" w:leader="dot" w:pos="9381"/>
        </w:tabs>
        <w:rPr>
          <w:rFonts w:hint="eastAsia" w:ascii="黑体" w:hAnsi="黑体" w:eastAsia="黑体" w:cs="黑体"/>
          <w:b/>
          <w:bCs/>
        </w:rPr>
      </w:pPr>
      <w:r>
        <w:rPr>
          <w:rFonts w:hint="eastAsia" w:ascii="黑体" w:hAnsi="黑体" w:eastAsia="黑体" w:cs="黑体"/>
          <w:b/>
          <w:bCs/>
          <w:color w:val="auto"/>
          <w:highlight w:val="none"/>
        </w:rPr>
        <w:fldChar w:fldCharType="begin"/>
      </w:r>
      <w:r>
        <w:rPr>
          <w:rFonts w:hint="eastAsia" w:ascii="黑体" w:hAnsi="黑体" w:eastAsia="黑体" w:cs="黑体"/>
          <w:b/>
          <w:bCs/>
          <w:highlight w:val="none"/>
        </w:rPr>
        <w:instrText xml:space="preserve"> HYPERLINK \l _Toc9132 </w:instrText>
      </w:r>
      <w:r>
        <w:rPr>
          <w:rFonts w:hint="eastAsia" w:ascii="黑体" w:hAnsi="黑体" w:eastAsia="黑体" w:cs="黑体"/>
          <w:b/>
          <w:bCs/>
          <w:highlight w:val="none"/>
        </w:rPr>
        <w:fldChar w:fldCharType="separate"/>
      </w:r>
      <w:r>
        <w:rPr>
          <w:rFonts w:hint="eastAsia" w:ascii="黑体" w:hAnsi="黑体" w:eastAsia="黑体" w:cs="黑体"/>
          <w:b/>
          <w:bCs/>
          <w:szCs w:val="28"/>
          <w:highlight w:val="none"/>
          <w:lang w:val="zh-CN"/>
        </w:rPr>
        <w:t>12 河南省政府采购合同融资政策告知函</w:t>
      </w:r>
      <w:r>
        <w:rPr>
          <w:rFonts w:hint="eastAsia" w:ascii="黑体" w:hAnsi="黑体" w:eastAsia="黑体" w:cs="黑体"/>
          <w:b/>
          <w:bCs/>
        </w:rPr>
        <w:tab/>
      </w:r>
      <w:r>
        <w:rPr>
          <w:rFonts w:hint="eastAsia" w:ascii="黑体" w:hAnsi="黑体" w:eastAsia="黑体" w:cs="黑体"/>
          <w:b/>
          <w:bCs/>
        </w:rPr>
        <w:fldChar w:fldCharType="begin"/>
      </w:r>
      <w:r>
        <w:rPr>
          <w:rFonts w:hint="eastAsia" w:ascii="黑体" w:hAnsi="黑体" w:eastAsia="黑体" w:cs="黑体"/>
          <w:b/>
          <w:bCs/>
        </w:rPr>
        <w:instrText xml:space="preserve"> PAGEREF _Toc9132 \h </w:instrText>
      </w:r>
      <w:r>
        <w:rPr>
          <w:rFonts w:hint="eastAsia" w:ascii="黑体" w:hAnsi="黑体" w:eastAsia="黑体" w:cs="黑体"/>
          <w:b/>
          <w:bCs/>
        </w:rPr>
        <w:fldChar w:fldCharType="separate"/>
      </w:r>
      <w:r>
        <w:rPr>
          <w:rFonts w:hint="eastAsia" w:ascii="黑体" w:hAnsi="黑体" w:eastAsia="黑体" w:cs="黑体"/>
          <w:b/>
          <w:bCs/>
        </w:rPr>
        <w:t>52</w:t>
      </w:r>
      <w:r>
        <w:rPr>
          <w:rFonts w:hint="eastAsia" w:ascii="黑体" w:hAnsi="黑体" w:eastAsia="黑体" w:cs="黑体"/>
          <w:b/>
          <w:bCs/>
        </w:rPr>
        <w:fldChar w:fldCharType="end"/>
      </w:r>
      <w:r>
        <w:rPr>
          <w:rFonts w:hint="eastAsia" w:ascii="黑体" w:hAnsi="黑体" w:eastAsia="黑体" w:cs="黑体"/>
          <w:b/>
          <w:bCs/>
          <w:color w:val="auto"/>
          <w:highlight w:val="none"/>
        </w:rPr>
        <w:fldChar w:fldCharType="end"/>
      </w:r>
    </w:p>
    <w:p w14:paraId="5E0DD455">
      <w:pPr>
        <w:pStyle w:val="13"/>
        <w:tabs>
          <w:tab w:val="right" w:leader="dot" w:pos="9381"/>
        </w:tabs>
        <w:rPr>
          <w:rFonts w:hint="eastAsia" w:ascii="黑体" w:hAnsi="黑体" w:eastAsia="黑体" w:cs="黑体"/>
          <w:b/>
          <w:bCs/>
        </w:rPr>
      </w:pPr>
      <w:r>
        <w:rPr>
          <w:rFonts w:hint="eastAsia" w:ascii="黑体" w:hAnsi="黑体" w:eastAsia="黑体" w:cs="黑体"/>
          <w:b/>
          <w:bCs/>
          <w:color w:val="auto"/>
          <w:highlight w:val="none"/>
        </w:rPr>
        <w:fldChar w:fldCharType="begin"/>
      </w:r>
      <w:r>
        <w:rPr>
          <w:rFonts w:hint="eastAsia" w:ascii="黑体" w:hAnsi="黑体" w:eastAsia="黑体" w:cs="黑体"/>
          <w:b/>
          <w:bCs/>
          <w:highlight w:val="none"/>
        </w:rPr>
        <w:instrText xml:space="preserve"> HYPERLINK \l _Toc28190 </w:instrText>
      </w:r>
      <w:r>
        <w:rPr>
          <w:rFonts w:hint="eastAsia" w:ascii="黑体" w:hAnsi="黑体" w:eastAsia="黑体" w:cs="黑体"/>
          <w:b/>
          <w:bCs/>
          <w:highlight w:val="none"/>
        </w:rPr>
        <w:fldChar w:fldCharType="separate"/>
      </w:r>
      <w:r>
        <w:rPr>
          <w:rFonts w:hint="eastAsia" w:ascii="黑体" w:hAnsi="黑体" w:eastAsia="黑体" w:cs="黑体"/>
          <w:b/>
          <w:bCs/>
          <w:kern w:val="44"/>
          <w:szCs w:val="36"/>
          <w:highlight w:val="none"/>
          <w:lang w:val="zh-CN"/>
        </w:rPr>
        <w:t>第四章  包1评标办法（综合评分法）</w:t>
      </w:r>
      <w:r>
        <w:rPr>
          <w:rFonts w:hint="eastAsia" w:ascii="黑体" w:hAnsi="黑体" w:eastAsia="黑体" w:cs="黑体"/>
          <w:b/>
          <w:bCs/>
        </w:rPr>
        <w:tab/>
      </w:r>
      <w:r>
        <w:rPr>
          <w:rFonts w:hint="eastAsia" w:ascii="黑体" w:hAnsi="黑体" w:eastAsia="黑体" w:cs="黑体"/>
          <w:b/>
          <w:bCs/>
        </w:rPr>
        <w:fldChar w:fldCharType="begin"/>
      </w:r>
      <w:r>
        <w:rPr>
          <w:rFonts w:hint="eastAsia" w:ascii="黑体" w:hAnsi="黑体" w:eastAsia="黑体" w:cs="黑体"/>
          <w:b/>
          <w:bCs/>
        </w:rPr>
        <w:instrText xml:space="preserve"> PAGEREF _Toc28190 \h </w:instrText>
      </w:r>
      <w:r>
        <w:rPr>
          <w:rFonts w:hint="eastAsia" w:ascii="黑体" w:hAnsi="黑体" w:eastAsia="黑体" w:cs="黑体"/>
          <w:b/>
          <w:bCs/>
        </w:rPr>
        <w:fldChar w:fldCharType="separate"/>
      </w:r>
      <w:r>
        <w:rPr>
          <w:rFonts w:hint="eastAsia" w:ascii="黑体" w:hAnsi="黑体" w:eastAsia="黑体" w:cs="黑体"/>
          <w:b/>
          <w:bCs/>
        </w:rPr>
        <w:t>53</w:t>
      </w:r>
      <w:r>
        <w:rPr>
          <w:rFonts w:hint="eastAsia" w:ascii="黑体" w:hAnsi="黑体" w:eastAsia="黑体" w:cs="黑体"/>
          <w:b/>
          <w:bCs/>
        </w:rPr>
        <w:fldChar w:fldCharType="end"/>
      </w:r>
      <w:r>
        <w:rPr>
          <w:rFonts w:hint="eastAsia" w:ascii="黑体" w:hAnsi="黑体" w:eastAsia="黑体" w:cs="黑体"/>
          <w:b/>
          <w:bCs/>
          <w:color w:val="auto"/>
          <w:highlight w:val="none"/>
        </w:rPr>
        <w:fldChar w:fldCharType="end"/>
      </w:r>
    </w:p>
    <w:p w14:paraId="793E0E8F">
      <w:pPr>
        <w:pStyle w:val="15"/>
        <w:tabs>
          <w:tab w:val="right" w:leader="dot" w:pos="9381"/>
        </w:tabs>
        <w:rPr>
          <w:rFonts w:hint="eastAsia" w:ascii="黑体" w:hAnsi="黑体" w:eastAsia="黑体" w:cs="黑体"/>
          <w:b/>
          <w:bCs/>
        </w:rPr>
      </w:pPr>
      <w:r>
        <w:rPr>
          <w:rFonts w:hint="eastAsia" w:ascii="黑体" w:hAnsi="黑体" w:eastAsia="黑体" w:cs="黑体"/>
          <w:b/>
          <w:bCs/>
          <w:color w:val="auto"/>
          <w:highlight w:val="none"/>
        </w:rPr>
        <w:fldChar w:fldCharType="begin"/>
      </w:r>
      <w:r>
        <w:rPr>
          <w:rFonts w:hint="eastAsia" w:ascii="黑体" w:hAnsi="黑体" w:eastAsia="黑体" w:cs="黑体"/>
          <w:b/>
          <w:bCs/>
          <w:highlight w:val="none"/>
        </w:rPr>
        <w:instrText xml:space="preserve"> HYPERLINK \l _Toc29428 </w:instrText>
      </w:r>
      <w:r>
        <w:rPr>
          <w:rFonts w:hint="eastAsia" w:ascii="黑体" w:hAnsi="黑体" w:eastAsia="黑体" w:cs="黑体"/>
          <w:b/>
          <w:bCs/>
          <w:highlight w:val="none"/>
        </w:rPr>
        <w:fldChar w:fldCharType="separate"/>
      </w:r>
      <w:r>
        <w:rPr>
          <w:rFonts w:hint="eastAsia" w:ascii="黑体" w:hAnsi="黑体" w:eastAsia="黑体" w:cs="黑体"/>
          <w:b/>
          <w:bCs/>
          <w:szCs w:val="28"/>
          <w:highlight w:val="none"/>
        </w:rPr>
        <w:t>评标办法前附表</w:t>
      </w:r>
      <w:r>
        <w:rPr>
          <w:rFonts w:hint="eastAsia" w:ascii="黑体" w:hAnsi="黑体" w:eastAsia="黑体" w:cs="黑体"/>
          <w:b/>
          <w:bCs/>
        </w:rPr>
        <w:tab/>
      </w:r>
      <w:r>
        <w:rPr>
          <w:rFonts w:hint="eastAsia" w:ascii="黑体" w:hAnsi="黑体" w:eastAsia="黑体" w:cs="黑体"/>
          <w:b/>
          <w:bCs/>
        </w:rPr>
        <w:fldChar w:fldCharType="begin"/>
      </w:r>
      <w:r>
        <w:rPr>
          <w:rFonts w:hint="eastAsia" w:ascii="黑体" w:hAnsi="黑体" w:eastAsia="黑体" w:cs="黑体"/>
          <w:b/>
          <w:bCs/>
        </w:rPr>
        <w:instrText xml:space="preserve"> PAGEREF _Toc29428 \h </w:instrText>
      </w:r>
      <w:r>
        <w:rPr>
          <w:rFonts w:hint="eastAsia" w:ascii="黑体" w:hAnsi="黑体" w:eastAsia="黑体" w:cs="黑体"/>
          <w:b/>
          <w:bCs/>
        </w:rPr>
        <w:fldChar w:fldCharType="separate"/>
      </w:r>
      <w:r>
        <w:rPr>
          <w:rFonts w:hint="eastAsia" w:ascii="黑体" w:hAnsi="黑体" w:eastAsia="黑体" w:cs="黑体"/>
          <w:b/>
          <w:bCs/>
        </w:rPr>
        <w:t>53</w:t>
      </w:r>
      <w:r>
        <w:rPr>
          <w:rFonts w:hint="eastAsia" w:ascii="黑体" w:hAnsi="黑体" w:eastAsia="黑体" w:cs="黑体"/>
          <w:b/>
          <w:bCs/>
        </w:rPr>
        <w:fldChar w:fldCharType="end"/>
      </w:r>
      <w:r>
        <w:rPr>
          <w:rFonts w:hint="eastAsia" w:ascii="黑体" w:hAnsi="黑体" w:eastAsia="黑体" w:cs="黑体"/>
          <w:b/>
          <w:bCs/>
          <w:color w:val="auto"/>
          <w:highlight w:val="none"/>
        </w:rPr>
        <w:fldChar w:fldCharType="end"/>
      </w:r>
    </w:p>
    <w:p w14:paraId="54D78541">
      <w:pPr>
        <w:pStyle w:val="15"/>
        <w:tabs>
          <w:tab w:val="right" w:leader="dot" w:pos="9381"/>
        </w:tabs>
        <w:rPr>
          <w:rFonts w:hint="eastAsia" w:ascii="黑体" w:hAnsi="黑体" w:eastAsia="黑体" w:cs="黑体"/>
          <w:b/>
          <w:bCs/>
        </w:rPr>
      </w:pPr>
      <w:r>
        <w:rPr>
          <w:rFonts w:hint="eastAsia" w:ascii="黑体" w:hAnsi="黑体" w:eastAsia="黑体" w:cs="黑体"/>
          <w:b/>
          <w:bCs/>
          <w:color w:val="auto"/>
          <w:highlight w:val="none"/>
        </w:rPr>
        <w:fldChar w:fldCharType="begin"/>
      </w:r>
      <w:r>
        <w:rPr>
          <w:rFonts w:hint="eastAsia" w:ascii="黑体" w:hAnsi="黑体" w:eastAsia="黑体" w:cs="黑体"/>
          <w:b/>
          <w:bCs/>
          <w:highlight w:val="none"/>
        </w:rPr>
        <w:instrText xml:space="preserve"> HYPERLINK \l _Toc15204 </w:instrText>
      </w:r>
      <w:r>
        <w:rPr>
          <w:rFonts w:hint="eastAsia" w:ascii="黑体" w:hAnsi="黑体" w:eastAsia="黑体" w:cs="黑体"/>
          <w:b/>
          <w:bCs/>
          <w:highlight w:val="none"/>
        </w:rPr>
        <w:fldChar w:fldCharType="separate"/>
      </w:r>
      <w:r>
        <w:rPr>
          <w:rFonts w:hint="eastAsia" w:ascii="黑体" w:hAnsi="黑体" w:eastAsia="黑体" w:cs="黑体"/>
          <w:b/>
          <w:bCs/>
          <w:szCs w:val="28"/>
          <w:highlight w:val="none"/>
          <w:lang w:val="zh-CN"/>
        </w:rPr>
        <w:t>1. 评标方法</w:t>
      </w:r>
      <w:r>
        <w:rPr>
          <w:rFonts w:hint="eastAsia" w:ascii="黑体" w:hAnsi="黑体" w:eastAsia="黑体" w:cs="黑体"/>
          <w:b/>
          <w:bCs/>
        </w:rPr>
        <w:tab/>
      </w:r>
      <w:r>
        <w:rPr>
          <w:rFonts w:hint="eastAsia" w:ascii="黑体" w:hAnsi="黑体" w:eastAsia="黑体" w:cs="黑体"/>
          <w:b/>
          <w:bCs/>
        </w:rPr>
        <w:fldChar w:fldCharType="begin"/>
      </w:r>
      <w:r>
        <w:rPr>
          <w:rFonts w:hint="eastAsia" w:ascii="黑体" w:hAnsi="黑体" w:eastAsia="黑体" w:cs="黑体"/>
          <w:b/>
          <w:bCs/>
        </w:rPr>
        <w:instrText xml:space="preserve"> PAGEREF _Toc15204 \h </w:instrText>
      </w:r>
      <w:r>
        <w:rPr>
          <w:rFonts w:hint="eastAsia" w:ascii="黑体" w:hAnsi="黑体" w:eastAsia="黑体" w:cs="黑体"/>
          <w:b/>
          <w:bCs/>
        </w:rPr>
        <w:fldChar w:fldCharType="separate"/>
      </w:r>
      <w:r>
        <w:rPr>
          <w:rFonts w:hint="eastAsia" w:ascii="黑体" w:hAnsi="黑体" w:eastAsia="黑体" w:cs="黑体"/>
          <w:b/>
          <w:bCs/>
        </w:rPr>
        <w:t>58</w:t>
      </w:r>
      <w:r>
        <w:rPr>
          <w:rFonts w:hint="eastAsia" w:ascii="黑体" w:hAnsi="黑体" w:eastAsia="黑体" w:cs="黑体"/>
          <w:b/>
          <w:bCs/>
        </w:rPr>
        <w:fldChar w:fldCharType="end"/>
      </w:r>
      <w:r>
        <w:rPr>
          <w:rFonts w:hint="eastAsia" w:ascii="黑体" w:hAnsi="黑体" w:eastAsia="黑体" w:cs="黑体"/>
          <w:b/>
          <w:bCs/>
          <w:color w:val="auto"/>
          <w:highlight w:val="none"/>
        </w:rPr>
        <w:fldChar w:fldCharType="end"/>
      </w:r>
    </w:p>
    <w:p w14:paraId="049E7F93">
      <w:pPr>
        <w:pStyle w:val="15"/>
        <w:tabs>
          <w:tab w:val="right" w:leader="dot" w:pos="9381"/>
        </w:tabs>
        <w:rPr>
          <w:rFonts w:hint="eastAsia" w:ascii="黑体" w:hAnsi="黑体" w:eastAsia="黑体" w:cs="黑体"/>
          <w:b/>
          <w:bCs/>
        </w:rPr>
      </w:pPr>
      <w:r>
        <w:rPr>
          <w:rFonts w:hint="eastAsia" w:ascii="黑体" w:hAnsi="黑体" w:eastAsia="黑体" w:cs="黑体"/>
          <w:b/>
          <w:bCs/>
          <w:color w:val="auto"/>
          <w:highlight w:val="none"/>
        </w:rPr>
        <w:fldChar w:fldCharType="begin"/>
      </w:r>
      <w:r>
        <w:rPr>
          <w:rFonts w:hint="eastAsia" w:ascii="黑体" w:hAnsi="黑体" w:eastAsia="黑体" w:cs="黑体"/>
          <w:b/>
          <w:bCs/>
          <w:highlight w:val="none"/>
        </w:rPr>
        <w:instrText xml:space="preserve"> HYPERLINK \l _Toc4846 </w:instrText>
      </w:r>
      <w:r>
        <w:rPr>
          <w:rFonts w:hint="eastAsia" w:ascii="黑体" w:hAnsi="黑体" w:eastAsia="黑体" w:cs="黑体"/>
          <w:b/>
          <w:bCs/>
          <w:highlight w:val="none"/>
        </w:rPr>
        <w:fldChar w:fldCharType="separate"/>
      </w:r>
      <w:r>
        <w:rPr>
          <w:rFonts w:hint="eastAsia" w:ascii="黑体" w:hAnsi="黑体" w:eastAsia="黑体" w:cs="黑体"/>
          <w:b/>
          <w:bCs/>
          <w:szCs w:val="28"/>
          <w:highlight w:val="none"/>
          <w:lang w:val="zh-CN"/>
        </w:rPr>
        <w:t>2. 评标标准</w:t>
      </w:r>
      <w:r>
        <w:rPr>
          <w:rFonts w:hint="eastAsia" w:ascii="黑体" w:hAnsi="黑体" w:eastAsia="黑体" w:cs="黑体"/>
          <w:b/>
          <w:bCs/>
        </w:rPr>
        <w:tab/>
      </w:r>
      <w:r>
        <w:rPr>
          <w:rFonts w:hint="eastAsia" w:ascii="黑体" w:hAnsi="黑体" w:eastAsia="黑体" w:cs="黑体"/>
          <w:b/>
          <w:bCs/>
        </w:rPr>
        <w:fldChar w:fldCharType="begin"/>
      </w:r>
      <w:r>
        <w:rPr>
          <w:rFonts w:hint="eastAsia" w:ascii="黑体" w:hAnsi="黑体" w:eastAsia="黑体" w:cs="黑体"/>
          <w:b/>
          <w:bCs/>
        </w:rPr>
        <w:instrText xml:space="preserve"> PAGEREF _Toc4846 \h </w:instrText>
      </w:r>
      <w:r>
        <w:rPr>
          <w:rFonts w:hint="eastAsia" w:ascii="黑体" w:hAnsi="黑体" w:eastAsia="黑体" w:cs="黑体"/>
          <w:b/>
          <w:bCs/>
        </w:rPr>
        <w:fldChar w:fldCharType="separate"/>
      </w:r>
      <w:r>
        <w:rPr>
          <w:rFonts w:hint="eastAsia" w:ascii="黑体" w:hAnsi="黑体" w:eastAsia="黑体" w:cs="黑体"/>
          <w:b/>
          <w:bCs/>
        </w:rPr>
        <w:t>58</w:t>
      </w:r>
      <w:r>
        <w:rPr>
          <w:rFonts w:hint="eastAsia" w:ascii="黑体" w:hAnsi="黑体" w:eastAsia="黑体" w:cs="黑体"/>
          <w:b/>
          <w:bCs/>
        </w:rPr>
        <w:fldChar w:fldCharType="end"/>
      </w:r>
      <w:r>
        <w:rPr>
          <w:rFonts w:hint="eastAsia" w:ascii="黑体" w:hAnsi="黑体" w:eastAsia="黑体" w:cs="黑体"/>
          <w:b/>
          <w:bCs/>
          <w:color w:val="auto"/>
          <w:highlight w:val="none"/>
        </w:rPr>
        <w:fldChar w:fldCharType="end"/>
      </w:r>
    </w:p>
    <w:p w14:paraId="7236D1C5">
      <w:pPr>
        <w:pStyle w:val="15"/>
        <w:tabs>
          <w:tab w:val="right" w:leader="dot" w:pos="9381"/>
        </w:tabs>
        <w:rPr>
          <w:rFonts w:hint="eastAsia" w:ascii="黑体" w:hAnsi="黑体" w:eastAsia="黑体" w:cs="黑体"/>
          <w:b/>
          <w:bCs/>
        </w:rPr>
      </w:pPr>
      <w:r>
        <w:rPr>
          <w:rFonts w:hint="eastAsia" w:ascii="黑体" w:hAnsi="黑体" w:eastAsia="黑体" w:cs="黑体"/>
          <w:b/>
          <w:bCs/>
          <w:color w:val="auto"/>
          <w:highlight w:val="none"/>
        </w:rPr>
        <w:fldChar w:fldCharType="begin"/>
      </w:r>
      <w:r>
        <w:rPr>
          <w:rFonts w:hint="eastAsia" w:ascii="黑体" w:hAnsi="黑体" w:eastAsia="黑体" w:cs="黑体"/>
          <w:b/>
          <w:bCs/>
          <w:highlight w:val="none"/>
        </w:rPr>
        <w:instrText xml:space="preserve"> HYPERLINK \l _Toc6318 </w:instrText>
      </w:r>
      <w:r>
        <w:rPr>
          <w:rFonts w:hint="eastAsia" w:ascii="黑体" w:hAnsi="黑体" w:eastAsia="黑体" w:cs="黑体"/>
          <w:b/>
          <w:bCs/>
          <w:highlight w:val="none"/>
        </w:rPr>
        <w:fldChar w:fldCharType="separate"/>
      </w:r>
      <w:r>
        <w:rPr>
          <w:rFonts w:hint="eastAsia" w:ascii="黑体" w:hAnsi="黑体" w:eastAsia="黑体" w:cs="黑体"/>
          <w:b/>
          <w:bCs/>
          <w:szCs w:val="28"/>
          <w:highlight w:val="none"/>
          <w:lang w:val="zh-CN"/>
        </w:rPr>
        <w:t>3. 评标程序</w:t>
      </w:r>
      <w:r>
        <w:rPr>
          <w:rFonts w:hint="eastAsia" w:ascii="黑体" w:hAnsi="黑体" w:eastAsia="黑体" w:cs="黑体"/>
          <w:b/>
          <w:bCs/>
        </w:rPr>
        <w:tab/>
      </w:r>
      <w:r>
        <w:rPr>
          <w:rFonts w:hint="eastAsia" w:ascii="黑体" w:hAnsi="黑体" w:eastAsia="黑体" w:cs="黑体"/>
          <w:b/>
          <w:bCs/>
        </w:rPr>
        <w:fldChar w:fldCharType="begin"/>
      </w:r>
      <w:r>
        <w:rPr>
          <w:rFonts w:hint="eastAsia" w:ascii="黑体" w:hAnsi="黑体" w:eastAsia="黑体" w:cs="黑体"/>
          <w:b/>
          <w:bCs/>
        </w:rPr>
        <w:instrText xml:space="preserve"> PAGEREF _Toc6318 \h </w:instrText>
      </w:r>
      <w:r>
        <w:rPr>
          <w:rFonts w:hint="eastAsia" w:ascii="黑体" w:hAnsi="黑体" w:eastAsia="黑体" w:cs="黑体"/>
          <w:b/>
          <w:bCs/>
        </w:rPr>
        <w:fldChar w:fldCharType="separate"/>
      </w:r>
      <w:r>
        <w:rPr>
          <w:rFonts w:hint="eastAsia" w:ascii="黑体" w:hAnsi="黑体" w:eastAsia="黑体" w:cs="黑体"/>
          <w:b/>
          <w:bCs/>
        </w:rPr>
        <w:t>58</w:t>
      </w:r>
      <w:r>
        <w:rPr>
          <w:rFonts w:hint="eastAsia" w:ascii="黑体" w:hAnsi="黑体" w:eastAsia="黑体" w:cs="黑体"/>
          <w:b/>
          <w:bCs/>
        </w:rPr>
        <w:fldChar w:fldCharType="end"/>
      </w:r>
      <w:r>
        <w:rPr>
          <w:rFonts w:hint="eastAsia" w:ascii="黑体" w:hAnsi="黑体" w:eastAsia="黑体" w:cs="黑体"/>
          <w:b/>
          <w:bCs/>
          <w:color w:val="auto"/>
          <w:highlight w:val="none"/>
        </w:rPr>
        <w:fldChar w:fldCharType="end"/>
      </w:r>
    </w:p>
    <w:p w14:paraId="0A68F133">
      <w:pPr>
        <w:pStyle w:val="15"/>
        <w:tabs>
          <w:tab w:val="right" w:leader="dot" w:pos="9381"/>
        </w:tabs>
        <w:rPr>
          <w:rFonts w:hint="eastAsia" w:ascii="黑体" w:hAnsi="黑体" w:eastAsia="黑体" w:cs="黑体"/>
          <w:b/>
          <w:bCs/>
        </w:rPr>
      </w:pPr>
      <w:r>
        <w:rPr>
          <w:rFonts w:hint="eastAsia" w:ascii="黑体" w:hAnsi="黑体" w:eastAsia="黑体" w:cs="黑体"/>
          <w:b/>
          <w:bCs/>
          <w:color w:val="auto"/>
          <w:highlight w:val="none"/>
        </w:rPr>
        <w:fldChar w:fldCharType="begin"/>
      </w:r>
      <w:r>
        <w:rPr>
          <w:rFonts w:hint="eastAsia" w:ascii="黑体" w:hAnsi="黑体" w:eastAsia="黑体" w:cs="黑体"/>
          <w:b/>
          <w:bCs/>
          <w:highlight w:val="none"/>
        </w:rPr>
        <w:instrText xml:space="preserve"> HYPERLINK \l _Toc17795 </w:instrText>
      </w:r>
      <w:r>
        <w:rPr>
          <w:rFonts w:hint="eastAsia" w:ascii="黑体" w:hAnsi="黑体" w:eastAsia="黑体" w:cs="黑体"/>
          <w:b/>
          <w:bCs/>
          <w:highlight w:val="none"/>
        </w:rPr>
        <w:fldChar w:fldCharType="separate"/>
      </w:r>
      <w:r>
        <w:rPr>
          <w:rFonts w:hint="eastAsia" w:ascii="黑体" w:hAnsi="黑体" w:eastAsia="黑体" w:cs="黑体"/>
          <w:b/>
          <w:bCs/>
          <w:szCs w:val="28"/>
          <w:highlight w:val="none"/>
          <w:lang w:val="zh-CN"/>
        </w:rPr>
        <w:t>4. 政府采购促进中小企业发展扶持政策</w:t>
      </w:r>
      <w:r>
        <w:rPr>
          <w:rFonts w:hint="eastAsia" w:ascii="黑体" w:hAnsi="黑体" w:eastAsia="黑体" w:cs="黑体"/>
          <w:b/>
          <w:bCs/>
        </w:rPr>
        <w:tab/>
      </w:r>
      <w:r>
        <w:rPr>
          <w:rFonts w:hint="eastAsia" w:ascii="黑体" w:hAnsi="黑体" w:eastAsia="黑体" w:cs="黑体"/>
          <w:b/>
          <w:bCs/>
        </w:rPr>
        <w:fldChar w:fldCharType="begin"/>
      </w:r>
      <w:r>
        <w:rPr>
          <w:rFonts w:hint="eastAsia" w:ascii="黑体" w:hAnsi="黑体" w:eastAsia="黑体" w:cs="黑体"/>
          <w:b/>
          <w:bCs/>
        </w:rPr>
        <w:instrText xml:space="preserve"> PAGEREF _Toc17795 \h </w:instrText>
      </w:r>
      <w:r>
        <w:rPr>
          <w:rFonts w:hint="eastAsia" w:ascii="黑体" w:hAnsi="黑体" w:eastAsia="黑体" w:cs="黑体"/>
          <w:b/>
          <w:bCs/>
        </w:rPr>
        <w:fldChar w:fldCharType="separate"/>
      </w:r>
      <w:r>
        <w:rPr>
          <w:rFonts w:hint="eastAsia" w:ascii="黑体" w:hAnsi="黑体" w:eastAsia="黑体" w:cs="黑体"/>
          <w:b/>
          <w:bCs/>
        </w:rPr>
        <w:t>62</w:t>
      </w:r>
      <w:r>
        <w:rPr>
          <w:rFonts w:hint="eastAsia" w:ascii="黑体" w:hAnsi="黑体" w:eastAsia="黑体" w:cs="黑体"/>
          <w:b/>
          <w:bCs/>
        </w:rPr>
        <w:fldChar w:fldCharType="end"/>
      </w:r>
      <w:r>
        <w:rPr>
          <w:rFonts w:hint="eastAsia" w:ascii="黑体" w:hAnsi="黑体" w:eastAsia="黑体" w:cs="黑体"/>
          <w:b/>
          <w:bCs/>
          <w:color w:val="auto"/>
          <w:highlight w:val="none"/>
        </w:rPr>
        <w:fldChar w:fldCharType="end"/>
      </w:r>
    </w:p>
    <w:p w14:paraId="394EF01D">
      <w:pPr>
        <w:pStyle w:val="13"/>
        <w:tabs>
          <w:tab w:val="right" w:leader="dot" w:pos="9381"/>
        </w:tabs>
        <w:rPr>
          <w:rFonts w:hint="eastAsia" w:ascii="黑体" w:hAnsi="黑体" w:eastAsia="黑体" w:cs="黑体"/>
          <w:b/>
          <w:bCs/>
        </w:rPr>
      </w:pPr>
      <w:r>
        <w:rPr>
          <w:rFonts w:hint="eastAsia" w:ascii="黑体" w:hAnsi="黑体" w:eastAsia="黑体" w:cs="黑体"/>
          <w:b/>
          <w:bCs/>
          <w:color w:val="auto"/>
          <w:highlight w:val="none"/>
        </w:rPr>
        <w:fldChar w:fldCharType="begin"/>
      </w:r>
      <w:r>
        <w:rPr>
          <w:rFonts w:hint="eastAsia" w:ascii="黑体" w:hAnsi="黑体" w:eastAsia="黑体" w:cs="黑体"/>
          <w:b/>
          <w:bCs/>
          <w:highlight w:val="none"/>
        </w:rPr>
        <w:instrText xml:space="preserve"> HYPERLINK \l _Toc6971 </w:instrText>
      </w:r>
      <w:r>
        <w:rPr>
          <w:rFonts w:hint="eastAsia" w:ascii="黑体" w:hAnsi="黑体" w:eastAsia="黑体" w:cs="黑体"/>
          <w:b/>
          <w:bCs/>
          <w:highlight w:val="none"/>
        </w:rPr>
        <w:fldChar w:fldCharType="separate"/>
      </w:r>
      <w:r>
        <w:rPr>
          <w:rFonts w:hint="eastAsia" w:ascii="黑体" w:hAnsi="黑体" w:eastAsia="黑体" w:cs="黑体"/>
          <w:b/>
          <w:bCs/>
          <w:szCs w:val="36"/>
          <w:highlight w:val="none"/>
          <w:lang w:val="zh-CN"/>
        </w:rPr>
        <w:t>第四章  包2评标办法（最低评标价法）</w:t>
      </w:r>
      <w:r>
        <w:rPr>
          <w:rFonts w:hint="eastAsia" w:ascii="黑体" w:hAnsi="黑体" w:eastAsia="黑体" w:cs="黑体"/>
          <w:b/>
          <w:bCs/>
        </w:rPr>
        <w:tab/>
      </w:r>
      <w:r>
        <w:rPr>
          <w:rFonts w:hint="eastAsia" w:ascii="黑体" w:hAnsi="黑体" w:eastAsia="黑体" w:cs="黑体"/>
          <w:b/>
          <w:bCs/>
        </w:rPr>
        <w:fldChar w:fldCharType="begin"/>
      </w:r>
      <w:r>
        <w:rPr>
          <w:rFonts w:hint="eastAsia" w:ascii="黑体" w:hAnsi="黑体" w:eastAsia="黑体" w:cs="黑体"/>
          <w:b/>
          <w:bCs/>
        </w:rPr>
        <w:instrText xml:space="preserve"> PAGEREF _Toc6971 \h </w:instrText>
      </w:r>
      <w:r>
        <w:rPr>
          <w:rFonts w:hint="eastAsia" w:ascii="黑体" w:hAnsi="黑体" w:eastAsia="黑体" w:cs="黑体"/>
          <w:b/>
          <w:bCs/>
        </w:rPr>
        <w:fldChar w:fldCharType="separate"/>
      </w:r>
      <w:r>
        <w:rPr>
          <w:rFonts w:hint="eastAsia" w:ascii="黑体" w:hAnsi="黑体" w:eastAsia="黑体" w:cs="黑体"/>
          <w:b/>
          <w:bCs/>
        </w:rPr>
        <w:t>66</w:t>
      </w:r>
      <w:r>
        <w:rPr>
          <w:rFonts w:hint="eastAsia" w:ascii="黑体" w:hAnsi="黑体" w:eastAsia="黑体" w:cs="黑体"/>
          <w:b/>
          <w:bCs/>
        </w:rPr>
        <w:fldChar w:fldCharType="end"/>
      </w:r>
      <w:r>
        <w:rPr>
          <w:rFonts w:hint="eastAsia" w:ascii="黑体" w:hAnsi="黑体" w:eastAsia="黑体" w:cs="黑体"/>
          <w:b/>
          <w:bCs/>
          <w:color w:val="auto"/>
          <w:highlight w:val="none"/>
        </w:rPr>
        <w:fldChar w:fldCharType="end"/>
      </w:r>
    </w:p>
    <w:p w14:paraId="0554930F">
      <w:pPr>
        <w:pStyle w:val="15"/>
        <w:tabs>
          <w:tab w:val="right" w:leader="dot" w:pos="9381"/>
        </w:tabs>
        <w:rPr>
          <w:rFonts w:hint="eastAsia" w:ascii="黑体" w:hAnsi="黑体" w:eastAsia="黑体" w:cs="黑体"/>
          <w:b/>
          <w:bCs/>
        </w:rPr>
      </w:pPr>
      <w:r>
        <w:rPr>
          <w:rFonts w:hint="eastAsia" w:ascii="黑体" w:hAnsi="黑体" w:eastAsia="黑体" w:cs="黑体"/>
          <w:b/>
          <w:bCs/>
          <w:color w:val="auto"/>
          <w:highlight w:val="none"/>
        </w:rPr>
        <w:fldChar w:fldCharType="begin"/>
      </w:r>
      <w:r>
        <w:rPr>
          <w:rFonts w:hint="eastAsia" w:ascii="黑体" w:hAnsi="黑体" w:eastAsia="黑体" w:cs="黑体"/>
          <w:b/>
          <w:bCs/>
          <w:highlight w:val="none"/>
        </w:rPr>
        <w:instrText xml:space="preserve"> HYPERLINK \l _Toc539 </w:instrText>
      </w:r>
      <w:r>
        <w:rPr>
          <w:rFonts w:hint="eastAsia" w:ascii="黑体" w:hAnsi="黑体" w:eastAsia="黑体" w:cs="黑体"/>
          <w:b/>
          <w:bCs/>
          <w:highlight w:val="none"/>
        </w:rPr>
        <w:fldChar w:fldCharType="separate"/>
      </w:r>
      <w:r>
        <w:rPr>
          <w:rFonts w:hint="eastAsia" w:ascii="黑体" w:hAnsi="黑体" w:eastAsia="黑体" w:cs="黑体"/>
          <w:b/>
          <w:bCs/>
          <w:szCs w:val="28"/>
          <w:highlight w:val="none"/>
        </w:rPr>
        <w:t>评标办法前附表</w:t>
      </w:r>
      <w:r>
        <w:rPr>
          <w:rFonts w:hint="eastAsia" w:ascii="黑体" w:hAnsi="黑体" w:eastAsia="黑体" w:cs="黑体"/>
          <w:b/>
          <w:bCs/>
        </w:rPr>
        <w:tab/>
      </w:r>
      <w:r>
        <w:rPr>
          <w:rFonts w:hint="eastAsia" w:ascii="黑体" w:hAnsi="黑体" w:eastAsia="黑体" w:cs="黑体"/>
          <w:b/>
          <w:bCs/>
        </w:rPr>
        <w:fldChar w:fldCharType="begin"/>
      </w:r>
      <w:r>
        <w:rPr>
          <w:rFonts w:hint="eastAsia" w:ascii="黑体" w:hAnsi="黑体" w:eastAsia="黑体" w:cs="黑体"/>
          <w:b/>
          <w:bCs/>
        </w:rPr>
        <w:instrText xml:space="preserve"> PAGEREF _Toc539 \h </w:instrText>
      </w:r>
      <w:r>
        <w:rPr>
          <w:rFonts w:hint="eastAsia" w:ascii="黑体" w:hAnsi="黑体" w:eastAsia="黑体" w:cs="黑体"/>
          <w:b/>
          <w:bCs/>
        </w:rPr>
        <w:fldChar w:fldCharType="separate"/>
      </w:r>
      <w:r>
        <w:rPr>
          <w:rFonts w:hint="eastAsia" w:ascii="黑体" w:hAnsi="黑体" w:eastAsia="黑体" w:cs="黑体"/>
          <w:b/>
          <w:bCs/>
        </w:rPr>
        <w:t>66</w:t>
      </w:r>
      <w:r>
        <w:rPr>
          <w:rFonts w:hint="eastAsia" w:ascii="黑体" w:hAnsi="黑体" w:eastAsia="黑体" w:cs="黑体"/>
          <w:b/>
          <w:bCs/>
        </w:rPr>
        <w:fldChar w:fldCharType="end"/>
      </w:r>
      <w:r>
        <w:rPr>
          <w:rFonts w:hint="eastAsia" w:ascii="黑体" w:hAnsi="黑体" w:eastAsia="黑体" w:cs="黑体"/>
          <w:b/>
          <w:bCs/>
          <w:color w:val="auto"/>
          <w:highlight w:val="none"/>
        </w:rPr>
        <w:fldChar w:fldCharType="end"/>
      </w:r>
    </w:p>
    <w:p w14:paraId="33BA9E3F">
      <w:pPr>
        <w:pStyle w:val="15"/>
        <w:tabs>
          <w:tab w:val="right" w:leader="dot" w:pos="9381"/>
        </w:tabs>
        <w:rPr>
          <w:rFonts w:hint="eastAsia" w:ascii="黑体" w:hAnsi="黑体" w:eastAsia="黑体" w:cs="黑体"/>
          <w:b/>
          <w:bCs/>
        </w:rPr>
      </w:pPr>
      <w:r>
        <w:rPr>
          <w:rFonts w:hint="eastAsia" w:ascii="黑体" w:hAnsi="黑体" w:eastAsia="黑体" w:cs="黑体"/>
          <w:b/>
          <w:bCs/>
          <w:color w:val="auto"/>
          <w:highlight w:val="none"/>
        </w:rPr>
        <w:fldChar w:fldCharType="begin"/>
      </w:r>
      <w:r>
        <w:rPr>
          <w:rFonts w:hint="eastAsia" w:ascii="黑体" w:hAnsi="黑体" w:eastAsia="黑体" w:cs="黑体"/>
          <w:b/>
          <w:bCs/>
          <w:highlight w:val="none"/>
        </w:rPr>
        <w:instrText xml:space="preserve"> HYPERLINK \l _Toc24398 </w:instrText>
      </w:r>
      <w:r>
        <w:rPr>
          <w:rFonts w:hint="eastAsia" w:ascii="黑体" w:hAnsi="黑体" w:eastAsia="黑体" w:cs="黑体"/>
          <w:b/>
          <w:bCs/>
          <w:highlight w:val="none"/>
        </w:rPr>
        <w:fldChar w:fldCharType="separate"/>
      </w:r>
      <w:r>
        <w:rPr>
          <w:rFonts w:hint="eastAsia" w:ascii="黑体" w:hAnsi="黑体" w:eastAsia="黑体" w:cs="黑体"/>
          <w:b/>
          <w:bCs/>
          <w:szCs w:val="28"/>
          <w:highlight w:val="none"/>
          <w:lang w:val="zh-CN"/>
        </w:rPr>
        <w:t>1. 评标方法</w:t>
      </w:r>
      <w:r>
        <w:rPr>
          <w:rFonts w:hint="eastAsia" w:ascii="黑体" w:hAnsi="黑体" w:eastAsia="黑体" w:cs="黑体"/>
          <w:b/>
          <w:bCs/>
        </w:rPr>
        <w:tab/>
      </w:r>
      <w:r>
        <w:rPr>
          <w:rFonts w:hint="eastAsia" w:ascii="黑体" w:hAnsi="黑体" w:eastAsia="黑体" w:cs="黑体"/>
          <w:b/>
          <w:bCs/>
        </w:rPr>
        <w:fldChar w:fldCharType="begin"/>
      </w:r>
      <w:r>
        <w:rPr>
          <w:rFonts w:hint="eastAsia" w:ascii="黑体" w:hAnsi="黑体" w:eastAsia="黑体" w:cs="黑体"/>
          <w:b/>
          <w:bCs/>
        </w:rPr>
        <w:instrText xml:space="preserve"> PAGEREF _Toc24398 \h </w:instrText>
      </w:r>
      <w:r>
        <w:rPr>
          <w:rFonts w:hint="eastAsia" w:ascii="黑体" w:hAnsi="黑体" w:eastAsia="黑体" w:cs="黑体"/>
          <w:b/>
          <w:bCs/>
        </w:rPr>
        <w:fldChar w:fldCharType="separate"/>
      </w:r>
      <w:r>
        <w:rPr>
          <w:rFonts w:hint="eastAsia" w:ascii="黑体" w:hAnsi="黑体" w:eastAsia="黑体" w:cs="黑体"/>
          <w:b/>
          <w:bCs/>
        </w:rPr>
        <w:t>67</w:t>
      </w:r>
      <w:r>
        <w:rPr>
          <w:rFonts w:hint="eastAsia" w:ascii="黑体" w:hAnsi="黑体" w:eastAsia="黑体" w:cs="黑体"/>
          <w:b/>
          <w:bCs/>
        </w:rPr>
        <w:fldChar w:fldCharType="end"/>
      </w:r>
      <w:r>
        <w:rPr>
          <w:rFonts w:hint="eastAsia" w:ascii="黑体" w:hAnsi="黑体" w:eastAsia="黑体" w:cs="黑体"/>
          <w:b/>
          <w:bCs/>
          <w:color w:val="auto"/>
          <w:highlight w:val="none"/>
        </w:rPr>
        <w:fldChar w:fldCharType="end"/>
      </w:r>
    </w:p>
    <w:p w14:paraId="6F9A4295">
      <w:pPr>
        <w:pStyle w:val="15"/>
        <w:tabs>
          <w:tab w:val="right" w:leader="dot" w:pos="9381"/>
        </w:tabs>
        <w:rPr>
          <w:rFonts w:hint="eastAsia" w:ascii="黑体" w:hAnsi="黑体" w:eastAsia="黑体" w:cs="黑体"/>
          <w:b/>
          <w:bCs/>
        </w:rPr>
      </w:pPr>
      <w:r>
        <w:rPr>
          <w:rFonts w:hint="eastAsia" w:ascii="黑体" w:hAnsi="黑体" w:eastAsia="黑体" w:cs="黑体"/>
          <w:b/>
          <w:bCs/>
          <w:color w:val="auto"/>
          <w:highlight w:val="none"/>
        </w:rPr>
        <w:fldChar w:fldCharType="begin"/>
      </w:r>
      <w:r>
        <w:rPr>
          <w:rFonts w:hint="eastAsia" w:ascii="黑体" w:hAnsi="黑体" w:eastAsia="黑体" w:cs="黑体"/>
          <w:b/>
          <w:bCs/>
          <w:highlight w:val="none"/>
        </w:rPr>
        <w:instrText xml:space="preserve"> HYPERLINK \l _Toc29804 </w:instrText>
      </w:r>
      <w:r>
        <w:rPr>
          <w:rFonts w:hint="eastAsia" w:ascii="黑体" w:hAnsi="黑体" w:eastAsia="黑体" w:cs="黑体"/>
          <w:b/>
          <w:bCs/>
          <w:highlight w:val="none"/>
        </w:rPr>
        <w:fldChar w:fldCharType="separate"/>
      </w:r>
      <w:r>
        <w:rPr>
          <w:rFonts w:hint="eastAsia" w:ascii="黑体" w:hAnsi="黑体" w:eastAsia="黑体" w:cs="黑体"/>
          <w:b/>
          <w:bCs/>
          <w:szCs w:val="28"/>
          <w:highlight w:val="none"/>
          <w:lang w:val="zh-CN"/>
        </w:rPr>
        <w:t>2. 评标标准</w:t>
      </w:r>
      <w:r>
        <w:rPr>
          <w:rFonts w:hint="eastAsia" w:ascii="黑体" w:hAnsi="黑体" w:eastAsia="黑体" w:cs="黑体"/>
          <w:b/>
          <w:bCs/>
        </w:rPr>
        <w:tab/>
      </w:r>
      <w:r>
        <w:rPr>
          <w:rFonts w:hint="eastAsia" w:ascii="黑体" w:hAnsi="黑体" w:eastAsia="黑体" w:cs="黑体"/>
          <w:b/>
          <w:bCs/>
        </w:rPr>
        <w:fldChar w:fldCharType="begin"/>
      </w:r>
      <w:r>
        <w:rPr>
          <w:rFonts w:hint="eastAsia" w:ascii="黑体" w:hAnsi="黑体" w:eastAsia="黑体" w:cs="黑体"/>
          <w:b/>
          <w:bCs/>
        </w:rPr>
        <w:instrText xml:space="preserve"> PAGEREF _Toc29804 \h </w:instrText>
      </w:r>
      <w:r>
        <w:rPr>
          <w:rFonts w:hint="eastAsia" w:ascii="黑体" w:hAnsi="黑体" w:eastAsia="黑体" w:cs="黑体"/>
          <w:b/>
          <w:bCs/>
        </w:rPr>
        <w:fldChar w:fldCharType="separate"/>
      </w:r>
      <w:r>
        <w:rPr>
          <w:rFonts w:hint="eastAsia" w:ascii="黑体" w:hAnsi="黑体" w:eastAsia="黑体" w:cs="黑体"/>
          <w:b/>
          <w:bCs/>
        </w:rPr>
        <w:t>67</w:t>
      </w:r>
      <w:r>
        <w:rPr>
          <w:rFonts w:hint="eastAsia" w:ascii="黑体" w:hAnsi="黑体" w:eastAsia="黑体" w:cs="黑体"/>
          <w:b/>
          <w:bCs/>
        </w:rPr>
        <w:fldChar w:fldCharType="end"/>
      </w:r>
      <w:r>
        <w:rPr>
          <w:rFonts w:hint="eastAsia" w:ascii="黑体" w:hAnsi="黑体" w:eastAsia="黑体" w:cs="黑体"/>
          <w:b/>
          <w:bCs/>
          <w:color w:val="auto"/>
          <w:highlight w:val="none"/>
        </w:rPr>
        <w:fldChar w:fldCharType="end"/>
      </w:r>
    </w:p>
    <w:p w14:paraId="40D25DB8">
      <w:pPr>
        <w:pStyle w:val="15"/>
        <w:tabs>
          <w:tab w:val="right" w:leader="dot" w:pos="9381"/>
        </w:tabs>
        <w:rPr>
          <w:rFonts w:hint="eastAsia" w:ascii="黑体" w:hAnsi="黑体" w:eastAsia="黑体" w:cs="黑体"/>
          <w:b/>
          <w:bCs/>
        </w:rPr>
      </w:pPr>
      <w:r>
        <w:rPr>
          <w:rFonts w:hint="eastAsia" w:ascii="黑体" w:hAnsi="黑体" w:eastAsia="黑体" w:cs="黑体"/>
          <w:b/>
          <w:bCs/>
          <w:color w:val="auto"/>
          <w:highlight w:val="none"/>
        </w:rPr>
        <w:fldChar w:fldCharType="begin"/>
      </w:r>
      <w:r>
        <w:rPr>
          <w:rFonts w:hint="eastAsia" w:ascii="黑体" w:hAnsi="黑体" w:eastAsia="黑体" w:cs="黑体"/>
          <w:b/>
          <w:bCs/>
          <w:highlight w:val="none"/>
        </w:rPr>
        <w:instrText xml:space="preserve"> HYPERLINK \l _Toc18523 </w:instrText>
      </w:r>
      <w:r>
        <w:rPr>
          <w:rFonts w:hint="eastAsia" w:ascii="黑体" w:hAnsi="黑体" w:eastAsia="黑体" w:cs="黑体"/>
          <w:b/>
          <w:bCs/>
          <w:highlight w:val="none"/>
        </w:rPr>
        <w:fldChar w:fldCharType="separate"/>
      </w:r>
      <w:r>
        <w:rPr>
          <w:rFonts w:hint="eastAsia" w:ascii="黑体" w:hAnsi="黑体" w:eastAsia="黑体" w:cs="黑体"/>
          <w:b/>
          <w:bCs/>
          <w:szCs w:val="28"/>
          <w:highlight w:val="none"/>
          <w:lang w:val="zh-CN"/>
        </w:rPr>
        <w:t>3. 评标程序</w:t>
      </w:r>
      <w:r>
        <w:rPr>
          <w:rFonts w:hint="eastAsia" w:ascii="黑体" w:hAnsi="黑体" w:eastAsia="黑体" w:cs="黑体"/>
          <w:b/>
          <w:bCs/>
        </w:rPr>
        <w:tab/>
      </w:r>
      <w:r>
        <w:rPr>
          <w:rFonts w:hint="eastAsia" w:ascii="黑体" w:hAnsi="黑体" w:eastAsia="黑体" w:cs="黑体"/>
          <w:b/>
          <w:bCs/>
        </w:rPr>
        <w:fldChar w:fldCharType="begin"/>
      </w:r>
      <w:r>
        <w:rPr>
          <w:rFonts w:hint="eastAsia" w:ascii="黑体" w:hAnsi="黑体" w:eastAsia="黑体" w:cs="黑体"/>
          <w:b/>
          <w:bCs/>
        </w:rPr>
        <w:instrText xml:space="preserve"> PAGEREF _Toc18523 \h </w:instrText>
      </w:r>
      <w:r>
        <w:rPr>
          <w:rFonts w:hint="eastAsia" w:ascii="黑体" w:hAnsi="黑体" w:eastAsia="黑体" w:cs="黑体"/>
          <w:b/>
          <w:bCs/>
        </w:rPr>
        <w:fldChar w:fldCharType="separate"/>
      </w:r>
      <w:r>
        <w:rPr>
          <w:rFonts w:hint="eastAsia" w:ascii="黑体" w:hAnsi="黑体" w:eastAsia="黑体" w:cs="黑体"/>
          <w:b/>
          <w:bCs/>
        </w:rPr>
        <w:t>67</w:t>
      </w:r>
      <w:r>
        <w:rPr>
          <w:rFonts w:hint="eastAsia" w:ascii="黑体" w:hAnsi="黑体" w:eastAsia="黑体" w:cs="黑体"/>
          <w:b/>
          <w:bCs/>
        </w:rPr>
        <w:fldChar w:fldCharType="end"/>
      </w:r>
      <w:r>
        <w:rPr>
          <w:rFonts w:hint="eastAsia" w:ascii="黑体" w:hAnsi="黑体" w:eastAsia="黑体" w:cs="黑体"/>
          <w:b/>
          <w:bCs/>
          <w:color w:val="auto"/>
          <w:highlight w:val="none"/>
        </w:rPr>
        <w:fldChar w:fldCharType="end"/>
      </w:r>
    </w:p>
    <w:p w14:paraId="6E5C4A1C">
      <w:pPr>
        <w:pStyle w:val="15"/>
        <w:tabs>
          <w:tab w:val="right" w:leader="dot" w:pos="9381"/>
        </w:tabs>
        <w:rPr>
          <w:rFonts w:hint="eastAsia" w:ascii="黑体" w:hAnsi="黑体" w:eastAsia="黑体" w:cs="黑体"/>
          <w:b/>
          <w:bCs/>
        </w:rPr>
      </w:pPr>
      <w:r>
        <w:rPr>
          <w:rFonts w:hint="eastAsia" w:ascii="黑体" w:hAnsi="黑体" w:eastAsia="黑体" w:cs="黑体"/>
          <w:b/>
          <w:bCs/>
          <w:color w:val="auto"/>
          <w:highlight w:val="none"/>
        </w:rPr>
        <w:fldChar w:fldCharType="begin"/>
      </w:r>
      <w:r>
        <w:rPr>
          <w:rFonts w:hint="eastAsia" w:ascii="黑体" w:hAnsi="黑体" w:eastAsia="黑体" w:cs="黑体"/>
          <w:b/>
          <w:bCs/>
          <w:highlight w:val="none"/>
        </w:rPr>
        <w:instrText xml:space="preserve"> HYPERLINK \l _Toc1635 </w:instrText>
      </w:r>
      <w:r>
        <w:rPr>
          <w:rFonts w:hint="eastAsia" w:ascii="黑体" w:hAnsi="黑体" w:eastAsia="黑体" w:cs="黑体"/>
          <w:b/>
          <w:bCs/>
          <w:highlight w:val="none"/>
        </w:rPr>
        <w:fldChar w:fldCharType="separate"/>
      </w:r>
      <w:r>
        <w:rPr>
          <w:rFonts w:hint="eastAsia" w:ascii="黑体" w:hAnsi="黑体" w:eastAsia="黑体" w:cs="黑体"/>
          <w:b/>
          <w:bCs/>
          <w:szCs w:val="28"/>
          <w:highlight w:val="none"/>
          <w:lang w:val="zh-CN"/>
        </w:rPr>
        <w:t>4. 政府采购促进中小企业发展扶持政策</w:t>
      </w:r>
      <w:r>
        <w:rPr>
          <w:rFonts w:hint="eastAsia" w:ascii="黑体" w:hAnsi="黑体" w:eastAsia="黑体" w:cs="黑体"/>
          <w:b/>
          <w:bCs/>
        </w:rPr>
        <w:tab/>
      </w:r>
      <w:r>
        <w:rPr>
          <w:rFonts w:hint="eastAsia" w:ascii="黑体" w:hAnsi="黑体" w:eastAsia="黑体" w:cs="黑体"/>
          <w:b/>
          <w:bCs/>
        </w:rPr>
        <w:fldChar w:fldCharType="begin"/>
      </w:r>
      <w:r>
        <w:rPr>
          <w:rFonts w:hint="eastAsia" w:ascii="黑体" w:hAnsi="黑体" w:eastAsia="黑体" w:cs="黑体"/>
          <w:b/>
          <w:bCs/>
        </w:rPr>
        <w:instrText xml:space="preserve"> PAGEREF _Toc1635 \h </w:instrText>
      </w:r>
      <w:r>
        <w:rPr>
          <w:rFonts w:hint="eastAsia" w:ascii="黑体" w:hAnsi="黑体" w:eastAsia="黑体" w:cs="黑体"/>
          <w:b/>
          <w:bCs/>
        </w:rPr>
        <w:fldChar w:fldCharType="separate"/>
      </w:r>
      <w:r>
        <w:rPr>
          <w:rFonts w:hint="eastAsia" w:ascii="黑体" w:hAnsi="黑体" w:eastAsia="黑体" w:cs="黑体"/>
          <w:b/>
          <w:bCs/>
        </w:rPr>
        <w:t>71</w:t>
      </w:r>
      <w:r>
        <w:rPr>
          <w:rFonts w:hint="eastAsia" w:ascii="黑体" w:hAnsi="黑体" w:eastAsia="黑体" w:cs="黑体"/>
          <w:b/>
          <w:bCs/>
        </w:rPr>
        <w:fldChar w:fldCharType="end"/>
      </w:r>
      <w:r>
        <w:rPr>
          <w:rFonts w:hint="eastAsia" w:ascii="黑体" w:hAnsi="黑体" w:eastAsia="黑体" w:cs="黑体"/>
          <w:b/>
          <w:bCs/>
          <w:color w:val="auto"/>
          <w:highlight w:val="none"/>
        </w:rPr>
        <w:fldChar w:fldCharType="end"/>
      </w:r>
    </w:p>
    <w:p w14:paraId="3B58F244">
      <w:pPr>
        <w:pStyle w:val="13"/>
        <w:tabs>
          <w:tab w:val="right" w:leader="dot" w:pos="9381"/>
        </w:tabs>
        <w:rPr>
          <w:rFonts w:hint="eastAsia" w:ascii="黑体" w:hAnsi="黑体" w:eastAsia="黑体" w:cs="黑体"/>
          <w:b/>
          <w:bCs/>
        </w:rPr>
      </w:pPr>
      <w:r>
        <w:rPr>
          <w:rFonts w:hint="eastAsia" w:ascii="黑体" w:hAnsi="黑体" w:eastAsia="黑体" w:cs="黑体"/>
          <w:b/>
          <w:bCs/>
          <w:color w:val="auto"/>
          <w:highlight w:val="none"/>
        </w:rPr>
        <w:fldChar w:fldCharType="begin"/>
      </w:r>
      <w:r>
        <w:rPr>
          <w:rFonts w:hint="eastAsia" w:ascii="黑体" w:hAnsi="黑体" w:eastAsia="黑体" w:cs="黑体"/>
          <w:b/>
          <w:bCs/>
          <w:highlight w:val="none"/>
        </w:rPr>
        <w:instrText xml:space="preserve"> HYPERLINK \l _Toc960 </w:instrText>
      </w:r>
      <w:r>
        <w:rPr>
          <w:rFonts w:hint="eastAsia" w:ascii="黑体" w:hAnsi="黑体" w:eastAsia="黑体" w:cs="黑体"/>
          <w:b/>
          <w:bCs/>
          <w:highlight w:val="none"/>
        </w:rPr>
        <w:fldChar w:fldCharType="separate"/>
      </w:r>
      <w:r>
        <w:rPr>
          <w:rFonts w:hint="eastAsia" w:ascii="黑体" w:hAnsi="黑体" w:eastAsia="黑体" w:cs="黑体"/>
          <w:b/>
          <w:bCs/>
          <w:szCs w:val="36"/>
          <w:highlight w:val="none"/>
        </w:rPr>
        <w:t>第五章  合同主要条款</w:t>
      </w:r>
      <w:r>
        <w:rPr>
          <w:rFonts w:hint="eastAsia" w:ascii="黑体" w:hAnsi="黑体" w:eastAsia="黑体" w:cs="黑体"/>
          <w:b/>
          <w:bCs/>
        </w:rPr>
        <w:tab/>
      </w:r>
      <w:r>
        <w:rPr>
          <w:rFonts w:hint="eastAsia" w:ascii="黑体" w:hAnsi="黑体" w:eastAsia="黑体" w:cs="黑体"/>
          <w:b/>
          <w:bCs/>
        </w:rPr>
        <w:fldChar w:fldCharType="begin"/>
      </w:r>
      <w:r>
        <w:rPr>
          <w:rFonts w:hint="eastAsia" w:ascii="黑体" w:hAnsi="黑体" w:eastAsia="黑体" w:cs="黑体"/>
          <w:b/>
          <w:bCs/>
        </w:rPr>
        <w:instrText xml:space="preserve"> PAGEREF _Toc960 \h </w:instrText>
      </w:r>
      <w:r>
        <w:rPr>
          <w:rFonts w:hint="eastAsia" w:ascii="黑体" w:hAnsi="黑体" w:eastAsia="黑体" w:cs="黑体"/>
          <w:b/>
          <w:bCs/>
        </w:rPr>
        <w:fldChar w:fldCharType="separate"/>
      </w:r>
      <w:r>
        <w:rPr>
          <w:rFonts w:hint="eastAsia" w:ascii="黑体" w:hAnsi="黑体" w:eastAsia="黑体" w:cs="黑体"/>
          <w:b/>
          <w:bCs/>
        </w:rPr>
        <w:t>75</w:t>
      </w:r>
      <w:r>
        <w:rPr>
          <w:rFonts w:hint="eastAsia" w:ascii="黑体" w:hAnsi="黑体" w:eastAsia="黑体" w:cs="黑体"/>
          <w:b/>
          <w:bCs/>
        </w:rPr>
        <w:fldChar w:fldCharType="end"/>
      </w:r>
      <w:r>
        <w:rPr>
          <w:rFonts w:hint="eastAsia" w:ascii="黑体" w:hAnsi="黑体" w:eastAsia="黑体" w:cs="黑体"/>
          <w:b/>
          <w:bCs/>
          <w:color w:val="auto"/>
          <w:highlight w:val="none"/>
        </w:rPr>
        <w:fldChar w:fldCharType="end"/>
      </w:r>
    </w:p>
    <w:p w14:paraId="201811DD">
      <w:pPr>
        <w:pStyle w:val="13"/>
        <w:tabs>
          <w:tab w:val="right" w:leader="dot" w:pos="9381"/>
        </w:tabs>
      </w:pPr>
      <w:r>
        <w:rPr>
          <w:rFonts w:hint="eastAsia" w:ascii="黑体" w:hAnsi="黑体" w:eastAsia="黑体" w:cs="黑体"/>
          <w:b/>
          <w:bCs/>
          <w:color w:val="auto"/>
          <w:highlight w:val="none"/>
        </w:rPr>
        <w:fldChar w:fldCharType="begin"/>
      </w:r>
      <w:r>
        <w:rPr>
          <w:rFonts w:hint="eastAsia" w:ascii="黑体" w:hAnsi="黑体" w:eastAsia="黑体" w:cs="黑体"/>
          <w:b/>
          <w:bCs/>
          <w:highlight w:val="none"/>
        </w:rPr>
        <w:instrText xml:space="preserve"> HYPERLINK \l _Toc26757 </w:instrText>
      </w:r>
      <w:r>
        <w:rPr>
          <w:rFonts w:hint="eastAsia" w:ascii="黑体" w:hAnsi="黑体" w:eastAsia="黑体" w:cs="黑体"/>
          <w:b/>
          <w:bCs/>
          <w:highlight w:val="none"/>
        </w:rPr>
        <w:fldChar w:fldCharType="separate"/>
      </w:r>
      <w:r>
        <w:rPr>
          <w:rFonts w:hint="eastAsia" w:ascii="黑体" w:hAnsi="黑体" w:eastAsia="黑体" w:cs="黑体"/>
          <w:b/>
          <w:bCs/>
          <w:szCs w:val="36"/>
          <w:highlight w:val="none"/>
          <w:lang w:val="zh-CN"/>
        </w:rPr>
        <w:t>第六章  投标文件格式</w:t>
      </w:r>
      <w:r>
        <w:rPr>
          <w:rFonts w:hint="eastAsia" w:ascii="黑体" w:hAnsi="黑体" w:eastAsia="黑体" w:cs="黑体"/>
          <w:b/>
          <w:bCs/>
        </w:rPr>
        <w:tab/>
      </w:r>
      <w:r>
        <w:rPr>
          <w:rFonts w:hint="eastAsia" w:ascii="黑体" w:hAnsi="黑体" w:eastAsia="黑体" w:cs="黑体"/>
          <w:b/>
          <w:bCs/>
        </w:rPr>
        <w:fldChar w:fldCharType="begin"/>
      </w:r>
      <w:r>
        <w:rPr>
          <w:rFonts w:hint="eastAsia" w:ascii="黑体" w:hAnsi="黑体" w:eastAsia="黑体" w:cs="黑体"/>
          <w:b/>
          <w:bCs/>
        </w:rPr>
        <w:instrText xml:space="preserve"> PAGEREF _Toc26757 \h </w:instrText>
      </w:r>
      <w:r>
        <w:rPr>
          <w:rFonts w:hint="eastAsia" w:ascii="黑体" w:hAnsi="黑体" w:eastAsia="黑体" w:cs="黑体"/>
          <w:b/>
          <w:bCs/>
        </w:rPr>
        <w:fldChar w:fldCharType="separate"/>
      </w:r>
      <w:r>
        <w:rPr>
          <w:rFonts w:hint="eastAsia" w:ascii="黑体" w:hAnsi="黑体" w:eastAsia="黑体" w:cs="黑体"/>
          <w:b/>
          <w:bCs/>
        </w:rPr>
        <w:t>- 92 -</w:t>
      </w:r>
      <w:r>
        <w:rPr>
          <w:rFonts w:hint="eastAsia" w:ascii="黑体" w:hAnsi="黑体" w:eastAsia="黑体" w:cs="黑体"/>
          <w:b/>
          <w:bCs/>
        </w:rPr>
        <w:fldChar w:fldCharType="end"/>
      </w:r>
      <w:r>
        <w:rPr>
          <w:rFonts w:hint="eastAsia" w:ascii="黑体" w:hAnsi="黑体" w:eastAsia="黑体" w:cs="黑体"/>
          <w:b/>
          <w:bCs/>
          <w:color w:val="auto"/>
          <w:highlight w:val="none"/>
        </w:rPr>
        <w:fldChar w:fldCharType="end"/>
      </w:r>
    </w:p>
    <w:p w14:paraId="0690C9B7">
      <w:pPr>
        <w:pStyle w:val="59"/>
        <w:jc w:val="center"/>
        <w:rPr>
          <w:color w:val="auto"/>
          <w:highlight w:val="none"/>
        </w:rPr>
        <w:sectPr>
          <w:pgSz w:w="11905" w:h="16837"/>
          <w:pgMar w:top="1418" w:right="1106" w:bottom="1418" w:left="1418" w:header="567" w:footer="567" w:gutter="0"/>
          <w:pgNumType w:fmt="numberInDash" w:start="0"/>
          <w:cols w:space="720" w:num="1"/>
          <w:titlePg/>
        </w:sectPr>
      </w:pPr>
      <w:r>
        <w:rPr>
          <w:color w:val="auto"/>
          <w:highlight w:val="none"/>
        </w:rPr>
        <w:fldChar w:fldCharType="end"/>
      </w:r>
    </w:p>
    <w:p w14:paraId="65CD1D1A">
      <w:pPr>
        <w:widowControl w:val="0"/>
        <w:snapToGrid w:val="0"/>
        <w:spacing w:line="560" w:lineRule="exact"/>
        <w:jc w:val="center"/>
        <w:outlineLvl w:val="0"/>
        <w:rPr>
          <w:color w:val="auto"/>
          <w:sz w:val="36"/>
          <w:szCs w:val="36"/>
          <w:highlight w:val="none"/>
        </w:rPr>
      </w:pPr>
      <w:bookmarkStart w:id="0" w:name="_Toc21604"/>
      <w:r>
        <w:rPr>
          <w:rFonts w:hint="eastAsia" w:eastAsia="黑体"/>
          <w:b/>
          <w:color w:val="auto"/>
          <w:sz w:val="36"/>
          <w:szCs w:val="36"/>
          <w:highlight w:val="none"/>
        </w:rPr>
        <w:t>第一章</w:t>
      </w:r>
      <w:r>
        <w:rPr>
          <w:rFonts w:eastAsia="黑体"/>
          <w:b/>
          <w:color w:val="auto"/>
          <w:sz w:val="36"/>
          <w:szCs w:val="36"/>
          <w:highlight w:val="none"/>
        </w:rPr>
        <w:t xml:space="preserve">  </w:t>
      </w:r>
      <w:r>
        <w:rPr>
          <w:rFonts w:hint="eastAsia" w:eastAsia="黑体"/>
          <w:b/>
          <w:color w:val="auto"/>
          <w:sz w:val="36"/>
          <w:szCs w:val="36"/>
          <w:highlight w:val="none"/>
        </w:rPr>
        <w:t>招标公告</w:t>
      </w:r>
      <w:bookmarkEnd w:id="0"/>
    </w:p>
    <w:p w14:paraId="042CF5D8">
      <w:pPr>
        <w:widowControl w:val="0"/>
        <w:snapToGrid w:val="0"/>
        <w:spacing w:line="360" w:lineRule="auto"/>
        <w:ind w:firstLine="566"/>
        <w:rPr>
          <w:color w:val="auto"/>
          <w:sz w:val="28"/>
          <w:szCs w:val="28"/>
          <w:highlight w:val="none"/>
        </w:rPr>
      </w:pPr>
    </w:p>
    <w:p w14:paraId="0E8D240D">
      <w:pPr>
        <w:widowControl w:val="0"/>
        <w:adjustRightInd w:val="0"/>
        <w:snapToGrid w:val="0"/>
        <w:spacing w:line="360" w:lineRule="auto"/>
        <w:ind w:firstLine="632" w:firstLineChars="225"/>
        <w:jc w:val="left"/>
        <w:rPr>
          <w:rFonts w:ascii="黑体" w:hAnsi="黑体" w:eastAsia="黑体"/>
          <w:b/>
          <w:color w:val="auto"/>
          <w:sz w:val="28"/>
          <w:szCs w:val="28"/>
          <w:highlight w:val="none"/>
        </w:rPr>
      </w:pPr>
      <w:r>
        <w:rPr>
          <w:rFonts w:hint="eastAsia" w:ascii="黑体" w:hAnsi="黑体" w:eastAsia="黑体"/>
          <w:b/>
          <w:color w:val="auto"/>
          <w:sz w:val="28"/>
          <w:szCs w:val="28"/>
          <w:highlight w:val="none"/>
        </w:rPr>
        <w:t>1.项目基本情况</w:t>
      </w:r>
    </w:p>
    <w:p w14:paraId="1FD759C8">
      <w:pPr>
        <w:widowControl w:val="0"/>
        <w:adjustRightInd w:val="0"/>
        <w:snapToGrid w:val="0"/>
        <w:spacing w:line="360" w:lineRule="auto"/>
        <w:ind w:firstLine="540" w:firstLineChars="225"/>
        <w:jc w:val="left"/>
        <w:rPr>
          <w:rFonts w:ascii="宋体" w:hAnsi="宋体"/>
          <w:color w:val="auto"/>
          <w:sz w:val="24"/>
          <w:szCs w:val="24"/>
          <w:highlight w:val="none"/>
        </w:rPr>
      </w:pPr>
      <w:r>
        <w:rPr>
          <w:rFonts w:ascii="宋体" w:hAnsi="宋体"/>
          <w:color w:val="auto"/>
          <w:sz w:val="24"/>
          <w:szCs w:val="24"/>
          <w:highlight w:val="none"/>
        </w:rPr>
        <w:t>1.1</w:t>
      </w:r>
      <w:r>
        <w:rPr>
          <w:rFonts w:hint="eastAsia" w:ascii="宋体" w:hAnsi="宋体"/>
          <w:color w:val="auto"/>
          <w:sz w:val="24"/>
          <w:szCs w:val="24"/>
          <w:highlight w:val="none"/>
        </w:rPr>
        <w:t>项目编号：安财招标采购-2025-48</w:t>
      </w:r>
    </w:p>
    <w:p w14:paraId="57FE04DB">
      <w:pPr>
        <w:widowControl w:val="0"/>
        <w:adjustRightInd w:val="0"/>
        <w:snapToGrid w:val="0"/>
        <w:spacing w:line="360" w:lineRule="auto"/>
        <w:ind w:firstLine="540" w:firstLineChars="225"/>
        <w:jc w:val="left"/>
        <w:rPr>
          <w:rFonts w:ascii="宋体" w:hAnsi="宋体"/>
          <w:color w:val="auto"/>
          <w:sz w:val="24"/>
          <w:szCs w:val="24"/>
          <w:highlight w:val="none"/>
        </w:rPr>
      </w:pPr>
      <w:r>
        <w:rPr>
          <w:rFonts w:ascii="宋体" w:hAnsi="宋体"/>
          <w:color w:val="auto"/>
          <w:sz w:val="24"/>
          <w:szCs w:val="24"/>
          <w:highlight w:val="none"/>
        </w:rPr>
        <w:t>1.2</w:t>
      </w:r>
      <w:r>
        <w:rPr>
          <w:rFonts w:hint="eastAsia" w:ascii="宋体" w:hAnsi="宋体"/>
          <w:color w:val="auto"/>
          <w:sz w:val="24"/>
          <w:szCs w:val="24"/>
          <w:highlight w:val="none"/>
        </w:rPr>
        <w:t>项目名称：安阳市融媒体中心演播大厅改造（一期）项目</w:t>
      </w:r>
    </w:p>
    <w:p w14:paraId="3CA6C18C">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1.3 采购方式：公开招标</w:t>
      </w:r>
    </w:p>
    <w:p w14:paraId="6783A7EA">
      <w:pPr>
        <w:widowControl w:val="0"/>
        <w:adjustRightInd w:val="0"/>
        <w:snapToGrid w:val="0"/>
        <w:spacing w:line="360" w:lineRule="auto"/>
        <w:ind w:firstLine="540" w:firstLineChars="225"/>
        <w:jc w:val="left"/>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4 预算金额：1480369.67元</w:t>
      </w:r>
      <w:r>
        <w:rPr>
          <w:rFonts w:ascii="宋体" w:hAnsi="宋体"/>
          <w:color w:val="auto"/>
          <w:sz w:val="24"/>
          <w:szCs w:val="24"/>
          <w:highlight w:val="none"/>
        </w:rPr>
        <w:t xml:space="preserve"> </w:t>
      </w:r>
    </w:p>
    <w:tbl>
      <w:tblPr>
        <w:tblStyle w:val="20"/>
        <w:tblW w:w="4850"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28"/>
        <w:gridCol w:w="708"/>
        <w:gridCol w:w="4116"/>
        <w:gridCol w:w="1282"/>
        <w:gridCol w:w="1710"/>
      </w:tblGrid>
      <w:tr w14:paraId="6B02B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 w:hRule="atLeast"/>
          <w:tblCellSpacing w:w="0" w:type="dxa"/>
          <w:jc w:val="center"/>
        </w:trPr>
        <w:tc>
          <w:tcPr>
            <w:tcW w:w="426" w:type="pct"/>
            <w:vAlign w:val="center"/>
          </w:tcPr>
          <w:p w14:paraId="31FC3520">
            <w:pPr>
              <w:spacing w:line="240" w:lineRule="auto"/>
              <w:jc w:val="center"/>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序号</w:t>
            </w:r>
          </w:p>
        </w:tc>
        <w:tc>
          <w:tcPr>
            <w:tcW w:w="414" w:type="pct"/>
            <w:vAlign w:val="center"/>
          </w:tcPr>
          <w:p w14:paraId="29817799">
            <w:pPr>
              <w:spacing w:line="240" w:lineRule="auto"/>
              <w:jc w:val="center"/>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包号</w:t>
            </w:r>
          </w:p>
        </w:tc>
        <w:tc>
          <w:tcPr>
            <w:tcW w:w="2408" w:type="pct"/>
            <w:vAlign w:val="center"/>
          </w:tcPr>
          <w:p w14:paraId="69E1D15D">
            <w:pPr>
              <w:spacing w:line="240" w:lineRule="auto"/>
              <w:jc w:val="center"/>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包名称</w:t>
            </w:r>
          </w:p>
        </w:tc>
        <w:tc>
          <w:tcPr>
            <w:tcW w:w="750" w:type="pct"/>
            <w:vAlign w:val="center"/>
          </w:tcPr>
          <w:p w14:paraId="617958FE">
            <w:pPr>
              <w:spacing w:line="240" w:lineRule="auto"/>
              <w:jc w:val="center"/>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包预算（元）</w:t>
            </w:r>
          </w:p>
        </w:tc>
        <w:tc>
          <w:tcPr>
            <w:tcW w:w="1000" w:type="pct"/>
            <w:vAlign w:val="center"/>
          </w:tcPr>
          <w:p w14:paraId="2799BCAD">
            <w:pPr>
              <w:spacing w:line="240" w:lineRule="auto"/>
              <w:jc w:val="center"/>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包最高限价（元）</w:t>
            </w:r>
          </w:p>
        </w:tc>
      </w:tr>
      <w:tr w14:paraId="7EBF8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tblCellSpacing w:w="0" w:type="dxa"/>
          <w:jc w:val="center"/>
        </w:trPr>
        <w:tc>
          <w:tcPr>
            <w:tcW w:w="426" w:type="pct"/>
            <w:vAlign w:val="center"/>
          </w:tcPr>
          <w:p w14:paraId="0AF4183B">
            <w:pPr>
              <w:spacing w:line="240" w:lineRule="auto"/>
              <w:jc w:val="center"/>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w:t>
            </w:r>
          </w:p>
        </w:tc>
        <w:tc>
          <w:tcPr>
            <w:tcW w:w="414" w:type="pct"/>
            <w:vAlign w:val="center"/>
          </w:tcPr>
          <w:p w14:paraId="4E925D80">
            <w:pPr>
              <w:spacing w:line="240" w:lineRule="auto"/>
              <w:jc w:val="center"/>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w:t>
            </w:r>
          </w:p>
        </w:tc>
        <w:tc>
          <w:tcPr>
            <w:tcW w:w="2408" w:type="pct"/>
            <w:vAlign w:val="center"/>
          </w:tcPr>
          <w:p w14:paraId="2A0B30A4">
            <w:pPr>
              <w:spacing w:line="240" w:lineRule="auto"/>
              <w:jc w:val="center"/>
              <w:textAlignment w:val="auto"/>
              <w:rPr>
                <w:rFonts w:cs="宋体"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安阳市融媒体中心演播大厅改造（一期）项目（包</w:t>
            </w:r>
            <w:r>
              <w:rPr>
                <w:rFonts w:hint="eastAsia" w:asciiTheme="minorEastAsia" w:hAnsiTheme="minorEastAsia" w:eastAsiaTheme="minorEastAsia"/>
                <w:color w:val="auto"/>
                <w:sz w:val="24"/>
                <w:szCs w:val="24"/>
                <w:highlight w:val="none"/>
                <w:lang w:val="en-US" w:eastAsia="zh-CN"/>
              </w:rPr>
              <w:t>1</w:t>
            </w:r>
            <w:r>
              <w:rPr>
                <w:rFonts w:hint="eastAsia" w:asciiTheme="minorEastAsia" w:hAnsiTheme="minorEastAsia" w:eastAsiaTheme="minorEastAsia"/>
                <w:color w:val="auto"/>
                <w:sz w:val="24"/>
                <w:szCs w:val="24"/>
                <w:highlight w:val="none"/>
              </w:rPr>
              <w:t>）</w:t>
            </w:r>
          </w:p>
        </w:tc>
        <w:tc>
          <w:tcPr>
            <w:tcW w:w="750" w:type="pct"/>
            <w:vAlign w:val="center"/>
          </w:tcPr>
          <w:p w14:paraId="247F9A34">
            <w:pPr>
              <w:spacing w:line="240" w:lineRule="auto"/>
              <w:jc w:val="center"/>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1412369.67</w:t>
            </w:r>
          </w:p>
        </w:tc>
        <w:tc>
          <w:tcPr>
            <w:tcW w:w="1000" w:type="pct"/>
            <w:vAlign w:val="center"/>
          </w:tcPr>
          <w:p w14:paraId="0D74C376">
            <w:pPr>
              <w:spacing w:line="240" w:lineRule="auto"/>
              <w:jc w:val="center"/>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1412369.67‬</w:t>
            </w:r>
          </w:p>
        </w:tc>
      </w:tr>
      <w:tr w14:paraId="41CAD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tblCellSpacing w:w="0" w:type="dxa"/>
          <w:jc w:val="center"/>
        </w:trPr>
        <w:tc>
          <w:tcPr>
            <w:tcW w:w="426" w:type="pct"/>
            <w:vAlign w:val="center"/>
          </w:tcPr>
          <w:p w14:paraId="2159AFAF">
            <w:pPr>
              <w:spacing w:line="240" w:lineRule="auto"/>
              <w:jc w:val="center"/>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w:t>
            </w:r>
          </w:p>
        </w:tc>
        <w:tc>
          <w:tcPr>
            <w:tcW w:w="414" w:type="pct"/>
            <w:vAlign w:val="center"/>
          </w:tcPr>
          <w:p w14:paraId="7C4AB5CD">
            <w:pPr>
              <w:spacing w:line="240" w:lineRule="auto"/>
              <w:jc w:val="center"/>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w:t>
            </w:r>
          </w:p>
        </w:tc>
        <w:tc>
          <w:tcPr>
            <w:tcW w:w="2408" w:type="pct"/>
            <w:vAlign w:val="center"/>
          </w:tcPr>
          <w:p w14:paraId="404AE2AA">
            <w:pPr>
              <w:spacing w:line="240"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安阳市融媒体中心演播大厅改造（一期）项目（包2）</w:t>
            </w:r>
          </w:p>
        </w:tc>
        <w:tc>
          <w:tcPr>
            <w:tcW w:w="750" w:type="pct"/>
            <w:vAlign w:val="center"/>
          </w:tcPr>
          <w:p w14:paraId="55903710">
            <w:pPr>
              <w:spacing w:line="240"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68000</w:t>
            </w:r>
          </w:p>
        </w:tc>
        <w:tc>
          <w:tcPr>
            <w:tcW w:w="1000" w:type="pct"/>
            <w:vAlign w:val="center"/>
          </w:tcPr>
          <w:p w14:paraId="4A5DD30F">
            <w:pPr>
              <w:spacing w:line="240"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68000</w:t>
            </w:r>
          </w:p>
        </w:tc>
      </w:tr>
    </w:tbl>
    <w:p w14:paraId="06B0B5CC">
      <w:pPr>
        <w:adjustRightInd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1.5采购需求（详见法定媒体公告附件）：</w:t>
      </w:r>
    </w:p>
    <w:p w14:paraId="7BFF0456">
      <w:pPr>
        <w:adjustRightInd w:val="0"/>
        <w:snapToGrid w:val="0"/>
        <w:spacing w:line="360" w:lineRule="auto"/>
        <w:ind w:firstLine="540" w:firstLineChars="225"/>
        <w:rPr>
          <w:color w:val="auto"/>
          <w:sz w:val="24"/>
          <w:szCs w:val="24"/>
          <w:highlight w:val="none"/>
        </w:rPr>
      </w:pPr>
      <w:r>
        <w:rPr>
          <w:rFonts w:hint="eastAsia" w:ascii="宋体" w:hAnsi="宋体"/>
          <w:color w:val="auto"/>
          <w:sz w:val="24"/>
          <w:szCs w:val="24"/>
          <w:highlight w:val="none"/>
        </w:rPr>
        <w:t>包</w:t>
      </w:r>
      <w:r>
        <w:rPr>
          <w:rFonts w:ascii="宋体" w:hAnsi="宋体"/>
          <w:color w:val="auto"/>
          <w:sz w:val="24"/>
          <w:szCs w:val="24"/>
          <w:highlight w:val="none"/>
        </w:rPr>
        <w:t>1</w:t>
      </w:r>
      <w:r>
        <w:rPr>
          <w:rFonts w:hint="eastAsia" w:ascii="宋体" w:hAnsi="宋体"/>
          <w:color w:val="auto"/>
          <w:sz w:val="24"/>
          <w:szCs w:val="24"/>
          <w:highlight w:val="none"/>
        </w:rPr>
        <w:t>：</w:t>
      </w:r>
      <w:r>
        <w:rPr>
          <w:rFonts w:hint="eastAsia" w:ascii="宋体" w:hAnsi="宋体" w:cs="宋体"/>
          <w:color w:val="auto"/>
          <w:sz w:val="24"/>
          <w:szCs w:val="24"/>
          <w:highlight w:val="none"/>
          <w:lang w:bidi="ar"/>
        </w:rPr>
        <w:t>无风机LED数字三动作聚光灯 40台、无风机LED电动变焦聚光灯 8台</w:t>
      </w:r>
      <w:r>
        <w:rPr>
          <w:rFonts w:hint="eastAsia" w:ascii="宋体" w:hAnsi="宋体"/>
          <w:color w:val="auto"/>
          <w:sz w:val="24"/>
          <w:szCs w:val="24"/>
          <w:highlight w:val="none"/>
        </w:rPr>
        <w:t>等。</w:t>
      </w:r>
    </w:p>
    <w:p w14:paraId="63114FB1">
      <w:pPr>
        <w:adjustRightInd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包</w:t>
      </w:r>
      <w:r>
        <w:rPr>
          <w:rFonts w:ascii="宋体" w:hAnsi="宋体"/>
          <w:color w:val="auto"/>
          <w:sz w:val="24"/>
          <w:szCs w:val="24"/>
          <w:highlight w:val="none"/>
        </w:rPr>
        <w:t>2</w:t>
      </w:r>
      <w:r>
        <w:rPr>
          <w:rFonts w:hint="eastAsia" w:ascii="宋体" w:hAnsi="宋体"/>
          <w:color w:val="auto"/>
          <w:sz w:val="24"/>
          <w:szCs w:val="24"/>
          <w:highlight w:val="none"/>
        </w:rPr>
        <w:t>：消防改造。</w:t>
      </w:r>
    </w:p>
    <w:p w14:paraId="7EF31602">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1.6合同履行期限：</w:t>
      </w:r>
    </w:p>
    <w:p w14:paraId="26FC5F6A">
      <w:pPr>
        <w:widowControl w:val="0"/>
        <w:adjustRightInd w:val="0"/>
        <w:snapToGrid w:val="0"/>
        <w:spacing w:line="360" w:lineRule="auto"/>
        <w:ind w:firstLine="1020" w:firstLineChars="425"/>
        <w:jc w:val="left"/>
        <w:rPr>
          <w:rFonts w:ascii="宋体" w:hAnsi="宋体"/>
          <w:color w:val="auto"/>
          <w:sz w:val="24"/>
          <w:szCs w:val="24"/>
          <w:highlight w:val="none"/>
        </w:rPr>
      </w:pPr>
      <w:r>
        <w:rPr>
          <w:rFonts w:hint="eastAsia" w:ascii="宋体" w:hAnsi="宋体"/>
          <w:color w:val="auto"/>
          <w:sz w:val="24"/>
          <w:szCs w:val="24"/>
          <w:highlight w:val="none"/>
        </w:rPr>
        <w:t>包1：合同签订日起</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0日内</w:t>
      </w:r>
    </w:p>
    <w:p w14:paraId="61AD18DE">
      <w:pPr>
        <w:widowControl w:val="0"/>
        <w:adjustRightInd w:val="0"/>
        <w:snapToGrid w:val="0"/>
        <w:spacing w:line="360" w:lineRule="auto"/>
        <w:ind w:firstLine="1020" w:firstLineChars="425"/>
        <w:jc w:val="left"/>
        <w:rPr>
          <w:rFonts w:ascii="宋体" w:hAnsi="宋体"/>
          <w:color w:val="auto"/>
          <w:sz w:val="24"/>
          <w:szCs w:val="24"/>
          <w:highlight w:val="none"/>
        </w:rPr>
      </w:pPr>
      <w:r>
        <w:rPr>
          <w:rFonts w:hint="eastAsia" w:ascii="宋体" w:hAnsi="宋体"/>
          <w:color w:val="auto"/>
          <w:sz w:val="24"/>
          <w:szCs w:val="24"/>
          <w:highlight w:val="none"/>
        </w:rPr>
        <w:t>包2：合同签订日起15日内</w:t>
      </w:r>
    </w:p>
    <w:p w14:paraId="5BF119B1">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1.7本项目（是/否）接受联合体投标：否</w:t>
      </w:r>
    </w:p>
    <w:p w14:paraId="5CC403E2">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1.8是否接受进口产品：否</w:t>
      </w:r>
    </w:p>
    <w:p w14:paraId="6766A92C">
      <w:pPr>
        <w:widowControl w:val="0"/>
        <w:adjustRightInd w:val="0"/>
        <w:snapToGrid w:val="0"/>
        <w:spacing w:line="360" w:lineRule="auto"/>
        <w:ind w:firstLine="540" w:firstLineChars="225"/>
        <w:jc w:val="left"/>
        <w:rPr>
          <w:rFonts w:ascii="宋体"/>
          <w:color w:val="auto"/>
          <w:sz w:val="24"/>
          <w:szCs w:val="24"/>
          <w:highlight w:val="none"/>
        </w:rPr>
      </w:pPr>
    </w:p>
    <w:p w14:paraId="5C4874A5">
      <w:pPr>
        <w:widowControl w:val="0"/>
        <w:snapToGrid w:val="0"/>
        <w:spacing w:line="360" w:lineRule="auto"/>
        <w:ind w:firstLine="562" w:firstLineChars="200"/>
        <w:rPr>
          <w:rFonts w:ascii="黑体" w:hAnsi="黑体" w:eastAsia="黑体"/>
          <w:b/>
          <w:color w:val="auto"/>
          <w:sz w:val="28"/>
          <w:szCs w:val="28"/>
          <w:highlight w:val="none"/>
        </w:rPr>
      </w:pPr>
      <w:r>
        <w:rPr>
          <w:rFonts w:hint="eastAsia" w:ascii="黑体" w:hAnsi="黑体" w:eastAsia="黑体"/>
          <w:b/>
          <w:color w:val="auto"/>
          <w:sz w:val="28"/>
          <w:szCs w:val="28"/>
          <w:highlight w:val="none"/>
        </w:rPr>
        <w:t>2.申请人的资格要求：</w:t>
      </w:r>
    </w:p>
    <w:p w14:paraId="7CB10729">
      <w:pPr>
        <w:widowControl w:val="0"/>
        <w:snapToGrid w:val="0"/>
        <w:spacing w:line="360" w:lineRule="auto"/>
        <w:ind w:firstLine="562" w:firstLineChars="200"/>
        <w:rPr>
          <w:rFonts w:ascii="黑体" w:hAnsi="黑体" w:eastAsia="黑体"/>
          <w:b/>
          <w:color w:val="auto"/>
          <w:sz w:val="28"/>
          <w:szCs w:val="28"/>
          <w:highlight w:val="none"/>
        </w:rPr>
      </w:pPr>
      <w:r>
        <w:rPr>
          <w:rFonts w:hint="eastAsia" w:ascii="黑体" w:hAnsi="黑体" w:eastAsia="黑体"/>
          <w:b/>
          <w:color w:val="auto"/>
          <w:sz w:val="28"/>
          <w:szCs w:val="28"/>
          <w:highlight w:val="none"/>
        </w:rPr>
        <w:t>包1：</w:t>
      </w:r>
    </w:p>
    <w:p w14:paraId="0A34599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2.1满足《中华人民共和国政府采购法》第二十二条规定；</w:t>
      </w:r>
    </w:p>
    <w:p w14:paraId="21A11620">
      <w:pPr>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2</w:t>
      </w:r>
      <w:r>
        <w:rPr>
          <w:rFonts w:hint="eastAsia" w:ascii="宋体" w:hAnsi="宋体"/>
          <w:color w:val="auto"/>
          <w:sz w:val="24"/>
          <w:szCs w:val="24"/>
          <w:highlight w:val="none"/>
        </w:rPr>
        <w:t>落实政府采购政策需满足的资格要求：无专项资格要求。</w:t>
      </w:r>
    </w:p>
    <w:p w14:paraId="13839185">
      <w:pPr>
        <w:ind w:firstLine="480" w:firstLineChars="200"/>
        <w:rPr>
          <w:rFonts w:ascii="宋体" w:hAnsi="宋体"/>
          <w:color w:val="auto"/>
          <w:sz w:val="24"/>
          <w:szCs w:val="24"/>
          <w:highlight w:val="none"/>
        </w:rPr>
      </w:pPr>
      <w:r>
        <w:rPr>
          <w:rFonts w:hint="eastAsia" w:ascii="宋体" w:hAnsi="宋体"/>
          <w:color w:val="auto"/>
          <w:sz w:val="24"/>
          <w:szCs w:val="24"/>
          <w:highlight w:val="none"/>
        </w:rPr>
        <w:t>2.3本项目的特定资格要求：</w:t>
      </w:r>
    </w:p>
    <w:p w14:paraId="7348C5E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2.3</w:t>
      </w:r>
      <w:r>
        <w:rPr>
          <w:rFonts w:ascii="宋体" w:hAnsi="宋体"/>
          <w:color w:val="auto"/>
          <w:sz w:val="24"/>
          <w:szCs w:val="24"/>
          <w:highlight w:val="none"/>
        </w:rPr>
        <w:t>.1</w:t>
      </w:r>
      <w:r>
        <w:rPr>
          <w:rFonts w:hint="eastAsia" w:ascii="宋体" w:hAnsi="宋体"/>
          <w:color w:val="auto"/>
          <w:sz w:val="24"/>
          <w:szCs w:val="24"/>
          <w:highlight w:val="none"/>
        </w:rPr>
        <w:t>满足《中华人民共和国政府采购法》第二十二条第</w:t>
      </w:r>
      <w:r>
        <w:rPr>
          <w:rFonts w:ascii="宋体" w:hAnsi="宋体"/>
          <w:color w:val="auto"/>
          <w:sz w:val="24"/>
          <w:szCs w:val="24"/>
          <w:highlight w:val="none"/>
        </w:rPr>
        <w:t>一款</w:t>
      </w:r>
      <w:r>
        <w:rPr>
          <w:rFonts w:hint="eastAsia" w:ascii="宋体" w:hAnsi="宋体"/>
          <w:color w:val="auto"/>
          <w:sz w:val="24"/>
          <w:szCs w:val="24"/>
          <w:highlight w:val="none"/>
        </w:rPr>
        <w:t>规定的</w:t>
      </w:r>
      <w:r>
        <w:rPr>
          <w:rFonts w:ascii="宋体" w:hAnsi="宋体"/>
          <w:color w:val="auto"/>
          <w:sz w:val="24"/>
          <w:szCs w:val="24"/>
          <w:highlight w:val="none"/>
        </w:rPr>
        <w:t>供应商基础性</w:t>
      </w:r>
      <w:r>
        <w:rPr>
          <w:rFonts w:hint="eastAsia" w:ascii="宋体" w:hAnsi="宋体"/>
          <w:color w:val="auto"/>
          <w:sz w:val="24"/>
          <w:szCs w:val="24"/>
          <w:highlight w:val="none"/>
        </w:rPr>
        <w:t>资格要求；供应商自行承诺并承担后果，承诺书不实的，按《政府采购法》有关提供虚假材料的有关规定给予处罚。</w:t>
      </w:r>
    </w:p>
    <w:p w14:paraId="435F876C">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2.3</w:t>
      </w:r>
      <w:r>
        <w:rPr>
          <w:rFonts w:ascii="宋体" w:hAnsi="宋体"/>
          <w:color w:val="auto"/>
          <w:sz w:val="24"/>
          <w:szCs w:val="24"/>
          <w:highlight w:val="none"/>
        </w:rPr>
        <w:t>.</w:t>
      </w:r>
      <w:r>
        <w:rPr>
          <w:rFonts w:hint="eastAsia" w:ascii="宋体" w:hAnsi="宋体"/>
          <w:color w:val="auto"/>
          <w:sz w:val="24"/>
          <w:szCs w:val="24"/>
          <w:highlight w:val="none"/>
        </w:rPr>
        <w:t>2对供</w:t>
      </w:r>
      <w:r>
        <w:rPr>
          <w:rFonts w:ascii="宋体" w:hAnsi="宋体"/>
          <w:color w:val="auto"/>
          <w:sz w:val="24"/>
          <w:szCs w:val="24"/>
          <w:highlight w:val="none"/>
        </w:rPr>
        <w:t>应商的限制性规定</w:t>
      </w:r>
    </w:p>
    <w:p w14:paraId="1E3D154B">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（1）供应商应当无不良信用记录。</w:t>
      </w:r>
      <w:r>
        <w:rPr>
          <w:rFonts w:ascii="宋体" w:hAnsi="宋体"/>
          <w:color w:val="auto"/>
          <w:sz w:val="24"/>
          <w:szCs w:val="24"/>
          <w:highlight w:val="none"/>
        </w:rPr>
        <w:t>(</w:t>
      </w:r>
      <w:r>
        <w:rPr>
          <w:rFonts w:hint="eastAsia" w:ascii="宋体" w:hAnsi="宋体"/>
          <w:color w:val="auto"/>
          <w:sz w:val="24"/>
          <w:szCs w:val="24"/>
          <w:highlight w:val="none"/>
        </w:rPr>
        <w:t>未列入“信用中国”</w:t>
      </w:r>
      <w:r>
        <w:rPr>
          <w:rFonts w:ascii="宋体" w:hAnsi="宋体"/>
          <w:color w:val="auto"/>
          <w:sz w:val="24"/>
          <w:szCs w:val="24"/>
          <w:highlight w:val="none"/>
        </w:rPr>
        <w:t>&lt;www.creditchina.gov.cn&gt;</w:t>
      </w:r>
      <w:r>
        <w:rPr>
          <w:rFonts w:hint="eastAsia" w:ascii="宋体" w:hAnsi="宋体"/>
          <w:color w:val="auto"/>
          <w:sz w:val="24"/>
          <w:szCs w:val="24"/>
          <w:highlight w:val="none"/>
        </w:rPr>
        <w:t>网站的“失信被执行人”和“重大税收违法失信主体”及“中国政府采购网”</w:t>
      </w:r>
      <w:r>
        <w:rPr>
          <w:rFonts w:ascii="宋体" w:hAnsi="宋体"/>
          <w:color w:val="auto"/>
          <w:sz w:val="24"/>
          <w:szCs w:val="24"/>
          <w:highlight w:val="none"/>
        </w:rPr>
        <w:t>&lt;www.ccgp.gov.cn&gt;</w:t>
      </w:r>
      <w:r>
        <w:rPr>
          <w:rFonts w:hint="eastAsia" w:ascii="宋体" w:hAnsi="宋体"/>
          <w:color w:val="auto"/>
          <w:sz w:val="24"/>
          <w:szCs w:val="24"/>
          <w:highlight w:val="none"/>
        </w:rPr>
        <w:t>网站的“政府采购严重违法失信行为记录名单”</w:t>
      </w:r>
      <w:r>
        <w:rPr>
          <w:rFonts w:ascii="宋体" w:hAnsi="宋体"/>
          <w:color w:val="auto"/>
          <w:sz w:val="24"/>
          <w:szCs w:val="24"/>
          <w:highlight w:val="none"/>
        </w:rPr>
        <w:t>)</w:t>
      </w:r>
    </w:p>
    <w:p w14:paraId="24F0DBC1">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供应商递交投标文件后，采购人或者采购代理机构将按以上信用信息查询渠道在解密投标文件之前对参加本项目的投标人信用记录进行查询，投标人有上述任一不良信用记录的，其</w:t>
      </w:r>
      <w:r>
        <w:rPr>
          <w:rFonts w:ascii="宋体" w:hAnsi="宋体"/>
          <w:color w:val="auto"/>
          <w:sz w:val="24"/>
          <w:szCs w:val="24"/>
          <w:highlight w:val="none"/>
        </w:rPr>
        <w:t>投标将被</w:t>
      </w:r>
      <w:r>
        <w:rPr>
          <w:rFonts w:hint="eastAsia" w:ascii="宋体" w:hAnsi="宋体"/>
          <w:color w:val="auto"/>
          <w:sz w:val="24"/>
          <w:szCs w:val="24"/>
          <w:highlight w:val="none"/>
        </w:rPr>
        <w:t>拒</w:t>
      </w:r>
      <w:r>
        <w:rPr>
          <w:rFonts w:ascii="宋体" w:hAnsi="宋体"/>
          <w:color w:val="auto"/>
          <w:sz w:val="24"/>
          <w:szCs w:val="24"/>
          <w:highlight w:val="none"/>
        </w:rPr>
        <w:t>绝</w:t>
      </w:r>
      <w:r>
        <w:rPr>
          <w:rFonts w:hint="eastAsia" w:ascii="宋体" w:hAnsi="宋体"/>
          <w:color w:val="auto"/>
          <w:sz w:val="24"/>
          <w:szCs w:val="24"/>
          <w:highlight w:val="none"/>
        </w:rPr>
        <w:t>、</w:t>
      </w:r>
      <w:r>
        <w:rPr>
          <w:rFonts w:ascii="宋体" w:hAnsi="宋体"/>
          <w:color w:val="auto"/>
          <w:sz w:val="24"/>
          <w:szCs w:val="24"/>
          <w:highlight w:val="none"/>
        </w:rPr>
        <w:t>为无效投</w:t>
      </w:r>
      <w:r>
        <w:rPr>
          <w:rFonts w:hint="eastAsia" w:ascii="宋体" w:hAnsi="宋体"/>
          <w:color w:val="auto"/>
          <w:sz w:val="24"/>
          <w:szCs w:val="24"/>
          <w:highlight w:val="none"/>
        </w:rPr>
        <w:t>标。查询的网页内容将以截图或者拍照作为证据留存。</w:t>
      </w:r>
    </w:p>
    <w:p w14:paraId="74236AEE">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2）单位负责人为同一人或者存在直接控股、管理关系的不同供应商，不得参加本合同项下的政府采购活动。供应商自行承诺并承担后果，承诺书不实的，按《政府采购法》有关提供虚假材料的有关规定给予处罚。</w:t>
      </w:r>
    </w:p>
    <w:p w14:paraId="014B5A40">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3）为本招标项目提供整体设计、规范编制或者项目管理、监理、检测等服务的供应商，不得再参加本招标项目。供应商自行承诺并承担后果，承诺书不实的，按《政府采购法》有关提供虚假材料的有关规定给予处罚。</w:t>
      </w:r>
    </w:p>
    <w:p w14:paraId="6599F59D">
      <w:pPr>
        <w:widowControl w:val="0"/>
        <w:snapToGrid w:val="0"/>
        <w:spacing w:line="360" w:lineRule="auto"/>
        <w:ind w:firstLine="540" w:firstLineChars="225"/>
        <w:rPr>
          <w:color w:val="auto"/>
          <w:highlight w:val="none"/>
        </w:rPr>
      </w:pPr>
      <w:r>
        <w:rPr>
          <w:rFonts w:hint="eastAsia" w:ascii="宋体" w:hAnsi="宋体"/>
          <w:color w:val="auto"/>
          <w:sz w:val="24"/>
          <w:szCs w:val="24"/>
          <w:highlight w:val="none"/>
        </w:rPr>
        <w:t>2.3</w:t>
      </w:r>
      <w:r>
        <w:rPr>
          <w:rFonts w:ascii="宋体" w:hAnsi="宋体"/>
          <w:color w:val="auto"/>
          <w:sz w:val="24"/>
          <w:szCs w:val="24"/>
          <w:highlight w:val="none"/>
        </w:rPr>
        <w:t>.</w:t>
      </w:r>
      <w:r>
        <w:rPr>
          <w:rFonts w:hint="eastAsia" w:ascii="宋体" w:hAnsi="宋体"/>
          <w:color w:val="auto"/>
          <w:sz w:val="24"/>
          <w:szCs w:val="24"/>
          <w:highlight w:val="none"/>
        </w:rPr>
        <w:t>3项目的特定资格要求：</w:t>
      </w:r>
    </w:p>
    <w:p w14:paraId="3409EB98">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（1）具备法律、行政法规规定的其他条件。</w:t>
      </w:r>
    </w:p>
    <w:p w14:paraId="20B814D8">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（2）本项目（是/否）接受联合体投标：同“项目基本情况”1.7款要求。</w:t>
      </w:r>
    </w:p>
    <w:p w14:paraId="1CF58EEB">
      <w:pPr>
        <w:widowControl w:val="0"/>
        <w:snapToGrid w:val="0"/>
        <w:spacing w:line="360" w:lineRule="auto"/>
        <w:ind w:firstLine="562" w:firstLineChars="200"/>
        <w:rPr>
          <w:rFonts w:ascii="黑体" w:hAnsi="黑体" w:eastAsia="黑体"/>
          <w:b/>
          <w:color w:val="auto"/>
          <w:sz w:val="28"/>
          <w:szCs w:val="28"/>
          <w:highlight w:val="none"/>
        </w:rPr>
      </w:pPr>
      <w:r>
        <w:rPr>
          <w:rFonts w:hint="eastAsia" w:ascii="黑体" w:hAnsi="黑体" w:eastAsia="黑体"/>
          <w:b/>
          <w:color w:val="auto"/>
          <w:sz w:val="28"/>
          <w:szCs w:val="28"/>
          <w:highlight w:val="none"/>
        </w:rPr>
        <w:t>包2：</w:t>
      </w:r>
    </w:p>
    <w:p w14:paraId="46F8394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2.1满足《中华人民共和国政府采购法》第二十二条规定；</w:t>
      </w:r>
    </w:p>
    <w:p w14:paraId="22D3DB1B">
      <w:pPr>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2</w:t>
      </w:r>
      <w:r>
        <w:rPr>
          <w:rFonts w:hint="eastAsia" w:ascii="宋体" w:hAnsi="宋体"/>
          <w:color w:val="auto"/>
          <w:sz w:val="24"/>
          <w:szCs w:val="24"/>
          <w:highlight w:val="none"/>
        </w:rPr>
        <w:t>落实政府采购政策需满足的资格要求：无专项资格要求。</w:t>
      </w:r>
    </w:p>
    <w:p w14:paraId="5F9093B9">
      <w:pPr>
        <w:ind w:firstLine="480" w:firstLineChars="200"/>
        <w:rPr>
          <w:rFonts w:ascii="宋体" w:hAnsi="宋体"/>
          <w:color w:val="auto"/>
          <w:sz w:val="24"/>
          <w:szCs w:val="24"/>
          <w:highlight w:val="none"/>
        </w:rPr>
      </w:pPr>
      <w:r>
        <w:rPr>
          <w:rFonts w:hint="eastAsia" w:ascii="宋体" w:hAnsi="宋体"/>
          <w:color w:val="auto"/>
          <w:sz w:val="24"/>
          <w:szCs w:val="24"/>
          <w:highlight w:val="none"/>
        </w:rPr>
        <w:t>2.3本项目的特定资格要求：</w:t>
      </w:r>
    </w:p>
    <w:p w14:paraId="586E74C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2.3</w:t>
      </w:r>
      <w:r>
        <w:rPr>
          <w:rFonts w:ascii="宋体" w:hAnsi="宋体"/>
          <w:color w:val="auto"/>
          <w:sz w:val="24"/>
          <w:szCs w:val="24"/>
          <w:highlight w:val="none"/>
        </w:rPr>
        <w:t>.1</w:t>
      </w:r>
      <w:r>
        <w:rPr>
          <w:rFonts w:hint="eastAsia" w:ascii="宋体" w:hAnsi="宋体"/>
          <w:color w:val="auto"/>
          <w:sz w:val="24"/>
          <w:szCs w:val="24"/>
          <w:highlight w:val="none"/>
        </w:rPr>
        <w:t>满足《中华人民共和国政府采购法》第二十二条第</w:t>
      </w:r>
      <w:r>
        <w:rPr>
          <w:rFonts w:ascii="宋体" w:hAnsi="宋体"/>
          <w:color w:val="auto"/>
          <w:sz w:val="24"/>
          <w:szCs w:val="24"/>
          <w:highlight w:val="none"/>
        </w:rPr>
        <w:t>一款</w:t>
      </w:r>
      <w:r>
        <w:rPr>
          <w:rFonts w:hint="eastAsia" w:ascii="宋体" w:hAnsi="宋体"/>
          <w:color w:val="auto"/>
          <w:sz w:val="24"/>
          <w:szCs w:val="24"/>
          <w:highlight w:val="none"/>
        </w:rPr>
        <w:t>规定的</w:t>
      </w:r>
      <w:r>
        <w:rPr>
          <w:rFonts w:ascii="宋体" w:hAnsi="宋体"/>
          <w:color w:val="auto"/>
          <w:sz w:val="24"/>
          <w:szCs w:val="24"/>
          <w:highlight w:val="none"/>
        </w:rPr>
        <w:t>供应商基础性</w:t>
      </w:r>
      <w:r>
        <w:rPr>
          <w:rFonts w:hint="eastAsia" w:ascii="宋体" w:hAnsi="宋体"/>
          <w:color w:val="auto"/>
          <w:sz w:val="24"/>
          <w:szCs w:val="24"/>
          <w:highlight w:val="none"/>
        </w:rPr>
        <w:t>资格要求；供应商自行承诺并承担后果，承诺书不实的，按《政府采购法》有关提供虚假材料的有关规定给予处罚。</w:t>
      </w:r>
    </w:p>
    <w:p w14:paraId="3EA5ED10">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2.3</w:t>
      </w:r>
      <w:r>
        <w:rPr>
          <w:rFonts w:ascii="宋体" w:hAnsi="宋体"/>
          <w:color w:val="auto"/>
          <w:sz w:val="24"/>
          <w:szCs w:val="24"/>
          <w:highlight w:val="none"/>
        </w:rPr>
        <w:t>.</w:t>
      </w:r>
      <w:r>
        <w:rPr>
          <w:rFonts w:hint="eastAsia" w:ascii="宋体" w:hAnsi="宋体"/>
          <w:color w:val="auto"/>
          <w:sz w:val="24"/>
          <w:szCs w:val="24"/>
          <w:highlight w:val="none"/>
        </w:rPr>
        <w:t>2对供</w:t>
      </w:r>
      <w:r>
        <w:rPr>
          <w:rFonts w:ascii="宋体" w:hAnsi="宋体"/>
          <w:color w:val="auto"/>
          <w:sz w:val="24"/>
          <w:szCs w:val="24"/>
          <w:highlight w:val="none"/>
        </w:rPr>
        <w:t>应商的限制性规定</w:t>
      </w:r>
    </w:p>
    <w:p w14:paraId="07FBB4DC">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（1）供应商应当无不良信用记录。</w:t>
      </w:r>
      <w:r>
        <w:rPr>
          <w:rFonts w:ascii="宋体" w:hAnsi="宋体"/>
          <w:color w:val="auto"/>
          <w:sz w:val="24"/>
          <w:szCs w:val="24"/>
          <w:highlight w:val="none"/>
        </w:rPr>
        <w:t>(</w:t>
      </w:r>
      <w:r>
        <w:rPr>
          <w:rFonts w:hint="eastAsia" w:ascii="宋体" w:hAnsi="宋体"/>
          <w:color w:val="auto"/>
          <w:sz w:val="24"/>
          <w:szCs w:val="24"/>
          <w:highlight w:val="none"/>
        </w:rPr>
        <w:t>未列入“信用中国”</w:t>
      </w:r>
      <w:r>
        <w:rPr>
          <w:rFonts w:ascii="宋体" w:hAnsi="宋体"/>
          <w:color w:val="auto"/>
          <w:sz w:val="24"/>
          <w:szCs w:val="24"/>
          <w:highlight w:val="none"/>
        </w:rPr>
        <w:t>&lt;www.creditchina.gov.cn&gt;</w:t>
      </w:r>
      <w:r>
        <w:rPr>
          <w:rFonts w:hint="eastAsia" w:ascii="宋体" w:hAnsi="宋体"/>
          <w:color w:val="auto"/>
          <w:sz w:val="24"/>
          <w:szCs w:val="24"/>
          <w:highlight w:val="none"/>
        </w:rPr>
        <w:t>网站的“失信被执行人”和“重大税收违法失信主体”及“中国政府采购网”</w:t>
      </w:r>
      <w:r>
        <w:rPr>
          <w:rFonts w:ascii="宋体" w:hAnsi="宋体"/>
          <w:color w:val="auto"/>
          <w:sz w:val="24"/>
          <w:szCs w:val="24"/>
          <w:highlight w:val="none"/>
        </w:rPr>
        <w:t>&lt;www.ccgp.gov.cn&gt;</w:t>
      </w:r>
      <w:r>
        <w:rPr>
          <w:rFonts w:hint="eastAsia" w:ascii="宋体" w:hAnsi="宋体"/>
          <w:color w:val="auto"/>
          <w:sz w:val="24"/>
          <w:szCs w:val="24"/>
          <w:highlight w:val="none"/>
        </w:rPr>
        <w:t>网站的“政府采购严重违法失信行为记录名单”</w:t>
      </w:r>
      <w:r>
        <w:rPr>
          <w:rFonts w:ascii="宋体" w:hAnsi="宋体"/>
          <w:color w:val="auto"/>
          <w:sz w:val="24"/>
          <w:szCs w:val="24"/>
          <w:highlight w:val="none"/>
        </w:rPr>
        <w:t>)</w:t>
      </w:r>
    </w:p>
    <w:p w14:paraId="39A55692">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供应商递交投标文件后，采购人或者采购代理机构将按以上信用信息查询渠道在解密投标文件之前对参加本项目的投标人信用记录进行查询，投标人有上述任一不良信用记录的，其</w:t>
      </w:r>
      <w:r>
        <w:rPr>
          <w:rFonts w:ascii="宋体" w:hAnsi="宋体"/>
          <w:color w:val="auto"/>
          <w:sz w:val="24"/>
          <w:szCs w:val="24"/>
          <w:highlight w:val="none"/>
        </w:rPr>
        <w:t>投标将被</w:t>
      </w:r>
      <w:r>
        <w:rPr>
          <w:rFonts w:hint="eastAsia" w:ascii="宋体" w:hAnsi="宋体"/>
          <w:color w:val="auto"/>
          <w:sz w:val="24"/>
          <w:szCs w:val="24"/>
          <w:highlight w:val="none"/>
        </w:rPr>
        <w:t>拒</w:t>
      </w:r>
      <w:r>
        <w:rPr>
          <w:rFonts w:ascii="宋体" w:hAnsi="宋体"/>
          <w:color w:val="auto"/>
          <w:sz w:val="24"/>
          <w:szCs w:val="24"/>
          <w:highlight w:val="none"/>
        </w:rPr>
        <w:t>绝</w:t>
      </w:r>
      <w:r>
        <w:rPr>
          <w:rFonts w:hint="eastAsia" w:ascii="宋体" w:hAnsi="宋体"/>
          <w:color w:val="auto"/>
          <w:sz w:val="24"/>
          <w:szCs w:val="24"/>
          <w:highlight w:val="none"/>
        </w:rPr>
        <w:t>、</w:t>
      </w:r>
      <w:r>
        <w:rPr>
          <w:rFonts w:ascii="宋体" w:hAnsi="宋体"/>
          <w:color w:val="auto"/>
          <w:sz w:val="24"/>
          <w:szCs w:val="24"/>
          <w:highlight w:val="none"/>
        </w:rPr>
        <w:t>为无效投</w:t>
      </w:r>
      <w:r>
        <w:rPr>
          <w:rFonts w:hint="eastAsia" w:ascii="宋体" w:hAnsi="宋体"/>
          <w:color w:val="auto"/>
          <w:sz w:val="24"/>
          <w:szCs w:val="24"/>
          <w:highlight w:val="none"/>
        </w:rPr>
        <w:t>标。查询的网页内容将以截图或者拍照作为证据留存。</w:t>
      </w:r>
    </w:p>
    <w:p w14:paraId="6F5A2454">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2）单位负责人为同一人或者存在直接控股、管理关系的不同供应商，不得参加本合同项下的政府采购活动。供应商自行承诺并承担后果，承诺书不实的，按《政府采购法》有关提供虚假材料的有关规定给予处罚。</w:t>
      </w:r>
    </w:p>
    <w:p w14:paraId="12EC8E84">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3）为本招标项目提供整体设计、规范编制或者项目管理、监理、检测等服务的供应商，不得再参加本招标项目。供应商自行承诺并承担后果，承诺书不实的，按《政府采购法》有关提供虚假材料的有关规定给予处罚。</w:t>
      </w:r>
    </w:p>
    <w:p w14:paraId="2ECBD423">
      <w:pPr>
        <w:widowControl w:val="0"/>
        <w:snapToGrid w:val="0"/>
        <w:spacing w:line="360" w:lineRule="auto"/>
        <w:ind w:firstLine="540" w:firstLineChars="225"/>
        <w:rPr>
          <w:color w:val="auto"/>
          <w:highlight w:val="none"/>
        </w:rPr>
      </w:pPr>
      <w:r>
        <w:rPr>
          <w:rFonts w:hint="eastAsia" w:ascii="宋体" w:hAnsi="宋体"/>
          <w:color w:val="auto"/>
          <w:sz w:val="24"/>
          <w:szCs w:val="24"/>
          <w:highlight w:val="none"/>
        </w:rPr>
        <w:t>2.3</w:t>
      </w:r>
      <w:r>
        <w:rPr>
          <w:rFonts w:ascii="宋体" w:hAnsi="宋体"/>
          <w:color w:val="auto"/>
          <w:sz w:val="24"/>
          <w:szCs w:val="24"/>
          <w:highlight w:val="none"/>
        </w:rPr>
        <w:t>.</w:t>
      </w:r>
      <w:r>
        <w:rPr>
          <w:rFonts w:hint="eastAsia" w:ascii="宋体" w:hAnsi="宋体"/>
          <w:color w:val="auto"/>
          <w:sz w:val="24"/>
          <w:szCs w:val="24"/>
          <w:highlight w:val="none"/>
        </w:rPr>
        <w:t>3项目的特定资格要求：</w:t>
      </w:r>
    </w:p>
    <w:p w14:paraId="01FF4C20">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（1）具备法律、行政法规规定的其他条件。</w:t>
      </w:r>
    </w:p>
    <w:p w14:paraId="31BE9AF6">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（2）具备行政主管部门核发的消防设施工程专业承包二级及以上资质，具有有效的安全生产许可证；■提供相应证书。</w:t>
      </w:r>
    </w:p>
    <w:p w14:paraId="3D901238">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拟派项目经理具备机电工程专业贰级及以上注册建造师资格证书(不含临时)、且具有有效的安全生产考核合格证书，并未担任其他在建工程的项目经理。■提供相应证书、无在建承诺、并提供近六个月任意三个月本单位缴纳社保证明（至少体现基本养老保险、失业保险、工伤保险）扫描件。</w:t>
      </w:r>
    </w:p>
    <w:p w14:paraId="66B681F7">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（3）本项目（是/否）接受联合体投标：同“项目基本情况”1.7款要求。</w:t>
      </w:r>
    </w:p>
    <w:p w14:paraId="53809D24">
      <w:pPr>
        <w:pStyle w:val="17"/>
        <w:shd w:val="clear" w:color="auto" w:fill="FFFFFF"/>
        <w:adjustRightInd w:val="0"/>
        <w:spacing w:before="50" w:beforeAutospacing="0" w:after="0" w:afterAutospacing="0" w:line="300" w:lineRule="auto"/>
        <w:ind w:firstLine="540" w:firstLineChars="225"/>
        <w:rPr>
          <w:color w:val="auto"/>
          <w:highlight w:val="none"/>
        </w:rPr>
      </w:pPr>
      <w:r>
        <w:rPr>
          <w:rFonts w:hint="eastAsia"/>
          <w:color w:val="auto"/>
          <w:highlight w:val="none"/>
        </w:rPr>
        <w:t>注：（1）所有证照均应为有效的证照；文中“近”、“前”指距投标截止时间。</w:t>
      </w:r>
    </w:p>
    <w:p w14:paraId="4174EB05">
      <w:pPr>
        <w:pStyle w:val="17"/>
        <w:shd w:val="clear" w:color="auto" w:fill="FFFFFF"/>
        <w:adjustRightInd w:val="0"/>
        <w:spacing w:before="50" w:beforeAutospacing="0" w:after="0" w:afterAutospacing="0" w:line="300" w:lineRule="auto"/>
        <w:ind w:firstLine="540" w:firstLineChars="225"/>
        <w:rPr>
          <w:color w:val="auto"/>
          <w:highlight w:val="none"/>
        </w:rPr>
      </w:pPr>
      <w:r>
        <w:rPr>
          <w:rFonts w:hint="eastAsia"/>
          <w:color w:val="auto"/>
          <w:highlight w:val="none"/>
        </w:rPr>
        <w:t>（2）资格证明材料（文件）应附于投标文件中并经投</w:t>
      </w:r>
      <w:r>
        <w:rPr>
          <w:color w:val="auto"/>
          <w:highlight w:val="none"/>
        </w:rPr>
        <w:t>标人</w:t>
      </w:r>
      <w:r>
        <w:rPr>
          <w:rFonts w:hint="eastAsia" w:cs="楷体_GB2312"/>
          <w:color w:val="auto"/>
          <w:highlight w:val="none"/>
        </w:rPr>
        <w:t>电子签章</w:t>
      </w:r>
      <w:r>
        <w:rPr>
          <w:rFonts w:hint="eastAsia"/>
          <w:color w:val="auto"/>
          <w:highlight w:val="none"/>
        </w:rPr>
        <w:t>。投标人对资格证明文件真实性有效合规承担责任，提供虚假材料的为无效投标并将进一步追究其责任。（按</w:t>
      </w:r>
      <w:r>
        <w:rPr>
          <w:rFonts w:hint="eastAsia" w:cs="楷体_GB2312"/>
          <w:color w:val="auto"/>
          <w:highlight w:val="none"/>
          <w:lang w:val="zh-CN"/>
        </w:rPr>
        <w:t>第六章</w:t>
      </w:r>
      <w:r>
        <w:rPr>
          <w:rFonts w:hint="eastAsia"/>
          <w:color w:val="auto"/>
          <w:highlight w:val="none"/>
        </w:rPr>
        <w:t>附件提供核验材料）</w:t>
      </w:r>
    </w:p>
    <w:p w14:paraId="6551E111">
      <w:pPr>
        <w:pStyle w:val="17"/>
        <w:shd w:val="clear" w:color="auto" w:fill="FFFFFF"/>
        <w:adjustRightInd w:val="0"/>
        <w:spacing w:before="50" w:beforeAutospacing="0" w:after="0" w:afterAutospacing="0" w:line="300" w:lineRule="auto"/>
        <w:ind w:firstLine="540" w:firstLineChars="225"/>
        <w:rPr>
          <w:color w:val="auto"/>
          <w:highlight w:val="none"/>
        </w:rPr>
      </w:pPr>
      <w:r>
        <w:rPr>
          <w:rFonts w:hint="eastAsia"/>
          <w:color w:val="auto"/>
          <w:highlight w:val="none"/>
        </w:rPr>
        <w:t>（3）</w:t>
      </w:r>
      <w:r>
        <w:rPr>
          <w:color w:val="auto"/>
          <w:highlight w:val="none"/>
        </w:rPr>
        <w:t xml:space="preserve"> </w:t>
      </w:r>
      <w:r>
        <w:rPr>
          <w:rFonts w:hint="eastAsia"/>
          <w:color w:val="auto"/>
          <w:highlight w:val="none"/>
        </w:rPr>
        <w:t>本项目采取资格后审，开标后，将由采购人或者采购代理机构对投标人的资格证明材料（文件）等进行资格审核，未按要求逐一提供、或资格审查不合格的为无效投标，投标人应自负其风险费用。</w:t>
      </w:r>
    </w:p>
    <w:p w14:paraId="2845DA5D">
      <w:pPr>
        <w:pStyle w:val="17"/>
        <w:shd w:val="clear" w:color="auto" w:fill="FFFFFF"/>
        <w:adjustRightInd w:val="0"/>
        <w:spacing w:before="50" w:beforeAutospacing="0" w:after="0" w:afterAutospacing="0" w:line="300" w:lineRule="auto"/>
        <w:rPr>
          <w:b/>
          <w:color w:val="auto"/>
          <w:highlight w:val="none"/>
        </w:rPr>
      </w:pPr>
    </w:p>
    <w:p w14:paraId="15A2926C">
      <w:pPr>
        <w:widowControl w:val="0"/>
        <w:snapToGrid w:val="0"/>
        <w:spacing w:line="360" w:lineRule="auto"/>
        <w:ind w:firstLine="562" w:firstLineChars="200"/>
        <w:rPr>
          <w:rFonts w:ascii="黑体" w:hAnsi="黑体" w:eastAsia="黑体"/>
          <w:b/>
          <w:color w:val="auto"/>
          <w:sz w:val="28"/>
          <w:szCs w:val="28"/>
          <w:highlight w:val="none"/>
        </w:rPr>
      </w:pPr>
      <w:bookmarkStart w:id="1" w:name="_Toc35393623"/>
      <w:bookmarkStart w:id="2" w:name="_Toc35393792"/>
      <w:r>
        <w:rPr>
          <w:rFonts w:hint="eastAsia" w:ascii="黑体" w:hAnsi="黑体" w:eastAsia="黑体"/>
          <w:b/>
          <w:color w:val="auto"/>
          <w:sz w:val="28"/>
          <w:szCs w:val="28"/>
          <w:highlight w:val="none"/>
        </w:rPr>
        <w:t>3.获取招标文件</w:t>
      </w:r>
      <w:bookmarkEnd w:id="1"/>
      <w:bookmarkEnd w:id="2"/>
    </w:p>
    <w:p w14:paraId="3D4AF816">
      <w:pPr>
        <w:snapToGrid w:val="0"/>
        <w:spacing w:line="360" w:lineRule="auto"/>
        <w:ind w:firstLine="540" w:firstLineChars="225"/>
        <w:jc w:val="left"/>
        <w:rPr>
          <w:b/>
          <w:bCs/>
          <w:color w:val="auto"/>
          <w:sz w:val="24"/>
          <w:szCs w:val="24"/>
          <w:highlight w:val="none"/>
        </w:rPr>
      </w:pPr>
      <w:r>
        <w:rPr>
          <w:rFonts w:hint="eastAsia" w:ascii="宋体" w:hAnsi="宋体"/>
          <w:color w:val="auto"/>
          <w:sz w:val="24"/>
          <w:szCs w:val="24"/>
          <w:highlight w:val="none"/>
        </w:rPr>
        <w:t>3.1</w:t>
      </w:r>
      <w:r>
        <w:rPr>
          <w:rFonts w:hint="eastAsia"/>
          <w:color w:val="auto"/>
          <w:sz w:val="24"/>
          <w:szCs w:val="24"/>
          <w:highlight w:val="none"/>
        </w:rPr>
        <w:t>时间：</w:t>
      </w:r>
      <w:r>
        <w:rPr>
          <w:rFonts w:hint="eastAsia"/>
          <w:color w:val="auto"/>
          <w:sz w:val="24"/>
          <w:szCs w:val="24"/>
          <w:highlight w:val="none"/>
          <w:u w:val="single"/>
          <w:lang w:val="en-US" w:eastAsia="zh-CN"/>
        </w:rPr>
        <w:t>2025</w:t>
      </w:r>
      <w:r>
        <w:rPr>
          <w:rFonts w:hint="eastAsia"/>
          <w:color w:val="auto"/>
          <w:sz w:val="24"/>
          <w:szCs w:val="24"/>
          <w:highlight w:val="none"/>
        </w:rPr>
        <w:t>年</w:t>
      </w:r>
      <w:r>
        <w:rPr>
          <w:rFonts w:hint="eastAsia"/>
          <w:color w:val="auto"/>
          <w:sz w:val="24"/>
          <w:szCs w:val="24"/>
          <w:highlight w:val="none"/>
          <w:u w:val="single"/>
          <w:lang w:val="en-US" w:eastAsia="zh-CN"/>
        </w:rPr>
        <w:t>11</w:t>
      </w:r>
      <w:r>
        <w:rPr>
          <w:rFonts w:hint="eastAsia"/>
          <w:color w:val="auto"/>
          <w:sz w:val="24"/>
          <w:szCs w:val="24"/>
          <w:highlight w:val="none"/>
        </w:rPr>
        <w:t>月</w:t>
      </w:r>
      <w:r>
        <w:rPr>
          <w:rFonts w:hint="eastAsia"/>
          <w:color w:val="auto"/>
          <w:sz w:val="24"/>
          <w:szCs w:val="24"/>
          <w:highlight w:val="none"/>
          <w:u w:val="single"/>
          <w:lang w:val="en-US" w:eastAsia="zh-CN"/>
        </w:rPr>
        <w:t>14</w:t>
      </w:r>
      <w:r>
        <w:rPr>
          <w:rFonts w:hint="eastAsia"/>
          <w:color w:val="auto"/>
          <w:sz w:val="24"/>
          <w:szCs w:val="24"/>
          <w:highlight w:val="none"/>
        </w:rPr>
        <w:t>日至</w:t>
      </w:r>
      <w:r>
        <w:rPr>
          <w:rFonts w:hint="eastAsia"/>
          <w:color w:val="auto"/>
          <w:sz w:val="24"/>
          <w:szCs w:val="24"/>
          <w:highlight w:val="none"/>
          <w:u w:val="single"/>
          <w:lang w:val="en-US" w:eastAsia="zh-CN"/>
        </w:rPr>
        <w:t>2025</w:t>
      </w:r>
      <w:r>
        <w:rPr>
          <w:rFonts w:hint="eastAsia"/>
          <w:color w:val="auto"/>
          <w:sz w:val="24"/>
          <w:szCs w:val="24"/>
          <w:highlight w:val="none"/>
        </w:rPr>
        <w:t>年</w:t>
      </w:r>
      <w:r>
        <w:rPr>
          <w:rFonts w:hint="eastAsia"/>
          <w:color w:val="auto"/>
          <w:sz w:val="24"/>
          <w:szCs w:val="24"/>
          <w:highlight w:val="none"/>
          <w:u w:val="single"/>
          <w:lang w:val="en-US" w:eastAsia="zh-CN"/>
        </w:rPr>
        <w:t>11</w:t>
      </w:r>
      <w:r>
        <w:rPr>
          <w:rFonts w:hint="eastAsia"/>
          <w:color w:val="auto"/>
          <w:sz w:val="24"/>
          <w:szCs w:val="24"/>
          <w:highlight w:val="none"/>
        </w:rPr>
        <w:t>月</w:t>
      </w:r>
      <w:r>
        <w:rPr>
          <w:rFonts w:hint="eastAsia"/>
          <w:color w:val="auto"/>
          <w:sz w:val="24"/>
          <w:szCs w:val="24"/>
          <w:highlight w:val="none"/>
          <w:u w:val="single"/>
          <w:lang w:val="en-US" w:eastAsia="zh-CN"/>
        </w:rPr>
        <w:t>20</w:t>
      </w:r>
      <w:r>
        <w:rPr>
          <w:rFonts w:hint="eastAsia"/>
          <w:color w:val="auto"/>
          <w:sz w:val="24"/>
          <w:szCs w:val="24"/>
          <w:highlight w:val="none"/>
        </w:rPr>
        <w:t>日，每天上午</w:t>
      </w:r>
      <w:r>
        <w:rPr>
          <w:rFonts w:hint="eastAsia"/>
          <w:color w:val="auto"/>
          <w:sz w:val="24"/>
          <w:szCs w:val="24"/>
          <w:highlight w:val="none"/>
          <w:u w:val="single"/>
          <w:lang w:val="en-US" w:eastAsia="zh-CN"/>
        </w:rPr>
        <w:t>00:00</w:t>
      </w:r>
      <w:r>
        <w:rPr>
          <w:rFonts w:hint="eastAsia"/>
          <w:color w:val="auto"/>
          <w:sz w:val="24"/>
          <w:szCs w:val="24"/>
          <w:highlight w:val="none"/>
        </w:rPr>
        <w:t>至</w:t>
      </w:r>
      <w:r>
        <w:rPr>
          <w:rFonts w:hint="eastAsia"/>
          <w:color w:val="auto"/>
          <w:sz w:val="24"/>
          <w:szCs w:val="24"/>
          <w:highlight w:val="none"/>
          <w:u w:val="single"/>
          <w:lang w:val="en-US" w:eastAsia="zh-CN"/>
        </w:rPr>
        <w:t>12:00</w:t>
      </w:r>
      <w:r>
        <w:rPr>
          <w:rFonts w:hint="eastAsia"/>
          <w:color w:val="auto"/>
          <w:sz w:val="24"/>
          <w:szCs w:val="24"/>
          <w:highlight w:val="none"/>
        </w:rPr>
        <w:t>，下午</w:t>
      </w:r>
      <w:r>
        <w:rPr>
          <w:rFonts w:hint="eastAsia"/>
          <w:color w:val="auto"/>
          <w:sz w:val="24"/>
          <w:szCs w:val="24"/>
          <w:highlight w:val="none"/>
          <w:u w:val="single"/>
          <w:lang w:val="en-US" w:eastAsia="zh-CN"/>
        </w:rPr>
        <w:t>12:00</w:t>
      </w:r>
      <w:r>
        <w:rPr>
          <w:rFonts w:hint="eastAsia"/>
          <w:color w:val="auto"/>
          <w:sz w:val="24"/>
          <w:szCs w:val="24"/>
          <w:highlight w:val="none"/>
        </w:rPr>
        <w:t>至</w:t>
      </w:r>
      <w:r>
        <w:rPr>
          <w:rFonts w:hint="eastAsia"/>
          <w:color w:val="auto"/>
          <w:sz w:val="24"/>
          <w:szCs w:val="24"/>
          <w:highlight w:val="none"/>
          <w:u w:val="single"/>
          <w:lang w:val="en-US" w:eastAsia="zh-CN"/>
        </w:rPr>
        <w:t>23:59</w:t>
      </w:r>
      <w:r>
        <w:rPr>
          <w:rFonts w:hint="eastAsia"/>
          <w:color w:val="auto"/>
          <w:sz w:val="24"/>
          <w:szCs w:val="24"/>
          <w:highlight w:val="none"/>
        </w:rPr>
        <w:t>（北京时间，</w:t>
      </w:r>
      <w:r>
        <w:rPr>
          <w:color w:val="auto"/>
          <w:sz w:val="24"/>
          <w:szCs w:val="24"/>
          <w:highlight w:val="none"/>
        </w:rPr>
        <w:t>法定节假日</w:t>
      </w:r>
      <w:r>
        <w:rPr>
          <w:rFonts w:hint="eastAsia"/>
          <w:color w:val="auto"/>
          <w:sz w:val="24"/>
          <w:szCs w:val="24"/>
          <w:highlight w:val="none"/>
        </w:rPr>
        <w:t>除外）</w:t>
      </w:r>
    </w:p>
    <w:p w14:paraId="77BB2A74">
      <w:pPr>
        <w:widowControl w:val="0"/>
        <w:snapToGrid w:val="0"/>
        <w:spacing w:line="360" w:lineRule="auto"/>
        <w:ind w:left="55" w:leftChars="26" w:firstLine="540" w:firstLineChars="225"/>
        <w:rPr>
          <w:rFonts w:ascii="宋体" w:hAnsi="宋体"/>
          <w:b/>
          <w:color w:val="auto"/>
          <w:sz w:val="24"/>
          <w:szCs w:val="24"/>
          <w:highlight w:val="none"/>
        </w:rPr>
      </w:pPr>
      <w:r>
        <w:rPr>
          <w:rFonts w:hint="eastAsia" w:ascii="宋体" w:hAnsi="宋体"/>
          <w:color w:val="auto"/>
          <w:sz w:val="24"/>
          <w:szCs w:val="24"/>
          <w:highlight w:val="none"/>
        </w:rPr>
        <w:t>3.2地点</w:t>
      </w:r>
      <w:r>
        <w:rPr>
          <w:rFonts w:hint="eastAsia"/>
          <w:color w:val="auto"/>
          <w:sz w:val="24"/>
          <w:szCs w:val="24"/>
          <w:highlight w:val="none"/>
        </w:rPr>
        <w:t>：</w:t>
      </w:r>
      <w:r>
        <w:rPr>
          <w:rFonts w:hint="eastAsia"/>
          <w:b/>
          <w:bCs/>
          <w:color w:val="auto"/>
          <w:sz w:val="24"/>
          <w:szCs w:val="24"/>
          <w:highlight w:val="none"/>
        </w:rPr>
        <w:t>登陆安阳市公共资源交易中心网站（</w:t>
      </w:r>
      <w:r>
        <w:rPr>
          <w:b/>
          <w:bCs/>
          <w:color w:val="auto"/>
          <w:sz w:val="24"/>
          <w:szCs w:val="24"/>
          <w:highlight w:val="none"/>
        </w:rPr>
        <w:t>https</w:t>
      </w:r>
      <w:r>
        <w:rPr>
          <w:rFonts w:hint="eastAsia"/>
          <w:b/>
          <w:bCs/>
          <w:color w:val="auto"/>
          <w:sz w:val="24"/>
          <w:szCs w:val="24"/>
          <w:highlight w:val="none"/>
        </w:rPr>
        <w:t>：</w:t>
      </w:r>
      <w:r>
        <w:rPr>
          <w:b/>
          <w:bCs/>
          <w:color w:val="auto"/>
          <w:sz w:val="24"/>
          <w:szCs w:val="24"/>
          <w:highlight w:val="none"/>
        </w:rPr>
        <w:t>//ggzy.anyang.gov.cn</w:t>
      </w:r>
      <w:r>
        <w:rPr>
          <w:rFonts w:hint="eastAsia"/>
          <w:b/>
          <w:bCs/>
          <w:color w:val="auto"/>
          <w:sz w:val="24"/>
          <w:szCs w:val="24"/>
          <w:highlight w:val="none"/>
        </w:rPr>
        <w:t>），在【交易主体登录】入口完成注册。凭数字证书下载招标文件及其它资料。</w:t>
      </w:r>
    </w:p>
    <w:p w14:paraId="0D40F5F5">
      <w:pPr>
        <w:spacing w:line="360" w:lineRule="auto"/>
        <w:ind w:firstLine="540"/>
        <w:rPr>
          <w:b/>
          <w:bCs/>
          <w:color w:val="auto"/>
          <w:sz w:val="24"/>
          <w:szCs w:val="24"/>
          <w:highlight w:val="none"/>
        </w:rPr>
      </w:pPr>
      <w:r>
        <w:rPr>
          <w:rFonts w:hint="eastAsia" w:ascii="宋体" w:hAnsi="宋体"/>
          <w:color w:val="auto"/>
          <w:sz w:val="24"/>
          <w:szCs w:val="24"/>
          <w:highlight w:val="none"/>
        </w:rPr>
        <w:t>3.3方式：</w:t>
      </w:r>
      <w:r>
        <w:rPr>
          <w:rFonts w:hint="eastAsia"/>
          <w:b/>
          <w:bCs/>
          <w:color w:val="auto"/>
          <w:sz w:val="24"/>
          <w:szCs w:val="24"/>
          <w:highlight w:val="none"/>
        </w:rPr>
        <w:t>网上</w:t>
      </w:r>
      <w:r>
        <w:rPr>
          <w:b/>
          <w:bCs/>
          <w:color w:val="auto"/>
          <w:sz w:val="24"/>
          <w:szCs w:val="24"/>
          <w:highlight w:val="none"/>
        </w:rPr>
        <w:t>下载</w:t>
      </w:r>
      <w:r>
        <w:rPr>
          <w:rFonts w:hint="eastAsia"/>
          <w:b/>
          <w:bCs/>
          <w:color w:val="auto"/>
          <w:sz w:val="24"/>
          <w:szCs w:val="24"/>
          <w:highlight w:val="none"/>
        </w:rPr>
        <w:t>；</w:t>
      </w:r>
    </w:p>
    <w:p w14:paraId="3E132BF0">
      <w:pPr>
        <w:spacing w:line="360" w:lineRule="auto"/>
        <w:ind w:firstLine="540"/>
        <w:rPr>
          <w:b/>
          <w:bCs/>
          <w:color w:val="auto"/>
          <w:sz w:val="24"/>
          <w:szCs w:val="24"/>
          <w:highlight w:val="none"/>
        </w:rPr>
      </w:pPr>
      <w:r>
        <w:rPr>
          <w:rFonts w:hint="eastAsia"/>
          <w:b/>
          <w:bCs/>
          <w:color w:val="auto"/>
          <w:sz w:val="24"/>
          <w:szCs w:val="24"/>
          <w:highlight w:val="none"/>
        </w:rPr>
        <w:t>具体流程请查询安阳市公共资源交易中心网站-服务指南-操作手册-《安阳市公共资源交易系统投标人（供应商）操作手册》。</w:t>
      </w:r>
      <w:r>
        <w:rPr>
          <w:b/>
          <w:bCs/>
          <w:color w:val="auto"/>
          <w:sz w:val="24"/>
          <w:szCs w:val="24"/>
          <w:highlight w:val="none"/>
        </w:rPr>
        <w:t>如有技术问题请咨询</w:t>
      </w:r>
      <w:r>
        <w:rPr>
          <w:rFonts w:hint="eastAsia"/>
          <w:b/>
          <w:bCs/>
          <w:color w:val="auto"/>
          <w:sz w:val="24"/>
          <w:szCs w:val="24"/>
          <w:highlight w:val="none"/>
        </w:rPr>
        <w:t>400-998-0000、0372-3387739。</w:t>
      </w:r>
    </w:p>
    <w:p w14:paraId="508AA92F">
      <w:pPr>
        <w:spacing w:line="360" w:lineRule="auto"/>
        <w:ind w:firstLine="540"/>
        <w:rPr>
          <w:rFonts w:ascii="宋体" w:hAnsi="宋体" w:cs="宋体"/>
          <w:color w:val="auto"/>
          <w:sz w:val="24"/>
          <w:szCs w:val="24"/>
          <w:highlight w:val="none"/>
        </w:rPr>
      </w:pPr>
      <w:r>
        <w:rPr>
          <w:rFonts w:hint="eastAsia" w:ascii="宋体" w:hAnsi="宋体"/>
          <w:color w:val="auto"/>
          <w:sz w:val="24"/>
          <w:szCs w:val="24"/>
          <w:highlight w:val="none"/>
        </w:rPr>
        <w:t>3.4售价：</w:t>
      </w:r>
      <w:r>
        <w:rPr>
          <w:rFonts w:hint="eastAsia" w:ascii="宋体" w:hAnsi="宋体" w:cs="宋体"/>
          <w:color w:val="auto"/>
          <w:sz w:val="24"/>
          <w:szCs w:val="24"/>
          <w:highlight w:val="none"/>
        </w:rPr>
        <w:t>0元</w:t>
      </w:r>
    </w:p>
    <w:p w14:paraId="17466D5A">
      <w:pPr>
        <w:pStyle w:val="17"/>
        <w:shd w:val="clear" w:color="auto" w:fill="FFFFFF"/>
        <w:adjustRightInd w:val="0"/>
        <w:spacing w:before="50" w:beforeAutospacing="0" w:after="0" w:afterAutospacing="0" w:line="300" w:lineRule="auto"/>
        <w:rPr>
          <w:rFonts w:cs="Times New Roman"/>
          <w:color w:val="auto"/>
          <w:highlight w:val="none"/>
        </w:rPr>
      </w:pPr>
    </w:p>
    <w:p w14:paraId="4F720DFE">
      <w:pPr>
        <w:widowControl w:val="0"/>
        <w:snapToGrid w:val="0"/>
        <w:spacing w:line="360" w:lineRule="auto"/>
        <w:ind w:firstLine="562" w:firstLineChars="200"/>
        <w:rPr>
          <w:rFonts w:ascii="黑体" w:hAnsi="黑体" w:eastAsia="黑体"/>
          <w:b/>
          <w:color w:val="auto"/>
          <w:sz w:val="28"/>
          <w:szCs w:val="28"/>
          <w:highlight w:val="none"/>
        </w:rPr>
      </w:pPr>
      <w:bookmarkStart w:id="3" w:name="_Toc28359005"/>
      <w:bookmarkStart w:id="4" w:name="_Toc28359082"/>
      <w:bookmarkStart w:id="5" w:name="_Toc35393793"/>
      <w:bookmarkStart w:id="6" w:name="_Toc35393624"/>
      <w:r>
        <w:rPr>
          <w:rFonts w:hint="eastAsia" w:ascii="黑体" w:hAnsi="黑体" w:eastAsia="黑体"/>
          <w:b/>
          <w:color w:val="auto"/>
          <w:sz w:val="28"/>
          <w:szCs w:val="28"/>
          <w:highlight w:val="none"/>
        </w:rPr>
        <w:t>4.提交投标文件</w:t>
      </w:r>
      <w:bookmarkEnd w:id="3"/>
      <w:bookmarkEnd w:id="4"/>
      <w:r>
        <w:rPr>
          <w:rFonts w:hint="eastAsia" w:ascii="黑体" w:hAnsi="黑体" w:eastAsia="黑体"/>
          <w:b/>
          <w:color w:val="auto"/>
          <w:sz w:val="28"/>
          <w:szCs w:val="28"/>
          <w:highlight w:val="none"/>
        </w:rPr>
        <w:t>截止时间</w:t>
      </w:r>
      <w:bookmarkEnd w:id="5"/>
      <w:bookmarkEnd w:id="6"/>
      <w:r>
        <w:rPr>
          <w:rFonts w:hint="eastAsia" w:ascii="黑体" w:hAnsi="黑体" w:eastAsia="黑体"/>
          <w:b/>
          <w:color w:val="auto"/>
          <w:sz w:val="28"/>
          <w:szCs w:val="28"/>
          <w:highlight w:val="none"/>
        </w:rPr>
        <w:t>（投标截止时间及地点）</w:t>
      </w:r>
    </w:p>
    <w:p w14:paraId="251695A7">
      <w:pPr>
        <w:widowControl w:val="0"/>
        <w:adjustRightInd w:val="0"/>
        <w:spacing w:before="156" w:beforeLines="50" w:line="30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4.1时间：2025年</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日09时00分（北京时间）</w:t>
      </w:r>
    </w:p>
    <w:p w14:paraId="202083AF">
      <w:pPr>
        <w:widowControl w:val="0"/>
        <w:adjustRightInd w:val="0"/>
        <w:spacing w:before="156" w:beforeLines="50" w:line="30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4.2地点：于安阳市公共资源交易平台网上上传递交、并由投标人在规定时间远程解密。</w:t>
      </w:r>
    </w:p>
    <w:p w14:paraId="2EC466B4">
      <w:pPr>
        <w:widowControl w:val="0"/>
        <w:adjustRightInd w:val="0"/>
        <w:spacing w:before="156" w:beforeLines="50" w:line="300" w:lineRule="auto"/>
        <w:ind w:firstLine="632" w:firstLineChars="225"/>
        <w:rPr>
          <w:color w:val="auto"/>
          <w:sz w:val="24"/>
          <w:szCs w:val="24"/>
          <w:highlight w:val="none"/>
        </w:rPr>
      </w:pPr>
      <w:r>
        <w:rPr>
          <w:rFonts w:hint="eastAsia" w:ascii="黑体" w:hAnsi="黑体" w:eastAsia="黑体"/>
          <w:b/>
          <w:color w:val="auto"/>
          <w:sz w:val="28"/>
          <w:szCs w:val="28"/>
          <w:highlight w:val="none"/>
        </w:rPr>
        <w:t>5.开标时间和地点</w:t>
      </w:r>
    </w:p>
    <w:p w14:paraId="6B60C63B">
      <w:pPr>
        <w:widowControl w:val="0"/>
        <w:adjustRightInd w:val="0"/>
        <w:spacing w:before="156" w:beforeLines="50" w:line="30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5.1时间：2025年</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日09时00分（北京时间）</w:t>
      </w:r>
    </w:p>
    <w:p w14:paraId="4914E47F">
      <w:pPr>
        <w:widowControl w:val="0"/>
        <w:adjustRightInd w:val="0"/>
        <w:spacing w:before="156" w:beforeLines="50" w:line="300" w:lineRule="auto"/>
        <w:ind w:firstLine="540" w:firstLineChars="225"/>
        <w:rPr>
          <w:color w:val="auto"/>
          <w:sz w:val="24"/>
          <w:szCs w:val="24"/>
          <w:highlight w:val="none"/>
        </w:rPr>
      </w:pPr>
      <w:r>
        <w:rPr>
          <w:rFonts w:hint="eastAsia" w:ascii="宋体" w:hAnsi="宋体"/>
          <w:color w:val="auto"/>
          <w:sz w:val="24"/>
          <w:szCs w:val="24"/>
          <w:highlight w:val="none"/>
        </w:rPr>
        <w:t>5.2地点（</w:t>
      </w:r>
      <w:r>
        <w:rPr>
          <w:rFonts w:hint="eastAsia"/>
          <w:color w:val="auto"/>
          <w:sz w:val="24"/>
          <w:szCs w:val="24"/>
          <w:highlight w:val="none"/>
        </w:rPr>
        <w:t>管理员网上操作地点）：安阳市公共资源交易中心五楼集中开标大厅</w:t>
      </w:r>
      <w:r>
        <w:rPr>
          <w:rFonts w:hint="eastAsia"/>
          <w:color w:val="auto"/>
          <w:sz w:val="24"/>
          <w:szCs w:val="24"/>
          <w:highlight w:val="none"/>
          <w:lang w:val="en-US" w:eastAsia="zh-CN"/>
        </w:rPr>
        <w:t>2</w:t>
      </w:r>
      <w:r>
        <w:rPr>
          <w:rFonts w:hint="eastAsia"/>
          <w:color w:val="auto"/>
          <w:sz w:val="24"/>
          <w:szCs w:val="24"/>
          <w:highlight w:val="none"/>
        </w:rPr>
        <w:t>室（安阳市文峰大道东段559号安阳市民之家）。</w:t>
      </w:r>
    </w:p>
    <w:p w14:paraId="2BA6D3CC">
      <w:pPr>
        <w:widowControl w:val="0"/>
        <w:adjustRightInd w:val="0"/>
        <w:spacing w:before="156" w:beforeLines="50" w:line="300" w:lineRule="auto"/>
        <w:ind w:firstLine="540" w:firstLineChars="225"/>
        <w:rPr>
          <w:b/>
          <w:bCs/>
          <w:color w:val="auto"/>
          <w:sz w:val="24"/>
          <w:szCs w:val="24"/>
          <w:highlight w:val="none"/>
        </w:rPr>
      </w:pPr>
      <w:r>
        <w:rPr>
          <w:rFonts w:hint="eastAsia" w:ascii="宋体" w:hAnsi="宋体"/>
          <w:color w:val="auto"/>
          <w:sz w:val="24"/>
          <w:szCs w:val="24"/>
          <w:highlight w:val="none"/>
        </w:rPr>
        <w:t>5.3</w:t>
      </w:r>
      <w:r>
        <w:rPr>
          <w:b/>
          <w:bCs/>
          <w:color w:val="auto"/>
          <w:sz w:val="24"/>
          <w:szCs w:val="24"/>
          <w:highlight w:val="none"/>
        </w:rPr>
        <w:t>本项目采用远程不见面交易的模式，开标当日，投标人无需到开标现场参加开标会议，投标人应当在投标截止时间前，使用IE浏览器登录到安阳市公共资源交易不见面开标大厅，点击右上方【登录】按钮进入，在线准时参加开标活动并进行投标文件解密等。因投标人原因未能解密、解密失败或解密超时的将被拒绝。</w:t>
      </w:r>
    </w:p>
    <w:p w14:paraId="009DFF9F">
      <w:pPr>
        <w:widowControl w:val="0"/>
        <w:snapToGrid w:val="0"/>
        <w:spacing w:line="360" w:lineRule="auto"/>
        <w:ind w:firstLine="480" w:firstLineChars="200"/>
        <w:rPr>
          <w:color w:val="auto"/>
          <w:sz w:val="24"/>
          <w:szCs w:val="24"/>
          <w:highlight w:val="none"/>
        </w:rPr>
      </w:pPr>
    </w:p>
    <w:p w14:paraId="33339C30">
      <w:pPr>
        <w:widowControl w:val="0"/>
        <w:snapToGrid w:val="0"/>
        <w:spacing w:line="360" w:lineRule="auto"/>
        <w:ind w:firstLine="562" w:firstLineChars="200"/>
        <w:rPr>
          <w:rFonts w:ascii="黑体" w:hAnsi="黑体" w:eastAsia="黑体"/>
          <w:b/>
          <w:color w:val="auto"/>
          <w:sz w:val="28"/>
          <w:szCs w:val="28"/>
          <w:highlight w:val="none"/>
        </w:rPr>
      </w:pPr>
      <w:r>
        <w:rPr>
          <w:rFonts w:hint="eastAsia" w:ascii="黑体" w:hAnsi="黑体" w:eastAsia="黑体"/>
          <w:b/>
          <w:color w:val="auto"/>
          <w:sz w:val="28"/>
          <w:szCs w:val="28"/>
          <w:highlight w:val="none"/>
        </w:rPr>
        <w:t>6.发布公告的媒介及招标公告期限</w:t>
      </w:r>
    </w:p>
    <w:p w14:paraId="2B641F30">
      <w:pPr>
        <w:widowControl w:val="0"/>
        <w:adjustRightInd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本项目在“河南省政府采购网（安阳市政府采购网）”、“</w:t>
      </w:r>
      <w:r>
        <w:rPr>
          <w:rFonts w:hint="eastAsia" w:ascii="宋体" w:hAnsi="宋体" w:cs="宋体"/>
          <w:color w:val="auto"/>
          <w:sz w:val="24"/>
          <w:szCs w:val="24"/>
          <w:highlight w:val="none"/>
        </w:rPr>
        <w:t>全国公共资源交易平台（河南省·安阳市）</w:t>
      </w:r>
      <w:r>
        <w:rPr>
          <w:rFonts w:hint="eastAsia" w:ascii="宋体" w:hAnsi="宋体"/>
          <w:color w:val="auto"/>
          <w:sz w:val="24"/>
          <w:szCs w:val="24"/>
          <w:highlight w:val="none"/>
        </w:rPr>
        <w:t>安阳市公共资源交易中心”</w:t>
      </w:r>
      <w:r>
        <w:rPr>
          <w:rFonts w:hint="eastAsia" w:ascii="宋体" w:hAnsi="宋体" w:cs="宋体"/>
          <w:color w:val="auto"/>
          <w:sz w:val="24"/>
          <w:szCs w:val="24"/>
          <w:highlight w:val="none"/>
        </w:rPr>
        <w:t>、</w:t>
      </w:r>
      <w:r>
        <w:rPr>
          <w:rFonts w:hint="eastAsia" w:ascii="宋体" w:hAnsi="宋体"/>
          <w:color w:val="auto"/>
          <w:sz w:val="24"/>
          <w:szCs w:val="24"/>
          <w:highlight w:val="none"/>
        </w:rPr>
        <w:t>“安阳招标采购网”网站上同期发布。</w:t>
      </w:r>
      <w:r>
        <w:rPr>
          <w:rFonts w:hint="eastAsia" w:ascii="宋体" w:hAnsi="宋体" w:cs="宋体"/>
          <w:color w:val="auto"/>
          <w:sz w:val="24"/>
          <w:szCs w:val="24"/>
          <w:highlight w:val="none"/>
        </w:rPr>
        <w:t>招标公告期限为五个工作日。</w:t>
      </w:r>
    </w:p>
    <w:p w14:paraId="68E85FB2">
      <w:pPr>
        <w:tabs>
          <w:tab w:val="left" w:pos="39"/>
          <w:tab w:val="left" w:pos="96"/>
        </w:tabs>
        <w:snapToGrid w:val="0"/>
        <w:spacing w:line="360" w:lineRule="auto"/>
        <w:ind w:firstLine="566" w:firstLineChars="236"/>
        <w:rPr>
          <w:rFonts w:ascii="宋体" w:hAnsi="宋体"/>
          <w:color w:val="auto"/>
          <w:kern w:val="2"/>
          <w:sz w:val="24"/>
          <w:szCs w:val="24"/>
          <w:highlight w:val="none"/>
        </w:rPr>
      </w:pPr>
    </w:p>
    <w:p w14:paraId="46D2A045">
      <w:pPr>
        <w:widowControl w:val="0"/>
        <w:snapToGrid w:val="0"/>
        <w:spacing w:line="360" w:lineRule="auto"/>
        <w:ind w:firstLine="562" w:firstLineChars="200"/>
        <w:rPr>
          <w:rFonts w:ascii="黑体" w:hAnsi="黑体" w:eastAsia="黑体"/>
          <w:b/>
          <w:color w:val="auto"/>
          <w:sz w:val="28"/>
          <w:szCs w:val="28"/>
          <w:highlight w:val="none"/>
        </w:rPr>
      </w:pPr>
      <w:bookmarkStart w:id="7" w:name="_Toc35393795"/>
      <w:bookmarkStart w:id="8" w:name="_Toc35393626"/>
      <w:r>
        <w:rPr>
          <w:rFonts w:hint="eastAsia" w:ascii="黑体" w:hAnsi="黑体" w:eastAsia="黑体"/>
          <w:b/>
          <w:color w:val="auto"/>
          <w:sz w:val="28"/>
          <w:szCs w:val="28"/>
          <w:highlight w:val="none"/>
        </w:rPr>
        <w:t>7.其他补充事宜</w:t>
      </w:r>
      <w:bookmarkEnd w:id="7"/>
      <w:bookmarkEnd w:id="8"/>
    </w:p>
    <w:p w14:paraId="332693FA">
      <w:pPr>
        <w:widowControl w:val="0"/>
        <w:snapToGrid w:val="0"/>
        <w:spacing w:line="360" w:lineRule="auto"/>
        <w:ind w:firstLine="540" w:firstLineChars="225"/>
        <w:jc w:val="left"/>
        <w:rPr>
          <w:color w:val="auto"/>
          <w:sz w:val="24"/>
          <w:szCs w:val="24"/>
          <w:highlight w:val="none"/>
        </w:rPr>
      </w:pPr>
      <w:r>
        <w:rPr>
          <w:rFonts w:hint="eastAsia" w:ascii="宋体" w:hAnsi="宋体"/>
          <w:color w:val="auto"/>
          <w:sz w:val="24"/>
          <w:szCs w:val="24"/>
          <w:highlight w:val="none"/>
        </w:rPr>
        <w:t>7.1项目落实的政府采购政策：</w:t>
      </w:r>
      <w:r>
        <w:rPr>
          <w:rFonts w:hint="eastAsia"/>
          <w:color w:val="auto"/>
          <w:sz w:val="24"/>
          <w:szCs w:val="24"/>
          <w:highlight w:val="none"/>
        </w:rPr>
        <w:t>强制节能产品强制采购、节能产品、环境标志产品优先采购、促进中小企业发展扶持政策、进口产品政策、信息安全产品、社会信用体系建设、促进残疾人就业、支持监狱企业发展、</w:t>
      </w:r>
      <w:r>
        <w:rPr>
          <w:rFonts w:hint="eastAsia" w:ascii="宋体" w:hAnsi="宋体"/>
          <w:color w:val="auto"/>
          <w:sz w:val="24"/>
          <w:szCs w:val="24"/>
          <w:highlight w:val="none"/>
        </w:rPr>
        <w:t>支持绿色建筑、绿色建材，支持不发达、少数民族地区的企业，促进自主创新产业发展，支持脱贫攻坚等</w:t>
      </w:r>
      <w:r>
        <w:rPr>
          <w:rFonts w:hint="eastAsia"/>
          <w:color w:val="auto"/>
          <w:sz w:val="24"/>
          <w:szCs w:val="24"/>
          <w:highlight w:val="none"/>
        </w:rPr>
        <w:t>。</w:t>
      </w:r>
    </w:p>
    <w:p w14:paraId="78EA7E1B">
      <w:pPr>
        <w:widowControl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7.2政府采购合同融资</w:t>
      </w:r>
    </w:p>
    <w:p w14:paraId="0AB849EC">
      <w:pPr>
        <w:widowControl w:val="0"/>
        <w:adjustRightInd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根据豫财购〔2017〕10号和安财购〔2017〕7号文要求，参加政府采购项目的中小微企业供应商，持中标（成交）通知书可向金融机构申请合同融资，详情请登录安阳市政府采购网（http：//anyang.hngp.gov.cn/anyang），进入网站飘窗或业务指南窗口了解金融机构提供的融资服务内容。</w:t>
      </w:r>
    </w:p>
    <w:p w14:paraId="49699786">
      <w:pPr>
        <w:pStyle w:val="17"/>
        <w:shd w:val="clear" w:color="auto" w:fill="FFFFFF"/>
        <w:adjustRightInd w:val="0"/>
        <w:spacing w:before="50" w:beforeAutospacing="0" w:after="0" w:afterAutospacing="0" w:line="300" w:lineRule="auto"/>
        <w:ind w:firstLine="540" w:firstLineChars="225"/>
        <w:rPr>
          <w:rFonts w:cs="Times New Roman"/>
          <w:color w:val="auto"/>
          <w:highlight w:val="none"/>
        </w:rPr>
      </w:pPr>
      <w:r>
        <w:rPr>
          <w:rFonts w:hint="eastAsia"/>
          <w:color w:val="auto"/>
          <w:highlight w:val="none"/>
        </w:rPr>
        <w:t>7.3</w:t>
      </w:r>
      <w:r>
        <w:rPr>
          <w:rFonts w:hint="eastAsia" w:cs="Times New Roman"/>
          <w:color w:val="auto"/>
          <w:highlight w:val="none"/>
        </w:rPr>
        <w:t>网</w:t>
      </w:r>
      <w:r>
        <w:rPr>
          <w:rFonts w:cs="Times New Roman"/>
          <w:color w:val="auto"/>
          <w:highlight w:val="none"/>
        </w:rPr>
        <w:t>上</w:t>
      </w:r>
      <w:r>
        <w:rPr>
          <w:rFonts w:hint="eastAsia" w:cs="Times New Roman"/>
          <w:color w:val="auto"/>
          <w:highlight w:val="none"/>
        </w:rPr>
        <w:t>电子交易系</w:t>
      </w:r>
      <w:r>
        <w:rPr>
          <w:rFonts w:cs="Times New Roman"/>
          <w:color w:val="auto"/>
          <w:highlight w:val="none"/>
        </w:rPr>
        <w:t>统</w:t>
      </w:r>
      <w:r>
        <w:rPr>
          <w:rFonts w:hint="eastAsia" w:cs="Times New Roman"/>
          <w:color w:val="auto"/>
          <w:highlight w:val="none"/>
        </w:rPr>
        <w:t>网</w:t>
      </w:r>
      <w:r>
        <w:rPr>
          <w:rFonts w:cs="Times New Roman"/>
          <w:color w:val="auto"/>
          <w:highlight w:val="none"/>
        </w:rPr>
        <w:t>址</w:t>
      </w:r>
    </w:p>
    <w:p w14:paraId="1D2BD5F8">
      <w:pPr>
        <w:widowControl w:val="0"/>
        <w:tabs>
          <w:tab w:val="left" w:pos="39"/>
          <w:tab w:val="left" w:pos="96"/>
        </w:tabs>
        <w:snapToGrid w:val="0"/>
        <w:spacing w:line="360" w:lineRule="auto"/>
        <w:ind w:firstLine="590" w:firstLineChars="245"/>
        <w:rPr>
          <w:rStyle w:val="26"/>
          <w:b/>
          <w:color w:val="auto"/>
          <w:sz w:val="24"/>
          <w:szCs w:val="24"/>
          <w:highlight w:val="none"/>
        </w:rPr>
      </w:pPr>
      <w:r>
        <w:rPr>
          <w:rFonts w:hint="eastAsia" w:ascii="宋体"/>
          <w:b/>
          <w:color w:val="auto"/>
          <w:sz w:val="24"/>
          <w:szCs w:val="24"/>
          <w:highlight w:val="none"/>
        </w:rPr>
        <w:t>7</w:t>
      </w:r>
      <w:r>
        <w:rPr>
          <w:rFonts w:ascii="宋体"/>
          <w:b/>
          <w:color w:val="auto"/>
          <w:sz w:val="24"/>
          <w:szCs w:val="24"/>
          <w:highlight w:val="none"/>
        </w:rPr>
        <w:t>.</w:t>
      </w:r>
      <w:r>
        <w:rPr>
          <w:rFonts w:hint="eastAsia" w:ascii="宋体"/>
          <w:b/>
          <w:color w:val="auto"/>
          <w:sz w:val="24"/>
          <w:szCs w:val="24"/>
          <w:highlight w:val="none"/>
        </w:rPr>
        <w:t>3.</w:t>
      </w:r>
      <w:r>
        <w:rPr>
          <w:rFonts w:ascii="宋体"/>
          <w:b/>
          <w:color w:val="auto"/>
          <w:sz w:val="24"/>
          <w:szCs w:val="24"/>
          <w:highlight w:val="none"/>
        </w:rPr>
        <w:t>1</w:t>
      </w:r>
      <w:r>
        <w:rPr>
          <w:rFonts w:hint="eastAsia" w:ascii="宋体" w:hAnsi="宋体"/>
          <w:b/>
          <w:color w:val="auto"/>
          <w:sz w:val="24"/>
          <w:szCs w:val="24"/>
          <w:highlight w:val="none"/>
        </w:rPr>
        <w:t>全国公共资源交易平</w:t>
      </w:r>
      <w:r>
        <w:rPr>
          <w:rFonts w:ascii="宋体" w:hAnsi="宋体"/>
          <w:b/>
          <w:color w:val="auto"/>
          <w:sz w:val="24"/>
          <w:szCs w:val="24"/>
          <w:highlight w:val="none"/>
        </w:rPr>
        <w:t>台</w:t>
      </w:r>
      <w:r>
        <w:rPr>
          <w:rFonts w:hint="eastAsia" w:ascii="宋体" w:hAnsi="宋体"/>
          <w:b/>
          <w:color w:val="auto"/>
          <w:sz w:val="24"/>
          <w:szCs w:val="24"/>
          <w:highlight w:val="none"/>
        </w:rPr>
        <w:t>（河南</w:t>
      </w:r>
      <w:r>
        <w:rPr>
          <w:rFonts w:ascii="宋体" w:hAnsi="宋体"/>
          <w:b/>
          <w:color w:val="auto"/>
          <w:sz w:val="24"/>
          <w:szCs w:val="24"/>
          <w:highlight w:val="none"/>
        </w:rPr>
        <w:t>省</w:t>
      </w:r>
      <w:r>
        <w:rPr>
          <w:rFonts w:hint="eastAsia" w:ascii="宋体" w:hAnsi="宋体" w:cs="宋体"/>
          <w:color w:val="auto"/>
          <w:sz w:val="24"/>
          <w:szCs w:val="24"/>
          <w:highlight w:val="none"/>
        </w:rPr>
        <w:t>·</w:t>
      </w:r>
      <w:r>
        <w:rPr>
          <w:rFonts w:hint="eastAsia" w:ascii="宋体" w:hAnsi="宋体"/>
          <w:b/>
          <w:color w:val="auto"/>
          <w:sz w:val="24"/>
          <w:szCs w:val="24"/>
          <w:highlight w:val="none"/>
        </w:rPr>
        <w:t>安</w:t>
      </w:r>
      <w:r>
        <w:rPr>
          <w:rFonts w:ascii="宋体" w:hAnsi="宋体"/>
          <w:b/>
          <w:color w:val="auto"/>
          <w:sz w:val="24"/>
          <w:szCs w:val="24"/>
          <w:highlight w:val="none"/>
        </w:rPr>
        <w:t>阳</w:t>
      </w:r>
      <w:r>
        <w:rPr>
          <w:rFonts w:hint="eastAsia" w:ascii="宋体" w:hAnsi="宋体"/>
          <w:b/>
          <w:color w:val="auto"/>
          <w:sz w:val="24"/>
          <w:szCs w:val="24"/>
          <w:highlight w:val="none"/>
        </w:rPr>
        <w:t>市</w:t>
      </w:r>
      <w:r>
        <w:rPr>
          <w:rFonts w:ascii="宋体" w:hAnsi="宋体"/>
          <w:b/>
          <w:color w:val="auto"/>
          <w:sz w:val="24"/>
          <w:szCs w:val="24"/>
          <w:highlight w:val="none"/>
        </w:rPr>
        <w:t>）</w:t>
      </w:r>
      <w:r>
        <w:rPr>
          <w:color w:val="auto"/>
          <w:highlight w:val="none"/>
        </w:rPr>
        <w:fldChar w:fldCharType="begin"/>
      </w:r>
      <w:r>
        <w:rPr>
          <w:color w:val="auto"/>
          <w:highlight w:val="none"/>
        </w:rPr>
        <w:instrText xml:space="preserve"> HYPERLINK "https://ggzy.anyang.gov.cn" </w:instrText>
      </w:r>
      <w:r>
        <w:rPr>
          <w:color w:val="auto"/>
          <w:highlight w:val="none"/>
        </w:rPr>
        <w:fldChar w:fldCharType="separate"/>
      </w:r>
      <w:r>
        <w:rPr>
          <w:rStyle w:val="26"/>
          <w:b/>
          <w:color w:val="auto"/>
          <w:sz w:val="24"/>
          <w:szCs w:val="24"/>
          <w:highlight w:val="none"/>
        </w:rPr>
        <w:t>https</w:t>
      </w:r>
      <w:r>
        <w:rPr>
          <w:rStyle w:val="26"/>
          <w:rFonts w:hint="eastAsia"/>
          <w:b/>
          <w:color w:val="auto"/>
          <w:sz w:val="24"/>
          <w:szCs w:val="24"/>
          <w:highlight w:val="none"/>
        </w:rPr>
        <w:t>：</w:t>
      </w:r>
      <w:r>
        <w:rPr>
          <w:rStyle w:val="26"/>
          <w:b/>
          <w:color w:val="auto"/>
          <w:sz w:val="24"/>
          <w:szCs w:val="24"/>
          <w:highlight w:val="none"/>
        </w:rPr>
        <w:t>//ggzy.anyang.gov.cn</w:t>
      </w:r>
      <w:r>
        <w:rPr>
          <w:rStyle w:val="26"/>
          <w:b/>
          <w:color w:val="auto"/>
          <w:sz w:val="24"/>
          <w:szCs w:val="24"/>
          <w:highlight w:val="none"/>
        </w:rPr>
        <w:fldChar w:fldCharType="end"/>
      </w:r>
    </w:p>
    <w:p w14:paraId="269ECB5B">
      <w:pPr>
        <w:widowControl w:val="0"/>
        <w:tabs>
          <w:tab w:val="left" w:pos="39"/>
          <w:tab w:val="left" w:pos="96"/>
        </w:tabs>
        <w:snapToGrid w:val="0"/>
        <w:spacing w:line="360" w:lineRule="auto"/>
        <w:ind w:firstLine="590" w:firstLineChars="245"/>
        <w:rPr>
          <w:rFonts w:ascii="宋体"/>
          <w:b/>
          <w:color w:val="auto"/>
          <w:sz w:val="24"/>
          <w:szCs w:val="24"/>
          <w:highlight w:val="none"/>
        </w:rPr>
      </w:pPr>
      <w:r>
        <w:rPr>
          <w:rFonts w:hint="eastAsia" w:ascii="宋体" w:hAnsi="宋体"/>
          <w:b/>
          <w:color w:val="auto"/>
          <w:sz w:val="24"/>
          <w:szCs w:val="24"/>
          <w:highlight w:val="none"/>
        </w:rPr>
        <w:t>招标文件</w:t>
      </w:r>
      <w:r>
        <w:rPr>
          <w:rFonts w:ascii="宋体" w:hAnsi="宋体"/>
          <w:b/>
          <w:color w:val="auto"/>
          <w:sz w:val="24"/>
          <w:szCs w:val="24"/>
          <w:highlight w:val="none"/>
        </w:rPr>
        <w:t>简称“</w:t>
      </w:r>
      <w:r>
        <w:rPr>
          <w:rFonts w:hint="eastAsia" w:ascii="宋体" w:hAnsi="宋体"/>
          <w:b/>
          <w:color w:val="auto"/>
          <w:sz w:val="24"/>
          <w:szCs w:val="24"/>
          <w:highlight w:val="none"/>
        </w:rPr>
        <w:t>安</w:t>
      </w:r>
      <w:r>
        <w:rPr>
          <w:rFonts w:ascii="宋体" w:hAnsi="宋体"/>
          <w:b/>
          <w:color w:val="auto"/>
          <w:sz w:val="24"/>
          <w:szCs w:val="24"/>
          <w:highlight w:val="none"/>
        </w:rPr>
        <w:t>阳</w:t>
      </w:r>
      <w:r>
        <w:rPr>
          <w:rFonts w:hint="eastAsia" w:ascii="宋体" w:hAnsi="宋体"/>
          <w:b/>
          <w:color w:val="auto"/>
          <w:sz w:val="24"/>
          <w:szCs w:val="24"/>
          <w:highlight w:val="none"/>
        </w:rPr>
        <w:t>市公共资源交易平</w:t>
      </w:r>
      <w:r>
        <w:rPr>
          <w:rFonts w:ascii="宋体" w:hAnsi="宋体"/>
          <w:b/>
          <w:color w:val="auto"/>
          <w:sz w:val="24"/>
          <w:szCs w:val="24"/>
          <w:highlight w:val="none"/>
        </w:rPr>
        <w:t>台”</w:t>
      </w:r>
    </w:p>
    <w:p w14:paraId="2DB043D6">
      <w:pPr>
        <w:widowControl w:val="0"/>
        <w:tabs>
          <w:tab w:val="left" w:pos="39"/>
          <w:tab w:val="left" w:pos="96"/>
        </w:tabs>
        <w:snapToGrid w:val="0"/>
        <w:spacing w:line="360" w:lineRule="auto"/>
        <w:ind w:firstLine="602" w:firstLineChars="250"/>
        <w:rPr>
          <w:rFonts w:ascii="宋体"/>
          <w:b/>
          <w:color w:val="auto"/>
          <w:sz w:val="24"/>
          <w:szCs w:val="24"/>
          <w:highlight w:val="none"/>
        </w:rPr>
      </w:pPr>
      <w:r>
        <w:rPr>
          <w:rFonts w:hint="eastAsia" w:ascii="宋体"/>
          <w:b/>
          <w:color w:val="auto"/>
          <w:sz w:val="24"/>
          <w:szCs w:val="24"/>
          <w:highlight w:val="none"/>
        </w:rPr>
        <w:t>7</w:t>
      </w:r>
      <w:r>
        <w:rPr>
          <w:rFonts w:ascii="宋体"/>
          <w:b/>
          <w:color w:val="auto"/>
          <w:sz w:val="24"/>
          <w:szCs w:val="24"/>
          <w:highlight w:val="none"/>
        </w:rPr>
        <w:t>.</w:t>
      </w:r>
      <w:r>
        <w:rPr>
          <w:rFonts w:hint="eastAsia" w:ascii="宋体"/>
          <w:b/>
          <w:color w:val="auto"/>
          <w:sz w:val="24"/>
          <w:szCs w:val="24"/>
          <w:highlight w:val="none"/>
        </w:rPr>
        <w:t>3.</w:t>
      </w:r>
      <w:r>
        <w:rPr>
          <w:rFonts w:ascii="宋体"/>
          <w:b/>
          <w:color w:val="auto"/>
          <w:sz w:val="24"/>
          <w:szCs w:val="24"/>
          <w:highlight w:val="none"/>
        </w:rPr>
        <w:t>2</w:t>
      </w:r>
      <w:r>
        <w:rPr>
          <w:rFonts w:hint="eastAsia" w:ascii="宋体"/>
          <w:b/>
          <w:color w:val="auto"/>
          <w:sz w:val="24"/>
          <w:szCs w:val="24"/>
          <w:highlight w:val="none"/>
        </w:rPr>
        <w:t>投标文件制作软件：在安阳市公共资源交易平台进行下载、并安装投标文件制作工具，查看招标文件和制作电子投标文件。</w:t>
      </w:r>
    </w:p>
    <w:p w14:paraId="69937B37">
      <w:pPr>
        <w:widowControl w:val="0"/>
        <w:snapToGrid w:val="0"/>
        <w:spacing w:line="360" w:lineRule="auto"/>
        <w:jc w:val="left"/>
        <w:rPr>
          <w:rFonts w:ascii="黑体" w:hAnsi="黑体" w:eastAsia="黑体"/>
          <w:b/>
          <w:color w:val="auto"/>
          <w:sz w:val="28"/>
          <w:szCs w:val="28"/>
          <w:highlight w:val="none"/>
        </w:rPr>
      </w:pPr>
    </w:p>
    <w:p w14:paraId="4ED11871">
      <w:pPr>
        <w:widowControl w:val="0"/>
        <w:snapToGrid w:val="0"/>
        <w:spacing w:line="360" w:lineRule="auto"/>
        <w:ind w:firstLine="562" w:firstLineChars="200"/>
        <w:rPr>
          <w:rFonts w:ascii="黑体" w:hAnsi="黑体" w:eastAsia="黑体"/>
          <w:b/>
          <w:color w:val="auto"/>
          <w:sz w:val="28"/>
          <w:szCs w:val="28"/>
          <w:highlight w:val="none"/>
        </w:rPr>
      </w:pPr>
      <w:bookmarkStart w:id="9" w:name="_Toc28359085"/>
      <w:bookmarkStart w:id="10" w:name="_Toc28359008"/>
      <w:bookmarkStart w:id="11" w:name="_Toc35393796"/>
      <w:bookmarkStart w:id="12" w:name="_Toc35393627"/>
      <w:r>
        <w:rPr>
          <w:rFonts w:hint="eastAsia" w:ascii="黑体" w:hAnsi="黑体" w:eastAsia="黑体"/>
          <w:b/>
          <w:color w:val="auto"/>
          <w:sz w:val="28"/>
          <w:szCs w:val="28"/>
          <w:highlight w:val="none"/>
        </w:rPr>
        <w:t>8.对本次招标提出询问，请按</w:t>
      </w:r>
      <w:r>
        <w:rPr>
          <w:rFonts w:ascii="黑体" w:hAnsi="黑体" w:eastAsia="黑体"/>
          <w:b/>
          <w:color w:val="auto"/>
          <w:sz w:val="28"/>
          <w:szCs w:val="28"/>
          <w:highlight w:val="none"/>
        </w:rPr>
        <w:t>以下方式</w:t>
      </w:r>
      <w:r>
        <w:rPr>
          <w:rFonts w:hint="eastAsia" w:ascii="黑体" w:hAnsi="黑体" w:eastAsia="黑体"/>
          <w:b/>
          <w:color w:val="auto"/>
          <w:sz w:val="28"/>
          <w:szCs w:val="28"/>
          <w:highlight w:val="none"/>
        </w:rPr>
        <w:t>联系。</w:t>
      </w:r>
      <w:bookmarkEnd w:id="9"/>
      <w:bookmarkEnd w:id="10"/>
      <w:bookmarkEnd w:id="11"/>
      <w:bookmarkEnd w:id="12"/>
    </w:p>
    <w:p w14:paraId="4C2A0B60">
      <w:pPr>
        <w:ind w:firstLine="240" w:firstLineChars="100"/>
        <w:jc w:val="left"/>
        <w:rPr>
          <w:rFonts w:ascii="宋体" w:hAnsi="宋体"/>
          <w:color w:val="auto"/>
          <w:sz w:val="24"/>
          <w:szCs w:val="24"/>
          <w:highlight w:val="none"/>
        </w:rPr>
      </w:pPr>
      <w:r>
        <w:rPr>
          <w:rFonts w:hint="eastAsia" w:ascii="宋体" w:hAnsi="宋体" w:cs="宋体"/>
          <w:color w:val="auto"/>
          <w:sz w:val="24"/>
          <w:szCs w:val="24"/>
          <w:highlight w:val="none"/>
        </w:rPr>
        <w:t>　8.1采购人信息</w:t>
      </w:r>
    </w:p>
    <w:p w14:paraId="0B59FE3D">
      <w:pPr>
        <w:spacing w:line="360" w:lineRule="auto"/>
        <w:ind w:left="1079" w:leftChars="428" w:hanging="180" w:hangingChars="75"/>
        <w:jc w:val="left"/>
        <w:rPr>
          <w:rFonts w:ascii="宋体" w:hAnsi="宋体"/>
          <w:color w:val="auto"/>
          <w:sz w:val="24"/>
          <w:szCs w:val="24"/>
          <w:highlight w:val="none"/>
        </w:rPr>
      </w:pPr>
      <w:r>
        <w:rPr>
          <w:rFonts w:hint="eastAsia" w:ascii="宋体" w:hAnsi="宋体"/>
          <w:color w:val="auto"/>
          <w:sz w:val="24"/>
          <w:szCs w:val="24"/>
          <w:highlight w:val="none"/>
        </w:rPr>
        <w:t>名 称：安阳市融媒体中心</w:t>
      </w:r>
    </w:p>
    <w:p w14:paraId="56942F46">
      <w:pPr>
        <w:spacing w:line="360" w:lineRule="auto"/>
        <w:ind w:left="1079" w:leftChars="428" w:hanging="180" w:hangingChars="75"/>
        <w:jc w:val="left"/>
        <w:rPr>
          <w:rFonts w:ascii="宋体" w:hAnsi="宋体"/>
          <w:color w:val="auto"/>
          <w:sz w:val="24"/>
          <w:szCs w:val="24"/>
          <w:highlight w:val="none"/>
        </w:rPr>
      </w:pPr>
      <w:r>
        <w:rPr>
          <w:rFonts w:hint="eastAsia" w:ascii="宋体" w:hAnsi="宋体"/>
          <w:color w:val="auto"/>
          <w:sz w:val="24"/>
          <w:szCs w:val="24"/>
          <w:highlight w:val="none"/>
        </w:rPr>
        <w:t>地址：安阳市文峰区文明大道东段446号　       　</w:t>
      </w:r>
    </w:p>
    <w:p w14:paraId="3467F8EA">
      <w:pPr>
        <w:spacing w:line="360" w:lineRule="auto"/>
        <w:ind w:left="1079" w:leftChars="428" w:hanging="180" w:hangingChars="75"/>
        <w:jc w:val="left"/>
        <w:rPr>
          <w:rFonts w:ascii="宋体" w:hAnsi="宋体"/>
          <w:color w:val="auto"/>
          <w:sz w:val="24"/>
          <w:szCs w:val="24"/>
          <w:highlight w:val="none"/>
        </w:rPr>
      </w:pPr>
      <w:r>
        <w:rPr>
          <w:rFonts w:hint="eastAsia" w:ascii="宋体" w:hAnsi="宋体"/>
          <w:color w:val="auto"/>
          <w:sz w:val="24"/>
          <w:szCs w:val="24"/>
          <w:highlight w:val="none"/>
        </w:rPr>
        <w:t xml:space="preserve">联系人：张卫星（包1）、文志勇（包2）    </w:t>
      </w:r>
    </w:p>
    <w:p w14:paraId="0FB6516A">
      <w:pPr>
        <w:spacing w:line="360" w:lineRule="auto"/>
        <w:ind w:left="1079" w:leftChars="428" w:hanging="180" w:hangingChars="75"/>
        <w:jc w:val="left"/>
        <w:rPr>
          <w:rFonts w:ascii="宋体" w:hAnsi="宋体"/>
          <w:color w:val="auto"/>
          <w:sz w:val="24"/>
          <w:szCs w:val="24"/>
          <w:highlight w:val="none"/>
        </w:rPr>
      </w:pPr>
      <w:r>
        <w:rPr>
          <w:rFonts w:hint="eastAsia" w:ascii="宋体" w:hAnsi="宋体"/>
          <w:color w:val="auto"/>
          <w:sz w:val="24"/>
          <w:szCs w:val="24"/>
          <w:highlight w:val="none"/>
        </w:rPr>
        <w:t>联系方式：</w:t>
      </w:r>
      <w:r>
        <w:rPr>
          <w:rFonts w:ascii="宋体" w:hAnsi="宋体"/>
          <w:color w:val="auto"/>
          <w:sz w:val="24"/>
          <w:szCs w:val="24"/>
          <w:highlight w:val="none"/>
        </w:rPr>
        <w:t>13849281000</w:t>
      </w:r>
      <w:r>
        <w:rPr>
          <w:rFonts w:hint="eastAsia" w:ascii="宋体" w:hAnsi="宋体"/>
          <w:color w:val="auto"/>
          <w:sz w:val="24"/>
          <w:szCs w:val="24"/>
          <w:highlight w:val="none"/>
        </w:rPr>
        <w:t xml:space="preserve">、15937259121     </w:t>
      </w:r>
      <w:bookmarkStart w:id="13" w:name="_Toc28359009"/>
      <w:bookmarkStart w:id="14" w:name="_Toc28359086"/>
    </w:p>
    <w:p w14:paraId="0AE771BC">
      <w:pPr>
        <w:spacing w:line="360" w:lineRule="auto"/>
        <w:ind w:firstLine="480" w:firstLineChars="200"/>
        <w:jc w:val="left"/>
        <w:rPr>
          <w:rFonts w:ascii="宋体" w:hAnsi="宋体"/>
          <w:color w:val="auto"/>
          <w:sz w:val="24"/>
          <w:szCs w:val="24"/>
          <w:highlight w:val="none"/>
        </w:rPr>
      </w:pPr>
      <w:r>
        <w:rPr>
          <w:rFonts w:hint="eastAsia" w:ascii="宋体" w:hAnsi="宋体" w:cs="宋体"/>
          <w:color w:val="auto"/>
          <w:sz w:val="24"/>
          <w:szCs w:val="24"/>
          <w:highlight w:val="none"/>
        </w:rPr>
        <w:t>8.2 采购代理机构信息</w:t>
      </w:r>
      <w:bookmarkEnd w:id="13"/>
      <w:bookmarkEnd w:id="14"/>
    </w:p>
    <w:p w14:paraId="15CA308D">
      <w:pPr>
        <w:spacing w:line="360" w:lineRule="auto"/>
        <w:ind w:firstLine="840" w:firstLineChars="350"/>
        <w:rPr>
          <w:rFonts w:ascii="宋体" w:hAnsi="宋体"/>
          <w:color w:val="auto"/>
          <w:sz w:val="24"/>
          <w:szCs w:val="24"/>
          <w:highlight w:val="none"/>
        </w:rPr>
      </w:pPr>
      <w:r>
        <w:rPr>
          <w:rFonts w:hint="eastAsia" w:ascii="宋体" w:hAnsi="宋体"/>
          <w:color w:val="auto"/>
          <w:sz w:val="24"/>
          <w:szCs w:val="24"/>
          <w:highlight w:val="none"/>
        </w:rPr>
        <w:t>名 称：安阳市方正招标采购服务有限责任公司  　</w:t>
      </w:r>
    </w:p>
    <w:p w14:paraId="6498BD80">
      <w:pPr>
        <w:spacing w:line="360" w:lineRule="auto"/>
        <w:ind w:left="1678" w:leftChars="342" w:hanging="960" w:hangingChars="400"/>
        <w:rPr>
          <w:rFonts w:ascii="宋体" w:hAnsi="宋体"/>
          <w:color w:val="auto"/>
          <w:sz w:val="24"/>
          <w:szCs w:val="24"/>
          <w:highlight w:val="none"/>
        </w:rPr>
      </w:pPr>
      <w:r>
        <w:rPr>
          <w:rFonts w:hint="eastAsia" w:ascii="宋体" w:hAnsi="宋体"/>
          <w:color w:val="auto"/>
          <w:sz w:val="24"/>
          <w:szCs w:val="24"/>
          <w:highlight w:val="none"/>
        </w:rPr>
        <w:t>地　址：安阳市安钢大道39号（人民大道北地下道口南侧、安阳粮食产业集团-后院办公楼五楼）　</w:t>
      </w:r>
    </w:p>
    <w:p w14:paraId="524AEC09">
      <w:pPr>
        <w:spacing w:line="360" w:lineRule="auto"/>
        <w:ind w:firstLine="840" w:firstLineChars="350"/>
        <w:rPr>
          <w:rFonts w:ascii="宋体" w:hAnsi="宋体"/>
          <w:color w:val="auto"/>
          <w:sz w:val="24"/>
          <w:szCs w:val="24"/>
          <w:highlight w:val="none"/>
        </w:rPr>
      </w:pPr>
      <w:r>
        <w:rPr>
          <w:rFonts w:hint="eastAsia" w:ascii="宋体" w:hAnsi="宋体"/>
          <w:color w:val="auto"/>
          <w:sz w:val="24"/>
          <w:szCs w:val="24"/>
          <w:highlight w:val="none"/>
        </w:rPr>
        <w:t xml:space="preserve">联系人：白杨   </w:t>
      </w:r>
    </w:p>
    <w:p w14:paraId="509F1E23">
      <w:pPr>
        <w:spacing w:line="360" w:lineRule="auto"/>
        <w:ind w:firstLine="840" w:firstLineChars="350"/>
        <w:rPr>
          <w:rFonts w:ascii="宋体" w:hAnsi="宋体"/>
          <w:color w:val="auto"/>
          <w:sz w:val="24"/>
          <w:szCs w:val="24"/>
          <w:highlight w:val="none"/>
        </w:rPr>
      </w:pPr>
      <w:r>
        <w:rPr>
          <w:rFonts w:hint="eastAsia" w:ascii="宋体" w:hAnsi="宋体"/>
          <w:color w:val="auto"/>
          <w:sz w:val="24"/>
          <w:szCs w:val="24"/>
          <w:highlight w:val="none"/>
        </w:rPr>
        <w:t>联系方式：</w:t>
      </w:r>
      <w:bookmarkStart w:id="15" w:name="_Toc28359010"/>
      <w:bookmarkStart w:id="16" w:name="_Toc28359087"/>
      <w:r>
        <w:rPr>
          <w:rFonts w:hint="eastAsia" w:ascii="宋体" w:hAnsi="宋体"/>
          <w:color w:val="auto"/>
          <w:sz w:val="24"/>
          <w:szCs w:val="24"/>
          <w:highlight w:val="none"/>
        </w:rPr>
        <w:t>0372-2283981、2283982   财务部咨询电话：0372-2283983　</w:t>
      </w:r>
    </w:p>
    <w:p w14:paraId="21630AE9">
      <w:pPr>
        <w:spacing w:line="360" w:lineRule="auto"/>
        <w:ind w:firstLine="480" w:firstLineChars="200"/>
        <w:rPr>
          <w:rFonts w:ascii="宋体" w:hAnsi="宋体"/>
          <w:color w:val="auto"/>
          <w:sz w:val="24"/>
          <w:szCs w:val="24"/>
          <w:highlight w:val="none"/>
        </w:rPr>
      </w:pPr>
      <w:r>
        <w:rPr>
          <w:rFonts w:hint="eastAsia" w:ascii="宋体" w:hAnsi="宋体" w:cs="宋体"/>
          <w:color w:val="auto"/>
          <w:sz w:val="24"/>
          <w:szCs w:val="24"/>
          <w:highlight w:val="none"/>
        </w:rPr>
        <w:t>8.3 项目</w:t>
      </w:r>
      <w:r>
        <w:rPr>
          <w:rFonts w:ascii="宋体" w:hAnsi="宋体" w:cs="宋体"/>
          <w:color w:val="auto"/>
          <w:sz w:val="24"/>
          <w:szCs w:val="24"/>
          <w:highlight w:val="none"/>
        </w:rPr>
        <w:t>联系方式</w:t>
      </w:r>
      <w:bookmarkEnd w:id="15"/>
      <w:bookmarkEnd w:id="16"/>
    </w:p>
    <w:p w14:paraId="575A1617">
      <w:pPr>
        <w:pStyle w:val="8"/>
        <w:spacing w:line="360" w:lineRule="auto"/>
        <w:ind w:firstLine="840" w:firstLineChars="350"/>
        <w:rPr>
          <w:rFonts w:hAnsi="宋体"/>
          <w:color w:val="auto"/>
          <w:sz w:val="24"/>
          <w:szCs w:val="24"/>
          <w:highlight w:val="none"/>
        </w:rPr>
      </w:pPr>
      <w:r>
        <w:rPr>
          <w:rFonts w:hint="eastAsia" w:hAnsi="宋体"/>
          <w:color w:val="auto"/>
          <w:sz w:val="24"/>
          <w:szCs w:val="24"/>
          <w:highlight w:val="none"/>
        </w:rPr>
        <w:t xml:space="preserve">项目联系人：白杨  </w:t>
      </w:r>
    </w:p>
    <w:p w14:paraId="2B7CA085">
      <w:pPr>
        <w:spacing w:line="360" w:lineRule="auto"/>
        <w:ind w:firstLine="840" w:firstLineChars="350"/>
        <w:rPr>
          <w:rFonts w:ascii="宋体" w:hAnsi="宋体"/>
          <w:color w:val="auto"/>
          <w:sz w:val="24"/>
          <w:szCs w:val="24"/>
          <w:highlight w:val="none"/>
        </w:rPr>
      </w:pPr>
      <w:r>
        <w:rPr>
          <w:rFonts w:hint="eastAsia" w:ascii="宋体" w:hAnsi="宋体"/>
          <w:color w:val="auto"/>
          <w:sz w:val="24"/>
          <w:szCs w:val="24"/>
          <w:highlight w:val="none"/>
        </w:rPr>
        <w:t>联系方式：15737221608</w:t>
      </w:r>
    </w:p>
    <w:p w14:paraId="1D545F40">
      <w:pPr>
        <w:spacing w:line="360" w:lineRule="auto"/>
        <w:ind w:firstLine="984" w:firstLineChars="350"/>
        <w:rPr>
          <w:rFonts w:ascii="黑体" w:hAnsi="黑体" w:eastAsia="黑体"/>
          <w:b/>
          <w:color w:val="auto"/>
          <w:sz w:val="28"/>
          <w:szCs w:val="28"/>
          <w:highlight w:val="none"/>
        </w:rPr>
      </w:pPr>
    </w:p>
    <w:p w14:paraId="32968A3D">
      <w:pPr>
        <w:widowControl w:val="0"/>
        <w:snapToGrid w:val="0"/>
        <w:spacing w:line="360" w:lineRule="auto"/>
        <w:ind w:firstLine="562" w:firstLineChars="200"/>
        <w:rPr>
          <w:rFonts w:ascii="黑体" w:hAnsi="黑体" w:eastAsia="黑体"/>
          <w:b/>
          <w:color w:val="auto"/>
          <w:sz w:val="28"/>
          <w:szCs w:val="28"/>
          <w:highlight w:val="none"/>
        </w:rPr>
      </w:pPr>
      <w:r>
        <w:rPr>
          <w:rFonts w:hint="eastAsia" w:ascii="黑体" w:hAnsi="黑体" w:eastAsia="黑体"/>
          <w:b/>
          <w:color w:val="auto"/>
          <w:sz w:val="28"/>
          <w:szCs w:val="28"/>
          <w:highlight w:val="none"/>
        </w:rPr>
        <w:t>9.网</w:t>
      </w:r>
      <w:r>
        <w:rPr>
          <w:rFonts w:ascii="黑体" w:hAnsi="黑体" w:eastAsia="黑体"/>
          <w:b/>
          <w:color w:val="auto"/>
          <w:sz w:val="28"/>
          <w:szCs w:val="28"/>
          <w:highlight w:val="none"/>
        </w:rPr>
        <w:t>上</w:t>
      </w:r>
      <w:r>
        <w:rPr>
          <w:rFonts w:hint="eastAsia" w:ascii="黑体" w:hAnsi="黑体" w:eastAsia="黑体"/>
          <w:b/>
          <w:color w:val="auto"/>
          <w:sz w:val="28"/>
          <w:szCs w:val="28"/>
          <w:highlight w:val="none"/>
        </w:rPr>
        <w:t>电子交易提示：</w:t>
      </w:r>
      <w:r>
        <w:rPr>
          <w:rFonts w:ascii="黑体" w:hAnsi="黑体" w:eastAsia="黑体"/>
          <w:b/>
          <w:color w:val="auto"/>
          <w:sz w:val="28"/>
          <w:szCs w:val="28"/>
          <w:highlight w:val="none"/>
        </w:rPr>
        <w:t xml:space="preserve"> </w:t>
      </w:r>
    </w:p>
    <w:p w14:paraId="52F68C07">
      <w:pPr>
        <w:widowControl w:val="0"/>
        <w:tabs>
          <w:tab w:val="left" w:pos="39"/>
          <w:tab w:val="left" w:pos="96"/>
        </w:tabs>
        <w:snapToGrid w:val="0"/>
        <w:spacing w:line="360" w:lineRule="auto"/>
        <w:ind w:firstLine="540" w:firstLineChars="225"/>
        <w:rPr>
          <w:rFonts w:ascii="宋体" w:hAnsi="宋体"/>
          <w:color w:val="auto"/>
          <w:sz w:val="24"/>
          <w:szCs w:val="24"/>
          <w:highlight w:val="none"/>
        </w:rPr>
      </w:pPr>
      <w:r>
        <w:rPr>
          <w:rFonts w:hint="eastAsia" w:ascii="宋体"/>
          <w:color w:val="auto"/>
          <w:sz w:val="24"/>
          <w:szCs w:val="24"/>
          <w:highlight w:val="none"/>
        </w:rPr>
        <w:t>9</w:t>
      </w:r>
      <w:r>
        <w:rPr>
          <w:rFonts w:ascii="宋体" w:hAnsi="宋体"/>
          <w:color w:val="auto"/>
          <w:sz w:val="24"/>
          <w:szCs w:val="24"/>
          <w:highlight w:val="none"/>
        </w:rPr>
        <w:t>.1</w:t>
      </w:r>
      <w:r>
        <w:rPr>
          <w:rFonts w:hint="eastAsia" w:ascii="宋体" w:hAnsi="宋体"/>
          <w:color w:val="auto"/>
          <w:sz w:val="24"/>
          <w:szCs w:val="24"/>
          <w:highlight w:val="none"/>
        </w:rPr>
        <w:t>注</w:t>
      </w:r>
      <w:r>
        <w:rPr>
          <w:rFonts w:ascii="宋体" w:hAnsi="宋体"/>
          <w:color w:val="auto"/>
          <w:sz w:val="24"/>
          <w:szCs w:val="24"/>
          <w:highlight w:val="none"/>
        </w:rPr>
        <w:t>册</w:t>
      </w:r>
      <w:r>
        <w:rPr>
          <w:rFonts w:hint="eastAsia" w:ascii="宋体" w:hAnsi="宋体"/>
          <w:color w:val="auto"/>
          <w:sz w:val="24"/>
          <w:szCs w:val="24"/>
          <w:highlight w:val="none"/>
        </w:rPr>
        <w:t>：投标人完成注</w:t>
      </w:r>
      <w:r>
        <w:rPr>
          <w:rFonts w:ascii="宋体" w:hAnsi="宋体"/>
          <w:color w:val="auto"/>
          <w:sz w:val="24"/>
          <w:szCs w:val="24"/>
          <w:highlight w:val="none"/>
        </w:rPr>
        <w:t>册</w:t>
      </w:r>
      <w:r>
        <w:rPr>
          <w:rFonts w:hint="eastAsia" w:ascii="宋体" w:hAnsi="宋体"/>
          <w:color w:val="auto"/>
          <w:sz w:val="24"/>
          <w:szCs w:val="24"/>
          <w:highlight w:val="none"/>
        </w:rPr>
        <w:t>、办理数字证书后</w:t>
      </w:r>
      <w:r>
        <w:rPr>
          <w:rFonts w:ascii="宋体" w:hAnsi="宋体"/>
          <w:color w:val="auto"/>
          <w:sz w:val="24"/>
          <w:szCs w:val="24"/>
          <w:highlight w:val="none"/>
        </w:rPr>
        <w:t>，方可</w:t>
      </w:r>
      <w:r>
        <w:rPr>
          <w:rFonts w:hint="eastAsia" w:ascii="宋体" w:hAnsi="宋体"/>
          <w:color w:val="auto"/>
          <w:sz w:val="24"/>
          <w:szCs w:val="24"/>
          <w:highlight w:val="none"/>
        </w:rPr>
        <w:t>获</w:t>
      </w:r>
      <w:r>
        <w:rPr>
          <w:rFonts w:ascii="宋体" w:hAnsi="宋体"/>
          <w:color w:val="auto"/>
          <w:sz w:val="24"/>
          <w:szCs w:val="24"/>
          <w:highlight w:val="none"/>
        </w:rPr>
        <w:t>取</w:t>
      </w:r>
      <w:r>
        <w:rPr>
          <w:rFonts w:hint="eastAsia" w:ascii="宋体" w:hAnsi="宋体"/>
          <w:color w:val="auto"/>
          <w:sz w:val="24"/>
          <w:szCs w:val="24"/>
          <w:highlight w:val="none"/>
        </w:rPr>
        <w:t>招标</w:t>
      </w:r>
      <w:r>
        <w:rPr>
          <w:rFonts w:ascii="宋体" w:hAnsi="宋体"/>
          <w:color w:val="auto"/>
          <w:sz w:val="24"/>
          <w:szCs w:val="24"/>
          <w:highlight w:val="none"/>
        </w:rPr>
        <w:t>文件、</w:t>
      </w:r>
      <w:r>
        <w:rPr>
          <w:rFonts w:hint="eastAsia" w:ascii="宋体" w:hAnsi="宋体"/>
          <w:color w:val="auto"/>
          <w:sz w:val="24"/>
          <w:szCs w:val="24"/>
          <w:highlight w:val="none"/>
        </w:rPr>
        <w:t>参</w:t>
      </w:r>
      <w:r>
        <w:rPr>
          <w:rFonts w:ascii="宋体" w:hAnsi="宋体"/>
          <w:color w:val="auto"/>
          <w:sz w:val="24"/>
          <w:szCs w:val="24"/>
          <w:highlight w:val="none"/>
        </w:rPr>
        <w:t>加</w:t>
      </w:r>
      <w:r>
        <w:rPr>
          <w:rFonts w:hint="eastAsia" w:ascii="宋体" w:hAnsi="宋体"/>
          <w:color w:val="auto"/>
          <w:sz w:val="24"/>
          <w:szCs w:val="24"/>
          <w:highlight w:val="none"/>
        </w:rPr>
        <w:t>投标等网上电子交易。</w:t>
      </w:r>
    </w:p>
    <w:p w14:paraId="2EFEA353">
      <w:pPr>
        <w:widowControl w:val="0"/>
        <w:tabs>
          <w:tab w:val="left" w:pos="39"/>
          <w:tab w:val="left" w:pos="96"/>
        </w:tabs>
        <w:snapToGrid w:val="0"/>
        <w:spacing w:line="360" w:lineRule="auto"/>
        <w:ind w:firstLine="540" w:firstLineChars="225"/>
        <w:rPr>
          <w:rFonts w:ascii="宋体" w:hAnsi="宋体"/>
          <w:color w:val="auto"/>
          <w:sz w:val="24"/>
          <w:szCs w:val="24"/>
          <w:highlight w:val="none"/>
        </w:rPr>
      </w:pPr>
      <w:r>
        <w:rPr>
          <w:rFonts w:hint="eastAsia" w:ascii="宋体"/>
          <w:color w:val="auto"/>
          <w:sz w:val="24"/>
          <w:szCs w:val="24"/>
          <w:highlight w:val="none"/>
        </w:rPr>
        <w:t>9</w:t>
      </w:r>
      <w:r>
        <w:rPr>
          <w:rFonts w:hint="eastAsia" w:ascii="宋体" w:hAnsi="宋体"/>
          <w:color w:val="auto"/>
          <w:sz w:val="24"/>
          <w:szCs w:val="24"/>
          <w:highlight w:val="none"/>
        </w:rPr>
        <w:t>.2 获取招标文件：</w:t>
      </w:r>
      <w:r>
        <w:rPr>
          <w:rFonts w:ascii="宋体" w:hAnsi="宋体"/>
          <w:color w:val="auto"/>
          <w:sz w:val="24"/>
          <w:szCs w:val="24"/>
          <w:highlight w:val="none"/>
        </w:rPr>
        <w:t>按</w:t>
      </w:r>
      <w:r>
        <w:rPr>
          <w:rFonts w:hint="eastAsia" w:ascii="宋体" w:hAnsi="宋体"/>
          <w:color w:val="auto"/>
          <w:sz w:val="24"/>
          <w:szCs w:val="24"/>
          <w:highlight w:val="none"/>
        </w:rPr>
        <w:t>本</w:t>
      </w:r>
      <w:r>
        <w:rPr>
          <w:rFonts w:ascii="宋体" w:hAnsi="宋体"/>
          <w:color w:val="auto"/>
          <w:sz w:val="24"/>
          <w:szCs w:val="24"/>
          <w:highlight w:val="none"/>
        </w:rPr>
        <w:t>章第</w:t>
      </w:r>
      <w:r>
        <w:rPr>
          <w:rFonts w:hint="eastAsia" w:ascii="宋体" w:hAnsi="宋体"/>
          <w:color w:val="auto"/>
          <w:sz w:val="24"/>
          <w:szCs w:val="24"/>
          <w:highlight w:val="none"/>
        </w:rPr>
        <w:t>3条</w:t>
      </w:r>
      <w:r>
        <w:rPr>
          <w:rFonts w:ascii="宋体" w:hAnsi="宋体"/>
          <w:color w:val="auto"/>
          <w:sz w:val="24"/>
          <w:szCs w:val="24"/>
          <w:highlight w:val="none"/>
        </w:rPr>
        <w:t>“</w:t>
      </w:r>
      <w:r>
        <w:rPr>
          <w:rFonts w:hint="eastAsia" w:ascii="宋体" w:hAnsi="宋体"/>
          <w:color w:val="auto"/>
          <w:sz w:val="24"/>
          <w:szCs w:val="24"/>
          <w:highlight w:val="none"/>
        </w:rPr>
        <w:t>获取招标文件</w:t>
      </w:r>
      <w:r>
        <w:rPr>
          <w:rFonts w:ascii="宋体" w:hAnsi="宋体"/>
          <w:color w:val="auto"/>
          <w:sz w:val="24"/>
          <w:szCs w:val="24"/>
          <w:highlight w:val="none"/>
        </w:rPr>
        <w:t>”</w:t>
      </w:r>
      <w:r>
        <w:rPr>
          <w:rFonts w:hint="eastAsia" w:ascii="宋体" w:hAnsi="宋体"/>
          <w:color w:val="auto"/>
          <w:sz w:val="24"/>
          <w:szCs w:val="24"/>
          <w:highlight w:val="none"/>
        </w:rPr>
        <w:t>办</w:t>
      </w:r>
      <w:r>
        <w:rPr>
          <w:rFonts w:ascii="宋体" w:hAnsi="宋体"/>
          <w:color w:val="auto"/>
          <w:sz w:val="24"/>
          <w:szCs w:val="24"/>
          <w:highlight w:val="none"/>
        </w:rPr>
        <w:t>理。</w:t>
      </w:r>
    </w:p>
    <w:p w14:paraId="597BE356">
      <w:pPr>
        <w:widowControl w:val="0"/>
        <w:tabs>
          <w:tab w:val="left" w:pos="39"/>
          <w:tab w:val="left" w:pos="96"/>
        </w:tabs>
        <w:snapToGrid w:val="0"/>
        <w:spacing w:line="360" w:lineRule="auto"/>
        <w:ind w:firstLine="540" w:firstLineChars="225"/>
        <w:rPr>
          <w:rFonts w:ascii="黑体" w:hAnsi="黑体" w:eastAsia="黑体" w:cs="楷体_GB2312"/>
          <w:b/>
          <w:color w:val="auto"/>
          <w:sz w:val="24"/>
          <w:highlight w:val="none"/>
          <w:lang w:val="zh-CN"/>
        </w:rPr>
      </w:pPr>
      <w:r>
        <w:rPr>
          <w:rFonts w:hint="eastAsia" w:ascii="宋体"/>
          <w:color w:val="auto"/>
          <w:sz w:val="24"/>
          <w:szCs w:val="24"/>
          <w:highlight w:val="none"/>
        </w:rPr>
        <w:t>9</w:t>
      </w:r>
      <w:r>
        <w:rPr>
          <w:rFonts w:hint="eastAsia" w:ascii="宋体" w:hAnsi="宋体"/>
          <w:color w:val="auto"/>
          <w:sz w:val="24"/>
          <w:szCs w:val="24"/>
          <w:highlight w:val="none"/>
        </w:rPr>
        <w:t>.3招标文件的澄清与修改或延期的</w:t>
      </w:r>
      <w:r>
        <w:rPr>
          <w:rFonts w:ascii="宋体" w:hAnsi="宋体"/>
          <w:color w:val="auto"/>
          <w:sz w:val="24"/>
          <w:szCs w:val="24"/>
          <w:highlight w:val="none"/>
        </w:rPr>
        <w:t>通知</w:t>
      </w:r>
      <w:r>
        <w:rPr>
          <w:rFonts w:hint="eastAsia" w:ascii="宋体" w:hAnsi="宋体"/>
          <w:color w:val="auto"/>
          <w:sz w:val="24"/>
          <w:szCs w:val="24"/>
          <w:highlight w:val="none"/>
        </w:rPr>
        <w:t>：</w:t>
      </w:r>
      <w:r>
        <w:rPr>
          <w:rFonts w:ascii="宋体" w:hAnsi="宋体"/>
          <w:color w:val="auto"/>
          <w:sz w:val="24"/>
          <w:szCs w:val="24"/>
          <w:highlight w:val="none"/>
        </w:rPr>
        <w:t>按</w:t>
      </w:r>
      <w:r>
        <w:rPr>
          <w:rFonts w:hint="eastAsia" w:ascii="宋体" w:hAnsi="宋体"/>
          <w:color w:val="auto"/>
          <w:sz w:val="24"/>
          <w:szCs w:val="24"/>
          <w:highlight w:val="none"/>
        </w:rPr>
        <w:t>《招标</w:t>
      </w:r>
      <w:r>
        <w:rPr>
          <w:rFonts w:ascii="宋体" w:hAnsi="宋体"/>
          <w:color w:val="auto"/>
          <w:sz w:val="24"/>
          <w:szCs w:val="24"/>
          <w:highlight w:val="none"/>
        </w:rPr>
        <w:t>文件</w:t>
      </w:r>
      <w:r>
        <w:rPr>
          <w:rFonts w:hint="eastAsia" w:ascii="宋体" w:hAnsi="宋体"/>
          <w:color w:val="auto"/>
          <w:sz w:val="24"/>
          <w:szCs w:val="24"/>
          <w:highlight w:val="none"/>
        </w:rPr>
        <w:t>》</w:t>
      </w:r>
      <w:r>
        <w:rPr>
          <w:rFonts w:ascii="宋体" w:hAnsi="宋体"/>
          <w:color w:val="auto"/>
          <w:sz w:val="24"/>
          <w:szCs w:val="24"/>
          <w:highlight w:val="none"/>
        </w:rPr>
        <w:t>第三</w:t>
      </w:r>
      <w:r>
        <w:rPr>
          <w:rFonts w:hint="eastAsia" w:ascii="宋体" w:hAnsi="宋体"/>
          <w:color w:val="auto"/>
          <w:sz w:val="24"/>
          <w:szCs w:val="24"/>
          <w:highlight w:val="none"/>
        </w:rPr>
        <w:t>章“投</w:t>
      </w:r>
      <w:r>
        <w:rPr>
          <w:rFonts w:ascii="宋体" w:hAnsi="宋体"/>
          <w:color w:val="auto"/>
          <w:sz w:val="24"/>
          <w:szCs w:val="24"/>
          <w:highlight w:val="none"/>
        </w:rPr>
        <w:t>标人须知”</w:t>
      </w:r>
      <w:r>
        <w:rPr>
          <w:rFonts w:hint="eastAsia" w:ascii="宋体" w:hAnsi="宋体"/>
          <w:color w:val="auto"/>
          <w:sz w:val="24"/>
          <w:szCs w:val="24"/>
          <w:highlight w:val="none"/>
        </w:rPr>
        <w:t>第</w:t>
      </w:r>
      <w:r>
        <w:rPr>
          <w:rFonts w:ascii="宋体" w:hAnsi="宋体"/>
          <w:color w:val="auto"/>
          <w:sz w:val="24"/>
          <w:szCs w:val="24"/>
          <w:highlight w:val="none"/>
        </w:rPr>
        <w:t>2</w:t>
      </w:r>
      <w:r>
        <w:rPr>
          <w:rFonts w:hint="eastAsia" w:ascii="宋体" w:hAnsi="宋体"/>
          <w:color w:val="auto"/>
          <w:sz w:val="24"/>
          <w:szCs w:val="24"/>
          <w:highlight w:val="none"/>
        </w:rPr>
        <w:t>条“2.4 招标文件的澄清、修改、补充的通知，及相应时间变更</w:t>
      </w:r>
      <w:r>
        <w:rPr>
          <w:rFonts w:ascii="宋体" w:hAnsi="宋体"/>
          <w:color w:val="auto"/>
          <w:sz w:val="24"/>
          <w:szCs w:val="24"/>
          <w:highlight w:val="none"/>
        </w:rPr>
        <w:t>”执行</w:t>
      </w:r>
      <w:r>
        <w:rPr>
          <w:rFonts w:hint="eastAsia" w:ascii="宋体" w:hAnsi="宋体"/>
          <w:color w:val="auto"/>
          <w:sz w:val="24"/>
          <w:szCs w:val="24"/>
          <w:highlight w:val="none"/>
        </w:rPr>
        <w:t>。</w:t>
      </w:r>
      <w:r>
        <w:rPr>
          <w:rFonts w:hint="eastAsia" w:ascii="黑体" w:hAnsi="黑体" w:eastAsia="黑体" w:cs="楷体_GB2312"/>
          <w:b/>
          <w:color w:val="auto"/>
          <w:sz w:val="24"/>
          <w:highlight w:val="none"/>
          <w:lang w:val="zh-CN"/>
        </w:rPr>
        <w:t>不</w:t>
      </w:r>
      <w:r>
        <w:rPr>
          <w:rFonts w:ascii="黑体" w:hAnsi="黑体" w:eastAsia="黑体" w:cs="楷体_GB2312"/>
          <w:b/>
          <w:color w:val="auto"/>
          <w:sz w:val="24"/>
          <w:highlight w:val="none"/>
          <w:lang w:val="zh-CN"/>
        </w:rPr>
        <w:t>另行通知。</w:t>
      </w:r>
    </w:p>
    <w:p w14:paraId="685B4876">
      <w:pPr>
        <w:widowControl w:val="0"/>
        <w:tabs>
          <w:tab w:val="left" w:pos="39"/>
          <w:tab w:val="left" w:pos="96"/>
        </w:tabs>
        <w:snapToGrid w:val="0"/>
        <w:spacing w:line="360" w:lineRule="auto"/>
        <w:ind w:firstLine="540" w:firstLineChars="225"/>
        <w:rPr>
          <w:rFonts w:ascii="黑体" w:hAnsi="黑体" w:eastAsia="黑体" w:cs="楷体_GB2312"/>
          <w:b/>
          <w:color w:val="auto"/>
          <w:sz w:val="24"/>
          <w:highlight w:val="none"/>
          <w:lang w:val="zh-CN"/>
        </w:rPr>
      </w:pPr>
      <w:r>
        <w:rPr>
          <w:rFonts w:hint="eastAsia" w:ascii="宋体"/>
          <w:color w:val="auto"/>
          <w:sz w:val="24"/>
          <w:szCs w:val="24"/>
          <w:highlight w:val="none"/>
        </w:rPr>
        <w:t>9</w:t>
      </w:r>
      <w:r>
        <w:rPr>
          <w:rFonts w:ascii="宋体" w:hAnsi="宋体"/>
          <w:color w:val="auto"/>
          <w:sz w:val="24"/>
          <w:szCs w:val="24"/>
          <w:highlight w:val="none"/>
        </w:rPr>
        <w:t>.4</w:t>
      </w:r>
      <w:r>
        <w:rPr>
          <w:rFonts w:hint="eastAsia" w:ascii="宋体" w:hAnsi="宋体"/>
          <w:color w:val="auto"/>
          <w:sz w:val="24"/>
          <w:szCs w:val="24"/>
          <w:highlight w:val="none"/>
        </w:rPr>
        <w:t>投标文件编制：在安阳市公共资源交易中心网站下载并安装投标文件制作工具、进行编制，按《招标文件》第三章“投标人须知”第3条第</w:t>
      </w:r>
      <w:r>
        <w:rPr>
          <w:rFonts w:ascii="宋体" w:hAnsi="宋体"/>
          <w:color w:val="auto"/>
          <w:sz w:val="24"/>
          <w:szCs w:val="24"/>
          <w:highlight w:val="none"/>
        </w:rPr>
        <w:t>7</w:t>
      </w:r>
      <w:r>
        <w:rPr>
          <w:rFonts w:hint="eastAsia" w:ascii="宋体" w:hAnsi="宋体"/>
          <w:color w:val="auto"/>
          <w:sz w:val="24"/>
          <w:szCs w:val="24"/>
          <w:highlight w:val="none"/>
        </w:rPr>
        <w:t>款“</w:t>
      </w:r>
      <w:r>
        <w:rPr>
          <w:rFonts w:ascii="宋体" w:hAnsi="宋体"/>
          <w:color w:val="auto"/>
          <w:sz w:val="24"/>
          <w:szCs w:val="24"/>
          <w:highlight w:val="none"/>
        </w:rPr>
        <w:t>3.7</w:t>
      </w:r>
      <w:r>
        <w:rPr>
          <w:rFonts w:hint="eastAsia" w:ascii="宋体" w:hAnsi="宋体"/>
          <w:color w:val="auto"/>
          <w:sz w:val="24"/>
          <w:szCs w:val="24"/>
          <w:highlight w:val="none"/>
        </w:rPr>
        <w:t>投标文件的编制”执行，</w:t>
      </w:r>
      <w:r>
        <w:rPr>
          <w:rFonts w:hint="eastAsia" w:ascii="黑体" w:hAnsi="黑体" w:eastAsia="黑体" w:cs="楷体_GB2312"/>
          <w:b/>
          <w:color w:val="auto"/>
          <w:sz w:val="24"/>
          <w:highlight w:val="none"/>
          <w:lang w:val="zh-CN"/>
        </w:rPr>
        <w:t>否则将会评定为无效投标。</w:t>
      </w:r>
    </w:p>
    <w:p w14:paraId="16BFC084">
      <w:pPr>
        <w:widowControl w:val="0"/>
        <w:tabs>
          <w:tab w:val="left" w:pos="39"/>
          <w:tab w:val="left" w:pos="96"/>
        </w:tabs>
        <w:snapToGrid w:val="0"/>
        <w:spacing w:line="360" w:lineRule="auto"/>
        <w:ind w:firstLine="540" w:firstLineChars="225"/>
        <w:rPr>
          <w:rFonts w:ascii="黑体" w:hAnsi="黑体" w:eastAsia="黑体" w:cs="楷体_GB2312"/>
          <w:b/>
          <w:color w:val="auto"/>
          <w:sz w:val="24"/>
          <w:highlight w:val="none"/>
          <w:lang w:val="zh-CN"/>
        </w:rPr>
      </w:pPr>
      <w:r>
        <w:rPr>
          <w:rFonts w:hint="eastAsia" w:ascii="宋体"/>
          <w:color w:val="auto"/>
          <w:sz w:val="24"/>
          <w:szCs w:val="24"/>
          <w:highlight w:val="none"/>
        </w:rPr>
        <w:t>9</w:t>
      </w:r>
      <w:r>
        <w:rPr>
          <w:rFonts w:hint="eastAsia" w:ascii="宋体" w:hAnsi="宋体"/>
          <w:color w:val="auto"/>
          <w:sz w:val="24"/>
          <w:szCs w:val="24"/>
          <w:highlight w:val="none"/>
        </w:rPr>
        <w:t>.5</w:t>
      </w:r>
      <w:r>
        <w:rPr>
          <w:rFonts w:hint="eastAsia" w:ascii="宋体"/>
          <w:color w:val="auto"/>
          <w:sz w:val="24"/>
          <w:szCs w:val="24"/>
          <w:highlight w:val="none"/>
        </w:rPr>
        <w:t>投标文件递交：</w:t>
      </w:r>
      <w:r>
        <w:rPr>
          <w:rFonts w:hint="eastAsia" w:ascii="宋体" w:hAnsi="宋体"/>
          <w:color w:val="auto"/>
          <w:sz w:val="24"/>
          <w:szCs w:val="24"/>
          <w:highlight w:val="none"/>
        </w:rPr>
        <w:t>投标人应在投标截止时间前上传加密的电子投标文件（*.aytf）到安阳市公共资源交易平台，</w:t>
      </w:r>
      <w:r>
        <w:rPr>
          <w:rFonts w:ascii="宋体" w:hAnsi="宋体"/>
          <w:color w:val="auto"/>
          <w:sz w:val="24"/>
          <w:szCs w:val="24"/>
          <w:highlight w:val="none"/>
        </w:rPr>
        <w:t>按</w:t>
      </w:r>
      <w:r>
        <w:rPr>
          <w:rFonts w:hint="eastAsia" w:ascii="宋体" w:hAnsi="宋体"/>
          <w:color w:val="auto"/>
          <w:sz w:val="24"/>
          <w:szCs w:val="24"/>
          <w:highlight w:val="none"/>
        </w:rPr>
        <w:t>《招标</w:t>
      </w:r>
      <w:r>
        <w:rPr>
          <w:rFonts w:ascii="宋体" w:hAnsi="宋体"/>
          <w:color w:val="auto"/>
          <w:sz w:val="24"/>
          <w:szCs w:val="24"/>
          <w:highlight w:val="none"/>
        </w:rPr>
        <w:t>文件</w:t>
      </w:r>
      <w:r>
        <w:rPr>
          <w:rFonts w:hint="eastAsia" w:ascii="宋体" w:hAnsi="宋体"/>
          <w:color w:val="auto"/>
          <w:sz w:val="24"/>
          <w:szCs w:val="24"/>
          <w:highlight w:val="none"/>
        </w:rPr>
        <w:t>》</w:t>
      </w:r>
      <w:r>
        <w:rPr>
          <w:rFonts w:ascii="宋体" w:hAnsi="宋体"/>
          <w:color w:val="auto"/>
          <w:sz w:val="24"/>
          <w:szCs w:val="24"/>
          <w:highlight w:val="none"/>
        </w:rPr>
        <w:t>第三</w:t>
      </w:r>
      <w:r>
        <w:rPr>
          <w:rFonts w:hint="eastAsia" w:ascii="宋体" w:hAnsi="宋体"/>
          <w:color w:val="auto"/>
          <w:sz w:val="24"/>
          <w:szCs w:val="24"/>
          <w:highlight w:val="none"/>
        </w:rPr>
        <w:t>章“投</w:t>
      </w:r>
      <w:r>
        <w:rPr>
          <w:rFonts w:ascii="宋体" w:hAnsi="宋体"/>
          <w:color w:val="auto"/>
          <w:sz w:val="24"/>
          <w:szCs w:val="24"/>
          <w:highlight w:val="none"/>
        </w:rPr>
        <w:t>标人须知”</w:t>
      </w:r>
      <w:r>
        <w:rPr>
          <w:rFonts w:hint="eastAsia" w:ascii="宋体" w:hAnsi="宋体"/>
          <w:color w:val="auto"/>
          <w:sz w:val="24"/>
          <w:szCs w:val="24"/>
          <w:highlight w:val="none"/>
        </w:rPr>
        <w:t>第</w:t>
      </w:r>
      <w:r>
        <w:rPr>
          <w:rFonts w:ascii="宋体" w:hAnsi="宋体"/>
          <w:color w:val="auto"/>
          <w:sz w:val="24"/>
          <w:szCs w:val="24"/>
          <w:highlight w:val="none"/>
        </w:rPr>
        <w:t>4</w:t>
      </w:r>
      <w:r>
        <w:rPr>
          <w:rFonts w:hint="eastAsia" w:ascii="宋体" w:hAnsi="宋体"/>
          <w:color w:val="auto"/>
          <w:sz w:val="24"/>
          <w:szCs w:val="24"/>
          <w:highlight w:val="none"/>
        </w:rPr>
        <w:t>条</w:t>
      </w:r>
      <w:r>
        <w:rPr>
          <w:rFonts w:ascii="宋体" w:hAnsi="宋体"/>
          <w:color w:val="auto"/>
          <w:sz w:val="24"/>
          <w:szCs w:val="24"/>
          <w:highlight w:val="none"/>
        </w:rPr>
        <w:t xml:space="preserve"> “</w:t>
      </w:r>
      <w:r>
        <w:rPr>
          <w:rFonts w:hint="eastAsia" w:ascii="宋体" w:hAnsi="宋体"/>
          <w:color w:val="auto"/>
          <w:sz w:val="24"/>
          <w:szCs w:val="24"/>
          <w:highlight w:val="none"/>
        </w:rPr>
        <w:t>4. 投标”</w:t>
      </w:r>
      <w:r>
        <w:rPr>
          <w:rFonts w:ascii="宋体" w:hAnsi="宋体"/>
          <w:color w:val="auto"/>
          <w:sz w:val="24"/>
          <w:szCs w:val="24"/>
          <w:highlight w:val="none"/>
        </w:rPr>
        <w:t>执行，</w:t>
      </w:r>
      <w:r>
        <w:rPr>
          <w:rFonts w:hint="eastAsia" w:ascii="黑体" w:hAnsi="黑体" w:eastAsia="黑体" w:cs="楷体_GB2312"/>
          <w:b/>
          <w:color w:val="auto"/>
          <w:sz w:val="24"/>
          <w:highlight w:val="none"/>
          <w:lang w:val="zh-CN"/>
        </w:rPr>
        <w:t>否</w:t>
      </w:r>
      <w:r>
        <w:rPr>
          <w:rFonts w:ascii="黑体" w:hAnsi="黑体" w:eastAsia="黑体" w:cs="楷体_GB2312"/>
          <w:b/>
          <w:color w:val="auto"/>
          <w:sz w:val="24"/>
          <w:highlight w:val="none"/>
          <w:lang w:val="zh-CN"/>
        </w:rPr>
        <w:t>则将会</w:t>
      </w:r>
      <w:r>
        <w:rPr>
          <w:rFonts w:hint="eastAsia" w:ascii="黑体" w:hAnsi="黑体" w:eastAsia="黑体" w:cs="楷体_GB2312"/>
          <w:b/>
          <w:color w:val="auto"/>
          <w:sz w:val="24"/>
          <w:highlight w:val="none"/>
          <w:lang w:val="zh-CN"/>
        </w:rPr>
        <w:t>评</w:t>
      </w:r>
      <w:r>
        <w:rPr>
          <w:rFonts w:ascii="黑体" w:hAnsi="黑体" w:eastAsia="黑体" w:cs="楷体_GB2312"/>
          <w:b/>
          <w:color w:val="auto"/>
          <w:sz w:val="24"/>
          <w:highlight w:val="none"/>
          <w:lang w:val="zh-CN"/>
        </w:rPr>
        <w:t>定为无效投标。</w:t>
      </w:r>
    </w:p>
    <w:p w14:paraId="7A7794D8">
      <w:pPr>
        <w:widowControl w:val="0"/>
        <w:tabs>
          <w:tab w:val="left" w:pos="39"/>
          <w:tab w:val="left" w:pos="96"/>
        </w:tabs>
        <w:snapToGrid w:val="0"/>
        <w:spacing w:line="360" w:lineRule="auto"/>
        <w:ind w:firstLine="540" w:firstLineChars="225"/>
        <w:rPr>
          <w:rFonts w:ascii="宋体" w:hAnsi="宋体" w:cs="楷体_GB2312"/>
          <w:color w:val="auto"/>
          <w:sz w:val="24"/>
          <w:highlight w:val="none"/>
          <w:lang w:val="zh-CN"/>
        </w:rPr>
      </w:pPr>
      <w:r>
        <w:rPr>
          <w:rFonts w:hint="eastAsia" w:ascii="宋体"/>
          <w:color w:val="auto"/>
          <w:sz w:val="24"/>
          <w:szCs w:val="24"/>
          <w:highlight w:val="none"/>
        </w:rPr>
        <w:t>9.</w:t>
      </w:r>
      <w:r>
        <w:rPr>
          <w:rFonts w:ascii="宋体"/>
          <w:color w:val="auto"/>
          <w:sz w:val="24"/>
          <w:szCs w:val="24"/>
          <w:highlight w:val="none"/>
        </w:rPr>
        <w:t>6</w:t>
      </w:r>
      <w:r>
        <w:rPr>
          <w:rFonts w:hint="eastAsia" w:ascii="宋体"/>
          <w:color w:val="auto"/>
          <w:sz w:val="24"/>
          <w:szCs w:val="24"/>
          <w:highlight w:val="none"/>
        </w:rPr>
        <w:t>投标文件</w:t>
      </w:r>
      <w:r>
        <w:rPr>
          <w:rFonts w:hint="eastAsia" w:ascii="宋体" w:hAnsi="宋体"/>
          <w:color w:val="auto"/>
          <w:sz w:val="24"/>
          <w:szCs w:val="24"/>
          <w:highlight w:val="none"/>
        </w:rPr>
        <w:t>解密</w:t>
      </w:r>
      <w:r>
        <w:rPr>
          <w:rFonts w:hint="eastAsia" w:ascii="宋体"/>
          <w:color w:val="auto"/>
          <w:sz w:val="24"/>
          <w:szCs w:val="24"/>
          <w:highlight w:val="none"/>
        </w:rPr>
        <w:t>：</w:t>
      </w:r>
      <w:r>
        <w:rPr>
          <w:bCs/>
          <w:color w:val="auto"/>
          <w:sz w:val="24"/>
          <w:szCs w:val="24"/>
          <w:highlight w:val="none"/>
        </w:rPr>
        <w:t>本项目采用远程不见面交易的模式，开标当日，投标人无需到开标现场参加开标会议，投标人应当在投标截止时间前，使用IE浏览器登录到安阳市公共资源交易不见面开标大厅，点击右上方【登录】按钮进入，在线准时参加开标活动并进行投标文件解密等。</w:t>
      </w:r>
      <w:r>
        <w:rPr>
          <w:rFonts w:ascii="宋体" w:hAnsi="宋体"/>
          <w:color w:val="auto"/>
          <w:sz w:val="24"/>
          <w:szCs w:val="24"/>
          <w:highlight w:val="none"/>
        </w:rPr>
        <w:t>按</w:t>
      </w:r>
      <w:r>
        <w:rPr>
          <w:rFonts w:hint="eastAsia" w:ascii="宋体" w:hAnsi="宋体"/>
          <w:color w:val="auto"/>
          <w:sz w:val="24"/>
          <w:szCs w:val="24"/>
          <w:highlight w:val="none"/>
        </w:rPr>
        <w:t>《招标</w:t>
      </w:r>
      <w:r>
        <w:rPr>
          <w:rFonts w:ascii="宋体" w:hAnsi="宋体"/>
          <w:color w:val="auto"/>
          <w:sz w:val="24"/>
          <w:szCs w:val="24"/>
          <w:highlight w:val="none"/>
        </w:rPr>
        <w:t>文件</w:t>
      </w:r>
      <w:r>
        <w:rPr>
          <w:rFonts w:hint="eastAsia" w:ascii="宋体" w:hAnsi="宋体"/>
          <w:color w:val="auto"/>
          <w:sz w:val="24"/>
          <w:szCs w:val="24"/>
          <w:highlight w:val="none"/>
        </w:rPr>
        <w:t>》</w:t>
      </w:r>
      <w:r>
        <w:rPr>
          <w:rFonts w:ascii="宋体" w:hAnsi="宋体"/>
          <w:color w:val="auto"/>
          <w:sz w:val="24"/>
          <w:szCs w:val="24"/>
          <w:highlight w:val="none"/>
        </w:rPr>
        <w:t>第三</w:t>
      </w:r>
      <w:r>
        <w:rPr>
          <w:rFonts w:hint="eastAsia" w:ascii="宋体" w:hAnsi="宋体"/>
          <w:color w:val="auto"/>
          <w:sz w:val="24"/>
          <w:szCs w:val="24"/>
          <w:highlight w:val="none"/>
        </w:rPr>
        <w:t>章“投</w:t>
      </w:r>
      <w:r>
        <w:rPr>
          <w:rFonts w:ascii="宋体" w:hAnsi="宋体"/>
          <w:color w:val="auto"/>
          <w:sz w:val="24"/>
          <w:szCs w:val="24"/>
          <w:highlight w:val="none"/>
        </w:rPr>
        <w:t>标人须知”</w:t>
      </w:r>
      <w:r>
        <w:rPr>
          <w:rFonts w:hint="eastAsia" w:ascii="宋体" w:hAnsi="宋体"/>
          <w:color w:val="auto"/>
          <w:sz w:val="24"/>
          <w:szCs w:val="24"/>
          <w:highlight w:val="none"/>
        </w:rPr>
        <w:t>第</w:t>
      </w:r>
      <w:r>
        <w:rPr>
          <w:rFonts w:ascii="宋体" w:hAnsi="宋体"/>
          <w:color w:val="auto"/>
          <w:sz w:val="24"/>
          <w:szCs w:val="24"/>
          <w:highlight w:val="none"/>
        </w:rPr>
        <w:t>5</w:t>
      </w:r>
      <w:r>
        <w:rPr>
          <w:rFonts w:hint="eastAsia" w:ascii="宋体" w:hAnsi="宋体"/>
          <w:color w:val="auto"/>
          <w:sz w:val="24"/>
          <w:szCs w:val="24"/>
          <w:highlight w:val="none"/>
        </w:rPr>
        <w:t>条</w:t>
      </w:r>
      <w:r>
        <w:rPr>
          <w:rFonts w:ascii="宋体" w:hAnsi="宋体"/>
          <w:color w:val="auto"/>
          <w:sz w:val="24"/>
          <w:szCs w:val="24"/>
          <w:highlight w:val="none"/>
        </w:rPr>
        <w:t xml:space="preserve">“5 </w:t>
      </w:r>
      <w:r>
        <w:rPr>
          <w:rFonts w:hint="eastAsia" w:ascii="宋体"/>
          <w:color w:val="auto"/>
          <w:sz w:val="24"/>
          <w:szCs w:val="24"/>
          <w:highlight w:val="none"/>
        </w:rPr>
        <w:t>开标</w:t>
      </w:r>
      <w:r>
        <w:rPr>
          <w:rFonts w:hint="eastAsia" w:ascii="宋体" w:hAnsi="宋体"/>
          <w:color w:val="auto"/>
          <w:sz w:val="24"/>
          <w:szCs w:val="24"/>
          <w:highlight w:val="none"/>
        </w:rPr>
        <w:t>”</w:t>
      </w:r>
      <w:r>
        <w:rPr>
          <w:rFonts w:ascii="宋体" w:hAnsi="宋体"/>
          <w:color w:val="auto"/>
          <w:sz w:val="24"/>
          <w:szCs w:val="24"/>
          <w:highlight w:val="none"/>
        </w:rPr>
        <w:t>执行，</w:t>
      </w:r>
      <w:r>
        <w:rPr>
          <w:rFonts w:hint="eastAsia" w:ascii="宋体" w:hAnsi="宋体" w:cs="楷体_GB2312"/>
          <w:color w:val="auto"/>
          <w:sz w:val="24"/>
          <w:highlight w:val="none"/>
          <w:lang w:val="zh-CN"/>
        </w:rPr>
        <w:t>否</w:t>
      </w:r>
      <w:r>
        <w:rPr>
          <w:rFonts w:ascii="宋体" w:hAnsi="宋体" w:cs="楷体_GB2312"/>
          <w:color w:val="auto"/>
          <w:sz w:val="24"/>
          <w:highlight w:val="none"/>
          <w:lang w:val="zh-CN"/>
        </w:rPr>
        <w:t>则</w:t>
      </w:r>
      <w:r>
        <w:rPr>
          <w:rFonts w:hint="eastAsia" w:ascii="宋体" w:hAnsi="宋体" w:cs="楷体_GB2312"/>
          <w:color w:val="auto"/>
          <w:sz w:val="24"/>
          <w:highlight w:val="none"/>
          <w:lang w:val="zh-CN"/>
        </w:rPr>
        <w:t>其投标将不能被接受</w:t>
      </w:r>
      <w:r>
        <w:rPr>
          <w:rFonts w:ascii="宋体" w:hAnsi="宋体" w:cs="楷体_GB2312"/>
          <w:color w:val="auto"/>
          <w:sz w:val="24"/>
          <w:highlight w:val="none"/>
          <w:lang w:val="zh-CN"/>
        </w:rPr>
        <w:t>。</w:t>
      </w:r>
    </w:p>
    <w:p w14:paraId="6047A2DB">
      <w:pPr>
        <w:widowControl w:val="0"/>
        <w:tabs>
          <w:tab w:val="left" w:pos="39"/>
          <w:tab w:val="left" w:pos="96"/>
        </w:tabs>
        <w:snapToGrid w:val="0"/>
        <w:spacing w:line="360" w:lineRule="auto"/>
        <w:ind w:firstLine="540" w:firstLineChars="225"/>
        <w:rPr>
          <w:rFonts w:ascii="宋体" w:hAnsi="宋体" w:cs="楷体_GB2312"/>
          <w:color w:val="auto"/>
          <w:sz w:val="24"/>
          <w:highlight w:val="none"/>
          <w:lang w:val="zh-CN"/>
        </w:rPr>
      </w:pPr>
      <w:r>
        <w:rPr>
          <w:rFonts w:hint="eastAsia" w:ascii="宋体" w:hAnsi="宋体" w:cs="楷体_GB2312"/>
          <w:color w:val="auto"/>
          <w:sz w:val="24"/>
          <w:highlight w:val="none"/>
          <w:lang w:val="zh-CN"/>
        </w:rPr>
        <w:t>9.7锁名称变更或者延期可能会导致开标过程无法正常解密标书。开标过程中解密必须使用生成标书时使用的CA锁，丢失、变更、延期都会导致无法解密。如无待开标解密项目，变更或者延期不影响正常的业务操作，但需要注意如下事项：</w:t>
      </w:r>
    </w:p>
    <w:p w14:paraId="0C2724C9">
      <w:pPr>
        <w:widowControl w:val="0"/>
        <w:tabs>
          <w:tab w:val="left" w:pos="39"/>
          <w:tab w:val="left" w:pos="96"/>
        </w:tabs>
        <w:snapToGrid w:val="0"/>
        <w:spacing w:line="360" w:lineRule="auto"/>
        <w:ind w:firstLine="540" w:firstLineChars="225"/>
        <w:rPr>
          <w:rFonts w:ascii="宋体" w:hAnsi="宋体" w:cs="楷体_GB2312"/>
          <w:color w:val="auto"/>
          <w:sz w:val="24"/>
          <w:highlight w:val="none"/>
          <w:lang w:val="zh-CN"/>
        </w:rPr>
      </w:pPr>
      <w:r>
        <w:rPr>
          <w:rFonts w:hint="eastAsia" w:ascii="宋体" w:hAnsi="宋体" w:cs="楷体_GB2312"/>
          <w:color w:val="auto"/>
          <w:sz w:val="24"/>
          <w:highlight w:val="none"/>
          <w:lang w:val="zh-CN"/>
        </w:rPr>
        <w:t>①锁名称变更前建议先在交易系统修改单位名称为最新的，变更完成后再变更锁名称，以免因名称不一致无法正常登录系统。</w:t>
      </w:r>
    </w:p>
    <w:p w14:paraId="61DAF64B">
      <w:pPr>
        <w:widowControl w:val="0"/>
        <w:tabs>
          <w:tab w:val="left" w:pos="39"/>
          <w:tab w:val="left" w:pos="96"/>
        </w:tabs>
        <w:snapToGrid w:val="0"/>
        <w:spacing w:line="360" w:lineRule="auto"/>
        <w:ind w:firstLine="540" w:firstLineChars="225"/>
        <w:rPr>
          <w:rFonts w:ascii="宋体" w:hAnsi="宋体"/>
          <w:color w:val="auto"/>
          <w:sz w:val="24"/>
          <w:szCs w:val="24"/>
          <w:highlight w:val="none"/>
        </w:rPr>
      </w:pPr>
      <w:r>
        <w:rPr>
          <w:rFonts w:hint="eastAsia" w:ascii="宋体" w:hAnsi="宋体" w:cs="楷体_GB2312"/>
          <w:color w:val="auto"/>
          <w:sz w:val="24"/>
          <w:highlight w:val="none"/>
          <w:lang w:val="zh-CN"/>
        </w:rPr>
        <w:t>②锁延期之后序列号可能会发生改变（视不同CA而定），变更后需要重新进行绑定。</w:t>
      </w:r>
    </w:p>
    <w:p w14:paraId="3428098B">
      <w:pPr>
        <w:widowControl w:val="0"/>
        <w:tabs>
          <w:tab w:val="left" w:pos="39"/>
          <w:tab w:val="left" w:pos="96"/>
        </w:tabs>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9.8政府采购电子交易中，投标人网上电子交易的系统操作规则应以安阳市公共资源交易平台即时发布的相关规则为准。</w:t>
      </w:r>
    </w:p>
    <w:p w14:paraId="449F7508">
      <w:pPr>
        <w:widowControl w:val="0"/>
        <w:tabs>
          <w:tab w:val="left" w:pos="39"/>
          <w:tab w:val="left" w:pos="96"/>
        </w:tabs>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9.9望投标人充分熟悉网上电子交易操作流程、以便有效投标。</w:t>
      </w:r>
    </w:p>
    <w:p w14:paraId="562CDEBE">
      <w:pPr>
        <w:widowControl w:val="0"/>
        <w:tabs>
          <w:tab w:val="left" w:pos="39"/>
          <w:tab w:val="left" w:pos="96"/>
        </w:tabs>
        <w:snapToGrid w:val="0"/>
        <w:spacing w:line="360" w:lineRule="auto"/>
        <w:ind w:firstLine="540" w:firstLineChars="225"/>
        <w:rPr>
          <w:rFonts w:ascii="宋体" w:hAnsi="宋体"/>
          <w:color w:val="auto"/>
          <w:sz w:val="24"/>
          <w:szCs w:val="24"/>
          <w:highlight w:val="none"/>
        </w:rPr>
      </w:pPr>
      <w:r>
        <w:rPr>
          <w:rFonts w:hint="eastAsia"/>
          <w:bCs/>
          <w:color w:val="auto"/>
          <w:sz w:val="24"/>
          <w:szCs w:val="24"/>
          <w:highlight w:val="none"/>
        </w:rPr>
        <w:t>9.10 如遇到网上系统操作等技术问题请咨询</w:t>
      </w:r>
      <w:r>
        <w:rPr>
          <w:rFonts w:hint="eastAsia" w:ascii="宋体" w:hAnsi="宋体"/>
          <w:color w:val="auto"/>
          <w:sz w:val="24"/>
          <w:szCs w:val="24"/>
          <w:highlight w:val="none"/>
        </w:rPr>
        <w:t>400-998-0000、0372-3387739。</w:t>
      </w:r>
    </w:p>
    <w:p w14:paraId="1C1D012F">
      <w:pPr>
        <w:widowControl w:val="0"/>
        <w:tabs>
          <w:tab w:val="left" w:pos="39"/>
          <w:tab w:val="left" w:pos="96"/>
        </w:tabs>
        <w:snapToGrid w:val="0"/>
        <w:spacing w:line="360" w:lineRule="auto"/>
        <w:ind w:firstLine="540" w:firstLineChars="225"/>
        <w:rPr>
          <w:rFonts w:ascii="宋体"/>
          <w:color w:val="auto"/>
          <w:sz w:val="24"/>
          <w:szCs w:val="24"/>
          <w:highlight w:val="none"/>
        </w:rPr>
      </w:pPr>
    </w:p>
    <w:p w14:paraId="0A79CE6C">
      <w:pPr>
        <w:widowControl w:val="0"/>
        <w:tabs>
          <w:tab w:val="left" w:pos="39"/>
          <w:tab w:val="left" w:pos="96"/>
        </w:tabs>
        <w:snapToGrid w:val="0"/>
        <w:spacing w:line="360" w:lineRule="auto"/>
        <w:jc w:val="right"/>
        <w:rPr>
          <w:rFonts w:ascii="宋体"/>
          <w:color w:val="auto"/>
          <w:sz w:val="24"/>
          <w:szCs w:val="24"/>
          <w:highlight w:val="none"/>
        </w:rPr>
      </w:pPr>
      <w:r>
        <w:rPr>
          <w:rFonts w:hint="eastAsia" w:ascii="宋体"/>
          <w:color w:val="auto"/>
          <w:sz w:val="24"/>
          <w:szCs w:val="24"/>
          <w:highlight w:val="none"/>
        </w:rPr>
        <w:t>安阳市方正招标采购服务有限责任公司</w:t>
      </w:r>
    </w:p>
    <w:p w14:paraId="0CEF99B4">
      <w:pPr>
        <w:widowControl w:val="0"/>
        <w:tabs>
          <w:tab w:val="left" w:pos="39"/>
          <w:tab w:val="left" w:pos="96"/>
        </w:tabs>
        <w:snapToGrid w:val="0"/>
        <w:spacing w:line="360" w:lineRule="auto"/>
        <w:ind w:firstLine="540" w:firstLineChars="225"/>
        <w:jc w:val="right"/>
        <w:rPr>
          <w:rFonts w:eastAsia="方正黑体简体"/>
          <w:color w:val="auto"/>
          <w:sz w:val="28"/>
          <w:szCs w:val="28"/>
          <w:highlight w:val="none"/>
        </w:rPr>
      </w:pPr>
      <w:r>
        <w:rPr>
          <w:rFonts w:hint="eastAsia" w:ascii="宋体"/>
          <w:color w:val="auto"/>
          <w:sz w:val="24"/>
          <w:szCs w:val="24"/>
          <w:highlight w:val="none"/>
        </w:rPr>
        <w:t>二〇二五年</w:t>
      </w:r>
      <w:r>
        <w:rPr>
          <w:rFonts w:hint="eastAsia" w:ascii="宋体"/>
          <w:color w:val="auto"/>
          <w:sz w:val="24"/>
          <w:szCs w:val="24"/>
          <w:highlight w:val="none"/>
          <w:lang w:eastAsia="zh-CN"/>
        </w:rPr>
        <w:t>十一</w:t>
      </w:r>
      <w:r>
        <w:rPr>
          <w:rFonts w:hint="eastAsia" w:ascii="宋体"/>
          <w:color w:val="auto"/>
          <w:sz w:val="24"/>
          <w:szCs w:val="24"/>
          <w:highlight w:val="none"/>
        </w:rPr>
        <w:t>月</w:t>
      </w:r>
      <w:r>
        <w:rPr>
          <w:rFonts w:hint="eastAsia" w:ascii="宋体"/>
          <w:color w:val="auto"/>
          <w:sz w:val="24"/>
          <w:szCs w:val="24"/>
          <w:highlight w:val="none"/>
          <w:lang w:eastAsia="zh-CN"/>
        </w:rPr>
        <w:t>十三</w:t>
      </w:r>
      <w:r>
        <w:rPr>
          <w:rFonts w:hint="eastAsia" w:ascii="宋体"/>
          <w:color w:val="auto"/>
          <w:sz w:val="24"/>
          <w:szCs w:val="24"/>
          <w:highlight w:val="none"/>
        </w:rPr>
        <w:t>日</w:t>
      </w:r>
      <w:r>
        <w:rPr>
          <w:rFonts w:eastAsia="方正黑体简体"/>
          <w:color w:val="auto"/>
          <w:sz w:val="28"/>
          <w:szCs w:val="28"/>
          <w:highlight w:val="none"/>
        </w:rPr>
        <w:br w:type="page"/>
      </w:r>
    </w:p>
    <w:p w14:paraId="0AA8A9EB">
      <w:pPr>
        <w:widowControl w:val="0"/>
        <w:snapToGrid w:val="0"/>
        <w:spacing w:line="360" w:lineRule="auto"/>
        <w:jc w:val="center"/>
        <w:outlineLvl w:val="0"/>
        <w:rPr>
          <w:rFonts w:eastAsia="黑体"/>
          <w:b/>
          <w:color w:val="auto"/>
          <w:sz w:val="36"/>
          <w:szCs w:val="36"/>
          <w:highlight w:val="none"/>
        </w:rPr>
      </w:pPr>
    </w:p>
    <w:p w14:paraId="50A8AFB0">
      <w:pPr>
        <w:widowControl w:val="0"/>
        <w:snapToGrid w:val="0"/>
        <w:spacing w:line="360" w:lineRule="auto"/>
        <w:jc w:val="center"/>
        <w:outlineLvl w:val="0"/>
        <w:rPr>
          <w:rFonts w:eastAsia="方正黑体简体"/>
          <w:color w:val="auto"/>
          <w:sz w:val="36"/>
          <w:szCs w:val="36"/>
          <w:highlight w:val="none"/>
        </w:rPr>
      </w:pPr>
      <w:bookmarkStart w:id="17" w:name="_Toc25542"/>
      <w:r>
        <w:rPr>
          <w:rFonts w:hint="eastAsia" w:eastAsia="黑体"/>
          <w:b/>
          <w:color w:val="auto"/>
          <w:sz w:val="36"/>
          <w:szCs w:val="36"/>
          <w:highlight w:val="none"/>
        </w:rPr>
        <w:t>第二章</w:t>
      </w:r>
      <w:r>
        <w:rPr>
          <w:rFonts w:eastAsia="黑体"/>
          <w:b/>
          <w:color w:val="auto"/>
          <w:sz w:val="36"/>
          <w:szCs w:val="36"/>
          <w:highlight w:val="none"/>
        </w:rPr>
        <w:t xml:space="preserve">  </w:t>
      </w:r>
      <w:r>
        <w:rPr>
          <w:rFonts w:hint="eastAsia" w:eastAsia="黑体"/>
          <w:b/>
          <w:color w:val="auto"/>
          <w:sz w:val="36"/>
          <w:szCs w:val="36"/>
          <w:highlight w:val="none"/>
        </w:rPr>
        <w:t>招标项目要求及采购需求</w:t>
      </w:r>
      <w:bookmarkEnd w:id="17"/>
    </w:p>
    <w:p w14:paraId="707CACB6">
      <w:pPr>
        <w:widowControl w:val="0"/>
        <w:snapToGrid w:val="0"/>
        <w:spacing w:line="360" w:lineRule="auto"/>
        <w:jc w:val="center"/>
        <w:rPr>
          <w:b/>
          <w:color w:val="auto"/>
          <w:sz w:val="28"/>
          <w:highlight w:val="none"/>
        </w:rPr>
      </w:pPr>
    </w:p>
    <w:p w14:paraId="5085D9B5">
      <w:pPr>
        <w:widowControl w:val="0"/>
        <w:snapToGrid w:val="0"/>
        <w:spacing w:line="360" w:lineRule="auto"/>
        <w:ind w:firstLine="422" w:firstLineChars="150"/>
        <w:jc w:val="left"/>
        <w:outlineLvl w:val="1"/>
        <w:rPr>
          <w:rFonts w:ascii="黑体" w:hAnsi="黑体" w:eastAsia="黑体"/>
          <w:b/>
          <w:color w:val="auto"/>
          <w:sz w:val="28"/>
          <w:highlight w:val="none"/>
        </w:rPr>
      </w:pPr>
      <w:bookmarkStart w:id="18" w:name="_Toc10287"/>
      <w:r>
        <w:rPr>
          <w:rFonts w:ascii="黑体" w:hAnsi="黑体" w:eastAsia="黑体"/>
          <w:b/>
          <w:color w:val="auto"/>
          <w:sz w:val="28"/>
          <w:highlight w:val="none"/>
        </w:rPr>
        <w:t xml:space="preserve">1. </w:t>
      </w:r>
      <w:r>
        <w:rPr>
          <w:rFonts w:hint="eastAsia" w:ascii="黑体" w:hAnsi="黑体" w:eastAsia="黑体"/>
          <w:b/>
          <w:color w:val="auto"/>
          <w:sz w:val="28"/>
          <w:highlight w:val="none"/>
        </w:rPr>
        <w:t>招标项目、标段（包）划分、投标报价</w:t>
      </w:r>
      <w:bookmarkEnd w:id="18"/>
    </w:p>
    <w:p w14:paraId="66B0FACE">
      <w:pPr>
        <w:widowControl w:val="0"/>
        <w:snapToGrid w:val="0"/>
        <w:spacing w:line="360" w:lineRule="auto"/>
        <w:ind w:firstLine="482" w:firstLineChars="200"/>
        <w:jc w:val="left"/>
        <w:rPr>
          <w:color w:val="auto"/>
          <w:sz w:val="24"/>
          <w:szCs w:val="24"/>
          <w:highlight w:val="none"/>
        </w:rPr>
      </w:pPr>
      <w:r>
        <w:rPr>
          <w:rFonts w:ascii="黑体" w:hAnsi="黑体" w:eastAsia="黑体"/>
          <w:b/>
          <w:color w:val="auto"/>
          <w:sz w:val="24"/>
          <w:szCs w:val="24"/>
          <w:highlight w:val="none"/>
        </w:rPr>
        <w:t>1.1</w:t>
      </w:r>
      <w:r>
        <w:rPr>
          <w:rFonts w:hint="eastAsia" w:ascii="黑体" w:hAnsi="黑体" w:eastAsia="黑体"/>
          <w:b/>
          <w:color w:val="auto"/>
          <w:sz w:val="24"/>
          <w:szCs w:val="24"/>
          <w:highlight w:val="none"/>
        </w:rPr>
        <w:t>招标项目名称</w:t>
      </w:r>
      <w:r>
        <w:rPr>
          <w:rFonts w:hint="eastAsia"/>
          <w:color w:val="auto"/>
          <w:sz w:val="24"/>
          <w:szCs w:val="24"/>
          <w:highlight w:val="none"/>
        </w:rPr>
        <w:t>：安阳市融媒体中心演播大厅改造（一期）项目</w:t>
      </w:r>
    </w:p>
    <w:p w14:paraId="5DC077BD">
      <w:pPr>
        <w:widowControl w:val="0"/>
        <w:snapToGrid w:val="0"/>
        <w:spacing w:line="360" w:lineRule="auto"/>
        <w:ind w:firstLine="482" w:firstLineChars="200"/>
        <w:jc w:val="left"/>
        <w:rPr>
          <w:color w:val="auto"/>
          <w:sz w:val="24"/>
          <w:szCs w:val="24"/>
          <w:highlight w:val="none"/>
        </w:rPr>
      </w:pPr>
      <w:r>
        <w:rPr>
          <w:rFonts w:ascii="黑体" w:hAnsi="黑体" w:eastAsia="黑体"/>
          <w:b/>
          <w:color w:val="auto"/>
          <w:sz w:val="24"/>
          <w:szCs w:val="24"/>
          <w:highlight w:val="none"/>
        </w:rPr>
        <w:t xml:space="preserve">1.2 </w:t>
      </w:r>
      <w:r>
        <w:rPr>
          <w:rFonts w:hint="eastAsia" w:ascii="黑体" w:hAnsi="黑体" w:eastAsia="黑体"/>
          <w:b/>
          <w:color w:val="auto"/>
          <w:sz w:val="24"/>
          <w:szCs w:val="24"/>
          <w:highlight w:val="none"/>
        </w:rPr>
        <w:t>标段（包）划分及其交付（实施）期交付（实施）地点</w:t>
      </w:r>
      <w:r>
        <w:rPr>
          <w:rFonts w:hint="eastAsia"/>
          <w:color w:val="auto"/>
          <w:sz w:val="24"/>
          <w:szCs w:val="24"/>
          <w:highlight w:val="none"/>
        </w:rPr>
        <w:t>：本次招标项目划分为2个标段（包）。</w:t>
      </w:r>
    </w:p>
    <w:tbl>
      <w:tblPr>
        <w:tblStyle w:val="20"/>
        <w:tblW w:w="9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181"/>
        <w:gridCol w:w="2835"/>
        <w:gridCol w:w="1655"/>
        <w:gridCol w:w="1438"/>
      </w:tblGrid>
      <w:tr w14:paraId="6BA87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7" w:type="dxa"/>
            <w:gridSpan w:val="5"/>
            <w:tcBorders>
              <w:top w:val="single" w:color="auto" w:sz="4" w:space="0"/>
              <w:left w:val="single" w:color="auto" w:sz="4" w:space="0"/>
              <w:bottom w:val="single" w:color="auto" w:sz="4" w:space="0"/>
              <w:right w:val="single" w:color="auto" w:sz="4" w:space="0"/>
            </w:tcBorders>
            <w:vAlign w:val="center"/>
          </w:tcPr>
          <w:p w14:paraId="3FF980C4">
            <w:pPr>
              <w:widowControl w:val="0"/>
              <w:snapToGrid w:val="0"/>
              <w:spacing w:line="240" w:lineRule="auto"/>
              <w:jc w:val="center"/>
              <w:rPr>
                <w:rFonts w:ascii="宋体" w:hAnsi="宋体"/>
                <w:b/>
                <w:color w:val="auto"/>
                <w:sz w:val="24"/>
                <w:szCs w:val="24"/>
                <w:highlight w:val="none"/>
              </w:rPr>
            </w:pPr>
            <w:r>
              <w:rPr>
                <w:rFonts w:hint="eastAsia" w:ascii="宋体" w:hAnsi="宋体"/>
                <w:b/>
                <w:color w:val="auto"/>
                <w:sz w:val="24"/>
                <w:szCs w:val="24"/>
                <w:highlight w:val="none"/>
              </w:rPr>
              <w:t>标段（包）一览表</w:t>
            </w:r>
          </w:p>
        </w:tc>
      </w:tr>
      <w:tr w14:paraId="5E5C9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1668" w:type="dxa"/>
            <w:vAlign w:val="center"/>
          </w:tcPr>
          <w:p w14:paraId="6FE27AE0">
            <w:pPr>
              <w:widowControl w:val="0"/>
              <w:snapToGrid w:val="0"/>
              <w:jc w:val="center"/>
              <w:rPr>
                <w:b/>
                <w:color w:val="auto"/>
                <w:sz w:val="22"/>
                <w:szCs w:val="22"/>
                <w:highlight w:val="none"/>
              </w:rPr>
            </w:pPr>
            <w:r>
              <w:rPr>
                <w:rFonts w:hint="eastAsia"/>
                <w:b/>
                <w:color w:val="auto"/>
                <w:sz w:val="22"/>
                <w:szCs w:val="22"/>
                <w:highlight w:val="none"/>
              </w:rPr>
              <w:t>项目名称</w:t>
            </w:r>
          </w:p>
        </w:tc>
        <w:tc>
          <w:tcPr>
            <w:tcW w:w="2181" w:type="dxa"/>
            <w:vAlign w:val="center"/>
          </w:tcPr>
          <w:p w14:paraId="710E8456">
            <w:pPr>
              <w:widowControl w:val="0"/>
              <w:snapToGrid w:val="0"/>
              <w:jc w:val="center"/>
              <w:rPr>
                <w:b/>
                <w:color w:val="auto"/>
                <w:sz w:val="22"/>
                <w:szCs w:val="22"/>
                <w:highlight w:val="none"/>
              </w:rPr>
            </w:pPr>
            <w:r>
              <w:rPr>
                <w:rFonts w:hint="eastAsia"/>
                <w:b/>
                <w:color w:val="auto"/>
                <w:sz w:val="22"/>
                <w:szCs w:val="22"/>
                <w:highlight w:val="none"/>
              </w:rPr>
              <w:t>标段（包）名称</w:t>
            </w:r>
          </w:p>
        </w:tc>
        <w:tc>
          <w:tcPr>
            <w:tcW w:w="2835" w:type="dxa"/>
            <w:vAlign w:val="center"/>
          </w:tcPr>
          <w:p w14:paraId="25620290">
            <w:pPr>
              <w:widowControl w:val="0"/>
              <w:snapToGrid w:val="0"/>
              <w:jc w:val="center"/>
              <w:rPr>
                <w:rFonts w:ascii="宋体" w:hAnsi="宋体"/>
                <w:b/>
                <w:color w:val="auto"/>
                <w:sz w:val="22"/>
                <w:szCs w:val="22"/>
                <w:highlight w:val="none"/>
              </w:rPr>
            </w:pPr>
            <w:r>
              <w:rPr>
                <w:rFonts w:hint="eastAsia" w:ascii="宋体" w:hAnsi="宋体"/>
                <w:b/>
                <w:color w:val="auto"/>
                <w:sz w:val="22"/>
                <w:szCs w:val="22"/>
                <w:highlight w:val="none"/>
              </w:rPr>
              <w:t>标段（包）内容（范围）</w:t>
            </w:r>
          </w:p>
        </w:tc>
        <w:tc>
          <w:tcPr>
            <w:tcW w:w="1655" w:type="dxa"/>
            <w:vAlign w:val="center"/>
          </w:tcPr>
          <w:p w14:paraId="4F2E7770">
            <w:pPr>
              <w:widowControl w:val="0"/>
              <w:snapToGrid w:val="0"/>
              <w:spacing w:line="240" w:lineRule="auto"/>
              <w:jc w:val="center"/>
              <w:rPr>
                <w:rFonts w:ascii="宋体" w:hAnsi="宋体"/>
                <w:b/>
                <w:color w:val="auto"/>
                <w:sz w:val="22"/>
                <w:szCs w:val="22"/>
                <w:highlight w:val="none"/>
              </w:rPr>
            </w:pPr>
            <w:r>
              <w:rPr>
                <w:rFonts w:hint="eastAsia" w:ascii="宋体" w:hAnsi="宋体"/>
                <w:b/>
                <w:color w:val="auto"/>
                <w:sz w:val="22"/>
                <w:szCs w:val="22"/>
                <w:highlight w:val="none"/>
              </w:rPr>
              <w:t>合同履行期限</w:t>
            </w:r>
          </w:p>
          <w:p w14:paraId="660F3C41">
            <w:pPr>
              <w:widowControl w:val="0"/>
              <w:snapToGrid w:val="0"/>
              <w:jc w:val="center"/>
              <w:rPr>
                <w:rFonts w:ascii="宋体" w:hAnsi="宋体"/>
                <w:b/>
                <w:color w:val="auto"/>
                <w:sz w:val="22"/>
                <w:szCs w:val="22"/>
                <w:highlight w:val="none"/>
              </w:rPr>
            </w:pPr>
            <w:r>
              <w:rPr>
                <w:rFonts w:hint="eastAsia" w:ascii="宋体" w:hAnsi="宋体"/>
                <w:b/>
                <w:color w:val="auto"/>
                <w:sz w:val="22"/>
                <w:szCs w:val="22"/>
                <w:highlight w:val="none"/>
              </w:rPr>
              <w:t>（交付&lt;实施&gt;期/工期）</w:t>
            </w:r>
          </w:p>
        </w:tc>
        <w:tc>
          <w:tcPr>
            <w:tcW w:w="1438" w:type="dxa"/>
            <w:vAlign w:val="center"/>
          </w:tcPr>
          <w:p w14:paraId="6B8D9B41">
            <w:pPr>
              <w:widowControl w:val="0"/>
              <w:snapToGrid w:val="0"/>
              <w:jc w:val="center"/>
              <w:rPr>
                <w:rFonts w:ascii="宋体" w:hAnsi="宋体"/>
                <w:b/>
                <w:color w:val="auto"/>
                <w:sz w:val="22"/>
                <w:szCs w:val="22"/>
                <w:highlight w:val="none"/>
              </w:rPr>
            </w:pPr>
            <w:r>
              <w:rPr>
                <w:rFonts w:hint="eastAsia" w:ascii="宋体" w:hAnsi="宋体"/>
                <w:b/>
                <w:color w:val="auto"/>
                <w:sz w:val="22"/>
                <w:szCs w:val="22"/>
                <w:highlight w:val="none"/>
              </w:rPr>
              <w:t>交付（实施）地点/施工地点</w:t>
            </w:r>
          </w:p>
        </w:tc>
      </w:tr>
      <w:tr w14:paraId="77EBB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68" w:type="dxa"/>
            <w:vMerge w:val="restart"/>
            <w:vAlign w:val="center"/>
          </w:tcPr>
          <w:p w14:paraId="19CC7CBD">
            <w:pPr>
              <w:widowControl w:val="0"/>
              <w:snapToGrid w:val="0"/>
              <w:spacing w:line="240" w:lineRule="auto"/>
              <w:jc w:val="center"/>
              <w:rPr>
                <w:color w:val="auto"/>
                <w:sz w:val="24"/>
                <w:szCs w:val="24"/>
                <w:highlight w:val="none"/>
              </w:rPr>
            </w:pPr>
            <w:r>
              <w:rPr>
                <w:rFonts w:hint="eastAsia"/>
                <w:color w:val="auto"/>
                <w:sz w:val="24"/>
                <w:szCs w:val="24"/>
                <w:highlight w:val="none"/>
              </w:rPr>
              <w:t>安阳市融媒体中心演播大厅改造（一期）项目</w:t>
            </w:r>
          </w:p>
        </w:tc>
        <w:tc>
          <w:tcPr>
            <w:tcW w:w="2181" w:type="dxa"/>
            <w:vAlign w:val="center"/>
          </w:tcPr>
          <w:p w14:paraId="0F3A31E3">
            <w:pPr>
              <w:widowControl w:val="0"/>
              <w:snapToGrid w:val="0"/>
              <w:spacing w:line="240" w:lineRule="auto"/>
              <w:jc w:val="center"/>
              <w:rPr>
                <w:color w:val="auto"/>
                <w:sz w:val="24"/>
                <w:szCs w:val="24"/>
                <w:highlight w:val="none"/>
              </w:rPr>
            </w:pPr>
            <w:r>
              <w:rPr>
                <w:rFonts w:hint="eastAsia"/>
                <w:color w:val="auto"/>
                <w:sz w:val="24"/>
                <w:szCs w:val="24"/>
                <w:highlight w:val="none"/>
              </w:rPr>
              <w:t>安阳市融媒体中心演播大厅改造（一期）项目（包1）</w:t>
            </w:r>
          </w:p>
        </w:tc>
        <w:tc>
          <w:tcPr>
            <w:tcW w:w="2835" w:type="dxa"/>
            <w:vMerge w:val="restart"/>
            <w:vAlign w:val="center"/>
          </w:tcPr>
          <w:p w14:paraId="7926DB83">
            <w:pPr>
              <w:widowControl w:val="0"/>
              <w:snapToGrid w:val="0"/>
              <w:spacing w:line="240" w:lineRule="auto"/>
              <w:jc w:val="center"/>
              <w:rPr>
                <w:color w:val="auto"/>
                <w:sz w:val="24"/>
                <w:szCs w:val="24"/>
                <w:highlight w:val="none"/>
              </w:rPr>
            </w:pPr>
            <w:r>
              <w:rPr>
                <w:rFonts w:hint="eastAsia"/>
                <w:color w:val="auto"/>
                <w:sz w:val="24"/>
                <w:szCs w:val="24"/>
                <w:highlight w:val="none"/>
              </w:rPr>
              <w:t>见“第二章第</w:t>
            </w:r>
            <w:r>
              <w:rPr>
                <w:color w:val="auto"/>
                <w:sz w:val="24"/>
                <w:szCs w:val="24"/>
                <w:highlight w:val="none"/>
              </w:rPr>
              <w:t>2</w:t>
            </w:r>
            <w:r>
              <w:rPr>
                <w:rFonts w:hint="eastAsia"/>
                <w:color w:val="auto"/>
                <w:sz w:val="24"/>
                <w:szCs w:val="24"/>
                <w:highlight w:val="none"/>
              </w:rPr>
              <w:t>条：标段（包）内容（范围）及具体采购需求”</w:t>
            </w:r>
          </w:p>
        </w:tc>
        <w:tc>
          <w:tcPr>
            <w:tcW w:w="1655" w:type="dxa"/>
            <w:vMerge w:val="restart"/>
            <w:vAlign w:val="center"/>
          </w:tcPr>
          <w:p w14:paraId="488077B4">
            <w:pPr>
              <w:widowControl w:val="0"/>
              <w:snapToGrid w:val="0"/>
              <w:spacing w:line="240" w:lineRule="auto"/>
              <w:jc w:val="center"/>
              <w:rPr>
                <w:color w:val="auto"/>
                <w:sz w:val="24"/>
                <w:szCs w:val="24"/>
                <w:highlight w:val="none"/>
              </w:rPr>
            </w:pPr>
            <w:r>
              <w:rPr>
                <w:rFonts w:hint="eastAsia"/>
                <w:color w:val="auto"/>
                <w:sz w:val="24"/>
                <w:szCs w:val="24"/>
                <w:highlight w:val="none"/>
              </w:rPr>
              <w:t>见招标公告1.6</w:t>
            </w:r>
          </w:p>
        </w:tc>
        <w:tc>
          <w:tcPr>
            <w:tcW w:w="1438" w:type="dxa"/>
            <w:vMerge w:val="restart"/>
            <w:vAlign w:val="center"/>
          </w:tcPr>
          <w:p w14:paraId="40102B02">
            <w:pPr>
              <w:widowControl w:val="0"/>
              <w:snapToGrid w:val="0"/>
              <w:spacing w:line="240" w:lineRule="auto"/>
              <w:jc w:val="center"/>
              <w:rPr>
                <w:color w:val="auto"/>
                <w:sz w:val="24"/>
                <w:szCs w:val="24"/>
                <w:highlight w:val="none"/>
              </w:rPr>
            </w:pPr>
            <w:r>
              <w:rPr>
                <w:rFonts w:hint="eastAsia"/>
                <w:color w:val="auto"/>
                <w:sz w:val="24"/>
                <w:szCs w:val="24"/>
                <w:highlight w:val="none"/>
              </w:rPr>
              <w:t>采购人指定地点</w:t>
            </w:r>
          </w:p>
        </w:tc>
      </w:tr>
      <w:tr w14:paraId="5ED95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68" w:type="dxa"/>
            <w:vMerge w:val="continue"/>
            <w:vAlign w:val="center"/>
          </w:tcPr>
          <w:p w14:paraId="1108998D">
            <w:pPr>
              <w:widowControl w:val="0"/>
              <w:snapToGrid w:val="0"/>
              <w:spacing w:line="240" w:lineRule="auto"/>
              <w:rPr>
                <w:color w:val="auto"/>
                <w:sz w:val="24"/>
                <w:szCs w:val="24"/>
                <w:highlight w:val="none"/>
              </w:rPr>
            </w:pPr>
          </w:p>
        </w:tc>
        <w:tc>
          <w:tcPr>
            <w:tcW w:w="2181" w:type="dxa"/>
            <w:vAlign w:val="center"/>
          </w:tcPr>
          <w:p w14:paraId="6146748A">
            <w:pPr>
              <w:widowControl w:val="0"/>
              <w:snapToGrid w:val="0"/>
              <w:spacing w:line="240" w:lineRule="auto"/>
              <w:rPr>
                <w:color w:val="auto"/>
                <w:sz w:val="24"/>
                <w:szCs w:val="24"/>
                <w:highlight w:val="none"/>
              </w:rPr>
            </w:pPr>
            <w:r>
              <w:rPr>
                <w:rFonts w:hint="eastAsia"/>
                <w:color w:val="auto"/>
                <w:sz w:val="24"/>
                <w:szCs w:val="24"/>
                <w:highlight w:val="none"/>
              </w:rPr>
              <w:t>安阳市融媒体中心演播大厅改造（一期）项目（包2）</w:t>
            </w:r>
          </w:p>
        </w:tc>
        <w:tc>
          <w:tcPr>
            <w:tcW w:w="2835" w:type="dxa"/>
            <w:vMerge w:val="continue"/>
            <w:vAlign w:val="center"/>
          </w:tcPr>
          <w:p w14:paraId="1683630B">
            <w:pPr>
              <w:widowControl w:val="0"/>
              <w:snapToGrid w:val="0"/>
              <w:spacing w:line="240" w:lineRule="auto"/>
              <w:rPr>
                <w:color w:val="auto"/>
                <w:sz w:val="24"/>
                <w:szCs w:val="24"/>
                <w:highlight w:val="none"/>
              </w:rPr>
            </w:pPr>
          </w:p>
        </w:tc>
        <w:tc>
          <w:tcPr>
            <w:tcW w:w="1655" w:type="dxa"/>
            <w:vMerge w:val="continue"/>
            <w:vAlign w:val="center"/>
          </w:tcPr>
          <w:p w14:paraId="7AD6F2B5">
            <w:pPr>
              <w:widowControl w:val="0"/>
              <w:snapToGrid w:val="0"/>
              <w:spacing w:line="240" w:lineRule="auto"/>
              <w:jc w:val="center"/>
              <w:rPr>
                <w:color w:val="auto"/>
                <w:sz w:val="24"/>
                <w:szCs w:val="24"/>
                <w:highlight w:val="none"/>
              </w:rPr>
            </w:pPr>
          </w:p>
        </w:tc>
        <w:tc>
          <w:tcPr>
            <w:tcW w:w="1438" w:type="dxa"/>
            <w:vMerge w:val="continue"/>
            <w:vAlign w:val="center"/>
          </w:tcPr>
          <w:p w14:paraId="4BEB8CF0">
            <w:pPr>
              <w:widowControl w:val="0"/>
              <w:snapToGrid w:val="0"/>
              <w:spacing w:line="240" w:lineRule="auto"/>
              <w:rPr>
                <w:color w:val="auto"/>
                <w:sz w:val="24"/>
                <w:szCs w:val="24"/>
                <w:highlight w:val="none"/>
              </w:rPr>
            </w:pPr>
          </w:p>
        </w:tc>
      </w:tr>
    </w:tbl>
    <w:p w14:paraId="57130416">
      <w:pPr>
        <w:spacing w:line="560" w:lineRule="exact"/>
        <w:ind w:firstLine="482" w:firstLineChars="200"/>
        <w:rPr>
          <w:rFonts w:ascii="黑体" w:hAnsi="黑体" w:eastAsia="黑体"/>
          <w:b/>
          <w:color w:val="auto"/>
          <w:sz w:val="24"/>
          <w:szCs w:val="24"/>
          <w:highlight w:val="none"/>
        </w:rPr>
      </w:pPr>
      <w:r>
        <w:rPr>
          <w:rFonts w:ascii="黑体" w:hAnsi="黑体" w:eastAsia="黑体"/>
          <w:b/>
          <w:color w:val="auto"/>
          <w:sz w:val="24"/>
          <w:szCs w:val="24"/>
          <w:highlight w:val="none"/>
        </w:rPr>
        <w:t xml:space="preserve">1.3 </w:t>
      </w:r>
      <w:r>
        <w:rPr>
          <w:rFonts w:hint="eastAsia" w:ascii="黑体" w:hAnsi="黑体" w:eastAsia="黑体"/>
          <w:b/>
          <w:color w:val="auto"/>
          <w:sz w:val="24"/>
          <w:szCs w:val="24"/>
          <w:highlight w:val="none"/>
        </w:rPr>
        <w:t>投标报价（价格构成）</w:t>
      </w:r>
    </w:p>
    <w:p w14:paraId="07561661">
      <w:pPr>
        <w:widowControl w:val="0"/>
        <w:snapToGrid w:val="0"/>
        <w:spacing w:line="360" w:lineRule="auto"/>
        <w:ind w:firstLine="480" w:firstLineChars="200"/>
        <w:jc w:val="left"/>
        <w:rPr>
          <w:rFonts w:ascii="宋体" w:hAnsi="宋体"/>
          <w:color w:val="auto"/>
          <w:sz w:val="24"/>
          <w:szCs w:val="24"/>
          <w:highlight w:val="none"/>
        </w:rPr>
      </w:pPr>
      <w:r>
        <w:rPr>
          <w:color w:val="auto"/>
          <w:sz w:val="24"/>
          <w:szCs w:val="24"/>
          <w:highlight w:val="none"/>
        </w:rPr>
        <w:t xml:space="preserve">1.3.1 </w:t>
      </w:r>
      <w:r>
        <w:rPr>
          <w:rFonts w:hint="eastAsia"/>
          <w:color w:val="auto"/>
          <w:sz w:val="24"/>
          <w:szCs w:val="24"/>
          <w:highlight w:val="none"/>
        </w:rPr>
        <w:t>投标人应按标段（包）进行投标，</w:t>
      </w:r>
      <w:r>
        <w:rPr>
          <w:rFonts w:hint="eastAsia"/>
          <w:b/>
          <w:color w:val="auto"/>
          <w:sz w:val="24"/>
          <w:szCs w:val="24"/>
          <w:highlight w:val="none"/>
        </w:rPr>
        <w:t>包1</w:t>
      </w:r>
      <w:r>
        <w:rPr>
          <w:rFonts w:hint="eastAsia"/>
          <w:color w:val="auto"/>
          <w:sz w:val="24"/>
          <w:szCs w:val="24"/>
          <w:highlight w:val="none"/>
        </w:rPr>
        <w:t>的投标报价应为达到正常使用条件下的目的地交验价，包括产品价款、相关税款、备品备件价、易损件价、专用工具价、售后及技术服务费、知识产权（如有）、保险（如需）、货物包装、安装调试费、培训费、系统软件升级费及运送到安阳地区指定地点的运杂费、装卸费、旧设备拆除利旧费等与招标项目相关的、必须的款项及费用（包括未列明而完成交验所必须的所有设备、材料、工具、费用）。</w:t>
      </w:r>
      <w:r>
        <w:rPr>
          <w:rFonts w:hint="eastAsia" w:ascii="宋体" w:hAnsi="宋体"/>
          <w:color w:val="auto"/>
          <w:sz w:val="24"/>
          <w:szCs w:val="24"/>
          <w:highlight w:val="none"/>
        </w:rPr>
        <w:t>中标价格在中标合同范围内固定不变。</w:t>
      </w:r>
    </w:p>
    <w:p w14:paraId="7605FFCC">
      <w:pPr>
        <w:widowControl w:val="0"/>
        <w:snapToGrid w:val="0"/>
        <w:spacing w:line="360" w:lineRule="auto"/>
        <w:ind w:firstLine="361" w:firstLineChars="150"/>
        <w:jc w:val="left"/>
        <w:rPr>
          <w:color w:val="auto"/>
          <w:sz w:val="24"/>
          <w:szCs w:val="24"/>
          <w:highlight w:val="none"/>
        </w:rPr>
      </w:pPr>
      <w:r>
        <w:rPr>
          <w:rFonts w:hint="eastAsia"/>
          <w:b/>
          <w:color w:val="auto"/>
          <w:sz w:val="24"/>
          <w:szCs w:val="24"/>
          <w:highlight w:val="none"/>
        </w:rPr>
        <w:t>包2</w:t>
      </w:r>
      <w:r>
        <w:rPr>
          <w:rFonts w:hint="eastAsia"/>
          <w:color w:val="auto"/>
          <w:sz w:val="24"/>
          <w:szCs w:val="24"/>
          <w:highlight w:val="none"/>
        </w:rPr>
        <w:t>的投标报价应为项目完成交验价，包括材料及设备费、人工费、施工机械使用费、施工达到现行环保要求所需费用、现场遇到意外突发情况处置费用、运输、现场协调、现场安装、现场配合验收、抢工措施、检验试验、材料二次搬运、垃圾清运费、施工水电、缺陷修复费、保险费，知识产权（如有）、所涉货物包装、因质量问题引起的维修和更换、技术指导和培训、成品保护、供应商的利润、税金、政策性文件的规定以及包括但不限于原材料涨价等明示或暗示的所有一切风险、责任和义务的费用等与采购项目相关的、必须的款项及费用（包括未列明而完成交验所必须的所有费用、材料、工具、设施）。</w:t>
      </w:r>
    </w:p>
    <w:p w14:paraId="2D37CD98">
      <w:pPr>
        <w:widowControl w:val="0"/>
        <w:snapToGrid w:val="0"/>
        <w:spacing w:line="360" w:lineRule="auto"/>
        <w:ind w:firstLine="480" w:firstLineChars="200"/>
        <w:jc w:val="left"/>
        <w:rPr>
          <w:color w:val="auto"/>
          <w:sz w:val="24"/>
          <w:szCs w:val="24"/>
          <w:highlight w:val="none"/>
        </w:rPr>
      </w:pPr>
      <w:r>
        <w:rPr>
          <w:color w:val="auto"/>
          <w:sz w:val="24"/>
          <w:szCs w:val="24"/>
          <w:highlight w:val="none"/>
        </w:rPr>
        <w:t>1.3.2</w:t>
      </w:r>
      <w:r>
        <w:rPr>
          <w:rFonts w:hint="eastAsia"/>
          <w:color w:val="auto"/>
          <w:sz w:val="24"/>
          <w:szCs w:val="24"/>
          <w:highlight w:val="none"/>
        </w:rPr>
        <w:t>投标报价为一次性报价，报价时间截止后对投标报价的任何承诺、修改，除法定修正或招标文件规定修正情形外，评标委员会将不予考虑。</w:t>
      </w:r>
    </w:p>
    <w:p w14:paraId="1BF6AF5E">
      <w:pPr>
        <w:widowControl w:val="0"/>
        <w:snapToGrid w:val="0"/>
        <w:spacing w:line="360" w:lineRule="auto"/>
        <w:ind w:firstLine="480" w:firstLineChars="200"/>
        <w:jc w:val="left"/>
        <w:rPr>
          <w:color w:val="auto"/>
          <w:sz w:val="24"/>
          <w:szCs w:val="24"/>
          <w:highlight w:val="none"/>
        </w:rPr>
      </w:pPr>
      <w:r>
        <w:rPr>
          <w:color w:val="auto"/>
          <w:sz w:val="24"/>
          <w:szCs w:val="24"/>
          <w:highlight w:val="none"/>
        </w:rPr>
        <w:t xml:space="preserve">1.3.3 </w:t>
      </w:r>
      <w:r>
        <w:rPr>
          <w:rFonts w:hint="eastAsia"/>
          <w:color w:val="auto"/>
          <w:sz w:val="24"/>
          <w:szCs w:val="24"/>
          <w:highlight w:val="none"/>
        </w:rPr>
        <w:t>如投标人的投标报价未超过</w:t>
      </w:r>
      <w:r>
        <w:rPr>
          <w:rFonts w:hint="eastAsia" w:ascii="宋体" w:hAnsi="宋体" w:cs="楷体_GB2312"/>
          <w:bCs/>
          <w:color w:val="auto"/>
          <w:sz w:val="24"/>
          <w:highlight w:val="none"/>
          <w:lang w:val="zh-CN"/>
        </w:rPr>
        <w:t>预算金额</w:t>
      </w:r>
      <w:r>
        <w:rPr>
          <w:rFonts w:hint="eastAsia"/>
          <w:color w:val="auto"/>
          <w:sz w:val="24"/>
          <w:szCs w:val="24"/>
          <w:highlight w:val="none"/>
        </w:rPr>
        <w:t>（见招标公告</w:t>
      </w:r>
      <w:r>
        <w:rPr>
          <w:color w:val="auto"/>
          <w:sz w:val="24"/>
          <w:szCs w:val="24"/>
          <w:highlight w:val="none"/>
        </w:rPr>
        <w:t>1.</w:t>
      </w:r>
      <w:r>
        <w:rPr>
          <w:rFonts w:hint="eastAsia"/>
          <w:color w:val="auto"/>
          <w:sz w:val="24"/>
          <w:szCs w:val="24"/>
          <w:highlight w:val="none"/>
        </w:rPr>
        <w:t>4）的供应商不足三家的，该标段（包）做废标处理。</w:t>
      </w:r>
    </w:p>
    <w:p w14:paraId="167BEBD3">
      <w:pPr>
        <w:widowControl w:val="0"/>
        <w:snapToGrid w:val="0"/>
        <w:spacing w:line="360" w:lineRule="auto"/>
        <w:ind w:firstLine="480" w:firstLineChars="200"/>
        <w:jc w:val="left"/>
        <w:rPr>
          <w:color w:val="auto"/>
          <w:sz w:val="24"/>
          <w:szCs w:val="24"/>
          <w:highlight w:val="none"/>
        </w:rPr>
      </w:pPr>
      <w:r>
        <w:rPr>
          <w:color w:val="auto"/>
          <w:sz w:val="24"/>
          <w:szCs w:val="24"/>
          <w:highlight w:val="none"/>
        </w:rPr>
        <w:t xml:space="preserve">1.3.4 </w:t>
      </w:r>
      <w:r>
        <w:rPr>
          <w:rFonts w:hint="eastAsia"/>
          <w:color w:val="auto"/>
          <w:sz w:val="24"/>
          <w:szCs w:val="24"/>
          <w:highlight w:val="none"/>
        </w:rPr>
        <w:t>遵循第三章投标人须知</w:t>
      </w:r>
      <w:r>
        <w:rPr>
          <w:color w:val="auto"/>
          <w:sz w:val="24"/>
          <w:szCs w:val="24"/>
          <w:highlight w:val="none"/>
        </w:rPr>
        <w:t>3.7.</w:t>
      </w:r>
      <w:r>
        <w:rPr>
          <w:rFonts w:hint="eastAsia"/>
          <w:color w:val="auto"/>
          <w:sz w:val="24"/>
          <w:szCs w:val="24"/>
          <w:highlight w:val="none"/>
        </w:rPr>
        <w:t>5项规定。</w:t>
      </w:r>
    </w:p>
    <w:p w14:paraId="12145A79">
      <w:pPr>
        <w:spacing w:line="560" w:lineRule="exact"/>
        <w:ind w:firstLine="562" w:firstLineChars="200"/>
        <w:rPr>
          <w:rFonts w:ascii="黑体" w:hAnsi="黑体" w:eastAsia="黑体"/>
          <w:b/>
          <w:color w:val="auto"/>
          <w:sz w:val="28"/>
          <w:highlight w:val="none"/>
        </w:rPr>
      </w:pPr>
    </w:p>
    <w:p w14:paraId="6BB2C9F1">
      <w:pPr>
        <w:spacing w:line="560" w:lineRule="exact"/>
        <w:ind w:firstLine="562" w:firstLineChars="200"/>
        <w:outlineLvl w:val="1"/>
        <w:rPr>
          <w:rFonts w:ascii="黑体" w:hAnsi="黑体" w:eastAsia="黑体"/>
          <w:b/>
          <w:color w:val="auto"/>
          <w:sz w:val="28"/>
          <w:highlight w:val="none"/>
        </w:rPr>
      </w:pPr>
      <w:bookmarkStart w:id="19" w:name="_Toc20537"/>
      <w:r>
        <w:rPr>
          <w:rFonts w:hint="eastAsia" w:ascii="黑体" w:hAnsi="黑体" w:eastAsia="黑体"/>
          <w:b/>
          <w:color w:val="auto"/>
          <w:sz w:val="28"/>
          <w:highlight w:val="none"/>
        </w:rPr>
        <w:t>包1：</w:t>
      </w:r>
      <w:bookmarkEnd w:id="19"/>
    </w:p>
    <w:p w14:paraId="7D4E6534">
      <w:pPr>
        <w:spacing w:line="560" w:lineRule="exact"/>
        <w:ind w:firstLine="562" w:firstLineChars="200"/>
        <w:outlineLvl w:val="1"/>
        <w:rPr>
          <w:rFonts w:ascii="黑体" w:hAnsi="黑体" w:eastAsia="黑体"/>
          <w:b/>
          <w:color w:val="auto"/>
          <w:sz w:val="28"/>
          <w:highlight w:val="none"/>
        </w:rPr>
      </w:pPr>
      <w:bookmarkStart w:id="20" w:name="_Toc20859"/>
      <w:r>
        <w:rPr>
          <w:rFonts w:ascii="黑体" w:hAnsi="黑体" w:eastAsia="黑体"/>
          <w:b/>
          <w:color w:val="auto"/>
          <w:sz w:val="28"/>
          <w:highlight w:val="none"/>
        </w:rPr>
        <w:t xml:space="preserve">2. </w:t>
      </w:r>
      <w:r>
        <w:rPr>
          <w:rFonts w:hint="eastAsia" w:ascii="黑体" w:hAnsi="黑体" w:eastAsia="黑体"/>
          <w:b/>
          <w:color w:val="auto"/>
          <w:sz w:val="28"/>
          <w:highlight w:val="none"/>
        </w:rPr>
        <w:t>标段（包）内容（范围）及具体采购需求</w:t>
      </w:r>
      <w:bookmarkEnd w:id="20"/>
    </w:p>
    <w:p w14:paraId="7BB458B3">
      <w:pPr>
        <w:spacing w:line="560" w:lineRule="exact"/>
        <w:ind w:firstLine="482" w:firstLineChars="200"/>
        <w:rPr>
          <w:color w:val="auto"/>
          <w:sz w:val="24"/>
          <w:szCs w:val="24"/>
          <w:highlight w:val="none"/>
        </w:rPr>
      </w:pPr>
      <w:r>
        <w:rPr>
          <w:rFonts w:ascii="黑体" w:hAnsi="黑体" w:eastAsia="黑体"/>
          <w:b/>
          <w:color w:val="auto"/>
          <w:sz w:val="24"/>
          <w:szCs w:val="24"/>
          <w:highlight w:val="none"/>
        </w:rPr>
        <w:t>2.1</w:t>
      </w:r>
      <w:r>
        <w:rPr>
          <w:rFonts w:hint="eastAsia" w:ascii="黑体" w:hAnsi="黑体" w:eastAsia="黑体"/>
          <w:b/>
          <w:color w:val="auto"/>
          <w:sz w:val="24"/>
          <w:szCs w:val="24"/>
          <w:highlight w:val="none"/>
        </w:rPr>
        <w:t>采购标的需实现的功能或者目标，标段（包）总体范围：</w:t>
      </w:r>
      <w:r>
        <w:rPr>
          <w:color w:val="auto"/>
          <w:sz w:val="24"/>
          <w:szCs w:val="24"/>
          <w:highlight w:val="none"/>
        </w:rPr>
        <w:t xml:space="preserve"> </w:t>
      </w:r>
    </w:p>
    <w:p w14:paraId="51DF3048">
      <w:pPr>
        <w:adjustRightInd w:val="0"/>
        <w:snapToGrid w:val="0"/>
        <w:spacing w:before="156" w:beforeLines="50" w:line="30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600平方米属于中型演播厅，该演播厅主要用于安阳融媒电视问政节目（访谈）录制/直播、各类文艺节目演出、知识竞赛、庆典仪式/录制/直播、行业（机关单位）晚会演出/录制/直播。整体灯光设计除了考虑现场观看效果，更注重影视拍摄效果，首先保证拍摄基础光，保证基础布光，保证有灵活的扩展性，然后再考虑效果灯具。（后附“演播厅平面图”）</w:t>
      </w:r>
    </w:p>
    <w:p w14:paraId="68510F9F">
      <w:pPr>
        <w:adjustRightInd w:val="0"/>
        <w:snapToGrid w:val="0"/>
        <w:spacing w:before="156" w:beforeLines="50" w:line="30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（1）保证系统的安全性。</w:t>
      </w:r>
    </w:p>
    <w:p w14:paraId="00B31122">
      <w:pPr>
        <w:adjustRightInd w:val="0"/>
        <w:snapToGrid w:val="0"/>
        <w:spacing w:before="156" w:beforeLines="50" w:line="30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（2）保证灯光吊杆数量和适当灵活的吊杆类型/长度。</w:t>
      </w:r>
    </w:p>
    <w:p w14:paraId="56AA0137">
      <w:pPr>
        <w:adjustRightInd w:val="0"/>
        <w:snapToGrid w:val="0"/>
        <w:spacing w:before="156" w:beforeLines="50" w:line="30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（3）足够的灯光功率容量、回路，足够的控制信号回路。</w:t>
      </w:r>
    </w:p>
    <w:p w14:paraId="605B822C">
      <w:pPr>
        <w:adjustRightInd w:val="0"/>
        <w:snapToGrid w:val="0"/>
        <w:spacing w:before="156" w:beforeLines="50" w:line="30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（4）保证舞台面光有足够的照度和显色指数，色温一致；保证舞台逆光有足够的照度、色彩；有舞台侧光、顶光，实现灵活布光。保证基本的观众席面光、逆光。</w:t>
      </w:r>
    </w:p>
    <w:p w14:paraId="3A266932">
      <w:pPr>
        <w:adjustRightInd w:val="0"/>
        <w:snapToGrid w:val="0"/>
        <w:spacing w:before="156" w:beforeLines="50" w:line="30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（5）增加部分舞台效果光，包括色彩、光束、图案等。</w:t>
      </w:r>
    </w:p>
    <w:p w14:paraId="5D305CFC">
      <w:pPr>
        <w:adjustRightInd w:val="0"/>
        <w:snapToGrid w:val="0"/>
        <w:spacing w:before="156" w:beforeLines="50" w:line="30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（6）充分利旧，保留近期添加尚可以使用的部分设备：1台电脑调光台，2根12米灯光吊杆（含吊机），20台光束灯，56台LED帕灯，20台LED聚光灯（150W）。</w:t>
      </w:r>
    </w:p>
    <w:p w14:paraId="3986448F">
      <w:pPr>
        <w:adjustRightInd w:val="0"/>
        <w:snapToGrid w:val="0"/>
        <w:spacing w:before="156" w:beforeLines="50" w:line="300" w:lineRule="auto"/>
        <w:ind w:firstLine="482" w:firstLineChars="200"/>
        <w:rPr>
          <w:rFonts w:ascii="黑体" w:hAnsi="黑体" w:eastAsia="黑体"/>
          <w:b/>
          <w:color w:val="auto"/>
          <w:sz w:val="24"/>
          <w:szCs w:val="24"/>
          <w:highlight w:val="none"/>
        </w:rPr>
      </w:pPr>
      <w:r>
        <w:rPr>
          <w:rFonts w:ascii="黑体" w:hAnsi="黑体" w:eastAsia="黑体"/>
          <w:b/>
          <w:color w:val="auto"/>
          <w:sz w:val="24"/>
          <w:szCs w:val="24"/>
          <w:highlight w:val="none"/>
        </w:rPr>
        <w:t xml:space="preserve">2.2 </w:t>
      </w:r>
      <w:r>
        <w:rPr>
          <w:rFonts w:hint="eastAsia" w:ascii="黑体" w:hAnsi="黑体" w:eastAsia="黑体"/>
          <w:b/>
          <w:color w:val="auto"/>
          <w:sz w:val="24"/>
          <w:szCs w:val="24"/>
          <w:highlight w:val="none"/>
        </w:rPr>
        <w:t>项目落实的政府采购政策（法规标准条款）</w:t>
      </w:r>
    </w:p>
    <w:p w14:paraId="0D9D9AAF">
      <w:pPr>
        <w:adjustRightInd w:val="0"/>
        <w:snapToGrid w:val="0"/>
        <w:spacing w:before="156"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 xml:space="preserve">.1 </w:t>
      </w:r>
      <w:r>
        <w:rPr>
          <w:rFonts w:hint="eastAsia" w:ascii="宋体" w:hAnsi="宋体"/>
          <w:color w:val="auto"/>
          <w:sz w:val="24"/>
          <w:szCs w:val="24"/>
          <w:highlight w:val="none"/>
        </w:rPr>
        <w:t>政府采购节能产品、环境标志产品实施品目清单管理后，对本次采购产品中属于“节能产品政府采购品目清单”中强制采购品目的</w:t>
      </w:r>
      <w:r>
        <w:rPr>
          <w:rFonts w:ascii="宋体" w:hAnsi="宋体" w:cs="宋体"/>
          <w:color w:val="auto"/>
          <w:sz w:val="24"/>
          <w:szCs w:val="24"/>
          <w:highlight w:val="none"/>
        </w:rPr>
        <w:t>，</w:t>
      </w:r>
      <w:r>
        <w:rPr>
          <w:rFonts w:hint="eastAsia" w:ascii="宋体" w:hAnsi="宋体" w:cs="宋体"/>
          <w:color w:val="auto"/>
          <w:sz w:val="24"/>
          <w:szCs w:val="24"/>
          <w:highlight w:val="none"/>
        </w:rPr>
        <w:t>投</w:t>
      </w:r>
      <w:r>
        <w:rPr>
          <w:rFonts w:ascii="宋体" w:hAnsi="宋体" w:cs="宋体"/>
          <w:color w:val="auto"/>
          <w:sz w:val="24"/>
          <w:szCs w:val="24"/>
          <w:highlight w:val="none"/>
        </w:rPr>
        <w:t>标产</w:t>
      </w:r>
      <w:r>
        <w:rPr>
          <w:rFonts w:hint="eastAsia" w:ascii="宋体" w:hAnsi="宋体" w:cs="宋体"/>
          <w:color w:val="auto"/>
          <w:sz w:val="24"/>
          <w:szCs w:val="24"/>
          <w:highlight w:val="none"/>
        </w:rPr>
        <w:t>品</w:t>
      </w:r>
      <w:r>
        <w:rPr>
          <w:rFonts w:ascii="宋体" w:hAnsi="宋体" w:cs="宋体"/>
          <w:color w:val="auto"/>
          <w:sz w:val="24"/>
          <w:szCs w:val="24"/>
          <w:highlight w:val="none"/>
        </w:rPr>
        <w:t>应当具有</w:t>
      </w:r>
      <w:r>
        <w:rPr>
          <w:rFonts w:hint="eastAsia" w:ascii="宋体" w:hAnsi="宋体" w:cs="宋体"/>
          <w:color w:val="auto"/>
          <w:sz w:val="24"/>
          <w:szCs w:val="24"/>
          <w:highlight w:val="none"/>
        </w:rPr>
        <w:t>相</w:t>
      </w:r>
      <w:r>
        <w:rPr>
          <w:rFonts w:ascii="宋体" w:hAnsi="宋体" w:cs="宋体"/>
          <w:color w:val="auto"/>
          <w:sz w:val="24"/>
          <w:szCs w:val="24"/>
          <w:highlight w:val="none"/>
        </w:rPr>
        <w:t>应</w:t>
      </w:r>
      <w:r>
        <w:rPr>
          <w:rFonts w:hint="eastAsia" w:ascii="宋体" w:hAnsi="宋体" w:cs="宋体"/>
          <w:color w:val="auto"/>
          <w:sz w:val="24"/>
          <w:szCs w:val="24"/>
          <w:highlight w:val="none"/>
        </w:rPr>
        <w:t>的认证证书（认证证书应当为国家确定的认证机构出具、且应处于有效期之内</w:t>
      </w:r>
      <w:r>
        <w:rPr>
          <w:rFonts w:ascii="宋体" w:hAnsi="宋体" w:cs="宋体"/>
          <w:color w:val="auto"/>
          <w:sz w:val="24"/>
          <w:szCs w:val="24"/>
          <w:highlight w:val="none"/>
        </w:rPr>
        <w:t>）</w:t>
      </w:r>
      <w:r>
        <w:rPr>
          <w:rFonts w:hint="eastAsia" w:ascii="宋体" w:hAnsi="宋体" w:cs="宋体"/>
          <w:color w:val="auto"/>
          <w:sz w:val="24"/>
          <w:szCs w:val="24"/>
          <w:highlight w:val="none"/>
        </w:rPr>
        <w:t>，投</w:t>
      </w:r>
      <w:r>
        <w:rPr>
          <w:rFonts w:ascii="宋体" w:hAnsi="宋体" w:cs="宋体"/>
          <w:color w:val="auto"/>
          <w:sz w:val="24"/>
          <w:szCs w:val="24"/>
          <w:highlight w:val="none"/>
        </w:rPr>
        <w:t>标文件中应当提供</w:t>
      </w:r>
      <w:r>
        <w:rPr>
          <w:rFonts w:hint="eastAsia" w:ascii="宋体" w:hAnsi="宋体" w:cs="宋体"/>
          <w:color w:val="auto"/>
          <w:sz w:val="24"/>
          <w:szCs w:val="24"/>
          <w:highlight w:val="none"/>
        </w:rPr>
        <w:t>相</w:t>
      </w:r>
      <w:r>
        <w:rPr>
          <w:rFonts w:ascii="宋体" w:hAnsi="宋体" w:cs="宋体"/>
          <w:color w:val="auto"/>
          <w:sz w:val="24"/>
          <w:szCs w:val="24"/>
          <w:highlight w:val="none"/>
        </w:rPr>
        <w:t>应</w:t>
      </w:r>
      <w:r>
        <w:rPr>
          <w:rFonts w:hint="eastAsia" w:ascii="宋体" w:hAnsi="宋体" w:cs="宋体"/>
          <w:color w:val="auto"/>
          <w:sz w:val="24"/>
          <w:szCs w:val="24"/>
          <w:highlight w:val="none"/>
        </w:rPr>
        <w:t>的认证证书（认证证书应当为国家确定的认证机构出具、且应处于有效期之内）。</w:t>
      </w:r>
    </w:p>
    <w:p w14:paraId="0B7E9C94">
      <w:pPr>
        <w:adjustRightInd w:val="0"/>
        <w:snapToGrid w:val="0"/>
        <w:spacing w:before="156" w:beforeLines="50" w:line="30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属于政府强制采购</w:t>
      </w:r>
      <w:r>
        <w:rPr>
          <w:rFonts w:hint="eastAsia" w:ascii="宋体" w:hAnsi="宋体" w:cs="宋体"/>
          <w:color w:val="auto"/>
          <w:sz w:val="24"/>
          <w:szCs w:val="24"/>
          <w:highlight w:val="none"/>
        </w:rPr>
        <w:t>品目</w:t>
      </w:r>
      <w:r>
        <w:rPr>
          <w:rFonts w:hint="eastAsia" w:ascii="宋体" w:hAnsi="宋体"/>
          <w:color w:val="auto"/>
          <w:sz w:val="24"/>
          <w:szCs w:val="24"/>
          <w:highlight w:val="none"/>
        </w:rPr>
        <w:t>、而未按要求提供相应资料的，</w:t>
      </w:r>
      <w:r>
        <w:rPr>
          <w:rFonts w:hint="eastAsia" w:ascii="宋体" w:hAnsi="宋体"/>
          <w:b/>
          <w:color w:val="auto"/>
          <w:sz w:val="24"/>
          <w:szCs w:val="24"/>
          <w:highlight w:val="none"/>
        </w:rPr>
        <w:t>为无效投标</w:t>
      </w:r>
      <w:r>
        <w:rPr>
          <w:rFonts w:hint="eastAsia" w:ascii="宋体" w:hAnsi="宋体"/>
          <w:color w:val="auto"/>
          <w:sz w:val="24"/>
          <w:szCs w:val="24"/>
          <w:highlight w:val="none"/>
        </w:rPr>
        <w:t>。</w:t>
      </w:r>
    </w:p>
    <w:p w14:paraId="716518AA">
      <w:pPr>
        <w:adjustRightInd w:val="0"/>
        <w:snapToGrid w:val="0"/>
        <w:spacing w:before="156" w:beforeLines="50" w:line="300" w:lineRule="auto"/>
        <w:ind w:firstLine="480" w:firstLineChars="200"/>
        <w:rPr>
          <w:rFonts w:ascii="宋体" w:hAnsi="宋体" w:cs="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 xml:space="preserve">.2 </w:t>
      </w:r>
      <w:r>
        <w:rPr>
          <w:rFonts w:hint="eastAsia" w:ascii="宋体" w:hAnsi="宋体"/>
          <w:color w:val="auto"/>
          <w:sz w:val="24"/>
          <w:szCs w:val="24"/>
          <w:highlight w:val="none"/>
        </w:rPr>
        <w:t>同等条件下，</w:t>
      </w:r>
      <w:r>
        <w:rPr>
          <w:rFonts w:hint="eastAsia" w:ascii="宋体" w:hAnsi="宋体" w:cs="宋体"/>
          <w:color w:val="auto"/>
          <w:sz w:val="24"/>
          <w:szCs w:val="24"/>
          <w:highlight w:val="none"/>
        </w:rPr>
        <w:t>获得节能产品认证证书或环境标志产品认证证书的产品优先采购。(认证证书应</w:t>
      </w:r>
      <w:r>
        <w:rPr>
          <w:rFonts w:ascii="宋体" w:hAnsi="宋体" w:cs="宋体"/>
          <w:color w:val="auto"/>
          <w:sz w:val="24"/>
          <w:szCs w:val="24"/>
          <w:highlight w:val="none"/>
        </w:rPr>
        <w:t>当为</w:t>
      </w:r>
      <w:r>
        <w:rPr>
          <w:rFonts w:hint="eastAsia" w:ascii="宋体" w:hAnsi="宋体" w:cs="宋体"/>
          <w:color w:val="auto"/>
          <w:sz w:val="24"/>
          <w:szCs w:val="24"/>
          <w:highlight w:val="none"/>
        </w:rPr>
        <w:t>国家确定的认证机构出具、且</w:t>
      </w:r>
      <w:r>
        <w:rPr>
          <w:rFonts w:ascii="宋体" w:hAnsi="宋体" w:cs="宋体"/>
          <w:color w:val="auto"/>
          <w:sz w:val="24"/>
          <w:szCs w:val="24"/>
          <w:highlight w:val="none"/>
        </w:rPr>
        <w:t>应</w:t>
      </w:r>
      <w:r>
        <w:rPr>
          <w:rFonts w:hint="eastAsia" w:ascii="宋体" w:hAnsi="宋体" w:cs="宋体"/>
          <w:color w:val="auto"/>
          <w:sz w:val="24"/>
          <w:szCs w:val="24"/>
          <w:highlight w:val="none"/>
        </w:rPr>
        <w:t>处于有效期之内。)</w:t>
      </w:r>
    </w:p>
    <w:p w14:paraId="61D182B6">
      <w:pPr>
        <w:adjustRightInd w:val="0"/>
        <w:snapToGrid w:val="0"/>
        <w:spacing w:before="156" w:beforeLines="50" w:line="300" w:lineRule="auto"/>
        <w:ind w:firstLine="480" w:firstLineChars="200"/>
        <w:rPr>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3本次采购产品如有列入《网络关键设备和网络安全专用产品目录》的网络安全专用产品，该产品应当按照《关于调整网络安全专用产品安全管理有关事项的公告》要求进行安全认证或安全检测、或已获得《计算机信息系统安全专用产品销售许可证》（</w:t>
      </w:r>
      <w:r>
        <w:rPr>
          <w:rFonts w:hint="eastAsia" w:ascii="宋体" w:hAnsi="宋体" w:cs="宋体"/>
          <w:color w:val="auto"/>
          <w:sz w:val="24"/>
          <w:szCs w:val="24"/>
          <w:highlight w:val="none"/>
        </w:rPr>
        <w:t>应处于有效期内</w:t>
      </w:r>
      <w:r>
        <w:rPr>
          <w:rFonts w:hint="eastAsia" w:ascii="宋体" w:hAnsi="宋体"/>
          <w:color w:val="auto"/>
          <w:sz w:val="24"/>
          <w:szCs w:val="24"/>
          <w:highlight w:val="none"/>
        </w:rPr>
        <w:t>）。</w:t>
      </w:r>
    </w:p>
    <w:p w14:paraId="78E0DFA3">
      <w:pPr>
        <w:adjustRightInd w:val="0"/>
        <w:snapToGrid w:val="0"/>
        <w:spacing w:before="156"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4计算机产品须预装正版操作系统软件。</w:t>
      </w:r>
    </w:p>
    <w:p w14:paraId="339C35E1">
      <w:pPr>
        <w:adjustRightInd w:val="0"/>
        <w:snapToGrid w:val="0"/>
        <w:spacing w:before="156"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5</w:t>
      </w:r>
      <w:r>
        <w:rPr>
          <w:rFonts w:ascii="宋体" w:hAnsi="宋体"/>
          <w:color w:val="auto"/>
          <w:sz w:val="24"/>
          <w:szCs w:val="24"/>
          <w:highlight w:val="none"/>
        </w:rPr>
        <w:t xml:space="preserve"> </w:t>
      </w:r>
      <w:r>
        <w:rPr>
          <w:rFonts w:hint="eastAsia" w:ascii="宋体" w:hAnsi="宋体"/>
          <w:color w:val="auto"/>
          <w:sz w:val="24"/>
          <w:szCs w:val="24"/>
          <w:highlight w:val="none"/>
        </w:rPr>
        <w:t>本次采购不允许进口产品参加。</w:t>
      </w:r>
    </w:p>
    <w:p w14:paraId="632D3D4B">
      <w:pPr>
        <w:adjustRightInd w:val="0"/>
        <w:snapToGrid w:val="0"/>
        <w:spacing w:before="156"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6如允许采购进口产品的，优先采购向我国企业转让技术、与我国企业签订消化吸收再创新方案的供应商的进口产品。</w:t>
      </w:r>
    </w:p>
    <w:p w14:paraId="0BCBC840">
      <w:pPr>
        <w:adjustRightInd w:val="0"/>
        <w:snapToGrid w:val="0"/>
        <w:spacing w:before="156"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7</w:t>
      </w:r>
      <w:r>
        <w:rPr>
          <w:rFonts w:ascii="宋体" w:hAnsi="宋体"/>
          <w:color w:val="auto"/>
          <w:sz w:val="24"/>
          <w:szCs w:val="24"/>
          <w:highlight w:val="none"/>
        </w:rPr>
        <w:t xml:space="preserve"> </w:t>
      </w:r>
      <w:r>
        <w:rPr>
          <w:rFonts w:hint="eastAsia" w:ascii="宋体" w:hAnsi="宋体"/>
          <w:color w:val="auto"/>
          <w:sz w:val="24"/>
          <w:szCs w:val="24"/>
          <w:highlight w:val="none"/>
        </w:rPr>
        <w:t>促进中小企业发展扶持政策：见第四章“评标办法”第</w:t>
      </w:r>
      <w:r>
        <w:rPr>
          <w:rFonts w:ascii="宋体" w:hAnsi="宋体"/>
          <w:color w:val="auto"/>
          <w:sz w:val="24"/>
          <w:szCs w:val="24"/>
          <w:highlight w:val="none"/>
        </w:rPr>
        <w:t>4</w:t>
      </w:r>
      <w:r>
        <w:rPr>
          <w:rFonts w:hint="eastAsia" w:ascii="宋体" w:hAnsi="宋体"/>
          <w:color w:val="auto"/>
          <w:sz w:val="24"/>
          <w:szCs w:val="24"/>
          <w:highlight w:val="none"/>
        </w:rPr>
        <w:t>条。</w:t>
      </w:r>
    </w:p>
    <w:p w14:paraId="55D69E98">
      <w:pPr>
        <w:adjustRightInd w:val="0"/>
        <w:snapToGrid w:val="0"/>
        <w:spacing w:before="156"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8促进残疾人就业、支持监狱企业发展：见第四章“评标办法”第</w:t>
      </w:r>
      <w:r>
        <w:rPr>
          <w:rFonts w:ascii="宋体" w:hAnsi="宋体"/>
          <w:color w:val="auto"/>
          <w:sz w:val="24"/>
          <w:szCs w:val="24"/>
          <w:highlight w:val="none"/>
        </w:rPr>
        <w:t>4</w:t>
      </w:r>
      <w:r>
        <w:rPr>
          <w:rFonts w:hint="eastAsia" w:ascii="宋体" w:hAnsi="宋体"/>
          <w:color w:val="auto"/>
          <w:sz w:val="24"/>
          <w:szCs w:val="24"/>
          <w:highlight w:val="none"/>
        </w:rPr>
        <w:t>条。</w:t>
      </w:r>
    </w:p>
    <w:p w14:paraId="7066EC74">
      <w:pPr>
        <w:adjustRightInd w:val="0"/>
        <w:snapToGrid w:val="0"/>
        <w:spacing w:before="156"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9</w:t>
      </w:r>
      <w:r>
        <w:rPr>
          <w:rFonts w:ascii="宋体" w:hAnsi="宋体"/>
          <w:color w:val="auto"/>
          <w:sz w:val="24"/>
          <w:szCs w:val="24"/>
          <w:highlight w:val="none"/>
        </w:rPr>
        <w:t xml:space="preserve"> </w:t>
      </w:r>
      <w:r>
        <w:rPr>
          <w:rFonts w:hint="eastAsia" w:ascii="宋体" w:hAnsi="宋体"/>
          <w:color w:val="auto"/>
          <w:sz w:val="24"/>
          <w:szCs w:val="24"/>
          <w:highlight w:val="none"/>
        </w:rPr>
        <w:t>所供产品有商品包装的应当使用绿色包装。所供产品有其他环保政策要求的，应符合相关环保法律政策要求。</w:t>
      </w:r>
    </w:p>
    <w:p w14:paraId="1B68752F">
      <w:pPr>
        <w:adjustRightInd w:val="0"/>
        <w:snapToGrid w:val="0"/>
        <w:spacing w:before="156" w:beforeLines="50" w:line="30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2.2.10</w:t>
      </w:r>
      <w:r>
        <w:rPr>
          <w:rFonts w:ascii="宋体" w:hAnsi="宋体"/>
          <w:color w:val="auto"/>
          <w:sz w:val="24"/>
          <w:szCs w:val="24"/>
          <w:highlight w:val="none"/>
        </w:rPr>
        <w:t xml:space="preserve"> </w:t>
      </w:r>
      <w:r>
        <w:rPr>
          <w:rFonts w:hint="eastAsia" w:ascii="宋体" w:hAnsi="宋体"/>
          <w:color w:val="auto"/>
          <w:sz w:val="24"/>
          <w:szCs w:val="24"/>
          <w:highlight w:val="none"/>
        </w:rPr>
        <w:t>支持绿色建筑、绿色建材，支持使用低</w:t>
      </w:r>
      <w:r>
        <w:rPr>
          <w:rFonts w:ascii="Arial" w:hAnsi="Arial" w:cs="Arial"/>
          <w:color w:val="auto"/>
          <w:szCs w:val="21"/>
          <w:highlight w:val="none"/>
          <w:shd w:val="clear" w:color="auto" w:fill="FFFFFF"/>
        </w:rPr>
        <w:t>VOCs</w:t>
      </w:r>
      <w:r>
        <w:rPr>
          <w:rFonts w:hint="eastAsia" w:ascii="宋体" w:hAnsi="宋体"/>
          <w:color w:val="auto"/>
          <w:sz w:val="24"/>
          <w:szCs w:val="24"/>
          <w:highlight w:val="none"/>
        </w:rPr>
        <w:t>含量涂料和胶黏剂，支持不发达、少数民族地区的企业，促进自主创新产业发展，支持脱贫攻坚等；同等条件下，优先采购。</w:t>
      </w:r>
    </w:p>
    <w:p w14:paraId="6E7200B0">
      <w:pPr>
        <w:adjustRightInd w:val="0"/>
        <w:snapToGrid w:val="0"/>
        <w:spacing w:line="300" w:lineRule="auto"/>
        <w:ind w:firstLine="482" w:firstLineChars="200"/>
        <w:jc w:val="left"/>
        <w:rPr>
          <w:rFonts w:ascii="黑体" w:hAnsi="黑体" w:eastAsia="黑体"/>
          <w:b/>
          <w:color w:val="auto"/>
          <w:sz w:val="24"/>
          <w:szCs w:val="24"/>
          <w:highlight w:val="none"/>
        </w:rPr>
      </w:pPr>
      <w:r>
        <w:rPr>
          <w:rFonts w:ascii="黑体" w:hAnsi="黑体" w:eastAsia="黑体"/>
          <w:b/>
          <w:color w:val="auto"/>
          <w:sz w:val="24"/>
          <w:szCs w:val="24"/>
          <w:highlight w:val="none"/>
        </w:rPr>
        <w:t>2.3</w:t>
      </w:r>
      <w:r>
        <w:rPr>
          <w:rFonts w:hint="eastAsia" w:ascii="黑体" w:hAnsi="黑体" w:eastAsia="黑体"/>
          <w:b/>
          <w:color w:val="auto"/>
          <w:sz w:val="24"/>
          <w:szCs w:val="24"/>
          <w:highlight w:val="none"/>
        </w:rPr>
        <w:t>采购标的需执行的国家相关标准、行业标准、地方标准或者其他标准、规范；</w:t>
      </w:r>
    </w:p>
    <w:p w14:paraId="487C2BB2">
      <w:pPr>
        <w:widowControl w:val="0"/>
        <w:adjustRightInd w:val="0"/>
        <w:snapToGrid w:val="0"/>
        <w:spacing w:before="156" w:beforeLines="50" w:line="300" w:lineRule="auto"/>
        <w:ind w:left="22" w:firstLine="555"/>
        <w:jc w:val="left"/>
        <w:rPr>
          <w:color w:val="auto"/>
          <w:sz w:val="24"/>
          <w:szCs w:val="24"/>
          <w:highlight w:val="none"/>
        </w:rPr>
      </w:pPr>
      <w:r>
        <w:rPr>
          <w:rFonts w:hint="eastAsia"/>
          <w:color w:val="auto"/>
          <w:sz w:val="24"/>
          <w:szCs w:val="24"/>
          <w:highlight w:val="none"/>
        </w:rPr>
        <w:t>投标人所投产品应为全新产品且符合国家质量标准、部颁标准及行业规范的要求，符合国家各项强制性规范及安全标准，投标产品不应与第三方存在知识产权权属问题；投标人应本着服务客户、为客户着想的宗旨，来完善产品及技术要求未尽事宜，不得以招标文件未列明事项为由，来降低投标产品的质量。</w:t>
      </w:r>
    </w:p>
    <w:p w14:paraId="262EC38E">
      <w:pPr>
        <w:spacing w:line="560" w:lineRule="exact"/>
        <w:ind w:firstLine="482" w:firstLineChars="200"/>
        <w:rPr>
          <w:rFonts w:ascii="黑体" w:hAnsi="黑体" w:eastAsia="黑体"/>
          <w:b/>
          <w:color w:val="auto"/>
          <w:sz w:val="24"/>
          <w:szCs w:val="24"/>
          <w:highlight w:val="none"/>
        </w:rPr>
      </w:pPr>
      <w:r>
        <w:rPr>
          <w:rFonts w:ascii="黑体" w:hAnsi="黑体" w:eastAsia="黑体"/>
          <w:b/>
          <w:color w:val="auto"/>
          <w:sz w:val="24"/>
          <w:szCs w:val="24"/>
          <w:highlight w:val="none"/>
        </w:rPr>
        <w:t>2.4</w:t>
      </w:r>
      <w:r>
        <w:rPr>
          <w:rFonts w:hint="eastAsia" w:ascii="黑体" w:hAnsi="黑体" w:eastAsia="黑体"/>
          <w:b/>
          <w:color w:val="auto"/>
          <w:sz w:val="24"/>
          <w:szCs w:val="24"/>
          <w:highlight w:val="none"/>
        </w:rPr>
        <w:t>标段（包）内容（具体范围、数量），具体技术要求（</w:t>
      </w:r>
      <w:r>
        <w:rPr>
          <w:rFonts w:hint="eastAsia" w:ascii="宋体" w:hAnsi="宋体" w:cs="宋体"/>
          <w:color w:val="auto"/>
          <w:sz w:val="24"/>
          <w:highlight w:val="none"/>
        </w:rPr>
        <w:t>采购标的需满足的质量、安全、技术规格、物理特性等）</w:t>
      </w:r>
    </w:p>
    <w:p w14:paraId="563E0D91">
      <w:pPr>
        <w:adjustRightInd w:val="0"/>
        <w:snapToGrid w:val="0"/>
        <w:spacing w:before="156" w:beforeLines="50" w:line="30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（1）吊杆及灯具设备选择要求：</w:t>
      </w:r>
    </w:p>
    <w:p w14:paraId="4EC7D51C">
      <w:pPr>
        <w:adjustRightInd w:val="0"/>
        <w:snapToGrid w:val="0"/>
        <w:spacing w:before="156" w:beforeLines="50" w:line="30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a.吊挂系统安全要求：杆体要求国标φ48钢管，双排杆，热镀锌钢丝绳，吊杆带双重安全保护，上下限位，冲顶保护，每根吊杆至少3个吊点。控制系统采用PLC数控系统，安全性要求同时具有软件保护和硬件保护。所有电缆要求采用国标低烟无卤阻燃型电缆。</w:t>
      </w:r>
    </w:p>
    <w:p w14:paraId="288E4E5A">
      <w:pPr>
        <w:adjustRightInd w:val="0"/>
        <w:snapToGrid w:val="0"/>
        <w:spacing w:before="156" w:beforeLines="50" w:line="30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b.灯具选型：所有灯具都选用LED光源，面光灯具要求显色指数90以上，色温统一选用5600K，尽可能选用大功率光源，提高单灯具照度。对全部灯具噪声提出要求，基础照明灯具全部选用无风扇静音灯具，效果灯具要求智能静音风扇。</w:t>
      </w:r>
    </w:p>
    <w:p w14:paraId="05301723">
      <w:pPr>
        <w:adjustRightInd w:val="0"/>
        <w:snapToGrid w:val="0"/>
        <w:spacing w:before="156" w:beforeLines="50" w:line="30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c.利旧灯具建议布光位置：56台LED帕灯，分4排每排12台作为舞台顶逆光整体渲染色彩，舞台LED主屏两侧后方墙壁固定灯架各4台，填补主屏与侧屏之间空档。20台光束灯作为效果光营造舞台光束效果，其中主屏正上方吊杆吊挂8台，LED主屏两侧固定灯架各4台，另外4台作为地流光使用或吊挂于舞台上方吊杆使用。20台LED聚光灯（150W）吊挂于观众席后方作为观众逆光使用。</w:t>
      </w:r>
    </w:p>
    <w:p w14:paraId="126DB87D">
      <w:pPr>
        <w:adjustRightInd w:val="0"/>
        <w:snapToGrid w:val="0"/>
        <w:spacing w:before="156" w:beforeLines="50" w:line="30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d.旧设备拆除，旧灯具、吊杆、吊机、电缆、桥架等等拆除后，原钢结构连接点加固，钢结构除锈、补漆，灯栅层网格板加固，制作滑轮支架、设备安装底座。需要做检查、除锈、补漆。</w:t>
      </w:r>
    </w:p>
    <w:p w14:paraId="0084F721">
      <w:pPr>
        <w:adjustRightInd w:val="0"/>
        <w:snapToGrid w:val="0"/>
        <w:spacing w:before="156" w:beforeLines="50" w:line="30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（2）具体技术要求</w:t>
      </w:r>
    </w:p>
    <w:tbl>
      <w:tblPr>
        <w:tblStyle w:val="20"/>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11"/>
        <w:gridCol w:w="1080"/>
        <w:gridCol w:w="6187"/>
        <w:gridCol w:w="643"/>
        <w:gridCol w:w="850"/>
      </w:tblGrid>
      <w:tr w14:paraId="5D72F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trPr>
        <w:tc>
          <w:tcPr>
            <w:tcW w:w="311" w:type="dxa"/>
            <w:vAlign w:val="center"/>
          </w:tcPr>
          <w:p w14:paraId="12381FE3">
            <w:pPr>
              <w:snapToGrid w:val="0"/>
              <w:spacing w:line="240" w:lineRule="auto"/>
              <w:jc w:val="center"/>
              <w:rPr>
                <w:rFonts w:ascii="宋体"/>
                <w:b/>
                <w:color w:val="auto"/>
                <w:sz w:val="24"/>
                <w:szCs w:val="24"/>
                <w:highlight w:val="none"/>
              </w:rPr>
            </w:pPr>
            <w:r>
              <w:rPr>
                <w:rFonts w:hint="eastAsia" w:ascii="宋体" w:hAnsi="宋体"/>
                <w:b/>
                <w:color w:val="auto"/>
                <w:sz w:val="24"/>
                <w:szCs w:val="24"/>
                <w:highlight w:val="none"/>
              </w:rPr>
              <w:t>序号</w:t>
            </w:r>
          </w:p>
        </w:tc>
        <w:tc>
          <w:tcPr>
            <w:tcW w:w="1080" w:type="dxa"/>
            <w:tcMar>
              <w:top w:w="15" w:type="dxa"/>
              <w:left w:w="15" w:type="dxa"/>
              <w:bottom w:w="0" w:type="dxa"/>
              <w:right w:w="15" w:type="dxa"/>
            </w:tcMar>
            <w:vAlign w:val="center"/>
          </w:tcPr>
          <w:p w14:paraId="32A23C0D">
            <w:pPr>
              <w:snapToGrid w:val="0"/>
              <w:spacing w:line="240" w:lineRule="auto"/>
              <w:jc w:val="center"/>
              <w:rPr>
                <w:rFonts w:ascii="宋体"/>
                <w:b/>
                <w:color w:val="auto"/>
                <w:sz w:val="24"/>
                <w:szCs w:val="24"/>
                <w:highlight w:val="none"/>
              </w:rPr>
            </w:pPr>
            <w:r>
              <w:rPr>
                <w:rFonts w:hint="eastAsia" w:ascii="宋体" w:hAnsi="宋体"/>
                <w:b/>
                <w:color w:val="auto"/>
                <w:sz w:val="24"/>
                <w:szCs w:val="24"/>
                <w:highlight w:val="none"/>
              </w:rPr>
              <w:t>标段（包）内容</w:t>
            </w:r>
          </w:p>
        </w:tc>
        <w:tc>
          <w:tcPr>
            <w:tcW w:w="6187" w:type="dxa"/>
            <w:vAlign w:val="center"/>
          </w:tcPr>
          <w:p w14:paraId="0C620F4A">
            <w:pPr>
              <w:snapToGrid w:val="0"/>
              <w:spacing w:line="240" w:lineRule="auto"/>
              <w:jc w:val="center"/>
              <w:rPr>
                <w:rFonts w:ascii="宋体"/>
                <w:b/>
                <w:color w:val="auto"/>
                <w:sz w:val="24"/>
                <w:szCs w:val="24"/>
                <w:highlight w:val="none"/>
              </w:rPr>
            </w:pPr>
            <w:r>
              <w:rPr>
                <w:rFonts w:hint="eastAsia" w:ascii="宋体" w:hAnsi="宋体"/>
                <w:b/>
                <w:color w:val="auto"/>
                <w:sz w:val="24"/>
                <w:szCs w:val="24"/>
                <w:highlight w:val="none"/>
              </w:rPr>
              <w:t>基本技术要求</w:t>
            </w:r>
          </w:p>
        </w:tc>
        <w:tc>
          <w:tcPr>
            <w:tcW w:w="643" w:type="dxa"/>
            <w:vAlign w:val="center"/>
          </w:tcPr>
          <w:p w14:paraId="7916EA60">
            <w:pPr>
              <w:snapToGrid w:val="0"/>
              <w:spacing w:line="240" w:lineRule="auto"/>
              <w:jc w:val="center"/>
              <w:rPr>
                <w:rFonts w:ascii="宋体"/>
                <w:b/>
                <w:color w:val="auto"/>
                <w:sz w:val="24"/>
                <w:szCs w:val="24"/>
                <w:highlight w:val="none"/>
              </w:rPr>
            </w:pPr>
            <w:r>
              <w:rPr>
                <w:rFonts w:hint="eastAsia" w:ascii="宋体" w:hAnsi="宋体"/>
                <w:b/>
                <w:color w:val="auto"/>
                <w:sz w:val="24"/>
                <w:szCs w:val="24"/>
                <w:highlight w:val="none"/>
              </w:rPr>
              <w:t>数量</w:t>
            </w:r>
          </w:p>
        </w:tc>
        <w:tc>
          <w:tcPr>
            <w:tcW w:w="850" w:type="dxa"/>
            <w:vAlign w:val="center"/>
          </w:tcPr>
          <w:p w14:paraId="2DC58211">
            <w:pPr>
              <w:snapToGrid w:val="0"/>
              <w:spacing w:line="240" w:lineRule="auto"/>
              <w:jc w:val="center"/>
              <w:rPr>
                <w:rFonts w:ascii="宋体" w:hAnsi="宋体"/>
                <w:b/>
                <w:color w:val="auto"/>
                <w:sz w:val="24"/>
                <w:szCs w:val="24"/>
                <w:highlight w:val="none"/>
              </w:rPr>
            </w:pPr>
            <w:r>
              <w:rPr>
                <w:rFonts w:hint="eastAsia" w:ascii="宋体" w:hAnsi="宋体"/>
                <w:b/>
                <w:color w:val="auto"/>
                <w:sz w:val="24"/>
                <w:szCs w:val="24"/>
                <w:highlight w:val="none"/>
              </w:rPr>
              <w:t>货物所属行业</w:t>
            </w:r>
          </w:p>
        </w:tc>
      </w:tr>
      <w:tr w14:paraId="46FC2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trPr>
        <w:tc>
          <w:tcPr>
            <w:tcW w:w="311" w:type="dxa"/>
            <w:vAlign w:val="center"/>
          </w:tcPr>
          <w:p w14:paraId="4B2DC385">
            <w:pPr>
              <w:jc w:val="center"/>
              <w:textAlignment w:val="center"/>
              <w:rPr>
                <w:rFonts w:ascii="宋体"/>
                <w:color w:val="auto"/>
                <w:sz w:val="24"/>
                <w:szCs w:val="24"/>
                <w:highlight w:val="none"/>
              </w:rPr>
            </w:pPr>
            <w:r>
              <w:rPr>
                <w:rFonts w:hint="eastAsia" w:ascii="宋体" w:hAnsi="宋体" w:cs="宋体"/>
                <w:color w:val="auto"/>
                <w:sz w:val="24"/>
                <w:szCs w:val="24"/>
                <w:highlight w:val="none"/>
                <w:lang w:bidi="ar"/>
              </w:rPr>
              <w:t>1</w:t>
            </w:r>
          </w:p>
        </w:tc>
        <w:tc>
          <w:tcPr>
            <w:tcW w:w="1080" w:type="dxa"/>
            <w:tcMar>
              <w:top w:w="15" w:type="dxa"/>
              <w:left w:w="15" w:type="dxa"/>
              <w:bottom w:w="0" w:type="dxa"/>
              <w:right w:w="15" w:type="dxa"/>
            </w:tcMar>
            <w:vAlign w:val="center"/>
          </w:tcPr>
          <w:p w14:paraId="636317F5">
            <w:pPr>
              <w:jc w:val="center"/>
              <w:textAlignment w:val="center"/>
              <w:rPr>
                <w:rFonts w:ascii="宋体"/>
                <w:color w:val="auto"/>
                <w:sz w:val="24"/>
                <w:szCs w:val="24"/>
                <w:highlight w:val="none"/>
              </w:rPr>
            </w:pPr>
            <w:r>
              <w:rPr>
                <w:rFonts w:hint="eastAsia" w:ascii="宋体" w:hAnsi="宋体" w:cs="宋体"/>
                <w:color w:val="auto"/>
                <w:sz w:val="24"/>
                <w:szCs w:val="24"/>
                <w:highlight w:val="none"/>
                <w:lang w:bidi="ar"/>
              </w:rPr>
              <w:t>无风机LED数字三动作聚光灯</w:t>
            </w:r>
          </w:p>
        </w:tc>
        <w:tc>
          <w:tcPr>
            <w:tcW w:w="6187" w:type="dxa"/>
            <w:vAlign w:val="center"/>
          </w:tcPr>
          <w:p w14:paraId="6F456659">
            <w:pPr>
              <w:ind w:firstLine="480" w:firstLineChars="200"/>
              <w:jc w:val="left"/>
              <w:textAlignment w:val="center"/>
              <w:rPr>
                <w:rFonts w:ascii="宋体" w:hAnsi="宋体" w:cs="宋体"/>
                <w:color w:val="auto"/>
                <w:sz w:val="24"/>
                <w:szCs w:val="24"/>
                <w:highlight w:val="none"/>
                <w:lang w:bidi="ar"/>
              </w:rPr>
            </w:pPr>
            <w:r>
              <w:rPr>
                <w:rFonts w:hint="eastAsia" w:ascii="宋体" w:hAnsi="宋体" w:cs="宋体"/>
                <w:color w:val="auto"/>
                <w:sz w:val="24"/>
                <w:szCs w:val="24"/>
                <w:highlight w:val="none"/>
                <w:lang w:bidi="ar"/>
              </w:rPr>
              <w:t>采用高显色指数LED作为发光元件，满足专业摄影、摄像要求，采用圆形LED模组，光源点性好，调光PWM频率高于20KHz，杜绝频闪现象。</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1.输入电压：AC100-240,50/60Hz，额定功率：≥350W</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▲2.LED光源功率≥300瓦COB</w:t>
            </w:r>
          </w:p>
          <w:p w14:paraId="0C4C9A2F">
            <w:pPr>
              <w:jc w:val="left"/>
              <w:textAlignment w:val="center"/>
              <w:rPr>
                <w:rFonts w:ascii="宋体"/>
                <w:color w:val="auto"/>
                <w:sz w:val="24"/>
                <w:szCs w:val="24"/>
                <w:highlight w:val="none"/>
              </w:rPr>
            </w:pPr>
            <w:r>
              <w:rPr>
                <w:rFonts w:hint="eastAsia" w:ascii="宋体" w:hAnsi="宋体" w:cs="宋体"/>
                <w:color w:val="auto"/>
                <w:sz w:val="24"/>
                <w:szCs w:val="24"/>
                <w:highlight w:val="none"/>
                <w:lang w:bidi="ar"/>
              </w:rPr>
              <w:t>3.光源平均寿命≥60000小时</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▲4.色温：5600K±50K，显色指数：Ra≥95，照度：3米投射距离，中心照度值≥1800Lux（50°）</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5.光学系统：玻璃菲涅尔透镜，电动变焦，变焦范围（角度）：最窄≤12°，最广≥50°，四片遮菲遮光</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▲6.散热：无风机自然散热，噪声：全亮状态≤25dB</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7.调光：0-255,0%-100%线性调光，精度16bit</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8.控制：同时兼容DMX512和DMX512-RDM协议，通道数量：≥4个DMX512通道</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9.灯体旋转动作：水平/垂直，360°/270°(16位精密扫描)电子纠错</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10.屏幕显示：灯具温度、灯具使用时间、180°智能倒置</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11.软件升级：支持灯具通过信号线接口进行软件升级更新或程序修改</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▲12.绝缘电阻：带电部件与安装表面之间（绝缘电阻值）≥2MΩ，带电部件与灯具的金属部件之间（绝缘电阻值）≥2MΩ</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 xml:space="preserve">▲13.接地连续性：可触及的金属部件与支承表面接触的金属部件电阻≤0.5Ω                                     </w:t>
            </w:r>
          </w:p>
        </w:tc>
        <w:tc>
          <w:tcPr>
            <w:tcW w:w="643" w:type="dxa"/>
            <w:vAlign w:val="center"/>
          </w:tcPr>
          <w:p w14:paraId="2EA3A8CB">
            <w:pPr>
              <w:jc w:val="center"/>
              <w:textAlignment w:val="center"/>
              <w:rPr>
                <w:color w:val="auto"/>
                <w:sz w:val="24"/>
                <w:szCs w:val="24"/>
                <w:highlight w:val="none"/>
              </w:rPr>
            </w:pPr>
            <w:r>
              <w:rPr>
                <w:rFonts w:hint="eastAsia" w:ascii="宋体" w:hAnsi="宋体" w:cs="宋体"/>
                <w:color w:val="auto"/>
                <w:sz w:val="24"/>
                <w:szCs w:val="24"/>
                <w:highlight w:val="none"/>
                <w:lang w:bidi="ar"/>
              </w:rPr>
              <w:t>40台</w:t>
            </w:r>
          </w:p>
        </w:tc>
        <w:tc>
          <w:tcPr>
            <w:tcW w:w="850" w:type="dxa"/>
            <w:vMerge w:val="restart"/>
            <w:vAlign w:val="center"/>
          </w:tcPr>
          <w:p w14:paraId="0B7F326B">
            <w:pPr>
              <w:spacing w:line="360" w:lineRule="auto"/>
              <w:jc w:val="center"/>
              <w:rPr>
                <w:color w:val="auto"/>
                <w:sz w:val="24"/>
                <w:szCs w:val="24"/>
                <w:highlight w:val="none"/>
              </w:rPr>
            </w:pPr>
            <w:r>
              <w:rPr>
                <w:rFonts w:hint="eastAsia"/>
                <w:color w:val="auto"/>
                <w:sz w:val="24"/>
                <w:szCs w:val="24"/>
                <w:highlight w:val="none"/>
              </w:rPr>
              <w:t>工业</w:t>
            </w:r>
          </w:p>
        </w:tc>
      </w:tr>
      <w:tr w14:paraId="01E27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2" w:hRule="atLeast"/>
        </w:trPr>
        <w:tc>
          <w:tcPr>
            <w:tcW w:w="311" w:type="dxa"/>
            <w:vAlign w:val="center"/>
          </w:tcPr>
          <w:p w14:paraId="1FDFCB57">
            <w:pPr>
              <w:jc w:val="center"/>
              <w:textAlignment w:val="center"/>
              <w:rPr>
                <w:rFonts w:ascii="宋体"/>
                <w:color w:val="auto"/>
                <w:sz w:val="24"/>
                <w:szCs w:val="24"/>
                <w:highlight w:val="none"/>
              </w:rPr>
            </w:pPr>
            <w:r>
              <w:rPr>
                <w:rFonts w:hint="eastAsia" w:ascii="宋体" w:hAnsi="宋体" w:cs="宋体"/>
                <w:color w:val="auto"/>
                <w:sz w:val="24"/>
                <w:szCs w:val="24"/>
                <w:highlight w:val="none"/>
                <w:lang w:bidi="ar"/>
              </w:rPr>
              <w:t>2</w:t>
            </w:r>
          </w:p>
        </w:tc>
        <w:tc>
          <w:tcPr>
            <w:tcW w:w="1080" w:type="dxa"/>
            <w:tcMar>
              <w:top w:w="15" w:type="dxa"/>
              <w:left w:w="15" w:type="dxa"/>
              <w:bottom w:w="0" w:type="dxa"/>
              <w:right w:w="15" w:type="dxa"/>
            </w:tcMar>
            <w:vAlign w:val="center"/>
          </w:tcPr>
          <w:p w14:paraId="72C7DC54">
            <w:pPr>
              <w:jc w:val="center"/>
              <w:textAlignment w:val="center"/>
              <w:rPr>
                <w:rFonts w:ascii="宋体"/>
                <w:color w:val="auto"/>
                <w:sz w:val="24"/>
                <w:szCs w:val="24"/>
                <w:highlight w:val="none"/>
              </w:rPr>
            </w:pPr>
            <w:r>
              <w:rPr>
                <w:rFonts w:hint="eastAsia" w:ascii="宋体" w:hAnsi="宋体" w:cs="宋体"/>
                <w:color w:val="auto"/>
                <w:sz w:val="24"/>
                <w:szCs w:val="24"/>
                <w:highlight w:val="none"/>
                <w:lang w:bidi="ar"/>
              </w:rPr>
              <w:t>无风机LED电动变焦聚光灯</w:t>
            </w:r>
          </w:p>
        </w:tc>
        <w:tc>
          <w:tcPr>
            <w:tcW w:w="6187" w:type="dxa"/>
            <w:vAlign w:val="center"/>
          </w:tcPr>
          <w:p w14:paraId="4FE31520">
            <w:pPr>
              <w:ind w:firstLine="480" w:firstLineChars="200"/>
              <w:jc w:val="left"/>
              <w:textAlignment w:val="center"/>
              <w:rPr>
                <w:rFonts w:ascii="宋体"/>
                <w:color w:val="auto"/>
                <w:sz w:val="24"/>
                <w:szCs w:val="24"/>
                <w:highlight w:val="none"/>
              </w:rPr>
            </w:pPr>
            <w:r>
              <w:rPr>
                <w:rFonts w:hint="eastAsia" w:ascii="宋体" w:hAnsi="宋体" w:cs="宋体"/>
                <w:color w:val="auto"/>
                <w:sz w:val="24"/>
                <w:szCs w:val="24"/>
                <w:highlight w:val="none"/>
                <w:lang w:bidi="ar"/>
              </w:rPr>
              <w:t>采用高显色指数LED作为发光元件，满足专业摄影、摄像要求，采用圆形LED模组，光源点性好，调光PWM频率高于20KHz，杜绝频闪现象。</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1.输入电压：AC100-240,50/60Hz，额定功率：≥450W</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2.LED光源：功率≥400瓦COB，平均寿命≥60000小时</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▲3.色温：5600K±50K，显色指数：Ra≥95，照度：3米投射距离，中心照度值＞2100Lux（50°）</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4.光学系统：玻璃菲涅尔透镜，电动变焦，变焦范围（角度）：最窄≤12°，最广≥50°，四片遮菲遮光</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▲5.散热：无风机自然散热，噪声：全亮状态≤25dB</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6.调光：0-255,0%-100%线性调光，精度16bit</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7.控制：同时兼容DMX512和DMX512-RDM协议</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8.通道数量：≥2个DMX512通道</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9.屏幕显示：灯具温度、灯具使用时间、180°智能倒置</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10.软件升级：支持灯具通过信号线接口进行软件升级更新或程序修改</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 xml:space="preserve">▲11.绝缘电阻：带电部件与安装表面之间（绝缘电阻值）≥2MΩ，带电部件与灯具的金属部件之间（绝缘电阻值）≥2MΩ </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▲12.接地连续性：可触及的金属部件与支承表面接触的金属部件电阻≤0.5Ω</w:t>
            </w:r>
          </w:p>
        </w:tc>
        <w:tc>
          <w:tcPr>
            <w:tcW w:w="643" w:type="dxa"/>
            <w:vAlign w:val="center"/>
          </w:tcPr>
          <w:p w14:paraId="3DDC7F45">
            <w:pPr>
              <w:jc w:val="center"/>
              <w:textAlignment w:val="center"/>
              <w:rPr>
                <w:color w:val="auto"/>
                <w:sz w:val="24"/>
                <w:szCs w:val="24"/>
                <w:highlight w:val="none"/>
              </w:rPr>
            </w:pPr>
            <w:r>
              <w:rPr>
                <w:rFonts w:hint="eastAsia" w:ascii="宋体" w:hAnsi="宋体" w:cs="宋体"/>
                <w:color w:val="auto"/>
                <w:sz w:val="24"/>
                <w:szCs w:val="24"/>
                <w:highlight w:val="none"/>
                <w:lang w:bidi="ar"/>
              </w:rPr>
              <w:t>8台</w:t>
            </w:r>
          </w:p>
        </w:tc>
        <w:tc>
          <w:tcPr>
            <w:tcW w:w="850" w:type="dxa"/>
            <w:vMerge w:val="continue"/>
          </w:tcPr>
          <w:p w14:paraId="007DBEA7">
            <w:pPr>
              <w:spacing w:line="360" w:lineRule="auto"/>
              <w:jc w:val="center"/>
              <w:rPr>
                <w:color w:val="auto"/>
                <w:sz w:val="24"/>
                <w:szCs w:val="24"/>
                <w:highlight w:val="none"/>
              </w:rPr>
            </w:pPr>
          </w:p>
        </w:tc>
      </w:tr>
      <w:tr w14:paraId="1ECC5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atLeast"/>
        </w:trPr>
        <w:tc>
          <w:tcPr>
            <w:tcW w:w="311" w:type="dxa"/>
            <w:shd w:val="clear" w:color="auto" w:fill="auto"/>
            <w:vAlign w:val="center"/>
          </w:tcPr>
          <w:p w14:paraId="1B1BD064">
            <w:pPr>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3</w:t>
            </w:r>
          </w:p>
        </w:tc>
        <w:tc>
          <w:tcPr>
            <w:tcW w:w="1080" w:type="dxa"/>
            <w:shd w:val="clear" w:color="auto" w:fill="auto"/>
            <w:tcMar>
              <w:top w:w="15" w:type="dxa"/>
              <w:left w:w="15" w:type="dxa"/>
              <w:bottom w:w="0" w:type="dxa"/>
              <w:right w:w="15" w:type="dxa"/>
            </w:tcMar>
            <w:vAlign w:val="center"/>
          </w:tcPr>
          <w:p w14:paraId="4E055D17">
            <w:pPr>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无风机LED平板柔光灯</w:t>
            </w:r>
          </w:p>
        </w:tc>
        <w:tc>
          <w:tcPr>
            <w:tcW w:w="6187" w:type="dxa"/>
            <w:shd w:val="clear" w:color="auto" w:fill="auto"/>
            <w:vAlign w:val="center"/>
          </w:tcPr>
          <w:p w14:paraId="0517DD7F">
            <w:pPr>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1.输入电压：AC100-240,50/60Hz，额定功率：≥</w:t>
            </w:r>
            <w:r>
              <w:rPr>
                <w:rFonts w:hint="eastAsia" w:ascii="宋体" w:hAnsi="宋体" w:cs="宋体"/>
                <w:color w:val="auto"/>
                <w:sz w:val="24"/>
                <w:szCs w:val="24"/>
                <w:highlight w:val="none"/>
                <w:lang w:val="en-US" w:eastAsia="zh-CN" w:bidi="ar"/>
              </w:rPr>
              <w:t>40</w:t>
            </w:r>
            <w:r>
              <w:rPr>
                <w:rFonts w:hint="eastAsia" w:ascii="宋体" w:hAnsi="宋体" w:cs="宋体"/>
                <w:color w:val="auto"/>
                <w:sz w:val="24"/>
                <w:szCs w:val="24"/>
                <w:highlight w:val="none"/>
                <w:lang w:bidi="ar"/>
              </w:rPr>
              <w:t>0W</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2.LED光源：贴片灯珠，平均寿命≥60000h</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▲3.色温：5600K±100K，显色指数：Ra≥95</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4.光学系统：柔光片角度120°，照度：3米投射距离，中心照度值≥1200Lux，四片遮菲遮光</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▲5.散热：无风机自然散热，噪声：全亮状态≤25dB</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6.调光：0-255,0%-100%线性调光，精度16bit</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7.控制：同时兼容DMX512和DMX512-RDM协议</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▲8.视网膜蓝光危害≤RG0</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9.屏幕显示：数码显示</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10.软件升级：支持灯具通过信号线接口进行软件升级更新或程序修改</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▲11.绝缘电阻：带电部件与安装表面之间（绝缘电阻值）≥2MΩ，带电部件与灯具的金属部件之间（绝缘电阻值）≥2MΩ</w:t>
            </w:r>
          </w:p>
        </w:tc>
        <w:tc>
          <w:tcPr>
            <w:tcW w:w="643" w:type="dxa"/>
            <w:shd w:val="clear" w:color="auto" w:fill="auto"/>
            <w:vAlign w:val="center"/>
          </w:tcPr>
          <w:p w14:paraId="023A7FE8">
            <w:pPr>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16台</w:t>
            </w:r>
          </w:p>
        </w:tc>
        <w:tc>
          <w:tcPr>
            <w:tcW w:w="850" w:type="dxa"/>
            <w:vMerge w:val="continue"/>
          </w:tcPr>
          <w:p w14:paraId="09E9DB60">
            <w:pPr>
              <w:spacing w:line="360" w:lineRule="auto"/>
              <w:jc w:val="center"/>
              <w:rPr>
                <w:color w:val="auto"/>
                <w:sz w:val="24"/>
                <w:szCs w:val="24"/>
                <w:highlight w:val="none"/>
              </w:rPr>
            </w:pPr>
          </w:p>
        </w:tc>
      </w:tr>
      <w:tr w14:paraId="2F3FB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trPr>
        <w:tc>
          <w:tcPr>
            <w:tcW w:w="311" w:type="dxa"/>
            <w:shd w:val="clear" w:color="auto" w:fill="auto"/>
            <w:vAlign w:val="center"/>
          </w:tcPr>
          <w:p w14:paraId="50BD7A9A">
            <w:pPr>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4</w:t>
            </w:r>
          </w:p>
        </w:tc>
        <w:tc>
          <w:tcPr>
            <w:tcW w:w="1080" w:type="dxa"/>
            <w:shd w:val="clear" w:color="auto" w:fill="auto"/>
            <w:tcMar>
              <w:top w:w="15" w:type="dxa"/>
              <w:left w:w="15" w:type="dxa"/>
              <w:bottom w:w="0" w:type="dxa"/>
              <w:right w:w="15" w:type="dxa"/>
            </w:tcMar>
            <w:vAlign w:val="center"/>
          </w:tcPr>
          <w:p w14:paraId="740BB853">
            <w:pPr>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LED三合一电脑摇头灯</w:t>
            </w:r>
          </w:p>
        </w:tc>
        <w:tc>
          <w:tcPr>
            <w:tcW w:w="6187" w:type="dxa"/>
            <w:shd w:val="clear" w:color="auto" w:fill="auto"/>
            <w:vAlign w:val="center"/>
          </w:tcPr>
          <w:p w14:paraId="647FF939">
            <w:pPr>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1.输入电压：AC100-240,50/60Hz，额定功率：≥1000W</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2.LED光源：≥800瓦COB，平均寿命≥60000小时</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▲3.色温：7500K±50K,显指：Ra≥70</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4.光学系统：BEAM光束模式：≤2.5°；SPOT 图案模式：变焦范围≥5°—35°；WASH染色模式：变焦范围≥8°—50°</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▲5.中心照度：10米投射距离，中心照度值≥25800Lux（5°）；中心照度值≥800Lux（35°）</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▲6.散热：静音风扇散热，噪声：亮灯状态≤45dB，灭灯状态≤35dB</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7.调光：0-255,0%-100%线性调光，精度16bit</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8.控制：同时兼容DMX512和DMX512-RDM协议</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9.水平/垂直运行角度：540°/270°，带微调整功能，自动检索复位</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10.颜色系统：1个固定颜色盘，≥8色+白光+CMY无极混色+CTO色温盘，3200-6000K色温线性调节</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11.图案系统：2图案（1个旋转图案盘，≥7图+白光；1个固定图案盘，≥12图+白光）。</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12.特效系统：单独雾化盘+2个棱镜盘，≥1个6排镜+1个8棱镜</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13.通道数量：≥20个DMX512通道</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14.屏幕显示：灯具温度、灯具使用时间、180°智能倒置</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15.软件升级：支持灯具通过信号线接口进行软件升级更新或程序修改</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16.绝缘电阻：带电部件与安装表面之间（绝缘电阻值）≥2MΩ，带电部件与灯具的金属部件之间（绝缘电阻值）≥2MΩ。</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17.接地连续性：可触及的金属部件与支承表面接触的金属部件电阻≤0.5Ω。</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▲18.耐热、耐火和耐起痕：任何火焰或燃烧应在移开灼热丝30S内熄灭，落下的燃烧物或融化物不应引燃灯具外壳的部件。</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19.灯珠保护：内置灯泡温度监测，灯具启动后，当散热风机出现故障，灯泡温度超出安全范围值，灯泡自动降功率输出，防止灯泡因持续高温出现烧珠。</w:t>
            </w:r>
          </w:p>
        </w:tc>
        <w:tc>
          <w:tcPr>
            <w:tcW w:w="643" w:type="dxa"/>
            <w:shd w:val="clear" w:color="auto" w:fill="auto"/>
            <w:vAlign w:val="center"/>
          </w:tcPr>
          <w:p w14:paraId="233E2C40">
            <w:pPr>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16台</w:t>
            </w:r>
          </w:p>
        </w:tc>
        <w:tc>
          <w:tcPr>
            <w:tcW w:w="850" w:type="dxa"/>
            <w:vMerge w:val="continue"/>
          </w:tcPr>
          <w:p w14:paraId="23F3224D">
            <w:pPr>
              <w:spacing w:line="360" w:lineRule="auto"/>
              <w:jc w:val="center"/>
              <w:rPr>
                <w:color w:val="auto"/>
                <w:sz w:val="24"/>
                <w:szCs w:val="24"/>
                <w:highlight w:val="none"/>
              </w:rPr>
            </w:pPr>
          </w:p>
        </w:tc>
      </w:tr>
      <w:tr w14:paraId="18B5F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2" w:hRule="atLeast"/>
        </w:trPr>
        <w:tc>
          <w:tcPr>
            <w:tcW w:w="311" w:type="dxa"/>
            <w:shd w:val="clear" w:color="auto" w:fill="auto"/>
            <w:vAlign w:val="center"/>
          </w:tcPr>
          <w:p w14:paraId="3C788CDB">
            <w:pPr>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5</w:t>
            </w:r>
          </w:p>
        </w:tc>
        <w:tc>
          <w:tcPr>
            <w:tcW w:w="1080" w:type="dxa"/>
            <w:shd w:val="clear" w:color="auto" w:fill="auto"/>
            <w:tcMar>
              <w:top w:w="15" w:type="dxa"/>
              <w:left w:w="15" w:type="dxa"/>
              <w:bottom w:w="0" w:type="dxa"/>
              <w:right w:w="15" w:type="dxa"/>
            </w:tcMar>
            <w:vAlign w:val="center"/>
          </w:tcPr>
          <w:p w14:paraId="329A1C54">
            <w:pPr>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LED切割灯</w:t>
            </w:r>
          </w:p>
        </w:tc>
        <w:tc>
          <w:tcPr>
            <w:tcW w:w="6187" w:type="dxa"/>
            <w:shd w:val="clear" w:color="auto" w:fill="auto"/>
            <w:vAlign w:val="center"/>
          </w:tcPr>
          <w:p w14:paraId="1EBEF612">
            <w:pPr>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1.输入电压：AC100-240,50/60Hz，额定功率：≥900W</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2.LED光源：≥800瓦COB，平均寿命≥60000小时</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▲3.色温：7000K±100K,显指：标准模式Ra≥70,高显模式Ra≥90</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4.光学系统：四合一光学镜头设计：BEAM光束模式 ：≤ 2.5°；SPOT 图案模式：变焦范围≥10°—48°；WASH染色模式：变焦范围≥0°—52°，切割系统：4个独立切割片，每片可单独闭光，可旋转90°；四种模式可任意切换，实现光束、染色、图案、切割四合一功能</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▲5.中心照度：10米投射距离，中心照度值≥24000Lux（5°）；中心照度值≥900Lux（50°）</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▲6.散热：静音风扇散热，噪声：全亮状态满负荷运行噪音≤50dB</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7.调光：0-255,0%-100%线性调光，精度16bit</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8.控制：同时兼容DMX512和DMX512-RDM协议</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9.水平/垂直运行角度：540°/270°，带微调整功能，自动检索复位</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10.颜色系统：1个固定颜色盘，≥6色+白光+CMY无极混色+CTO色温盘，3200-6000K色温线性调节</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11.图案系统：3图案（1个固定图案轮，≥7图案+1白光；1个旋转图案盘，≥6图+白光；1个效果盘，≥水纹/火焰模拟效果），均可单独或叠加使用</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12.特效系统：单独雾化盘+2个棱镜盘，≥1个6排镜+1个4棱镜</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13.通道数量：≥36个DMX512通道</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14.屏幕显示：灯具温度、灯具使用时间、180°智能倒置</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15.软件升级：支持灯具通过信号线接口进行软件升级更新或程序修改</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16.绝缘电阻：带电部件与安装表面之间（绝缘电阻值）≥2MΩ，带电部件与灯具的金属部件之间（绝缘电阻值）≥2MΩ</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17.接地连续性：可触及的金属部件与支承表面接触的金属部件电阻≤0.5Ω。</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▲18.耐热、耐火和耐起痕：任何火焰或燃烧应在移开灼热丝30S内熄灭，落下的燃烧物或融化物不应引燃灯具外壳的部件。</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19.灯珠保护：内置灯泡温度监测，灯具启动后，当散热风机出现故障，灯泡温度超出安全范围值，灯泡自动降功率输出，防止灯泡因持续高温出现烧珠。</w:t>
            </w:r>
          </w:p>
        </w:tc>
        <w:tc>
          <w:tcPr>
            <w:tcW w:w="643" w:type="dxa"/>
            <w:shd w:val="clear" w:color="auto" w:fill="auto"/>
            <w:vAlign w:val="center"/>
          </w:tcPr>
          <w:p w14:paraId="17EA131B">
            <w:pPr>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5台</w:t>
            </w:r>
          </w:p>
        </w:tc>
        <w:tc>
          <w:tcPr>
            <w:tcW w:w="850" w:type="dxa"/>
            <w:vMerge w:val="continue"/>
          </w:tcPr>
          <w:p w14:paraId="1BC1A4C9">
            <w:pPr>
              <w:spacing w:line="360" w:lineRule="auto"/>
              <w:jc w:val="center"/>
              <w:rPr>
                <w:color w:val="auto"/>
                <w:sz w:val="24"/>
                <w:szCs w:val="24"/>
                <w:highlight w:val="none"/>
              </w:rPr>
            </w:pPr>
          </w:p>
        </w:tc>
      </w:tr>
      <w:tr w14:paraId="76CB6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2" w:hRule="atLeast"/>
        </w:trPr>
        <w:tc>
          <w:tcPr>
            <w:tcW w:w="311" w:type="dxa"/>
            <w:shd w:val="clear" w:color="auto" w:fill="auto"/>
            <w:vAlign w:val="center"/>
          </w:tcPr>
          <w:p w14:paraId="17FC0763">
            <w:pPr>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6</w:t>
            </w:r>
          </w:p>
        </w:tc>
        <w:tc>
          <w:tcPr>
            <w:tcW w:w="1080" w:type="dxa"/>
            <w:shd w:val="clear" w:color="auto" w:fill="auto"/>
            <w:tcMar>
              <w:top w:w="15" w:type="dxa"/>
              <w:left w:w="15" w:type="dxa"/>
              <w:bottom w:w="0" w:type="dxa"/>
              <w:right w:w="15" w:type="dxa"/>
            </w:tcMar>
            <w:vAlign w:val="center"/>
          </w:tcPr>
          <w:p w14:paraId="09C097C5">
            <w:pPr>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无风机LED成像灯</w:t>
            </w:r>
          </w:p>
        </w:tc>
        <w:tc>
          <w:tcPr>
            <w:tcW w:w="6187" w:type="dxa"/>
            <w:shd w:val="clear" w:color="auto" w:fill="auto"/>
            <w:vAlign w:val="center"/>
          </w:tcPr>
          <w:p w14:paraId="193CD8F0">
            <w:pPr>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 xml:space="preserve">    采用高显色指数LED作为发光元件，满足专业摄影、摄像要求，采用圆形LED模组，光源点性好，调光PWM频率高于20KHz，杜绝频闪现象</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1.输入电压：AC100-240,50/60Hz，额定功率：≥400W</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2.LED光源：≥350瓦COB，平均寿命≥60000小时</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▲3.色温：5600K±50K，显色指数：Ra≥95</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4.光学系统：电子变焦15°— 40°，中心照度：3米投射距离，中心照度值≥18000Lux（19°）</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▲5.散热：无风机自然散热，噪声：全亮状态≤25dB</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6.调光：0-255,0%-100%线性调光，精度16bit</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7.控制：同时兼容DMX512和DMX512-RDM协议</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8.通道数量：≥2个DMX512通道</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9.屏幕显示：灯具温度、灯具使用时间、180°智能倒置</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 xml:space="preserve">▲10.绝缘电阻：带电部件与安装表面之间（绝缘电阻值）≥2MΩ，带电部件与灯具的金属部件之间（绝缘电阻值）≥2MΩ </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▲11接地连续性：可触及的金属部件与支承表面接触的金属部件电阻≤0.5Ω</w:t>
            </w:r>
          </w:p>
        </w:tc>
        <w:tc>
          <w:tcPr>
            <w:tcW w:w="643" w:type="dxa"/>
            <w:shd w:val="clear" w:color="auto" w:fill="auto"/>
            <w:vAlign w:val="center"/>
          </w:tcPr>
          <w:p w14:paraId="05FE199F">
            <w:pPr>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4台</w:t>
            </w:r>
          </w:p>
        </w:tc>
        <w:tc>
          <w:tcPr>
            <w:tcW w:w="850" w:type="dxa"/>
            <w:vMerge w:val="continue"/>
          </w:tcPr>
          <w:p w14:paraId="72F9D2AA">
            <w:pPr>
              <w:spacing w:line="360" w:lineRule="auto"/>
              <w:jc w:val="center"/>
              <w:rPr>
                <w:color w:val="auto"/>
                <w:sz w:val="24"/>
                <w:szCs w:val="24"/>
                <w:highlight w:val="none"/>
              </w:rPr>
            </w:pPr>
          </w:p>
        </w:tc>
      </w:tr>
      <w:tr w14:paraId="597F5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2" w:hRule="atLeast"/>
        </w:trPr>
        <w:tc>
          <w:tcPr>
            <w:tcW w:w="311" w:type="dxa"/>
            <w:shd w:val="clear" w:color="auto" w:fill="auto"/>
            <w:vAlign w:val="center"/>
          </w:tcPr>
          <w:p w14:paraId="59CADE8C">
            <w:pPr>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7</w:t>
            </w:r>
          </w:p>
        </w:tc>
        <w:tc>
          <w:tcPr>
            <w:tcW w:w="1080" w:type="dxa"/>
            <w:shd w:val="clear" w:color="auto" w:fill="auto"/>
            <w:tcMar>
              <w:top w:w="15" w:type="dxa"/>
              <w:left w:w="15" w:type="dxa"/>
              <w:bottom w:w="0" w:type="dxa"/>
              <w:right w:w="15" w:type="dxa"/>
            </w:tcMar>
            <w:vAlign w:val="center"/>
          </w:tcPr>
          <w:p w14:paraId="7FC66AC3">
            <w:pPr>
              <w:jc w:val="center"/>
              <w:textAlignment w:val="center"/>
              <w:rPr>
                <w:rFonts w:ascii="宋体" w:hAnsi="宋体" w:eastAsia="宋体" w:cs="宋体"/>
                <w:color w:val="auto"/>
                <w:sz w:val="24"/>
                <w:szCs w:val="24"/>
                <w:highlight w:val="none"/>
                <w:u w:color="000000"/>
                <w:lang w:val="en-US" w:eastAsia="zh-CN" w:bidi="ar-SA"/>
              </w:rPr>
            </w:pPr>
            <w:r>
              <w:rPr>
                <w:rFonts w:hint="eastAsia" w:ascii="宋体" w:hAnsi="宋体" w:cs="宋体"/>
                <w:color w:val="auto"/>
                <w:sz w:val="24"/>
                <w:szCs w:val="24"/>
                <w:highlight w:val="none"/>
                <w:lang w:bidi="ar"/>
              </w:rPr>
              <w:t>舞台薄雾机</w:t>
            </w:r>
          </w:p>
        </w:tc>
        <w:tc>
          <w:tcPr>
            <w:tcW w:w="6187" w:type="dxa"/>
            <w:shd w:val="clear" w:color="auto" w:fill="auto"/>
            <w:vAlign w:val="center"/>
          </w:tcPr>
          <w:p w14:paraId="6683CED5">
            <w:pPr>
              <w:jc w:val="left"/>
              <w:textAlignment w:val="center"/>
              <w:rPr>
                <w:rFonts w:ascii="宋体" w:hAnsi="宋体" w:eastAsia="宋体" w:cs="宋体"/>
                <w:color w:val="auto"/>
                <w:sz w:val="24"/>
                <w:szCs w:val="24"/>
                <w:highlight w:val="none"/>
                <w:u w:color="000000"/>
                <w:lang w:val="en-US" w:eastAsia="zh-CN" w:bidi="ar-SA"/>
              </w:rPr>
            </w:pPr>
            <w:r>
              <w:rPr>
                <w:rFonts w:hint="eastAsia" w:ascii="宋体" w:hAnsi="宋体" w:cs="宋体"/>
                <w:color w:val="auto"/>
                <w:sz w:val="24"/>
                <w:szCs w:val="24"/>
                <w:highlight w:val="none"/>
                <w:lang w:bidi="ar"/>
              </w:rPr>
              <w:t>1.电压：AC 220V-240V 50/60Hz，功率：≥600W</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2.油桶容积：≥1.7L</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3.带航空箱，风扇角度可调，输出风力可调</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4.控制：液晶显示，按键控制、遥控 、DMX-512</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5.无需预热，即开即用</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6.另加配套环保薄雾机油≥12L</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7.另加风扇：直径≥340mm大风扇</w:t>
            </w:r>
          </w:p>
        </w:tc>
        <w:tc>
          <w:tcPr>
            <w:tcW w:w="643" w:type="dxa"/>
            <w:shd w:val="clear" w:color="auto" w:fill="auto"/>
            <w:vAlign w:val="center"/>
          </w:tcPr>
          <w:p w14:paraId="75464701">
            <w:pPr>
              <w:jc w:val="center"/>
              <w:textAlignment w:val="center"/>
              <w:rPr>
                <w:rFonts w:ascii="宋体" w:hAnsi="宋体" w:eastAsia="宋体" w:cs="宋体"/>
                <w:color w:val="auto"/>
                <w:sz w:val="24"/>
                <w:szCs w:val="24"/>
                <w:highlight w:val="none"/>
                <w:u w:color="000000"/>
                <w:lang w:val="en-US" w:eastAsia="zh-CN" w:bidi="ar-SA"/>
              </w:rPr>
            </w:pPr>
            <w:r>
              <w:rPr>
                <w:rFonts w:hint="eastAsia" w:ascii="宋体" w:hAnsi="宋体" w:cs="宋体"/>
                <w:color w:val="auto"/>
                <w:sz w:val="24"/>
                <w:szCs w:val="24"/>
                <w:highlight w:val="none"/>
                <w:lang w:bidi="ar"/>
              </w:rPr>
              <w:t>2台</w:t>
            </w:r>
          </w:p>
        </w:tc>
        <w:tc>
          <w:tcPr>
            <w:tcW w:w="850" w:type="dxa"/>
            <w:vMerge w:val="continue"/>
          </w:tcPr>
          <w:p w14:paraId="4276092C">
            <w:pPr>
              <w:spacing w:line="360" w:lineRule="auto"/>
              <w:jc w:val="center"/>
              <w:rPr>
                <w:color w:val="auto"/>
                <w:sz w:val="24"/>
                <w:szCs w:val="24"/>
                <w:highlight w:val="none"/>
              </w:rPr>
            </w:pPr>
          </w:p>
        </w:tc>
      </w:tr>
      <w:tr w14:paraId="72E33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trPr>
        <w:tc>
          <w:tcPr>
            <w:tcW w:w="311" w:type="dxa"/>
            <w:shd w:val="clear" w:color="auto" w:fill="auto"/>
            <w:vAlign w:val="center"/>
          </w:tcPr>
          <w:p w14:paraId="2E1D7F9B">
            <w:pPr>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8</w:t>
            </w:r>
          </w:p>
        </w:tc>
        <w:tc>
          <w:tcPr>
            <w:tcW w:w="1080" w:type="dxa"/>
            <w:shd w:val="clear" w:color="auto" w:fill="auto"/>
            <w:tcMar>
              <w:top w:w="15" w:type="dxa"/>
              <w:left w:w="15" w:type="dxa"/>
              <w:bottom w:w="0" w:type="dxa"/>
              <w:right w:w="15" w:type="dxa"/>
            </w:tcMar>
            <w:vAlign w:val="center"/>
          </w:tcPr>
          <w:p w14:paraId="2086EC01">
            <w:pPr>
              <w:jc w:val="center"/>
              <w:textAlignment w:val="center"/>
              <w:rPr>
                <w:rFonts w:ascii="宋体" w:hAnsi="宋体" w:eastAsia="宋体" w:cs="宋体"/>
                <w:color w:val="auto"/>
                <w:sz w:val="24"/>
                <w:szCs w:val="24"/>
                <w:highlight w:val="none"/>
                <w:u w:color="000000"/>
                <w:lang w:val="en-US" w:eastAsia="zh-CN" w:bidi="ar-SA"/>
              </w:rPr>
            </w:pPr>
            <w:r>
              <w:rPr>
                <w:rFonts w:hint="eastAsia" w:ascii="宋体" w:hAnsi="宋体" w:cs="宋体"/>
                <w:color w:val="auto"/>
                <w:sz w:val="24"/>
                <w:szCs w:val="24"/>
                <w:highlight w:val="none"/>
                <w:lang w:bidi="ar"/>
              </w:rPr>
              <w:t>星空灯串</w:t>
            </w:r>
          </w:p>
        </w:tc>
        <w:tc>
          <w:tcPr>
            <w:tcW w:w="6187" w:type="dxa"/>
            <w:shd w:val="clear" w:color="auto" w:fill="auto"/>
            <w:vAlign w:val="center"/>
          </w:tcPr>
          <w:p w14:paraId="3CD18D4F">
            <w:pPr>
              <w:jc w:val="left"/>
              <w:textAlignment w:val="center"/>
              <w:rPr>
                <w:rFonts w:ascii="宋体" w:hAnsi="宋体" w:eastAsia="宋体" w:cs="宋体"/>
                <w:color w:val="auto"/>
                <w:sz w:val="24"/>
                <w:szCs w:val="24"/>
                <w:highlight w:val="none"/>
                <w:u w:color="000000"/>
                <w:lang w:val="en-US" w:eastAsia="zh-CN" w:bidi="ar-SA"/>
              </w:rPr>
            </w:pPr>
            <w:r>
              <w:rPr>
                <w:rFonts w:hint="eastAsia" w:ascii="宋体" w:hAnsi="宋体" w:cs="宋体"/>
                <w:color w:val="auto"/>
                <w:sz w:val="24"/>
                <w:szCs w:val="24"/>
                <w:highlight w:val="none"/>
                <w:lang w:bidi="ar"/>
              </w:rPr>
              <w:t>6米/条，6、7、8、9、10个灯/串各4条，LED光源1W/灯，正白、暖白光灯各半数</w:t>
            </w:r>
          </w:p>
        </w:tc>
        <w:tc>
          <w:tcPr>
            <w:tcW w:w="643" w:type="dxa"/>
            <w:shd w:val="clear" w:color="auto" w:fill="auto"/>
            <w:vAlign w:val="center"/>
          </w:tcPr>
          <w:p w14:paraId="1596530E">
            <w:pPr>
              <w:jc w:val="center"/>
              <w:textAlignment w:val="center"/>
              <w:rPr>
                <w:rFonts w:ascii="宋体" w:hAnsi="宋体" w:eastAsia="宋体" w:cs="宋体"/>
                <w:color w:val="auto"/>
                <w:sz w:val="24"/>
                <w:szCs w:val="24"/>
                <w:highlight w:val="none"/>
                <w:u w:color="000000"/>
                <w:lang w:val="en-US" w:eastAsia="zh-CN" w:bidi="ar-SA"/>
              </w:rPr>
            </w:pPr>
            <w:r>
              <w:rPr>
                <w:rFonts w:hint="eastAsia" w:ascii="宋体" w:hAnsi="宋体" w:cs="宋体"/>
                <w:color w:val="auto"/>
                <w:sz w:val="24"/>
                <w:szCs w:val="24"/>
                <w:highlight w:val="none"/>
                <w:lang w:bidi="ar"/>
              </w:rPr>
              <w:t>120米</w:t>
            </w:r>
          </w:p>
        </w:tc>
        <w:tc>
          <w:tcPr>
            <w:tcW w:w="850" w:type="dxa"/>
            <w:vMerge w:val="continue"/>
          </w:tcPr>
          <w:p w14:paraId="39DFF286">
            <w:pPr>
              <w:spacing w:line="360" w:lineRule="auto"/>
              <w:jc w:val="center"/>
              <w:rPr>
                <w:color w:val="auto"/>
                <w:sz w:val="24"/>
                <w:szCs w:val="24"/>
                <w:highlight w:val="none"/>
              </w:rPr>
            </w:pPr>
          </w:p>
        </w:tc>
      </w:tr>
      <w:tr w14:paraId="5BFE7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311" w:type="dxa"/>
            <w:shd w:val="clear" w:color="auto" w:fill="auto"/>
            <w:vAlign w:val="center"/>
          </w:tcPr>
          <w:p w14:paraId="15DEB2B5">
            <w:pPr>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9</w:t>
            </w:r>
          </w:p>
        </w:tc>
        <w:tc>
          <w:tcPr>
            <w:tcW w:w="1080" w:type="dxa"/>
            <w:shd w:val="clear" w:color="auto" w:fill="auto"/>
            <w:tcMar>
              <w:top w:w="15" w:type="dxa"/>
              <w:left w:w="15" w:type="dxa"/>
              <w:bottom w:w="0" w:type="dxa"/>
              <w:right w:w="15" w:type="dxa"/>
            </w:tcMar>
            <w:vAlign w:val="center"/>
          </w:tcPr>
          <w:p w14:paraId="161FEC73">
            <w:pPr>
              <w:jc w:val="center"/>
              <w:textAlignment w:val="center"/>
              <w:rPr>
                <w:rFonts w:ascii="宋体" w:hAnsi="宋体" w:eastAsia="宋体" w:cs="宋体"/>
                <w:color w:val="auto"/>
                <w:sz w:val="24"/>
                <w:szCs w:val="24"/>
                <w:highlight w:val="none"/>
                <w:u w:color="000000"/>
                <w:lang w:val="en-US" w:eastAsia="zh-CN" w:bidi="ar-SA"/>
              </w:rPr>
            </w:pPr>
            <w:r>
              <w:rPr>
                <w:rFonts w:hint="eastAsia" w:ascii="宋体" w:hAnsi="宋体" w:cs="宋体"/>
                <w:color w:val="auto"/>
                <w:sz w:val="24"/>
                <w:szCs w:val="24"/>
                <w:highlight w:val="none"/>
                <w:lang w:bidi="ar"/>
              </w:rPr>
              <w:t>LED帕灯（利旧）</w:t>
            </w:r>
          </w:p>
        </w:tc>
        <w:tc>
          <w:tcPr>
            <w:tcW w:w="6187" w:type="dxa"/>
            <w:shd w:val="clear" w:color="auto" w:fill="auto"/>
            <w:vAlign w:val="center"/>
          </w:tcPr>
          <w:p w14:paraId="0502CEAB">
            <w:pPr>
              <w:jc w:val="left"/>
              <w:textAlignment w:val="center"/>
              <w:rPr>
                <w:rFonts w:ascii="宋体" w:hAnsi="宋体" w:eastAsia="宋体" w:cs="宋体"/>
                <w:color w:val="auto"/>
                <w:sz w:val="24"/>
                <w:szCs w:val="24"/>
                <w:highlight w:val="none"/>
                <w:u w:color="000000"/>
                <w:lang w:val="en-US" w:eastAsia="zh-CN" w:bidi="ar-SA"/>
              </w:rPr>
            </w:pPr>
            <w:r>
              <w:rPr>
                <w:rFonts w:hint="eastAsia" w:ascii="宋体" w:hAnsi="宋体" w:cs="宋体"/>
                <w:color w:val="auto"/>
                <w:sz w:val="24"/>
                <w:szCs w:val="24"/>
                <w:highlight w:val="none"/>
                <w:lang w:bidi="ar"/>
              </w:rPr>
              <w:t>清洁、保养、二次安装、调试、接入系统</w:t>
            </w:r>
          </w:p>
        </w:tc>
        <w:tc>
          <w:tcPr>
            <w:tcW w:w="643" w:type="dxa"/>
            <w:shd w:val="clear" w:color="auto" w:fill="auto"/>
            <w:vAlign w:val="center"/>
          </w:tcPr>
          <w:p w14:paraId="23D08FC0">
            <w:pPr>
              <w:jc w:val="center"/>
              <w:textAlignment w:val="center"/>
              <w:rPr>
                <w:rFonts w:ascii="宋体" w:hAnsi="宋体" w:eastAsia="宋体" w:cs="宋体"/>
                <w:color w:val="auto"/>
                <w:sz w:val="24"/>
                <w:szCs w:val="24"/>
                <w:highlight w:val="none"/>
                <w:u w:color="000000"/>
                <w:lang w:val="en-US" w:eastAsia="zh-CN" w:bidi="ar-SA"/>
              </w:rPr>
            </w:pPr>
            <w:r>
              <w:rPr>
                <w:rFonts w:hint="eastAsia" w:ascii="宋体" w:hAnsi="宋体" w:cs="宋体"/>
                <w:color w:val="auto"/>
                <w:sz w:val="24"/>
                <w:szCs w:val="24"/>
                <w:highlight w:val="none"/>
                <w:lang w:bidi="ar"/>
              </w:rPr>
              <w:t>56台</w:t>
            </w:r>
          </w:p>
        </w:tc>
        <w:tc>
          <w:tcPr>
            <w:tcW w:w="850" w:type="dxa"/>
            <w:vMerge w:val="continue"/>
          </w:tcPr>
          <w:p w14:paraId="6955337C">
            <w:pPr>
              <w:spacing w:line="360" w:lineRule="auto"/>
              <w:jc w:val="center"/>
              <w:rPr>
                <w:color w:val="auto"/>
                <w:sz w:val="24"/>
                <w:szCs w:val="24"/>
                <w:highlight w:val="none"/>
              </w:rPr>
            </w:pPr>
          </w:p>
        </w:tc>
      </w:tr>
      <w:tr w14:paraId="59C07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trPr>
        <w:tc>
          <w:tcPr>
            <w:tcW w:w="311" w:type="dxa"/>
            <w:shd w:val="clear" w:color="auto" w:fill="auto"/>
            <w:vAlign w:val="center"/>
          </w:tcPr>
          <w:p w14:paraId="18A01456">
            <w:pPr>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10</w:t>
            </w:r>
          </w:p>
        </w:tc>
        <w:tc>
          <w:tcPr>
            <w:tcW w:w="1080" w:type="dxa"/>
            <w:shd w:val="clear" w:color="auto" w:fill="auto"/>
            <w:tcMar>
              <w:top w:w="15" w:type="dxa"/>
              <w:left w:w="15" w:type="dxa"/>
              <w:bottom w:w="0" w:type="dxa"/>
              <w:right w:w="15" w:type="dxa"/>
            </w:tcMar>
            <w:vAlign w:val="center"/>
          </w:tcPr>
          <w:p w14:paraId="209ACF23">
            <w:pPr>
              <w:jc w:val="center"/>
              <w:textAlignment w:val="center"/>
              <w:rPr>
                <w:rFonts w:ascii="宋体" w:hAnsi="宋体" w:eastAsia="宋体" w:cs="宋体"/>
                <w:color w:val="auto"/>
                <w:sz w:val="24"/>
                <w:szCs w:val="24"/>
                <w:highlight w:val="none"/>
                <w:u w:color="000000"/>
                <w:lang w:val="en-US" w:eastAsia="zh-CN" w:bidi="ar-SA"/>
              </w:rPr>
            </w:pPr>
            <w:r>
              <w:rPr>
                <w:rFonts w:hint="eastAsia" w:ascii="宋体" w:hAnsi="宋体" w:cs="宋体"/>
                <w:color w:val="auto"/>
                <w:sz w:val="24"/>
                <w:szCs w:val="24"/>
                <w:highlight w:val="none"/>
                <w:lang w:bidi="ar"/>
              </w:rPr>
              <w:t>LED聚光灯（利旧）</w:t>
            </w:r>
          </w:p>
        </w:tc>
        <w:tc>
          <w:tcPr>
            <w:tcW w:w="6187" w:type="dxa"/>
            <w:shd w:val="clear" w:color="auto" w:fill="auto"/>
            <w:vAlign w:val="center"/>
          </w:tcPr>
          <w:p w14:paraId="514B5D7D">
            <w:pPr>
              <w:jc w:val="left"/>
              <w:textAlignment w:val="center"/>
              <w:rPr>
                <w:rFonts w:ascii="宋体" w:hAnsi="宋体" w:eastAsia="宋体" w:cs="宋体"/>
                <w:color w:val="auto"/>
                <w:sz w:val="24"/>
                <w:szCs w:val="24"/>
                <w:highlight w:val="none"/>
                <w:u w:color="000000"/>
                <w:lang w:val="en-US" w:eastAsia="zh-CN" w:bidi="ar-SA"/>
              </w:rPr>
            </w:pPr>
            <w:r>
              <w:rPr>
                <w:rFonts w:hint="eastAsia" w:ascii="宋体" w:hAnsi="宋体" w:cs="宋体"/>
                <w:color w:val="auto"/>
                <w:sz w:val="24"/>
                <w:szCs w:val="24"/>
                <w:highlight w:val="none"/>
                <w:lang w:bidi="ar"/>
              </w:rPr>
              <w:t>清洁、保养、二次安装、调试、接入系统</w:t>
            </w:r>
          </w:p>
        </w:tc>
        <w:tc>
          <w:tcPr>
            <w:tcW w:w="643" w:type="dxa"/>
            <w:shd w:val="clear" w:color="auto" w:fill="auto"/>
            <w:vAlign w:val="center"/>
          </w:tcPr>
          <w:p w14:paraId="1E67D15A">
            <w:pPr>
              <w:jc w:val="center"/>
              <w:textAlignment w:val="center"/>
              <w:rPr>
                <w:rFonts w:ascii="宋体" w:hAnsi="宋体" w:eastAsia="宋体" w:cs="宋体"/>
                <w:color w:val="auto"/>
                <w:sz w:val="24"/>
                <w:szCs w:val="24"/>
                <w:highlight w:val="none"/>
                <w:u w:color="000000"/>
                <w:lang w:val="en-US" w:eastAsia="zh-CN" w:bidi="ar-SA"/>
              </w:rPr>
            </w:pPr>
            <w:r>
              <w:rPr>
                <w:rFonts w:hint="eastAsia" w:ascii="宋体" w:hAnsi="宋体" w:cs="宋体"/>
                <w:color w:val="auto"/>
                <w:sz w:val="24"/>
                <w:szCs w:val="24"/>
                <w:highlight w:val="none"/>
                <w:lang w:bidi="ar"/>
              </w:rPr>
              <w:t>20台</w:t>
            </w:r>
          </w:p>
        </w:tc>
        <w:tc>
          <w:tcPr>
            <w:tcW w:w="850" w:type="dxa"/>
            <w:vMerge w:val="continue"/>
          </w:tcPr>
          <w:p w14:paraId="50F66186">
            <w:pPr>
              <w:spacing w:line="360" w:lineRule="auto"/>
              <w:jc w:val="center"/>
              <w:rPr>
                <w:color w:val="auto"/>
                <w:sz w:val="24"/>
                <w:szCs w:val="24"/>
                <w:highlight w:val="none"/>
              </w:rPr>
            </w:pPr>
          </w:p>
        </w:tc>
      </w:tr>
      <w:tr w14:paraId="500BB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4" w:hRule="atLeast"/>
        </w:trPr>
        <w:tc>
          <w:tcPr>
            <w:tcW w:w="311" w:type="dxa"/>
            <w:shd w:val="clear" w:color="auto" w:fill="auto"/>
            <w:vAlign w:val="center"/>
          </w:tcPr>
          <w:p w14:paraId="37422D93">
            <w:pPr>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11</w:t>
            </w:r>
          </w:p>
        </w:tc>
        <w:tc>
          <w:tcPr>
            <w:tcW w:w="1080" w:type="dxa"/>
            <w:shd w:val="clear" w:color="auto" w:fill="auto"/>
            <w:tcMar>
              <w:top w:w="15" w:type="dxa"/>
              <w:left w:w="15" w:type="dxa"/>
              <w:bottom w:w="0" w:type="dxa"/>
              <w:right w:w="15" w:type="dxa"/>
            </w:tcMar>
            <w:vAlign w:val="center"/>
          </w:tcPr>
          <w:p w14:paraId="6BCBA796">
            <w:pPr>
              <w:jc w:val="center"/>
              <w:textAlignment w:val="center"/>
              <w:rPr>
                <w:rFonts w:ascii="宋体" w:hAnsi="宋体" w:eastAsia="宋体" w:cs="宋体"/>
                <w:color w:val="auto"/>
                <w:sz w:val="24"/>
                <w:szCs w:val="24"/>
                <w:highlight w:val="none"/>
                <w:u w:color="000000"/>
                <w:lang w:val="en-US" w:eastAsia="zh-CN" w:bidi="ar-SA"/>
              </w:rPr>
            </w:pPr>
            <w:r>
              <w:rPr>
                <w:rFonts w:hint="eastAsia" w:ascii="宋体" w:hAnsi="宋体" w:cs="宋体"/>
                <w:color w:val="auto"/>
                <w:sz w:val="24"/>
                <w:szCs w:val="24"/>
                <w:highlight w:val="none"/>
                <w:lang w:bidi="ar"/>
              </w:rPr>
              <w:t>电脑摇头光束灯（利旧）</w:t>
            </w:r>
          </w:p>
        </w:tc>
        <w:tc>
          <w:tcPr>
            <w:tcW w:w="6187" w:type="dxa"/>
            <w:shd w:val="clear" w:color="auto" w:fill="auto"/>
            <w:vAlign w:val="center"/>
          </w:tcPr>
          <w:p w14:paraId="2AA476C8">
            <w:pPr>
              <w:jc w:val="left"/>
              <w:textAlignment w:val="center"/>
              <w:rPr>
                <w:rFonts w:ascii="宋体" w:hAnsi="宋体" w:eastAsia="宋体" w:cs="宋体"/>
                <w:color w:val="auto"/>
                <w:sz w:val="24"/>
                <w:szCs w:val="24"/>
                <w:highlight w:val="none"/>
                <w:u w:color="000000"/>
                <w:lang w:val="en-US" w:eastAsia="zh-CN" w:bidi="ar-SA"/>
              </w:rPr>
            </w:pPr>
            <w:r>
              <w:rPr>
                <w:rFonts w:hint="eastAsia" w:ascii="宋体" w:hAnsi="宋体" w:cs="宋体"/>
                <w:color w:val="auto"/>
                <w:sz w:val="24"/>
                <w:szCs w:val="24"/>
                <w:highlight w:val="none"/>
                <w:lang w:bidi="ar"/>
              </w:rPr>
              <w:t>清洁、保养、二次安装、调试、接入系统</w:t>
            </w:r>
          </w:p>
        </w:tc>
        <w:tc>
          <w:tcPr>
            <w:tcW w:w="643" w:type="dxa"/>
            <w:shd w:val="clear" w:color="auto" w:fill="auto"/>
            <w:vAlign w:val="center"/>
          </w:tcPr>
          <w:p w14:paraId="3E2AD30A">
            <w:pPr>
              <w:jc w:val="center"/>
              <w:textAlignment w:val="center"/>
              <w:rPr>
                <w:rFonts w:ascii="宋体" w:hAnsi="宋体" w:eastAsia="宋体" w:cs="宋体"/>
                <w:color w:val="auto"/>
                <w:sz w:val="24"/>
                <w:szCs w:val="24"/>
                <w:highlight w:val="none"/>
                <w:u w:color="000000"/>
                <w:lang w:val="en-US" w:eastAsia="zh-CN" w:bidi="ar-SA"/>
              </w:rPr>
            </w:pPr>
            <w:r>
              <w:rPr>
                <w:rFonts w:hint="eastAsia" w:ascii="宋体" w:hAnsi="宋体" w:cs="宋体"/>
                <w:color w:val="auto"/>
                <w:sz w:val="24"/>
                <w:szCs w:val="24"/>
                <w:highlight w:val="none"/>
                <w:lang w:bidi="ar"/>
              </w:rPr>
              <w:t>20台</w:t>
            </w:r>
          </w:p>
        </w:tc>
        <w:tc>
          <w:tcPr>
            <w:tcW w:w="850" w:type="dxa"/>
            <w:vMerge w:val="continue"/>
          </w:tcPr>
          <w:p w14:paraId="743E845B">
            <w:pPr>
              <w:spacing w:line="360" w:lineRule="auto"/>
              <w:jc w:val="center"/>
              <w:rPr>
                <w:color w:val="auto"/>
                <w:sz w:val="24"/>
                <w:szCs w:val="24"/>
                <w:highlight w:val="none"/>
              </w:rPr>
            </w:pPr>
          </w:p>
        </w:tc>
      </w:tr>
      <w:tr w14:paraId="10D64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311" w:type="dxa"/>
            <w:shd w:val="clear" w:color="auto" w:fill="auto"/>
            <w:vAlign w:val="center"/>
          </w:tcPr>
          <w:p w14:paraId="0F4F8785">
            <w:pPr>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12</w:t>
            </w:r>
          </w:p>
        </w:tc>
        <w:tc>
          <w:tcPr>
            <w:tcW w:w="1080" w:type="dxa"/>
            <w:shd w:val="clear" w:color="auto" w:fill="auto"/>
            <w:tcMar>
              <w:top w:w="15" w:type="dxa"/>
              <w:left w:w="15" w:type="dxa"/>
              <w:bottom w:w="0" w:type="dxa"/>
              <w:right w:w="15" w:type="dxa"/>
            </w:tcMar>
            <w:vAlign w:val="center"/>
          </w:tcPr>
          <w:p w14:paraId="304A8505">
            <w:pPr>
              <w:jc w:val="center"/>
              <w:textAlignment w:val="center"/>
              <w:rPr>
                <w:rFonts w:ascii="宋体" w:hAnsi="宋体" w:eastAsia="宋体" w:cs="宋体"/>
                <w:color w:val="auto"/>
                <w:sz w:val="24"/>
                <w:szCs w:val="24"/>
                <w:highlight w:val="none"/>
                <w:u w:color="000000"/>
                <w:lang w:val="en-US" w:eastAsia="zh-CN" w:bidi="ar-SA"/>
              </w:rPr>
            </w:pPr>
            <w:r>
              <w:rPr>
                <w:rFonts w:hint="eastAsia" w:ascii="宋体" w:hAnsi="宋体" w:cs="宋体"/>
                <w:color w:val="auto"/>
                <w:sz w:val="24"/>
                <w:szCs w:val="24"/>
                <w:highlight w:val="none"/>
                <w:lang w:bidi="ar"/>
              </w:rPr>
              <w:t>电脑灯控台（利旧）</w:t>
            </w:r>
          </w:p>
        </w:tc>
        <w:tc>
          <w:tcPr>
            <w:tcW w:w="6187" w:type="dxa"/>
            <w:shd w:val="clear" w:color="auto" w:fill="auto"/>
            <w:vAlign w:val="center"/>
          </w:tcPr>
          <w:p w14:paraId="3E5577D4">
            <w:pPr>
              <w:jc w:val="left"/>
              <w:textAlignment w:val="center"/>
              <w:rPr>
                <w:rFonts w:ascii="宋体" w:hAnsi="宋体" w:eastAsia="宋体" w:cs="宋体"/>
                <w:color w:val="auto"/>
                <w:sz w:val="24"/>
                <w:szCs w:val="24"/>
                <w:highlight w:val="none"/>
                <w:u w:color="000000"/>
                <w:lang w:val="en-US" w:eastAsia="zh-CN" w:bidi="ar-SA"/>
              </w:rPr>
            </w:pPr>
            <w:r>
              <w:rPr>
                <w:rFonts w:hint="eastAsia" w:ascii="宋体" w:hAnsi="宋体" w:cs="宋体"/>
                <w:color w:val="auto"/>
                <w:sz w:val="24"/>
                <w:szCs w:val="24"/>
                <w:highlight w:val="none"/>
                <w:lang w:bidi="ar"/>
              </w:rPr>
              <w:t>调试、接入系统（原有电脑调光台型号为韵鹏YPLQ3D)</w:t>
            </w:r>
          </w:p>
        </w:tc>
        <w:tc>
          <w:tcPr>
            <w:tcW w:w="643" w:type="dxa"/>
            <w:shd w:val="clear" w:color="auto" w:fill="auto"/>
            <w:vAlign w:val="center"/>
          </w:tcPr>
          <w:p w14:paraId="229920CC">
            <w:pPr>
              <w:jc w:val="center"/>
              <w:textAlignment w:val="center"/>
              <w:rPr>
                <w:rFonts w:ascii="宋体" w:hAnsi="宋体" w:eastAsia="宋体" w:cs="宋体"/>
                <w:color w:val="auto"/>
                <w:sz w:val="24"/>
                <w:szCs w:val="24"/>
                <w:highlight w:val="none"/>
                <w:u w:color="000000"/>
                <w:lang w:val="en-US" w:eastAsia="zh-CN" w:bidi="ar-SA"/>
              </w:rPr>
            </w:pPr>
            <w:r>
              <w:rPr>
                <w:rFonts w:hint="eastAsia" w:ascii="宋体" w:hAnsi="宋体" w:cs="宋体"/>
                <w:color w:val="auto"/>
                <w:sz w:val="24"/>
                <w:szCs w:val="24"/>
                <w:highlight w:val="none"/>
                <w:lang w:bidi="ar"/>
              </w:rPr>
              <w:t>1台</w:t>
            </w:r>
          </w:p>
        </w:tc>
        <w:tc>
          <w:tcPr>
            <w:tcW w:w="850" w:type="dxa"/>
            <w:vMerge w:val="continue"/>
          </w:tcPr>
          <w:p w14:paraId="79BD735A">
            <w:pPr>
              <w:spacing w:line="360" w:lineRule="auto"/>
              <w:jc w:val="center"/>
              <w:rPr>
                <w:color w:val="auto"/>
                <w:sz w:val="24"/>
                <w:szCs w:val="24"/>
                <w:highlight w:val="none"/>
              </w:rPr>
            </w:pPr>
          </w:p>
        </w:tc>
      </w:tr>
      <w:tr w14:paraId="1E8D5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 w:hRule="atLeast"/>
        </w:trPr>
        <w:tc>
          <w:tcPr>
            <w:tcW w:w="311" w:type="dxa"/>
            <w:shd w:val="clear" w:color="auto" w:fill="auto"/>
            <w:vAlign w:val="center"/>
          </w:tcPr>
          <w:p w14:paraId="476CBF82">
            <w:pPr>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13</w:t>
            </w:r>
          </w:p>
        </w:tc>
        <w:tc>
          <w:tcPr>
            <w:tcW w:w="1080" w:type="dxa"/>
            <w:shd w:val="clear" w:color="auto" w:fill="auto"/>
            <w:tcMar>
              <w:top w:w="15" w:type="dxa"/>
              <w:left w:w="15" w:type="dxa"/>
              <w:bottom w:w="0" w:type="dxa"/>
              <w:right w:w="15" w:type="dxa"/>
            </w:tcMar>
            <w:vAlign w:val="center"/>
          </w:tcPr>
          <w:p w14:paraId="63601068">
            <w:pPr>
              <w:jc w:val="center"/>
              <w:textAlignment w:val="center"/>
              <w:rPr>
                <w:rFonts w:ascii="宋体" w:hAnsi="宋体" w:eastAsia="宋体" w:cs="宋体"/>
                <w:color w:val="auto"/>
                <w:sz w:val="24"/>
                <w:szCs w:val="24"/>
                <w:highlight w:val="none"/>
                <w:u w:color="000000"/>
                <w:lang w:val="en-US" w:eastAsia="zh-CN" w:bidi="ar-SA"/>
              </w:rPr>
            </w:pPr>
            <w:r>
              <w:rPr>
                <w:rFonts w:hint="eastAsia" w:ascii="宋体" w:hAnsi="宋体" w:cs="宋体"/>
                <w:color w:val="auto"/>
                <w:sz w:val="24"/>
                <w:szCs w:val="24"/>
                <w:highlight w:val="none"/>
                <w:lang w:bidi="ar"/>
              </w:rPr>
              <w:t>信号分配器</w:t>
            </w:r>
          </w:p>
        </w:tc>
        <w:tc>
          <w:tcPr>
            <w:tcW w:w="6187" w:type="dxa"/>
            <w:shd w:val="clear" w:color="auto" w:fill="auto"/>
            <w:vAlign w:val="center"/>
          </w:tcPr>
          <w:p w14:paraId="560E7DF5">
            <w:pPr>
              <w:jc w:val="left"/>
              <w:textAlignment w:val="center"/>
              <w:rPr>
                <w:rFonts w:ascii="宋体" w:hAnsi="宋体" w:eastAsia="宋体" w:cs="宋体"/>
                <w:color w:val="auto"/>
                <w:sz w:val="24"/>
                <w:szCs w:val="24"/>
                <w:highlight w:val="none"/>
                <w:u w:color="000000"/>
                <w:lang w:val="en-US" w:eastAsia="zh-CN" w:bidi="ar-SA"/>
              </w:rPr>
            </w:pPr>
            <w:r>
              <w:rPr>
                <w:rFonts w:hint="eastAsia" w:ascii="宋体" w:hAnsi="宋体" w:cs="宋体"/>
                <w:color w:val="auto"/>
                <w:sz w:val="24"/>
                <w:szCs w:val="24"/>
                <w:highlight w:val="none"/>
                <w:lang w:bidi="ar"/>
              </w:rPr>
              <w:t>电源输入：AC 100V-240V  50/60Hz，DMX512信号1进8出、1环出，3针XLR接口，输入与输出信号(包括信号地线)完全隔离，带RDM。</w:t>
            </w:r>
          </w:p>
        </w:tc>
        <w:tc>
          <w:tcPr>
            <w:tcW w:w="643" w:type="dxa"/>
            <w:shd w:val="clear" w:color="auto" w:fill="auto"/>
            <w:vAlign w:val="center"/>
          </w:tcPr>
          <w:p w14:paraId="76DA7900">
            <w:pPr>
              <w:jc w:val="center"/>
              <w:textAlignment w:val="center"/>
              <w:rPr>
                <w:rFonts w:ascii="宋体" w:hAnsi="宋体" w:eastAsia="宋体" w:cs="宋体"/>
                <w:color w:val="auto"/>
                <w:sz w:val="24"/>
                <w:szCs w:val="24"/>
                <w:highlight w:val="none"/>
                <w:u w:color="000000"/>
                <w:lang w:val="en-US" w:eastAsia="zh-CN" w:bidi="ar-SA"/>
              </w:rPr>
            </w:pPr>
            <w:r>
              <w:rPr>
                <w:rFonts w:hint="eastAsia" w:ascii="宋体" w:hAnsi="宋体" w:cs="宋体"/>
                <w:color w:val="auto"/>
                <w:sz w:val="24"/>
                <w:szCs w:val="24"/>
                <w:highlight w:val="none"/>
                <w:lang w:bidi="ar"/>
              </w:rPr>
              <w:t>6台</w:t>
            </w:r>
          </w:p>
        </w:tc>
        <w:tc>
          <w:tcPr>
            <w:tcW w:w="850" w:type="dxa"/>
            <w:vMerge w:val="continue"/>
          </w:tcPr>
          <w:p w14:paraId="4B5F175F">
            <w:pPr>
              <w:spacing w:line="360" w:lineRule="auto"/>
              <w:jc w:val="center"/>
              <w:rPr>
                <w:color w:val="auto"/>
                <w:sz w:val="24"/>
                <w:szCs w:val="24"/>
                <w:highlight w:val="none"/>
              </w:rPr>
            </w:pPr>
          </w:p>
        </w:tc>
      </w:tr>
      <w:tr w14:paraId="5438F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311" w:type="dxa"/>
            <w:shd w:val="clear" w:color="auto" w:fill="auto"/>
            <w:vAlign w:val="center"/>
          </w:tcPr>
          <w:p w14:paraId="544313D9">
            <w:pPr>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14</w:t>
            </w:r>
          </w:p>
        </w:tc>
        <w:tc>
          <w:tcPr>
            <w:tcW w:w="1080" w:type="dxa"/>
            <w:shd w:val="clear" w:color="auto" w:fill="auto"/>
            <w:tcMar>
              <w:top w:w="15" w:type="dxa"/>
              <w:left w:w="15" w:type="dxa"/>
              <w:bottom w:w="0" w:type="dxa"/>
              <w:right w:w="15" w:type="dxa"/>
            </w:tcMar>
            <w:vAlign w:val="center"/>
          </w:tcPr>
          <w:p w14:paraId="34293F2B">
            <w:pPr>
              <w:jc w:val="center"/>
              <w:textAlignment w:val="center"/>
              <w:rPr>
                <w:rFonts w:ascii="宋体" w:hAnsi="宋体" w:eastAsia="宋体" w:cs="宋体"/>
                <w:color w:val="auto"/>
                <w:sz w:val="24"/>
                <w:szCs w:val="24"/>
                <w:highlight w:val="none"/>
                <w:u w:color="000000"/>
                <w:lang w:val="en-US" w:eastAsia="zh-CN" w:bidi="ar-SA"/>
              </w:rPr>
            </w:pPr>
            <w:r>
              <w:rPr>
                <w:rFonts w:hint="eastAsia" w:ascii="宋体" w:hAnsi="宋体" w:cs="宋体"/>
                <w:color w:val="auto"/>
                <w:sz w:val="24"/>
                <w:szCs w:val="24"/>
                <w:highlight w:val="none"/>
                <w:lang w:bidi="ar"/>
              </w:rPr>
              <w:t>电源直通柜</w:t>
            </w:r>
          </w:p>
        </w:tc>
        <w:tc>
          <w:tcPr>
            <w:tcW w:w="6187" w:type="dxa"/>
            <w:shd w:val="clear" w:color="auto" w:fill="auto"/>
            <w:vAlign w:val="center"/>
          </w:tcPr>
          <w:p w14:paraId="7C1CD403">
            <w:pPr>
              <w:jc w:val="left"/>
              <w:textAlignment w:val="center"/>
              <w:rPr>
                <w:rFonts w:ascii="宋体" w:hAnsi="宋体" w:eastAsia="宋体" w:cs="宋体"/>
                <w:color w:val="auto"/>
                <w:sz w:val="24"/>
                <w:szCs w:val="24"/>
                <w:highlight w:val="none"/>
                <w:u w:color="000000"/>
                <w:lang w:val="en-US" w:eastAsia="zh-CN" w:bidi="ar-SA"/>
              </w:rPr>
            </w:pPr>
            <w:r>
              <w:rPr>
                <w:rFonts w:hint="eastAsia" w:ascii="宋体" w:hAnsi="宋体" w:cs="宋体"/>
                <w:color w:val="auto"/>
                <w:sz w:val="24"/>
                <w:szCs w:val="24"/>
                <w:highlight w:val="none"/>
                <w:lang w:bidi="ar"/>
              </w:rPr>
              <w:t>1.供电：三相五线AC380±10%，频率：50HZ±5%</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2.额定功率：≥ 72路×4KW</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3.绝缘电阻：≥2MΩ/DC1000V、连续工作：24 小时</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4.设有225A总开关,过载与短路双重保护高分断空气开关</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5.三相独立电压、电流监测，三相A.B.C指示灯指示</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6.带标准机柜</w:t>
            </w:r>
          </w:p>
        </w:tc>
        <w:tc>
          <w:tcPr>
            <w:tcW w:w="643" w:type="dxa"/>
            <w:shd w:val="clear" w:color="auto" w:fill="auto"/>
            <w:vAlign w:val="center"/>
          </w:tcPr>
          <w:p w14:paraId="452152C5">
            <w:pPr>
              <w:jc w:val="center"/>
              <w:textAlignment w:val="center"/>
              <w:rPr>
                <w:rFonts w:ascii="宋体" w:hAnsi="宋体" w:eastAsia="宋体" w:cs="宋体"/>
                <w:color w:val="auto"/>
                <w:sz w:val="24"/>
                <w:szCs w:val="24"/>
                <w:highlight w:val="none"/>
                <w:u w:color="000000"/>
                <w:lang w:val="en-US" w:eastAsia="zh-CN" w:bidi="ar-SA"/>
              </w:rPr>
            </w:pPr>
            <w:r>
              <w:rPr>
                <w:rFonts w:hint="eastAsia" w:ascii="宋体" w:hAnsi="宋体" w:cs="宋体"/>
                <w:color w:val="auto"/>
                <w:sz w:val="24"/>
                <w:szCs w:val="24"/>
                <w:highlight w:val="none"/>
                <w:lang w:bidi="ar"/>
              </w:rPr>
              <w:t>1台</w:t>
            </w:r>
          </w:p>
        </w:tc>
        <w:tc>
          <w:tcPr>
            <w:tcW w:w="850" w:type="dxa"/>
            <w:vMerge w:val="continue"/>
          </w:tcPr>
          <w:p w14:paraId="2849348B">
            <w:pPr>
              <w:spacing w:line="360" w:lineRule="auto"/>
              <w:jc w:val="center"/>
              <w:rPr>
                <w:color w:val="auto"/>
                <w:sz w:val="24"/>
                <w:szCs w:val="24"/>
                <w:highlight w:val="none"/>
              </w:rPr>
            </w:pPr>
          </w:p>
        </w:tc>
      </w:tr>
      <w:tr w14:paraId="1CADC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atLeast"/>
        </w:trPr>
        <w:tc>
          <w:tcPr>
            <w:tcW w:w="311" w:type="dxa"/>
            <w:shd w:val="clear" w:color="auto" w:fill="auto"/>
            <w:vAlign w:val="center"/>
          </w:tcPr>
          <w:p w14:paraId="3D8551A2">
            <w:pPr>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15</w:t>
            </w:r>
          </w:p>
        </w:tc>
        <w:tc>
          <w:tcPr>
            <w:tcW w:w="1080" w:type="dxa"/>
            <w:shd w:val="clear" w:color="auto" w:fill="auto"/>
            <w:tcMar>
              <w:top w:w="15" w:type="dxa"/>
              <w:left w:w="15" w:type="dxa"/>
              <w:bottom w:w="0" w:type="dxa"/>
              <w:right w:w="15" w:type="dxa"/>
            </w:tcMar>
            <w:vAlign w:val="center"/>
          </w:tcPr>
          <w:p w14:paraId="28F5BF25">
            <w:pPr>
              <w:jc w:val="center"/>
              <w:textAlignment w:val="center"/>
              <w:rPr>
                <w:rFonts w:ascii="宋体" w:hAnsi="宋体" w:eastAsia="宋体" w:cs="宋体"/>
                <w:color w:val="auto"/>
                <w:sz w:val="24"/>
                <w:szCs w:val="24"/>
                <w:highlight w:val="none"/>
                <w:u w:color="000000"/>
                <w:lang w:val="en-US" w:eastAsia="zh-CN" w:bidi="ar-SA"/>
              </w:rPr>
            </w:pPr>
            <w:r>
              <w:rPr>
                <w:rFonts w:hint="eastAsia" w:ascii="宋体" w:hAnsi="宋体" w:cs="宋体"/>
                <w:color w:val="auto"/>
                <w:sz w:val="24"/>
                <w:szCs w:val="24"/>
                <w:highlight w:val="none"/>
                <w:lang w:bidi="ar"/>
              </w:rPr>
              <w:t>灯光墙壁插座箱</w:t>
            </w:r>
          </w:p>
        </w:tc>
        <w:tc>
          <w:tcPr>
            <w:tcW w:w="6187" w:type="dxa"/>
            <w:shd w:val="clear" w:color="auto" w:fill="auto"/>
            <w:vAlign w:val="center"/>
          </w:tcPr>
          <w:p w14:paraId="47BA6DDB">
            <w:pPr>
              <w:jc w:val="left"/>
              <w:textAlignment w:val="center"/>
              <w:rPr>
                <w:rFonts w:ascii="宋体" w:hAnsi="宋体" w:eastAsia="宋体" w:cs="宋体"/>
                <w:color w:val="auto"/>
                <w:sz w:val="24"/>
                <w:szCs w:val="24"/>
                <w:highlight w:val="none"/>
                <w:u w:color="000000"/>
                <w:lang w:val="en-US" w:eastAsia="zh-CN" w:bidi="ar-SA"/>
              </w:rPr>
            </w:pPr>
            <w:r>
              <w:rPr>
                <w:rFonts w:hint="eastAsia" w:ascii="宋体" w:hAnsi="宋体" w:cs="宋体"/>
                <w:color w:val="auto"/>
                <w:sz w:val="24"/>
                <w:szCs w:val="24"/>
                <w:highlight w:val="none"/>
                <w:lang w:bidi="ar"/>
              </w:rPr>
              <w:t>4KW，4×16A防尘电源插座+1×DMX512卡侬插座</w:t>
            </w:r>
          </w:p>
        </w:tc>
        <w:tc>
          <w:tcPr>
            <w:tcW w:w="643" w:type="dxa"/>
            <w:shd w:val="clear" w:color="auto" w:fill="auto"/>
            <w:vAlign w:val="center"/>
          </w:tcPr>
          <w:p w14:paraId="0B0DEC4D">
            <w:pPr>
              <w:jc w:val="center"/>
              <w:textAlignment w:val="center"/>
              <w:rPr>
                <w:rFonts w:ascii="宋体" w:hAnsi="宋体" w:eastAsia="宋体" w:cs="宋体"/>
                <w:color w:val="auto"/>
                <w:sz w:val="24"/>
                <w:szCs w:val="24"/>
                <w:highlight w:val="none"/>
                <w:u w:color="000000"/>
                <w:lang w:val="en-US" w:eastAsia="zh-CN" w:bidi="ar-SA"/>
              </w:rPr>
            </w:pPr>
            <w:r>
              <w:rPr>
                <w:rFonts w:hint="eastAsia" w:ascii="宋体" w:hAnsi="宋体" w:cs="宋体"/>
                <w:color w:val="auto"/>
                <w:sz w:val="24"/>
                <w:szCs w:val="24"/>
                <w:highlight w:val="none"/>
                <w:lang w:bidi="ar"/>
              </w:rPr>
              <w:t>4个</w:t>
            </w:r>
          </w:p>
        </w:tc>
        <w:tc>
          <w:tcPr>
            <w:tcW w:w="850" w:type="dxa"/>
            <w:vMerge w:val="continue"/>
          </w:tcPr>
          <w:p w14:paraId="3396C7BC">
            <w:pPr>
              <w:spacing w:line="360" w:lineRule="auto"/>
              <w:jc w:val="center"/>
              <w:rPr>
                <w:color w:val="auto"/>
                <w:sz w:val="24"/>
                <w:szCs w:val="24"/>
                <w:highlight w:val="none"/>
              </w:rPr>
            </w:pPr>
          </w:p>
        </w:tc>
      </w:tr>
      <w:tr w14:paraId="68C0C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2" w:hRule="atLeast"/>
        </w:trPr>
        <w:tc>
          <w:tcPr>
            <w:tcW w:w="311" w:type="dxa"/>
            <w:shd w:val="clear" w:color="auto" w:fill="auto"/>
            <w:vAlign w:val="center"/>
          </w:tcPr>
          <w:p w14:paraId="73AFBBD2">
            <w:pPr>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16</w:t>
            </w:r>
          </w:p>
        </w:tc>
        <w:tc>
          <w:tcPr>
            <w:tcW w:w="1080" w:type="dxa"/>
            <w:shd w:val="clear" w:color="auto" w:fill="auto"/>
            <w:tcMar>
              <w:top w:w="15" w:type="dxa"/>
              <w:left w:w="15" w:type="dxa"/>
              <w:bottom w:w="0" w:type="dxa"/>
              <w:right w:w="15" w:type="dxa"/>
            </w:tcMar>
            <w:vAlign w:val="center"/>
          </w:tcPr>
          <w:p w14:paraId="63A30752">
            <w:pPr>
              <w:jc w:val="center"/>
              <w:textAlignment w:val="center"/>
              <w:rPr>
                <w:rFonts w:ascii="宋体" w:hAnsi="宋体" w:eastAsia="宋体" w:cs="宋体"/>
                <w:color w:val="auto"/>
                <w:sz w:val="24"/>
                <w:szCs w:val="24"/>
                <w:highlight w:val="none"/>
                <w:u w:color="000000"/>
                <w:lang w:val="en-US" w:eastAsia="zh-CN" w:bidi="ar-SA"/>
              </w:rPr>
            </w:pPr>
            <w:r>
              <w:rPr>
                <w:rFonts w:hint="eastAsia" w:ascii="宋体" w:hAnsi="宋体" w:cs="宋体"/>
                <w:color w:val="auto"/>
                <w:sz w:val="24"/>
                <w:szCs w:val="24"/>
                <w:highlight w:val="none"/>
                <w:lang w:bidi="ar"/>
              </w:rPr>
              <w:t>阻燃型灯光电缆及控制信号线</w:t>
            </w:r>
          </w:p>
        </w:tc>
        <w:tc>
          <w:tcPr>
            <w:tcW w:w="6187" w:type="dxa"/>
            <w:shd w:val="clear" w:color="auto" w:fill="auto"/>
            <w:vAlign w:val="center"/>
          </w:tcPr>
          <w:p w14:paraId="49F1B701">
            <w:pPr>
              <w:jc w:val="left"/>
              <w:textAlignment w:val="center"/>
              <w:rPr>
                <w:rFonts w:ascii="宋体" w:hAnsi="宋体" w:eastAsia="宋体" w:cs="宋体"/>
                <w:color w:val="auto"/>
                <w:sz w:val="24"/>
                <w:szCs w:val="24"/>
                <w:highlight w:val="none"/>
                <w:u w:color="000000"/>
                <w:lang w:val="en-US" w:eastAsia="zh-CN" w:bidi="ar-SA"/>
              </w:rPr>
            </w:pPr>
            <w:r>
              <w:rPr>
                <w:rFonts w:hint="eastAsia" w:ascii="宋体" w:hAnsi="宋体" w:cs="宋体"/>
                <w:color w:val="auto"/>
                <w:sz w:val="24"/>
                <w:szCs w:val="24"/>
                <w:highlight w:val="none"/>
                <w:lang w:bidi="ar"/>
              </w:rPr>
              <w:t>国标低烟无卤阻燃型电缆，型号、数量按具体灯具、灯杆回路配置，灯杆须使用扁平电缆，考虑足够冗余和后期升级；</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带屏蔽层DMX512信号线缆；</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须列出电缆的具体品牌、型号、数量</w:t>
            </w:r>
          </w:p>
        </w:tc>
        <w:tc>
          <w:tcPr>
            <w:tcW w:w="643" w:type="dxa"/>
            <w:shd w:val="clear" w:color="auto" w:fill="auto"/>
            <w:vAlign w:val="center"/>
          </w:tcPr>
          <w:p w14:paraId="7E5B6395">
            <w:pPr>
              <w:jc w:val="center"/>
              <w:textAlignment w:val="center"/>
              <w:rPr>
                <w:rFonts w:ascii="宋体" w:hAnsi="宋体" w:eastAsia="宋体" w:cs="宋体"/>
                <w:color w:val="auto"/>
                <w:sz w:val="24"/>
                <w:szCs w:val="24"/>
                <w:highlight w:val="none"/>
                <w:u w:color="000000"/>
                <w:lang w:val="en-US" w:eastAsia="zh-CN" w:bidi="ar-SA"/>
              </w:rPr>
            </w:pPr>
            <w:r>
              <w:rPr>
                <w:rFonts w:hint="eastAsia" w:ascii="宋体" w:hAnsi="宋体" w:cs="宋体"/>
                <w:color w:val="auto"/>
                <w:sz w:val="24"/>
                <w:szCs w:val="24"/>
                <w:highlight w:val="none"/>
                <w:lang w:bidi="ar"/>
              </w:rPr>
              <w:t>1批</w:t>
            </w:r>
          </w:p>
        </w:tc>
        <w:tc>
          <w:tcPr>
            <w:tcW w:w="850" w:type="dxa"/>
            <w:vMerge w:val="continue"/>
          </w:tcPr>
          <w:p w14:paraId="4837D952">
            <w:pPr>
              <w:spacing w:line="360" w:lineRule="auto"/>
              <w:jc w:val="center"/>
              <w:rPr>
                <w:color w:val="auto"/>
                <w:sz w:val="24"/>
                <w:szCs w:val="24"/>
                <w:highlight w:val="none"/>
              </w:rPr>
            </w:pPr>
          </w:p>
        </w:tc>
      </w:tr>
      <w:tr w14:paraId="35379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trPr>
        <w:tc>
          <w:tcPr>
            <w:tcW w:w="311" w:type="dxa"/>
            <w:shd w:val="clear" w:color="auto" w:fill="auto"/>
            <w:vAlign w:val="center"/>
          </w:tcPr>
          <w:p w14:paraId="3FB774D4">
            <w:pPr>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17</w:t>
            </w:r>
          </w:p>
        </w:tc>
        <w:tc>
          <w:tcPr>
            <w:tcW w:w="1080" w:type="dxa"/>
            <w:shd w:val="clear" w:color="auto" w:fill="auto"/>
            <w:tcMar>
              <w:top w:w="15" w:type="dxa"/>
              <w:left w:w="15" w:type="dxa"/>
              <w:bottom w:w="0" w:type="dxa"/>
              <w:right w:w="15" w:type="dxa"/>
            </w:tcMar>
            <w:vAlign w:val="center"/>
          </w:tcPr>
          <w:p w14:paraId="0D5E8286">
            <w:pPr>
              <w:jc w:val="center"/>
              <w:textAlignment w:val="center"/>
              <w:rPr>
                <w:rFonts w:ascii="宋体" w:hAnsi="宋体" w:eastAsia="宋体" w:cs="宋体"/>
                <w:color w:val="auto"/>
                <w:sz w:val="24"/>
                <w:szCs w:val="24"/>
                <w:highlight w:val="none"/>
                <w:u w:color="000000"/>
                <w:lang w:val="en-US" w:eastAsia="zh-CN" w:bidi="ar-SA"/>
              </w:rPr>
            </w:pPr>
            <w:r>
              <w:rPr>
                <w:rFonts w:hint="eastAsia" w:ascii="宋体" w:hAnsi="宋体" w:cs="宋体"/>
                <w:color w:val="auto"/>
                <w:sz w:val="24"/>
                <w:szCs w:val="24"/>
                <w:highlight w:val="none"/>
                <w:lang w:bidi="ar"/>
              </w:rPr>
              <w:t>灯具安装材料及配件</w:t>
            </w:r>
          </w:p>
        </w:tc>
        <w:tc>
          <w:tcPr>
            <w:tcW w:w="6187" w:type="dxa"/>
            <w:shd w:val="clear" w:color="auto" w:fill="auto"/>
            <w:vAlign w:val="center"/>
          </w:tcPr>
          <w:p w14:paraId="70FDE65C">
            <w:pPr>
              <w:jc w:val="left"/>
              <w:textAlignment w:val="center"/>
              <w:rPr>
                <w:rFonts w:ascii="宋体" w:hAnsi="宋体" w:eastAsia="宋体" w:cs="宋体"/>
                <w:color w:val="auto"/>
                <w:sz w:val="24"/>
                <w:szCs w:val="24"/>
                <w:highlight w:val="none"/>
                <w:u w:color="000000"/>
                <w:lang w:val="en-US" w:eastAsia="zh-CN" w:bidi="ar-SA"/>
              </w:rPr>
            </w:pPr>
            <w:r>
              <w:rPr>
                <w:rFonts w:hint="eastAsia" w:ascii="宋体" w:hAnsi="宋体" w:cs="宋体"/>
                <w:color w:val="auto"/>
                <w:sz w:val="24"/>
                <w:szCs w:val="24"/>
                <w:highlight w:val="none"/>
                <w:lang w:bidi="ar"/>
              </w:rPr>
              <w:t>包括但不限于：配套灯钩、保险绳、号码牌、防尘插头插座、各类转接线、电缆桥架、穿线管等完成本系统所需的配件材料。须列出主要配件的具体品牌、型号、数量</w:t>
            </w:r>
          </w:p>
        </w:tc>
        <w:tc>
          <w:tcPr>
            <w:tcW w:w="643" w:type="dxa"/>
            <w:shd w:val="clear" w:color="auto" w:fill="auto"/>
            <w:vAlign w:val="center"/>
          </w:tcPr>
          <w:p w14:paraId="7D1CC73F">
            <w:pPr>
              <w:jc w:val="center"/>
              <w:textAlignment w:val="center"/>
              <w:rPr>
                <w:rFonts w:ascii="宋体" w:hAnsi="宋体" w:eastAsia="宋体" w:cs="宋体"/>
                <w:color w:val="auto"/>
                <w:sz w:val="24"/>
                <w:szCs w:val="24"/>
                <w:highlight w:val="none"/>
                <w:u w:color="000000"/>
                <w:lang w:val="en-US" w:eastAsia="zh-CN" w:bidi="ar-SA"/>
              </w:rPr>
            </w:pPr>
            <w:r>
              <w:rPr>
                <w:rFonts w:hint="eastAsia" w:ascii="宋体" w:hAnsi="宋体" w:cs="宋体"/>
                <w:color w:val="auto"/>
                <w:sz w:val="24"/>
                <w:szCs w:val="24"/>
                <w:highlight w:val="none"/>
                <w:lang w:bidi="ar"/>
              </w:rPr>
              <w:t>1批</w:t>
            </w:r>
          </w:p>
        </w:tc>
        <w:tc>
          <w:tcPr>
            <w:tcW w:w="850" w:type="dxa"/>
            <w:vMerge w:val="continue"/>
          </w:tcPr>
          <w:p w14:paraId="28B9152C">
            <w:pPr>
              <w:spacing w:line="360" w:lineRule="auto"/>
              <w:jc w:val="center"/>
              <w:rPr>
                <w:color w:val="auto"/>
                <w:sz w:val="24"/>
                <w:szCs w:val="24"/>
                <w:highlight w:val="none"/>
              </w:rPr>
            </w:pPr>
          </w:p>
        </w:tc>
      </w:tr>
      <w:tr w14:paraId="1389A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3" w:hRule="atLeast"/>
        </w:trPr>
        <w:tc>
          <w:tcPr>
            <w:tcW w:w="311" w:type="dxa"/>
            <w:shd w:val="clear" w:color="auto" w:fill="auto"/>
            <w:vAlign w:val="center"/>
          </w:tcPr>
          <w:p w14:paraId="728A5142">
            <w:pPr>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18</w:t>
            </w:r>
          </w:p>
        </w:tc>
        <w:tc>
          <w:tcPr>
            <w:tcW w:w="1080" w:type="dxa"/>
            <w:shd w:val="clear" w:color="auto" w:fill="auto"/>
            <w:tcMar>
              <w:top w:w="15" w:type="dxa"/>
              <w:left w:w="15" w:type="dxa"/>
              <w:bottom w:w="0" w:type="dxa"/>
              <w:right w:w="15" w:type="dxa"/>
            </w:tcMar>
            <w:vAlign w:val="center"/>
          </w:tcPr>
          <w:p w14:paraId="4291BEAA">
            <w:pPr>
              <w:jc w:val="center"/>
              <w:textAlignment w:val="center"/>
              <w:rPr>
                <w:rFonts w:ascii="宋体" w:hAnsi="宋体" w:eastAsia="宋体" w:cs="宋体"/>
                <w:color w:val="auto"/>
                <w:sz w:val="24"/>
                <w:szCs w:val="24"/>
                <w:highlight w:val="none"/>
                <w:u w:color="000000"/>
                <w:lang w:val="en-US" w:eastAsia="zh-CN" w:bidi="ar-SA"/>
              </w:rPr>
            </w:pPr>
            <w:r>
              <w:rPr>
                <w:rFonts w:hint="eastAsia" w:ascii="宋体" w:hAnsi="宋体" w:cs="宋体"/>
                <w:color w:val="auto"/>
                <w:sz w:val="24"/>
                <w:szCs w:val="24"/>
                <w:highlight w:val="none"/>
                <w:lang w:bidi="ar"/>
              </w:rPr>
              <w:t>面光、逆光灯吊杆</w:t>
            </w:r>
          </w:p>
        </w:tc>
        <w:tc>
          <w:tcPr>
            <w:tcW w:w="6187" w:type="dxa"/>
            <w:shd w:val="clear" w:color="auto" w:fill="auto"/>
            <w:vAlign w:val="center"/>
          </w:tcPr>
          <w:p w14:paraId="56B73856">
            <w:pPr>
              <w:jc w:val="left"/>
              <w:textAlignment w:val="center"/>
              <w:rPr>
                <w:rFonts w:ascii="宋体" w:hAnsi="宋体" w:eastAsia="宋体" w:cs="宋体"/>
                <w:color w:val="auto"/>
                <w:sz w:val="24"/>
                <w:szCs w:val="24"/>
                <w:highlight w:val="none"/>
                <w:u w:color="000000"/>
                <w:lang w:val="en-US" w:eastAsia="zh-CN" w:bidi="ar-SA"/>
              </w:rPr>
            </w:pPr>
            <w:r>
              <w:rPr>
                <w:rFonts w:hint="eastAsia" w:ascii="宋体" w:hAnsi="宋体" w:cs="宋体"/>
                <w:color w:val="auto"/>
                <w:sz w:val="24"/>
                <w:szCs w:val="24"/>
                <w:highlight w:val="none"/>
                <w:lang w:bidi="ar"/>
              </w:rPr>
              <w:t>吊杆长：13米双排杆，承重≥600KG，吊点数量：≥4个，每根灯杆4回路，4kw/回路，4个16A防尘插座/回路，2路DMX512信号（3芯XRL插座）</w:t>
            </w:r>
          </w:p>
        </w:tc>
        <w:tc>
          <w:tcPr>
            <w:tcW w:w="643" w:type="dxa"/>
            <w:shd w:val="clear" w:color="auto" w:fill="auto"/>
            <w:vAlign w:val="center"/>
          </w:tcPr>
          <w:p w14:paraId="3462D46E">
            <w:pPr>
              <w:jc w:val="center"/>
              <w:textAlignment w:val="center"/>
              <w:rPr>
                <w:rFonts w:ascii="宋体" w:hAnsi="宋体" w:eastAsia="宋体" w:cs="宋体"/>
                <w:color w:val="auto"/>
                <w:sz w:val="24"/>
                <w:szCs w:val="24"/>
                <w:highlight w:val="none"/>
                <w:u w:color="000000"/>
                <w:lang w:val="en-US" w:eastAsia="zh-CN" w:bidi="ar-SA"/>
              </w:rPr>
            </w:pPr>
            <w:r>
              <w:rPr>
                <w:rFonts w:hint="eastAsia" w:ascii="宋体" w:hAnsi="宋体" w:cs="宋体"/>
                <w:color w:val="auto"/>
                <w:sz w:val="24"/>
                <w:szCs w:val="24"/>
                <w:highlight w:val="none"/>
                <w:lang w:bidi="ar"/>
              </w:rPr>
              <w:t>4根</w:t>
            </w:r>
          </w:p>
        </w:tc>
        <w:tc>
          <w:tcPr>
            <w:tcW w:w="850" w:type="dxa"/>
            <w:vMerge w:val="continue"/>
          </w:tcPr>
          <w:p w14:paraId="76F8A952">
            <w:pPr>
              <w:spacing w:line="360" w:lineRule="auto"/>
              <w:jc w:val="center"/>
              <w:rPr>
                <w:color w:val="auto"/>
                <w:sz w:val="24"/>
                <w:szCs w:val="24"/>
                <w:highlight w:val="none"/>
              </w:rPr>
            </w:pPr>
          </w:p>
        </w:tc>
      </w:tr>
      <w:tr w14:paraId="7E710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5" w:hRule="atLeast"/>
        </w:trPr>
        <w:tc>
          <w:tcPr>
            <w:tcW w:w="311" w:type="dxa"/>
            <w:shd w:val="clear" w:color="auto" w:fill="auto"/>
            <w:vAlign w:val="center"/>
          </w:tcPr>
          <w:p w14:paraId="6951E29E">
            <w:pPr>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19</w:t>
            </w:r>
          </w:p>
        </w:tc>
        <w:tc>
          <w:tcPr>
            <w:tcW w:w="1080" w:type="dxa"/>
            <w:shd w:val="clear" w:color="auto" w:fill="auto"/>
            <w:tcMar>
              <w:top w:w="15" w:type="dxa"/>
              <w:left w:w="15" w:type="dxa"/>
              <w:bottom w:w="0" w:type="dxa"/>
              <w:right w:w="15" w:type="dxa"/>
            </w:tcMar>
            <w:vAlign w:val="center"/>
          </w:tcPr>
          <w:p w14:paraId="67582099">
            <w:pPr>
              <w:jc w:val="center"/>
              <w:textAlignment w:val="center"/>
              <w:rPr>
                <w:rFonts w:ascii="宋体" w:hAnsi="宋体" w:eastAsia="宋体" w:cs="宋体"/>
                <w:color w:val="auto"/>
                <w:sz w:val="24"/>
                <w:szCs w:val="24"/>
                <w:highlight w:val="none"/>
                <w:u w:color="000000"/>
                <w:lang w:val="en-US" w:eastAsia="zh-CN" w:bidi="ar-SA"/>
              </w:rPr>
            </w:pPr>
            <w:r>
              <w:rPr>
                <w:rFonts w:hint="eastAsia" w:ascii="宋体" w:hAnsi="宋体" w:cs="宋体"/>
                <w:color w:val="auto"/>
                <w:sz w:val="24"/>
                <w:szCs w:val="24"/>
                <w:highlight w:val="none"/>
                <w:lang w:bidi="ar"/>
              </w:rPr>
              <w:t>顶、逆光灯吊杆</w:t>
            </w:r>
          </w:p>
        </w:tc>
        <w:tc>
          <w:tcPr>
            <w:tcW w:w="6187" w:type="dxa"/>
            <w:shd w:val="clear" w:color="auto" w:fill="auto"/>
            <w:vAlign w:val="center"/>
          </w:tcPr>
          <w:p w14:paraId="7AF29F62">
            <w:pPr>
              <w:jc w:val="left"/>
              <w:textAlignment w:val="center"/>
              <w:rPr>
                <w:rFonts w:ascii="宋体" w:hAnsi="宋体" w:eastAsia="宋体" w:cs="宋体"/>
                <w:color w:val="auto"/>
                <w:sz w:val="24"/>
                <w:szCs w:val="24"/>
                <w:highlight w:val="none"/>
                <w:u w:color="000000"/>
                <w:lang w:val="en-US" w:eastAsia="zh-CN" w:bidi="ar-SA"/>
              </w:rPr>
            </w:pPr>
            <w:r>
              <w:rPr>
                <w:rFonts w:hint="eastAsia" w:ascii="宋体" w:hAnsi="宋体" w:cs="宋体"/>
                <w:color w:val="auto"/>
                <w:sz w:val="24"/>
                <w:szCs w:val="24"/>
                <w:highlight w:val="none"/>
                <w:lang w:bidi="ar"/>
              </w:rPr>
              <w:t>吊杆长：12米双排杆，承重≥600KG，吊点数量：≥4个，每根灯杆4回路，4kw/回路，4个16A防尘插座/回路，2路DMX512信号（3芯XRL插座）</w:t>
            </w:r>
          </w:p>
        </w:tc>
        <w:tc>
          <w:tcPr>
            <w:tcW w:w="643" w:type="dxa"/>
            <w:shd w:val="clear" w:color="auto" w:fill="auto"/>
            <w:vAlign w:val="center"/>
          </w:tcPr>
          <w:p w14:paraId="30A4B9D3">
            <w:pPr>
              <w:jc w:val="center"/>
              <w:textAlignment w:val="center"/>
              <w:rPr>
                <w:rFonts w:ascii="宋体" w:hAnsi="宋体" w:eastAsia="宋体" w:cs="宋体"/>
                <w:color w:val="auto"/>
                <w:sz w:val="24"/>
                <w:szCs w:val="24"/>
                <w:highlight w:val="none"/>
                <w:u w:color="000000"/>
                <w:lang w:val="en-US" w:eastAsia="zh-CN" w:bidi="ar-SA"/>
              </w:rPr>
            </w:pPr>
            <w:r>
              <w:rPr>
                <w:rFonts w:hint="eastAsia" w:ascii="宋体" w:hAnsi="宋体" w:cs="宋体"/>
                <w:color w:val="auto"/>
                <w:sz w:val="24"/>
                <w:szCs w:val="24"/>
                <w:highlight w:val="none"/>
                <w:lang w:bidi="ar"/>
              </w:rPr>
              <w:t>2根</w:t>
            </w:r>
          </w:p>
        </w:tc>
        <w:tc>
          <w:tcPr>
            <w:tcW w:w="850" w:type="dxa"/>
            <w:vMerge w:val="continue"/>
          </w:tcPr>
          <w:p w14:paraId="1914E152">
            <w:pPr>
              <w:spacing w:line="360" w:lineRule="auto"/>
              <w:jc w:val="center"/>
              <w:rPr>
                <w:color w:val="auto"/>
                <w:sz w:val="24"/>
                <w:szCs w:val="24"/>
                <w:highlight w:val="none"/>
              </w:rPr>
            </w:pPr>
          </w:p>
        </w:tc>
      </w:tr>
      <w:tr w14:paraId="2412D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8" w:hRule="atLeast"/>
        </w:trPr>
        <w:tc>
          <w:tcPr>
            <w:tcW w:w="311" w:type="dxa"/>
            <w:shd w:val="clear" w:color="auto" w:fill="auto"/>
            <w:vAlign w:val="center"/>
          </w:tcPr>
          <w:p w14:paraId="75115FD5">
            <w:pPr>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20</w:t>
            </w:r>
          </w:p>
        </w:tc>
        <w:tc>
          <w:tcPr>
            <w:tcW w:w="1080" w:type="dxa"/>
            <w:shd w:val="clear" w:color="auto" w:fill="auto"/>
            <w:tcMar>
              <w:top w:w="15" w:type="dxa"/>
              <w:left w:w="15" w:type="dxa"/>
              <w:bottom w:w="0" w:type="dxa"/>
              <w:right w:w="15" w:type="dxa"/>
            </w:tcMar>
            <w:vAlign w:val="center"/>
          </w:tcPr>
          <w:p w14:paraId="3262D18B">
            <w:pPr>
              <w:jc w:val="center"/>
              <w:textAlignment w:val="center"/>
              <w:rPr>
                <w:rFonts w:ascii="宋体" w:hAnsi="宋体" w:eastAsia="宋体" w:cs="宋体"/>
                <w:color w:val="auto"/>
                <w:sz w:val="24"/>
                <w:szCs w:val="24"/>
                <w:highlight w:val="none"/>
                <w:u w:color="000000"/>
                <w:lang w:val="en-US" w:eastAsia="zh-CN" w:bidi="ar-SA"/>
              </w:rPr>
            </w:pPr>
            <w:r>
              <w:rPr>
                <w:rFonts w:hint="eastAsia" w:ascii="宋体" w:hAnsi="宋体" w:cs="宋体"/>
                <w:color w:val="auto"/>
                <w:sz w:val="24"/>
                <w:szCs w:val="24"/>
                <w:highlight w:val="none"/>
                <w:lang w:bidi="ar"/>
              </w:rPr>
              <w:t>顶、逆、侧光灯吊杆</w:t>
            </w:r>
          </w:p>
        </w:tc>
        <w:tc>
          <w:tcPr>
            <w:tcW w:w="6187" w:type="dxa"/>
            <w:shd w:val="clear" w:color="auto" w:fill="auto"/>
            <w:vAlign w:val="center"/>
          </w:tcPr>
          <w:p w14:paraId="52983723">
            <w:pPr>
              <w:jc w:val="left"/>
              <w:textAlignment w:val="center"/>
              <w:rPr>
                <w:rFonts w:ascii="宋体" w:hAnsi="宋体" w:eastAsia="宋体" w:cs="宋体"/>
                <w:color w:val="auto"/>
                <w:sz w:val="24"/>
                <w:szCs w:val="24"/>
                <w:highlight w:val="none"/>
                <w:u w:color="000000"/>
                <w:lang w:val="en-US" w:eastAsia="zh-CN" w:bidi="ar-SA"/>
              </w:rPr>
            </w:pPr>
            <w:r>
              <w:rPr>
                <w:rFonts w:hint="eastAsia" w:ascii="宋体" w:hAnsi="宋体" w:cs="宋体"/>
                <w:color w:val="auto"/>
                <w:sz w:val="24"/>
                <w:szCs w:val="24"/>
                <w:highlight w:val="none"/>
                <w:lang w:bidi="ar"/>
              </w:rPr>
              <w:t>吊杆长：10米双排杆，承重≥600KG，吊点数量：≥4个，每根灯杆4回路，4kw/回路，4个16A防尘插座/回路，2路DMX512信号（3芯XRL插座）</w:t>
            </w:r>
          </w:p>
        </w:tc>
        <w:tc>
          <w:tcPr>
            <w:tcW w:w="643" w:type="dxa"/>
            <w:shd w:val="clear" w:color="auto" w:fill="auto"/>
            <w:vAlign w:val="center"/>
          </w:tcPr>
          <w:p w14:paraId="0ADF8B17">
            <w:pPr>
              <w:jc w:val="center"/>
              <w:textAlignment w:val="center"/>
              <w:rPr>
                <w:rFonts w:ascii="宋体" w:hAnsi="宋体" w:eastAsia="宋体" w:cs="宋体"/>
                <w:color w:val="auto"/>
                <w:sz w:val="24"/>
                <w:szCs w:val="24"/>
                <w:highlight w:val="none"/>
                <w:u w:color="000000"/>
                <w:lang w:val="en-US" w:eastAsia="zh-CN" w:bidi="ar-SA"/>
              </w:rPr>
            </w:pPr>
            <w:r>
              <w:rPr>
                <w:rFonts w:hint="eastAsia" w:ascii="宋体" w:hAnsi="宋体" w:cs="宋体"/>
                <w:color w:val="auto"/>
                <w:sz w:val="24"/>
                <w:szCs w:val="24"/>
                <w:highlight w:val="none"/>
                <w:lang w:bidi="ar"/>
              </w:rPr>
              <w:t>5根</w:t>
            </w:r>
          </w:p>
        </w:tc>
        <w:tc>
          <w:tcPr>
            <w:tcW w:w="850" w:type="dxa"/>
            <w:vMerge w:val="continue"/>
          </w:tcPr>
          <w:p w14:paraId="49199A0F">
            <w:pPr>
              <w:spacing w:line="360" w:lineRule="auto"/>
              <w:jc w:val="center"/>
              <w:rPr>
                <w:color w:val="auto"/>
                <w:sz w:val="24"/>
                <w:szCs w:val="24"/>
                <w:highlight w:val="none"/>
              </w:rPr>
            </w:pPr>
          </w:p>
        </w:tc>
      </w:tr>
      <w:tr w14:paraId="5AFB5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trPr>
        <w:tc>
          <w:tcPr>
            <w:tcW w:w="311" w:type="dxa"/>
            <w:shd w:val="clear" w:color="auto" w:fill="auto"/>
            <w:vAlign w:val="center"/>
          </w:tcPr>
          <w:p w14:paraId="3F3AF7A1">
            <w:pPr>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21</w:t>
            </w:r>
          </w:p>
        </w:tc>
        <w:tc>
          <w:tcPr>
            <w:tcW w:w="1080" w:type="dxa"/>
            <w:shd w:val="clear" w:color="auto" w:fill="auto"/>
            <w:tcMar>
              <w:top w:w="15" w:type="dxa"/>
              <w:left w:w="15" w:type="dxa"/>
              <w:bottom w:w="0" w:type="dxa"/>
              <w:right w:w="15" w:type="dxa"/>
            </w:tcMar>
            <w:vAlign w:val="center"/>
          </w:tcPr>
          <w:p w14:paraId="3AC3F054">
            <w:pPr>
              <w:jc w:val="center"/>
              <w:textAlignment w:val="center"/>
              <w:rPr>
                <w:rFonts w:ascii="宋体" w:hAnsi="宋体" w:eastAsia="宋体" w:cs="宋体"/>
                <w:color w:val="auto"/>
                <w:sz w:val="24"/>
                <w:szCs w:val="24"/>
                <w:highlight w:val="none"/>
                <w:u w:color="000000"/>
                <w:lang w:val="en-US" w:eastAsia="zh-CN" w:bidi="ar-SA"/>
              </w:rPr>
            </w:pPr>
            <w:r>
              <w:rPr>
                <w:rFonts w:hint="eastAsia" w:ascii="宋体" w:hAnsi="宋体" w:cs="宋体"/>
                <w:color w:val="auto"/>
                <w:sz w:val="24"/>
                <w:szCs w:val="24"/>
                <w:highlight w:val="none"/>
                <w:lang w:bidi="ar"/>
              </w:rPr>
              <w:t>面光灯吊杆</w:t>
            </w:r>
          </w:p>
        </w:tc>
        <w:tc>
          <w:tcPr>
            <w:tcW w:w="6187" w:type="dxa"/>
            <w:shd w:val="clear" w:color="auto" w:fill="auto"/>
            <w:vAlign w:val="center"/>
          </w:tcPr>
          <w:p w14:paraId="2AF2F9FF">
            <w:pPr>
              <w:jc w:val="left"/>
              <w:textAlignment w:val="center"/>
              <w:rPr>
                <w:rFonts w:ascii="宋体" w:hAnsi="宋体" w:eastAsia="宋体" w:cs="宋体"/>
                <w:color w:val="auto"/>
                <w:sz w:val="24"/>
                <w:szCs w:val="24"/>
                <w:highlight w:val="none"/>
                <w:u w:color="000000"/>
                <w:lang w:val="en-US" w:eastAsia="zh-CN" w:bidi="ar-SA"/>
              </w:rPr>
            </w:pPr>
            <w:r>
              <w:rPr>
                <w:rFonts w:hint="eastAsia" w:ascii="宋体" w:hAnsi="宋体" w:cs="宋体"/>
                <w:color w:val="auto"/>
                <w:sz w:val="24"/>
                <w:szCs w:val="24"/>
                <w:highlight w:val="none"/>
                <w:lang w:bidi="ar"/>
              </w:rPr>
              <w:t>吊杆长：6米双排杆，承重≥400KG，吊点数量：≥3个，每根灯杆2回路，4kw/回路，4个16A防尘插座/回路，1路DMX512信号（3芯XRL插座）</w:t>
            </w:r>
          </w:p>
        </w:tc>
        <w:tc>
          <w:tcPr>
            <w:tcW w:w="643" w:type="dxa"/>
            <w:shd w:val="clear" w:color="auto" w:fill="auto"/>
            <w:vAlign w:val="center"/>
          </w:tcPr>
          <w:p w14:paraId="76CDCB06">
            <w:pPr>
              <w:jc w:val="center"/>
              <w:textAlignment w:val="center"/>
              <w:rPr>
                <w:rFonts w:ascii="宋体" w:hAnsi="宋体" w:eastAsia="宋体" w:cs="宋体"/>
                <w:color w:val="auto"/>
                <w:sz w:val="24"/>
                <w:szCs w:val="24"/>
                <w:highlight w:val="none"/>
                <w:u w:color="000000"/>
                <w:lang w:val="en-US" w:eastAsia="zh-CN" w:bidi="ar-SA"/>
              </w:rPr>
            </w:pPr>
            <w:r>
              <w:rPr>
                <w:rFonts w:hint="eastAsia" w:ascii="宋体" w:hAnsi="宋体" w:cs="宋体"/>
                <w:color w:val="auto"/>
                <w:sz w:val="24"/>
                <w:szCs w:val="24"/>
                <w:highlight w:val="none"/>
                <w:lang w:bidi="ar"/>
              </w:rPr>
              <w:t>2根</w:t>
            </w:r>
          </w:p>
        </w:tc>
        <w:tc>
          <w:tcPr>
            <w:tcW w:w="850" w:type="dxa"/>
            <w:vMerge w:val="continue"/>
          </w:tcPr>
          <w:p w14:paraId="0D4196BB">
            <w:pPr>
              <w:spacing w:line="360" w:lineRule="auto"/>
              <w:jc w:val="center"/>
              <w:rPr>
                <w:color w:val="auto"/>
                <w:sz w:val="24"/>
                <w:szCs w:val="24"/>
                <w:highlight w:val="none"/>
              </w:rPr>
            </w:pPr>
          </w:p>
        </w:tc>
      </w:tr>
      <w:tr w14:paraId="49AE4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atLeast"/>
        </w:trPr>
        <w:tc>
          <w:tcPr>
            <w:tcW w:w="311" w:type="dxa"/>
            <w:shd w:val="clear" w:color="auto" w:fill="auto"/>
            <w:vAlign w:val="center"/>
          </w:tcPr>
          <w:p w14:paraId="21C7080A">
            <w:pPr>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22</w:t>
            </w:r>
          </w:p>
        </w:tc>
        <w:tc>
          <w:tcPr>
            <w:tcW w:w="1080" w:type="dxa"/>
            <w:shd w:val="clear" w:color="auto" w:fill="auto"/>
            <w:tcMar>
              <w:top w:w="15" w:type="dxa"/>
              <w:left w:w="15" w:type="dxa"/>
              <w:bottom w:w="0" w:type="dxa"/>
              <w:right w:w="15" w:type="dxa"/>
            </w:tcMar>
            <w:vAlign w:val="center"/>
          </w:tcPr>
          <w:p w14:paraId="7BCC32E9">
            <w:pPr>
              <w:jc w:val="center"/>
              <w:textAlignment w:val="center"/>
              <w:rPr>
                <w:rFonts w:ascii="宋体" w:hAnsi="宋体" w:eastAsia="宋体" w:cs="宋体"/>
                <w:color w:val="auto"/>
                <w:sz w:val="24"/>
                <w:szCs w:val="24"/>
                <w:highlight w:val="none"/>
                <w:u w:color="000000"/>
                <w:lang w:val="en-US" w:eastAsia="zh-CN" w:bidi="ar-SA"/>
              </w:rPr>
            </w:pPr>
            <w:r>
              <w:rPr>
                <w:rFonts w:hint="eastAsia" w:ascii="宋体" w:hAnsi="宋体" w:cs="宋体"/>
                <w:color w:val="auto"/>
                <w:sz w:val="24"/>
                <w:szCs w:val="24"/>
                <w:highlight w:val="none"/>
                <w:lang w:bidi="ar"/>
              </w:rPr>
              <w:t>耳光灯吊杆</w:t>
            </w:r>
          </w:p>
        </w:tc>
        <w:tc>
          <w:tcPr>
            <w:tcW w:w="6187" w:type="dxa"/>
            <w:shd w:val="clear" w:color="auto" w:fill="auto"/>
            <w:vAlign w:val="center"/>
          </w:tcPr>
          <w:p w14:paraId="367C8E2B">
            <w:pPr>
              <w:jc w:val="left"/>
              <w:textAlignment w:val="center"/>
              <w:rPr>
                <w:rFonts w:ascii="宋体" w:hAnsi="宋体" w:eastAsia="宋体" w:cs="宋体"/>
                <w:color w:val="auto"/>
                <w:sz w:val="24"/>
                <w:szCs w:val="24"/>
                <w:highlight w:val="none"/>
                <w:u w:color="000000"/>
                <w:lang w:val="en-US" w:eastAsia="zh-CN" w:bidi="ar-SA"/>
              </w:rPr>
            </w:pPr>
            <w:r>
              <w:rPr>
                <w:rFonts w:hint="eastAsia" w:ascii="宋体" w:hAnsi="宋体" w:cs="宋体"/>
                <w:color w:val="auto"/>
                <w:sz w:val="24"/>
                <w:szCs w:val="24"/>
                <w:highlight w:val="none"/>
                <w:lang w:bidi="ar"/>
              </w:rPr>
              <w:t>吊杆长：5米双排杆，承重≥400KG，吊点数量：≥3个，每根灯杆2回路，4kw/回路，4个16A防尘插座/回路，1路DMX512信号（3芯XRL插座）</w:t>
            </w:r>
          </w:p>
        </w:tc>
        <w:tc>
          <w:tcPr>
            <w:tcW w:w="643" w:type="dxa"/>
            <w:shd w:val="clear" w:color="auto" w:fill="auto"/>
            <w:vAlign w:val="center"/>
          </w:tcPr>
          <w:p w14:paraId="09458342">
            <w:pPr>
              <w:jc w:val="center"/>
              <w:textAlignment w:val="center"/>
              <w:rPr>
                <w:rFonts w:ascii="宋体" w:hAnsi="宋体" w:eastAsia="宋体" w:cs="宋体"/>
                <w:color w:val="auto"/>
                <w:sz w:val="24"/>
                <w:szCs w:val="24"/>
                <w:highlight w:val="none"/>
                <w:u w:color="000000"/>
                <w:lang w:val="en-US" w:eastAsia="zh-CN" w:bidi="ar-SA"/>
              </w:rPr>
            </w:pPr>
            <w:r>
              <w:rPr>
                <w:rFonts w:hint="eastAsia" w:ascii="宋体" w:hAnsi="宋体" w:cs="宋体"/>
                <w:color w:val="auto"/>
                <w:sz w:val="24"/>
                <w:szCs w:val="24"/>
                <w:highlight w:val="none"/>
                <w:lang w:bidi="ar"/>
              </w:rPr>
              <w:t>2根</w:t>
            </w:r>
          </w:p>
        </w:tc>
        <w:tc>
          <w:tcPr>
            <w:tcW w:w="850" w:type="dxa"/>
            <w:vMerge w:val="continue"/>
          </w:tcPr>
          <w:p w14:paraId="7176C91D">
            <w:pPr>
              <w:spacing w:line="360" w:lineRule="auto"/>
              <w:jc w:val="center"/>
              <w:rPr>
                <w:color w:val="auto"/>
                <w:sz w:val="24"/>
                <w:szCs w:val="24"/>
                <w:highlight w:val="none"/>
              </w:rPr>
            </w:pPr>
          </w:p>
        </w:tc>
      </w:tr>
      <w:tr w14:paraId="3FE3C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trPr>
        <w:tc>
          <w:tcPr>
            <w:tcW w:w="311" w:type="dxa"/>
            <w:shd w:val="clear" w:color="auto" w:fill="auto"/>
            <w:vAlign w:val="center"/>
          </w:tcPr>
          <w:p w14:paraId="76DA6026">
            <w:pPr>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23</w:t>
            </w:r>
          </w:p>
        </w:tc>
        <w:tc>
          <w:tcPr>
            <w:tcW w:w="1080" w:type="dxa"/>
            <w:shd w:val="clear" w:color="auto" w:fill="auto"/>
            <w:tcMar>
              <w:top w:w="15" w:type="dxa"/>
              <w:left w:w="15" w:type="dxa"/>
              <w:bottom w:w="0" w:type="dxa"/>
              <w:right w:w="15" w:type="dxa"/>
            </w:tcMar>
            <w:vAlign w:val="center"/>
          </w:tcPr>
          <w:p w14:paraId="69CFB98A">
            <w:pPr>
              <w:jc w:val="center"/>
              <w:textAlignment w:val="center"/>
              <w:rPr>
                <w:rFonts w:ascii="宋体" w:hAnsi="宋体" w:eastAsia="宋体" w:cs="宋体"/>
                <w:color w:val="auto"/>
                <w:sz w:val="24"/>
                <w:szCs w:val="24"/>
                <w:highlight w:val="none"/>
                <w:u w:color="000000"/>
                <w:lang w:val="en-US" w:eastAsia="zh-CN" w:bidi="ar-SA"/>
              </w:rPr>
            </w:pPr>
            <w:r>
              <w:rPr>
                <w:rFonts w:hint="eastAsia" w:ascii="宋体" w:hAnsi="宋体" w:cs="宋体"/>
                <w:color w:val="auto"/>
                <w:sz w:val="24"/>
                <w:szCs w:val="24"/>
                <w:highlight w:val="none"/>
                <w:lang w:bidi="ar"/>
              </w:rPr>
              <w:t>面光灯吊杆</w:t>
            </w:r>
          </w:p>
        </w:tc>
        <w:tc>
          <w:tcPr>
            <w:tcW w:w="6187" w:type="dxa"/>
            <w:shd w:val="clear" w:color="auto" w:fill="auto"/>
            <w:vAlign w:val="center"/>
          </w:tcPr>
          <w:p w14:paraId="5D49672D">
            <w:pPr>
              <w:jc w:val="left"/>
              <w:textAlignment w:val="center"/>
              <w:rPr>
                <w:rFonts w:ascii="宋体" w:hAnsi="宋体" w:eastAsia="宋体" w:cs="宋体"/>
                <w:color w:val="auto"/>
                <w:sz w:val="24"/>
                <w:szCs w:val="24"/>
                <w:highlight w:val="none"/>
                <w:u w:color="000000"/>
                <w:lang w:val="en-US" w:eastAsia="zh-CN" w:bidi="ar-SA"/>
              </w:rPr>
            </w:pPr>
            <w:r>
              <w:rPr>
                <w:rFonts w:hint="eastAsia" w:ascii="宋体" w:hAnsi="宋体" w:cs="宋体"/>
                <w:color w:val="auto"/>
                <w:sz w:val="24"/>
                <w:szCs w:val="24"/>
                <w:highlight w:val="none"/>
                <w:lang w:bidi="ar"/>
              </w:rPr>
              <w:t>吊杆长：4米双排杆，承重≥400KG，吊点数量：≥3个，每根灯杆2回路，4kw/回路，4个16A防尘插座/回路，1路DMX512信号（3芯XRL插座）</w:t>
            </w:r>
          </w:p>
        </w:tc>
        <w:tc>
          <w:tcPr>
            <w:tcW w:w="643" w:type="dxa"/>
            <w:shd w:val="clear" w:color="auto" w:fill="auto"/>
            <w:vAlign w:val="center"/>
          </w:tcPr>
          <w:p w14:paraId="5A937545">
            <w:pPr>
              <w:jc w:val="center"/>
              <w:textAlignment w:val="center"/>
              <w:rPr>
                <w:rFonts w:ascii="宋体" w:hAnsi="宋体" w:eastAsia="宋体" w:cs="宋体"/>
                <w:color w:val="auto"/>
                <w:sz w:val="24"/>
                <w:szCs w:val="24"/>
                <w:highlight w:val="none"/>
                <w:u w:color="000000"/>
                <w:lang w:val="en-US" w:eastAsia="zh-CN" w:bidi="ar-SA"/>
              </w:rPr>
            </w:pPr>
            <w:r>
              <w:rPr>
                <w:rFonts w:hint="eastAsia" w:ascii="宋体" w:hAnsi="宋体" w:cs="宋体"/>
                <w:color w:val="auto"/>
                <w:sz w:val="24"/>
                <w:szCs w:val="24"/>
                <w:highlight w:val="none"/>
                <w:lang w:bidi="ar"/>
              </w:rPr>
              <w:t>3根</w:t>
            </w:r>
          </w:p>
        </w:tc>
        <w:tc>
          <w:tcPr>
            <w:tcW w:w="850" w:type="dxa"/>
            <w:vMerge w:val="continue"/>
          </w:tcPr>
          <w:p w14:paraId="3877D82E">
            <w:pPr>
              <w:spacing w:line="360" w:lineRule="auto"/>
              <w:jc w:val="center"/>
              <w:rPr>
                <w:color w:val="auto"/>
                <w:sz w:val="24"/>
                <w:szCs w:val="24"/>
                <w:highlight w:val="none"/>
              </w:rPr>
            </w:pPr>
          </w:p>
        </w:tc>
      </w:tr>
      <w:tr w14:paraId="5C833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atLeast"/>
        </w:trPr>
        <w:tc>
          <w:tcPr>
            <w:tcW w:w="311" w:type="dxa"/>
            <w:shd w:val="clear" w:color="auto" w:fill="auto"/>
            <w:vAlign w:val="center"/>
          </w:tcPr>
          <w:p w14:paraId="6A4E0B4C">
            <w:pPr>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24</w:t>
            </w:r>
          </w:p>
        </w:tc>
        <w:tc>
          <w:tcPr>
            <w:tcW w:w="1080" w:type="dxa"/>
            <w:shd w:val="clear" w:color="auto" w:fill="auto"/>
            <w:tcMar>
              <w:top w:w="15" w:type="dxa"/>
              <w:left w:w="15" w:type="dxa"/>
              <w:bottom w:w="0" w:type="dxa"/>
              <w:right w:w="15" w:type="dxa"/>
            </w:tcMar>
            <w:vAlign w:val="center"/>
          </w:tcPr>
          <w:p w14:paraId="2771EE01">
            <w:pPr>
              <w:jc w:val="center"/>
              <w:textAlignment w:val="center"/>
              <w:rPr>
                <w:rFonts w:ascii="宋体" w:hAnsi="宋体" w:eastAsia="宋体" w:cs="宋体"/>
                <w:color w:val="auto"/>
                <w:sz w:val="24"/>
                <w:szCs w:val="24"/>
                <w:highlight w:val="none"/>
                <w:u w:color="000000"/>
                <w:lang w:val="en-US" w:eastAsia="zh-CN" w:bidi="ar-SA"/>
              </w:rPr>
            </w:pPr>
            <w:r>
              <w:rPr>
                <w:rFonts w:hint="eastAsia" w:ascii="宋体" w:hAnsi="宋体" w:cs="宋体"/>
                <w:color w:val="auto"/>
                <w:sz w:val="24"/>
                <w:szCs w:val="24"/>
                <w:highlight w:val="none"/>
                <w:lang w:bidi="ar"/>
              </w:rPr>
              <w:t>侧光灯排架</w:t>
            </w:r>
          </w:p>
        </w:tc>
        <w:tc>
          <w:tcPr>
            <w:tcW w:w="6187" w:type="dxa"/>
            <w:shd w:val="clear" w:color="auto" w:fill="auto"/>
            <w:vAlign w:val="center"/>
          </w:tcPr>
          <w:p w14:paraId="48E56031">
            <w:pPr>
              <w:jc w:val="left"/>
              <w:textAlignment w:val="center"/>
              <w:rPr>
                <w:rFonts w:ascii="宋体" w:hAnsi="宋体" w:eastAsia="宋体" w:cs="宋体"/>
                <w:color w:val="auto"/>
                <w:sz w:val="24"/>
                <w:szCs w:val="24"/>
                <w:highlight w:val="none"/>
                <w:u w:color="000000"/>
                <w:lang w:val="en-US" w:eastAsia="zh-CN" w:bidi="ar-SA"/>
              </w:rPr>
            </w:pPr>
            <w:r>
              <w:rPr>
                <w:rFonts w:hint="eastAsia" w:ascii="宋体" w:hAnsi="宋体" w:cs="宋体"/>
                <w:color w:val="auto"/>
                <w:sz w:val="24"/>
                <w:szCs w:val="24"/>
                <w:highlight w:val="none"/>
                <w:lang w:bidi="ar"/>
              </w:rPr>
              <w:t>电动升降加平移设备，定制静音滑轨，滑轨长10米，每套滑轨配备3套2米×1.5米日字型结构灯光吊片</w:t>
            </w:r>
          </w:p>
        </w:tc>
        <w:tc>
          <w:tcPr>
            <w:tcW w:w="643" w:type="dxa"/>
            <w:shd w:val="clear" w:color="auto" w:fill="auto"/>
            <w:vAlign w:val="center"/>
          </w:tcPr>
          <w:p w14:paraId="5454D82B">
            <w:pPr>
              <w:jc w:val="center"/>
              <w:textAlignment w:val="center"/>
              <w:rPr>
                <w:rFonts w:ascii="宋体" w:hAnsi="宋体" w:eastAsia="宋体" w:cs="宋体"/>
                <w:color w:val="auto"/>
                <w:sz w:val="24"/>
                <w:szCs w:val="24"/>
                <w:highlight w:val="none"/>
                <w:u w:color="000000"/>
                <w:lang w:val="en-US" w:eastAsia="zh-CN" w:bidi="ar-SA"/>
              </w:rPr>
            </w:pPr>
            <w:r>
              <w:rPr>
                <w:rFonts w:hint="eastAsia" w:ascii="宋体" w:hAnsi="宋体" w:cs="宋体"/>
                <w:color w:val="auto"/>
                <w:sz w:val="24"/>
                <w:szCs w:val="24"/>
                <w:highlight w:val="none"/>
                <w:lang w:bidi="ar"/>
              </w:rPr>
              <w:t>2套</w:t>
            </w:r>
          </w:p>
        </w:tc>
        <w:tc>
          <w:tcPr>
            <w:tcW w:w="850" w:type="dxa"/>
            <w:vMerge w:val="continue"/>
          </w:tcPr>
          <w:p w14:paraId="26128604">
            <w:pPr>
              <w:spacing w:line="360" w:lineRule="auto"/>
              <w:jc w:val="center"/>
              <w:rPr>
                <w:color w:val="auto"/>
                <w:sz w:val="24"/>
                <w:szCs w:val="24"/>
                <w:highlight w:val="none"/>
              </w:rPr>
            </w:pPr>
          </w:p>
        </w:tc>
      </w:tr>
      <w:tr w14:paraId="2AB4E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3" w:hRule="atLeast"/>
        </w:trPr>
        <w:tc>
          <w:tcPr>
            <w:tcW w:w="311" w:type="dxa"/>
            <w:shd w:val="clear" w:color="auto" w:fill="auto"/>
            <w:vAlign w:val="center"/>
          </w:tcPr>
          <w:p w14:paraId="46FA6127">
            <w:pPr>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25</w:t>
            </w:r>
          </w:p>
        </w:tc>
        <w:tc>
          <w:tcPr>
            <w:tcW w:w="1080" w:type="dxa"/>
            <w:shd w:val="clear" w:color="auto" w:fill="auto"/>
            <w:tcMar>
              <w:top w:w="15" w:type="dxa"/>
              <w:left w:w="15" w:type="dxa"/>
              <w:bottom w:w="0" w:type="dxa"/>
              <w:right w:w="15" w:type="dxa"/>
            </w:tcMar>
            <w:vAlign w:val="center"/>
          </w:tcPr>
          <w:p w14:paraId="3A55C9D2">
            <w:pPr>
              <w:jc w:val="center"/>
              <w:textAlignment w:val="center"/>
              <w:rPr>
                <w:rFonts w:ascii="宋体" w:hAnsi="宋体" w:eastAsia="宋体" w:cs="宋体"/>
                <w:color w:val="auto"/>
                <w:sz w:val="24"/>
                <w:szCs w:val="24"/>
                <w:highlight w:val="none"/>
                <w:u w:color="000000"/>
                <w:lang w:val="en-US" w:eastAsia="zh-CN" w:bidi="ar-SA"/>
              </w:rPr>
            </w:pPr>
            <w:r>
              <w:rPr>
                <w:rFonts w:hint="eastAsia" w:ascii="宋体" w:hAnsi="宋体" w:cs="宋体"/>
                <w:color w:val="auto"/>
                <w:sz w:val="24"/>
                <w:szCs w:val="24"/>
                <w:highlight w:val="none"/>
                <w:lang w:bidi="ar"/>
              </w:rPr>
              <w:t>吊杆/吊机（利旧）</w:t>
            </w:r>
          </w:p>
        </w:tc>
        <w:tc>
          <w:tcPr>
            <w:tcW w:w="6187" w:type="dxa"/>
            <w:shd w:val="clear" w:color="auto" w:fill="auto"/>
            <w:vAlign w:val="center"/>
          </w:tcPr>
          <w:p w14:paraId="53021FE0">
            <w:pPr>
              <w:jc w:val="left"/>
              <w:textAlignment w:val="center"/>
              <w:rPr>
                <w:rFonts w:ascii="宋体" w:hAnsi="宋体" w:eastAsia="宋体" w:cs="宋体"/>
                <w:color w:val="auto"/>
                <w:sz w:val="24"/>
                <w:szCs w:val="24"/>
                <w:highlight w:val="none"/>
                <w:u w:color="000000"/>
                <w:lang w:val="en-US" w:eastAsia="zh-CN" w:bidi="ar-SA"/>
              </w:rPr>
            </w:pPr>
            <w:r>
              <w:rPr>
                <w:rFonts w:hint="eastAsia" w:ascii="宋体" w:hAnsi="宋体" w:cs="宋体"/>
                <w:color w:val="auto"/>
                <w:sz w:val="24"/>
                <w:szCs w:val="24"/>
                <w:highlight w:val="none"/>
                <w:lang w:bidi="ar"/>
              </w:rPr>
              <w:t>原有12米吊杆，4个吊点，2.2KW吊机</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清洁、保养、更换新钢丝绳、扁平电缆、防尘插座，二次安装、调试、接入系统</w:t>
            </w:r>
          </w:p>
        </w:tc>
        <w:tc>
          <w:tcPr>
            <w:tcW w:w="643" w:type="dxa"/>
            <w:shd w:val="clear" w:color="auto" w:fill="auto"/>
            <w:vAlign w:val="center"/>
          </w:tcPr>
          <w:p w14:paraId="701DE6AC">
            <w:pPr>
              <w:jc w:val="center"/>
              <w:textAlignment w:val="center"/>
              <w:rPr>
                <w:rFonts w:ascii="宋体" w:hAnsi="宋体" w:eastAsia="宋体" w:cs="宋体"/>
                <w:color w:val="auto"/>
                <w:sz w:val="24"/>
                <w:szCs w:val="24"/>
                <w:highlight w:val="none"/>
                <w:u w:color="000000"/>
                <w:lang w:val="en-US" w:eastAsia="zh-CN" w:bidi="ar-SA"/>
              </w:rPr>
            </w:pPr>
            <w:r>
              <w:rPr>
                <w:rFonts w:hint="eastAsia" w:ascii="宋体" w:hAnsi="宋体" w:cs="宋体"/>
                <w:color w:val="auto"/>
                <w:sz w:val="24"/>
                <w:szCs w:val="24"/>
                <w:highlight w:val="none"/>
                <w:lang w:bidi="ar"/>
              </w:rPr>
              <w:t>2套</w:t>
            </w:r>
          </w:p>
        </w:tc>
        <w:tc>
          <w:tcPr>
            <w:tcW w:w="850" w:type="dxa"/>
            <w:vMerge w:val="continue"/>
          </w:tcPr>
          <w:p w14:paraId="17D7C01C">
            <w:pPr>
              <w:spacing w:line="360" w:lineRule="auto"/>
              <w:jc w:val="center"/>
              <w:rPr>
                <w:color w:val="auto"/>
                <w:sz w:val="24"/>
                <w:szCs w:val="24"/>
                <w:highlight w:val="none"/>
              </w:rPr>
            </w:pPr>
          </w:p>
        </w:tc>
      </w:tr>
      <w:tr w14:paraId="2264D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6" w:hRule="atLeast"/>
        </w:trPr>
        <w:tc>
          <w:tcPr>
            <w:tcW w:w="311" w:type="dxa"/>
            <w:shd w:val="clear" w:color="auto" w:fill="auto"/>
            <w:vAlign w:val="center"/>
          </w:tcPr>
          <w:p w14:paraId="0C9F98A4">
            <w:pPr>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26</w:t>
            </w:r>
          </w:p>
        </w:tc>
        <w:tc>
          <w:tcPr>
            <w:tcW w:w="1080" w:type="dxa"/>
            <w:shd w:val="clear" w:color="auto" w:fill="auto"/>
            <w:tcMar>
              <w:top w:w="15" w:type="dxa"/>
              <w:left w:w="15" w:type="dxa"/>
              <w:bottom w:w="0" w:type="dxa"/>
              <w:right w:w="15" w:type="dxa"/>
            </w:tcMar>
            <w:vAlign w:val="center"/>
          </w:tcPr>
          <w:p w14:paraId="4F0E147C">
            <w:pPr>
              <w:jc w:val="center"/>
              <w:textAlignment w:val="center"/>
              <w:rPr>
                <w:rFonts w:ascii="宋体" w:hAnsi="宋体" w:eastAsia="宋体" w:cs="宋体"/>
                <w:color w:val="auto"/>
                <w:sz w:val="24"/>
                <w:szCs w:val="24"/>
                <w:highlight w:val="none"/>
                <w:u w:color="000000"/>
                <w:lang w:val="en-US" w:eastAsia="zh-CN" w:bidi="ar-SA"/>
              </w:rPr>
            </w:pPr>
            <w:r>
              <w:rPr>
                <w:rFonts w:hint="eastAsia" w:ascii="宋体" w:hAnsi="宋体" w:cs="宋体"/>
                <w:color w:val="auto"/>
                <w:sz w:val="24"/>
                <w:szCs w:val="24"/>
                <w:highlight w:val="none"/>
                <w:lang w:bidi="ar"/>
              </w:rPr>
              <w:t>灯杆吊机</w:t>
            </w:r>
          </w:p>
        </w:tc>
        <w:tc>
          <w:tcPr>
            <w:tcW w:w="6187" w:type="dxa"/>
            <w:shd w:val="clear" w:color="auto" w:fill="auto"/>
            <w:vAlign w:val="center"/>
          </w:tcPr>
          <w:p w14:paraId="234793E6">
            <w:pPr>
              <w:jc w:val="left"/>
              <w:textAlignment w:val="center"/>
              <w:rPr>
                <w:rFonts w:ascii="宋体" w:hAnsi="宋体" w:eastAsia="宋体" w:cs="宋体"/>
                <w:color w:val="auto"/>
                <w:sz w:val="24"/>
                <w:szCs w:val="24"/>
                <w:highlight w:val="none"/>
                <w:u w:color="000000"/>
                <w:lang w:val="en-US" w:eastAsia="zh-CN" w:bidi="ar-SA"/>
              </w:rPr>
            </w:pPr>
            <w:r>
              <w:rPr>
                <w:rFonts w:hint="eastAsia" w:ascii="宋体" w:hAnsi="宋体" w:cs="宋体"/>
                <w:color w:val="auto"/>
                <w:sz w:val="24"/>
                <w:szCs w:val="24"/>
                <w:highlight w:val="none"/>
                <w:lang w:bidi="ar"/>
              </w:rPr>
              <w:t>出绳数量：≥4个，行程：≥15m，速度：0.02～0.2m/s ，载荷：≥600KG，功率≥2.2KW，螺旋锥齿轮减速机，传动效率≥94%，排线方式：单排绕线式，移动自排绳，带托油盘，定位精度：±3mm，同步精度：±5mm，▲安全措施：上下行程保护，松绳检测、保护，冲顶保护，▲滚筒电镀防腐涂层0.5-10um，含钢丝绳、滑轮、钢丝绳长度调节器等配件</w:t>
            </w:r>
          </w:p>
        </w:tc>
        <w:tc>
          <w:tcPr>
            <w:tcW w:w="643" w:type="dxa"/>
            <w:shd w:val="clear" w:color="auto" w:fill="auto"/>
            <w:vAlign w:val="center"/>
          </w:tcPr>
          <w:p w14:paraId="7251A48C">
            <w:pPr>
              <w:jc w:val="center"/>
              <w:textAlignment w:val="center"/>
              <w:rPr>
                <w:rFonts w:ascii="宋体" w:hAnsi="宋体" w:eastAsia="宋体" w:cs="宋体"/>
                <w:color w:val="auto"/>
                <w:sz w:val="24"/>
                <w:szCs w:val="24"/>
                <w:highlight w:val="none"/>
                <w:u w:color="000000"/>
                <w:lang w:val="en-US" w:eastAsia="zh-CN" w:bidi="ar-SA"/>
              </w:rPr>
            </w:pPr>
            <w:r>
              <w:rPr>
                <w:rFonts w:hint="eastAsia" w:ascii="宋体" w:hAnsi="宋体" w:cs="宋体"/>
                <w:color w:val="auto"/>
                <w:sz w:val="24"/>
                <w:szCs w:val="24"/>
                <w:highlight w:val="none"/>
                <w:lang w:bidi="ar"/>
              </w:rPr>
              <w:t>11套</w:t>
            </w:r>
          </w:p>
        </w:tc>
        <w:tc>
          <w:tcPr>
            <w:tcW w:w="850" w:type="dxa"/>
            <w:vMerge w:val="continue"/>
          </w:tcPr>
          <w:p w14:paraId="204E6AE6">
            <w:pPr>
              <w:spacing w:line="360" w:lineRule="auto"/>
              <w:jc w:val="center"/>
              <w:rPr>
                <w:color w:val="auto"/>
                <w:sz w:val="24"/>
                <w:szCs w:val="24"/>
                <w:highlight w:val="none"/>
              </w:rPr>
            </w:pPr>
          </w:p>
        </w:tc>
      </w:tr>
      <w:tr w14:paraId="340C0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311" w:type="dxa"/>
            <w:shd w:val="clear" w:color="auto" w:fill="auto"/>
            <w:vAlign w:val="center"/>
          </w:tcPr>
          <w:p w14:paraId="2C8BC17A">
            <w:pPr>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27</w:t>
            </w:r>
          </w:p>
        </w:tc>
        <w:tc>
          <w:tcPr>
            <w:tcW w:w="1080" w:type="dxa"/>
            <w:shd w:val="clear" w:color="auto" w:fill="auto"/>
            <w:tcMar>
              <w:top w:w="15" w:type="dxa"/>
              <w:left w:w="15" w:type="dxa"/>
              <w:bottom w:w="0" w:type="dxa"/>
              <w:right w:w="15" w:type="dxa"/>
            </w:tcMar>
            <w:vAlign w:val="center"/>
          </w:tcPr>
          <w:p w14:paraId="6EF6254C">
            <w:pPr>
              <w:jc w:val="center"/>
              <w:textAlignment w:val="center"/>
              <w:rPr>
                <w:rFonts w:ascii="宋体" w:hAnsi="宋体" w:eastAsia="宋体" w:cs="宋体"/>
                <w:color w:val="auto"/>
                <w:sz w:val="24"/>
                <w:szCs w:val="24"/>
                <w:highlight w:val="none"/>
                <w:u w:color="000000"/>
                <w:lang w:val="en-US" w:eastAsia="zh-CN" w:bidi="ar-SA"/>
              </w:rPr>
            </w:pPr>
            <w:r>
              <w:rPr>
                <w:rFonts w:hint="eastAsia" w:ascii="宋体" w:hAnsi="宋体" w:cs="宋体"/>
                <w:color w:val="auto"/>
                <w:sz w:val="24"/>
                <w:szCs w:val="24"/>
                <w:highlight w:val="none"/>
                <w:lang w:bidi="ar"/>
              </w:rPr>
              <w:t>灯杆吊机</w:t>
            </w:r>
          </w:p>
        </w:tc>
        <w:tc>
          <w:tcPr>
            <w:tcW w:w="6187" w:type="dxa"/>
            <w:shd w:val="clear" w:color="auto" w:fill="auto"/>
            <w:vAlign w:val="center"/>
          </w:tcPr>
          <w:p w14:paraId="2EA22255">
            <w:pPr>
              <w:jc w:val="left"/>
              <w:textAlignment w:val="center"/>
              <w:rPr>
                <w:rFonts w:ascii="宋体" w:hAnsi="宋体" w:eastAsia="宋体" w:cs="宋体"/>
                <w:color w:val="auto"/>
                <w:sz w:val="24"/>
                <w:szCs w:val="24"/>
                <w:highlight w:val="none"/>
                <w:u w:color="000000"/>
                <w:lang w:val="en-US" w:eastAsia="zh-CN" w:bidi="ar-SA"/>
              </w:rPr>
            </w:pPr>
            <w:r>
              <w:rPr>
                <w:rFonts w:hint="eastAsia" w:ascii="宋体" w:hAnsi="宋体" w:cs="宋体"/>
                <w:color w:val="auto"/>
                <w:sz w:val="24"/>
                <w:szCs w:val="24"/>
                <w:highlight w:val="none"/>
                <w:lang w:bidi="ar"/>
              </w:rPr>
              <w:t>出绳数量：≥3个，行程：≥15m，速度：0.02～0.2m/s ，载荷：≥400KG，功率≥1.5KW，螺旋锥齿轮减速机，传动效率≥94%，排线方式：单排绕线式，移动自排绳，带托油盘，定位精度：±3mm，同步精度：±5mm，▲安全措施：上下行程保护，松绳检测、保护，冲顶保护，▲滚筒电镀防腐涂层0.5-10um，含钢丝绳、滑轮、钢丝绳长度调节器等配件</w:t>
            </w:r>
          </w:p>
        </w:tc>
        <w:tc>
          <w:tcPr>
            <w:tcW w:w="643" w:type="dxa"/>
            <w:shd w:val="clear" w:color="auto" w:fill="auto"/>
            <w:vAlign w:val="center"/>
          </w:tcPr>
          <w:p w14:paraId="42302973">
            <w:pPr>
              <w:jc w:val="center"/>
              <w:textAlignment w:val="center"/>
              <w:rPr>
                <w:rFonts w:ascii="宋体" w:hAnsi="宋体" w:eastAsia="宋体" w:cs="宋体"/>
                <w:color w:val="auto"/>
                <w:sz w:val="24"/>
                <w:szCs w:val="24"/>
                <w:highlight w:val="none"/>
                <w:u w:color="000000"/>
                <w:lang w:val="en-US" w:eastAsia="zh-CN" w:bidi="ar-SA"/>
              </w:rPr>
            </w:pPr>
            <w:r>
              <w:rPr>
                <w:rFonts w:hint="eastAsia" w:ascii="宋体" w:hAnsi="宋体" w:cs="宋体"/>
                <w:color w:val="auto"/>
                <w:sz w:val="24"/>
                <w:szCs w:val="24"/>
                <w:highlight w:val="none"/>
                <w:lang w:bidi="ar"/>
              </w:rPr>
              <w:t>7套</w:t>
            </w:r>
          </w:p>
        </w:tc>
        <w:tc>
          <w:tcPr>
            <w:tcW w:w="850" w:type="dxa"/>
            <w:vMerge w:val="continue"/>
          </w:tcPr>
          <w:p w14:paraId="04AE6959">
            <w:pPr>
              <w:spacing w:line="360" w:lineRule="auto"/>
              <w:jc w:val="center"/>
              <w:rPr>
                <w:color w:val="auto"/>
                <w:sz w:val="24"/>
                <w:szCs w:val="24"/>
                <w:highlight w:val="none"/>
              </w:rPr>
            </w:pPr>
          </w:p>
        </w:tc>
      </w:tr>
      <w:tr w14:paraId="54E60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2" w:hRule="atLeast"/>
        </w:trPr>
        <w:tc>
          <w:tcPr>
            <w:tcW w:w="311" w:type="dxa"/>
            <w:shd w:val="clear" w:color="auto" w:fill="auto"/>
            <w:vAlign w:val="center"/>
          </w:tcPr>
          <w:p w14:paraId="6ABCFECD">
            <w:pPr>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28</w:t>
            </w:r>
          </w:p>
        </w:tc>
        <w:tc>
          <w:tcPr>
            <w:tcW w:w="1080" w:type="dxa"/>
            <w:shd w:val="clear" w:color="auto" w:fill="auto"/>
            <w:tcMar>
              <w:top w:w="15" w:type="dxa"/>
              <w:left w:w="15" w:type="dxa"/>
              <w:bottom w:w="0" w:type="dxa"/>
              <w:right w:w="15" w:type="dxa"/>
            </w:tcMar>
            <w:vAlign w:val="center"/>
          </w:tcPr>
          <w:p w14:paraId="269E06FD">
            <w:pPr>
              <w:jc w:val="center"/>
              <w:textAlignment w:val="center"/>
              <w:rPr>
                <w:rFonts w:ascii="宋体" w:hAnsi="宋体" w:eastAsia="宋体" w:cs="宋体"/>
                <w:color w:val="auto"/>
                <w:sz w:val="24"/>
                <w:szCs w:val="24"/>
                <w:highlight w:val="none"/>
                <w:u w:color="000000"/>
                <w:lang w:val="en-US" w:eastAsia="zh-CN" w:bidi="ar-SA"/>
              </w:rPr>
            </w:pPr>
            <w:r>
              <w:rPr>
                <w:rFonts w:hint="eastAsia" w:ascii="宋体" w:hAnsi="宋体" w:cs="宋体"/>
                <w:color w:val="auto"/>
                <w:sz w:val="24"/>
                <w:szCs w:val="24"/>
                <w:highlight w:val="none"/>
                <w:lang w:bidi="ar"/>
              </w:rPr>
              <w:t>顶逆光升降平移系统</w:t>
            </w:r>
          </w:p>
        </w:tc>
        <w:tc>
          <w:tcPr>
            <w:tcW w:w="6187" w:type="dxa"/>
            <w:shd w:val="clear" w:color="auto" w:fill="auto"/>
            <w:vAlign w:val="center"/>
          </w:tcPr>
          <w:p w14:paraId="6E42CAEC">
            <w:pPr>
              <w:jc w:val="left"/>
              <w:textAlignment w:val="center"/>
              <w:rPr>
                <w:rFonts w:ascii="宋体" w:hAnsi="宋体" w:eastAsia="宋体" w:cs="宋体"/>
                <w:color w:val="auto"/>
                <w:sz w:val="24"/>
                <w:szCs w:val="24"/>
                <w:highlight w:val="none"/>
                <w:u w:color="000000"/>
                <w:lang w:val="en-US" w:eastAsia="zh-CN" w:bidi="ar-SA"/>
              </w:rPr>
            </w:pPr>
            <w:r>
              <w:rPr>
                <w:rFonts w:hint="eastAsia" w:ascii="宋体" w:hAnsi="宋体" w:cs="宋体"/>
                <w:color w:val="auto"/>
                <w:sz w:val="24"/>
                <w:szCs w:val="24"/>
                <w:highlight w:val="none"/>
                <w:lang w:bidi="ar"/>
              </w:rPr>
              <w:t>定制升降加平移设备，无轨道设计。有1根10米灯杆需要安装在LED大屏正上方位置，升降时先平移避开LED大屏，再升降，升到水平高度超过LED大屏上方以后，平移到大屏正上方预定位置，此时为正常演出状态，吊杆无横向受力。升降过程中无横向摆动，与LED大屏无冲突，设备运行安全可靠，另绘示意图描述升降、平移原理</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安全措施：上下行程保护，松绳检测、保护，冲顶保护</w:t>
            </w:r>
          </w:p>
        </w:tc>
        <w:tc>
          <w:tcPr>
            <w:tcW w:w="643" w:type="dxa"/>
            <w:shd w:val="clear" w:color="auto" w:fill="auto"/>
            <w:vAlign w:val="center"/>
          </w:tcPr>
          <w:p w14:paraId="48063C1E">
            <w:pPr>
              <w:jc w:val="center"/>
              <w:textAlignment w:val="center"/>
              <w:rPr>
                <w:rFonts w:ascii="宋体" w:hAnsi="宋体" w:eastAsia="宋体" w:cs="宋体"/>
                <w:color w:val="auto"/>
                <w:sz w:val="24"/>
                <w:szCs w:val="24"/>
                <w:highlight w:val="none"/>
                <w:u w:color="000000"/>
                <w:lang w:val="en-US" w:eastAsia="zh-CN" w:bidi="ar-SA"/>
              </w:rPr>
            </w:pPr>
            <w:r>
              <w:rPr>
                <w:rFonts w:hint="eastAsia" w:ascii="宋体" w:hAnsi="宋体" w:cs="宋体"/>
                <w:color w:val="auto"/>
                <w:sz w:val="24"/>
                <w:szCs w:val="24"/>
                <w:highlight w:val="none"/>
                <w:lang w:bidi="ar"/>
              </w:rPr>
              <w:t>1套</w:t>
            </w:r>
          </w:p>
        </w:tc>
        <w:tc>
          <w:tcPr>
            <w:tcW w:w="850" w:type="dxa"/>
            <w:vMerge w:val="continue"/>
          </w:tcPr>
          <w:p w14:paraId="0CB20BBC">
            <w:pPr>
              <w:spacing w:line="360" w:lineRule="auto"/>
              <w:jc w:val="center"/>
              <w:rPr>
                <w:color w:val="auto"/>
                <w:sz w:val="24"/>
                <w:szCs w:val="24"/>
                <w:highlight w:val="none"/>
              </w:rPr>
            </w:pPr>
          </w:p>
        </w:tc>
      </w:tr>
      <w:tr w14:paraId="2E80B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atLeast"/>
        </w:trPr>
        <w:tc>
          <w:tcPr>
            <w:tcW w:w="311" w:type="dxa"/>
            <w:shd w:val="clear" w:color="auto" w:fill="auto"/>
            <w:vAlign w:val="center"/>
          </w:tcPr>
          <w:p w14:paraId="17C682B3">
            <w:pPr>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29</w:t>
            </w:r>
          </w:p>
        </w:tc>
        <w:tc>
          <w:tcPr>
            <w:tcW w:w="1080" w:type="dxa"/>
            <w:shd w:val="clear" w:color="auto" w:fill="auto"/>
            <w:tcMar>
              <w:top w:w="15" w:type="dxa"/>
              <w:left w:w="15" w:type="dxa"/>
              <w:bottom w:w="0" w:type="dxa"/>
              <w:right w:w="15" w:type="dxa"/>
            </w:tcMar>
            <w:vAlign w:val="center"/>
          </w:tcPr>
          <w:p w14:paraId="77A1D084">
            <w:pPr>
              <w:jc w:val="center"/>
              <w:textAlignment w:val="center"/>
              <w:rPr>
                <w:rFonts w:ascii="宋体" w:hAnsi="宋体" w:eastAsia="宋体" w:cs="宋体"/>
                <w:color w:val="auto"/>
                <w:sz w:val="24"/>
                <w:szCs w:val="24"/>
                <w:highlight w:val="none"/>
                <w:u w:color="000000"/>
                <w:lang w:val="en-US" w:eastAsia="zh-CN" w:bidi="ar-SA"/>
              </w:rPr>
            </w:pPr>
            <w:r>
              <w:rPr>
                <w:rFonts w:hint="eastAsia" w:ascii="宋体" w:hAnsi="宋体" w:cs="宋体"/>
                <w:color w:val="auto"/>
                <w:sz w:val="24"/>
                <w:szCs w:val="24"/>
                <w:highlight w:val="none"/>
                <w:lang w:bidi="ar"/>
              </w:rPr>
              <w:t>音箱吊挂设备</w:t>
            </w:r>
          </w:p>
        </w:tc>
        <w:tc>
          <w:tcPr>
            <w:tcW w:w="6187" w:type="dxa"/>
            <w:shd w:val="clear" w:color="auto" w:fill="auto"/>
            <w:vAlign w:val="center"/>
          </w:tcPr>
          <w:p w14:paraId="2B0258A8">
            <w:pPr>
              <w:jc w:val="left"/>
              <w:textAlignment w:val="center"/>
              <w:rPr>
                <w:rFonts w:ascii="宋体" w:hAnsi="宋体" w:eastAsia="宋体" w:cs="宋体"/>
                <w:color w:val="auto"/>
                <w:sz w:val="24"/>
                <w:szCs w:val="24"/>
                <w:highlight w:val="none"/>
                <w:u w:color="000000"/>
                <w:lang w:val="en-US" w:eastAsia="zh-CN" w:bidi="ar-SA"/>
              </w:rPr>
            </w:pPr>
            <w:r>
              <w:rPr>
                <w:rFonts w:hint="eastAsia" w:ascii="宋体" w:hAnsi="宋体" w:cs="宋体"/>
                <w:color w:val="auto"/>
                <w:sz w:val="24"/>
                <w:szCs w:val="24"/>
                <w:highlight w:val="none"/>
                <w:lang w:bidi="ar"/>
              </w:rPr>
              <w:t>电动链式葫芦，承载：500kg≤m＜2000kg；行程：20m；速度 0～8m/min，精度±1mm。▲《投标文件》提供相关安全证书，通过莱茵TUV的D8+安全认证（SQP2：2018）</w:t>
            </w:r>
          </w:p>
        </w:tc>
        <w:tc>
          <w:tcPr>
            <w:tcW w:w="643" w:type="dxa"/>
            <w:shd w:val="clear" w:color="auto" w:fill="auto"/>
            <w:vAlign w:val="center"/>
          </w:tcPr>
          <w:p w14:paraId="6D59447F">
            <w:pPr>
              <w:jc w:val="center"/>
              <w:textAlignment w:val="center"/>
              <w:rPr>
                <w:rFonts w:ascii="宋体" w:hAnsi="宋体" w:eastAsia="宋体" w:cs="宋体"/>
                <w:color w:val="auto"/>
                <w:sz w:val="24"/>
                <w:szCs w:val="24"/>
                <w:highlight w:val="none"/>
                <w:u w:color="000000"/>
                <w:lang w:val="en-US" w:eastAsia="zh-CN" w:bidi="ar-SA"/>
              </w:rPr>
            </w:pPr>
            <w:r>
              <w:rPr>
                <w:rFonts w:hint="eastAsia" w:ascii="宋体" w:hAnsi="宋体" w:cs="宋体"/>
                <w:color w:val="auto"/>
                <w:sz w:val="24"/>
                <w:szCs w:val="24"/>
                <w:highlight w:val="none"/>
                <w:lang w:bidi="ar"/>
              </w:rPr>
              <w:t>2套</w:t>
            </w:r>
          </w:p>
        </w:tc>
        <w:tc>
          <w:tcPr>
            <w:tcW w:w="850" w:type="dxa"/>
            <w:vMerge w:val="continue"/>
          </w:tcPr>
          <w:p w14:paraId="24B181DE">
            <w:pPr>
              <w:spacing w:line="360" w:lineRule="auto"/>
              <w:jc w:val="center"/>
              <w:rPr>
                <w:color w:val="auto"/>
                <w:sz w:val="24"/>
                <w:szCs w:val="24"/>
                <w:highlight w:val="none"/>
              </w:rPr>
            </w:pPr>
          </w:p>
        </w:tc>
      </w:tr>
      <w:tr w14:paraId="46C56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2" w:hRule="atLeast"/>
        </w:trPr>
        <w:tc>
          <w:tcPr>
            <w:tcW w:w="311" w:type="dxa"/>
            <w:shd w:val="clear" w:color="auto" w:fill="auto"/>
            <w:vAlign w:val="center"/>
          </w:tcPr>
          <w:p w14:paraId="3390234C">
            <w:pPr>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30</w:t>
            </w:r>
          </w:p>
        </w:tc>
        <w:tc>
          <w:tcPr>
            <w:tcW w:w="1080" w:type="dxa"/>
            <w:shd w:val="clear" w:color="auto" w:fill="auto"/>
            <w:tcMar>
              <w:top w:w="15" w:type="dxa"/>
              <w:left w:w="15" w:type="dxa"/>
              <w:bottom w:w="0" w:type="dxa"/>
              <w:right w:w="15" w:type="dxa"/>
            </w:tcMar>
            <w:vAlign w:val="center"/>
          </w:tcPr>
          <w:p w14:paraId="42535912">
            <w:pPr>
              <w:jc w:val="center"/>
              <w:textAlignment w:val="center"/>
              <w:rPr>
                <w:rFonts w:ascii="宋体" w:hAnsi="宋体" w:eastAsia="宋体" w:cs="宋体"/>
                <w:color w:val="auto"/>
                <w:sz w:val="24"/>
                <w:szCs w:val="24"/>
                <w:highlight w:val="none"/>
                <w:u w:color="000000"/>
                <w:lang w:val="en-US" w:eastAsia="zh-CN" w:bidi="ar-SA"/>
              </w:rPr>
            </w:pPr>
            <w:r>
              <w:rPr>
                <w:rFonts w:hint="eastAsia" w:ascii="宋体" w:hAnsi="宋体" w:cs="宋体"/>
                <w:color w:val="auto"/>
                <w:sz w:val="24"/>
                <w:szCs w:val="24"/>
                <w:highlight w:val="none"/>
                <w:lang w:bidi="ar"/>
              </w:rPr>
              <w:t>吊挂控制系统</w:t>
            </w:r>
          </w:p>
        </w:tc>
        <w:tc>
          <w:tcPr>
            <w:tcW w:w="6187" w:type="dxa"/>
            <w:shd w:val="clear" w:color="auto" w:fill="auto"/>
            <w:vAlign w:val="center"/>
          </w:tcPr>
          <w:p w14:paraId="06D21F5D">
            <w:pPr>
              <w:jc w:val="left"/>
              <w:textAlignment w:val="center"/>
              <w:rPr>
                <w:rFonts w:ascii="宋体" w:hAnsi="宋体" w:eastAsia="宋体" w:cs="宋体"/>
                <w:color w:val="auto"/>
                <w:sz w:val="24"/>
                <w:szCs w:val="24"/>
                <w:highlight w:val="none"/>
                <w:u w:color="000000"/>
                <w:lang w:val="en-US" w:eastAsia="zh-CN" w:bidi="ar-SA"/>
              </w:rPr>
            </w:pPr>
            <w:r>
              <w:rPr>
                <w:rFonts w:hint="eastAsia" w:ascii="宋体" w:hAnsi="宋体" w:cs="宋体"/>
                <w:color w:val="auto"/>
                <w:sz w:val="24"/>
                <w:szCs w:val="24"/>
                <w:highlight w:val="none"/>
                <w:lang w:bidi="ar"/>
              </w:rPr>
              <w:t>包含但不限于PLC主控台、控制柜、电源柜及其他配件，可控制所有吊挂设备动作，同时动作吊杆数量≥5道，后期可扩展控制吊杆的数量。系统具备手动（在触摸屏有问题时应急开车功能）、半自动、自动、集控（群控）等多种控制方式。系统具备高度校正功能、故障定位显示功能。带软限位保护功能，可以对软限位高度进行设置。升降吊杆机采用变频调速控制，变频器可实现设备速度闭环、零速悬停功能。主要低压元器件采用稳定可靠的品牌产品。</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▲保护装置：机械限位保护，编码器数控软件限位保护。</w:t>
            </w:r>
          </w:p>
        </w:tc>
        <w:tc>
          <w:tcPr>
            <w:tcW w:w="643" w:type="dxa"/>
            <w:shd w:val="clear" w:color="auto" w:fill="auto"/>
            <w:vAlign w:val="center"/>
          </w:tcPr>
          <w:p w14:paraId="5ECAB46A">
            <w:pPr>
              <w:jc w:val="center"/>
              <w:textAlignment w:val="center"/>
              <w:rPr>
                <w:rFonts w:ascii="宋体" w:hAnsi="宋体" w:eastAsia="宋体" w:cs="宋体"/>
                <w:color w:val="auto"/>
                <w:sz w:val="24"/>
                <w:szCs w:val="24"/>
                <w:highlight w:val="none"/>
                <w:u w:color="000000"/>
                <w:lang w:val="en-US" w:eastAsia="zh-CN" w:bidi="ar-SA"/>
              </w:rPr>
            </w:pPr>
            <w:r>
              <w:rPr>
                <w:rFonts w:hint="eastAsia" w:ascii="宋体" w:hAnsi="宋体" w:cs="宋体"/>
                <w:color w:val="auto"/>
                <w:sz w:val="24"/>
                <w:szCs w:val="24"/>
                <w:highlight w:val="none"/>
                <w:lang w:bidi="ar"/>
              </w:rPr>
              <w:t>1套</w:t>
            </w:r>
          </w:p>
        </w:tc>
        <w:tc>
          <w:tcPr>
            <w:tcW w:w="850" w:type="dxa"/>
            <w:vMerge w:val="continue"/>
          </w:tcPr>
          <w:p w14:paraId="660CC63A">
            <w:pPr>
              <w:spacing w:line="360" w:lineRule="auto"/>
              <w:jc w:val="center"/>
              <w:rPr>
                <w:color w:val="auto"/>
                <w:sz w:val="24"/>
                <w:szCs w:val="24"/>
                <w:highlight w:val="none"/>
              </w:rPr>
            </w:pPr>
          </w:p>
        </w:tc>
      </w:tr>
      <w:tr w14:paraId="6608C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1" w:hRule="atLeast"/>
        </w:trPr>
        <w:tc>
          <w:tcPr>
            <w:tcW w:w="311" w:type="dxa"/>
            <w:shd w:val="clear" w:color="auto" w:fill="auto"/>
            <w:vAlign w:val="center"/>
          </w:tcPr>
          <w:p w14:paraId="5E9432E6">
            <w:pPr>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31</w:t>
            </w:r>
          </w:p>
        </w:tc>
        <w:tc>
          <w:tcPr>
            <w:tcW w:w="1080" w:type="dxa"/>
            <w:shd w:val="clear" w:color="auto" w:fill="auto"/>
            <w:tcMar>
              <w:top w:w="15" w:type="dxa"/>
              <w:left w:w="15" w:type="dxa"/>
              <w:bottom w:w="0" w:type="dxa"/>
              <w:right w:w="15" w:type="dxa"/>
            </w:tcMar>
            <w:vAlign w:val="center"/>
          </w:tcPr>
          <w:p w14:paraId="53EFD1BD">
            <w:pPr>
              <w:jc w:val="center"/>
              <w:textAlignment w:val="center"/>
              <w:rPr>
                <w:rFonts w:ascii="宋体" w:hAnsi="宋体" w:eastAsia="宋体" w:cs="宋体"/>
                <w:color w:val="auto"/>
                <w:sz w:val="24"/>
                <w:szCs w:val="24"/>
                <w:highlight w:val="none"/>
                <w:u w:color="000000"/>
                <w:lang w:val="en-US" w:eastAsia="zh-CN" w:bidi="ar-SA"/>
              </w:rPr>
            </w:pPr>
            <w:r>
              <w:rPr>
                <w:rFonts w:hint="eastAsia" w:ascii="宋体" w:hAnsi="宋体" w:cs="宋体"/>
                <w:color w:val="auto"/>
                <w:sz w:val="24"/>
                <w:szCs w:val="24"/>
                <w:highlight w:val="none"/>
                <w:lang w:bidi="ar"/>
              </w:rPr>
              <w:t>提升机电缆</w:t>
            </w:r>
          </w:p>
        </w:tc>
        <w:tc>
          <w:tcPr>
            <w:tcW w:w="6187" w:type="dxa"/>
            <w:shd w:val="clear" w:color="auto" w:fill="auto"/>
            <w:vAlign w:val="center"/>
          </w:tcPr>
          <w:p w14:paraId="1850D04D">
            <w:pPr>
              <w:jc w:val="left"/>
              <w:textAlignment w:val="center"/>
              <w:rPr>
                <w:rFonts w:ascii="宋体" w:hAnsi="宋体" w:eastAsia="宋体" w:cs="宋体"/>
                <w:color w:val="auto"/>
                <w:sz w:val="24"/>
                <w:szCs w:val="24"/>
                <w:highlight w:val="none"/>
                <w:u w:color="000000"/>
                <w:lang w:val="en-US" w:eastAsia="zh-CN" w:bidi="ar-SA"/>
              </w:rPr>
            </w:pPr>
            <w:r>
              <w:rPr>
                <w:rFonts w:hint="eastAsia" w:ascii="宋体" w:hAnsi="宋体" w:cs="宋体"/>
                <w:color w:val="auto"/>
                <w:sz w:val="24"/>
                <w:szCs w:val="24"/>
                <w:highlight w:val="none"/>
                <w:lang w:bidi="ar"/>
              </w:rPr>
              <w:t>国标低烟无卤阻燃型电缆，型号、数量按具体回路配置，考虑足够冗余和后期升级</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须列出电缆的具体品牌、型号、数量</w:t>
            </w:r>
          </w:p>
        </w:tc>
        <w:tc>
          <w:tcPr>
            <w:tcW w:w="643" w:type="dxa"/>
            <w:shd w:val="clear" w:color="auto" w:fill="auto"/>
            <w:vAlign w:val="center"/>
          </w:tcPr>
          <w:p w14:paraId="66E6C0F4">
            <w:pPr>
              <w:jc w:val="center"/>
              <w:textAlignment w:val="center"/>
              <w:rPr>
                <w:rFonts w:ascii="宋体" w:hAnsi="宋体" w:eastAsia="宋体" w:cs="宋体"/>
                <w:color w:val="auto"/>
                <w:sz w:val="24"/>
                <w:szCs w:val="24"/>
                <w:highlight w:val="none"/>
                <w:u w:color="000000"/>
                <w:lang w:val="en-US" w:eastAsia="zh-CN" w:bidi="ar-SA"/>
              </w:rPr>
            </w:pPr>
            <w:r>
              <w:rPr>
                <w:rFonts w:hint="eastAsia" w:ascii="宋体" w:hAnsi="宋体" w:cs="宋体"/>
                <w:color w:val="auto"/>
                <w:sz w:val="24"/>
                <w:szCs w:val="24"/>
                <w:highlight w:val="none"/>
                <w:lang w:bidi="ar"/>
              </w:rPr>
              <w:t>1批</w:t>
            </w:r>
          </w:p>
        </w:tc>
        <w:tc>
          <w:tcPr>
            <w:tcW w:w="850" w:type="dxa"/>
            <w:vMerge w:val="continue"/>
          </w:tcPr>
          <w:p w14:paraId="7411683C">
            <w:pPr>
              <w:spacing w:line="360" w:lineRule="auto"/>
              <w:jc w:val="center"/>
              <w:rPr>
                <w:color w:val="auto"/>
                <w:sz w:val="24"/>
                <w:szCs w:val="24"/>
                <w:highlight w:val="none"/>
              </w:rPr>
            </w:pPr>
          </w:p>
        </w:tc>
      </w:tr>
      <w:tr w14:paraId="5B2D7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6" w:hRule="atLeast"/>
        </w:trPr>
        <w:tc>
          <w:tcPr>
            <w:tcW w:w="311" w:type="dxa"/>
            <w:shd w:val="clear" w:color="auto" w:fill="auto"/>
            <w:vAlign w:val="center"/>
          </w:tcPr>
          <w:p w14:paraId="76F0E63C">
            <w:pPr>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32</w:t>
            </w:r>
          </w:p>
        </w:tc>
        <w:tc>
          <w:tcPr>
            <w:tcW w:w="1080" w:type="dxa"/>
            <w:shd w:val="clear" w:color="auto" w:fill="auto"/>
            <w:tcMar>
              <w:top w:w="15" w:type="dxa"/>
              <w:left w:w="15" w:type="dxa"/>
              <w:bottom w:w="0" w:type="dxa"/>
              <w:right w:w="15" w:type="dxa"/>
            </w:tcMar>
            <w:vAlign w:val="center"/>
          </w:tcPr>
          <w:p w14:paraId="5DD8969F">
            <w:pPr>
              <w:jc w:val="center"/>
              <w:textAlignment w:val="center"/>
              <w:rPr>
                <w:rFonts w:ascii="宋体" w:hAnsi="宋体" w:eastAsia="宋体" w:cs="宋体"/>
                <w:color w:val="auto"/>
                <w:sz w:val="24"/>
                <w:szCs w:val="24"/>
                <w:highlight w:val="none"/>
                <w:u w:color="000000"/>
                <w:lang w:val="en-US" w:eastAsia="zh-CN" w:bidi="ar-SA"/>
              </w:rPr>
            </w:pPr>
            <w:r>
              <w:rPr>
                <w:rFonts w:hint="eastAsia" w:ascii="宋体" w:hAnsi="宋体" w:cs="宋体"/>
                <w:color w:val="auto"/>
                <w:sz w:val="24"/>
                <w:szCs w:val="24"/>
                <w:highlight w:val="none"/>
                <w:lang w:bidi="ar"/>
              </w:rPr>
              <w:t>吊挂系统安装材料及配件</w:t>
            </w:r>
          </w:p>
        </w:tc>
        <w:tc>
          <w:tcPr>
            <w:tcW w:w="6187" w:type="dxa"/>
            <w:shd w:val="clear" w:color="auto" w:fill="auto"/>
            <w:vAlign w:val="center"/>
          </w:tcPr>
          <w:p w14:paraId="68EE93F6">
            <w:pPr>
              <w:jc w:val="left"/>
              <w:textAlignment w:val="center"/>
              <w:rPr>
                <w:rFonts w:ascii="宋体" w:hAnsi="宋体" w:eastAsia="宋体" w:cs="宋体"/>
                <w:color w:val="auto"/>
                <w:sz w:val="24"/>
                <w:szCs w:val="24"/>
                <w:highlight w:val="none"/>
                <w:u w:color="000000"/>
                <w:lang w:val="en-US" w:eastAsia="zh-CN" w:bidi="ar-SA"/>
              </w:rPr>
            </w:pPr>
            <w:r>
              <w:rPr>
                <w:rFonts w:hint="eastAsia" w:ascii="宋体" w:hAnsi="宋体" w:cs="宋体"/>
                <w:color w:val="auto"/>
                <w:sz w:val="24"/>
                <w:szCs w:val="24"/>
                <w:highlight w:val="none"/>
                <w:lang w:bidi="ar"/>
              </w:rPr>
              <w:t>包括但不限于：配套收线框、热镀锌钢丝绳、号码牌、防尘插头插座、各类滑轮、槽钢、角铁、限位开关、冲顶开关、电缆桥架、穿线管等完成本系统所需的配件材料</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须列出主要配件的具体品牌、型号、数量</w:t>
            </w:r>
          </w:p>
        </w:tc>
        <w:tc>
          <w:tcPr>
            <w:tcW w:w="643" w:type="dxa"/>
            <w:shd w:val="clear" w:color="auto" w:fill="auto"/>
            <w:vAlign w:val="center"/>
          </w:tcPr>
          <w:p w14:paraId="18B740D2">
            <w:pPr>
              <w:jc w:val="center"/>
              <w:textAlignment w:val="center"/>
              <w:rPr>
                <w:rFonts w:ascii="宋体" w:hAnsi="宋体" w:eastAsia="宋体" w:cs="宋体"/>
                <w:color w:val="auto"/>
                <w:sz w:val="24"/>
                <w:szCs w:val="24"/>
                <w:highlight w:val="none"/>
                <w:u w:color="000000"/>
                <w:lang w:val="en-US" w:eastAsia="zh-CN" w:bidi="ar-SA"/>
              </w:rPr>
            </w:pPr>
            <w:r>
              <w:rPr>
                <w:rFonts w:hint="eastAsia" w:ascii="宋体" w:hAnsi="宋体" w:cs="宋体"/>
                <w:color w:val="auto"/>
                <w:sz w:val="24"/>
                <w:szCs w:val="24"/>
                <w:highlight w:val="none"/>
                <w:lang w:bidi="ar"/>
              </w:rPr>
              <w:t>1批</w:t>
            </w:r>
          </w:p>
        </w:tc>
        <w:tc>
          <w:tcPr>
            <w:tcW w:w="850" w:type="dxa"/>
            <w:vMerge w:val="continue"/>
          </w:tcPr>
          <w:p w14:paraId="589BA03C">
            <w:pPr>
              <w:spacing w:line="360" w:lineRule="auto"/>
              <w:jc w:val="center"/>
              <w:rPr>
                <w:color w:val="auto"/>
                <w:sz w:val="24"/>
                <w:szCs w:val="24"/>
                <w:highlight w:val="none"/>
              </w:rPr>
            </w:pPr>
          </w:p>
        </w:tc>
      </w:tr>
      <w:tr w14:paraId="02F05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trPr>
        <w:tc>
          <w:tcPr>
            <w:tcW w:w="311" w:type="dxa"/>
            <w:shd w:val="clear" w:color="auto" w:fill="auto"/>
            <w:vAlign w:val="center"/>
          </w:tcPr>
          <w:p w14:paraId="13DE49B5">
            <w:pPr>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33</w:t>
            </w:r>
          </w:p>
        </w:tc>
        <w:tc>
          <w:tcPr>
            <w:tcW w:w="1080" w:type="dxa"/>
            <w:shd w:val="clear" w:color="auto" w:fill="auto"/>
            <w:tcMar>
              <w:top w:w="15" w:type="dxa"/>
              <w:left w:w="15" w:type="dxa"/>
              <w:bottom w:w="0" w:type="dxa"/>
              <w:right w:w="15" w:type="dxa"/>
            </w:tcMar>
            <w:vAlign w:val="center"/>
          </w:tcPr>
          <w:p w14:paraId="21A598B6">
            <w:pPr>
              <w:jc w:val="center"/>
              <w:textAlignment w:val="center"/>
              <w:rPr>
                <w:rFonts w:ascii="宋体" w:hAnsi="宋体" w:eastAsia="宋体" w:cs="宋体"/>
                <w:color w:val="auto"/>
                <w:sz w:val="24"/>
                <w:szCs w:val="24"/>
                <w:highlight w:val="none"/>
                <w:u w:color="000000"/>
                <w:lang w:val="en-US" w:eastAsia="zh-CN" w:bidi="ar-SA"/>
              </w:rPr>
            </w:pPr>
            <w:r>
              <w:rPr>
                <w:rFonts w:hint="eastAsia" w:ascii="宋体" w:hAnsi="宋体" w:cs="宋体"/>
                <w:color w:val="auto"/>
                <w:sz w:val="24"/>
                <w:szCs w:val="24"/>
                <w:highlight w:val="none"/>
                <w:lang w:bidi="ar"/>
              </w:rPr>
              <w:t>工作照明（场灯）</w:t>
            </w:r>
          </w:p>
        </w:tc>
        <w:tc>
          <w:tcPr>
            <w:tcW w:w="6187" w:type="dxa"/>
            <w:shd w:val="clear" w:color="auto" w:fill="auto"/>
            <w:vAlign w:val="center"/>
          </w:tcPr>
          <w:p w14:paraId="5B850F8B">
            <w:pPr>
              <w:jc w:val="left"/>
              <w:textAlignment w:val="center"/>
              <w:rPr>
                <w:rFonts w:ascii="宋体" w:hAnsi="宋体" w:eastAsia="宋体" w:cs="宋体"/>
                <w:color w:val="auto"/>
                <w:sz w:val="24"/>
                <w:szCs w:val="24"/>
                <w:highlight w:val="none"/>
                <w:u w:color="000000"/>
                <w:lang w:val="en-US" w:eastAsia="zh-CN" w:bidi="ar-SA"/>
              </w:rPr>
            </w:pPr>
            <w:r>
              <w:rPr>
                <w:rFonts w:hint="eastAsia" w:ascii="宋体" w:hAnsi="宋体" w:cs="宋体"/>
                <w:color w:val="auto"/>
                <w:sz w:val="24"/>
                <w:szCs w:val="24"/>
                <w:highlight w:val="none"/>
                <w:lang w:bidi="ar"/>
              </w:rPr>
              <w:t>按业主指定其中4根灯杆各增加1路工作照明回路，每路挂3个（共12个）100WLED投光灯</w:t>
            </w:r>
          </w:p>
        </w:tc>
        <w:tc>
          <w:tcPr>
            <w:tcW w:w="643" w:type="dxa"/>
            <w:shd w:val="clear" w:color="auto" w:fill="auto"/>
            <w:vAlign w:val="center"/>
          </w:tcPr>
          <w:p w14:paraId="5A4C985E">
            <w:pPr>
              <w:jc w:val="center"/>
              <w:textAlignment w:val="center"/>
              <w:rPr>
                <w:rFonts w:ascii="宋体" w:hAnsi="宋体" w:eastAsia="宋体" w:cs="宋体"/>
                <w:color w:val="auto"/>
                <w:sz w:val="24"/>
                <w:szCs w:val="24"/>
                <w:highlight w:val="none"/>
                <w:u w:color="000000"/>
                <w:lang w:val="en-US" w:eastAsia="zh-CN" w:bidi="ar-SA"/>
              </w:rPr>
            </w:pPr>
            <w:r>
              <w:rPr>
                <w:rFonts w:hint="eastAsia" w:ascii="宋体" w:hAnsi="宋体" w:cs="宋体"/>
                <w:color w:val="auto"/>
                <w:sz w:val="24"/>
                <w:szCs w:val="24"/>
                <w:highlight w:val="none"/>
                <w:lang w:val="en-US" w:eastAsia="zh-CN" w:bidi="ar"/>
              </w:rPr>
              <w:t>12台</w:t>
            </w:r>
          </w:p>
        </w:tc>
        <w:tc>
          <w:tcPr>
            <w:tcW w:w="850" w:type="dxa"/>
            <w:vMerge w:val="continue"/>
          </w:tcPr>
          <w:p w14:paraId="2A67A16D">
            <w:pPr>
              <w:spacing w:line="360" w:lineRule="auto"/>
              <w:jc w:val="center"/>
              <w:rPr>
                <w:color w:val="auto"/>
                <w:sz w:val="24"/>
                <w:szCs w:val="24"/>
                <w:highlight w:val="none"/>
              </w:rPr>
            </w:pPr>
          </w:p>
        </w:tc>
      </w:tr>
      <w:tr w14:paraId="47887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3" w:hRule="atLeast"/>
        </w:trPr>
        <w:tc>
          <w:tcPr>
            <w:tcW w:w="311" w:type="dxa"/>
            <w:shd w:val="clear" w:color="auto" w:fill="auto"/>
            <w:vAlign w:val="center"/>
          </w:tcPr>
          <w:p w14:paraId="1F02D758">
            <w:pPr>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34</w:t>
            </w:r>
          </w:p>
        </w:tc>
        <w:tc>
          <w:tcPr>
            <w:tcW w:w="1080" w:type="dxa"/>
            <w:shd w:val="clear" w:color="auto" w:fill="auto"/>
            <w:tcMar>
              <w:top w:w="15" w:type="dxa"/>
              <w:left w:w="15" w:type="dxa"/>
              <w:bottom w:w="0" w:type="dxa"/>
              <w:right w:w="15" w:type="dxa"/>
            </w:tcMar>
            <w:vAlign w:val="center"/>
          </w:tcPr>
          <w:p w14:paraId="53E222DF">
            <w:pPr>
              <w:jc w:val="center"/>
              <w:textAlignment w:val="center"/>
              <w:rPr>
                <w:rFonts w:ascii="宋体" w:hAnsi="宋体" w:eastAsia="宋体" w:cs="宋体"/>
                <w:color w:val="auto"/>
                <w:sz w:val="24"/>
                <w:szCs w:val="24"/>
                <w:highlight w:val="none"/>
                <w:u w:color="000000"/>
                <w:lang w:val="en-US" w:eastAsia="zh-CN" w:bidi="ar-SA"/>
              </w:rPr>
            </w:pPr>
            <w:r>
              <w:rPr>
                <w:rFonts w:hint="eastAsia" w:ascii="宋体" w:hAnsi="宋体" w:cs="宋体"/>
                <w:color w:val="auto"/>
                <w:sz w:val="24"/>
                <w:szCs w:val="24"/>
                <w:highlight w:val="none"/>
                <w:lang w:bidi="ar"/>
              </w:rPr>
              <w:t>旧设备拆除</w:t>
            </w:r>
          </w:p>
        </w:tc>
        <w:tc>
          <w:tcPr>
            <w:tcW w:w="6187" w:type="dxa"/>
            <w:shd w:val="clear" w:color="auto" w:fill="auto"/>
            <w:vAlign w:val="center"/>
          </w:tcPr>
          <w:p w14:paraId="377EE9BD">
            <w:pPr>
              <w:jc w:val="left"/>
              <w:textAlignment w:val="center"/>
              <w:rPr>
                <w:rFonts w:ascii="宋体" w:hAnsi="宋体" w:eastAsia="宋体" w:cs="宋体"/>
                <w:color w:val="auto"/>
                <w:sz w:val="24"/>
                <w:szCs w:val="24"/>
                <w:highlight w:val="none"/>
                <w:u w:color="000000"/>
                <w:lang w:val="en-US" w:eastAsia="zh-CN" w:bidi="ar-SA"/>
              </w:rPr>
            </w:pPr>
            <w:r>
              <w:rPr>
                <w:rFonts w:hint="eastAsia" w:ascii="宋体" w:hAnsi="宋体" w:cs="宋体"/>
                <w:color w:val="auto"/>
                <w:sz w:val="24"/>
                <w:szCs w:val="24"/>
                <w:highlight w:val="none"/>
                <w:lang w:bidi="ar"/>
              </w:rPr>
              <w:t>1.拆除灯光吊挂系统，包括吊杆、吊机、钢丝绳、滑轮及控制系统等等所有舞台机械部分，并搬运至院内指定位置；</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2.拆除灯光设备（大部分是2kw聚光灯）、灯光电缆、桥架、端子柜等附属设施，并搬运至院内指定位置；</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3.拆除音箱吊挂系统、音响设备保养维护和二次安装；</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4.设备拆除后原钢结构连接点加固，钢结构除锈、补漆，灯栅层网格板加固，制作滑轮支架、设备安装底座；</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5.玻璃舞台和观众席座椅施工防护；</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6.LED大屏施工防护（或拆除、保养维护和二次安装）</w:t>
            </w:r>
            <w:r>
              <w:rPr>
                <w:rFonts w:hint="eastAsia" w:ascii="宋体" w:hAnsi="宋体" w:cs="宋体"/>
                <w:color w:val="auto"/>
                <w:sz w:val="24"/>
                <w:szCs w:val="24"/>
                <w:highlight w:val="none"/>
                <w:lang w:eastAsia="zh-CN" w:bidi="ar"/>
              </w:rPr>
              <w:t>，</w:t>
            </w:r>
            <w:r>
              <w:rPr>
                <w:rFonts w:hint="eastAsia" w:ascii="宋体" w:hAnsi="宋体" w:cs="宋体"/>
                <w:color w:val="auto"/>
                <w:sz w:val="24"/>
                <w:szCs w:val="24"/>
                <w:highlight w:val="none"/>
                <w:lang w:val="en-US" w:eastAsia="zh-CN" w:bidi="ar"/>
              </w:rPr>
              <w:t>实施</w:t>
            </w:r>
            <w:r>
              <w:rPr>
                <w:rFonts w:hint="eastAsia" w:ascii="宋体" w:hAnsi="宋体" w:cs="宋体"/>
                <w:color w:val="auto"/>
                <w:sz w:val="24"/>
                <w:szCs w:val="24"/>
                <w:highlight w:val="none"/>
                <w:lang w:bidi="ar"/>
              </w:rPr>
              <w:t>过程中如果LE</w:t>
            </w:r>
            <w:r>
              <w:rPr>
                <w:rFonts w:hint="eastAsia" w:ascii="宋体" w:hAnsi="宋体" w:cs="宋体"/>
                <w:color w:val="auto"/>
                <w:sz w:val="24"/>
                <w:szCs w:val="24"/>
                <w:highlight w:val="none"/>
                <w:lang w:val="en-US" w:eastAsia="zh-CN" w:bidi="ar"/>
              </w:rPr>
              <w:t>D</w:t>
            </w:r>
            <w:r>
              <w:rPr>
                <w:rFonts w:hint="eastAsia" w:ascii="宋体" w:hAnsi="宋体" w:cs="宋体"/>
                <w:color w:val="auto"/>
                <w:sz w:val="24"/>
                <w:szCs w:val="24"/>
                <w:highlight w:val="none"/>
                <w:lang w:bidi="ar"/>
              </w:rPr>
              <w:t>大屏出现损坏</w:t>
            </w:r>
            <w:r>
              <w:rPr>
                <w:rFonts w:hint="eastAsia" w:ascii="宋体" w:hAnsi="宋体" w:cs="宋体"/>
                <w:color w:val="auto"/>
                <w:sz w:val="24"/>
                <w:szCs w:val="24"/>
                <w:highlight w:val="none"/>
                <w:lang w:val="en-US" w:eastAsia="zh-CN" w:bidi="ar"/>
              </w:rPr>
              <w:t>的，</w:t>
            </w:r>
            <w:r>
              <w:rPr>
                <w:rFonts w:hint="eastAsia" w:ascii="宋体" w:hAnsi="宋体" w:cs="宋体"/>
                <w:color w:val="auto"/>
                <w:sz w:val="24"/>
                <w:szCs w:val="24"/>
                <w:highlight w:val="none"/>
                <w:lang w:bidi="ar"/>
              </w:rPr>
              <w:t>由中标单位负责按要求维</w:t>
            </w:r>
            <w:r>
              <w:rPr>
                <w:rFonts w:hint="eastAsia" w:ascii="宋体" w:hAnsi="宋体" w:cs="宋体"/>
                <w:color w:val="auto"/>
                <w:sz w:val="24"/>
                <w:szCs w:val="24"/>
                <w:highlight w:val="none"/>
                <w:lang w:val="en-US" w:eastAsia="zh-CN" w:bidi="ar"/>
              </w:rPr>
              <w:t>修至正常工作状态</w:t>
            </w:r>
            <w:r>
              <w:rPr>
                <w:rFonts w:hint="eastAsia" w:ascii="宋体" w:hAnsi="宋体" w:cs="宋体"/>
                <w:color w:val="auto"/>
                <w:sz w:val="24"/>
                <w:szCs w:val="24"/>
                <w:highlight w:val="none"/>
                <w:lang w:bidi="ar"/>
              </w:rPr>
              <w:t>；</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7.设备清运、垃圾清运。</w:t>
            </w:r>
          </w:p>
        </w:tc>
        <w:tc>
          <w:tcPr>
            <w:tcW w:w="643" w:type="dxa"/>
            <w:shd w:val="clear" w:color="auto" w:fill="auto"/>
            <w:vAlign w:val="center"/>
          </w:tcPr>
          <w:p w14:paraId="63C03B0C">
            <w:pPr>
              <w:jc w:val="center"/>
              <w:textAlignment w:val="center"/>
              <w:rPr>
                <w:rFonts w:hint="default" w:ascii="宋体" w:hAnsi="宋体" w:eastAsia="宋体" w:cs="宋体"/>
                <w:color w:val="auto"/>
                <w:sz w:val="24"/>
                <w:szCs w:val="24"/>
                <w:highlight w:val="none"/>
                <w:u w:color="000000"/>
                <w:lang w:val="en-US" w:eastAsia="zh-CN" w:bidi="ar-SA"/>
              </w:rPr>
            </w:pPr>
            <w:r>
              <w:rPr>
                <w:rFonts w:hint="eastAsia" w:ascii="宋体" w:hAnsi="宋体" w:cs="宋体"/>
                <w:color w:val="auto"/>
                <w:sz w:val="24"/>
                <w:szCs w:val="24"/>
                <w:highlight w:val="none"/>
                <w:lang w:bidi="ar"/>
              </w:rPr>
              <w:t>1项</w:t>
            </w:r>
          </w:p>
        </w:tc>
        <w:tc>
          <w:tcPr>
            <w:tcW w:w="850" w:type="dxa"/>
            <w:vMerge w:val="continue"/>
          </w:tcPr>
          <w:p w14:paraId="59822A7C">
            <w:pPr>
              <w:spacing w:line="360" w:lineRule="auto"/>
              <w:jc w:val="center"/>
              <w:rPr>
                <w:color w:val="auto"/>
                <w:sz w:val="24"/>
                <w:szCs w:val="24"/>
                <w:highlight w:val="none"/>
              </w:rPr>
            </w:pPr>
          </w:p>
        </w:tc>
      </w:tr>
      <w:tr w14:paraId="5E683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9" w:hRule="atLeast"/>
        </w:trPr>
        <w:tc>
          <w:tcPr>
            <w:tcW w:w="311" w:type="dxa"/>
            <w:shd w:val="clear" w:color="auto" w:fill="auto"/>
            <w:vAlign w:val="center"/>
          </w:tcPr>
          <w:p w14:paraId="21C9BC2D">
            <w:pPr>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bidi="ar"/>
              </w:rPr>
              <w:t>35</w:t>
            </w:r>
          </w:p>
        </w:tc>
        <w:tc>
          <w:tcPr>
            <w:tcW w:w="1080" w:type="dxa"/>
            <w:shd w:val="clear" w:color="auto" w:fill="auto"/>
            <w:vAlign w:val="center"/>
          </w:tcPr>
          <w:p w14:paraId="0C0EAA2E">
            <w:pPr>
              <w:jc w:val="center"/>
              <w:textAlignment w:val="center"/>
              <w:rPr>
                <w:rFonts w:ascii="宋体" w:hAnsi="宋体" w:eastAsia="宋体" w:cs="宋体"/>
                <w:color w:val="auto"/>
                <w:sz w:val="24"/>
                <w:szCs w:val="24"/>
                <w:highlight w:val="none"/>
                <w:u w:color="000000"/>
                <w:lang w:val="en-US" w:eastAsia="zh-CN" w:bidi="ar-SA"/>
              </w:rPr>
            </w:pPr>
            <w:r>
              <w:rPr>
                <w:rFonts w:hint="eastAsia" w:ascii="宋体" w:hAnsi="宋体" w:cs="宋体"/>
                <w:color w:val="auto"/>
                <w:sz w:val="24"/>
                <w:szCs w:val="24"/>
                <w:highlight w:val="none"/>
                <w:lang w:bidi="ar"/>
              </w:rPr>
              <w:t>系统集成</w:t>
            </w:r>
          </w:p>
        </w:tc>
        <w:tc>
          <w:tcPr>
            <w:tcW w:w="6187" w:type="dxa"/>
            <w:shd w:val="clear" w:color="auto" w:fill="auto"/>
            <w:vAlign w:val="center"/>
          </w:tcPr>
          <w:p w14:paraId="7A8AD355">
            <w:pPr>
              <w:jc w:val="left"/>
              <w:textAlignment w:val="center"/>
              <w:rPr>
                <w:rFonts w:ascii="宋体" w:hAnsi="宋体" w:eastAsia="宋体" w:cs="宋体"/>
                <w:color w:val="auto"/>
                <w:sz w:val="24"/>
                <w:szCs w:val="24"/>
                <w:highlight w:val="none"/>
                <w:u w:color="000000"/>
                <w:lang w:val="en-US" w:eastAsia="zh-CN" w:bidi="ar-SA"/>
              </w:rPr>
            </w:pPr>
            <w:r>
              <w:rPr>
                <w:rFonts w:hint="eastAsia" w:ascii="宋体" w:hAnsi="宋体" w:cs="宋体"/>
                <w:color w:val="auto"/>
                <w:sz w:val="24"/>
                <w:szCs w:val="24"/>
                <w:highlight w:val="none"/>
                <w:lang w:bidi="ar"/>
              </w:rPr>
              <w:t>本项目采购设备与原有设备系统之间的联调，确保系统稳定性和可靠性，完成本项目必须的所有附属件</w:t>
            </w:r>
          </w:p>
        </w:tc>
        <w:tc>
          <w:tcPr>
            <w:tcW w:w="643" w:type="dxa"/>
            <w:shd w:val="clear" w:color="auto" w:fill="auto"/>
            <w:vAlign w:val="center"/>
          </w:tcPr>
          <w:p w14:paraId="64B50A69">
            <w:pPr>
              <w:jc w:val="center"/>
              <w:textAlignment w:val="center"/>
              <w:rPr>
                <w:rFonts w:ascii="宋体" w:hAnsi="宋体" w:eastAsia="宋体" w:cs="宋体"/>
                <w:color w:val="auto"/>
                <w:sz w:val="24"/>
                <w:szCs w:val="24"/>
                <w:highlight w:val="none"/>
                <w:u w:color="000000"/>
                <w:lang w:val="en-US" w:eastAsia="zh-CN" w:bidi="ar-SA"/>
              </w:rPr>
            </w:pPr>
            <w:r>
              <w:rPr>
                <w:rFonts w:hint="eastAsia" w:ascii="宋体" w:hAnsi="宋体" w:cs="宋体"/>
                <w:color w:val="auto"/>
                <w:sz w:val="24"/>
                <w:szCs w:val="24"/>
                <w:highlight w:val="none"/>
                <w:lang w:bidi="ar"/>
              </w:rPr>
              <w:t>1项</w:t>
            </w:r>
          </w:p>
        </w:tc>
        <w:tc>
          <w:tcPr>
            <w:tcW w:w="850" w:type="dxa"/>
            <w:vMerge w:val="continue"/>
          </w:tcPr>
          <w:p w14:paraId="584A60A7">
            <w:pPr>
              <w:spacing w:line="360" w:lineRule="auto"/>
              <w:jc w:val="center"/>
              <w:rPr>
                <w:color w:val="auto"/>
                <w:sz w:val="24"/>
                <w:szCs w:val="24"/>
                <w:highlight w:val="none"/>
              </w:rPr>
            </w:pPr>
          </w:p>
        </w:tc>
      </w:tr>
      <w:tr w14:paraId="6A9FD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5" w:hRule="atLeast"/>
        </w:trPr>
        <w:tc>
          <w:tcPr>
            <w:tcW w:w="9071" w:type="dxa"/>
            <w:gridSpan w:val="5"/>
            <w:shd w:val="clear" w:color="auto" w:fill="auto"/>
            <w:vAlign w:val="center"/>
          </w:tcPr>
          <w:p w14:paraId="691DACE0">
            <w:pPr>
              <w:spacing w:line="300" w:lineRule="auto"/>
              <w:rPr>
                <w:rFonts w:ascii="宋体" w:hAnsi="宋体" w:cs="宋体"/>
                <w:color w:val="auto"/>
                <w:sz w:val="24"/>
                <w:szCs w:val="24"/>
                <w:highlight w:val="none"/>
                <w:lang w:bidi="ar"/>
              </w:rPr>
            </w:pPr>
            <w:r>
              <w:rPr>
                <w:rFonts w:hint="eastAsia" w:ascii="宋体" w:hAnsi="宋体" w:cs="宋体"/>
                <w:color w:val="auto"/>
                <w:sz w:val="24"/>
                <w:szCs w:val="24"/>
                <w:highlight w:val="none"/>
                <w:lang w:bidi="ar"/>
              </w:rPr>
              <w:t>注：</w:t>
            </w:r>
          </w:p>
          <w:p w14:paraId="3A54F273">
            <w:pPr>
              <w:spacing w:line="300" w:lineRule="auto"/>
              <w:ind w:firstLine="480" w:firstLineChars="200"/>
              <w:rPr>
                <w:rFonts w:ascii="宋体" w:hAnsi="宋体" w:cs="宋体"/>
                <w:color w:val="auto"/>
                <w:sz w:val="24"/>
                <w:szCs w:val="24"/>
                <w:highlight w:val="none"/>
                <w:lang w:bidi="ar"/>
              </w:rPr>
            </w:pPr>
            <w:r>
              <w:rPr>
                <w:rFonts w:hint="eastAsia" w:ascii="宋体" w:hAnsi="宋体" w:cs="宋体"/>
                <w:color w:val="auto"/>
                <w:sz w:val="24"/>
                <w:szCs w:val="24"/>
                <w:highlight w:val="none"/>
                <w:lang w:bidi="ar"/>
              </w:rPr>
              <w:t>1、“▲”为重要性的技术参数指标，参数指标不接受负偏差；如未提供《招标文件》第四章评分因素--技术项要求的检测报告（证书）的，评标委员会将进行扣分。</w:t>
            </w:r>
          </w:p>
          <w:p w14:paraId="435C99D0">
            <w:pPr>
              <w:spacing w:line="300" w:lineRule="auto"/>
              <w:ind w:firstLine="480" w:firstLineChars="200"/>
              <w:rPr>
                <w:rFonts w:ascii="宋体" w:hAnsi="宋体" w:cs="宋体"/>
                <w:color w:val="auto"/>
                <w:sz w:val="24"/>
                <w:szCs w:val="24"/>
                <w:highlight w:val="none"/>
                <w:lang w:bidi="ar"/>
              </w:rPr>
            </w:pPr>
            <w:r>
              <w:rPr>
                <w:rFonts w:hint="eastAsia" w:ascii="宋体" w:hAnsi="宋体" w:cs="宋体"/>
                <w:color w:val="auto"/>
                <w:sz w:val="24"/>
                <w:szCs w:val="24"/>
                <w:highlight w:val="none"/>
                <w:lang w:bidi="ar"/>
              </w:rPr>
              <w:t>2、序号1-6项“标段（包）内容”中带“▲”的参数指标的检测标准分别依据GB 7000.217-2008《灯具 第2-17部分：特殊要求舞台灯光、电视、电影及摄影场所(室内外)用灯具》、GB7000.1-2015《灯具第1部分：一般要求与试验》、GB/T31897.201-2016《灯具性能第2-1部分LED灯具特殊要求》、GB/T5700-2008《照明测量方法》、GB/T4214.1-2017《家用和类似用途电器噪声测试方法通用要求》。</w:t>
            </w:r>
          </w:p>
          <w:p w14:paraId="5AA35AEA">
            <w:pPr>
              <w:spacing w:line="300" w:lineRule="auto"/>
              <w:ind w:firstLine="480" w:firstLineChars="200"/>
              <w:rPr>
                <w:color w:val="auto"/>
                <w:sz w:val="24"/>
                <w:szCs w:val="24"/>
                <w:highlight w:val="none"/>
              </w:rPr>
            </w:pPr>
            <w:r>
              <w:rPr>
                <w:rFonts w:hint="eastAsia" w:ascii="宋体" w:hAnsi="宋体" w:cs="宋体"/>
                <w:color w:val="auto"/>
                <w:sz w:val="24"/>
                <w:szCs w:val="24"/>
                <w:highlight w:val="none"/>
                <w:lang w:bidi="ar"/>
              </w:rPr>
              <w:t>3、序号</w:t>
            </w:r>
            <w:r>
              <w:rPr>
                <w:rFonts w:hint="eastAsia" w:ascii="宋体" w:hAnsi="宋体" w:cs="宋体"/>
                <w:color w:val="auto"/>
                <w:sz w:val="24"/>
                <w:szCs w:val="24"/>
                <w:highlight w:val="none"/>
                <w:lang w:val="en-US" w:eastAsia="zh-CN" w:bidi="ar"/>
              </w:rPr>
              <w:t>26</w:t>
            </w:r>
            <w:r>
              <w:rPr>
                <w:rFonts w:hint="eastAsia" w:ascii="宋体" w:hAnsi="宋体" w:cs="宋体"/>
                <w:color w:val="auto"/>
                <w:sz w:val="24"/>
                <w:szCs w:val="24"/>
                <w:highlight w:val="none"/>
                <w:lang w:bidi="ar"/>
              </w:rPr>
              <w:t>、2</w:t>
            </w:r>
            <w:r>
              <w:rPr>
                <w:rFonts w:hint="eastAsia" w:ascii="宋体" w:hAnsi="宋体" w:cs="宋体"/>
                <w:color w:val="auto"/>
                <w:sz w:val="24"/>
                <w:szCs w:val="24"/>
                <w:highlight w:val="none"/>
                <w:lang w:val="en-US" w:eastAsia="zh-CN" w:bidi="ar"/>
              </w:rPr>
              <w:t>7</w:t>
            </w:r>
            <w:r>
              <w:rPr>
                <w:rFonts w:hint="eastAsia" w:ascii="宋体" w:hAnsi="宋体" w:cs="宋体"/>
                <w:color w:val="auto"/>
                <w:sz w:val="24"/>
                <w:szCs w:val="24"/>
                <w:highlight w:val="none"/>
                <w:lang w:bidi="ar"/>
              </w:rPr>
              <w:t>项“标段（包）内容”中带“▲”检测标准分别依据WH/T27-2007及WH/T28-2008的标准检验，WH/T27-2007《舞台机械 验收检测程序》、WH/T28-2007《舞台机械 台上设备安全》、GB/T36727-2018《舞台机械验收检测规范》。</w:t>
            </w:r>
          </w:p>
        </w:tc>
      </w:tr>
    </w:tbl>
    <w:p w14:paraId="2CC23D41">
      <w:pPr>
        <w:widowControl w:val="0"/>
        <w:adjustRightInd w:val="0"/>
        <w:snapToGrid w:val="0"/>
        <w:spacing w:before="156" w:beforeLines="50" w:line="300" w:lineRule="auto"/>
        <w:ind w:firstLine="460" w:firstLineChars="192"/>
        <w:rPr>
          <w:color w:val="auto"/>
          <w:sz w:val="24"/>
          <w:szCs w:val="24"/>
          <w:highlight w:val="none"/>
        </w:rPr>
      </w:pPr>
      <w:r>
        <w:rPr>
          <w:rFonts w:hint="eastAsia"/>
          <w:color w:val="auto"/>
          <w:sz w:val="24"/>
          <w:szCs w:val="24"/>
          <w:highlight w:val="none"/>
        </w:rPr>
        <w:t>注：1、投标人按照上述各产品（货物）所对应标明的所属行业，判断所投标的各产品（货物）的</w:t>
      </w:r>
      <w:r>
        <w:rPr>
          <w:rFonts w:hint="eastAsia" w:ascii="宋体" w:hAnsi="宋体"/>
          <w:color w:val="auto"/>
          <w:sz w:val="24"/>
          <w:szCs w:val="24"/>
          <w:highlight w:val="none"/>
        </w:rPr>
        <w:t>制造企业</w:t>
      </w:r>
      <w:r>
        <w:rPr>
          <w:rFonts w:hint="eastAsia"/>
          <w:color w:val="auto"/>
          <w:sz w:val="24"/>
          <w:szCs w:val="24"/>
          <w:highlight w:val="none"/>
        </w:rPr>
        <w:t>是否属该行业（采购文件标明的）的小微企业。</w:t>
      </w:r>
    </w:p>
    <w:p w14:paraId="1241C55A">
      <w:pPr>
        <w:widowControl w:val="0"/>
        <w:adjustRightInd w:val="0"/>
        <w:snapToGrid w:val="0"/>
        <w:spacing w:before="156" w:beforeLines="50" w:line="300" w:lineRule="auto"/>
        <w:ind w:firstLine="460" w:firstLineChars="192"/>
        <w:rPr>
          <w:color w:val="auto"/>
          <w:sz w:val="24"/>
          <w:szCs w:val="24"/>
          <w:highlight w:val="none"/>
        </w:rPr>
      </w:pPr>
      <w:r>
        <w:rPr>
          <w:rFonts w:hint="eastAsia"/>
          <w:color w:val="auto"/>
          <w:sz w:val="24"/>
          <w:szCs w:val="24"/>
          <w:highlight w:val="none"/>
        </w:rPr>
        <w:t>提醒：产品(货物）的</w:t>
      </w:r>
      <w:r>
        <w:rPr>
          <w:rFonts w:hint="eastAsia" w:ascii="宋体" w:hAnsi="宋体"/>
          <w:color w:val="auto"/>
          <w:sz w:val="24"/>
          <w:szCs w:val="24"/>
          <w:highlight w:val="none"/>
        </w:rPr>
        <w:t>制造企业</w:t>
      </w:r>
      <w:r>
        <w:rPr>
          <w:rFonts w:hint="eastAsia"/>
          <w:color w:val="auto"/>
          <w:sz w:val="24"/>
          <w:szCs w:val="24"/>
          <w:highlight w:val="none"/>
        </w:rPr>
        <w:t>不应按照自身的行业属性作为小微企业的判断标准（应按采购文件标明的产品所属行业进行判断）。</w:t>
      </w:r>
    </w:p>
    <w:p w14:paraId="15F2FC31">
      <w:pPr>
        <w:widowControl w:val="0"/>
        <w:adjustRightInd w:val="0"/>
        <w:snapToGrid w:val="0"/>
        <w:spacing w:before="156" w:beforeLines="50" w:line="300" w:lineRule="auto"/>
        <w:ind w:firstLine="460" w:firstLineChars="192"/>
        <w:rPr>
          <w:rFonts w:hint="eastAsia"/>
          <w:color w:val="auto"/>
          <w:sz w:val="24"/>
          <w:szCs w:val="24"/>
          <w:highlight w:val="none"/>
        </w:rPr>
      </w:pPr>
      <w:r>
        <w:rPr>
          <w:rFonts w:hint="eastAsia"/>
          <w:color w:val="auto"/>
          <w:sz w:val="24"/>
          <w:szCs w:val="24"/>
          <w:highlight w:val="none"/>
        </w:rPr>
        <w:t>2、本标段（包）核心产品为：无风机LED数字三动作聚光灯、无风机LED电动变焦聚光灯、灯杆吊机。</w:t>
      </w:r>
    </w:p>
    <w:p w14:paraId="25D287C0">
      <w:pPr>
        <w:widowControl w:val="0"/>
        <w:adjustRightInd w:val="0"/>
        <w:snapToGrid w:val="0"/>
        <w:spacing w:before="156" w:beforeLines="50" w:line="300" w:lineRule="auto"/>
        <w:ind w:firstLine="460" w:firstLineChars="192"/>
        <w:rPr>
          <w:rFonts w:hint="eastAsia"/>
          <w:color w:val="auto"/>
          <w:sz w:val="24"/>
          <w:szCs w:val="24"/>
          <w:highlight w:val="none"/>
        </w:rPr>
      </w:pPr>
      <w:r>
        <w:rPr>
          <w:rFonts w:hint="eastAsia"/>
          <w:color w:val="auto"/>
          <w:sz w:val="24"/>
          <w:szCs w:val="24"/>
          <w:highlight w:val="none"/>
        </w:rPr>
        <w:t>3、如涉及台式计算机、便携式计算机、一体式计算机、工作站、通用服务器、操作系统、数据库的，按第六章12-2附件要求执行。</w:t>
      </w:r>
    </w:p>
    <w:p w14:paraId="3C58C4DF">
      <w:pPr>
        <w:widowControl w:val="0"/>
        <w:adjustRightInd w:val="0"/>
        <w:snapToGrid w:val="0"/>
        <w:spacing w:before="156" w:beforeLines="50" w:line="300" w:lineRule="auto"/>
        <w:ind w:firstLine="460" w:firstLineChars="192"/>
        <w:rPr>
          <w:color w:val="auto"/>
          <w:sz w:val="24"/>
          <w:szCs w:val="24"/>
          <w:highlight w:val="none"/>
        </w:rPr>
      </w:pPr>
      <w:r>
        <w:rPr>
          <w:color w:val="auto"/>
          <w:sz w:val="24"/>
          <w:szCs w:val="24"/>
          <w:highlight w:val="none"/>
        </w:rPr>
        <w:t>2.</w:t>
      </w:r>
      <w:r>
        <w:rPr>
          <w:rFonts w:hint="eastAsia"/>
          <w:color w:val="auto"/>
          <w:sz w:val="24"/>
          <w:szCs w:val="24"/>
          <w:highlight w:val="none"/>
        </w:rPr>
        <w:t>4</w:t>
      </w:r>
      <w:r>
        <w:rPr>
          <w:color w:val="auto"/>
          <w:sz w:val="24"/>
          <w:szCs w:val="24"/>
          <w:highlight w:val="none"/>
        </w:rPr>
        <w:t xml:space="preserve">.1 </w:t>
      </w:r>
      <w:r>
        <w:rPr>
          <w:rFonts w:hint="eastAsia"/>
          <w:color w:val="auto"/>
          <w:sz w:val="24"/>
          <w:szCs w:val="24"/>
          <w:highlight w:val="none"/>
        </w:rPr>
        <w:t>应遵循第三章投标人须知</w:t>
      </w:r>
      <w:r>
        <w:rPr>
          <w:color w:val="auto"/>
          <w:sz w:val="24"/>
          <w:szCs w:val="24"/>
          <w:highlight w:val="none"/>
        </w:rPr>
        <w:t>3.7.</w:t>
      </w:r>
      <w:r>
        <w:rPr>
          <w:rFonts w:hint="eastAsia"/>
          <w:color w:val="auto"/>
          <w:sz w:val="24"/>
          <w:szCs w:val="24"/>
          <w:highlight w:val="none"/>
        </w:rPr>
        <w:t>5项规定。</w:t>
      </w:r>
    </w:p>
    <w:p w14:paraId="6F613EE1">
      <w:pPr>
        <w:widowControl w:val="0"/>
        <w:adjustRightInd w:val="0"/>
        <w:snapToGrid w:val="0"/>
        <w:spacing w:before="156" w:beforeLines="50" w:line="300" w:lineRule="auto"/>
        <w:ind w:firstLine="460" w:firstLineChars="192"/>
        <w:rPr>
          <w:color w:val="auto"/>
          <w:sz w:val="24"/>
          <w:szCs w:val="24"/>
          <w:highlight w:val="none"/>
        </w:rPr>
      </w:pPr>
      <w:r>
        <w:rPr>
          <w:color w:val="auto"/>
          <w:sz w:val="24"/>
          <w:szCs w:val="24"/>
          <w:highlight w:val="none"/>
        </w:rPr>
        <w:t>2.</w:t>
      </w:r>
      <w:r>
        <w:rPr>
          <w:rFonts w:hint="eastAsia"/>
          <w:color w:val="auto"/>
          <w:sz w:val="24"/>
          <w:szCs w:val="24"/>
          <w:highlight w:val="none"/>
        </w:rPr>
        <w:t>4</w:t>
      </w:r>
      <w:r>
        <w:rPr>
          <w:color w:val="auto"/>
          <w:sz w:val="24"/>
          <w:szCs w:val="24"/>
          <w:highlight w:val="none"/>
        </w:rPr>
        <w:t xml:space="preserve">.2 </w:t>
      </w:r>
      <w:r>
        <w:rPr>
          <w:rFonts w:hint="eastAsia"/>
          <w:color w:val="auto"/>
          <w:sz w:val="24"/>
          <w:szCs w:val="24"/>
          <w:highlight w:val="none"/>
        </w:rPr>
        <w:t>中标人负责设备的安装、调试，并具备正常使用条件。</w:t>
      </w:r>
    </w:p>
    <w:p w14:paraId="300447CB">
      <w:pPr>
        <w:widowControl w:val="0"/>
        <w:adjustRightInd w:val="0"/>
        <w:snapToGrid w:val="0"/>
        <w:spacing w:before="156" w:beforeLines="50" w:line="300" w:lineRule="auto"/>
        <w:ind w:firstLine="463" w:firstLineChars="192"/>
        <w:rPr>
          <w:rFonts w:ascii="宋体" w:hAnsi="宋体" w:cs="宋体"/>
          <w:b/>
          <w:color w:val="auto"/>
          <w:sz w:val="24"/>
          <w:szCs w:val="24"/>
          <w:highlight w:val="none"/>
        </w:rPr>
      </w:pPr>
    </w:p>
    <w:p w14:paraId="17ED763F">
      <w:pPr>
        <w:adjustRightInd w:val="0"/>
        <w:snapToGrid w:val="0"/>
        <w:spacing w:before="156" w:beforeLines="50" w:line="300" w:lineRule="auto"/>
        <w:ind w:firstLine="482" w:firstLineChars="200"/>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5</w:t>
      </w:r>
      <w:r>
        <w:rPr>
          <w:rFonts w:ascii="黑体" w:hAnsi="黑体" w:eastAsia="黑体"/>
          <w:b/>
          <w:color w:val="auto"/>
          <w:sz w:val="24"/>
          <w:szCs w:val="24"/>
          <w:highlight w:val="none"/>
        </w:rPr>
        <w:t xml:space="preserve"> </w:t>
      </w:r>
      <w:r>
        <w:rPr>
          <w:rFonts w:hint="eastAsia" w:ascii="黑体" w:hAnsi="黑体" w:eastAsia="黑体"/>
          <w:b/>
          <w:color w:val="auto"/>
          <w:sz w:val="24"/>
          <w:szCs w:val="24"/>
          <w:highlight w:val="none"/>
        </w:rPr>
        <w:t>安</w:t>
      </w:r>
      <w:r>
        <w:rPr>
          <w:rFonts w:ascii="黑体" w:hAnsi="黑体" w:eastAsia="黑体"/>
          <w:b/>
          <w:color w:val="auto"/>
          <w:sz w:val="24"/>
          <w:szCs w:val="24"/>
          <w:highlight w:val="none"/>
        </w:rPr>
        <w:t>全</w:t>
      </w:r>
    </w:p>
    <w:p w14:paraId="61F7B032">
      <w:pPr>
        <w:widowControl w:val="0"/>
        <w:adjustRightInd w:val="0"/>
        <w:snapToGrid w:val="0"/>
        <w:spacing w:before="156" w:beforeLines="50" w:line="300" w:lineRule="auto"/>
        <w:ind w:left="22" w:firstLine="555"/>
        <w:jc w:val="left"/>
        <w:rPr>
          <w:color w:val="auto"/>
          <w:sz w:val="24"/>
          <w:szCs w:val="24"/>
          <w:highlight w:val="none"/>
        </w:rPr>
      </w:pPr>
      <w:r>
        <w:rPr>
          <w:rFonts w:hint="eastAsia"/>
          <w:color w:val="auto"/>
          <w:sz w:val="24"/>
          <w:szCs w:val="24"/>
          <w:highlight w:val="none"/>
        </w:rPr>
        <w:t>投标产品应符合国家、行业的各</w:t>
      </w:r>
      <w:r>
        <w:rPr>
          <w:color w:val="auto"/>
          <w:sz w:val="24"/>
          <w:szCs w:val="24"/>
          <w:highlight w:val="none"/>
        </w:rPr>
        <w:t>项</w:t>
      </w:r>
      <w:r>
        <w:rPr>
          <w:rFonts w:hint="eastAsia"/>
          <w:color w:val="auto"/>
          <w:sz w:val="24"/>
          <w:szCs w:val="24"/>
          <w:highlight w:val="none"/>
        </w:rPr>
        <w:t>安全标准，投</w:t>
      </w:r>
      <w:r>
        <w:rPr>
          <w:color w:val="auto"/>
          <w:sz w:val="24"/>
          <w:szCs w:val="24"/>
          <w:highlight w:val="none"/>
        </w:rPr>
        <w:t>标</w:t>
      </w:r>
      <w:r>
        <w:rPr>
          <w:rFonts w:hint="eastAsia"/>
          <w:color w:val="auto"/>
          <w:sz w:val="24"/>
          <w:szCs w:val="24"/>
          <w:highlight w:val="none"/>
        </w:rPr>
        <w:t>人</w:t>
      </w:r>
      <w:r>
        <w:rPr>
          <w:color w:val="auto"/>
          <w:sz w:val="24"/>
          <w:szCs w:val="24"/>
          <w:highlight w:val="none"/>
        </w:rPr>
        <w:t>对</w:t>
      </w:r>
      <w:r>
        <w:rPr>
          <w:rFonts w:hint="eastAsia"/>
          <w:color w:val="auto"/>
          <w:sz w:val="24"/>
          <w:szCs w:val="24"/>
          <w:highlight w:val="none"/>
        </w:rPr>
        <w:t>投标产品的</w:t>
      </w:r>
      <w:r>
        <w:rPr>
          <w:color w:val="auto"/>
          <w:sz w:val="24"/>
          <w:szCs w:val="24"/>
          <w:highlight w:val="none"/>
        </w:rPr>
        <w:t>安全性承担全部责任。</w:t>
      </w:r>
      <w:r>
        <w:rPr>
          <w:rFonts w:hint="eastAsia"/>
          <w:color w:val="auto"/>
          <w:sz w:val="24"/>
          <w:szCs w:val="24"/>
          <w:highlight w:val="none"/>
        </w:rPr>
        <w:t>生产或销售不符合保障人身、财产安全的国家标准、行业标准的产品，将</w:t>
      </w:r>
      <w:r>
        <w:rPr>
          <w:color w:val="auto"/>
          <w:sz w:val="24"/>
          <w:szCs w:val="24"/>
          <w:highlight w:val="none"/>
        </w:rPr>
        <w:t>依法承担民事及相应刑事责任</w:t>
      </w:r>
      <w:r>
        <w:rPr>
          <w:rFonts w:hint="eastAsia"/>
          <w:color w:val="auto"/>
          <w:sz w:val="24"/>
          <w:szCs w:val="24"/>
          <w:highlight w:val="none"/>
        </w:rPr>
        <w:t>。合</w:t>
      </w:r>
      <w:r>
        <w:rPr>
          <w:color w:val="auto"/>
          <w:sz w:val="24"/>
          <w:szCs w:val="24"/>
          <w:highlight w:val="none"/>
        </w:rPr>
        <w:t>同履行中的安全责任由中标人承担全部责任。</w:t>
      </w:r>
    </w:p>
    <w:p w14:paraId="0695258C">
      <w:pPr>
        <w:adjustRightInd w:val="0"/>
        <w:snapToGrid w:val="0"/>
        <w:spacing w:before="156" w:beforeLines="50" w:line="300" w:lineRule="auto"/>
        <w:ind w:firstLine="482" w:firstLineChars="200"/>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6</w:t>
      </w:r>
      <w:r>
        <w:rPr>
          <w:rFonts w:ascii="黑体" w:hAnsi="黑体" w:eastAsia="黑体"/>
          <w:b/>
          <w:color w:val="auto"/>
          <w:sz w:val="24"/>
          <w:szCs w:val="24"/>
          <w:highlight w:val="none"/>
        </w:rPr>
        <w:t xml:space="preserve"> </w:t>
      </w:r>
      <w:r>
        <w:rPr>
          <w:rFonts w:hint="eastAsia" w:ascii="黑体" w:hAnsi="黑体" w:eastAsia="黑体"/>
          <w:b/>
          <w:color w:val="auto"/>
          <w:sz w:val="24"/>
          <w:szCs w:val="24"/>
          <w:highlight w:val="none"/>
        </w:rPr>
        <w:t>投</w:t>
      </w:r>
      <w:r>
        <w:rPr>
          <w:rFonts w:ascii="黑体" w:hAnsi="黑体" w:eastAsia="黑体"/>
          <w:b/>
          <w:color w:val="auto"/>
          <w:sz w:val="24"/>
          <w:szCs w:val="24"/>
          <w:highlight w:val="none"/>
        </w:rPr>
        <w:t>标文件</w:t>
      </w:r>
      <w:r>
        <w:rPr>
          <w:rFonts w:hint="eastAsia" w:ascii="黑体" w:hAnsi="黑体" w:eastAsia="黑体"/>
          <w:b/>
          <w:color w:val="auto"/>
          <w:sz w:val="24"/>
          <w:szCs w:val="24"/>
          <w:highlight w:val="none"/>
        </w:rPr>
        <w:t>对“基本技术要求”的</w:t>
      </w:r>
      <w:r>
        <w:rPr>
          <w:rFonts w:ascii="黑体" w:hAnsi="黑体" w:eastAsia="黑体"/>
          <w:b/>
          <w:color w:val="auto"/>
          <w:sz w:val="24"/>
          <w:szCs w:val="24"/>
          <w:highlight w:val="none"/>
        </w:rPr>
        <w:t>响应</w:t>
      </w:r>
    </w:p>
    <w:p w14:paraId="04F2CECA">
      <w:pPr>
        <w:widowControl w:val="0"/>
        <w:adjustRightInd w:val="0"/>
        <w:snapToGrid w:val="0"/>
        <w:spacing w:before="156" w:beforeLines="50" w:line="300" w:lineRule="auto"/>
        <w:ind w:left="22" w:firstLine="555"/>
        <w:jc w:val="left"/>
        <w:rPr>
          <w:color w:val="auto"/>
          <w:sz w:val="24"/>
          <w:szCs w:val="24"/>
          <w:highlight w:val="none"/>
        </w:rPr>
      </w:pPr>
      <w:r>
        <w:rPr>
          <w:rFonts w:hint="eastAsia"/>
          <w:color w:val="auto"/>
          <w:sz w:val="24"/>
          <w:szCs w:val="24"/>
          <w:highlight w:val="none"/>
        </w:rPr>
        <w:t>“基本技术要求”为采购</w:t>
      </w:r>
      <w:r>
        <w:rPr>
          <w:color w:val="auto"/>
          <w:sz w:val="24"/>
          <w:szCs w:val="24"/>
          <w:highlight w:val="none"/>
        </w:rPr>
        <w:t>需求的</w:t>
      </w:r>
      <w:r>
        <w:rPr>
          <w:rFonts w:hint="eastAsia"/>
          <w:color w:val="auto"/>
          <w:sz w:val="24"/>
          <w:szCs w:val="24"/>
          <w:highlight w:val="none"/>
        </w:rPr>
        <w:t>基础</w:t>
      </w:r>
      <w:r>
        <w:rPr>
          <w:color w:val="auto"/>
          <w:sz w:val="24"/>
          <w:szCs w:val="24"/>
          <w:highlight w:val="none"/>
        </w:rPr>
        <w:t>性</w:t>
      </w:r>
      <w:r>
        <w:rPr>
          <w:rFonts w:hint="eastAsia"/>
          <w:color w:val="auto"/>
          <w:sz w:val="24"/>
          <w:szCs w:val="24"/>
          <w:highlight w:val="none"/>
        </w:rPr>
        <w:t>要求，投</w:t>
      </w:r>
      <w:r>
        <w:rPr>
          <w:color w:val="auto"/>
          <w:sz w:val="24"/>
          <w:szCs w:val="24"/>
          <w:highlight w:val="none"/>
        </w:rPr>
        <w:t>标产品应当明确，</w:t>
      </w:r>
      <w:r>
        <w:rPr>
          <w:rFonts w:hint="eastAsia"/>
          <w:color w:val="auto"/>
          <w:sz w:val="24"/>
          <w:szCs w:val="24"/>
          <w:highlight w:val="none"/>
        </w:rPr>
        <w:t>投</w:t>
      </w:r>
      <w:r>
        <w:rPr>
          <w:color w:val="auto"/>
          <w:sz w:val="24"/>
          <w:szCs w:val="24"/>
          <w:highlight w:val="none"/>
        </w:rPr>
        <w:t>标</w:t>
      </w:r>
      <w:r>
        <w:rPr>
          <w:rFonts w:hint="eastAsia"/>
          <w:color w:val="auto"/>
          <w:sz w:val="24"/>
          <w:szCs w:val="24"/>
          <w:highlight w:val="none"/>
        </w:rPr>
        <w:t>技术参数应最</w:t>
      </w:r>
      <w:r>
        <w:rPr>
          <w:color w:val="auto"/>
          <w:sz w:val="24"/>
          <w:szCs w:val="24"/>
          <w:highlight w:val="none"/>
        </w:rPr>
        <w:t>终指向具体明确的产</w:t>
      </w:r>
      <w:r>
        <w:rPr>
          <w:rFonts w:hint="eastAsia"/>
          <w:color w:val="auto"/>
          <w:sz w:val="24"/>
          <w:szCs w:val="24"/>
          <w:highlight w:val="none"/>
        </w:rPr>
        <w:t>品。投</w:t>
      </w:r>
      <w:r>
        <w:rPr>
          <w:color w:val="auto"/>
          <w:sz w:val="24"/>
          <w:szCs w:val="24"/>
          <w:highlight w:val="none"/>
        </w:rPr>
        <w:t>标</w:t>
      </w:r>
      <w:r>
        <w:rPr>
          <w:rFonts w:hint="eastAsia"/>
          <w:color w:val="auto"/>
          <w:sz w:val="24"/>
          <w:szCs w:val="24"/>
          <w:highlight w:val="none"/>
        </w:rPr>
        <w:t>文</w:t>
      </w:r>
      <w:r>
        <w:rPr>
          <w:color w:val="auto"/>
          <w:sz w:val="24"/>
          <w:szCs w:val="24"/>
          <w:highlight w:val="none"/>
        </w:rPr>
        <w:t>件</w:t>
      </w:r>
      <w:r>
        <w:rPr>
          <w:rFonts w:hint="eastAsia"/>
          <w:color w:val="auto"/>
          <w:sz w:val="24"/>
          <w:szCs w:val="24"/>
          <w:highlight w:val="none"/>
        </w:rPr>
        <w:t>技术参数抄袭招标文件“基本技术要求”，投</w:t>
      </w:r>
      <w:r>
        <w:rPr>
          <w:color w:val="auto"/>
          <w:sz w:val="24"/>
          <w:szCs w:val="24"/>
          <w:highlight w:val="none"/>
        </w:rPr>
        <w:t>标产品</w:t>
      </w:r>
      <w:r>
        <w:rPr>
          <w:rFonts w:hint="eastAsia"/>
          <w:color w:val="auto"/>
          <w:sz w:val="24"/>
          <w:szCs w:val="24"/>
          <w:highlight w:val="none"/>
        </w:rPr>
        <w:t>不</w:t>
      </w:r>
      <w:r>
        <w:rPr>
          <w:color w:val="auto"/>
          <w:sz w:val="24"/>
          <w:szCs w:val="24"/>
          <w:highlight w:val="none"/>
        </w:rPr>
        <w:t>明确</w:t>
      </w:r>
      <w:r>
        <w:rPr>
          <w:rFonts w:hint="eastAsia"/>
          <w:color w:val="auto"/>
          <w:sz w:val="24"/>
          <w:szCs w:val="24"/>
          <w:highlight w:val="none"/>
        </w:rPr>
        <w:t>的</w:t>
      </w:r>
      <w:r>
        <w:rPr>
          <w:color w:val="auto"/>
          <w:sz w:val="24"/>
          <w:szCs w:val="24"/>
          <w:highlight w:val="none"/>
        </w:rPr>
        <w:t>、或</w:t>
      </w:r>
      <w:r>
        <w:rPr>
          <w:rFonts w:hint="eastAsia"/>
          <w:color w:val="auto"/>
          <w:sz w:val="24"/>
          <w:szCs w:val="24"/>
          <w:highlight w:val="none"/>
        </w:rPr>
        <w:t>与投</w:t>
      </w:r>
      <w:r>
        <w:rPr>
          <w:color w:val="auto"/>
          <w:sz w:val="24"/>
          <w:szCs w:val="24"/>
          <w:highlight w:val="none"/>
        </w:rPr>
        <w:t>标产品</w:t>
      </w:r>
      <w:r>
        <w:rPr>
          <w:rFonts w:hint="eastAsia"/>
          <w:color w:val="auto"/>
          <w:sz w:val="24"/>
          <w:szCs w:val="24"/>
          <w:highlight w:val="none"/>
        </w:rPr>
        <w:t>不</w:t>
      </w:r>
      <w:r>
        <w:rPr>
          <w:color w:val="auto"/>
          <w:sz w:val="24"/>
          <w:szCs w:val="24"/>
          <w:highlight w:val="none"/>
        </w:rPr>
        <w:t>一致</w:t>
      </w:r>
      <w:r>
        <w:rPr>
          <w:rFonts w:hint="eastAsia"/>
          <w:color w:val="auto"/>
          <w:sz w:val="24"/>
          <w:szCs w:val="24"/>
          <w:highlight w:val="none"/>
        </w:rPr>
        <w:t>的</w:t>
      </w:r>
      <w:r>
        <w:rPr>
          <w:color w:val="auto"/>
          <w:sz w:val="24"/>
          <w:szCs w:val="24"/>
          <w:highlight w:val="none"/>
        </w:rPr>
        <w:t>，</w:t>
      </w:r>
      <w:r>
        <w:rPr>
          <w:rFonts w:hint="eastAsia"/>
          <w:color w:val="auto"/>
          <w:sz w:val="24"/>
          <w:szCs w:val="24"/>
          <w:highlight w:val="none"/>
        </w:rPr>
        <w:t>评标委员会有权按照实质性判断原则评定其为无效投标。</w:t>
      </w:r>
    </w:p>
    <w:p w14:paraId="4A57D7B1">
      <w:pPr>
        <w:adjustRightInd w:val="0"/>
        <w:snapToGrid w:val="0"/>
        <w:spacing w:before="156" w:beforeLines="50" w:line="300" w:lineRule="auto"/>
        <w:ind w:firstLine="482" w:firstLineChars="200"/>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7技术偏离</w:t>
      </w:r>
    </w:p>
    <w:p w14:paraId="167EC99A">
      <w:pPr>
        <w:widowControl w:val="0"/>
        <w:adjustRightInd w:val="0"/>
        <w:snapToGrid w:val="0"/>
        <w:spacing w:before="156" w:beforeLines="50" w:line="300" w:lineRule="auto"/>
        <w:ind w:left="22" w:firstLine="555"/>
        <w:jc w:val="left"/>
        <w:rPr>
          <w:color w:val="auto"/>
          <w:sz w:val="24"/>
          <w:szCs w:val="24"/>
          <w:highlight w:val="none"/>
        </w:rPr>
      </w:pPr>
      <w:r>
        <w:rPr>
          <w:color w:val="auto"/>
          <w:sz w:val="24"/>
          <w:szCs w:val="24"/>
          <w:highlight w:val="none"/>
        </w:rPr>
        <w:t>2.</w:t>
      </w:r>
      <w:r>
        <w:rPr>
          <w:rFonts w:hint="eastAsia"/>
          <w:color w:val="auto"/>
          <w:sz w:val="24"/>
          <w:szCs w:val="24"/>
          <w:highlight w:val="none"/>
        </w:rPr>
        <w:t>7</w:t>
      </w:r>
      <w:r>
        <w:rPr>
          <w:color w:val="auto"/>
          <w:sz w:val="24"/>
          <w:szCs w:val="24"/>
          <w:highlight w:val="none"/>
        </w:rPr>
        <w:t xml:space="preserve">.1 </w:t>
      </w:r>
      <w:r>
        <w:rPr>
          <w:rFonts w:hint="eastAsia"/>
          <w:color w:val="auto"/>
          <w:sz w:val="24"/>
          <w:szCs w:val="24"/>
          <w:highlight w:val="none"/>
        </w:rPr>
        <w:t>“基本技术要求”列示的参数、规格为基础</w:t>
      </w:r>
      <w:r>
        <w:rPr>
          <w:color w:val="auto"/>
          <w:sz w:val="24"/>
          <w:szCs w:val="24"/>
          <w:highlight w:val="none"/>
        </w:rPr>
        <w:t>性</w:t>
      </w:r>
      <w:r>
        <w:rPr>
          <w:rFonts w:hint="eastAsia"/>
          <w:color w:val="auto"/>
          <w:sz w:val="24"/>
          <w:szCs w:val="24"/>
          <w:highlight w:val="none"/>
        </w:rPr>
        <w:t>要求，投标人可提供质量性能参数相等或优于的其他产品；投</w:t>
      </w:r>
      <w:r>
        <w:rPr>
          <w:color w:val="auto"/>
          <w:sz w:val="24"/>
          <w:szCs w:val="24"/>
          <w:highlight w:val="none"/>
        </w:rPr>
        <w:t>标产品的</w:t>
      </w:r>
      <w:r>
        <w:rPr>
          <w:rFonts w:hint="eastAsia"/>
          <w:color w:val="auto"/>
          <w:sz w:val="24"/>
          <w:szCs w:val="24"/>
          <w:highlight w:val="none"/>
        </w:rPr>
        <w:t>规格参数与“基本技术要求”不</w:t>
      </w:r>
      <w:r>
        <w:rPr>
          <w:color w:val="auto"/>
          <w:sz w:val="24"/>
          <w:szCs w:val="24"/>
          <w:highlight w:val="none"/>
        </w:rPr>
        <w:t>同</w:t>
      </w:r>
      <w:r>
        <w:rPr>
          <w:rFonts w:hint="eastAsia"/>
          <w:color w:val="auto"/>
          <w:sz w:val="24"/>
          <w:szCs w:val="24"/>
          <w:highlight w:val="none"/>
        </w:rPr>
        <w:t>、</w:t>
      </w:r>
      <w:r>
        <w:rPr>
          <w:color w:val="auto"/>
          <w:sz w:val="24"/>
          <w:szCs w:val="24"/>
          <w:highlight w:val="none"/>
        </w:rPr>
        <w:t>且</w:t>
      </w:r>
      <w:r>
        <w:rPr>
          <w:rFonts w:hint="eastAsia"/>
          <w:color w:val="auto"/>
          <w:sz w:val="24"/>
          <w:szCs w:val="24"/>
          <w:highlight w:val="none"/>
        </w:rPr>
        <w:t>投标人认</w:t>
      </w:r>
      <w:r>
        <w:rPr>
          <w:color w:val="auto"/>
          <w:sz w:val="24"/>
          <w:szCs w:val="24"/>
          <w:highlight w:val="none"/>
        </w:rPr>
        <w:t>为</w:t>
      </w:r>
      <w:r>
        <w:rPr>
          <w:rFonts w:hint="eastAsia"/>
          <w:color w:val="auto"/>
          <w:sz w:val="24"/>
          <w:szCs w:val="24"/>
          <w:highlight w:val="none"/>
        </w:rPr>
        <w:t>投</w:t>
      </w:r>
      <w:r>
        <w:rPr>
          <w:color w:val="auto"/>
          <w:sz w:val="24"/>
          <w:szCs w:val="24"/>
          <w:highlight w:val="none"/>
        </w:rPr>
        <w:t>标产品的</w:t>
      </w:r>
      <w:r>
        <w:rPr>
          <w:rFonts w:hint="eastAsia"/>
          <w:color w:val="auto"/>
          <w:sz w:val="24"/>
          <w:szCs w:val="24"/>
          <w:highlight w:val="none"/>
        </w:rPr>
        <w:t>规格参数等</w:t>
      </w:r>
      <w:r>
        <w:rPr>
          <w:color w:val="auto"/>
          <w:sz w:val="24"/>
          <w:szCs w:val="24"/>
          <w:highlight w:val="none"/>
        </w:rPr>
        <w:t>于或优于</w:t>
      </w:r>
      <w:r>
        <w:rPr>
          <w:rFonts w:hint="eastAsia"/>
          <w:color w:val="auto"/>
          <w:sz w:val="24"/>
          <w:szCs w:val="24"/>
          <w:highlight w:val="none"/>
        </w:rPr>
        <w:t>“基本技术要求”的</w:t>
      </w:r>
      <w:r>
        <w:rPr>
          <w:color w:val="auto"/>
          <w:sz w:val="24"/>
          <w:szCs w:val="24"/>
          <w:highlight w:val="none"/>
        </w:rPr>
        <w:t>，</w:t>
      </w:r>
      <w:r>
        <w:rPr>
          <w:rFonts w:hint="eastAsia"/>
          <w:color w:val="auto"/>
          <w:sz w:val="24"/>
          <w:szCs w:val="24"/>
          <w:highlight w:val="none"/>
        </w:rPr>
        <w:t>投标人应提供相关证明材料（如权威评测资料、及印刷品产品说明书或印刷品图册等）以供评标委员会评审投标产品是</w:t>
      </w:r>
      <w:r>
        <w:rPr>
          <w:color w:val="auto"/>
          <w:sz w:val="24"/>
          <w:szCs w:val="24"/>
          <w:highlight w:val="none"/>
        </w:rPr>
        <w:t>否</w:t>
      </w:r>
      <w:r>
        <w:rPr>
          <w:rFonts w:hint="eastAsia"/>
          <w:color w:val="auto"/>
          <w:sz w:val="24"/>
          <w:szCs w:val="24"/>
          <w:highlight w:val="none"/>
        </w:rPr>
        <w:t>等于或优于“基本技术要求”、从而</w:t>
      </w:r>
      <w:r>
        <w:rPr>
          <w:color w:val="auto"/>
          <w:sz w:val="24"/>
          <w:szCs w:val="24"/>
          <w:highlight w:val="none"/>
        </w:rPr>
        <w:t>评定</w:t>
      </w:r>
      <w:r>
        <w:rPr>
          <w:rFonts w:hint="eastAsia"/>
          <w:color w:val="auto"/>
          <w:sz w:val="24"/>
          <w:szCs w:val="24"/>
          <w:highlight w:val="none"/>
        </w:rPr>
        <w:t>投标产品是</w:t>
      </w:r>
      <w:r>
        <w:rPr>
          <w:color w:val="auto"/>
          <w:sz w:val="24"/>
          <w:szCs w:val="24"/>
          <w:highlight w:val="none"/>
        </w:rPr>
        <w:t>否</w:t>
      </w:r>
      <w:r>
        <w:rPr>
          <w:rFonts w:hint="eastAsia"/>
          <w:color w:val="auto"/>
          <w:sz w:val="24"/>
          <w:szCs w:val="24"/>
          <w:highlight w:val="none"/>
        </w:rPr>
        <w:t>满</w:t>
      </w:r>
      <w:r>
        <w:rPr>
          <w:color w:val="auto"/>
          <w:sz w:val="24"/>
          <w:szCs w:val="24"/>
          <w:highlight w:val="none"/>
        </w:rPr>
        <w:t>足</w:t>
      </w:r>
      <w:r>
        <w:rPr>
          <w:rFonts w:hint="eastAsia"/>
          <w:color w:val="auto"/>
          <w:sz w:val="24"/>
          <w:szCs w:val="24"/>
          <w:highlight w:val="none"/>
        </w:rPr>
        <w:t>“基本技术要求”。</w:t>
      </w:r>
    </w:p>
    <w:p w14:paraId="1602823F">
      <w:pPr>
        <w:widowControl w:val="0"/>
        <w:adjustRightInd w:val="0"/>
        <w:snapToGrid w:val="0"/>
        <w:spacing w:before="156" w:beforeLines="50" w:line="300" w:lineRule="auto"/>
        <w:ind w:left="22" w:firstLine="555"/>
        <w:jc w:val="left"/>
        <w:rPr>
          <w:color w:val="auto"/>
          <w:sz w:val="24"/>
          <w:szCs w:val="24"/>
          <w:highlight w:val="none"/>
        </w:rPr>
      </w:pPr>
      <w:r>
        <w:rPr>
          <w:rFonts w:hint="eastAsia"/>
          <w:color w:val="auto"/>
          <w:sz w:val="24"/>
          <w:szCs w:val="24"/>
          <w:highlight w:val="none"/>
        </w:rPr>
        <w:t xml:space="preserve"> “基本技术要求”列示的参数、规格为区</w:t>
      </w:r>
      <w:r>
        <w:rPr>
          <w:color w:val="auto"/>
          <w:sz w:val="24"/>
          <w:szCs w:val="24"/>
          <w:highlight w:val="none"/>
        </w:rPr>
        <w:t>间性描述的，</w:t>
      </w:r>
      <w:r>
        <w:rPr>
          <w:rFonts w:hint="eastAsia"/>
          <w:color w:val="auto"/>
          <w:sz w:val="24"/>
          <w:szCs w:val="24"/>
          <w:highlight w:val="none"/>
        </w:rPr>
        <w:t>投</w:t>
      </w:r>
      <w:r>
        <w:rPr>
          <w:color w:val="auto"/>
          <w:sz w:val="24"/>
          <w:szCs w:val="24"/>
          <w:highlight w:val="none"/>
        </w:rPr>
        <w:t>标产品</w:t>
      </w:r>
      <w:r>
        <w:rPr>
          <w:rFonts w:hint="eastAsia"/>
          <w:color w:val="auto"/>
          <w:sz w:val="24"/>
          <w:szCs w:val="24"/>
          <w:highlight w:val="none"/>
        </w:rPr>
        <w:t>参数规格</w:t>
      </w:r>
      <w:r>
        <w:rPr>
          <w:color w:val="auto"/>
          <w:sz w:val="24"/>
          <w:szCs w:val="24"/>
          <w:highlight w:val="none"/>
        </w:rPr>
        <w:t>在此区间内的</w:t>
      </w:r>
      <w:r>
        <w:rPr>
          <w:rFonts w:hint="eastAsia"/>
          <w:color w:val="auto"/>
          <w:sz w:val="24"/>
          <w:szCs w:val="24"/>
          <w:highlight w:val="none"/>
        </w:rPr>
        <w:t>、则</w:t>
      </w:r>
      <w:r>
        <w:rPr>
          <w:color w:val="auto"/>
          <w:sz w:val="24"/>
          <w:szCs w:val="24"/>
          <w:highlight w:val="none"/>
        </w:rPr>
        <w:t>显见的为</w:t>
      </w:r>
      <w:r>
        <w:rPr>
          <w:rFonts w:hint="eastAsia"/>
          <w:color w:val="auto"/>
          <w:sz w:val="24"/>
          <w:szCs w:val="24"/>
          <w:highlight w:val="none"/>
        </w:rPr>
        <w:t>符</w:t>
      </w:r>
      <w:r>
        <w:rPr>
          <w:color w:val="auto"/>
          <w:sz w:val="24"/>
          <w:szCs w:val="24"/>
          <w:highlight w:val="none"/>
        </w:rPr>
        <w:t>合</w:t>
      </w:r>
      <w:r>
        <w:rPr>
          <w:rFonts w:hint="eastAsia"/>
          <w:color w:val="auto"/>
          <w:sz w:val="24"/>
          <w:szCs w:val="24"/>
          <w:highlight w:val="none"/>
        </w:rPr>
        <w:t>“基本技术要求”。</w:t>
      </w:r>
    </w:p>
    <w:p w14:paraId="2395A6D9">
      <w:pPr>
        <w:widowControl w:val="0"/>
        <w:adjustRightInd w:val="0"/>
        <w:snapToGrid w:val="0"/>
        <w:spacing w:before="156" w:beforeLines="50" w:line="300" w:lineRule="auto"/>
        <w:ind w:left="22" w:firstLine="555"/>
        <w:jc w:val="left"/>
        <w:rPr>
          <w:color w:val="auto"/>
          <w:sz w:val="24"/>
          <w:szCs w:val="24"/>
          <w:highlight w:val="none"/>
        </w:rPr>
      </w:pPr>
      <w:r>
        <w:rPr>
          <w:color w:val="auto"/>
          <w:sz w:val="24"/>
          <w:szCs w:val="24"/>
          <w:highlight w:val="none"/>
        </w:rPr>
        <w:t>如</w:t>
      </w:r>
      <w:r>
        <w:rPr>
          <w:rFonts w:hint="eastAsia"/>
          <w:color w:val="auto"/>
          <w:sz w:val="24"/>
          <w:szCs w:val="24"/>
          <w:highlight w:val="none"/>
        </w:rPr>
        <w:t>“基本技术要求”中列示有品牌</w:t>
      </w:r>
      <w:r>
        <w:rPr>
          <w:color w:val="auto"/>
          <w:sz w:val="24"/>
          <w:szCs w:val="24"/>
          <w:highlight w:val="none"/>
        </w:rPr>
        <w:t>、</w:t>
      </w:r>
      <w:r>
        <w:rPr>
          <w:rFonts w:hint="eastAsia"/>
          <w:color w:val="auto"/>
          <w:sz w:val="24"/>
          <w:szCs w:val="24"/>
          <w:highlight w:val="none"/>
        </w:rPr>
        <w:t>型号、生</w:t>
      </w:r>
      <w:r>
        <w:rPr>
          <w:color w:val="auto"/>
          <w:sz w:val="24"/>
          <w:szCs w:val="24"/>
          <w:highlight w:val="none"/>
        </w:rPr>
        <w:t>产供应商名称</w:t>
      </w:r>
      <w:r>
        <w:rPr>
          <w:rFonts w:hint="eastAsia"/>
          <w:color w:val="auto"/>
          <w:sz w:val="24"/>
          <w:szCs w:val="24"/>
          <w:highlight w:val="none"/>
        </w:rPr>
        <w:t>、</w:t>
      </w:r>
      <w:r>
        <w:rPr>
          <w:color w:val="auto"/>
          <w:sz w:val="24"/>
          <w:szCs w:val="24"/>
          <w:highlight w:val="none"/>
        </w:rPr>
        <w:t>专利、商标</w:t>
      </w:r>
      <w:r>
        <w:rPr>
          <w:rFonts w:hint="eastAsia"/>
          <w:color w:val="auto"/>
          <w:sz w:val="24"/>
          <w:szCs w:val="24"/>
          <w:highlight w:val="none"/>
        </w:rPr>
        <w:t>的</w:t>
      </w:r>
      <w:r>
        <w:rPr>
          <w:color w:val="auto"/>
          <w:sz w:val="24"/>
          <w:szCs w:val="24"/>
          <w:highlight w:val="none"/>
        </w:rPr>
        <w:t>，</w:t>
      </w:r>
      <w:r>
        <w:rPr>
          <w:rFonts w:hint="eastAsia"/>
          <w:color w:val="auto"/>
          <w:sz w:val="24"/>
          <w:szCs w:val="24"/>
          <w:highlight w:val="none"/>
        </w:rPr>
        <w:t>均为“参</w:t>
      </w:r>
      <w:r>
        <w:rPr>
          <w:color w:val="auto"/>
          <w:sz w:val="24"/>
          <w:szCs w:val="24"/>
          <w:highlight w:val="none"/>
        </w:rPr>
        <w:t>照或相当于</w:t>
      </w:r>
      <w:r>
        <w:rPr>
          <w:rFonts w:hint="eastAsia"/>
          <w:color w:val="auto"/>
          <w:sz w:val="24"/>
          <w:szCs w:val="24"/>
          <w:highlight w:val="none"/>
        </w:rPr>
        <w:t>”的</w:t>
      </w:r>
      <w:r>
        <w:rPr>
          <w:color w:val="auto"/>
          <w:sz w:val="24"/>
          <w:szCs w:val="24"/>
          <w:highlight w:val="none"/>
        </w:rPr>
        <w:t>技术标准</w:t>
      </w:r>
      <w:r>
        <w:rPr>
          <w:rFonts w:hint="eastAsia"/>
          <w:color w:val="auto"/>
          <w:sz w:val="24"/>
          <w:szCs w:val="24"/>
          <w:highlight w:val="none"/>
        </w:rPr>
        <w:t>，投标人可提供等于或优于的其他产品（其他</w:t>
      </w:r>
      <w:r>
        <w:rPr>
          <w:color w:val="auto"/>
          <w:sz w:val="24"/>
          <w:szCs w:val="24"/>
          <w:highlight w:val="none"/>
        </w:rPr>
        <w:t>的</w:t>
      </w:r>
      <w:r>
        <w:rPr>
          <w:rFonts w:hint="eastAsia"/>
          <w:color w:val="auto"/>
          <w:sz w:val="24"/>
          <w:szCs w:val="24"/>
          <w:highlight w:val="none"/>
        </w:rPr>
        <w:t>品牌、型号、生产供应商、专利、商标</w:t>
      </w:r>
      <w:r>
        <w:rPr>
          <w:color w:val="auto"/>
          <w:sz w:val="24"/>
          <w:szCs w:val="24"/>
          <w:highlight w:val="none"/>
        </w:rPr>
        <w:t>）</w:t>
      </w:r>
      <w:r>
        <w:rPr>
          <w:rFonts w:hint="eastAsia"/>
          <w:color w:val="auto"/>
          <w:sz w:val="24"/>
          <w:szCs w:val="24"/>
          <w:highlight w:val="none"/>
        </w:rPr>
        <w:t>；投标人应提供相关证明材料（如权威评测资料、及印刷品产品说明书或印刷品图册等）以供评标委员会评审投标产品是否等于或优于“基本技术要求”、从而评定投标产品是否满足“基本技术要求”。</w:t>
      </w:r>
    </w:p>
    <w:p w14:paraId="53648747">
      <w:pPr>
        <w:widowControl w:val="0"/>
        <w:adjustRightInd w:val="0"/>
        <w:snapToGrid w:val="0"/>
        <w:spacing w:before="156" w:beforeLines="50" w:line="300" w:lineRule="auto"/>
        <w:ind w:firstLine="540"/>
        <w:rPr>
          <w:color w:val="auto"/>
          <w:sz w:val="24"/>
          <w:szCs w:val="24"/>
          <w:highlight w:val="none"/>
        </w:rPr>
      </w:pPr>
      <w:r>
        <w:rPr>
          <w:rFonts w:hint="eastAsia"/>
          <w:color w:val="auto"/>
          <w:sz w:val="24"/>
          <w:szCs w:val="24"/>
          <w:highlight w:val="none"/>
        </w:rPr>
        <w:t>2.7.2“基本技术要求”中带实心三角（▲）的为重要性的技术参数指标，参数指标不接受负偏差，如未提供《招标文件》第四章评分因素--技术项要求的检测报告（证书）的，评标委员会将进行扣分；未标注符号的为一般性的技术参数指标，如有“负偏离”的，评标委员会将按照《招标文件》第四章评分因素--技术项要求进行扣分。</w:t>
      </w:r>
    </w:p>
    <w:p w14:paraId="096293DE">
      <w:pPr>
        <w:widowControl w:val="0"/>
        <w:adjustRightInd w:val="0"/>
        <w:snapToGrid w:val="0"/>
        <w:spacing w:before="156" w:beforeLines="50" w:line="300" w:lineRule="auto"/>
        <w:ind w:left="22" w:firstLine="555"/>
        <w:jc w:val="left"/>
        <w:rPr>
          <w:color w:val="auto"/>
          <w:sz w:val="24"/>
          <w:szCs w:val="24"/>
          <w:highlight w:val="none"/>
        </w:rPr>
      </w:pPr>
      <w:r>
        <w:rPr>
          <w:color w:val="auto"/>
          <w:sz w:val="24"/>
          <w:szCs w:val="24"/>
          <w:highlight w:val="none"/>
        </w:rPr>
        <w:t>2.</w:t>
      </w:r>
      <w:r>
        <w:rPr>
          <w:rFonts w:hint="eastAsia"/>
          <w:color w:val="auto"/>
          <w:sz w:val="24"/>
          <w:szCs w:val="24"/>
          <w:highlight w:val="none"/>
        </w:rPr>
        <w:t>7</w:t>
      </w:r>
      <w:r>
        <w:rPr>
          <w:color w:val="auto"/>
          <w:sz w:val="24"/>
          <w:szCs w:val="24"/>
          <w:highlight w:val="none"/>
        </w:rPr>
        <w:t>.</w:t>
      </w:r>
      <w:r>
        <w:rPr>
          <w:rFonts w:hint="eastAsia"/>
          <w:color w:val="auto"/>
          <w:sz w:val="24"/>
          <w:szCs w:val="24"/>
          <w:highlight w:val="none"/>
        </w:rPr>
        <w:t>3</w:t>
      </w:r>
      <w:r>
        <w:rPr>
          <w:color w:val="auto"/>
          <w:sz w:val="24"/>
          <w:szCs w:val="24"/>
          <w:highlight w:val="none"/>
        </w:rPr>
        <w:t xml:space="preserve"> </w:t>
      </w:r>
      <w:r>
        <w:rPr>
          <w:rFonts w:hint="eastAsia"/>
          <w:color w:val="auto"/>
          <w:sz w:val="24"/>
          <w:szCs w:val="24"/>
          <w:highlight w:val="none"/>
        </w:rPr>
        <w:t>除招标文件“基本技术要求”有明确说明外，投标人所投标的各项设备均应为该设备的标准配置、不应改变或调换厂家的出厂标准配置；如确因市场因素无法按上述规格产品进行投标，应提供优于“基本技术要求”的同类产品进行投标，投标人应提供印刷品产品说明书或印刷品图册等予以佐证（电子档）。</w:t>
      </w:r>
    </w:p>
    <w:p w14:paraId="63615A34">
      <w:pPr>
        <w:widowControl w:val="0"/>
        <w:adjustRightInd w:val="0"/>
        <w:snapToGrid w:val="0"/>
        <w:spacing w:before="156" w:beforeLines="50" w:line="300" w:lineRule="auto"/>
        <w:ind w:firstLine="540"/>
        <w:rPr>
          <w:color w:val="auto"/>
          <w:sz w:val="24"/>
          <w:szCs w:val="24"/>
          <w:highlight w:val="none"/>
        </w:rPr>
      </w:pPr>
      <w:r>
        <w:rPr>
          <w:color w:val="auto"/>
          <w:sz w:val="24"/>
          <w:szCs w:val="24"/>
          <w:highlight w:val="none"/>
        </w:rPr>
        <w:t>2.</w:t>
      </w:r>
      <w:r>
        <w:rPr>
          <w:rFonts w:hint="eastAsia"/>
          <w:color w:val="auto"/>
          <w:sz w:val="24"/>
          <w:szCs w:val="24"/>
          <w:highlight w:val="none"/>
        </w:rPr>
        <w:t>7</w:t>
      </w:r>
      <w:r>
        <w:rPr>
          <w:color w:val="auto"/>
          <w:sz w:val="24"/>
          <w:szCs w:val="24"/>
          <w:highlight w:val="none"/>
        </w:rPr>
        <w:t>.</w:t>
      </w:r>
      <w:r>
        <w:rPr>
          <w:rFonts w:hint="eastAsia"/>
          <w:color w:val="auto"/>
          <w:sz w:val="24"/>
          <w:szCs w:val="24"/>
          <w:highlight w:val="none"/>
        </w:rPr>
        <w:t>4投标文件对技术偏差的描述要求：见第三章投标人须知</w:t>
      </w:r>
      <w:r>
        <w:rPr>
          <w:color w:val="auto"/>
          <w:sz w:val="24"/>
          <w:szCs w:val="24"/>
          <w:highlight w:val="none"/>
        </w:rPr>
        <w:t>3.7.3</w:t>
      </w:r>
      <w:r>
        <w:rPr>
          <w:rFonts w:hint="eastAsia"/>
          <w:color w:val="auto"/>
          <w:sz w:val="24"/>
          <w:szCs w:val="24"/>
          <w:highlight w:val="none"/>
        </w:rPr>
        <w:t>项。</w:t>
      </w:r>
    </w:p>
    <w:p w14:paraId="6717A3BC">
      <w:pPr>
        <w:adjustRightInd w:val="0"/>
        <w:snapToGrid w:val="0"/>
        <w:spacing w:line="300" w:lineRule="auto"/>
        <w:ind w:firstLine="566" w:firstLineChars="235"/>
        <w:jc w:val="left"/>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8</w:t>
      </w:r>
      <w:r>
        <w:rPr>
          <w:rFonts w:ascii="黑体" w:hAnsi="黑体" w:eastAsia="黑体"/>
          <w:b/>
          <w:color w:val="auto"/>
          <w:sz w:val="24"/>
          <w:szCs w:val="24"/>
          <w:highlight w:val="none"/>
        </w:rPr>
        <w:t xml:space="preserve"> </w:t>
      </w:r>
      <w:r>
        <w:rPr>
          <w:rFonts w:hint="eastAsia" w:ascii="黑体" w:hAnsi="黑体" w:eastAsia="黑体"/>
          <w:b/>
          <w:color w:val="auto"/>
          <w:sz w:val="24"/>
          <w:szCs w:val="24"/>
          <w:highlight w:val="none"/>
        </w:rPr>
        <w:t>售后服务（采购标的需满足的服务标准、期限、效率等要求）</w:t>
      </w:r>
    </w:p>
    <w:p w14:paraId="03EC4166">
      <w:pPr>
        <w:widowControl w:val="0"/>
        <w:adjustRightInd w:val="0"/>
        <w:snapToGrid w:val="0"/>
        <w:spacing w:before="156" w:beforeLines="50" w:line="300" w:lineRule="auto"/>
        <w:ind w:firstLine="538"/>
        <w:rPr>
          <w:color w:val="auto"/>
          <w:sz w:val="24"/>
          <w:szCs w:val="24"/>
          <w:highlight w:val="none"/>
        </w:rPr>
      </w:pPr>
      <w:r>
        <w:rPr>
          <w:color w:val="auto"/>
          <w:sz w:val="24"/>
          <w:szCs w:val="24"/>
          <w:highlight w:val="none"/>
        </w:rPr>
        <w:t>2.</w:t>
      </w:r>
      <w:r>
        <w:rPr>
          <w:rFonts w:hint="eastAsia"/>
          <w:color w:val="auto"/>
          <w:sz w:val="24"/>
          <w:szCs w:val="24"/>
          <w:highlight w:val="none"/>
        </w:rPr>
        <w:t>8</w:t>
      </w:r>
      <w:r>
        <w:rPr>
          <w:color w:val="auto"/>
          <w:sz w:val="24"/>
          <w:szCs w:val="24"/>
          <w:highlight w:val="none"/>
        </w:rPr>
        <w:t>.1</w:t>
      </w:r>
      <w:r>
        <w:rPr>
          <w:rFonts w:hint="eastAsia"/>
          <w:color w:val="auto"/>
          <w:sz w:val="24"/>
          <w:szCs w:val="24"/>
          <w:highlight w:val="none"/>
        </w:rPr>
        <w:t>货物的保修除按国家有关规定、各产品生产厂家规定及项目特殊要求处理外，还应满足下述条款：</w:t>
      </w:r>
    </w:p>
    <w:p w14:paraId="5485F81A">
      <w:pPr>
        <w:widowControl w:val="0"/>
        <w:adjustRightInd w:val="0"/>
        <w:snapToGrid w:val="0"/>
        <w:spacing w:before="156" w:beforeLines="50" w:line="300" w:lineRule="auto"/>
        <w:ind w:firstLine="538"/>
        <w:rPr>
          <w:color w:val="auto"/>
          <w:sz w:val="24"/>
          <w:szCs w:val="24"/>
          <w:highlight w:val="none"/>
        </w:rPr>
      </w:pPr>
      <w:r>
        <w:rPr>
          <w:rFonts w:hint="eastAsia"/>
          <w:color w:val="auto"/>
          <w:sz w:val="24"/>
          <w:szCs w:val="24"/>
          <w:highlight w:val="none"/>
        </w:rPr>
        <w:t>（</w:t>
      </w:r>
      <w:r>
        <w:rPr>
          <w:color w:val="auto"/>
          <w:sz w:val="24"/>
          <w:szCs w:val="24"/>
          <w:highlight w:val="none"/>
        </w:rPr>
        <w:t>1</w:t>
      </w:r>
      <w:r>
        <w:rPr>
          <w:rFonts w:hint="eastAsia"/>
          <w:color w:val="auto"/>
          <w:sz w:val="24"/>
          <w:szCs w:val="24"/>
          <w:highlight w:val="none"/>
        </w:rPr>
        <w:t>）招标文件中未明确列明保修条款的设备，均需提供至少一年的免费保修；国家规定或产品生产厂家规定大于一年的，按国家规定与厂家规定最有利于采购人原则执行；招标文件已明确列明大于一年保修的，按该条款及其响应执行，并终身维护；</w:t>
      </w:r>
    </w:p>
    <w:p w14:paraId="5FB16389">
      <w:pPr>
        <w:widowControl w:val="0"/>
        <w:adjustRightInd w:val="0"/>
        <w:snapToGrid w:val="0"/>
        <w:spacing w:before="156" w:beforeLines="50" w:line="300" w:lineRule="auto"/>
        <w:ind w:left="22" w:firstLine="538"/>
        <w:rPr>
          <w:color w:val="auto"/>
          <w:sz w:val="24"/>
          <w:szCs w:val="24"/>
          <w:highlight w:val="none"/>
        </w:rPr>
      </w:pPr>
      <w:r>
        <w:rPr>
          <w:rFonts w:hint="eastAsia"/>
          <w:color w:val="auto"/>
          <w:sz w:val="24"/>
          <w:szCs w:val="24"/>
          <w:highlight w:val="none"/>
        </w:rPr>
        <w:t>（</w:t>
      </w:r>
      <w:r>
        <w:rPr>
          <w:color w:val="auto"/>
          <w:sz w:val="24"/>
          <w:szCs w:val="24"/>
          <w:highlight w:val="none"/>
        </w:rPr>
        <w:t>2</w:t>
      </w:r>
      <w:r>
        <w:rPr>
          <w:rFonts w:hint="eastAsia"/>
          <w:color w:val="auto"/>
          <w:sz w:val="24"/>
          <w:szCs w:val="24"/>
          <w:highlight w:val="none"/>
        </w:rPr>
        <w:t>）保修期内货物发生故障系货物出现质量问题，必须无偿更换；</w:t>
      </w:r>
    </w:p>
    <w:p w14:paraId="4A4CEB9C">
      <w:pPr>
        <w:widowControl w:val="0"/>
        <w:adjustRightInd w:val="0"/>
        <w:snapToGrid w:val="0"/>
        <w:spacing w:before="156" w:beforeLines="50" w:line="300" w:lineRule="auto"/>
        <w:ind w:firstLine="538"/>
        <w:rPr>
          <w:color w:val="auto"/>
          <w:sz w:val="24"/>
          <w:szCs w:val="24"/>
          <w:highlight w:val="none"/>
        </w:rPr>
      </w:pPr>
      <w:r>
        <w:rPr>
          <w:rFonts w:hint="eastAsia"/>
          <w:color w:val="auto"/>
          <w:sz w:val="24"/>
          <w:szCs w:val="24"/>
          <w:highlight w:val="none"/>
        </w:rPr>
        <w:t>（</w:t>
      </w:r>
      <w:r>
        <w:rPr>
          <w:color w:val="auto"/>
          <w:sz w:val="24"/>
          <w:szCs w:val="24"/>
          <w:highlight w:val="none"/>
        </w:rPr>
        <w:t>3</w:t>
      </w:r>
      <w:r>
        <w:rPr>
          <w:rFonts w:hint="eastAsia"/>
          <w:color w:val="auto"/>
          <w:sz w:val="24"/>
          <w:szCs w:val="24"/>
          <w:highlight w:val="none"/>
        </w:rPr>
        <w:t>）货物超过保修期发生故障，采购人可自由选择维修单位，如委托给中标人，中标人不得借故推诿，且维修费优于市场价格；</w:t>
      </w:r>
    </w:p>
    <w:p w14:paraId="7E0650C3">
      <w:pPr>
        <w:widowControl w:val="0"/>
        <w:adjustRightInd w:val="0"/>
        <w:snapToGrid w:val="0"/>
        <w:spacing w:before="156" w:beforeLines="50" w:line="300" w:lineRule="auto"/>
        <w:ind w:firstLine="538"/>
        <w:rPr>
          <w:color w:val="auto"/>
          <w:sz w:val="24"/>
          <w:szCs w:val="24"/>
          <w:highlight w:val="none"/>
        </w:rPr>
      </w:pPr>
      <w:r>
        <w:rPr>
          <w:rFonts w:hint="eastAsia"/>
          <w:color w:val="auto"/>
          <w:sz w:val="24"/>
          <w:szCs w:val="24"/>
          <w:highlight w:val="none"/>
        </w:rPr>
        <w:t>（</w:t>
      </w:r>
      <w:r>
        <w:rPr>
          <w:color w:val="auto"/>
          <w:sz w:val="24"/>
          <w:szCs w:val="24"/>
          <w:highlight w:val="none"/>
        </w:rPr>
        <w:t>4</w:t>
      </w:r>
      <w:r>
        <w:rPr>
          <w:rFonts w:hint="eastAsia"/>
          <w:color w:val="auto"/>
          <w:sz w:val="24"/>
          <w:szCs w:val="24"/>
          <w:highlight w:val="none"/>
        </w:rPr>
        <w:t>）如货物发生故障，接到通知后需尽快做出响应，并在</w:t>
      </w:r>
      <w:r>
        <w:rPr>
          <w:color w:val="auto"/>
          <w:sz w:val="24"/>
          <w:szCs w:val="24"/>
          <w:highlight w:val="none"/>
        </w:rPr>
        <w:t>24</w:t>
      </w:r>
      <w:r>
        <w:rPr>
          <w:rFonts w:hint="eastAsia"/>
          <w:color w:val="auto"/>
          <w:sz w:val="24"/>
          <w:szCs w:val="24"/>
          <w:highlight w:val="none"/>
        </w:rPr>
        <w:t>小时内及时赶到现场，负责故障原因的诊断，尽快排除故障。</w:t>
      </w:r>
    </w:p>
    <w:p w14:paraId="49C0BE56">
      <w:pPr>
        <w:widowControl w:val="0"/>
        <w:adjustRightInd w:val="0"/>
        <w:snapToGrid w:val="0"/>
        <w:spacing w:before="156" w:beforeLines="50" w:line="300" w:lineRule="auto"/>
        <w:ind w:firstLine="538"/>
        <w:rPr>
          <w:color w:val="auto"/>
          <w:sz w:val="24"/>
          <w:szCs w:val="24"/>
          <w:highlight w:val="none"/>
        </w:rPr>
      </w:pPr>
      <w:r>
        <w:rPr>
          <w:color w:val="auto"/>
          <w:sz w:val="24"/>
          <w:szCs w:val="24"/>
          <w:highlight w:val="none"/>
        </w:rPr>
        <w:t>2.</w:t>
      </w:r>
      <w:r>
        <w:rPr>
          <w:rFonts w:hint="eastAsia"/>
          <w:color w:val="auto"/>
          <w:sz w:val="24"/>
          <w:szCs w:val="24"/>
          <w:highlight w:val="none"/>
        </w:rPr>
        <w:t>8</w:t>
      </w:r>
      <w:r>
        <w:rPr>
          <w:color w:val="auto"/>
          <w:sz w:val="24"/>
          <w:szCs w:val="24"/>
          <w:highlight w:val="none"/>
        </w:rPr>
        <w:t xml:space="preserve">.2 </w:t>
      </w:r>
      <w:r>
        <w:rPr>
          <w:rFonts w:hint="eastAsia"/>
          <w:color w:val="auto"/>
          <w:sz w:val="24"/>
          <w:szCs w:val="24"/>
          <w:highlight w:val="none"/>
        </w:rPr>
        <w:t>在中标人未按照合同规定的地点交验前，货物毁坏或灭失，由中标人承担责任。</w:t>
      </w:r>
    </w:p>
    <w:p w14:paraId="008C7713">
      <w:pPr>
        <w:widowControl w:val="0"/>
        <w:adjustRightInd w:val="0"/>
        <w:snapToGrid w:val="0"/>
        <w:spacing w:before="156" w:beforeLines="50" w:line="300" w:lineRule="auto"/>
        <w:ind w:firstLine="538"/>
        <w:rPr>
          <w:color w:val="auto"/>
          <w:highlight w:val="none"/>
        </w:rPr>
      </w:pPr>
      <w:r>
        <w:rPr>
          <w:color w:val="auto"/>
          <w:sz w:val="24"/>
          <w:szCs w:val="24"/>
          <w:highlight w:val="none"/>
        </w:rPr>
        <w:t>2.</w:t>
      </w:r>
      <w:r>
        <w:rPr>
          <w:rFonts w:hint="eastAsia"/>
          <w:color w:val="auto"/>
          <w:sz w:val="24"/>
          <w:szCs w:val="24"/>
          <w:highlight w:val="none"/>
        </w:rPr>
        <w:t>8</w:t>
      </w:r>
      <w:r>
        <w:rPr>
          <w:color w:val="auto"/>
          <w:sz w:val="24"/>
          <w:szCs w:val="24"/>
          <w:highlight w:val="none"/>
        </w:rPr>
        <w:t>.3</w:t>
      </w:r>
      <w:r>
        <w:rPr>
          <w:rFonts w:hint="eastAsia" w:ascii="宋体" w:hAnsi="宋体"/>
          <w:color w:val="auto"/>
          <w:sz w:val="24"/>
          <w:szCs w:val="24"/>
          <w:highlight w:val="none"/>
        </w:rPr>
        <w:t>投标人需提供详尽的售后服务承诺；如由产品生产厂家提供相关售后服务的，投标人负有连带售后服</w:t>
      </w:r>
      <w:r>
        <w:rPr>
          <w:rFonts w:hint="eastAsia"/>
          <w:color w:val="auto"/>
          <w:sz w:val="24"/>
          <w:szCs w:val="24"/>
          <w:highlight w:val="none"/>
        </w:rPr>
        <w:t>务责任。</w:t>
      </w:r>
    </w:p>
    <w:p w14:paraId="3D1D77AE">
      <w:pPr>
        <w:adjustRightInd w:val="0"/>
        <w:snapToGrid w:val="0"/>
        <w:spacing w:line="300" w:lineRule="auto"/>
        <w:ind w:firstLine="566" w:firstLineChars="235"/>
        <w:jc w:val="left"/>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9保险、货物包装</w:t>
      </w:r>
    </w:p>
    <w:p w14:paraId="39263AFC">
      <w:pPr>
        <w:adjustRightInd w:val="0"/>
        <w:snapToGrid w:val="0"/>
        <w:spacing w:line="300" w:lineRule="auto"/>
        <w:ind w:firstLine="564" w:firstLineChars="235"/>
        <w:jc w:val="left"/>
        <w:rPr>
          <w:color w:val="auto"/>
          <w:sz w:val="24"/>
          <w:szCs w:val="24"/>
          <w:highlight w:val="none"/>
        </w:rPr>
      </w:pPr>
      <w:r>
        <w:rPr>
          <w:rFonts w:hint="eastAsia"/>
          <w:color w:val="auto"/>
          <w:sz w:val="24"/>
          <w:szCs w:val="24"/>
          <w:highlight w:val="none"/>
        </w:rPr>
        <w:t>2.9.1保险（如需）：</w:t>
      </w:r>
    </w:p>
    <w:p w14:paraId="177F7E0B">
      <w:pPr>
        <w:adjustRightInd w:val="0"/>
        <w:snapToGrid w:val="0"/>
        <w:spacing w:line="300" w:lineRule="auto"/>
        <w:ind w:firstLine="564" w:firstLineChars="235"/>
        <w:jc w:val="left"/>
        <w:rPr>
          <w:color w:val="auto"/>
          <w:sz w:val="24"/>
          <w:szCs w:val="24"/>
          <w:highlight w:val="none"/>
        </w:rPr>
      </w:pPr>
      <w:r>
        <w:rPr>
          <w:rFonts w:hint="eastAsia"/>
          <w:color w:val="auto"/>
          <w:sz w:val="24"/>
          <w:szCs w:val="24"/>
          <w:highlight w:val="none"/>
        </w:rPr>
        <w:t>投标人应遵循国家相关保险的规定，依法办理采购需求范围内的相关法定保险，相关保险费用及相应责任由中标人承担。</w:t>
      </w:r>
    </w:p>
    <w:p w14:paraId="580DE9E5">
      <w:pPr>
        <w:adjustRightInd w:val="0"/>
        <w:snapToGrid w:val="0"/>
        <w:spacing w:line="300" w:lineRule="auto"/>
        <w:ind w:firstLine="564" w:firstLineChars="235"/>
        <w:jc w:val="left"/>
        <w:rPr>
          <w:color w:val="auto"/>
          <w:sz w:val="24"/>
          <w:szCs w:val="24"/>
          <w:highlight w:val="none"/>
        </w:rPr>
      </w:pPr>
      <w:r>
        <w:rPr>
          <w:rFonts w:hint="eastAsia"/>
          <w:color w:val="auto"/>
          <w:sz w:val="24"/>
          <w:szCs w:val="24"/>
          <w:highlight w:val="none"/>
        </w:rPr>
        <w:t>在中标人未按照合同规定的地点交验前，货物毁坏或灭失，人身、安全责任，均由中标人承担责任。投标人可以按照最有利于项目风险控制的原则，为项目办理货物、人身及第三方公众责任险。</w:t>
      </w:r>
    </w:p>
    <w:p w14:paraId="6952F6FE">
      <w:pPr>
        <w:adjustRightInd w:val="0"/>
        <w:snapToGrid w:val="0"/>
        <w:spacing w:line="300" w:lineRule="auto"/>
        <w:ind w:firstLine="564" w:firstLineChars="235"/>
        <w:jc w:val="left"/>
        <w:rPr>
          <w:color w:val="auto"/>
          <w:sz w:val="24"/>
          <w:szCs w:val="24"/>
          <w:highlight w:val="none"/>
        </w:rPr>
      </w:pPr>
      <w:r>
        <w:rPr>
          <w:rFonts w:hint="eastAsia"/>
          <w:color w:val="auto"/>
          <w:sz w:val="24"/>
          <w:szCs w:val="24"/>
          <w:highlight w:val="none"/>
        </w:rPr>
        <w:t>2.9.2货物包装：</w:t>
      </w:r>
    </w:p>
    <w:p w14:paraId="4E414B0E">
      <w:pPr>
        <w:adjustRightInd w:val="0"/>
        <w:snapToGrid w:val="0"/>
        <w:spacing w:line="300" w:lineRule="auto"/>
        <w:ind w:firstLine="564" w:firstLineChars="235"/>
        <w:jc w:val="left"/>
        <w:rPr>
          <w:color w:val="auto"/>
          <w:sz w:val="24"/>
          <w:szCs w:val="24"/>
          <w:highlight w:val="none"/>
        </w:rPr>
      </w:pPr>
      <w:r>
        <w:rPr>
          <w:rFonts w:hint="eastAsia"/>
          <w:color w:val="auto"/>
          <w:sz w:val="24"/>
          <w:szCs w:val="24"/>
          <w:highlight w:val="none"/>
        </w:rPr>
        <w:t>中标人负责按国家相关标准进行货物包装，设备的包装均应有良好的防湿、防锈、防潮、防雨、防腐及防碰撞的措施，凡由于包装不良造成的损失和由此产生的费用均由中标人承担。</w:t>
      </w:r>
    </w:p>
    <w:p w14:paraId="37D14B93">
      <w:pPr>
        <w:adjustRightInd w:val="0"/>
        <w:snapToGrid w:val="0"/>
        <w:spacing w:line="300" w:lineRule="auto"/>
        <w:ind w:firstLine="566" w:firstLineChars="235"/>
        <w:jc w:val="left"/>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10采购标的的验收标准</w:t>
      </w:r>
    </w:p>
    <w:p w14:paraId="3E3E5BC1">
      <w:pPr>
        <w:adjustRightInd w:val="0"/>
        <w:snapToGrid w:val="0"/>
        <w:spacing w:line="300" w:lineRule="auto"/>
        <w:ind w:firstLine="564" w:firstLineChars="235"/>
        <w:jc w:val="left"/>
        <w:rPr>
          <w:rFonts w:ascii="宋体" w:hAnsi="宋体" w:cs="楷体_GB2312"/>
          <w:color w:val="auto"/>
          <w:sz w:val="24"/>
          <w:highlight w:val="none"/>
          <w:lang w:val="zh-CN"/>
        </w:rPr>
      </w:pPr>
      <w:r>
        <w:rPr>
          <w:rFonts w:hint="eastAsia" w:ascii="宋体" w:hAnsi="宋体" w:cs="楷体_GB2312"/>
          <w:color w:val="auto"/>
          <w:sz w:val="24"/>
          <w:highlight w:val="none"/>
          <w:lang w:val="zh-CN"/>
        </w:rPr>
        <w:t>见“第三章</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投标人须知”</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第9条“验收”条款。</w:t>
      </w:r>
    </w:p>
    <w:p w14:paraId="1C08A21A">
      <w:pPr>
        <w:adjustRightInd w:val="0"/>
        <w:snapToGrid w:val="0"/>
        <w:spacing w:before="156" w:beforeLines="50" w:line="300" w:lineRule="auto"/>
        <w:ind w:firstLine="566" w:firstLineChars="235"/>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11采购标的的其他技术、服务等要求</w:t>
      </w:r>
    </w:p>
    <w:p w14:paraId="5171AEEF">
      <w:pPr>
        <w:adjustRightInd w:val="0"/>
        <w:snapToGrid w:val="0"/>
        <w:spacing w:before="156" w:beforeLines="50" w:line="300" w:lineRule="auto"/>
        <w:ind w:firstLine="480" w:firstLineChars="200"/>
        <w:rPr>
          <w:color w:val="auto"/>
          <w:sz w:val="24"/>
          <w:szCs w:val="24"/>
          <w:highlight w:val="none"/>
        </w:rPr>
      </w:pPr>
      <w:r>
        <w:rPr>
          <w:rFonts w:hint="eastAsia"/>
          <w:color w:val="auto"/>
          <w:sz w:val="24"/>
          <w:szCs w:val="24"/>
          <w:highlight w:val="none"/>
        </w:rPr>
        <w:t>无</w:t>
      </w:r>
    </w:p>
    <w:p w14:paraId="3C83B7AD">
      <w:pPr>
        <w:adjustRightInd w:val="0"/>
        <w:snapToGrid w:val="0"/>
        <w:spacing w:before="156" w:beforeLines="50" w:line="300" w:lineRule="auto"/>
        <w:ind w:firstLine="482" w:firstLineChars="200"/>
        <w:rPr>
          <w:rFonts w:ascii="黑体" w:hAnsi="黑体" w:eastAsia="黑体"/>
          <w:b/>
          <w:color w:val="auto"/>
          <w:sz w:val="24"/>
          <w:szCs w:val="24"/>
          <w:highlight w:val="none"/>
        </w:rPr>
      </w:pPr>
    </w:p>
    <w:p w14:paraId="2FA96754">
      <w:pPr>
        <w:adjustRightInd w:val="0"/>
        <w:snapToGrid w:val="0"/>
        <w:spacing w:before="156" w:beforeLines="50" w:line="300" w:lineRule="auto"/>
        <w:ind w:firstLine="562" w:firstLineChars="200"/>
        <w:outlineLvl w:val="1"/>
        <w:rPr>
          <w:rFonts w:ascii="黑体" w:hAnsi="黑体" w:eastAsia="黑体"/>
          <w:b/>
          <w:color w:val="auto"/>
          <w:sz w:val="28"/>
          <w:highlight w:val="none"/>
        </w:rPr>
      </w:pPr>
      <w:bookmarkStart w:id="21" w:name="_Toc5631"/>
      <w:r>
        <w:rPr>
          <w:rFonts w:ascii="黑体" w:hAnsi="黑体" w:eastAsia="黑体"/>
          <w:b/>
          <w:color w:val="auto"/>
          <w:sz w:val="28"/>
          <w:highlight w:val="none"/>
        </w:rPr>
        <w:t xml:space="preserve">3. </w:t>
      </w:r>
      <w:r>
        <w:rPr>
          <w:rFonts w:hint="eastAsia" w:ascii="黑体" w:hAnsi="黑体" w:eastAsia="黑体"/>
          <w:b/>
          <w:color w:val="auto"/>
          <w:sz w:val="28"/>
          <w:highlight w:val="none"/>
        </w:rPr>
        <w:t>项目其他要求</w:t>
      </w:r>
      <w:bookmarkEnd w:id="21"/>
    </w:p>
    <w:p w14:paraId="5306BF3A">
      <w:pPr>
        <w:widowControl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3.1防范虚假证明材料的要求</w:t>
      </w:r>
    </w:p>
    <w:p w14:paraId="6CC8CD3C">
      <w:pPr>
        <w:widowControl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sectPr>
          <w:pgSz w:w="11906" w:h="16838"/>
          <w:pgMar w:top="1440" w:right="1558" w:bottom="1440" w:left="1560" w:header="851" w:footer="992" w:gutter="0"/>
          <w:cols w:space="425" w:num="1"/>
          <w:docGrid w:type="lines" w:linePitch="312" w:charSpace="0"/>
        </w:sectPr>
      </w:pPr>
      <w:r>
        <w:rPr>
          <w:rFonts w:hint="eastAsia" w:asciiTheme="minorEastAsia" w:hAnsiTheme="minorEastAsia" w:eastAsiaTheme="minorEastAsia" w:cstheme="minorEastAsia"/>
          <w:color w:val="auto"/>
          <w:sz w:val="24"/>
          <w:szCs w:val="24"/>
          <w:highlight w:val="none"/>
        </w:rPr>
        <w:t>基于当前监督检查工作要求，为防范虚假材料，投标人（中标人）应按</w:t>
      </w:r>
      <w:r>
        <w:rPr>
          <w:rFonts w:hint="eastAsia" w:ascii="宋体" w:cs="楷体_GB2312"/>
          <w:color w:val="auto"/>
          <w:sz w:val="24"/>
          <w:highlight w:val="none"/>
          <w:lang w:val="zh-CN"/>
        </w:rPr>
        <w:t>第六章</w:t>
      </w:r>
      <w:r>
        <w:rPr>
          <w:rFonts w:hint="eastAsia" w:asciiTheme="minorEastAsia" w:hAnsiTheme="minorEastAsia" w:eastAsiaTheme="minorEastAsia" w:cstheme="minorEastAsia"/>
          <w:color w:val="auto"/>
          <w:sz w:val="24"/>
          <w:szCs w:val="24"/>
          <w:highlight w:val="none"/>
        </w:rPr>
        <w:t>12-3附件“证明材料查询核验工作的清单及要求”执行。</w:t>
      </w:r>
    </w:p>
    <w:p w14:paraId="76D9C0F1">
      <w:pPr>
        <w:widowControl w:val="0"/>
        <w:snapToGrid w:val="0"/>
        <w:spacing w:line="360" w:lineRule="auto"/>
        <w:ind w:firstLine="420" w:firstLineChars="200"/>
        <w:jc w:val="left"/>
        <w:rPr>
          <w:rFonts w:asciiTheme="minorEastAsia" w:hAnsiTheme="minorEastAsia" w:eastAsiaTheme="minorEastAsia" w:cstheme="minorEastAsia"/>
          <w:color w:val="auto"/>
          <w:sz w:val="24"/>
          <w:szCs w:val="24"/>
          <w:highlight w:val="none"/>
        </w:rPr>
      </w:pPr>
      <w:r>
        <w:rPr>
          <w:color w:val="auto"/>
          <w:highlight w:val="none"/>
        </w:rPr>
        <w:drawing>
          <wp:anchor distT="0" distB="0" distL="114300" distR="114300" simplePos="0" relativeHeight="251659264" behindDoc="1" locked="0" layoutInCell="1" allowOverlap="1">
            <wp:simplePos x="0" y="0"/>
            <wp:positionH relativeFrom="column">
              <wp:posOffset>203200</wp:posOffset>
            </wp:positionH>
            <wp:positionV relativeFrom="paragraph">
              <wp:posOffset>238125</wp:posOffset>
            </wp:positionV>
            <wp:extent cx="7544435" cy="5403850"/>
            <wp:effectExtent l="0" t="0" r="18415" b="6350"/>
            <wp:wrapTight wrapText="bothSides">
              <wp:wrapPolygon>
                <wp:start x="0" y="0"/>
                <wp:lineTo x="0" y="21549"/>
                <wp:lineTo x="21544" y="21549"/>
                <wp:lineTo x="21544" y="0"/>
                <wp:lineTo x="0" y="0"/>
              </wp:wrapPolygon>
            </wp:wrapTight>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11"/>
                    <a:stretch>
                      <a:fillRect/>
                    </a:stretch>
                  </pic:blipFill>
                  <pic:spPr>
                    <a:xfrm>
                      <a:off x="0" y="0"/>
                      <a:ext cx="7544435" cy="5403850"/>
                    </a:xfrm>
                    <a:prstGeom prst="rect">
                      <a:avLst/>
                    </a:prstGeom>
                    <a:noFill/>
                    <a:ln>
                      <a:noFill/>
                    </a:ln>
                  </pic:spPr>
                </pic:pic>
              </a:graphicData>
            </a:graphic>
          </wp:anchor>
        </w:drawing>
      </w:r>
      <w:r>
        <w:rPr>
          <w:rFonts w:hint="eastAsia" w:asciiTheme="minorEastAsia" w:hAnsiTheme="minorEastAsia" w:eastAsiaTheme="minorEastAsia" w:cstheme="minorEastAsia"/>
          <w:color w:val="auto"/>
          <w:sz w:val="24"/>
          <w:szCs w:val="24"/>
          <w:highlight w:val="none"/>
        </w:rPr>
        <w:t>演播厅平面图</w:t>
      </w:r>
    </w:p>
    <w:p w14:paraId="2D94E689">
      <w:pPr>
        <w:widowControl w:val="0"/>
        <w:snapToGrid w:val="0"/>
        <w:spacing w:line="360" w:lineRule="auto"/>
        <w:jc w:val="left"/>
        <w:rPr>
          <w:color w:val="auto"/>
          <w:highlight w:val="none"/>
        </w:rPr>
        <w:sectPr>
          <w:pgSz w:w="16838" w:h="11906" w:orient="landscape"/>
          <w:pgMar w:top="1560" w:right="1440" w:bottom="1558" w:left="1440" w:header="851" w:footer="992" w:gutter="0"/>
          <w:cols w:space="425" w:num="1"/>
          <w:docGrid w:type="lines" w:linePitch="312" w:charSpace="0"/>
        </w:sectPr>
      </w:pPr>
    </w:p>
    <w:p w14:paraId="2EEDA647">
      <w:pPr>
        <w:spacing w:line="560" w:lineRule="exact"/>
        <w:ind w:firstLine="562" w:firstLineChars="200"/>
        <w:outlineLvl w:val="1"/>
        <w:rPr>
          <w:rFonts w:ascii="黑体" w:hAnsi="黑体" w:eastAsia="黑体"/>
          <w:b/>
          <w:color w:val="auto"/>
          <w:sz w:val="28"/>
          <w:highlight w:val="none"/>
        </w:rPr>
      </w:pPr>
      <w:bookmarkStart w:id="22" w:name="_Toc4681"/>
      <w:r>
        <w:rPr>
          <w:rFonts w:hint="eastAsia" w:ascii="黑体" w:hAnsi="黑体" w:eastAsia="黑体"/>
          <w:b/>
          <w:color w:val="auto"/>
          <w:sz w:val="28"/>
          <w:highlight w:val="none"/>
        </w:rPr>
        <w:t>包2：</w:t>
      </w:r>
      <w:bookmarkEnd w:id="22"/>
    </w:p>
    <w:p w14:paraId="6011EFAB">
      <w:pPr>
        <w:spacing w:line="560" w:lineRule="exact"/>
        <w:ind w:firstLine="562" w:firstLineChars="200"/>
        <w:outlineLvl w:val="1"/>
        <w:rPr>
          <w:rFonts w:ascii="黑体" w:hAnsi="黑体" w:eastAsia="黑体"/>
          <w:b/>
          <w:color w:val="auto"/>
          <w:sz w:val="28"/>
          <w:highlight w:val="none"/>
        </w:rPr>
      </w:pPr>
      <w:bookmarkStart w:id="23" w:name="_Toc6106"/>
      <w:r>
        <w:rPr>
          <w:rFonts w:ascii="黑体" w:hAnsi="黑体" w:eastAsia="黑体"/>
          <w:b/>
          <w:color w:val="auto"/>
          <w:sz w:val="28"/>
          <w:highlight w:val="none"/>
        </w:rPr>
        <w:t xml:space="preserve">2. </w:t>
      </w:r>
      <w:r>
        <w:rPr>
          <w:rFonts w:hint="eastAsia" w:ascii="黑体" w:hAnsi="黑体" w:eastAsia="黑体"/>
          <w:b/>
          <w:color w:val="auto"/>
          <w:sz w:val="28"/>
          <w:highlight w:val="none"/>
        </w:rPr>
        <w:t>标段（包）内容（范围）及具体采购需求</w:t>
      </w:r>
      <w:bookmarkEnd w:id="23"/>
    </w:p>
    <w:p w14:paraId="1B6EE25D">
      <w:pPr>
        <w:widowControl w:val="0"/>
        <w:adjustRightInd w:val="0"/>
        <w:snapToGrid w:val="0"/>
        <w:spacing w:before="156" w:beforeLines="50" w:line="300" w:lineRule="auto"/>
        <w:ind w:firstLine="463" w:firstLineChars="192"/>
        <w:rPr>
          <w:rFonts w:ascii="宋体"/>
          <w:b/>
          <w:color w:val="auto"/>
          <w:sz w:val="24"/>
          <w:szCs w:val="24"/>
          <w:highlight w:val="none"/>
        </w:rPr>
      </w:pPr>
      <w:r>
        <w:rPr>
          <w:rFonts w:hint="eastAsia" w:ascii="宋体" w:hAnsi="宋体"/>
          <w:b/>
          <w:color w:val="auto"/>
          <w:sz w:val="24"/>
          <w:szCs w:val="24"/>
          <w:highlight w:val="none"/>
        </w:rPr>
        <w:t>2.1 项目概况：</w:t>
      </w:r>
    </w:p>
    <w:p w14:paraId="0D782820">
      <w:pPr>
        <w:widowControl w:val="0"/>
        <w:adjustRightInd w:val="0"/>
        <w:snapToGrid w:val="0"/>
        <w:spacing w:before="156" w:beforeLines="50" w:line="300" w:lineRule="auto"/>
        <w:ind w:firstLine="460" w:firstLineChars="192"/>
        <w:rPr>
          <w:color w:val="auto"/>
          <w:sz w:val="24"/>
          <w:szCs w:val="24"/>
          <w:highlight w:val="none"/>
        </w:rPr>
      </w:pPr>
      <w:r>
        <w:rPr>
          <w:rFonts w:hint="eastAsia"/>
          <w:color w:val="auto"/>
          <w:sz w:val="24"/>
          <w:szCs w:val="24"/>
          <w:highlight w:val="none"/>
        </w:rPr>
        <w:t>本标段（包）为安阳市融媒体中心（西区）大演播厅消火栓系统及雨淋阀组设施改造。（后附“改造平面图”）</w:t>
      </w:r>
    </w:p>
    <w:p w14:paraId="147B447D">
      <w:pPr>
        <w:widowControl w:val="0"/>
        <w:adjustRightInd w:val="0"/>
        <w:snapToGrid w:val="0"/>
        <w:spacing w:before="156" w:beforeLines="50" w:line="300" w:lineRule="auto"/>
        <w:ind w:firstLine="460" w:firstLineChars="192"/>
        <w:rPr>
          <w:color w:val="auto"/>
          <w:sz w:val="24"/>
          <w:szCs w:val="24"/>
          <w:highlight w:val="none"/>
        </w:rPr>
      </w:pPr>
      <w:r>
        <w:rPr>
          <w:rFonts w:hint="eastAsia"/>
          <w:color w:val="auto"/>
          <w:sz w:val="24"/>
          <w:szCs w:val="24"/>
          <w:highlight w:val="none"/>
        </w:rPr>
        <w:t>现状情况：</w:t>
      </w:r>
    </w:p>
    <w:p w14:paraId="069B0BFE">
      <w:pPr>
        <w:widowControl w:val="0"/>
        <w:adjustRightInd w:val="0"/>
        <w:snapToGrid w:val="0"/>
        <w:spacing w:before="156" w:beforeLines="50" w:line="300" w:lineRule="auto"/>
        <w:ind w:firstLine="460" w:firstLineChars="192"/>
        <w:rPr>
          <w:color w:val="auto"/>
          <w:sz w:val="24"/>
          <w:szCs w:val="24"/>
          <w:highlight w:val="none"/>
        </w:rPr>
      </w:pPr>
      <w:r>
        <w:rPr>
          <w:rFonts w:hint="eastAsia"/>
          <w:color w:val="auto"/>
          <w:sz w:val="24"/>
          <w:szCs w:val="24"/>
          <w:highlight w:val="none"/>
        </w:rPr>
        <w:t>西区大演播厅消防设施投入使用近30年，部分消火栓、雨淋阀及管道锈蚀严重。安全隐患较大。需要更换消防设施。确保消防安全。</w:t>
      </w:r>
    </w:p>
    <w:p w14:paraId="6F963E30">
      <w:pPr>
        <w:widowControl w:val="0"/>
        <w:adjustRightInd w:val="0"/>
        <w:snapToGrid w:val="0"/>
        <w:spacing w:before="156" w:beforeLines="50" w:line="300" w:lineRule="auto"/>
        <w:ind w:firstLine="460" w:firstLineChars="192"/>
        <w:rPr>
          <w:color w:val="auto"/>
          <w:sz w:val="24"/>
          <w:szCs w:val="24"/>
          <w:highlight w:val="none"/>
        </w:rPr>
      </w:pPr>
      <w:r>
        <w:rPr>
          <w:rFonts w:hint="eastAsia"/>
          <w:color w:val="auto"/>
          <w:sz w:val="24"/>
          <w:szCs w:val="24"/>
          <w:highlight w:val="none"/>
        </w:rPr>
        <w:t>因本项目改造不利因素较多，施工难度较大，应充分考虑施工现场实际情况，施工期间不能影响正常工作。演播大厅需要拆除的特殊材料进行恢复，保证演播厅录制音效功能正常。</w:t>
      </w:r>
    </w:p>
    <w:p w14:paraId="30B750DD">
      <w:pPr>
        <w:widowControl w:val="0"/>
        <w:adjustRightInd w:val="0"/>
        <w:snapToGrid w:val="0"/>
        <w:spacing w:before="156" w:beforeLines="50" w:line="300" w:lineRule="auto"/>
        <w:ind w:firstLine="463" w:firstLineChars="192"/>
        <w:rPr>
          <w:rFonts w:ascii="宋体"/>
          <w:b/>
          <w:color w:val="auto"/>
          <w:sz w:val="24"/>
          <w:szCs w:val="24"/>
          <w:highlight w:val="none"/>
        </w:rPr>
      </w:pPr>
      <w:r>
        <w:rPr>
          <w:rFonts w:hint="eastAsia" w:ascii="宋体" w:hAnsi="宋体"/>
          <w:b/>
          <w:color w:val="auto"/>
          <w:sz w:val="24"/>
          <w:szCs w:val="24"/>
          <w:highlight w:val="none"/>
        </w:rPr>
        <w:t>2.2工程建设标准及技术规范：</w:t>
      </w:r>
    </w:p>
    <w:p w14:paraId="68FAFD0B">
      <w:pPr>
        <w:widowControl w:val="0"/>
        <w:adjustRightInd w:val="0"/>
        <w:snapToGrid w:val="0"/>
        <w:spacing w:before="156" w:beforeLines="50" w:line="300" w:lineRule="auto"/>
        <w:ind w:firstLine="538"/>
        <w:rPr>
          <w:color w:val="auto"/>
          <w:sz w:val="24"/>
          <w:szCs w:val="24"/>
          <w:highlight w:val="none"/>
        </w:rPr>
      </w:pPr>
      <w:r>
        <w:rPr>
          <w:rFonts w:hint="eastAsia"/>
          <w:color w:val="auto"/>
          <w:sz w:val="24"/>
          <w:szCs w:val="24"/>
          <w:highlight w:val="none"/>
        </w:rPr>
        <w:t>（1）施工验收规范、规程及标准</w:t>
      </w:r>
    </w:p>
    <w:p w14:paraId="04ECAF41">
      <w:pPr>
        <w:widowControl w:val="0"/>
        <w:adjustRightInd w:val="0"/>
        <w:snapToGrid w:val="0"/>
        <w:spacing w:before="156" w:beforeLines="50" w:line="300" w:lineRule="auto"/>
        <w:ind w:firstLine="538"/>
        <w:rPr>
          <w:color w:val="auto"/>
          <w:sz w:val="24"/>
          <w:szCs w:val="24"/>
          <w:highlight w:val="none"/>
        </w:rPr>
      </w:pPr>
      <w:r>
        <w:rPr>
          <w:rFonts w:hint="eastAsia"/>
          <w:color w:val="auto"/>
          <w:sz w:val="24"/>
          <w:szCs w:val="24"/>
          <w:highlight w:val="none"/>
        </w:rPr>
        <w:t>本采购工程项目的材料（工程设备）、施工须达到现行国家、河南省以及安阳市建设部门或行业的工程建设标准、规范的要求；本采购工程项目的材料（工程设备），应优先选购采用环保生产工艺、使用环保材料产品，优先选购具有自主知识产权的产品。</w:t>
      </w:r>
    </w:p>
    <w:p w14:paraId="17CAB097">
      <w:pPr>
        <w:widowControl w:val="0"/>
        <w:adjustRightInd w:val="0"/>
        <w:snapToGrid w:val="0"/>
        <w:spacing w:before="156" w:beforeLines="50" w:line="300" w:lineRule="auto"/>
        <w:ind w:firstLine="538"/>
        <w:rPr>
          <w:color w:val="auto"/>
          <w:sz w:val="24"/>
          <w:szCs w:val="24"/>
          <w:highlight w:val="none"/>
        </w:rPr>
      </w:pPr>
      <w:r>
        <w:rPr>
          <w:rFonts w:hint="eastAsia"/>
          <w:color w:val="auto"/>
          <w:sz w:val="24"/>
          <w:szCs w:val="24"/>
          <w:highlight w:val="none"/>
        </w:rPr>
        <w:t>施工方案的编制要符合国家、地方现行的技术规范、标准。</w:t>
      </w:r>
    </w:p>
    <w:p w14:paraId="1DF491F2">
      <w:pPr>
        <w:widowControl w:val="0"/>
        <w:adjustRightInd w:val="0"/>
        <w:snapToGrid w:val="0"/>
        <w:spacing w:before="156" w:beforeLines="50" w:line="300" w:lineRule="auto"/>
        <w:ind w:firstLine="538"/>
        <w:rPr>
          <w:color w:val="auto"/>
          <w:sz w:val="24"/>
          <w:szCs w:val="24"/>
          <w:highlight w:val="none"/>
        </w:rPr>
      </w:pPr>
      <w:r>
        <w:rPr>
          <w:rFonts w:hint="eastAsia"/>
          <w:color w:val="auto"/>
          <w:sz w:val="24"/>
          <w:szCs w:val="24"/>
          <w:highlight w:val="none"/>
        </w:rPr>
        <w:t>（2）施工安全管理规范、规程及规定</w:t>
      </w:r>
    </w:p>
    <w:p w14:paraId="6A440C50">
      <w:pPr>
        <w:widowControl w:val="0"/>
        <w:adjustRightInd w:val="0"/>
        <w:snapToGrid w:val="0"/>
        <w:spacing w:before="156" w:beforeLines="50" w:line="300" w:lineRule="auto"/>
        <w:ind w:firstLine="538"/>
        <w:rPr>
          <w:color w:val="auto"/>
          <w:sz w:val="24"/>
          <w:szCs w:val="24"/>
          <w:highlight w:val="none"/>
        </w:rPr>
      </w:pPr>
      <w:r>
        <w:rPr>
          <w:rFonts w:hint="eastAsia"/>
          <w:color w:val="auto"/>
          <w:sz w:val="24"/>
          <w:szCs w:val="24"/>
          <w:highlight w:val="none"/>
        </w:rPr>
        <w:t>《建筑机械使用安全技术规程》</w:t>
      </w:r>
    </w:p>
    <w:p w14:paraId="1263CFC3">
      <w:pPr>
        <w:widowControl w:val="0"/>
        <w:adjustRightInd w:val="0"/>
        <w:snapToGrid w:val="0"/>
        <w:spacing w:before="156" w:beforeLines="50" w:line="300" w:lineRule="auto"/>
        <w:ind w:firstLine="538"/>
        <w:rPr>
          <w:color w:val="auto"/>
          <w:sz w:val="24"/>
          <w:szCs w:val="24"/>
          <w:highlight w:val="none"/>
        </w:rPr>
      </w:pPr>
      <w:r>
        <w:rPr>
          <w:rFonts w:hint="eastAsia"/>
          <w:color w:val="auto"/>
          <w:sz w:val="24"/>
          <w:szCs w:val="24"/>
          <w:highlight w:val="none"/>
        </w:rPr>
        <w:t>《施工现场临时用电安全技术规范》</w:t>
      </w:r>
    </w:p>
    <w:p w14:paraId="5591AF98">
      <w:pPr>
        <w:widowControl w:val="0"/>
        <w:adjustRightInd w:val="0"/>
        <w:snapToGrid w:val="0"/>
        <w:spacing w:before="156" w:beforeLines="50" w:line="300" w:lineRule="auto"/>
        <w:ind w:firstLine="538"/>
        <w:rPr>
          <w:color w:val="auto"/>
          <w:sz w:val="24"/>
          <w:szCs w:val="24"/>
          <w:highlight w:val="none"/>
        </w:rPr>
      </w:pPr>
      <w:r>
        <w:rPr>
          <w:rFonts w:hint="eastAsia"/>
          <w:color w:val="auto"/>
          <w:sz w:val="24"/>
          <w:szCs w:val="24"/>
          <w:highlight w:val="none"/>
        </w:rPr>
        <w:t>《建筑施工高处作业安全技术规范》</w:t>
      </w:r>
    </w:p>
    <w:p w14:paraId="274440EC">
      <w:pPr>
        <w:widowControl w:val="0"/>
        <w:adjustRightInd w:val="0"/>
        <w:snapToGrid w:val="0"/>
        <w:spacing w:before="156" w:beforeLines="50" w:line="300" w:lineRule="auto"/>
        <w:ind w:firstLine="538"/>
        <w:rPr>
          <w:color w:val="auto"/>
          <w:sz w:val="24"/>
          <w:szCs w:val="24"/>
          <w:highlight w:val="none"/>
        </w:rPr>
      </w:pPr>
      <w:r>
        <w:rPr>
          <w:rFonts w:hint="eastAsia"/>
          <w:color w:val="auto"/>
          <w:sz w:val="24"/>
          <w:szCs w:val="24"/>
          <w:highlight w:val="none"/>
        </w:rPr>
        <w:t>河南省建设厅及安阳市有关部门关于建筑施工现场安全管理的有关规定。</w:t>
      </w:r>
    </w:p>
    <w:p w14:paraId="1F9B38D6">
      <w:pPr>
        <w:widowControl w:val="0"/>
        <w:adjustRightInd w:val="0"/>
        <w:snapToGrid w:val="0"/>
        <w:spacing w:before="156" w:beforeLines="50" w:line="300" w:lineRule="auto"/>
        <w:ind w:firstLine="538"/>
        <w:rPr>
          <w:color w:val="auto"/>
          <w:sz w:val="24"/>
          <w:szCs w:val="24"/>
          <w:highlight w:val="none"/>
        </w:rPr>
      </w:pPr>
      <w:r>
        <w:rPr>
          <w:rFonts w:hint="eastAsia"/>
          <w:color w:val="auto"/>
          <w:sz w:val="24"/>
          <w:szCs w:val="24"/>
          <w:highlight w:val="none"/>
        </w:rPr>
        <w:t>（3）施工中涉及到的规范、规程和标准及相关技术要求。</w:t>
      </w:r>
    </w:p>
    <w:p w14:paraId="716AEDB4">
      <w:pPr>
        <w:widowControl w:val="0"/>
        <w:adjustRightInd w:val="0"/>
        <w:snapToGrid w:val="0"/>
        <w:spacing w:before="156" w:beforeLines="50" w:line="300" w:lineRule="auto"/>
        <w:ind w:firstLine="538"/>
        <w:rPr>
          <w:color w:val="auto"/>
          <w:sz w:val="24"/>
          <w:szCs w:val="24"/>
          <w:highlight w:val="none"/>
        </w:rPr>
      </w:pPr>
      <w:r>
        <w:rPr>
          <w:rFonts w:hint="eastAsia"/>
          <w:color w:val="auto"/>
          <w:sz w:val="24"/>
          <w:szCs w:val="24"/>
          <w:highlight w:val="none"/>
        </w:rPr>
        <w:t>（4）采购人或监理工程师依据本工程的特点和具体情况以及国家现行规范、规程和标准制定的本工程特定适用的有关补充规定或要求。</w:t>
      </w:r>
    </w:p>
    <w:p w14:paraId="751EF40E">
      <w:pPr>
        <w:widowControl w:val="0"/>
        <w:adjustRightInd w:val="0"/>
        <w:snapToGrid w:val="0"/>
        <w:spacing w:before="156" w:beforeLines="50" w:line="300" w:lineRule="auto"/>
        <w:ind w:firstLine="538"/>
        <w:rPr>
          <w:color w:val="auto"/>
          <w:sz w:val="24"/>
          <w:szCs w:val="24"/>
          <w:highlight w:val="none"/>
        </w:rPr>
      </w:pPr>
      <w:r>
        <w:rPr>
          <w:rFonts w:hint="eastAsia"/>
          <w:color w:val="auto"/>
          <w:sz w:val="24"/>
          <w:szCs w:val="24"/>
          <w:highlight w:val="none"/>
        </w:rPr>
        <w:t>（5）在合同有效期内，如相关主管部门对上述的规范、规程、标准等进行了修订或更新，或者采购人（或监理工程师）对其制定的相关补充规定或要求进行了修订，则成交供应商应以更新或修订后的版本为准，并予以执行。</w:t>
      </w:r>
    </w:p>
    <w:p w14:paraId="0A448647">
      <w:pPr>
        <w:widowControl w:val="0"/>
        <w:adjustRightInd w:val="0"/>
        <w:snapToGrid w:val="0"/>
        <w:spacing w:before="156" w:beforeLines="50" w:line="300" w:lineRule="auto"/>
        <w:ind w:firstLine="463" w:firstLineChars="192"/>
        <w:rPr>
          <w:rFonts w:ascii="宋体" w:hAnsi="宋体"/>
          <w:b/>
          <w:color w:val="auto"/>
          <w:sz w:val="24"/>
          <w:szCs w:val="24"/>
          <w:highlight w:val="none"/>
        </w:rPr>
      </w:pPr>
      <w:r>
        <w:rPr>
          <w:rFonts w:hint="eastAsia" w:ascii="宋体" w:hAnsi="宋体"/>
          <w:b/>
          <w:color w:val="auto"/>
          <w:sz w:val="24"/>
          <w:szCs w:val="24"/>
          <w:highlight w:val="none"/>
        </w:rPr>
        <w:t>2.3 主要工程量概况（含拆除、材料购置、安装及施工、垃圾清运等）</w:t>
      </w:r>
    </w:p>
    <w:tbl>
      <w:tblPr>
        <w:tblStyle w:val="20"/>
        <w:tblpPr w:leftFromText="180" w:rightFromText="180" w:vertAnchor="text" w:horzAnchor="margin" w:tblpY="255"/>
        <w:tblOverlap w:val="never"/>
        <w:tblW w:w="9779" w:type="dxa"/>
        <w:tblInd w:w="0" w:type="dxa"/>
        <w:tblLayout w:type="fixed"/>
        <w:tblCellMar>
          <w:top w:w="0" w:type="dxa"/>
          <w:left w:w="108" w:type="dxa"/>
          <w:bottom w:w="0" w:type="dxa"/>
          <w:right w:w="108" w:type="dxa"/>
        </w:tblCellMar>
      </w:tblPr>
      <w:tblGrid>
        <w:gridCol w:w="684"/>
        <w:gridCol w:w="3393"/>
        <w:gridCol w:w="851"/>
        <w:gridCol w:w="850"/>
        <w:gridCol w:w="4001"/>
      </w:tblGrid>
      <w:tr w14:paraId="6A334FDC">
        <w:tblPrEx>
          <w:tblCellMar>
            <w:top w:w="0" w:type="dxa"/>
            <w:left w:w="108" w:type="dxa"/>
            <w:bottom w:w="0" w:type="dxa"/>
            <w:right w:w="108" w:type="dxa"/>
          </w:tblCellMar>
        </w:tblPrEx>
        <w:trPr>
          <w:trHeight w:val="48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9556F">
            <w:pPr>
              <w:snapToGrid w:val="0"/>
              <w:spacing w:line="240" w:lineRule="auto"/>
              <w:jc w:val="center"/>
              <w:textAlignment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bidi="ar"/>
              </w:rPr>
              <w:t>序号</w:t>
            </w:r>
          </w:p>
        </w:tc>
        <w:tc>
          <w:tcPr>
            <w:tcW w:w="3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11A02">
            <w:pPr>
              <w:snapToGrid w:val="0"/>
              <w:spacing w:line="240" w:lineRule="auto"/>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项目</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97E29">
            <w:pPr>
              <w:snapToGrid w:val="0"/>
              <w:spacing w:line="240" w:lineRule="auto"/>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单位</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B3F91">
            <w:pPr>
              <w:snapToGrid w:val="0"/>
              <w:spacing w:line="240" w:lineRule="auto"/>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数量</w:t>
            </w:r>
          </w:p>
        </w:tc>
        <w:tc>
          <w:tcPr>
            <w:tcW w:w="4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19C8F">
            <w:pPr>
              <w:snapToGrid w:val="0"/>
              <w:spacing w:line="240" w:lineRule="auto"/>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基本技术参数</w:t>
            </w:r>
          </w:p>
        </w:tc>
      </w:tr>
      <w:tr w14:paraId="577934BB">
        <w:tblPrEx>
          <w:tblCellMar>
            <w:top w:w="0" w:type="dxa"/>
            <w:left w:w="108" w:type="dxa"/>
            <w:bottom w:w="0" w:type="dxa"/>
            <w:right w:w="108" w:type="dxa"/>
          </w:tblCellMar>
        </w:tblPrEx>
        <w:trPr>
          <w:trHeight w:val="48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AAF29">
            <w:pPr>
              <w:snapToGrid w:val="0"/>
              <w:spacing w:line="240" w:lineRule="auto"/>
              <w:jc w:val="center"/>
              <w:textAlignment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bidi="ar"/>
              </w:rPr>
              <w:t>1</w:t>
            </w:r>
          </w:p>
        </w:tc>
        <w:tc>
          <w:tcPr>
            <w:tcW w:w="3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8274D">
            <w:pPr>
              <w:snapToGrid w:val="0"/>
              <w:spacing w:line="240" w:lineRule="auto"/>
              <w:jc w:val="left"/>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演播厅、地下车库消火栓及消防管道更换</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A4E8A">
            <w:pPr>
              <w:snapToGrid w:val="0"/>
              <w:spacing w:line="240" w:lineRule="auto"/>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米</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F2314">
            <w:pPr>
              <w:snapToGrid w:val="0"/>
              <w:spacing w:line="240" w:lineRule="auto"/>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66</w:t>
            </w:r>
          </w:p>
        </w:tc>
        <w:tc>
          <w:tcPr>
            <w:tcW w:w="4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1FDDC">
            <w:pPr>
              <w:snapToGrid w:val="0"/>
              <w:spacing w:line="240" w:lineRule="auto"/>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DN40镀锌钢管</w:t>
            </w:r>
          </w:p>
        </w:tc>
      </w:tr>
      <w:tr w14:paraId="71F282EC">
        <w:tblPrEx>
          <w:tblCellMar>
            <w:top w:w="0" w:type="dxa"/>
            <w:left w:w="108" w:type="dxa"/>
            <w:bottom w:w="0" w:type="dxa"/>
            <w:right w:w="108" w:type="dxa"/>
          </w:tblCellMar>
        </w:tblPrEx>
        <w:trPr>
          <w:trHeight w:val="48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97845">
            <w:pPr>
              <w:snapToGrid w:val="0"/>
              <w:spacing w:line="240" w:lineRule="auto"/>
              <w:jc w:val="center"/>
              <w:textAlignment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bidi="ar"/>
              </w:rPr>
              <w:t>2</w:t>
            </w:r>
          </w:p>
        </w:tc>
        <w:tc>
          <w:tcPr>
            <w:tcW w:w="3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BF6A3">
            <w:pPr>
              <w:snapToGrid w:val="0"/>
              <w:spacing w:line="240" w:lineRule="auto"/>
              <w:jc w:val="left"/>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演播厅、地下车库消火栓及消防管道更换</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1CCE0">
            <w:pPr>
              <w:snapToGrid w:val="0"/>
              <w:spacing w:line="240" w:lineRule="auto"/>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米</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B1FC1">
            <w:pPr>
              <w:snapToGrid w:val="0"/>
              <w:spacing w:line="240" w:lineRule="auto"/>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62</w:t>
            </w:r>
          </w:p>
        </w:tc>
        <w:tc>
          <w:tcPr>
            <w:tcW w:w="4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A56A5">
            <w:pPr>
              <w:snapToGrid w:val="0"/>
              <w:spacing w:line="240" w:lineRule="auto"/>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DN32镀锌钢管</w:t>
            </w:r>
          </w:p>
        </w:tc>
      </w:tr>
      <w:tr w14:paraId="4DDD0E8E">
        <w:tblPrEx>
          <w:tblCellMar>
            <w:top w:w="0" w:type="dxa"/>
            <w:left w:w="108" w:type="dxa"/>
            <w:bottom w:w="0" w:type="dxa"/>
            <w:right w:w="108" w:type="dxa"/>
          </w:tblCellMar>
        </w:tblPrEx>
        <w:trPr>
          <w:trHeight w:val="48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BA333">
            <w:pPr>
              <w:snapToGrid w:val="0"/>
              <w:spacing w:line="240" w:lineRule="auto"/>
              <w:jc w:val="center"/>
              <w:textAlignment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bidi="ar"/>
              </w:rPr>
              <w:t>3</w:t>
            </w:r>
          </w:p>
        </w:tc>
        <w:tc>
          <w:tcPr>
            <w:tcW w:w="3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32956">
            <w:pPr>
              <w:snapToGrid w:val="0"/>
              <w:spacing w:line="240" w:lineRule="auto"/>
              <w:jc w:val="left"/>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演播厅、地下车库消火栓及消防管道更换</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9AB96">
            <w:pPr>
              <w:snapToGrid w:val="0"/>
              <w:spacing w:line="240" w:lineRule="auto"/>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米</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1840A">
            <w:pPr>
              <w:snapToGrid w:val="0"/>
              <w:spacing w:line="240" w:lineRule="auto"/>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121</w:t>
            </w:r>
          </w:p>
        </w:tc>
        <w:tc>
          <w:tcPr>
            <w:tcW w:w="4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4BEB5">
            <w:pPr>
              <w:snapToGrid w:val="0"/>
              <w:spacing w:line="240" w:lineRule="auto"/>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DN25镀锌钢管</w:t>
            </w:r>
          </w:p>
        </w:tc>
      </w:tr>
      <w:tr w14:paraId="6D35CA15">
        <w:tblPrEx>
          <w:tblCellMar>
            <w:top w:w="0" w:type="dxa"/>
            <w:left w:w="108" w:type="dxa"/>
            <w:bottom w:w="0" w:type="dxa"/>
            <w:right w:w="108" w:type="dxa"/>
          </w:tblCellMar>
        </w:tblPrEx>
        <w:trPr>
          <w:trHeight w:val="48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F9F2C">
            <w:pPr>
              <w:snapToGrid w:val="0"/>
              <w:spacing w:line="240" w:lineRule="auto"/>
              <w:jc w:val="center"/>
              <w:textAlignment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bidi="ar"/>
              </w:rPr>
              <w:t>4</w:t>
            </w:r>
          </w:p>
        </w:tc>
        <w:tc>
          <w:tcPr>
            <w:tcW w:w="339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7D535AC">
            <w:pPr>
              <w:snapToGrid w:val="0"/>
              <w:spacing w:line="240" w:lineRule="auto"/>
              <w:jc w:val="left"/>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演播厅、地下车库消火栓及消防管道更换</w:t>
            </w:r>
          </w:p>
        </w:tc>
        <w:tc>
          <w:tcPr>
            <w:tcW w:w="85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7458BA4">
            <w:pPr>
              <w:snapToGrid w:val="0"/>
              <w:spacing w:line="240" w:lineRule="auto"/>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米</w:t>
            </w:r>
          </w:p>
        </w:tc>
        <w:tc>
          <w:tcPr>
            <w:tcW w:w="85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1C0C194">
            <w:pPr>
              <w:snapToGrid w:val="0"/>
              <w:spacing w:line="240" w:lineRule="auto"/>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22</w:t>
            </w:r>
          </w:p>
        </w:tc>
        <w:tc>
          <w:tcPr>
            <w:tcW w:w="400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8194901">
            <w:pPr>
              <w:snapToGrid w:val="0"/>
              <w:spacing w:line="240" w:lineRule="auto"/>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DN65镀锌钢管</w:t>
            </w:r>
          </w:p>
        </w:tc>
      </w:tr>
      <w:tr w14:paraId="6F72B5E3">
        <w:tblPrEx>
          <w:tblCellMar>
            <w:top w:w="0" w:type="dxa"/>
            <w:left w:w="108" w:type="dxa"/>
            <w:bottom w:w="0" w:type="dxa"/>
            <w:right w:w="108" w:type="dxa"/>
          </w:tblCellMar>
        </w:tblPrEx>
        <w:trPr>
          <w:trHeight w:val="480" w:hRule="atLeast"/>
        </w:trPr>
        <w:tc>
          <w:tcPr>
            <w:tcW w:w="68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1803417">
            <w:pPr>
              <w:snapToGrid w:val="0"/>
              <w:spacing w:line="240" w:lineRule="auto"/>
              <w:jc w:val="center"/>
              <w:textAlignment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bidi="ar"/>
              </w:rPr>
              <w:t>5</w:t>
            </w:r>
          </w:p>
        </w:tc>
        <w:tc>
          <w:tcPr>
            <w:tcW w:w="3393" w:type="dxa"/>
            <w:tcBorders>
              <w:top w:val="single" w:color="auto" w:sz="4" w:space="0"/>
              <w:left w:val="single" w:color="auto" w:sz="4" w:space="0"/>
              <w:bottom w:val="single" w:color="000000" w:sz="4" w:space="0"/>
              <w:right w:val="single" w:color="000000" w:sz="4" w:space="0"/>
            </w:tcBorders>
            <w:shd w:val="clear" w:color="auto" w:fill="auto"/>
            <w:noWrap/>
            <w:vAlign w:val="center"/>
          </w:tcPr>
          <w:p w14:paraId="24B97C46">
            <w:pPr>
              <w:snapToGrid w:val="0"/>
              <w:spacing w:line="240" w:lineRule="auto"/>
              <w:jc w:val="left"/>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演播厅、地下车库消火栓及消防管道更换</w:t>
            </w:r>
          </w:p>
        </w:tc>
        <w:tc>
          <w:tcPr>
            <w:tcW w:w="85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6F4CEB1">
            <w:pPr>
              <w:snapToGrid w:val="0"/>
              <w:spacing w:line="240" w:lineRule="auto"/>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套</w:t>
            </w:r>
          </w:p>
        </w:tc>
        <w:tc>
          <w:tcPr>
            <w:tcW w:w="85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8CF68AC">
            <w:pPr>
              <w:snapToGrid w:val="0"/>
              <w:spacing w:line="240" w:lineRule="auto"/>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2</w:t>
            </w:r>
          </w:p>
        </w:tc>
        <w:tc>
          <w:tcPr>
            <w:tcW w:w="4001" w:type="dxa"/>
            <w:tcBorders>
              <w:top w:val="single" w:color="auto" w:sz="4" w:space="0"/>
              <w:left w:val="single" w:color="000000" w:sz="4" w:space="0"/>
              <w:bottom w:val="single" w:color="000000" w:sz="4" w:space="0"/>
              <w:right w:val="single" w:color="auto" w:sz="4" w:space="0"/>
            </w:tcBorders>
            <w:shd w:val="clear" w:color="auto" w:fill="auto"/>
            <w:noWrap/>
            <w:vAlign w:val="center"/>
          </w:tcPr>
          <w:p w14:paraId="0B2553C3">
            <w:pPr>
              <w:snapToGrid w:val="0"/>
              <w:spacing w:line="240" w:lineRule="auto"/>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DN150闸阀</w:t>
            </w:r>
          </w:p>
        </w:tc>
      </w:tr>
      <w:tr w14:paraId="2036D8AE">
        <w:tblPrEx>
          <w:tblCellMar>
            <w:top w:w="0" w:type="dxa"/>
            <w:left w:w="108" w:type="dxa"/>
            <w:bottom w:w="0" w:type="dxa"/>
            <w:right w:w="108" w:type="dxa"/>
          </w:tblCellMar>
        </w:tblPrEx>
        <w:trPr>
          <w:trHeight w:val="480" w:hRule="atLeast"/>
        </w:trPr>
        <w:tc>
          <w:tcPr>
            <w:tcW w:w="68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CFB8A0B">
            <w:pPr>
              <w:snapToGrid w:val="0"/>
              <w:spacing w:line="240" w:lineRule="auto"/>
              <w:jc w:val="center"/>
              <w:textAlignment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bidi="ar"/>
              </w:rPr>
              <w:t>6</w:t>
            </w:r>
          </w:p>
        </w:tc>
        <w:tc>
          <w:tcPr>
            <w:tcW w:w="3393"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076E509">
            <w:pPr>
              <w:snapToGrid w:val="0"/>
              <w:spacing w:line="240" w:lineRule="auto"/>
              <w:jc w:val="left"/>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演播厅、地下车库消火栓及消防管道更换</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0D929">
            <w:pPr>
              <w:snapToGrid w:val="0"/>
              <w:spacing w:line="240" w:lineRule="auto"/>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套</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BDF9B">
            <w:pPr>
              <w:snapToGrid w:val="0"/>
              <w:spacing w:line="240" w:lineRule="auto"/>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5</w:t>
            </w:r>
          </w:p>
        </w:tc>
        <w:tc>
          <w:tcPr>
            <w:tcW w:w="400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B2C2A06">
            <w:pPr>
              <w:snapToGrid w:val="0"/>
              <w:spacing w:line="240" w:lineRule="auto"/>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DN100闸阀</w:t>
            </w:r>
          </w:p>
        </w:tc>
      </w:tr>
      <w:tr w14:paraId="4E80C50D">
        <w:tblPrEx>
          <w:tblCellMar>
            <w:top w:w="0" w:type="dxa"/>
            <w:left w:w="108" w:type="dxa"/>
            <w:bottom w:w="0" w:type="dxa"/>
            <w:right w:w="108" w:type="dxa"/>
          </w:tblCellMar>
        </w:tblPrEx>
        <w:trPr>
          <w:trHeight w:val="480" w:hRule="atLeast"/>
        </w:trPr>
        <w:tc>
          <w:tcPr>
            <w:tcW w:w="68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6F1644F">
            <w:pPr>
              <w:snapToGrid w:val="0"/>
              <w:spacing w:line="240" w:lineRule="auto"/>
              <w:jc w:val="center"/>
              <w:textAlignment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bidi="ar"/>
              </w:rPr>
              <w:t>7</w:t>
            </w:r>
          </w:p>
        </w:tc>
        <w:tc>
          <w:tcPr>
            <w:tcW w:w="3393"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D76983A">
            <w:pPr>
              <w:snapToGrid w:val="0"/>
              <w:spacing w:line="240" w:lineRule="auto"/>
              <w:jc w:val="left"/>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演播厅、地下车库消火栓及消防管道更换</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D8EED">
            <w:pPr>
              <w:snapToGrid w:val="0"/>
              <w:spacing w:line="240" w:lineRule="auto"/>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套</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BD219">
            <w:pPr>
              <w:snapToGrid w:val="0"/>
              <w:spacing w:line="240" w:lineRule="auto"/>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85</w:t>
            </w:r>
          </w:p>
        </w:tc>
        <w:tc>
          <w:tcPr>
            <w:tcW w:w="4001" w:type="dxa"/>
            <w:tcBorders>
              <w:top w:val="nil"/>
              <w:left w:val="nil"/>
              <w:bottom w:val="nil"/>
              <w:right w:val="single" w:color="auto" w:sz="4" w:space="0"/>
            </w:tcBorders>
            <w:shd w:val="clear" w:color="auto" w:fill="auto"/>
            <w:noWrap/>
            <w:vAlign w:val="center"/>
          </w:tcPr>
          <w:p w14:paraId="3DE2D8E5">
            <w:pPr>
              <w:snapToGrid w:val="0"/>
              <w:spacing w:line="240" w:lineRule="auto"/>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DN15闭式喷头</w:t>
            </w:r>
          </w:p>
        </w:tc>
      </w:tr>
      <w:tr w14:paraId="7BD226C0">
        <w:tblPrEx>
          <w:tblCellMar>
            <w:top w:w="0" w:type="dxa"/>
            <w:left w:w="108" w:type="dxa"/>
            <w:bottom w:w="0" w:type="dxa"/>
            <w:right w:w="108" w:type="dxa"/>
          </w:tblCellMar>
        </w:tblPrEx>
        <w:trPr>
          <w:trHeight w:val="480" w:hRule="atLeast"/>
        </w:trPr>
        <w:tc>
          <w:tcPr>
            <w:tcW w:w="68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B453687">
            <w:pPr>
              <w:snapToGrid w:val="0"/>
              <w:spacing w:line="240" w:lineRule="auto"/>
              <w:jc w:val="center"/>
              <w:textAlignment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bidi="ar"/>
              </w:rPr>
              <w:t>8</w:t>
            </w:r>
          </w:p>
        </w:tc>
        <w:tc>
          <w:tcPr>
            <w:tcW w:w="3393" w:type="dxa"/>
            <w:tcBorders>
              <w:top w:val="single" w:color="000000" w:sz="4" w:space="0"/>
              <w:left w:val="single" w:color="auto" w:sz="4" w:space="0"/>
              <w:bottom w:val="single" w:color="auto" w:sz="4" w:space="0"/>
              <w:right w:val="single" w:color="000000" w:sz="4" w:space="0"/>
            </w:tcBorders>
            <w:shd w:val="clear" w:color="auto" w:fill="auto"/>
            <w:noWrap/>
            <w:vAlign w:val="center"/>
          </w:tcPr>
          <w:p w14:paraId="27315F7A">
            <w:pPr>
              <w:snapToGrid w:val="0"/>
              <w:spacing w:line="240" w:lineRule="auto"/>
              <w:jc w:val="left"/>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演播厅、地下车库消火栓及消防管道更换</w:t>
            </w:r>
          </w:p>
        </w:tc>
        <w:tc>
          <w:tcPr>
            <w:tcW w:w="85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9B0CB66">
            <w:pPr>
              <w:snapToGrid w:val="0"/>
              <w:spacing w:line="240" w:lineRule="auto"/>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片</w:t>
            </w:r>
          </w:p>
        </w:tc>
        <w:tc>
          <w:tcPr>
            <w:tcW w:w="85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144A0D7">
            <w:pPr>
              <w:snapToGrid w:val="0"/>
              <w:spacing w:line="240" w:lineRule="auto"/>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8</w:t>
            </w:r>
          </w:p>
        </w:tc>
        <w:tc>
          <w:tcPr>
            <w:tcW w:w="4001" w:type="dxa"/>
            <w:tcBorders>
              <w:top w:val="single" w:color="000000" w:sz="4" w:space="0"/>
              <w:left w:val="single" w:color="000000" w:sz="4" w:space="0"/>
              <w:bottom w:val="single" w:color="auto" w:sz="4" w:space="0"/>
              <w:right w:val="single" w:color="auto" w:sz="4" w:space="0"/>
            </w:tcBorders>
            <w:shd w:val="clear" w:color="auto" w:fill="auto"/>
            <w:noWrap/>
            <w:vAlign w:val="center"/>
          </w:tcPr>
          <w:p w14:paraId="28784CE2">
            <w:pPr>
              <w:snapToGrid w:val="0"/>
              <w:spacing w:line="240" w:lineRule="auto"/>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DN100卡箍法兰</w:t>
            </w:r>
          </w:p>
        </w:tc>
      </w:tr>
      <w:tr w14:paraId="57BE5275">
        <w:tblPrEx>
          <w:tblCellMar>
            <w:top w:w="0" w:type="dxa"/>
            <w:left w:w="108" w:type="dxa"/>
            <w:bottom w:w="0" w:type="dxa"/>
            <w:right w:w="108" w:type="dxa"/>
          </w:tblCellMar>
        </w:tblPrEx>
        <w:trPr>
          <w:trHeight w:val="48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0B18A">
            <w:pPr>
              <w:snapToGrid w:val="0"/>
              <w:spacing w:line="240" w:lineRule="auto"/>
              <w:jc w:val="center"/>
              <w:textAlignment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bidi="ar"/>
              </w:rPr>
              <w:t>9</w:t>
            </w:r>
          </w:p>
        </w:tc>
        <w:tc>
          <w:tcPr>
            <w:tcW w:w="339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7871214">
            <w:pPr>
              <w:snapToGrid w:val="0"/>
              <w:spacing w:line="240" w:lineRule="auto"/>
              <w:jc w:val="left"/>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演播厅、地下车库消火栓及消防管道更换</w:t>
            </w:r>
          </w:p>
        </w:tc>
        <w:tc>
          <w:tcPr>
            <w:tcW w:w="85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CA9A0A0">
            <w:pPr>
              <w:snapToGrid w:val="0"/>
              <w:spacing w:line="240" w:lineRule="auto"/>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套</w:t>
            </w:r>
          </w:p>
        </w:tc>
        <w:tc>
          <w:tcPr>
            <w:tcW w:w="85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C53C3A8">
            <w:pPr>
              <w:snapToGrid w:val="0"/>
              <w:spacing w:line="240" w:lineRule="auto"/>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30</w:t>
            </w:r>
          </w:p>
        </w:tc>
        <w:tc>
          <w:tcPr>
            <w:tcW w:w="400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72210D9">
            <w:pPr>
              <w:snapToGrid w:val="0"/>
              <w:spacing w:line="240" w:lineRule="auto"/>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DN150卡箍</w:t>
            </w:r>
          </w:p>
        </w:tc>
      </w:tr>
      <w:tr w14:paraId="31E14C7B">
        <w:tblPrEx>
          <w:tblCellMar>
            <w:top w:w="0" w:type="dxa"/>
            <w:left w:w="108" w:type="dxa"/>
            <w:bottom w:w="0" w:type="dxa"/>
            <w:right w:w="108" w:type="dxa"/>
          </w:tblCellMar>
        </w:tblPrEx>
        <w:trPr>
          <w:trHeight w:val="48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7F59E">
            <w:pPr>
              <w:snapToGrid w:val="0"/>
              <w:spacing w:line="240" w:lineRule="auto"/>
              <w:jc w:val="center"/>
              <w:textAlignment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bidi="ar"/>
              </w:rPr>
              <w:t>10</w:t>
            </w:r>
          </w:p>
        </w:tc>
        <w:tc>
          <w:tcPr>
            <w:tcW w:w="3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56E89">
            <w:pPr>
              <w:snapToGrid w:val="0"/>
              <w:spacing w:line="240" w:lineRule="auto"/>
              <w:jc w:val="left"/>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演播厅、地下车库消火栓及消防管道更换</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FF000">
            <w:pPr>
              <w:snapToGrid w:val="0"/>
              <w:spacing w:line="240" w:lineRule="auto"/>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米</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8BB6E">
            <w:pPr>
              <w:snapToGrid w:val="0"/>
              <w:spacing w:line="240" w:lineRule="auto"/>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37</w:t>
            </w:r>
          </w:p>
        </w:tc>
        <w:tc>
          <w:tcPr>
            <w:tcW w:w="4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0F8C1">
            <w:pPr>
              <w:snapToGrid w:val="0"/>
              <w:spacing w:line="240" w:lineRule="auto"/>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DN100镀锌钢管</w:t>
            </w:r>
          </w:p>
        </w:tc>
      </w:tr>
      <w:tr w14:paraId="659931D3">
        <w:tblPrEx>
          <w:tblCellMar>
            <w:top w:w="0" w:type="dxa"/>
            <w:left w:w="108" w:type="dxa"/>
            <w:bottom w:w="0" w:type="dxa"/>
            <w:right w:w="108" w:type="dxa"/>
          </w:tblCellMar>
        </w:tblPrEx>
        <w:trPr>
          <w:trHeight w:val="48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BDA4C">
            <w:pPr>
              <w:snapToGrid w:val="0"/>
              <w:spacing w:line="240" w:lineRule="auto"/>
              <w:jc w:val="center"/>
              <w:textAlignment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bidi="ar"/>
              </w:rPr>
              <w:t>11</w:t>
            </w:r>
          </w:p>
        </w:tc>
        <w:tc>
          <w:tcPr>
            <w:tcW w:w="3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84061">
            <w:pPr>
              <w:snapToGrid w:val="0"/>
              <w:spacing w:line="240" w:lineRule="auto"/>
              <w:jc w:val="left"/>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演播厅、地下车库消火栓及消防管道更换</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5AD59">
            <w:pPr>
              <w:snapToGrid w:val="0"/>
              <w:spacing w:line="240" w:lineRule="auto"/>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个</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008A5">
            <w:pPr>
              <w:snapToGrid w:val="0"/>
              <w:spacing w:line="240" w:lineRule="auto"/>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10</w:t>
            </w:r>
          </w:p>
        </w:tc>
        <w:tc>
          <w:tcPr>
            <w:tcW w:w="4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85FF8">
            <w:pPr>
              <w:snapToGrid w:val="0"/>
              <w:spacing w:line="240" w:lineRule="auto"/>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DN150柔性接头</w:t>
            </w:r>
          </w:p>
        </w:tc>
      </w:tr>
      <w:tr w14:paraId="0DEA7BCD">
        <w:tblPrEx>
          <w:tblCellMar>
            <w:top w:w="0" w:type="dxa"/>
            <w:left w:w="108" w:type="dxa"/>
            <w:bottom w:w="0" w:type="dxa"/>
            <w:right w:w="108" w:type="dxa"/>
          </w:tblCellMar>
        </w:tblPrEx>
        <w:trPr>
          <w:trHeight w:val="48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0EEC2">
            <w:pPr>
              <w:snapToGrid w:val="0"/>
              <w:spacing w:line="240" w:lineRule="auto"/>
              <w:jc w:val="center"/>
              <w:textAlignment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bidi="ar"/>
              </w:rPr>
              <w:t>12</w:t>
            </w:r>
          </w:p>
        </w:tc>
        <w:tc>
          <w:tcPr>
            <w:tcW w:w="3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D5A40">
            <w:pPr>
              <w:snapToGrid w:val="0"/>
              <w:spacing w:line="240" w:lineRule="auto"/>
              <w:jc w:val="left"/>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演播厅、地下车库消火栓及消防管道更换</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46D0A">
            <w:pPr>
              <w:snapToGrid w:val="0"/>
              <w:spacing w:line="240" w:lineRule="auto"/>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套</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19265">
            <w:pPr>
              <w:snapToGrid w:val="0"/>
              <w:spacing w:line="240" w:lineRule="auto"/>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2</w:t>
            </w:r>
          </w:p>
        </w:tc>
        <w:tc>
          <w:tcPr>
            <w:tcW w:w="4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87C3A">
            <w:pPr>
              <w:snapToGrid w:val="0"/>
              <w:spacing w:line="240" w:lineRule="auto"/>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DN100雨淋报警阀组</w:t>
            </w:r>
          </w:p>
        </w:tc>
      </w:tr>
      <w:tr w14:paraId="3A2129E3">
        <w:tblPrEx>
          <w:tblCellMar>
            <w:top w:w="0" w:type="dxa"/>
            <w:left w:w="108" w:type="dxa"/>
            <w:bottom w:w="0" w:type="dxa"/>
            <w:right w:w="108" w:type="dxa"/>
          </w:tblCellMar>
        </w:tblPrEx>
        <w:trPr>
          <w:trHeight w:val="48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0B5A7">
            <w:pPr>
              <w:snapToGrid w:val="0"/>
              <w:spacing w:line="240" w:lineRule="auto"/>
              <w:jc w:val="center"/>
              <w:textAlignment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bidi="ar"/>
              </w:rPr>
              <w:t>13</w:t>
            </w:r>
          </w:p>
        </w:tc>
        <w:tc>
          <w:tcPr>
            <w:tcW w:w="3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8C71B">
            <w:pPr>
              <w:snapToGrid w:val="0"/>
              <w:spacing w:line="240" w:lineRule="auto"/>
              <w:jc w:val="left"/>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演播厅、地下车库消火栓及消防管道更换</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EC56C">
            <w:pPr>
              <w:snapToGrid w:val="0"/>
              <w:spacing w:line="240" w:lineRule="auto"/>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米</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0EE5D">
            <w:pPr>
              <w:snapToGrid w:val="0"/>
              <w:spacing w:line="240" w:lineRule="auto"/>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58</w:t>
            </w:r>
          </w:p>
        </w:tc>
        <w:tc>
          <w:tcPr>
            <w:tcW w:w="4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EBE24">
            <w:pPr>
              <w:snapToGrid w:val="0"/>
              <w:spacing w:line="240" w:lineRule="auto"/>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3*3角铁</w:t>
            </w:r>
          </w:p>
        </w:tc>
      </w:tr>
      <w:tr w14:paraId="70345CB0">
        <w:tblPrEx>
          <w:tblCellMar>
            <w:top w:w="0" w:type="dxa"/>
            <w:left w:w="108" w:type="dxa"/>
            <w:bottom w:w="0" w:type="dxa"/>
            <w:right w:w="108" w:type="dxa"/>
          </w:tblCellMar>
        </w:tblPrEx>
        <w:trPr>
          <w:trHeight w:val="48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152E9">
            <w:pPr>
              <w:snapToGrid w:val="0"/>
              <w:spacing w:line="240" w:lineRule="auto"/>
              <w:jc w:val="center"/>
              <w:textAlignment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bidi="ar"/>
              </w:rPr>
              <w:t>14</w:t>
            </w:r>
          </w:p>
        </w:tc>
        <w:tc>
          <w:tcPr>
            <w:tcW w:w="3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5016C">
            <w:pPr>
              <w:snapToGrid w:val="0"/>
              <w:spacing w:line="240" w:lineRule="auto"/>
              <w:jc w:val="left"/>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演播厅、地下车库消火栓及消防管道更换</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D51C7">
            <w:pPr>
              <w:snapToGrid w:val="0"/>
              <w:spacing w:line="240" w:lineRule="auto"/>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套</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716C5">
            <w:pPr>
              <w:snapToGrid w:val="0"/>
              <w:spacing w:line="240" w:lineRule="auto"/>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4</w:t>
            </w:r>
          </w:p>
        </w:tc>
        <w:tc>
          <w:tcPr>
            <w:tcW w:w="4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5D4A7">
            <w:pPr>
              <w:snapToGrid w:val="0"/>
              <w:spacing w:line="240" w:lineRule="auto"/>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DN65闸阀</w:t>
            </w:r>
          </w:p>
        </w:tc>
      </w:tr>
      <w:tr w14:paraId="08E35955">
        <w:tblPrEx>
          <w:tblCellMar>
            <w:top w:w="0" w:type="dxa"/>
            <w:left w:w="108" w:type="dxa"/>
            <w:bottom w:w="0" w:type="dxa"/>
            <w:right w:w="108" w:type="dxa"/>
          </w:tblCellMar>
        </w:tblPrEx>
        <w:trPr>
          <w:trHeight w:val="48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17654">
            <w:pPr>
              <w:snapToGrid w:val="0"/>
              <w:spacing w:line="240" w:lineRule="auto"/>
              <w:jc w:val="center"/>
              <w:textAlignment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bidi="ar"/>
              </w:rPr>
              <w:t>15</w:t>
            </w:r>
          </w:p>
        </w:tc>
        <w:tc>
          <w:tcPr>
            <w:tcW w:w="3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C55C1">
            <w:pPr>
              <w:snapToGrid w:val="0"/>
              <w:spacing w:line="240" w:lineRule="auto"/>
              <w:jc w:val="left"/>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演播厅、地下车库消火栓及消防管道更换</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65867">
            <w:pPr>
              <w:snapToGrid w:val="0"/>
              <w:spacing w:line="240" w:lineRule="auto"/>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米</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9A414">
            <w:pPr>
              <w:snapToGrid w:val="0"/>
              <w:spacing w:line="240" w:lineRule="auto"/>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36</w:t>
            </w:r>
          </w:p>
        </w:tc>
        <w:tc>
          <w:tcPr>
            <w:tcW w:w="4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7CA55">
            <w:pPr>
              <w:snapToGrid w:val="0"/>
              <w:spacing w:line="240" w:lineRule="auto"/>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4*4角铁</w:t>
            </w:r>
          </w:p>
        </w:tc>
      </w:tr>
      <w:tr w14:paraId="2E92065D">
        <w:tblPrEx>
          <w:tblCellMar>
            <w:top w:w="0" w:type="dxa"/>
            <w:left w:w="108" w:type="dxa"/>
            <w:bottom w:w="0" w:type="dxa"/>
            <w:right w:w="108" w:type="dxa"/>
          </w:tblCellMar>
        </w:tblPrEx>
        <w:trPr>
          <w:trHeight w:val="48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29F81">
            <w:pPr>
              <w:snapToGrid w:val="0"/>
              <w:spacing w:line="240" w:lineRule="auto"/>
              <w:jc w:val="center"/>
              <w:textAlignment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bidi="ar"/>
              </w:rPr>
              <w:t>16</w:t>
            </w:r>
          </w:p>
        </w:tc>
        <w:tc>
          <w:tcPr>
            <w:tcW w:w="3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B1E12">
            <w:pPr>
              <w:snapToGrid w:val="0"/>
              <w:spacing w:line="240" w:lineRule="auto"/>
              <w:jc w:val="left"/>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演播厅、地下车库消火栓及消防管道更换</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68619">
            <w:pPr>
              <w:snapToGrid w:val="0"/>
              <w:spacing w:line="240" w:lineRule="auto"/>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套</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91939">
            <w:pPr>
              <w:snapToGrid w:val="0"/>
              <w:spacing w:line="240" w:lineRule="auto"/>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2</w:t>
            </w:r>
          </w:p>
        </w:tc>
        <w:tc>
          <w:tcPr>
            <w:tcW w:w="4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7E8DE">
            <w:pPr>
              <w:snapToGrid w:val="0"/>
              <w:spacing w:line="240" w:lineRule="auto"/>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雨淋阀控制模块</w:t>
            </w:r>
          </w:p>
        </w:tc>
      </w:tr>
      <w:tr w14:paraId="5B353703">
        <w:tblPrEx>
          <w:tblCellMar>
            <w:top w:w="0" w:type="dxa"/>
            <w:left w:w="108" w:type="dxa"/>
            <w:bottom w:w="0" w:type="dxa"/>
            <w:right w:w="108" w:type="dxa"/>
          </w:tblCellMar>
        </w:tblPrEx>
        <w:trPr>
          <w:trHeight w:val="48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421CE">
            <w:pPr>
              <w:snapToGrid w:val="0"/>
              <w:spacing w:line="240" w:lineRule="auto"/>
              <w:jc w:val="center"/>
              <w:textAlignment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bidi="ar"/>
              </w:rPr>
              <w:t>17</w:t>
            </w:r>
          </w:p>
        </w:tc>
        <w:tc>
          <w:tcPr>
            <w:tcW w:w="3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E322F">
            <w:pPr>
              <w:snapToGrid w:val="0"/>
              <w:spacing w:line="240" w:lineRule="auto"/>
              <w:jc w:val="left"/>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演播厅、地下车库消火栓及消防管道更换</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031B6">
            <w:pPr>
              <w:snapToGrid w:val="0"/>
              <w:spacing w:line="240" w:lineRule="auto"/>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套</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801F1">
            <w:pPr>
              <w:snapToGrid w:val="0"/>
              <w:spacing w:line="240" w:lineRule="auto"/>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4</w:t>
            </w:r>
          </w:p>
        </w:tc>
        <w:tc>
          <w:tcPr>
            <w:tcW w:w="4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E7168">
            <w:pPr>
              <w:snapToGrid w:val="0"/>
              <w:spacing w:line="240" w:lineRule="auto"/>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室内消火栓</w:t>
            </w:r>
          </w:p>
        </w:tc>
      </w:tr>
      <w:tr w14:paraId="29D58294">
        <w:tblPrEx>
          <w:tblCellMar>
            <w:top w:w="0" w:type="dxa"/>
            <w:left w:w="108" w:type="dxa"/>
            <w:bottom w:w="0" w:type="dxa"/>
            <w:right w:w="108" w:type="dxa"/>
          </w:tblCellMar>
        </w:tblPrEx>
        <w:trPr>
          <w:trHeight w:val="48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699DE">
            <w:pPr>
              <w:snapToGrid w:val="0"/>
              <w:spacing w:line="240" w:lineRule="auto"/>
              <w:jc w:val="center"/>
              <w:textAlignment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bidi="ar"/>
              </w:rPr>
              <w:t>18</w:t>
            </w:r>
          </w:p>
        </w:tc>
        <w:tc>
          <w:tcPr>
            <w:tcW w:w="3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EE453">
            <w:pPr>
              <w:snapToGrid w:val="0"/>
              <w:spacing w:line="240" w:lineRule="auto"/>
              <w:jc w:val="left"/>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演播厅、地下车库消火栓及消防管道更换</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EB3E0">
            <w:pPr>
              <w:snapToGrid w:val="0"/>
              <w:spacing w:line="240" w:lineRule="auto"/>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米</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6D6A5">
            <w:pPr>
              <w:snapToGrid w:val="0"/>
              <w:spacing w:line="240" w:lineRule="auto"/>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49</w:t>
            </w:r>
          </w:p>
        </w:tc>
        <w:tc>
          <w:tcPr>
            <w:tcW w:w="4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D1EB3">
            <w:pPr>
              <w:snapToGrid w:val="0"/>
              <w:spacing w:line="240" w:lineRule="auto"/>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DN150镀锌钢管</w:t>
            </w:r>
          </w:p>
        </w:tc>
      </w:tr>
      <w:tr w14:paraId="0ED22696">
        <w:tblPrEx>
          <w:tblCellMar>
            <w:top w:w="0" w:type="dxa"/>
            <w:left w:w="108" w:type="dxa"/>
            <w:bottom w:w="0" w:type="dxa"/>
            <w:right w:w="108" w:type="dxa"/>
          </w:tblCellMar>
        </w:tblPrEx>
        <w:trPr>
          <w:trHeight w:val="48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62922">
            <w:pPr>
              <w:snapToGrid w:val="0"/>
              <w:spacing w:line="240" w:lineRule="auto"/>
              <w:jc w:val="center"/>
              <w:textAlignment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bidi="ar"/>
              </w:rPr>
              <w:t>19</w:t>
            </w:r>
          </w:p>
        </w:tc>
        <w:tc>
          <w:tcPr>
            <w:tcW w:w="3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51D41">
            <w:pPr>
              <w:snapToGrid w:val="0"/>
              <w:spacing w:line="240" w:lineRule="auto"/>
              <w:jc w:val="left"/>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演播厅、地下车库消火栓及消防管道更换</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508C3">
            <w:pPr>
              <w:snapToGrid w:val="0"/>
              <w:spacing w:line="240" w:lineRule="auto"/>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套</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C39F8">
            <w:pPr>
              <w:snapToGrid w:val="0"/>
              <w:spacing w:line="240" w:lineRule="auto"/>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 xml:space="preserve">35 </w:t>
            </w:r>
          </w:p>
        </w:tc>
        <w:tc>
          <w:tcPr>
            <w:tcW w:w="4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9D007">
            <w:pPr>
              <w:snapToGrid w:val="0"/>
              <w:spacing w:line="240" w:lineRule="auto"/>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DN100卡箍</w:t>
            </w:r>
          </w:p>
        </w:tc>
      </w:tr>
      <w:tr w14:paraId="1A28C862">
        <w:tblPrEx>
          <w:tblCellMar>
            <w:top w:w="0" w:type="dxa"/>
            <w:left w:w="108" w:type="dxa"/>
            <w:bottom w:w="0" w:type="dxa"/>
            <w:right w:w="108" w:type="dxa"/>
          </w:tblCellMar>
        </w:tblPrEx>
        <w:trPr>
          <w:trHeight w:val="48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A5C7E">
            <w:pPr>
              <w:snapToGrid w:val="0"/>
              <w:spacing w:line="240" w:lineRule="auto"/>
              <w:jc w:val="center"/>
              <w:textAlignment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bidi="ar"/>
              </w:rPr>
              <w:t>20</w:t>
            </w:r>
          </w:p>
        </w:tc>
        <w:tc>
          <w:tcPr>
            <w:tcW w:w="3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92DFF">
            <w:pPr>
              <w:snapToGrid w:val="0"/>
              <w:spacing w:line="240" w:lineRule="auto"/>
              <w:jc w:val="left"/>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演播厅、地下车库消火栓及消防管道更换</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FDD42">
            <w:pPr>
              <w:snapToGrid w:val="0"/>
              <w:spacing w:line="240" w:lineRule="auto"/>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套</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BF84C">
            <w:pPr>
              <w:snapToGrid w:val="0"/>
              <w:spacing w:line="240" w:lineRule="auto"/>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 xml:space="preserve">8 </w:t>
            </w:r>
          </w:p>
        </w:tc>
        <w:tc>
          <w:tcPr>
            <w:tcW w:w="4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D9DEA">
            <w:pPr>
              <w:snapToGrid w:val="0"/>
              <w:spacing w:line="240" w:lineRule="auto"/>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疏散应急照明灯</w:t>
            </w:r>
          </w:p>
        </w:tc>
      </w:tr>
      <w:tr w14:paraId="3EC9BD7A">
        <w:tblPrEx>
          <w:tblCellMar>
            <w:top w:w="0" w:type="dxa"/>
            <w:left w:w="108" w:type="dxa"/>
            <w:bottom w:w="0" w:type="dxa"/>
            <w:right w:w="108" w:type="dxa"/>
          </w:tblCellMar>
        </w:tblPrEx>
        <w:trPr>
          <w:trHeight w:val="48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9CBB5">
            <w:pPr>
              <w:snapToGrid w:val="0"/>
              <w:spacing w:line="240" w:lineRule="auto"/>
              <w:jc w:val="center"/>
              <w:textAlignment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bidi="ar"/>
              </w:rPr>
              <w:t>21</w:t>
            </w:r>
          </w:p>
        </w:tc>
        <w:tc>
          <w:tcPr>
            <w:tcW w:w="3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001FD">
            <w:pPr>
              <w:snapToGrid w:val="0"/>
              <w:spacing w:line="240" w:lineRule="auto"/>
              <w:jc w:val="left"/>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演播厅、地下车库消火栓及消防管道更换</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FC1F0">
            <w:pPr>
              <w:snapToGrid w:val="0"/>
              <w:spacing w:line="240" w:lineRule="auto"/>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套</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4404E">
            <w:pPr>
              <w:snapToGrid w:val="0"/>
              <w:spacing w:line="240" w:lineRule="auto"/>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 xml:space="preserve">6 </w:t>
            </w:r>
          </w:p>
        </w:tc>
        <w:tc>
          <w:tcPr>
            <w:tcW w:w="4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3C1A7">
            <w:pPr>
              <w:snapToGrid w:val="0"/>
              <w:spacing w:line="240" w:lineRule="auto"/>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疏散指示标识出口</w:t>
            </w:r>
          </w:p>
        </w:tc>
      </w:tr>
      <w:tr w14:paraId="4F7D48D0">
        <w:tblPrEx>
          <w:tblCellMar>
            <w:top w:w="0" w:type="dxa"/>
            <w:left w:w="108" w:type="dxa"/>
            <w:bottom w:w="0" w:type="dxa"/>
            <w:right w:w="108" w:type="dxa"/>
          </w:tblCellMar>
        </w:tblPrEx>
        <w:trPr>
          <w:trHeight w:val="48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ACAD1">
            <w:pPr>
              <w:snapToGrid w:val="0"/>
              <w:spacing w:line="240" w:lineRule="auto"/>
              <w:jc w:val="center"/>
              <w:textAlignment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bidi="ar"/>
              </w:rPr>
              <w:t>22</w:t>
            </w:r>
          </w:p>
        </w:tc>
        <w:tc>
          <w:tcPr>
            <w:tcW w:w="3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2ABAE">
            <w:pPr>
              <w:snapToGrid w:val="0"/>
              <w:spacing w:line="240" w:lineRule="auto"/>
              <w:jc w:val="left"/>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演播厅、地下车库消火栓及消防管道更换</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4522D">
            <w:pPr>
              <w:snapToGrid w:val="0"/>
              <w:spacing w:line="240" w:lineRule="auto"/>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米</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6938C">
            <w:pPr>
              <w:snapToGrid w:val="0"/>
              <w:spacing w:line="240" w:lineRule="auto"/>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 xml:space="preserve">200 </w:t>
            </w:r>
          </w:p>
        </w:tc>
        <w:tc>
          <w:tcPr>
            <w:tcW w:w="4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B5334">
            <w:pPr>
              <w:snapToGrid w:val="0"/>
              <w:spacing w:line="240" w:lineRule="auto"/>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ZR信号线</w:t>
            </w:r>
          </w:p>
        </w:tc>
      </w:tr>
      <w:tr w14:paraId="4EA9467B">
        <w:tblPrEx>
          <w:tblCellMar>
            <w:top w:w="0" w:type="dxa"/>
            <w:left w:w="108" w:type="dxa"/>
            <w:bottom w:w="0" w:type="dxa"/>
            <w:right w:w="108" w:type="dxa"/>
          </w:tblCellMar>
        </w:tblPrEx>
        <w:trPr>
          <w:trHeight w:val="48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9440D">
            <w:pPr>
              <w:snapToGrid w:val="0"/>
              <w:spacing w:line="240" w:lineRule="auto"/>
              <w:jc w:val="center"/>
              <w:textAlignment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bidi="ar"/>
              </w:rPr>
              <w:t>23</w:t>
            </w:r>
          </w:p>
        </w:tc>
        <w:tc>
          <w:tcPr>
            <w:tcW w:w="3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7E00C">
            <w:pPr>
              <w:snapToGrid w:val="0"/>
              <w:spacing w:line="240" w:lineRule="auto"/>
              <w:jc w:val="left"/>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演播厅、地下车库消火栓及消防管道更换</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9DEE2">
            <w:pPr>
              <w:snapToGrid w:val="0"/>
              <w:spacing w:line="240" w:lineRule="auto"/>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批</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B73A6">
            <w:pPr>
              <w:snapToGrid w:val="0"/>
              <w:spacing w:line="240" w:lineRule="auto"/>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1</w:t>
            </w:r>
          </w:p>
        </w:tc>
        <w:tc>
          <w:tcPr>
            <w:tcW w:w="4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3EEDB">
            <w:pPr>
              <w:snapToGrid w:val="0"/>
              <w:spacing w:line="240" w:lineRule="auto"/>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辅材弯头、管件焊条等</w:t>
            </w:r>
          </w:p>
        </w:tc>
      </w:tr>
      <w:tr w14:paraId="651D44D6">
        <w:tblPrEx>
          <w:tblCellMar>
            <w:top w:w="0" w:type="dxa"/>
            <w:left w:w="108" w:type="dxa"/>
            <w:bottom w:w="0" w:type="dxa"/>
            <w:right w:w="108" w:type="dxa"/>
          </w:tblCellMar>
        </w:tblPrEx>
        <w:trPr>
          <w:trHeight w:val="48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C530D">
            <w:pPr>
              <w:snapToGrid w:val="0"/>
              <w:spacing w:line="240" w:lineRule="auto"/>
              <w:jc w:val="center"/>
              <w:textAlignment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lang w:bidi="ar"/>
              </w:rPr>
              <w:t>24</w:t>
            </w:r>
          </w:p>
        </w:tc>
        <w:tc>
          <w:tcPr>
            <w:tcW w:w="3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6148A">
            <w:pPr>
              <w:snapToGrid w:val="0"/>
              <w:spacing w:line="240" w:lineRule="auto"/>
              <w:jc w:val="left"/>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演播厅、地下车库消火栓及消防管道更换</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7366B">
            <w:pPr>
              <w:snapToGrid w:val="0"/>
              <w:spacing w:line="240" w:lineRule="auto"/>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米</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3C09D">
            <w:pPr>
              <w:snapToGrid w:val="0"/>
              <w:spacing w:line="240" w:lineRule="auto"/>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6</w:t>
            </w:r>
          </w:p>
        </w:tc>
        <w:tc>
          <w:tcPr>
            <w:tcW w:w="4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C2771">
            <w:pPr>
              <w:snapToGrid w:val="0"/>
              <w:spacing w:line="240" w:lineRule="auto"/>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DN80镀锌钢管</w:t>
            </w:r>
          </w:p>
        </w:tc>
      </w:tr>
      <w:tr w14:paraId="5E973918">
        <w:tblPrEx>
          <w:tblCellMar>
            <w:top w:w="0" w:type="dxa"/>
            <w:left w:w="108" w:type="dxa"/>
            <w:bottom w:w="0" w:type="dxa"/>
            <w:right w:w="108" w:type="dxa"/>
          </w:tblCellMar>
        </w:tblPrEx>
        <w:trPr>
          <w:trHeight w:val="48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4A777">
            <w:pPr>
              <w:snapToGrid w:val="0"/>
              <w:spacing w:line="240" w:lineRule="auto"/>
              <w:jc w:val="center"/>
              <w:textAlignment w:val="center"/>
              <w:rPr>
                <w:rFonts w:cs="宋体" w:asciiTheme="minorEastAsia" w:hAnsiTheme="minorEastAsia" w:eastAsiaTheme="minorEastAsia"/>
                <w:color w:val="auto"/>
                <w:sz w:val="24"/>
                <w:szCs w:val="24"/>
                <w:highlight w:val="none"/>
                <w:lang w:val="en" w:bidi="ar"/>
              </w:rPr>
            </w:pPr>
            <w:r>
              <w:rPr>
                <w:rFonts w:cs="宋体" w:asciiTheme="minorEastAsia" w:hAnsiTheme="minorEastAsia" w:eastAsiaTheme="minorEastAsia"/>
                <w:color w:val="auto"/>
                <w:sz w:val="24"/>
                <w:szCs w:val="24"/>
                <w:highlight w:val="none"/>
                <w:lang w:val="en" w:bidi="ar"/>
              </w:rPr>
              <w:t>25</w:t>
            </w:r>
          </w:p>
        </w:tc>
        <w:tc>
          <w:tcPr>
            <w:tcW w:w="3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0B6D0">
            <w:pPr>
              <w:snapToGrid w:val="0"/>
              <w:spacing w:line="240" w:lineRule="auto"/>
              <w:jc w:val="left"/>
              <w:textAlignment w:val="center"/>
              <w:rPr>
                <w:rFonts w:asciiTheme="minorEastAsia" w:hAnsiTheme="minorEastAsia" w:eastAsiaTheme="minorEastAsia" w:cstheme="minorEastAsia"/>
                <w:color w:val="auto"/>
                <w:sz w:val="24"/>
                <w:szCs w:val="24"/>
                <w:highlight w:val="none"/>
                <w:lang w:val="en" w:bidi="ar"/>
              </w:rPr>
            </w:pPr>
            <w:r>
              <w:rPr>
                <w:rFonts w:hint="eastAsia" w:asciiTheme="minorEastAsia" w:hAnsiTheme="minorEastAsia" w:eastAsiaTheme="minorEastAsia" w:cstheme="minorEastAsia"/>
                <w:color w:val="auto"/>
                <w:sz w:val="24"/>
                <w:szCs w:val="24"/>
                <w:highlight w:val="none"/>
                <w:lang w:bidi="ar"/>
              </w:rPr>
              <w:t>演播厅、地下车库消火栓及消防管道更换</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E2328">
            <w:pPr>
              <w:snapToGrid w:val="0"/>
              <w:spacing w:line="240" w:lineRule="auto"/>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米</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2A735">
            <w:pPr>
              <w:snapToGrid w:val="0"/>
              <w:spacing w:line="240" w:lineRule="auto"/>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9</w:t>
            </w:r>
          </w:p>
        </w:tc>
        <w:tc>
          <w:tcPr>
            <w:tcW w:w="4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1F8B1">
            <w:pPr>
              <w:snapToGrid w:val="0"/>
              <w:spacing w:line="240" w:lineRule="auto"/>
              <w:jc w:val="center"/>
              <w:textAlignment w:val="center"/>
              <w:rPr>
                <w:rFonts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DN50镀锌钢管</w:t>
            </w:r>
          </w:p>
        </w:tc>
      </w:tr>
      <w:tr w14:paraId="619B4572">
        <w:tblPrEx>
          <w:tblCellMar>
            <w:top w:w="0" w:type="dxa"/>
            <w:left w:w="108" w:type="dxa"/>
            <w:bottom w:w="0" w:type="dxa"/>
            <w:right w:w="108" w:type="dxa"/>
          </w:tblCellMar>
        </w:tblPrEx>
        <w:trPr>
          <w:trHeight w:val="48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04680">
            <w:pPr>
              <w:snapToGrid w:val="0"/>
              <w:spacing w:line="240" w:lineRule="auto"/>
              <w:jc w:val="center"/>
              <w:textAlignment w:val="center"/>
              <w:rPr>
                <w:rFonts w:cs="宋体" w:asciiTheme="minorEastAsia" w:hAnsiTheme="minorEastAsia" w:eastAsiaTheme="minorEastAsia"/>
                <w:color w:val="auto"/>
                <w:sz w:val="24"/>
                <w:szCs w:val="24"/>
                <w:highlight w:val="none"/>
                <w:lang w:val="en" w:bidi="ar"/>
              </w:rPr>
            </w:pPr>
            <w:r>
              <w:rPr>
                <w:rFonts w:cs="宋体" w:asciiTheme="minorEastAsia" w:hAnsiTheme="minorEastAsia" w:eastAsiaTheme="minorEastAsia"/>
                <w:color w:val="auto"/>
                <w:sz w:val="24"/>
                <w:szCs w:val="24"/>
                <w:highlight w:val="none"/>
                <w:lang w:val="en" w:bidi="ar"/>
              </w:rPr>
              <w:t>26</w:t>
            </w:r>
          </w:p>
        </w:tc>
        <w:tc>
          <w:tcPr>
            <w:tcW w:w="3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73E7E">
            <w:pPr>
              <w:snapToGrid w:val="0"/>
              <w:spacing w:line="240" w:lineRule="auto"/>
              <w:jc w:val="left"/>
              <w:textAlignment w:val="center"/>
              <w:rPr>
                <w:rFonts w:asciiTheme="minorEastAsia" w:hAnsiTheme="minorEastAsia" w:eastAsiaTheme="minorEastAsia" w:cstheme="minorEastAsia"/>
                <w:color w:val="auto"/>
                <w:sz w:val="24"/>
                <w:szCs w:val="24"/>
                <w:highlight w:val="none"/>
                <w:lang w:val="en" w:bidi="ar"/>
              </w:rPr>
            </w:pPr>
            <w:r>
              <w:rPr>
                <w:rFonts w:hint="eastAsia" w:asciiTheme="minorEastAsia" w:hAnsiTheme="minorEastAsia" w:eastAsiaTheme="minorEastAsia" w:cstheme="minorEastAsia"/>
                <w:color w:val="auto"/>
                <w:sz w:val="24"/>
                <w:szCs w:val="24"/>
                <w:highlight w:val="none"/>
                <w:lang w:bidi="ar"/>
              </w:rPr>
              <w:t>演播厅、地下车库消火栓及消防管道更换</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9ADBC">
            <w:pPr>
              <w:snapToGrid w:val="0"/>
              <w:spacing w:line="240" w:lineRule="auto"/>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个</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E9349">
            <w:pPr>
              <w:snapToGrid w:val="0"/>
              <w:spacing w:line="240" w:lineRule="auto"/>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22</w:t>
            </w:r>
          </w:p>
        </w:tc>
        <w:tc>
          <w:tcPr>
            <w:tcW w:w="4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864C8">
            <w:pPr>
              <w:snapToGrid w:val="0"/>
              <w:spacing w:line="240" w:lineRule="auto"/>
              <w:jc w:val="center"/>
              <w:textAlignment w:val="center"/>
              <w:rPr>
                <w:rFonts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40*25*32三通</w:t>
            </w:r>
          </w:p>
        </w:tc>
      </w:tr>
      <w:tr w14:paraId="19BEE6F8">
        <w:tblPrEx>
          <w:tblCellMar>
            <w:top w:w="0" w:type="dxa"/>
            <w:left w:w="108" w:type="dxa"/>
            <w:bottom w:w="0" w:type="dxa"/>
            <w:right w:w="108" w:type="dxa"/>
          </w:tblCellMar>
        </w:tblPrEx>
        <w:trPr>
          <w:trHeight w:val="48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E6D43">
            <w:pPr>
              <w:snapToGrid w:val="0"/>
              <w:spacing w:line="240" w:lineRule="auto"/>
              <w:jc w:val="center"/>
              <w:textAlignment w:val="center"/>
              <w:rPr>
                <w:rFonts w:cs="宋体" w:asciiTheme="minorEastAsia" w:hAnsiTheme="minorEastAsia" w:eastAsiaTheme="minorEastAsia"/>
                <w:color w:val="auto"/>
                <w:sz w:val="24"/>
                <w:szCs w:val="24"/>
                <w:highlight w:val="none"/>
                <w:lang w:val="en" w:bidi="ar"/>
              </w:rPr>
            </w:pPr>
            <w:r>
              <w:rPr>
                <w:rFonts w:cs="宋体" w:asciiTheme="minorEastAsia" w:hAnsiTheme="minorEastAsia" w:eastAsiaTheme="minorEastAsia"/>
                <w:color w:val="auto"/>
                <w:sz w:val="24"/>
                <w:szCs w:val="24"/>
                <w:highlight w:val="none"/>
                <w:lang w:val="en" w:bidi="ar"/>
              </w:rPr>
              <w:t>27</w:t>
            </w:r>
          </w:p>
        </w:tc>
        <w:tc>
          <w:tcPr>
            <w:tcW w:w="3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FE0B9">
            <w:pPr>
              <w:snapToGrid w:val="0"/>
              <w:spacing w:line="240" w:lineRule="auto"/>
              <w:jc w:val="left"/>
              <w:textAlignment w:val="center"/>
              <w:rPr>
                <w:rFonts w:asciiTheme="minorEastAsia" w:hAnsiTheme="minorEastAsia" w:eastAsiaTheme="minorEastAsia" w:cstheme="minorEastAsia"/>
                <w:color w:val="auto"/>
                <w:sz w:val="24"/>
                <w:szCs w:val="24"/>
                <w:highlight w:val="none"/>
                <w:lang w:val="en" w:bidi="ar"/>
              </w:rPr>
            </w:pPr>
            <w:r>
              <w:rPr>
                <w:rFonts w:hint="eastAsia" w:asciiTheme="minorEastAsia" w:hAnsiTheme="minorEastAsia" w:eastAsiaTheme="minorEastAsia" w:cstheme="minorEastAsia"/>
                <w:color w:val="auto"/>
                <w:sz w:val="24"/>
                <w:szCs w:val="24"/>
                <w:highlight w:val="none"/>
                <w:lang w:bidi="ar"/>
              </w:rPr>
              <w:t>演播厅、地下车库消火栓及消防管道更换</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19989">
            <w:pPr>
              <w:snapToGrid w:val="0"/>
              <w:spacing w:line="240" w:lineRule="auto"/>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个</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4619A">
            <w:pPr>
              <w:snapToGrid w:val="0"/>
              <w:spacing w:line="240" w:lineRule="auto"/>
              <w:jc w:val="center"/>
              <w:textAlignment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24</w:t>
            </w:r>
          </w:p>
        </w:tc>
        <w:tc>
          <w:tcPr>
            <w:tcW w:w="4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50F06">
            <w:pPr>
              <w:snapToGrid w:val="0"/>
              <w:spacing w:line="240" w:lineRule="auto"/>
              <w:jc w:val="center"/>
              <w:textAlignment w:val="center"/>
              <w:rPr>
                <w:rFonts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40*25*40三通</w:t>
            </w:r>
          </w:p>
        </w:tc>
      </w:tr>
    </w:tbl>
    <w:p w14:paraId="4D556A15">
      <w:pPr>
        <w:spacing w:line="300" w:lineRule="auto"/>
        <w:ind w:firstLine="480" w:firstLineChars="200"/>
        <w:rPr>
          <w:color w:val="auto"/>
          <w:sz w:val="24"/>
          <w:szCs w:val="24"/>
          <w:highlight w:val="none"/>
        </w:rPr>
      </w:pPr>
      <w:r>
        <w:rPr>
          <w:rFonts w:hint="eastAsia"/>
          <w:color w:val="auto"/>
          <w:sz w:val="24"/>
          <w:szCs w:val="24"/>
          <w:highlight w:val="none"/>
        </w:rPr>
        <w:t>说明：雨淋喷水报警阀2套。阀组框架包含：</w:t>
      </w:r>
    </w:p>
    <w:p w14:paraId="7FA89015">
      <w:pPr>
        <w:spacing w:line="300" w:lineRule="auto"/>
        <w:ind w:firstLine="480" w:firstLineChars="200"/>
        <w:rPr>
          <w:color w:val="auto"/>
          <w:sz w:val="24"/>
          <w:szCs w:val="24"/>
          <w:highlight w:val="none"/>
        </w:rPr>
      </w:pPr>
      <w:r>
        <w:rPr>
          <w:rFonts w:hint="eastAsia"/>
          <w:color w:val="auto"/>
          <w:sz w:val="24"/>
          <w:szCs w:val="24"/>
          <w:highlight w:val="none"/>
        </w:rPr>
        <w:t>（1）雨淋阀本体。其阀腔分为上腔、下腔和控制腔三部分，通过控制腔泄压实现阀瓣开启。</w:t>
      </w:r>
    </w:p>
    <w:p w14:paraId="7DC35602">
      <w:pPr>
        <w:spacing w:line="300" w:lineRule="auto"/>
        <w:ind w:firstLine="480" w:firstLineChars="200"/>
        <w:rPr>
          <w:color w:val="auto"/>
          <w:sz w:val="24"/>
          <w:szCs w:val="24"/>
          <w:highlight w:val="none"/>
        </w:rPr>
      </w:pPr>
      <w:r>
        <w:rPr>
          <w:rFonts w:hint="eastAsia"/>
          <w:color w:val="auto"/>
          <w:sz w:val="24"/>
          <w:szCs w:val="24"/>
          <w:highlight w:val="none"/>
        </w:rPr>
        <w:t>（2）报警装置。水力警铃：用于声响报警，工作压力大于等于0.05MPa。压力开关：触发电信号启动消防泵，动作时间要求为阀开启后15秒内响应。</w:t>
      </w:r>
    </w:p>
    <w:p w14:paraId="69453957">
      <w:pPr>
        <w:spacing w:line="300" w:lineRule="auto"/>
        <w:ind w:firstLine="480" w:firstLineChars="200"/>
        <w:rPr>
          <w:color w:val="auto"/>
          <w:sz w:val="24"/>
          <w:szCs w:val="24"/>
          <w:highlight w:val="none"/>
        </w:rPr>
      </w:pPr>
      <w:r>
        <w:rPr>
          <w:rFonts w:hint="eastAsia"/>
          <w:color w:val="auto"/>
          <w:sz w:val="24"/>
          <w:szCs w:val="24"/>
          <w:highlight w:val="none"/>
        </w:rPr>
        <w:t>（3）控制与辅助部件。控制阀组。电磁阀：需在入口处加装过滤器，防止堵塞。手动操作阀：包括三通球阀、针阀、排水球阀等，用于系统调试或应急操作。信号阀/锁定阀：防止误操作导致供水中断。压力稳定装置。止回阀：并联阀组中用于稳定控制腔压力，避免误动作。压力表：监测隔膜室及供水压力。</w:t>
      </w:r>
    </w:p>
    <w:p w14:paraId="2E6C75F4">
      <w:pPr>
        <w:spacing w:line="300" w:lineRule="auto"/>
        <w:ind w:firstLine="480" w:firstLineChars="200"/>
        <w:rPr>
          <w:color w:val="auto"/>
          <w:sz w:val="24"/>
          <w:szCs w:val="24"/>
          <w:highlight w:val="none"/>
        </w:rPr>
      </w:pPr>
      <w:r>
        <w:rPr>
          <w:rFonts w:hint="eastAsia"/>
          <w:color w:val="auto"/>
          <w:sz w:val="24"/>
          <w:szCs w:val="24"/>
          <w:highlight w:val="none"/>
        </w:rPr>
        <w:t>（4）安装要求：阀组距地面高度宜1.2米。</w:t>
      </w:r>
    </w:p>
    <w:p w14:paraId="24F3AF8D">
      <w:pPr>
        <w:spacing w:line="300" w:lineRule="auto"/>
        <w:ind w:firstLine="480" w:firstLineChars="200"/>
        <w:rPr>
          <w:color w:val="auto"/>
          <w:sz w:val="24"/>
          <w:szCs w:val="24"/>
          <w:highlight w:val="none"/>
        </w:rPr>
      </w:pPr>
      <w:r>
        <w:rPr>
          <w:rFonts w:hint="eastAsia"/>
          <w:color w:val="auto"/>
          <w:sz w:val="24"/>
          <w:szCs w:val="24"/>
          <w:highlight w:val="none"/>
        </w:rPr>
        <w:t>（5）安全管理：由中标人负责安装期间的生产安全，现场安全及现场管理。做到文明施工，安全施工，责任自负。施工作业现场应按照要求配备灭火器、安全帽、围挡以及安全警示标语。动火作业要根据相关要求办理手续，施工作业人员要具有相关资质的资格证书。</w:t>
      </w:r>
    </w:p>
    <w:p w14:paraId="1B7FF3FC">
      <w:pPr>
        <w:spacing w:line="300" w:lineRule="auto"/>
        <w:ind w:firstLine="480" w:firstLineChars="200"/>
        <w:rPr>
          <w:color w:val="auto"/>
          <w:sz w:val="24"/>
          <w:szCs w:val="24"/>
          <w:highlight w:val="none"/>
        </w:rPr>
      </w:pPr>
      <w:r>
        <w:rPr>
          <w:rFonts w:hint="eastAsia"/>
          <w:color w:val="auto"/>
          <w:sz w:val="24"/>
          <w:szCs w:val="24"/>
          <w:highlight w:val="none"/>
        </w:rPr>
        <w:t>（6）结合现场完善方案。项目改造实施方案需符合建筑消防设施规范要求。主材均需国标产品。</w:t>
      </w:r>
    </w:p>
    <w:p w14:paraId="5B834EA0">
      <w:pPr>
        <w:spacing w:line="300" w:lineRule="auto"/>
        <w:ind w:firstLine="480" w:firstLineChars="200"/>
        <w:rPr>
          <w:color w:val="auto"/>
          <w:sz w:val="24"/>
          <w:szCs w:val="24"/>
          <w:highlight w:val="none"/>
        </w:rPr>
      </w:pPr>
    </w:p>
    <w:p w14:paraId="4A221B87">
      <w:pPr>
        <w:widowControl w:val="0"/>
        <w:adjustRightInd w:val="0"/>
        <w:snapToGrid w:val="0"/>
        <w:spacing w:before="156" w:beforeLines="50" w:line="300" w:lineRule="auto"/>
        <w:ind w:firstLine="463" w:firstLineChars="192"/>
        <w:rPr>
          <w:b/>
          <w:color w:val="auto"/>
          <w:sz w:val="24"/>
          <w:szCs w:val="24"/>
          <w:highlight w:val="none"/>
        </w:rPr>
      </w:pPr>
      <w:r>
        <w:rPr>
          <w:rFonts w:hint="eastAsia"/>
          <w:b/>
          <w:color w:val="auto"/>
          <w:sz w:val="24"/>
          <w:szCs w:val="24"/>
          <w:highlight w:val="none"/>
        </w:rPr>
        <w:t>注：</w:t>
      </w:r>
      <w:r>
        <w:rPr>
          <w:rFonts w:hint="eastAsia" w:ascii="宋体" w:hAnsi="宋体"/>
          <w:b/>
          <w:color w:val="auto"/>
          <w:sz w:val="24"/>
          <w:szCs w:val="24"/>
          <w:highlight w:val="none"/>
        </w:rPr>
        <w:t>安阳市融媒体中心演播大厅改造（一期）项目（包2）</w:t>
      </w:r>
      <w:r>
        <w:rPr>
          <w:rFonts w:hint="eastAsia"/>
          <w:b/>
          <w:color w:val="auto"/>
          <w:sz w:val="24"/>
          <w:szCs w:val="24"/>
          <w:highlight w:val="none"/>
        </w:rPr>
        <w:t>的中小企业划分标准所属行业为：建筑业。</w:t>
      </w:r>
    </w:p>
    <w:p w14:paraId="307DF87B">
      <w:pPr>
        <w:spacing w:line="300" w:lineRule="auto"/>
        <w:ind w:firstLine="480" w:firstLineChars="200"/>
        <w:rPr>
          <w:color w:val="auto"/>
          <w:sz w:val="24"/>
          <w:szCs w:val="24"/>
          <w:highlight w:val="none"/>
        </w:rPr>
      </w:pPr>
      <w:r>
        <w:rPr>
          <w:rFonts w:hint="eastAsia"/>
          <w:color w:val="auto"/>
          <w:sz w:val="24"/>
          <w:szCs w:val="24"/>
          <w:highlight w:val="none"/>
        </w:rPr>
        <w:t>提醒：投标人按照采购文件中标明的工程项目的所属行业、按该行业所对应的中小企业划分标准，作为工程的承建企业（投标人）是否属于小微企业的判断标准。</w:t>
      </w:r>
    </w:p>
    <w:p w14:paraId="50E127A9">
      <w:pPr>
        <w:spacing w:line="300" w:lineRule="auto"/>
        <w:ind w:firstLine="480" w:firstLineChars="200"/>
        <w:rPr>
          <w:color w:val="auto"/>
          <w:sz w:val="24"/>
          <w:szCs w:val="24"/>
          <w:highlight w:val="none"/>
        </w:rPr>
      </w:pPr>
      <w:r>
        <w:rPr>
          <w:rFonts w:hint="eastAsia"/>
          <w:color w:val="auto"/>
          <w:sz w:val="24"/>
          <w:szCs w:val="24"/>
          <w:highlight w:val="none"/>
        </w:rPr>
        <w:t>投标人不应按照自身的行业属性作为小微企业的判断标准（应按采购文件标明的所属行业进行判断）。</w:t>
      </w:r>
    </w:p>
    <w:p w14:paraId="35FD64D2">
      <w:pPr>
        <w:widowControl w:val="0"/>
        <w:adjustRightInd w:val="0"/>
        <w:snapToGrid w:val="0"/>
        <w:spacing w:before="156" w:beforeLines="50" w:line="300" w:lineRule="auto"/>
        <w:ind w:firstLine="463" w:firstLineChars="192"/>
        <w:rPr>
          <w:b/>
          <w:color w:val="auto"/>
          <w:sz w:val="24"/>
          <w:szCs w:val="24"/>
          <w:highlight w:val="none"/>
        </w:rPr>
      </w:pPr>
      <w:r>
        <w:rPr>
          <w:rFonts w:hint="eastAsia"/>
          <w:b/>
          <w:color w:val="auto"/>
          <w:sz w:val="24"/>
          <w:szCs w:val="24"/>
          <w:highlight w:val="none"/>
        </w:rPr>
        <w:t>2.4项目说明</w:t>
      </w:r>
    </w:p>
    <w:p w14:paraId="1B22E1A3">
      <w:pPr>
        <w:widowControl w:val="0"/>
        <w:adjustRightInd w:val="0"/>
        <w:snapToGrid w:val="0"/>
        <w:spacing w:before="156" w:beforeLines="50" w:line="300" w:lineRule="auto"/>
        <w:ind w:firstLine="460" w:firstLineChars="192"/>
        <w:rPr>
          <w:color w:val="auto"/>
          <w:sz w:val="24"/>
          <w:szCs w:val="24"/>
          <w:highlight w:val="none"/>
        </w:rPr>
      </w:pPr>
      <w:r>
        <w:rPr>
          <w:rFonts w:hint="eastAsia"/>
          <w:color w:val="auto"/>
          <w:sz w:val="24"/>
          <w:szCs w:val="24"/>
          <w:highlight w:val="none"/>
        </w:rPr>
        <w:t>（</w:t>
      </w:r>
      <w:r>
        <w:rPr>
          <w:color w:val="auto"/>
          <w:sz w:val="24"/>
          <w:szCs w:val="24"/>
          <w:highlight w:val="none"/>
        </w:rPr>
        <w:t>1</w:t>
      </w:r>
      <w:r>
        <w:rPr>
          <w:rFonts w:hint="eastAsia"/>
          <w:color w:val="auto"/>
          <w:sz w:val="24"/>
          <w:szCs w:val="24"/>
          <w:highlight w:val="none"/>
        </w:rPr>
        <w:t>）项目质量要求：工程质量必须达到对应专业现行的国家</w:t>
      </w:r>
      <w:r>
        <w:rPr>
          <w:rFonts w:hint="eastAsia" w:ascii="宋体" w:hAnsi="宋体"/>
          <w:color w:val="auto"/>
          <w:sz w:val="24"/>
          <w:szCs w:val="24"/>
          <w:highlight w:val="none"/>
        </w:rPr>
        <w:t>（</w:t>
      </w:r>
      <w:r>
        <w:rPr>
          <w:rFonts w:hint="eastAsia"/>
          <w:color w:val="auto"/>
          <w:sz w:val="24"/>
          <w:szCs w:val="24"/>
          <w:highlight w:val="none"/>
        </w:rPr>
        <w:t>行业</w:t>
      </w:r>
      <w:r>
        <w:rPr>
          <w:rFonts w:hint="eastAsia" w:ascii="宋体" w:hAnsi="宋体"/>
          <w:color w:val="auto"/>
          <w:sz w:val="24"/>
          <w:szCs w:val="24"/>
          <w:highlight w:val="none"/>
        </w:rPr>
        <w:t>）</w:t>
      </w:r>
      <w:r>
        <w:rPr>
          <w:rFonts w:hint="eastAsia"/>
          <w:color w:val="auto"/>
          <w:sz w:val="24"/>
          <w:szCs w:val="24"/>
          <w:highlight w:val="none"/>
        </w:rPr>
        <w:t>的技术标准、规范且符合相关环保要求。</w:t>
      </w:r>
    </w:p>
    <w:p w14:paraId="403B0F27">
      <w:pPr>
        <w:widowControl w:val="0"/>
        <w:adjustRightInd w:val="0"/>
        <w:snapToGrid w:val="0"/>
        <w:spacing w:before="156" w:beforeLines="50" w:line="300" w:lineRule="auto"/>
        <w:ind w:left="22" w:firstLine="555"/>
        <w:jc w:val="left"/>
        <w:rPr>
          <w:color w:val="auto"/>
          <w:sz w:val="24"/>
          <w:szCs w:val="24"/>
          <w:highlight w:val="none"/>
        </w:rPr>
      </w:pPr>
      <w:r>
        <w:rPr>
          <w:rFonts w:hint="eastAsia"/>
          <w:color w:val="auto"/>
          <w:sz w:val="24"/>
          <w:szCs w:val="24"/>
          <w:highlight w:val="none"/>
        </w:rPr>
        <w:t>（</w:t>
      </w:r>
      <w:r>
        <w:rPr>
          <w:color w:val="auto"/>
          <w:sz w:val="24"/>
          <w:szCs w:val="24"/>
          <w:highlight w:val="none"/>
        </w:rPr>
        <w:t>2</w:t>
      </w:r>
      <w:r>
        <w:rPr>
          <w:rFonts w:hint="eastAsia"/>
          <w:color w:val="auto"/>
          <w:sz w:val="24"/>
          <w:szCs w:val="24"/>
          <w:highlight w:val="none"/>
        </w:rPr>
        <w:t>）项目所涉货物材料的技术偏离：</w:t>
      </w:r>
    </w:p>
    <w:p w14:paraId="0FB66574">
      <w:pPr>
        <w:widowControl w:val="0"/>
        <w:adjustRightInd w:val="0"/>
        <w:snapToGrid w:val="0"/>
        <w:spacing w:before="156" w:beforeLines="50" w:line="300" w:lineRule="auto"/>
        <w:ind w:left="22" w:firstLine="555"/>
        <w:jc w:val="left"/>
        <w:rPr>
          <w:color w:val="auto"/>
          <w:sz w:val="24"/>
          <w:szCs w:val="24"/>
          <w:highlight w:val="none"/>
        </w:rPr>
      </w:pPr>
      <w:r>
        <w:rPr>
          <w:rFonts w:hint="eastAsia"/>
          <w:color w:val="auto"/>
          <w:sz w:val="24"/>
          <w:szCs w:val="24"/>
          <w:highlight w:val="none"/>
        </w:rPr>
        <w:t>“基本技术要求”列示货物材料的参数、规格为基础</w:t>
      </w:r>
      <w:r>
        <w:rPr>
          <w:color w:val="auto"/>
          <w:sz w:val="24"/>
          <w:szCs w:val="24"/>
          <w:highlight w:val="none"/>
        </w:rPr>
        <w:t>性</w:t>
      </w:r>
      <w:r>
        <w:rPr>
          <w:rFonts w:hint="eastAsia"/>
          <w:color w:val="auto"/>
          <w:sz w:val="24"/>
          <w:szCs w:val="24"/>
          <w:highlight w:val="none"/>
        </w:rPr>
        <w:t>要求，投标人可提供质量性能参数相等或优于的其他产品；投</w:t>
      </w:r>
      <w:r>
        <w:rPr>
          <w:color w:val="auto"/>
          <w:sz w:val="24"/>
          <w:szCs w:val="24"/>
          <w:highlight w:val="none"/>
        </w:rPr>
        <w:t>标产品的</w:t>
      </w:r>
      <w:r>
        <w:rPr>
          <w:rFonts w:hint="eastAsia"/>
          <w:color w:val="auto"/>
          <w:sz w:val="24"/>
          <w:szCs w:val="24"/>
          <w:highlight w:val="none"/>
        </w:rPr>
        <w:t>规格参数与“基本技术要求”不</w:t>
      </w:r>
      <w:r>
        <w:rPr>
          <w:color w:val="auto"/>
          <w:sz w:val="24"/>
          <w:szCs w:val="24"/>
          <w:highlight w:val="none"/>
        </w:rPr>
        <w:t>同</w:t>
      </w:r>
      <w:r>
        <w:rPr>
          <w:rFonts w:hint="eastAsia"/>
          <w:color w:val="auto"/>
          <w:sz w:val="24"/>
          <w:szCs w:val="24"/>
          <w:highlight w:val="none"/>
        </w:rPr>
        <w:t>、</w:t>
      </w:r>
      <w:r>
        <w:rPr>
          <w:color w:val="auto"/>
          <w:sz w:val="24"/>
          <w:szCs w:val="24"/>
          <w:highlight w:val="none"/>
        </w:rPr>
        <w:t>且</w:t>
      </w:r>
      <w:r>
        <w:rPr>
          <w:rFonts w:hint="eastAsia"/>
          <w:color w:val="auto"/>
          <w:sz w:val="24"/>
          <w:szCs w:val="24"/>
          <w:highlight w:val="none"/>
        </w:rPr>
        <w:t>供应商认</w:t>
      </w:r>
      <w:r>
        <w:rPr>
          <w:color w:val="auto"/>
          <w:sz w:val="24"/>
          <w:szCs w:val="24"/>
          <w:highlight w:val="none"/>
        </w:rPr>
        <w:t>为</w:t>
      </w:r>
      <w:r>
        <w:rPr>
          <w:rFonts w:hint="eastAsia"/>
          <w:color w:val="auto"/>
          <w:sz w:val="24"/>
          <w:szCs w:val="24"/>
          <w:highlight w:val="none"/>
        </w:rPr>
        <w:t>投</w:t>
      </w:r>
      <w:r>
        <w:rPr>
          <w:color w:val="auto"/>
          <w:sz w:val="24"/>
          <w:szCs w:val="24"/>
          <w:highlight w:val="none"/>
        </w:rPr>
        <w:t>标产品的</w:t>
      </w:r>
      <w:r>
        <w:rPr>
          <w:rFonts w:hint="eastAsia"/>
          <w:color w:val="auto"/>
          <w:sz w:val="24"/>
          <w:szCs w:val="24"/>
          <w:highlight w:val="none"/>
        </w:rPr>
        <w:t>规格参数等</w:t>
      </w:r>
      <w:r>
        <w:rPr>
          <w:color w:val="auto"/>
          <w:sz w:val="24"/>
          <w:szCs w:val="24"/>
          <w:highlight w:val="none"/>
        </w:rPr>
        <w:t>于或优于</w:t>
      </w:r>
      <w:r>
        <w:rPr>
          <w:rFonts w:hint="eastAsia"/>
          <w:color w:val="auto"/>
          <w:sz w:val="24"/>
          <w:szCs w:val="24"/>
          <w:highlight w:val="none"/>
        </w:rPr>
        <w:t>“基本技术要求”的</w:t>
      </w:r>
      <w:r>
        <w:rPr>
          <w:color w:val="auto"/>
          <w:sz w:val="24"/>
          <w:szCs w:val="24"/>
          <w:highlight w:val="none"/>
        </w:rPr>
        <w:t>，</w:t>
      </w:r>
      <w:r>
        <w:rPr>
          <w:rFonts w:hint="eastAsia"/>
          <w:color w:val="auto"/>
          <w:sz w:val="24"/>
          <w:szCs w:val="24"/>
          <w:highlight w:val="none"/>
        </w:rPr>
        <w:t>供应商应提供相关证明材料（如权威评测资料、及印刷品产品说明书或印刷品图册等）以供评标委员会评审投标产品是</w:t>
      </w:r>
      <w:r>
        <w:rPr>
          <w:color w:val="auto"/>
          <w:sz w:val="24"/>
          <w:szCs w:val="24"/>
          <w:highlight w:val="none"/>
        </w:rPr>
        <w:t>否</w:t>
      </w:r>
      <w:r>
        <w:rPr>
          <w:rFonts w:hint="eastAsia"/>
          <w:color w:val="auto"/>
          <w:sz w:val="24"/>
          <w:szCs w:val="24"/>
          <w:highlight w:val="none"/>
        </w:rPr>
        <w:t>等于或优于“基本技术要求”、从而</w:t>
      </w:r>
      <w:r>
        <w:rPr>
          <w:color w:val="auto"/>
          <w:sz w:val="24"/>
          <w:szCs w:val="24"/>
          <w:highlight w:val="none"/>
        </w:rPr>
        <w:t>评定</w:t>
      </w:r>
      <w:r>
        <w:rPr>
          <w:rFonts w:hint="eastAsia"/>
          <w:color w:val="auto"/>
          <w:sz w:val="24"/>
          <w:szCs w:val="24"/>
          <w:highlight w:val="none"/>
        </w:rPr>
        <w:t>投标产品是</w:t>
      </w:r>
      <w:r>
        <w:rPr>
          <w:color w:val="auto"/>
          <w:sz w:val="24"/>
          <w:szCs w:val="24"/>
          <w:highlight w:val="none"/>
        </w:rPr>
        <w:t>否</w:t>
      </w:r>
      <w:r>
        <w:rPr>
          <w:rFonts w:hint="eastAsia"/>
          <w:color w:val="auto"/>
          <w:sz w:val="24"/>
          <w:szCs w:val="24"/>
          <w:highlight w:val="none"/>
        </w:rPr>
        <w:t>满</w:t>
      </w:r>
      <w:r>
        <w:rPr>
          <w:color w:val="auto"/>
          <w:sz w:val="24"/>
          <w:szCs w:val="24"/>
          <w:highlight w:val="none"/>
        </w:rPr>
        <w:t>足</w:t>
      </w:r>
      <w:r>
        <w:rPr>
          <w:rFonts w:hint="eastAsia"/>
          <w:color w:val="auto"/>
          <w:sz w:val="24"/>
          <w:szCs w:val="24"/>
          <w:highlight w:val="none"/>
        </w:rPr>
        <w:t>“基本技术要求”。</w:t>
      </w:r>
    </w:p>
    <w:p w14:paraId="564B93A1">
      <w:pPr>
        <w:widowControl w:val="0"/>
        <w:adjustRightInd w:val="0"/>
        <w:snapToGrid w:val="0"/>
        <w:spacing w:before="156" w:beforeLines="50" w:line="300" w:lineRule="auto"/>
        <w:ind w:left="22" w:firstLine="555"/>
        <w:jc w:val="left"/>
        <w:rPr>
          <w:color w:val="auto"/>
          <w:sz w:val="24"/>
          <w:szCs w:val="24"/>
          <w:highlight w:val="none"/>
        </w:rPr>
      </w:pPr>
      <w:r>
        <w:rPr>
          <w:rFonts w:hint="eastAsia"/>
          <w:color w:val="auto"/>
          <w:sz w:val="24"/>
          <w:szCs w:val="24"/>
          <w:highlight w:val="none"/>
        </w:rPr>
        <w:t>“基本技术要求”列示货物材料的参数、规格为区</w:t>
      </w:r>
      <w:r>
        <w:rPr>
          <w:color w:val="auto"/>
          <w:sz w:val="24"/>
          <w:szCs w:val="24"/>
          <w:highlight w:val="none"/>
        </w:rPr>
        <w:t>间性描述的，</w:t>
      </w:r>
      <w:r>
        <w:rPr>
          <w:rFonts w:hint="eastAsia"/>
          <w:color w:val="auto"/>
          <w:sz w:val="24"/>
          <w:szCs w:val="24"/>
          <w:highlight w:val="none"/>
        </w:rPr>
        <w:t>投</w:t>
      </w:r>
      <w:r>
        <w:rPr>
          <w:color w:val="auto"/>
          <w:sz w:val="24"/>
          <w:szCs w:val="24"/>
          <w:highlight w:val="none"/>
        </w:rPr>
        <w:t>标产品</w:t>
      </w:r>
      <w:r>
        <w:rPr>
          <w:rFonts w:hint="eastAsia"/>
          <w:color w:val="auto"/>
          <w:sz w:val="24"/>
          <w:szCs w:val="24"/>
          <w:highlight w:val="none"/>
        </w:rPr>
        <w:t>参数规格</w:t>
      </w:r>
      <w:r>
        <w:rPr>
          <w:color w:val="auto"/>
          <w:sz w:val="24"/>
          <w:szCs w:val="24"/>
          <w:highlight w:val="none"/>
        </w:rPr>
        <w:t>在此区间内的</w:t>
      </w:r>
      <w:r>
        <w:rPr>
          <w:rFonts w:hint="eastAsia"/>
          <w:color w:val="auto"/>
          <w:sz w:val="24"/>
          <w:szCs w:val="24"/>
          <w:highlight w:val="none"/>
        </w:rPr>
        <w:t>、则</w:t>
      </w:r>
      <w:r>
        <w:rPr>
          <w:color w:val="auto"/>
          <w:sz w:val="24"/>
          <w:szCs w:val="24"/>
          <w:highlight w:val="none"/>
        </w:rPr>
        <w:t>显见的为</w:t>
      </w:r>
      <w:r>
        <w:rPr>
          <w:rFonts w:hint="eastAsia"/>
          <w:color w:val="auto"/>
          <w:sz w:val="24"/>
          <w:szCs w:val="24"/>
          <w:highlight w:val="none"/>
        </w:rPr>
        <w:t>符</w:t>
      </w:r>
      <w:r>
        <w:rPr>
          <w:color w:val="auto"/>
          <w:sz w:val="24"/>
          <w:szCs w:val="24"/>
          <w:highlight w:val="none"/>
        </w:rPr>
        <w:t>合</w:t>
      </w:r>
      <w:r>
        <w:rPr>
          <w:rFonts w:hint="eastAsia"/>
          <w:color w:val="auto"/>
          <w:sz w:val="24"/>
          <w:szCs w:val="24"/>
          <w:highlight w:val="none"/>
        </w:rPr>
        <w:t>“基本技术要求”。</w:t>
      </w:r>
    </w:p>
    <w:p w14:paraId="171223E1">
      <w:pPr>
        <w:widowControl w:val="0"/>
        <w:adjustRightInd w:val="0"/>
        <w:snapToGrid w:val="0"/>
        <w:spacing w:before="156" w:beforeLines="50" w:line="300" w:lineRule="auto"/>
        <w:ind w:left="22" w:firstLine="555"/>
        <w:jc w:val="left"/>
        <w:rPr>
          <w:color w:val="auto"/>
          <w:sz w:val="24"/>
          <w:szCs w:val="24"/>
          <w:highlight w:val="none"/>
        </w:rPr>
      </w:pPr>
      <w:r>
        <w:rPr>
          <w:color w:val="auto"/>
          <w:sz w:val="24"/>
          <w:szCs w:val="24"/>
          <w:highlight w:val="none"/>
        </w:rPr>
        <w:t>如</w:t>
      </w:r>
      <w:r>
        <w:rPr>
          <w:rFonts w:hint="eastAsia"/>
          <w:color w:val="auto"/>
          <w:sz w:val="24"/>
          <w:szCs w:val="24"/>
          <w:highlight w:val="none"/>
        </w:rPr>
        <w:t>“基本技术要求”中列示有品牌</w:t>
      </w:r>
      <w:r>
        <w:rPr>
          <w:color w:val="auto"/>
          <w:sz w:val="24"/>
          <w:szCs w:val="24"/>
          <w:highlight w:val="none"/>
        </w:rPr>
        <w:t>、</w:t>
      </w:r>
      <w:r>
        <w:rPr>
          <w:rFonts w:hint="eastAsia"/>
          <w:color w:val="auto"/>
          <w:sz w:val="24"/>
          <w:szCs w:val="24"/>
          <w:highlight w:val="none"/>
        </w:rPr>
        <w:t>型号、生</w:t>
      </w:r>
      <w:r>
        <w:rPr>
          <w:color w:val="auto"/>
          <w:sz w:val="24"/>
          <w:szCs w:val="24"/>
          <w:highlight w:val="none"/>
        </w:rPr>
        <w:t>产供应商名称</w:t>
      </w:r>
      <w:r>
        <w:rPr>
          <w:rFonts w:hint="eastAsia"/>
          <w:color w:val="auto"/>
          <w:sz w:val="24"/>
          <w:szCs w:val="24"/>
          <w:highlight w:val="none"/>
        </w:rPr>
        <w:t>、</w:t>
      </w:r>
      <w:r>
        <w:rPr>
          <w:color w:val="auto"/>
          <w:sz w:val="24"/>
          <w:szCs w:val="24"/>
          <w:highlight w:val="none"/>
        </w:rPr>
        <w:t>专利、商标</w:t>
      </w:r>
      <w:r>
        <w:rPr>
          <w:rFonts w:hint="eastAsia"/>
          <w:color w:val="auto"/>
          <w:sz w:val="24"/>
          <w:szCs w:val="24"/>
          <w:highlight w:val="none"/>
        </w:rPr>
        <w:t>的</w:t>
      </w:r>
      <w:r>
        <w:rPr>
          <w:color w:val="auto"/>
          <w:sz w:val="24"/>
          <w:szCs w:val="24"/>
          <w:highlight w:val="none"/>
        </w:rPr>
        <w:t>，</w:t>
      </w:r>
      <w:r>
        <w:rPr>
          <w:rFonts w:hint="eastAsia"/>
          <w:color w:val="auto"/>
          <w:sz w:val="24"/>
          <w:szCs w:val="24"/>
          <w:highlight w:val="none"/>
        </w:rPr>
        <w:t>均为“参</w:t>
      </w:r>
      <w:r>
        <w:rPr>
          <w:color w:val="auto"/>
          <w:sz w:val="24"/>
          <w:szCs w:val="24"/>
          <w:highlight w:val="none"/>
        </w:rPr>
        <w:t>照或相当于</w:t>
      </w:r>
      <w:r>
        <w:rPr>
          <w:rFonts w:hint="eastAsia"/>
          <w:color w:val="auto"/>
          <w:sz w:val="24"/>
          <w:szCs w:val="24"/>
          <w:highlight w:val="none"/>
        </w:rPr>
        <w:t>”的</w:t>
      </w:r>
      <w:r>
        <w:rPr>
          <w:color w:val="auto"/>
          <w:sz w:val="24"/>
          <w:szCs w:val="24"/>
          <w:highlight w:val="none"/>
        </w:rPr>
        <w:t>技术标准</w:t>
      </w:r>
      <w:r>
        <w:rPr>
          <w:rFonts w:hint="eastAsia"/>
          <w:color w:val="auto"/>
          <w:sz w:val="24"/>
          <w:szCs w:val="24"/>
          <w:highlight w:val="none"/>
        </w:rPr>
        <w:t>，供应商可提供等于或优于的其他产品（其他</w:t>
      </w:r>
      <w:r>
        <w:rPr>
          <w:color w:val="auto"/>
          <w:sz w:val="24"/>
          <w:szCs w:val="24"/>
          <w:highlight w:val="none"/>
        </w:rPr>
        <w:t>的</w:t>
      </w:r>
      <w:r>
        <w:rPr>
          <w:rFonts w:hint="eastAsia"/>
          <w:color w:val="auto"/>
          <w:sz w:val="24"/>
          <w:szCs w:val="24"/>
          <w:highlight w:val="none"/>
        </w:rPr>
        <w:t>品牌、型号、生产供应商、专利、商标</w:t>
      </w:r>
      <w:r>
        <w:rPr>
          <w:color w:val="auto"/>
          <w:sz w:val="24"/>
          <w:szCs w:val="24"/>
          <w:highlight w:val="none"/>
        </w:rPr>
        <w:t>）</w:t>
      </w:r>
      <w:r>
        <w:rPr>
          <w:rFonts w:hint="eastAsia"/>
          <w:color w:val="auto"/>
          <w:sz w:val="24"/>
          <w:szCs w:val="24"/>
          <w:highlight w:val="none"/>
        </w:rPr>
        <w:t>；投标人应提供相关证明材料（如权威评测资料、及印刷品产品说明书或印刷品图册等）以供评标委员会评审投标产品是否等于或优于“基本技术要求”、从而评定投标产品是否满足“基本技术要求”。</w:t>
      </w:r>
    </w:p>
    <w:p w14:paraId="4BCD408A">
      <w:pPr>
        <w:widowControl w:val="0"/>
        <w:adjustRightInd w:val="0"/>
        <w:snapToGrid w:val="0"/>
        <w:spacing w:before="156" w:beforeLines="50" w:line="300" w:lineRule="auto"/>
        <w:ind w:firstLine="463" w:firstLineChars="192"/>
        <w:rPr>
          <w:color w:val="auto"/>
          <w:sz w:val="24"/>
          <w:szCs w:val="24"/>
          <w:highlight w:val="none"/>
        </w:rPr>
      </w:pPr>
      <w:r>
        <w:rPr>
          <w:rFonts w:hint="eastAsia" w:ascii="黑体" w:hAnsi="黑体" w:eastAsia="黑体"/>
          <w:b/>
          <w:color w:val="auto"/>
          <w:sz w:val="24"/>
          <w:szCs w:val="24"/>
          <w:highlight w:val="none"/>
        </w:rPr>
        <w:t>不</w:t>
      </w:r>
      <w:r>
        <w:rPr>
          <w:rFonts w:ascii="黑体" w:hAnsi="黑体" w:eastAsia="黑体"/>
          <w:b/>
          <w:color w:val="auto"/>
          <w:sz w:val="24"/>
          <w:szCs w:val="24"/>
          <w:highlight w:val="none"/>
        </w:rPr>
        <w:t>接受负</w:t>
      </w:r>
      <w:r>
        <w:rPr>
          <w:rFonts w:hint="eastAsia" w:ascii="黑体" w:hAnsi="黑体" w:eastAsia="黑体"/>
          <w:b/>
          <w:color w:val="auto"/>
          <w:sz w:val="24"/>
          <w:szCs w:val="24"/>
          <w:highlight w:val="none"/>
        </w:rPr>
        <w:t>偏差，低</w:t>
      </w:r>
      <w:r>
        <w:rPr>
          <w:rFonts w:ascii="黑体" w:hAnsi="黑体" w:eastAsia="黑体"/>
          <w:b/>
          <w:color w:val="auto"/>
          <w:sz w:val="24"/>
          <w:szCs w:val="24"/>
          <w:highlight w:val="none"/>
        </w:rPr>
        <w:t>于</w:t>
      </w:r>
      <w:r>
        <w:rPr>
          <w:rFonts w:hint="eastAsia" w:ascii="黑体" w:hAnsi="黑体" w:eastAsia="黑体"/>
          <w:b/>
          <w:color w:val="auto"/>
          <w:sz w:val="24"/>
          <w:szCs w:val="24"/>
          <w:highlight w:val="none"/>
        </w:rPr>
        <w:t>“基本技术要求”</w:t>
      </w:r>
      <w:r>
        <w:rPr>
          <w:rFonts w:ascii="黑体" w:hAnsi="黑体" w:eastAsia="黑体"/>
          <w:b/>
          <w:color w:val="auto"/>
          <w:sz w:val="24"/>
          <w:szCs w:val="24"/>
          <w:highlight w:val="none"/>
        </w:rPr>
        <w:t>的、为无效投标。</w:t>
      </w:r>
    </w:p>
    <w:p w14:paraId="666B8768">
      <w:pPr>
        <w:widowControl w:val="0"/>
        <w:adjustRightInd w:val="0"/>
        <w:snapToGrid w:val="0"/>
        <w:spacing w:before="156" w:beforeLines="50" w:line="300" w:lineRule="auto"/>
        <w:ind w:firstLine="460" w:firstLineChars="192"/>
        <w:rPr>
          <w:color w:val="auto"/>
          <w:sz w:val="24"/>
          <w:szCs w:val="24"/>
          <w:highlight w:val="none"/>
        </w:rPr>
      </w:pPr>
      <w:r>
        <w:rPr>
          <w:rFonts w:hint="eastAsia"/>
          <w:color w:val="auto"/>
          <w:sz w:val="24"/>
          <w:szCs w:val="24"/>
          <w:highlight w:val="none"/>
        </w:rPr>
        <w:t>（3）本项目不准转包、挂靠承包、层层分包。</w:t>
      </w:r>
    </w:p>
    <w:p w14:paraId="0EA2DD16">
      <w:pPr>
        <w:widowControl w:val="0"/>
        <w:adjustRightInd w:val="0"/>
        <w:snapToGrid w:val="0"/>
        <w:spacing w:before="156" w:beforeLines="50" w:line="300" w:lineRule="auto"/>
        <w:ind w:firstLine="460" w:firstLineChars="192"/>
        <w:rPr>
          <w:color w:val="auto"/>
          <w:sz w:val="24"/>
          <w:szCs w:val="24"/>
          <w:highlight w:val="none"/>
        </w:rPr>
      </w:pPr>
      <w:r>
        <w:rPr>
          <w:rFonts w:hint="eastAsia"/>
          <w:color w:val="auto"/>
          <w:sz w:val="24"/>
          <w:szCs w:val="24"/>
          <w:highlight w:val="none"/>
        </w:rPr>
        <w:t>（4）承包方式：本项目包工包料，中标价及合同价为固定总价合同，不因人工、材料和设备等价格的波动而影响合同价格；</w:t>
      </w:r>
      <w:r>
        <w:rPr>
          <w:rFonts w:hint="eastAsia" w:ascii="宋体" w:hAnsi="宋体"/>
          <w:color w:val="auto"/>
          <w:sz w:val="24"/>
          <w:szCs w:val="24"/>
          <w:highlight w:val="none"/>
        </w:rPr>
        <w:t>为完成本项目所需的一切辅件、零配件均由成交供应商免费提供；除“基本技术要求”有明确说明之外，所有设备及材料均不得低于国标标准且经采购人认可后方可进场。</w:t>
      </w:r>
    </w:p>
    <w:p w14:paraId="396CC522">
      <w:pPr>
        <w:widowControl w:val="0"/>
        <w:adjustRightInd w:val="0"/>
        <w:snapToGrid w:val="0"/>
        <w:spacing w:before="156" w:beforeLines="50" w:line="300" w:lineRule="auto"/>
        <w:ind w:firstLine="460" w:firstLineChars="192"/>
        <w:rPr>
          <w:color w:val="auto"/>
          <w:sz w:val="24"/>
          <w:szCs w:val="24"/>
          <w:highlight w:val="none"/>
        </w:rPr>
      </w:pPr>
      <w:r>
        <w:rPr>
          <w:rFonts w:hint="eastAsia"/>
          <w:color w:val="auto"/>
          <w:sz w:val="24"/>
          <w:szCs w:val="24"/>
          <w:highlight w:val="none"/>
        </w:rPr>
        <w:t>（5）投标报价为供应商自主报价，投标人应充分考虑综合费用。中标人须按采购人要求清理施工现场并负责垃圾清运（到指定地点）；</w:t>
      </w:r>
      <w:r>
        <w:rPr>
          <w:rFonts w:hint="eastAsia" w:ascii="宋体" w:hAnsi="宋体"/>
          <w:color w:val="auto"/>
          <w:sz w:val="24"/>
          <w:szCs w:val="24"/>
          <w:highlight w:val="none"/>
        </w:rPr>
        <w:t>因施工造成的破坏需及时恢复原状；以上</w:t>
      </w:r>
      <w:r>
        <w:rPr>
          <w:rFonts w:hint="eastAsia"/>
          <w:color w:val="auto"/>
          <w:sz w:val="24"/>
          <w:szCs w:val="24"/>
          <w:highlight w:val="none"/>
        </w:rPr>
        <w:t>费用均含在投标报价内。注：遵守市蓝天工程和创建卫生城市相关要求，取得相关许可及证件，如违反规定接受上级处罚，由中标人自行承担，给采购人造成损失的应进行补偿。</w:t>
      </w:r>
    </w:p>
    <w:p w14:paraId="55A5E535">
      <w:pPr>
        <w:widowControl w:val="0"/>
        <w:adjustRightInd w:val="0"/>
        <w:snapToGrid w:val="0"/>
        <w:spacing w:before="156" w:beforeLines="50" w:line="300" w:lineRule="auto"/>
        <w:ind w:firstLine="460" w:firstLineChars="192"/>
        <w:rPr>
          <w:color w:val="auto"/>
          <w:sz w:val="24"/>
          <w:szCs w:val="24"/>
          <w:highlight w:val="none"/>
        </w:rPr>
      </w:pPr>
      <w:r>
        <w:rPr>
          <w:rFonts w:hint="eastAsia"/>
          <w:color w:val="auto"/>
          <w:sz w:val="24"/>
          <w:szCs w:val="24"/>
          <w:highlight w:val="none"/>
        </w:rPr>
        <w:t>（6）施工过程中应注意施工规范，文明施工、安全施工，保持整洁有序。</w:t>
      </w:r>
    </w:p>
    <w:p w14:paraId="771117F6">
      <w:pPr>
        <w:widowControl w:val="0"/>
        <w:adjustRightInd w:val="0"/>
        <w:snapToGrid w:val="0"/>
        <w:spacing w:before="156" w:beforeLines="50" w:line="300" w:lineRule="auto"/>
        <w:ind w:firstLine="460" w:firstLineChars="192"/>
        <w:rPr>
          <w:color w:val="auto"/>
          <w:sz w:val="24"/>
          <w:szCs w:val="24"/>
          <w:highlight w:val="none"/>
        </w:rPr>
      </w:pPr>
      <w:r>
        <w:rPr>
          <w:rFonts w:hint="eastAsia"/>
          <w:color w:val="auto"/>
          <w:sz w:val="24"/>
          <w:szCs w:val="24"/>
          <w:highlight w:val="none"/>
        </w:rPr>
        <w:t>（7）施工过程中每道施工程序完成后必须经采购人签字认可，签字文字材料将作为项目验收的必备条件。以上项目质量必须达到</w:t>
      </w:r>
      <w:r>
        <w:rPr>
          <w:color w:val="auto"/>
          <w:sz w:val="24"/>
          <w:szCs w:val="24"/>
          <w:highlight w:val="none"/>
        </w:rPr>
        <w:t>&lt;&lt;</w:t>
      </w:r>
      <w:r>
        <w:rPr>
          <w:rFonts w:hint="eastAsia"/>
          <w:color w:val="auto"/>
          <w:sz w:val="24"/>
          <w:szCs w:val="24"/>
          <w:highlight w:val="none"/>
        </w:rPr>
        <w:t>建筑工程施工质量验收统一标准</w:t>
      </w:r>
      <w:r>
        <w:rPr>
          <w:color w:val="auto"/>
          <w:sz w:val="24"/>
          <w:szCs w:val="24"/>
          <w:highlight w:val="none"/>
        </w:rPr>
        <w:t>&gt;&gt;GB50300-2013</w:t>
      </w:r>
      <w:r>
        <w:rPr>
          <w:rFonts w:hint="eastAsia"/>
          <w:color w:val="auto"/>
          <w:sz w:val="24"/>
          <w:szCs w:val="24"/>
          <w:highlight w:val="none"/>
        </w:rPr>
        <w:t>。</w:t>
      </w:r>
    </w:p>
    <w:p w14:paraId="0F1E4018">
      <w:pPr>
        <w:widowControl w:val="0"/>
        <w:adjustRightInd w:val="0"/>
        <w:snapToGrid w:val="0"/>
        <w:spacing w:before="156" w:beforeLines="50" w:line="300" w:lineRule="auto"/>
        <w:ind w:firstLine="460" w:firstLineChars="192"/>
        <w:rPr>
          <w:color w:val="auto"/>
          <w:sz w:val="24"/>
          <w:szCs w:val="24"/>
          <w:highlight w:val="none"/>
        </w:rPr>
      </w:pPr>
      <w:r>
        <w:rPr>
          <w:rFonts w:hint="eastAsia"/>
          <w:color w:val="auto"/>
          <w:sz w:val="24"/>
          <w:szCs w:val="24"/>
          <w:highlight w:val="none"/>
        </w:rPr>
        <w:t>（8）投标人为准确投标，开标前应自行与采购人联系，详细勘察现场，并按采购人施工条件及要求编制投标报价；投标人的投标报价应包括未列明而完成本项目所必须的所有设备、材料、工具、费用等，否则由中标人自行解决；详细勘察现场是中标人的责任，中标人自行承担相应风险。</w:t>
      </w:r>
    </w:p>
    <w:p w14:paraId="335E40A6">
      <w:pPr>
        <w:widowControl w:val="0"/>
        <w:adjustRightInd w:val="0"/>
        <w:snapToGrid w:val="0"/>
        <w:spacing w:before="156" w:beforeLines="50" w:line="300" w:lineRule="auto"/>
        <w:ind w:firstLine="460" w:firstLineChars="192"/>
        <w:rPr>
          <w:color w:val="auto"/>
          <w:sz w:val="24"/>
          <w:szCs w:val="24"/>
          <w:highlight w:val="none"/>
        </w:rPr>
      </w:pPr>
      <w:r>
        <w:rPr>
          <w:rFonts w:hint="eastAsia"/>
          <w:color w:val="auto"/>
          <w:sz w:val="24"/>
          <w:szCs w:val="24"/>
          <w:highlight w:val="none"/>
        </w:rPr>
        <w:t>（9）</w:t>
      </w:r>
      <w:r>
        <w:rPr>
          <w:rFonts w:hint="eastAsia"/>
          <w:b/>
          <w:color w:val="auto"/>
          <w:sz w:val="24"/>
          <w:szCs w:val="24"/>
          <w:highlight w:val="none"/>
        </w:rPr>
        <w:t>本项目质保期：至少三年</w:t>
      </w:r>
    </w:p>
    <w:p w14:paraId="13FB206F">
      <w:pPr>
        <w:widowControl w:val="0"/>
        <w:adjustRightInd w:val="0"/>
        <w:snapToGrid w:val="0"/>
        <w:spacing w:before="156" w:beforeLines="50" w:line="276" w:lineRule="auto"/>
        <w:ind w:firstLine="460" w:firstLineChars="192"/>
        <w:rPr>
          <w:color w:val="auto"/>
          <w:sz w:val="24"/>
          <w:szCs w:val="24"/>
          <w:highlight w:val="none"/>
        </w:rPr>
      </w:pPr>
      <w:r>
        <w:rPr>
          <w:rFonts w:hint="eastAsia"/>
          <w:color w:val="auto"/>
          <w:sz w:val="24"/>
          <w:szCs w:val="24"/>
          <w:highlight w:val="none"/>
        </w:rPr>
        <w:t>（10）应遵循第三章供应商须知</w:t>
      </w:r>
      <w:r>
        <w:rPr>
          <w:color w:val="auto"/>
          <w:sz w:val="24"/>
          <w:szCs w:val="24"/>
          <w:highlight w:val="none"/>
        </w:rPr>
        <w:t>3.7.</w:t>
      </w:r>
      <w:r>
        <w:rPr>
          <w:rFonts w:hint="eastAsia"/>
          <w:color w:val="auto"/>
          <w:sz w:val="24"/>
          <w:szCs w:val="24"/>
          <w:highlight w:val="none"/>
        </w:rPr>
        <w:t>3项规定。</w:t>
      </w:r>
    </w:p>
    <w:p w14:paraId="4842302B">
      <w:pPr>
        <w:widowControl w:val="0"/>
        <w:adjustRightInd w:val="0"/>
        <w:snapToGrid w:val="0"/>
        <w:spacing w:before="156" w:beforeLines="50" w:line="300" w:lineRule="auto"/>
        <w:ind w:firstLine="463" w:firstLineChars="192"/>
        <w:rPr>
          <w:rFonts w:ascii="宋体" w:hAnsi="宋体"/>
          <w:b/>
          <w:color w:val="auto"/>
          <w:sz w:val="24"/>
          <w:szCs w:val="24"/>
          <w:highlight w:val="none"/>
        </w:rPr>
      </w:pPr>
      <w:r>
        <w:rPr>
          <w:rFonts w:hint="eastAsia" w:ascii="宋体" w:hAnsi="宋体"/>
          <w:b/>
          <w:color w:val="auto"/>
          <w:sz w:val="24"/>
          <w:szCs w:val="24"/>
          <w:highlight w:val="none"/>
        </w:rPr>
        <w:t>2.5 安全</w:t>
      </w:r>
    </w:p>
    <w:p w14:paraId="3088784C">
      <w:pPr>
        <w:widowControl w:val="0"/>
        <w:adjustRightInd w:val="0"/>
        <w:snapToGrid w:val="0"/>
        <w:spacing w:before="156" w:beforeLines="50" w:line="300" w:lineRule="auto"/>
        <w:ind w:left="22" w:firstLine="555"/>
        <w:jc w:val="left"/>
        <w:rPr>
          <w:color w:val="auto"/>
          <w:sz w:val="24"/>
          <w:szCs w:val="24"/>
          <w:highlight w:val="none"/>
        </w:rPr>
      </w:pPr>
      <w:r>
        <w:rPr>
          <w:rFonts w:hint="eastAsia"/>
          <w:color w:val="auto"/>
          <w:sz w:val="24"/>
          <w:szCs w:val="24"/>
          <w:highlight w:val="none"/>
        </w:rPr>
        <w:t>投标工程（及涉货物材料）应符合国家、行业的各</w:t>
      </w:r>
      <w:r>
        <w:rPr>
          <w:color w:val="auto"/>
          <w:sz w:val="24"/>
          <w:szCs w:val="24"/>
          <w:highlight w:val="none"/>
        </w:rPr>
        <w:t>项</w:t>
      </w:r>
      <w:r>
        <w:rPr>
          <w:rFonts w:hint="eastAsia"/>
          <w:color w:val="auto"/>
          <w:sz w:val="24"/>
          <w:szCs w:val="24"/>
          <w:highlight w:val="none"/>
        </w:rPr>
        <w:t>安全标准，投标人</w:t>
      </w:r>
      <w:r>
        <w:rPr>
          <w:color w:val="auto"/>
          <w:sz w:val="24"/>
          <w:szCs w:val="24"/>
          <w:highlight w:val="none"/>
        </w:rPr>
        <w:t>对</w:t>
      </w:r>
      <w:r>
        <w:rPr>
          <w:rFonts w:hint="eastAsia"/>
          <w:color w:val="auto"/>
          <w:sz w:val="24"/>
          <w:szCs w:val="24"/>
          <w:highlight w:val="none"/>
        </w:rPr>
        <w:t>所投工程（及涉货物材料）的</w:t>
      </w:r>
      <w:r>
        <w:rPr>
          <w:color w:val="auto"/>
          <w:sz w:val="24"/>
          <w:szCs w:val="24"/>
          <w:highlight w:val="none"/>
        </w:rPr>
        <w:t>安全性承担全部责任。</w:t>
      </w:r>
      <w:r>
        <w:rPr>
          <w:rFonts w:hint="eastAsia"/>
          <w:color w:val="auto"/>
          <w:sz w:val="24"/>
          <w:szCs w:val="24"/>
          <w:highlight w:val="none"/>
        </w:rPr>
        <w:t>工期内不符合保障人身、财产安全的国家标准、行业标准的工程（及涉货物材料），将</w:t>
      </w:r>
      <w:r>
        <w:rPr>
          <w:color w:val="auto"/>
          <w:sz w:val="24"/>
          <w:szCs w:val="24"/>
          <w:highlight w:val="none"/>
        </w:rPr>
        <w:t>依法承担民事及相应刑事责任</w:t>
      </w:r>
      <w:r>
        <w:rPr>
          <w:rFonts w:hint="eastAsia"/>
          <w:color w:val="auto"/>
          <w:sz w:val="24"/>
          <w:szCs w:val="24"/>
          <w:highlight w:val="none"/>
        </w:rPr>
        <w:t>。合</w:t>
      </w:r>
      <w:r>
        <w:rPr>
          <w:color w:val="auto"/>
          <w:sz w:val="24"/>
          <w:szCs w:val="24"/>
          <w:highlight w:val="none"/>
        </w:rPr>
        <w:t>同履行中的安全责任由</w:t>
      </w:r>
      <w:r>
        <w:rPr>
          <w:rFonts w:hint="eastAsia"/>
          <w:color w:val="auto"/>
          <w:sz w:val="24"/>
          <w:szCs w:val="24"/>
          <w:highlight w:val="none"/>
        </w:rPr>
        <w:t>中标人</w:t>
      </w:r>
      <w:r>
        <w:rPr>
          <w:color w:val="auto"/>
          <w:sz w:val="24"/>
          <w:szCs w:val="24"/>
          <w:highlight w:val="none"/>
        </w:rPr>
        <w:t>承担全部责任。</w:t>
      </w:r>
    </w:p>
    <w:p w14:paraId="73583FF7">
      <w:pPr>
        <w:widowControl w:val="0"/>
        <w:adjustRightInd w:val="0"/>
        <w:snapToGrid w:val="0"/>
        <w:spacing w:before="156" w:beforeLines="50" w:line="300" w:lineRule="auto"/>
        <w:ind w:firstLine="463" w:firstLineChars="192"/>
        <w:rPr>
          <w:rFonts w:ascii="宋体" w:hAnsi="宋体"/>
          <w:b/>
          <w:color w:val="auto"/>
          <w:sz w:val="24"/>
          <w:szCs w:val="24"/>
          <w:highlight w:val="none"/>
        </w:rPr>
      </w:pPr>
      <w:r>
        <w:rPr>
          <w:rFonts w:hint="eastAsia" w:ascii="宋体" w:hAnsi="宋体"/>
          <w:b/>
          <w:color w:val="auto"/>
          <w:sz w:val="24"/>
          <w:szCs w:val="24"/>
          <w:highlight w:val="none"/>
        </w:rPr>
        <w:t>2.6 投标工程标准</w:t>
      </w:r>
    </w:p>
    <w:p w14:paraId="10EDEB60">
      <w:pPr>
        <w:widowControl w:val="0"/>
        <w:adjustRightInd w:val="0"/>
        <w:snapToGrid w:val="0"/>
        <w:spacing w:before="156" w:beforeLines="50" w:line="300" w:lineRule="auto"/>
        <w:ind w:left="22" w:firstLine="555"/>
        <w:rPr>
          <w:color w:val="auto"/>
          <w:sz w:val="24"/>
          <w:szCs w:val="24"/>
          <w:highlight w:val="none"/>
        </w:rPr>
      </w:pPr>
      <w:r>
        <w:rPr>
          <w:rFonts w:hint="eastAsia"/>
          <w:color w:val="auto"/>
          <w:sz w:val="24"/>
          <w:szCs w:val="24"/>
          <w:highlight w:val="none"/>
        </w:rPr>
        <w:t>投标人所投工程（及涉货物材料）应符合国家质量标准、部颁标准及行业规范的要求，符合国家各项强制性规范及安全标准，投标工程（及涉货物材料）不应与第三方存在知识产权权属问题；投标人应本着服务客户、为客户着想的宗旨，来完善工程（及涉货物材料）及技术要求未尽事宜，不得以《招标文件》未列明事项为由，来降低响应投标工程（及涉货物材料）的质量。</w:t>
      </w:r>
    </w:p>
    <w:p w14:paraId="1F33D754">
      <w:pPr>
        <w:widowControl w:val="0"/>
        <w:adjustRightInd w:val="0"/>
        <w:snapToGrid w:val="0"/>
        <w:spacing w:before="156" w:beforeLines="50" w:line="300" w:lineRule="auto"/>
        <w:ind w:firstLine="463" w:firstLineChars="192"/>
        <w:rPr>
          <w:b/>
          <w:color w:val="auto"/>
          <w:sz w:val="24"/>
          <w:szCs w:val="24"/>
          <w:highlight w:val="none"/>
        </w:rPr>
      </w:pPr>
      <w:r>
        <w:rPr>
          <w:rFonts w:hint="eastAsia"/>
          <w:b/>
          <w:color w:val="auto"/>
          <w:sz w:val="24"/>
          <w:szCs w:val="24"/>
          <w:highlight w:val="none"/>
        </w:rPr>
        <w:t>2.7</w:t>
      </w:r>
      <w:r>
        <w:rPr>
          <w:b/>
          <w:color w:val="auto"/>
          <w:sz w:val="24"/>
          <w:szCs w:val="24"/>
          <w:highlight w:val="none"/>
        </w:rPr>
        <w:t xml:space="preserve"> </w:t>
      </w:r>
      <w:r>
        <w:rPr>
          <w:rFonts w:hint="eastAsia"/>
          <w:b/>
          <w:color w:val="auto"/>
          <w:sz w:val="24"/>
          <w:szCs w:val="24"/>
          <w:highlight w:val="none"/>
        </w:rPr>
        <w:t>项目落实的政府采购政策（法规标准条款）</w:t>
      </w:r>
    </w:p>
    <w:p w14:paraId="70BEF66D">
      <w:pPr>
        <w:adjustRightInd w:val="0"/>
        <w:snapToGrid w:val="0"/>
        <w:spacing w:before="156"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7</w:t>
      </w:r>
      <w:r>
        <w:rPr>
          <w:rFonts w:ascii="宋体" w:hAnsi="宋体"/>
          <w:color w:val="auto"/>
          <w:sz w:val="24"/>
          <w:szCs w:val="24"/>
          <w:highlight w:val="none"/>
        </w:rPr>
        <w:t xml:space="preserve">.1 </w:t>
      </w:r>
      <w:r>
        <w:rPr>
          <w:rFonts w:hint="eastAsia" w:ascii="宋体" w:hAnsi="宋体"/>
          <w:color w:val="auto"/>
          <w:sz w:val="24"/>
          <w:szCs w:val="24"/>
          <w:highlight w:val="none"/>
        </w:rPr>
        <w:t>政府采购节能产品、环境标志产品实施品目清单管理后，对本次采购产品属于“节能产品政府采购品目清单”中强制采购品目的</w:t>
      </w:r>
      <w:r>
        <w:rPr>
          <w:rFonts w:ascii="宋体" w:hAnsi="宋体" w:cs="宋体"/>
          <w:color w:val="auto"/>
          <w:sz w:val="24"/>
          <w:szCs w:val="24"/>
          <w:highlight w:val="none"/>
        </w:rPr>
        <w:t>，</w:t>
      </w:r>
      <w:r>
        <w:rPr>
          <w:rFonts w:hint="eastAsia" w:ascii="宋体" w:hAnsi="宋体" w:cs="宋体"/>
          <w:color w:val="auto"/>
          <w:sz w:val="24"/>
          <w:szCs w:val="24"/>
          <w:highlight w:val="none"/>
        </w:rPr>
        <w:t>投</w:t>
      </w:r>
      <w:r>
        <w:rPr>
          <w:rFonts w:ascii="宋体" w:hAnsi="宋体" w:cs="宋体"/>
          <w:color w:val="auto"/>
          <w:sz w:val="24"/>
          <w:szCs w:val="24"/>
          <w:highlight w:val="none"/>
        </w:rPr>
        <w:t>标产</w:t>
      </w:r>
      <w:r>
        <w:rPr>
          <w:rFonts w:hint="eastAsia" w:ascii="宋体" w:hAnsi="宋体" w:cs="宋体"/>
          <w:color w:val="auto"/>
          <w:sz w:val="24"/>
          <w:szCs w:val="24"/>
          <w:highlight w:val="none"/>
        </w:rPr>
        <w:t>品</w:t>
      </w:r>
      <w:r>
        <w:rPr>
          <w:rFonts w:ascii="宋体" w:hAnsi="宋体" w:cs="宋体"/>
          <w:color w:val="auto"/>
          <w:sz w:val="24"/>
          <w:szCs w:val="24"/>
          <w:highlight w:val="none"/>
        </w:rPr>
        <w:t>应当具有</w:t>
      </w:r>
      <w:r>
        <w:rPr>
          <w:rFonts w:hint="eastAsia" w:ascii="宋体" w:hAnsi="宋体" w:cs="宋体"/>
          <w:color w:val="auto"/>
          <w:sz w:val="24"/>
          <w:szCs w:val="24"/>
          <w:highlight w:val="none"/>
        </w:rPr>
        <w:t>相</w:t>
      </w:r>
      <w:r>
        <w:rPr>
          <w:rFonts w:ascii="宋体" w:hAnsi="宋体" w:cs="宋体"/>
          <w:color w:val="auto"/>
          <w:sz w:val="24"/>
          <w:szCs w:val="24"/>
          <w:highlight w:val="none"/>
        </w:rPr>
        <w:t>应</w:t>
      </w:r>
      <w:r>
        <w:rPr>
          <w:rFonts w:hint="eastAsia" w:ascii="宋体" w:hAnsi="宋体" w:cs="宋体"/>
          <w:color w:val="auto"/>
          <w:sz w:val="24"/>
          <w:szCs w:val="24"/>
          <w:highlight w:val="none"/>
        </w:rPr>
        <w:t>的认证证书（认证证书应当为国家确定的认证机构出具、且应处于有效期之内</w:t>
      </w:r>
      <w:r>
        <w:rPr>
          <w:rFonts w:ascii="宋体" w:hAnsi="宋体" w:cs="宋体"/>
          <w:color w:val="auto"/>
          <w:sz w:val="24"/>
          <w:szCs w:val="24"/>
          <w:highlight w:val="none"/>
        </w:rPr>
        <w:t>）</w:t>
      </w:r>
      <w:r>
        <w:rPr>
          <w:rFonts w:hint="eastAsia" w:ascii="宋体" w:hAnsi="宋体" w:cs="宋体"/>
          <w:color w:val="auto"/>
          <w:sz w:val="24"/>
          <w:szCs w:val="24"/>
          <w:highlight w:val="none"/>
        </w:rPr>
        <w:t>，投</w:t>
      </w:r>
      <w:r>
        <w:rPr>
          <w:rFonts w:ascii="宋体" w:hAnsi="宋体" w:cs="宋体"/>
          <w:color w:val="auto"/>
          <w:sz w:val="24"/>
          <w:szCs w:val="24"/>
          <w:highlight w:val="none"/>
        </w:rPr>
        <w:t>标文件中应当提供</w:t>
      </w:r>
      <w:r>
        <w:rPr>
          <w:rFonts w:hint="eastAsia" w:ascii="宋体" w:hAnsi="宋体" w:cs="宋体"/>
          <w:color w:val="auto"/>
          <w:sz w:val="24"/>
          <w:szCs w:val="24"/>
          <w:highlight w:val="none"/>
        </w:rPr>
        <w:t>相</w:t>
      </w:r>
      <w:r>
        <w:rPr>
          <w:rFonts w:ascii="宋体" w:hAnsi="宋体" w:cs="宋体"/>
          <w:color w:val="auto"/>
          <w:sz w:val="24"/>
          <w:szCs w:val="24"/>
          <w:highlight w:val="none"/>
        </w:rPr>
        <w:t>应</w:t>
      </w:r>
      <w:r>
        <w:rPr>
          <w:rFonts w:hint="eastAsia" w:ascii="宋体" w:hAnsi="宋体" w:cs="宋体"/>
          <w:color w:val="auto"/>
          <w:sz w:val="24"/>
          <w:szCs w:val="24"/>
          <w:highlight w:val="none"/>
        </w:rPr>
        <w:t>的认证证书（认证证书应当为国家确定的认证机构出具、且应处于有效期之内）。</w:t>
      </w:r>
    </w:p>
    <w:p w14:paraId="313387AF">
      <w:pPr>
        <w:adjustRightInd w:val="0"/>
        <w:snapToGrid w:val="0"/>
        <w:spacing w:before="156" w:beforeLines="50" w:line="30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属于政府强制采购</w:t>
      </w:r>
      <w:r>
        <w:rPr>
          <w:rFonts w:hint="eastAsia" w:ascii="宋体" w:hAnsi="宋体" w:cs="宋体"/>
          <w:color w:val="auto"/>
          <w:sz w:val="24"/>
          <w:szCs w:val="24"/>
          <w:highlight w:val="none"/>
        </w:rPr>
        <w:t>品目</w:t>
      </w:r>
      <w:r>
        <w:rPr>
          <w:rFonts w:hint="eastAsia" w:ascii="宋体" w:hAnsi="宋体"/>
          <w:color w:val="auto"/>
          <w:sz w:val="24"/>
          <w:szCs w:val="24"/>
          <w:highlight w:val="none"/>
        </w:rPr>
        <w:t>、而未按要求提供相应资料的，</w:t>
      </w:r>
      <w:r>
        <w:rPr>
          <w:rFonts w:hint="eastAsia" w:ascii="宋体" w:hAnsi="宋体"/>
          <w:b/>
          <w:color w:val="auto"/>
          <w:sz w:val="24"/>
          <w:szCs w:val="24"/>
          <w:highlight w:val="none"/>
        </w:rPr>
        <w:t>为无效投标</w:t>
      </w:r>
      <w:r>
        <w:rPr>
          <w:rFonts w:hint="eastAsia" w:ascii="宋体" w:hAnsi="宋体"/>
          <w:color w:val="auto"/>
          <w:sz w:val="24"/>
          <w:szCs w:val="24"/>
          <w:highlight w:val="none"/>
        </w:rPr>
        <w:t>。</w:t>
      </w:r>
    </w:p>
    <w:p w14:paraId="502F7919">
      <w:pPr>
        <w:adjustRightInd w:val="0"/>
        <w:snapToGrid w:val="0"/>
        <w:spacing w:before="156" w:beforeLines="50" w:line="300" w:lineRule="auto"/>
        <w:ind w:firstLine="480" w:firstLineChars="200"/>
        <w:rPr>
          <w:rFonts w:ascii="宋体" w:hAnsi="宋体" w:cs="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7</w:t>
      </w:r>
      <w:r>
        <w:rPr>
          <w:rFonts w:ascii="宋体" w:hAnsi="宋体"/>
          <w:color w:val="auto"/>
          <w:sz w:val="24"/>
          <w:szCs w:val="24"/>
          <w:highlight w:val="none"/>
        </w:rPr>
        <w:t xml:space="preserve">.2 </w:t>
      </w:r>
      <w:r>
        <w:rPr>
          <w:rFonts w:hint="eastAsia" w:ascii="宋体" w:hAnsi="宋体"/>
          <w:color w:val="auto"/>
          <w:sz w:val="24"/>
          <w:szCs w:val="24"/>
          <w:highlight w:val="none"/>
        </w:rPr>
        <w:t>同等条件下，</w:t>
      </w:r>
      <w:r>
        <w:rPr>
          <w:rFonts w:hint="eastAsia" w:ascii="宋体" w:hAnsi="宋体" w:cs="宋体"/>
          <w:color w:val="auto"/>
          <w:sz w:val="24"/>
          <w:szCs w:val="24"/>
          <w:highlight w:val="none"/>
        </w:rPr>
        <w:t>获得节能产品认证证书或环境标志产品认证证书的产品优先采购。(认证证书应</w:t>
      </w:r>
      <w:r>
        <w:rPr>
          <w:rFonts w:ascii="宋体" w:hAnsi="宋体" w:cs="宋体"/>
          <w:color w:val="auto"/>
          <w:sz w:val="24"/>
          <w:szCs w:val="24"/>
          <w:highlight w:val="none"/>
        </w:rPr>
        <w:t>当为</w:t>
      </w:r>
      <w:r>
        <w:rPr>
          <w:rFonts w:hint="eastAsia" w:ascii="宋体" w:hAnsi="宋体" w:cs="宋体"/>
          <w:color w:val="auto"/>
          <w:sz w:val="24"/>
          <w:szCs w:val="24"/>
          <w:highlight w:val="none"/>
        </w:rPr>
        <w:t>国家确定的认证机构出具、且</w:t>
      </w:r>
      <w:r>
        <w:rPr>
          <w:rFonts w:ascii="宋体" w:hAnsi="宋体" w:cs="宋体"/>
          <w:color w:val="auto"/>
          <w:sz w:val="24"/>
          <w:szCs w:val="24"/>
          <w:highlight w:val="none"/>
        </w:rPr>
        <w:t>应</w:t>
      </w:r>
      <w:r>
        <w:rPr>
          <w:rFonts w:hint="eastAsia" w:ascii="宋体" w:hAnsi="宋体" w:cs="宋体"/>
          <w:color w:val="auto"/>
          <w:sz w:val="24"/>
          <w:szCs w:val="24"/>
          <w:highlight w:val="none"/>
        </w:rPr>
        <w:t>处于有效期之内。)</w:t>
      </w:r>
    </w:p>
    <w:p w14:paraId="18595A53">
      <w:pPr>
        <w:adjustRightInd w:val="0"/>
        <w:snapToGrid w:val="0"/>
        <w:spacing w:before="156" w:beforeLines="50" w:line="300" w:lineRule="auto"/>
        <w:ind w:firstLine="480" w:firstLineChars="200"/>
        <w:rPr>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7</w:t>
      </w:r>
      <w:r>
        <w:rPr>
          <w:rFonts w:ascii="宋体" w:hAnsi="宋体"/>
          <w:color w:val="auto"/>
          <w:sz w:val="24"/>
          <w:szCs w:val="24"/>
          <w:highlight w:val="none"/>
        </w:rPr>
        <w:t>.</w:t>
      </w:r>
      <w:r>
        <w:rPr>
          <w:rFonts w:hint="eastAsia" w:ascii="宋体" w:hAnsi="宋体"/>
          <w:color w:val="auto"/>
          <w:sz w:val="24"/>
          <w:szCs w:val="24"/>
          <w:highlight w:val="none"/>
        </w:rPr>
        <w:t>3本次采购产品如有列入《网络关键设备和网络安全专用产品目录》的网络安全专用产品，该产品应当按照《关于调整网络安全专用产品安全管理有关事项的公告》要求进行安全认证或安全检测、或已获得《计算机信息系统安全专用产品销售许可证》（</w:t>
      </w:r>
      <w:r>
        <w:rPr>
          <w:rFonts w:hint="eastAsia" w:ascii="宋体" w:hAnsi="宋体" w:cs="宋体"/>
          <w:color w:val="auto"/>
          <w:sz w:val="24"/>
          <w:szCs w:val="24"/>
          <w:highlight w:val="none"/>
        </w:rPr>
        <w:t>应处于有效期内</w:t>
      </w:r>
      <w:r>
        <w:rPr>
          <w:rFonts w:hint="eastAsia" w:ascii="宋体" w:hAnsi="宋体"/>
          <w:color w:val="auto"/>
          <w:sz w:val="24"/>
          <w:szCs w:val="24"/>
          <w:highlight w:val="none"/>
        </w:rPr>
        <w:t>）。</w:t>
      </w:r>
    </w:p>
    <w:p w14:paraId="4D632E9A">
      <w:pPr>
        <w:adjustRightInd w:val="0"/>
        <w:snapToGrid w:val="0"/>
        <w:spacing w:before="156"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7</w:t>
      </w:r>
      <w:r>
        <w:rPr>
          <w:rFonts w:ascii="宋体" w:hAnsi="宋体"/>
          <w:color w:val="auto"/>
          <w:sz w:val="24"/>
          <w:szCs w:val="24"/>
          <w:highlight w:val="none"/>
        </w:rPr>
        <w:t>.</w:t>
      </w:r>
      <w:r>
        <w:rPr>
          <w:rFonts w:hint="eastAsia" w:ascii="宋体" w:hAnsi="宋体"/>
          <w:color w:val="auto"/>
          <w:sz w:val="24"/>
          <w:szCs w:val="24"/>
          <w:highlight w:val="none"/>
        </w:rPr>
        <w:t>4计算机产品须预装正版操作系统软件。</w:t>
      </w:r>
    </w:p>
    <w:p w14:paraId="5B799F9F">
      <w:pPr>
        <w:adjustRightInd w:val="0"/>
        <w:snapToGrid w:val="0"/>
        <w:spacing w:before="156"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7</w:t>
      </w:r>
      <w:r>
        <w:rPr>
          <w:rFonts w:ascii="宋体" w:hAnsi="宋体"/>
          <w:color w:val="auto"/>
          <w:sz w:val="24"/>
          <w:szCs w:val="24"/>
          <w:highlight w:val="none"/>
        </w:rPr>
        <w:t>.</w:t>
      </w:r>
      <w:r>
        <w:rPr>
          <w:rFonts w:hint="eastAsia" w:ascii="宋体" w:hAnsi="宋体"/>
          <w:color w:val="auto"/>
          <w:sz w:val="24"/>
          <w:szCs w:val="24"/>
          <w:highlight w:val="none"/>
        </w:rPr>
        <w:t>5</w:t>
      </w:r>
      <w:r>
        <w:rPr>
          <w:rFonts w:ascii="宋体" w:hAnsi="宋体"/>
          <w:color w:val="auto"/>
          <w:sz w:val="24"/>
          <w:szCs w:val="24"/>
          <w:highlight w:val="none"/>
        </w:rPr>
        <w:t xml:space="preserve"> </w:t>
      </w:r>
      <w:r>
        <w:rPr>
          <w:rFonts w:hint="eastAsia" w:ascii="宋体" w:hAnsi="宋体"/>
          <w:color w:val="auto"/>
          <w:sz w:val="24"/>
          <w:szCs w:val="24"/>
          <w:highlight w:val="none"/>
        </w:rPr>
        <w:t>本次采购不允许进口产品参加。</w:t>
      </w:r>
    </w:p>
    <w:p w14:paraId="6D9FDCF5">
      <w:pPr>
        <w:adjustRightInd w:val="0"/>
        <w:snapToGrid w:val="0"/>
        <w:spacing w:before="156"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7</w:t>
      </w:r>
      <w:r>
        <w:rPr>
          <w:rFonts w:ascii="宋体" w:hAnsi="宋体"/>
          <w:color w:val="auto"/>
          <w:sz w:val="24"/>
          <w:szCs w:val="24"/>
          <w:highlight w:val="none"/>
        </w:rPr>
        <w:t>.</w:t>
      </w:r>
      <w:r>
        <w:rPr>
          <w:rFonts w:hint="eastAsia" w:ascii="宋体" w:hAnsi="宋体"/>
          <w:color w:val="auto"/>
          <w:sz w:val="24"/>
          <w:szCs w:val="24"/>
          <w:highlight w:val="none"/>
        </w:rPr>
        <w:t>6如允许采购进口产品的，优先采购向我国企业转让技术、与我国企业签订消化吸收再创新方案的供应商的进口产品。</w:t>
      </w:r>
    </w:p>
    <w:p w14:paraId="2A873026">
      <w:pPr>
        <w:adjustRightInd w:val="0"/>
        <w:snapToGrid w:val="0"/>
        <w:spacing w:before="156"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7</w:t>
      </w:r>
      <w:r>
        <w:rPr>
          <w:rFonts w:ascii="宋体" w:hAnsi="宋体"/>
          <w:color w:val="auto"/>
          <w:sz w:val="24"/>
          <w:szCs w:val="24"/>
          <w:highlight w:val="none"/>
        </w:rPr>
        <w:t>.</w:t>
      </w:r>
      <w:r>
        <w:rPr>
          <w:rFonts w:hint="eastAsia" w:ascii="宋体" w:hAnsi="宋体"/>
          <w:color w:val="auto"/>
          <w:sz w:val="24"/>
          <w:szCs w:val="24"/>
          <w:highlight w:val="none"/>
        </w:rPr>
        <w:t>7</w:t>
      </w:r>
      <w:r>
        <w:rPr>
          <w:rFonts w:ascii="宋体" w:hAnsi="宋体"/>
          <w:color w:val="auto"/>
          <w:sz w:val="24"/>
          <w:szCs w:val="24"/>
          <w:highlight w:val="none"/>
        </w:rPr>
        <w:t xml:space="preserve"> </w:t>
      </w:r>
      <w:r>
        <w:rPr>
          <w:rFonts w:hint="eastAsia" w:ascii="宋体" w:hAnsi="宋体"/>
          <w:color w:val="auto"/>
          <w:sz w:val="24"/>
          <w:szCs w:val="24"/>
          <w:highlight w:val="none"/>
        </w:rPr>
        <w:t>促进中小企业发展扶持政策：见第四章“评审办法”第</w:t>
      </w:r>
      <w:r>
        <w:rPr>
          <w:rFonts w:ascii="宋体" w:hAnsi="宋体"/>
          <w:color w:val="auto"/>
          <w:sz w:val="24"/>
          <w:szCs w:val="24"/>
          <w:highlight w:val="none"/>
        </w:rPr>
        <w:t>4</w:t>
      </w:r>
      <w:r>
        <w:rPr>
          <w:rFonts w:hint="eastAsia" w:ascii="宋体" w:hAnsi="宋体"/>
          <w:color w:val="auto"/>
          <w:sz w:val="24"/>
          <w:szCs w:val="24"/>
          <w:highlight w:val="none"/>
        </w:rPr>
        <w:t>条。</w:t>
      </w:r>
    </w:p>
    <w:p w14:paraId="2E636B62">
      <w:pPr>
        <w:adjustRightInd w:val="0"/>
        <w:snapToGrid w:val="0"/>
        <w:spacing w:before="156"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7</w:t>
      </w:r>
      <w:r>
        <w:rPr>
          <w:rFonts w:ascii="宋体" w:hAnsi="宋体"/>
          <w:color w:val="auto"/>
          <w:sz w:val="24"/>
          <w:szCs w:val="24"/>
          <w:highlight w:val="none"/>
        </w:rPr>
        <w:t>.</w:t>
      </w:r>
      <w:r>
        <w:rPr>
          <w:rFonts w:hint="eastAsia" w:ascii="宋体" w:hAnsi="宋体"/>
          <w:color w:val="auto"/>
          <w:sz w:val="24"/>
          <w:szCs w:val="24"/>
          <w:highlight w:val="none"/>
        </w:rPr>
        <w:t>8促进残疾人就业、支持监狱企业发展：见第四章“评审办法”第</w:t>
      </w:r>
      <w:r>
        <w:rPr>
          <w:rFonts w:ascii="宋体" w:hAnsi="宋体"/>
          <w:color w:val="auto"/>
          <w:sz w:val="24"/>
          <w:szCs w:val="24"/>
          <w:highlight w:val="none"/>
        </w:rPr>
        <w:t>4</w:t>
      </w:r>
      <w:r>
        <w:rPr>
          <w:rFonts w:hint="eastAsia" w:ascii="宋体" w:hAnsi="宋体"/>
          <w:color w:val="auto"/>
          <w:sz w:val="24"/>
          <w:szCs w:val="24"/>
          <w:highlight w:val="none"/>
        </w:rPr>
        <w:t>条。</w:t>
      </w:r>
    </w:p>
    <w:p w14:paraId="6F70679E">
      <w:pPr>
        <w:adjustRightInd w:val="0"/>
        <w:snapToGrid w:val="0"/>
        <w:spacing w:before="156"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7</w:t>
      </w:r>
      <w:r>
        <w:rPr>
          <w:rFonts w:ascii="宋体" w:hAnsi="宋体"/>
          <w:color w:val="auto"/>
          <w:sz w:val="24"/>
          <w:szCs w:val="24"/>
          <w:highlight w:val="none"/>
        </w:rPr>
        <w:t>.</w:t>
      </w:r>
      <w:r>
        <w:rPr>
          <w:rFonts w:hint="eastAsia" w:ascii="宋体" w:hAnsi="宋体"/>
          <w:color w:val="auto"/>
          <w:sz w:val="24"/>
          <w:szCs w:val="24"/>
          <w:highlight w:val="none"/>
        </w:rPr>
        <w:t>9</w:t>
      </w:r>
      <w:r>
        <w:rPr>
          <w:rFonts w:ascii="宋体" w:hAnsi="宋体"/>
          <w:color w:val="auto"/>
          <w:sz w:val="24"/>
          <w:szCs w:val="24"/>
          <w:highlight w:val="none"/>
        </w:rPr>
        <w:t xml:space="preserve"> </w:t>
      </w:r>
      <w:r>
        <w:rPr>
          <w:rFonts w:hint="eastAsia" w:ascii="宋体" w:hAnsi="宋体"/>
          <w:color w:val="auto"/>
          <w:sz w:val="24"/>
          <w:szCs w:val="24"/>
          <w:highlight w:val="none"/>
        </w:rPr>
        <w:t>所供产品有商品包装的应当使用绿色包装。所供产品有其他环保政策要求的，应符合相关环保法律政策要求。</w:t>
      </w:r>
    </w:p>
    <w:p w14:paraId="780632D3">
      <w:pPr>
        <w:adjustRightInd w:val="0"/>
        <w:snapToGrid w:val="0"/>
        <w:spacing w:before="156" w:beforeLines="50" w:line="30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2.7.10</w:t>
      </w:r>
      <w:r>
        <w:rPr>
          <w:rFonts w:ascii="宋体" w:hAnsi="宋体"/>
          <w:color w:val="auto"/>
          <w:sz w:val="24"/>
          <w:szCs w:val="24"/>
          <w:highlight w:val="none"/>
        </w:rPr>
        <w:t xml:space="preserve"> </w:t>
      </w:r>
      <w:r>
        <w:rPr>
          <w:rFonts w:hint="eastAsia" w:ascii="宋体" w:hAnsi="宋体"/>
          <w:color w:val="auto"/>
          <w:sz w:val="24"/>
          <w:szCs w:val="24"/>
          <w:highlight w:val="none"/>
        </w:rPr>
        <w:t>支持绿色建筑、绿色建材，支持使用低</w:t>
      </w:r>
      <w:r>
        <w:rPr>
          <w:rFonts w:ascii="Arial" w:hAnsi="Arial" w:cs="Arial"/>
          <w:color w:val="auto"/>
          <w:szCs w:val="21"/>
          <w:highlight w:val="none"/>
          <w:shd w:val="clear" w:color="auto" w:fill="FFFFFF"/>
        </w:rPr>
        <w:t>VOCs</w:t>
      </w:r>
      <w:r>
        <w:rPr>
          <w:rFonts w:hint="eastAsia" w:ascii="宋体" w:hAnsi="宋体"/>
          <w:color w:val="auto"/>
          <w:sz w:val="24"/>
          <w:szCs w:val="24"/>
          <w:highlight w:val="none"/>
        </w:rPr>
        <w:t>含量涂料和胶黏剂，支持不发达、少数民族地区的企业，促进自主创新产业发展，支持脱贫攻坚等；同等条件下，优先采购。</w:t>
      </w:r>
    </w:p>
    <w:p w14:paraId="7BCADBBA">
      <w:pPr>
        <w:adjustRightInd w:val="0"/>
        <w:snapToGrid w:val="0"/>
        <w:spacing w:line="300" w:lineRule="auto"/>
        <w:ind w:firstLine="566" w:firstLineChars="235"/>
        <w:jc w:val="left"/>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8保险、所涉货物包装</w:t>
      </w:r>
    </w:p>
    <w:p w14:paraId="34578155">
      <w:pPr>
        <w:adjustRightInd w:val="0"/>
        <w:snapToGrid w:val="0"/>
        <w:spacing w:line="300" w:lineRule="auto"/>
        <w:ind w:firstLine="564" w:firstLineChars="235"/>
        <w:jc w:val="left"/>
        <w:rPr>
          <w:color w:val="auto"/>
          <w:sz w:val="24"/>
          <w:szCs w:val="24"/>
          <w:highlight w:val="none"/>
        </w:rPr>
      </w:pPr>
      <w:r>
        <w:rPr>
          <w:rFonts w:hint="eastAsia"/>
          <w:color w:val="auto"/>
          <w:sz w:val="24"/>
          <w:szCs w:val="24"/>
          <w:highlight w:val="none"/>
        </w:rPr>
        <w:t>2.8.1保险：</w:t>
      </w:r>
    </w:p>
    <w:p w14:paraId="2B85C41D">
      <w:pPr>
        <w:adjustRightInd w:val="0"/>
        <w:snapToGrid w:val="0"/>
        <w:spacing w:line="300" w:lineRule="auto"/>
        <w:ind w:firstLine="564" w:firstLineChars="235"/>
        <w:jc w:val="left"/>
        <w:rPr>
          <w:color w:val="auto"/>
          <w:sz w:val="24"/>
          <w:szCs w:val="24"/>
          <w:highlight w:val="none"/>
        </w:rPr>
      </w:pPr>
      <w:r>
        <w:rPr>
          <w:rFonts w:hint="eastAsia"/>
          <w:color w:val="auto"/>
          <w:sz w:val="24"/>
          <w:szCs w:val="24"/>
          <w:highlight w:val="none"/>
        </w:rPr>
        <w:t>投标人应遵循国家相关保险的规定，依照法规规定，根据项目属性需要，办理货物设施等的财产保险、危险作业人员的工伤和意外伤害保险、设计和工程保险、第三方责任险，相关保险费用及相应责任由成交人承担。</w:t>
      </w:r>
    </w:p>
    <w:p w14:paraId="1A157AC6">
      <w:pPr>
        <w:adjustRightInd w:val="0"/>
        <w:snapToGrid w:val="0"/>
        <w:spacing w:line="300" w:lineRule="auto"/>
        <w:ind w:firstLine="564" w:firstLineChars="235"/>
        <w:jc w:val="left"/>
        <w:rPr>
          <w:color w:val="auto"/>
          <w:sz w:val="24"/>
          <w:szCs w:val="24"/>
          <w:highlight w:val="none"/>
        </w:rPr>
      </w:pPr>
      <w:r>
        <w:rPr>
          <w:rFonts w:hint="eastAsia"/>
          <w:color w:val="auto"/>
          <w:sz w:val="24"/>
          <w:szCs w:val="24"/>
          <w:highlight w:val="none"/>
        </w:rPr>
        <w:t>2.8.2所涉货物包装：</w:t>
      </w:r>
    </w:p>
    <w:p w14:paraId="22F943C4">
      <w:pPr>
        <w:adjustRightInd w:val="0"/>
        <w:snapToGrid w:val="0"/>
        <w:spacing w:line="300" w:lineRule="auto"/>
        <w:ind w:firstLine="564" w:firstLineChars="235"/>
        <w:jc w:val="left"/>
        <w:rPr>
          <w:color w:val="auto"/>
          <w:sz w:val="24"/>
          <w:szCs w:val="24"/>
          <w:highlight w:val="none"/>
        </w:rPr>
      </w:pPr>
      <w:r>
        <w:rPr>
          <w:rFonts w:hint="eastAsia"/>
          <w:color w:val="auto"/>
          <w:sz w:val="24"/>
          <w:szCs w:val="24"/>
          <w:highlight w:val="none"/>
        </w:rPr>
        <w:t>成交人负责按国家相关标准进行货物包装，设备的包装均应有良好的防湿、防锈、防潮、防雨、防腐及防碰撞的措施，凡由于包装不良造成的损失和由此产生的费用均由成交人承担。</w:t>
      </w:r>
    </w:p>
    <w:p w14:paraId="73571F34">
      <w:pPr>
        <w:adjustRightInd w:val="0"/>
        <w:snapToGrid w:val="0"/>
        <w:spacing w:before="156" w:beforeLines="50" w:line="300" w:lineRule="auto"/>
        <w:ind w:firstLine="480" w:firstLineChars="200"/>
        <w:rPr>
          <w:color w:val="auto"/>
          <w:sz w:val="24"/>
          <w:szCs w:val="24"/>
          <w:highlight w:val="none"/>
        </w:rPr>
      </w:pPr>
    </w:p>
    <w:p w14:paraId="4CDB4D01">
      <w:pPr>
        <w:adjustRightInd w:val="0"/>
        <w:snapToGrid w:val="0"/>
        <w:spacing w:before="156" w:beforeLines="50" w:line="300" w:lineRule="auto"/>
        <w:ind w:firstLine="562" w:firstLineChars="200"/>
        <w:outlineLvl w:val="1"/>
        <w:rPr>
          <w:rFonts w:ascii="黑体" w:hAnsi="黑体" w:eastAsia="黑体"/>
          <w:b/>
          <w:color w:val="auto"/>
          <w:sz w:val="28"/>
          <w:highlight w:val="none"/>
        </w:rPr>
      </w:pPr>
      <w:bookmarkStart w:id="24" w:name="_Toc65676676"/>
      <w:bookmarkStart w:id="25" w:name="_Toc20486"/>
      <w:r>
        <w:rPr>
          <w:rFonts w:hint="eastAsia" w:ascii="黑体" w:hAnsi="黑体" w:eastAsia="黑体"/>
          <w:b/>
          <w:color w:val="auto"/>
          <w:sz w:val="28"/>
          <w:highlight w:val="none"/>
        </w:rPr>
        <w:t>3</w:t>
      </w:r>
      <w:r>
        <w:rPr>
          <w:rFonts w:ascii="黑体" w:hAnsi="黑体" w:eastAsia="黑体"/>
          <w:b/>
          <w:color w:val="auto"/>
          <w:sz w:val="28"/>
          <w:highlight w:val="none"/>
        </w:rPr>
        <w:t xml:space="preserve">. </w:t>
      </w:r>
      <w:r>
        <w:rPr>
          <w:rFonts w:hint="eastAsia" w:ascii="黑体" w:hAnsi="黑体" w:eastAsia="黑体"/>
          <w:b/>
          <w:color w:val="auto"/>
          <w:sz w:val="28"/>
          <w:highlight w:val="none"/>
        </w:rPr>
        <w:t>项目其他要求</w:t>
      </w:r>
      <w:bookmarkEnd w:id="24"/>
      <w:bookmarkEnd w:id="25"/>
    </w:p>
    <w:p w14:paraId="774B4189">
      <w:pPr>
        <w:widowControl w:val="0"/>
        <w:snapToGrid w:val="0"/>
        <w:spacing w:line="360" w:lineRule="auto"/>
        <w:ind w:firstLine="480" w:firstLineChars="200"/>
        <w:jc w:val="left"/>
        <w:rPr>
          <w:rFonts w:ascii="宋体" w:hAnsi="宋体" w:cs="宋体"/>
          <w:color w:val="auto"/>
          <w:sz w:val="24"/>
          <w:szCs w:val="24"/>
          <w:highlight w:val="none"/>
        </w:rPr>
        <w:sectPr>
          <w:pgSz w:w="11906" w:h="16838"/>
          <w:pgMar w:top="1440" w:right="1558" w:bottom="1440" w:left="1560" w:header="851" w:footer="992" w:gutter="0"/>
          <w:cols w:space="425" w:num="1"/>
          <w:docGrid w:type="lines" w:linePitch="312" w:charSpace="0"/>
        </w:sectPr>
      </w:pPr>
      <w:r>
        <w:rPr>
          <w:rFonts w:hint="eastAsia" w:ascii="宋体" w:hAnsi="宋体" w:cs="宋体"/>
          <w:color w:val="auto"/>
          <w:sz w:val="24"/>
          <w:szCs w:val="24"/>
          <w:highlight w:val="none"/>
        </w:rPr>
        <w:t>无</w:t>
      </w:r>
    </w:p>
    <w:p w14:paraId="7736295F">
      <w:pPr>
        <w:widowControl w:val="0"/>
        <w:snapToGrid w:val="0"/>
        <w:spacing w:line="360" w:lineRule="auto"/>
        <w:ind w:firstLine="480" w:firstLineChars="200"/>
        <w:jc w:val="left"/>
        <w:rPr>
          <w:rFonts w:asciiTheme="minorEastAsia" w:hAnsiTheme="minorEastAsia" w:eastAsiaTheme="minorEastAsia" w:cstheme="minorEastAsia"/>
          <w:color w:val="auto"/>
          <w:sz w:val="24"/>
          <w:szCs w:val="24"/>
          <w:highlight w:val="none"/>
        </w:rPr>
        <w:sectPr>
          <w:pgSz w:w="16838" w:h="11906" w:orient="landscape"/>
          <w:pgMar w:top="1560" w:right="1440" w:bottom="1558" w:left="1440" w:header="851" w:footer="992" w:gutter="0"/>
          <w:cols w:space="425" w:num="1"/>
          <w:docGrid w:type="lines" w:linePitch="312" w:charSpace="0"/>
        </w:sectPr>
      </w:pPr>
      <w:r>
        <w:rPr>
          <w:rFonts w:hint="eastAsia" w:asciiTheme="minorEastAsia" w:hAnsiTheme="minorEastAsia" w:eastAsiaTheme="minorEastAsia" w:cstheme="minorEastAsia"/>
          <w:color w:val="auto"/>
          <w:sz w:val="24"/>
          <w:szCs w:val="24"/>
          <w:highlight w:val="none"/>
        </w:rPr>
        <w:t>改造平面图（电子版详见附件下载）：</w:t>
      </w:r>
      <w:r>
        <w:rPr>
          <w:color w:val="auto"/>
          <w:highlight w:val="none"/>
        </w:rPr>
        <w:drawing>
          <wp:inline distT="0" distB="0" distL="114300" distR="114300">
            <wp:extent cx="8855075" cy="5024755"/>
            <wp:effectExtent l="0" t="0" r="3175" b="444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2"/>
                    <a:stretch>
                      <a:fillRect/>
                    </a:stretch>
                  </pic:blipFill>
                  <pic:spPr>
                    <a:xfrm>
                      <a:off x="0" y="0"/>
                      <a:ext cx="8855075" cy="5024755"/>
                    </a:xfrm>
                    <a:prstGeom prst="rect">
                      <a:avLst/>
                    </a:prstGeom>
                    <a:noFill/>
                    <a:ln>
                      <a:noFill/>
                    </a:ln>
                  </pic:spPr>
                </pic:pic>
              </a:graphicData>
            </a:graphic>
          </wp:inline>
        </w:drawing>
      </w:r>
    </w:p>
    <w:p w14:paraId="6E01C8F7">
      <w:pPr>
        <w:widowControl w:val="0"/>
        <w:snapToGrid w:val="0"/>
        <w:spacing w:line="360" w:lineRule="auto"/>
        <w:ind w:firstLine="420" w:firstLineChars="200"/>
        <w:jc w:val="left"/>
        <w:rPr>
          <w:color w:val="auto"/>
          <w:highlight w:val="none"/>
        </w:rPr>
        <w:sectPr>
          <w:pgSz w:w="16838" w:h="11906" w:orient="landscape"/>
          <w:pgMar w:top="1560" w:right="1440" w:bottom="1558" w:left="1440" w:header="851" w:footer="992" w:gutter="0"/>
          <w:cols w:space="425" w:num="1"/>
          <w:docGrid w:type="lines" w:linePitch="312" w:charSpace="0"/>
        </w:sectPr>
      </w:pPr>
      <w:r>
        <w:rPr>
          <w:color w:val="auto"/>
          <w:highlight w:val="none"/>
        </w:rPr>
        <w:drawing>
          <wp:inline distT="0" distB="0" distL="114300" distR="114300">
            <wp:extent cx="8853170" cy="5380355"/>
            <wp:effectExtent l="0" t="0" r="5080" b="1079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3"/>
                    <a:stretch>
                      <a:fillRect/>
                    </a:stretch>
                  </pic:blipFill>
                  <pic:spPr>
                    <a:xfrm>
                      <a:off x="0" y="0"/>
                      <a:ext cx="8853170" cy="5380355"/>
                    </a:xfrm>
                    <a:prstGeom prst="rect">
                      <a:avLst/>
                    </a:prstGeom>
                    <a:noFill/>
                    <a:ln>
                      <a:noFill/>
                    </a:ln>
                  </pic:spPr>
                </pic:pic>
              </a:graphicData>
            </a:graphic>
          </wp:inline>
        </w:drawing>
      </w:r>
    </w:p>
    <w:p w14:paraId="4FFBD0DD">
      <w:pPr>
        <w:widowControl w:val="0"/>
        <w:snapToGrid w:val="0"/>
        <w:spacing w:line="360" w:lineRule="auto"/>
        <w:ind w:firstLine="420" w:firstLineChars="200"/>
        <w:jc w:val="left"/>
        <w:rPr>
          <w:color w:val="auto"/>
          <w:highlight w:val="none"/>
        </w:rPr>
        <w:sectPr>
          <w:pgSz w:w="16838" w:h="11906" w:orient="landscape"/>
          <w:pgMar w:top="1560" w:right="1440" w:bottom="1558" w:left="1440" w:header="851" w:footer="992" w:gutter="0"/>
          <w:cols w:space="425" w:num="1"/>
          <w:docGrid w:type="lines" w:linePitch="312" w:charSpace="0"/>
        </w:sectPr>
      </w:pPr>
      <w:r>
        <w:rPr>
          <w:color w:val="auto"/>
          <w:highlight w:val="none"/>
        </w:rPr>
        <w:drawing>
          <wp:inline distT="0" distB="0" distL="114300" distR="114300">
            <wp:extent cx="8860790" cy="5289550"/>
            <wp:effectExtent l="0" t="0" r="16510" b="635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14"/>
                    <a:stretch>
                      <a:fillRect/>
                    </a:stretch>
                  </pic:blipFill>
                  <pic:spPr>
                    <a:xfrm>
                      <a:off x="0" y="0"/>
                      <a:ext cx="8860790" cy="5289550"/>
                    </a:xfrm>
                    <a:prstGeom prst="rect">
                      <a:avLst/>
                    </a:prstGeom>
                    <a:noFill/>
                    <a:ln>
                      <a:noFill/>
                    </a:ln>
                  </pic:spPr>
                </pic:pic>
              </a:graphicData>
            </a:graphic>
          </wp:inline>
        </w:drawing>
      </w:r>
    </w:p>
    <w:p w14:paraId="17EF9709">
      <w:pPr>
        <w:widowControl w:val="0"/>
        <w:snapToGrid w:val="0"/>
        <w:spacing w:line="360" w:lineRule="auto"/>
        <w:ind w:firstLine="420" w:firstLineChars="200"/>
        <w:jc w:val="left"/>
        <w:rPr>
          <w:color w:val="auto"/>
          <w:highlight w:val="none"/>
        </w:rPr>
        <w:sectPr>
          <w:pgSz w:w="16838" w:h="11906" w:orient="landscape"/>
          <w:pgMar w:top="1560" w:right="1440" w:bottom="1558" w:left="1440" w:header="851" w:footer="992" w:gutter="0"/>
          <w:cols w:space="425" w:num="1"/>
          <w:docGrid w:type="lines" w:linePitch="312" w:charSpace="0"/>
        </w:sectPr>
      </w:pPr>
      <w:r>
        <w:rPr>
          <w:color w:val="auto"/>
          <w:highlight w:val="none"/>
        </w:rPr>
        <w:drawing>
          <wp:inline distT="0" distB="0" distL="114300" distR="114300">
            <wp:extent cx="8856980" cy="5618480"/>
            <wp:effectExtent l="0" t="0" r="1270" b="127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15"/>
                    <a:stretch>
                      <a:fillRect/>
                    </a:stretch>
                  </pic:blipFill>
                  <pic:spPr>
                    <a:xfrm>
                      <a:off x="0" y="0"/>
                      <a:ext cx="8856980" cy="5618480"/>
                    </a:xfrm>
                    <a:prstGeom prst="rect">
                      <a:avLst/>
                    </a:prstGeom>
                    <a:noFill/>
                    <a:ln>
                      <a:noFill/>
                    </a:ln>
                  </pic:spPr>
                </pic:pic>
              </a:graphicData>
            </a:graphic>
          </wp:inline>
        </w:drawing>
      </w:r>
    </w:p>
    <w:p w14:paraId="26A8C690">
      <w:pPr>
        <w:widowControl w:val="0"/>
        <w:snapToGrid w:val="0"/>
        <w:spacing w:line="360" w:lineRule="auto"/>
        <w:ind w:firstLine="420" w:firstLineChars="200"/>
        <w:jc w:val="left"/>
        <w:rPr>
          <w:color w:val="auto"/>
          <w:highlight w:val="none"/>
        </w:rPr>
        <w:sectPr>
          <w:pgSz w:w="16838" w:h="11906" w:orient="landscape"/>
          <w:pgMar w:top="1560" w:right="1440" w:bottom="1558" w:left="1440" w:header="851" w:footer="992" w:gutter="0"/>
          <w:cols w:space="425" w:num="1"/>
          <w:docGrid w:type="lines" w:linePitch="312" w:charSpace="0"/>
        </w:sectPr>
      </w:pPr>
      <w:r>
        <w:rPr>
          <w:color w:val="auto"/>
          <w:highlight w:val="none"/>
        </w:rPr>
        <w:drawing>
          <wp:inline distT="0" distB="0" distL="114300" distR="114300">
            <wp:extent cx="8856345" cy="5527675"/>
            <wp:effectExtent l="0" t="0" r="1905" b="15875"/>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16"/>
                    <a:stretch>
                      <a:fillRect/>
                    </a:stretch>
                  </pic:blipFill>
                  <pic:spPr>
                    <a:xfrm>
                      <a:off x="0" y="0"/>
                      <a:ext cx="8856345" cy="5527675"/>
                    </a:xfrm>
                    <a:prstGeom prst="rect">
                      <a:avLst/>
                    </a:prstGeom>
                    <a:noFill/>
                    <a:ln>
                      <a:noFill/>
                    </a:ln>
                  </pic:spPr>
                </pic:pic>
              </a:graphicData>
            </a:graphic>
          </wp:inline>
        </w:drawing>
      </w:r>
    </w:p>
    <w:p w14:paraId="176D6198">
      <w:pPr>
        <w:widowControl w:val="0"/>
        <w:snapToGrid w:val="0"/>
        <w:spacing w:line="360" w:lineRule="auto"/>
        <w:ind w:firstLine="420" w:firstLineChars="200"/>
        <w:jc w:val="left"/>
        <w:rPr>
          <w:rFonts w:ascii="宋体" w:hAnsi="宋体" w:cs="宋体"/>
          <w:color w:val="auto"/>
          <w:sz w:val="24"/>
          <w:szCs w:val="24"/>
          <w:highlight w:val="none"/>
        </w:rPr>
        <w:sectPr>
          <w:pgSz w:w="16838" w:h="11906" w:orient="landscape"/>
          <w:pgMar w:top="1560" w:right="1440" w:bottom="1558" w:left="1440" w:header="851" w:footer="992" w:gutter="0"/>
          <w:cols w:space="425" w:num="1"/>
          <w:docGrid w:type="lines" w:linePitch="312" w:charSpace="0"/>
        </w:sectPr>
      </w:pPr>
      <w:r>
        <w:rPr>
          <w:color w:val="auto"/>
          <w:highlight w:val="none"/>
        </w:rPr>
        <w:drawing>
          <wp:inline distT="0" distB="0" distL="114300" distR="114300">
            <wp:extent cx="8853805" cy="5299075"/>
            <wp:effectExtent l="0" t="0" r="4445" b="15875"/>
            <wp:docPr id="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pic:cNvPicPr>
                      <a:picLocks noChangeAspect="1"/>
                    </pic:cNvPicPr>
                  </pic:nvPicPr>
                  <pic:blipFill>
                    <a:blip r:embed="rId17"/>
                    <a:stretch>
                      <a:fillRect/>
                    </a:stretch>
                  </pic:blipFill>
                  <pic:spPr>
                    <a:xfrm>
                      <a:off x="0" y="0"/>
                      <a:ext cx="8853805" cy="5299075"/>
                    </a:xfrm>
                    <a:prstGeom prst="rect">
                      <a:avLst/>
                    </a:prstGeom>
                    <a:noFill/>
                    <a:ln>
                      <a:noFill/>
                    </a:ln>
                  </pic:spPr>
                </pic:pic>
              </a:graphicData>
            </a:graphic>
          </wp:inline>
        </w:drawing>
      </w:r>
    </w:p>
    <w:p w14:paraId="20781D20">
      <w:pPr>
        <w:spacing w:line="360" w:lineRule="auto"/>
        <w:ind w:right="238"/>
        <w:jc w:val="center"/>
        <w:outlineLvl w:val="0"/>
        <w:rPr>
          <w:rFonts w:eastAsia="黑体"/>
          <w:b/>
          <w:color w:val="auto"/>
          <w:sz w:val="36"/>
          <w:szCs w:val="36"/>
          <w:highlight w:val="none"/>
        </w:rPr>
      </w:pPr>
    </w:p>
    <w:p w14:paraId="28B62BCC">
      <w:pPr>
        <w:spacing w:line="360" w:lineRule="auto"/>
        <w:ind w:right="238"/>
        <w:jc w:val="center"/>
        <w:outlineLvl w:val="0"/>
        <w:rPr>
          <w:rFonts w:eastAsia="黑体"/>
          <w:b/>
          <w:color w:val="auto"/>
          <w:sz w:val="36"/>
          <w:szCs w:val="36"/>
          <w:highlight w:val="none"/>
        </w:rPr>
      </w:pPr>
      <w:bookmarkStart w:id="26" w:name="_Toc25685"/>
      <w:r>
        <w:rPr>
          <w:rFonts w:hint="eastAsia" w:eastAsia="黑体"/>
          <w:b/>
          <w:color w:val="auto"/>
          <w:sz w:val="36"/>
          <w:szCs w:val="36"/>
          <w:highlight w:val="none"/>
        </w:rPr>
        <w:t>第三章</w:t>
      </w:r>
      <w:r>
        <w:rPr>
          <w:rFonts w:eastAsia="黑体"/>
          <w:b/>
          <w:color w:val="auto"/>
          <w:sz w:val="36"/>
          <w:szCs w:val="36"/>
          <w:highlight w:val="none"/>
        </w:rPr>
        <w:t xml:space="preserve">  </w:t>
      </w:r>
      <w:r>
        <w:rPr>
          <w:rFonts w:hint="eastAsia" w:eastAsia="黑体"/>
          <w:b/>
          <w:color w:val="auto"/>
          <w:sz w:val="36"/>
          <w:szCs w:val="36"/>
          <w:highlight w:val="none"/>
        </w:rPr>
        <w:t>投标人须知</w:t>
      </w:r>
      <w:bookmarkEnd w:id="26"/>
    </w:p>
    <w:p w14:paraId="66E53E15">
      <w:pPr>
        <w:spacing w:line="360" w:lineRule="auto"/>
        <w:ind w:right="240"/>
        <w:jc w:val="center"/>
        <w:rPr>
          <w:rFonts w:eastAsia="黑体"/>
          <w:b/>
          <w:color w:val="auto"/>
          <w:spacing w:val="36"/>
          <w:sz w:val="36"/>
          <w:szCs w:val="36"/>
          <w:highlight w:val="none"/>
        </w:rPr>
      </w:pPr>
    </w:p>
    <w:p w14:paraId="15FAE935">
      <w:pPr>
        <w:spacing w:line="360" w:lineRule="auto"/>
        <w:ind w:right="238"/>
        <w:jc w:val="left"/>
        <w:outlineLvl w:val="1"/>
        <w:rPr>
          <w:rFonts w:eastAsia="黑体"/>
          <w:b/>
          <w:color w:val="auto"/>
          <w:sz w:val="28"/>
          <w:szCs w:val="28"/>
          <w:highlight w:val="none"/>
        </w:rPr>
      </w:pPr>
      <w:bookmarkStart w:id="27" w:name="_Toc27296"/>
      <w:r>
        <w:rPr>
          <w:rFonts w:hint="eastAsia" w:eastAsia="黑体"/>
          <w:b/>
          <w:color w:val="auto"/>
          <w:sz w:val="28"/>
          <w:szCs w:val="28"/>
          <w:highlight w:val="none"/>
        </w:rPr>
        <w:t>投标人须知前附表</w:t>
      </w:r>
      <w:bookmarkEnd w:id="27"/>
    </w:p>
    <w:tbl>
      <w:tblPr>
        <w:tblStyle w:val="20"/>
        <w:tblW w:w="9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699"/>
        <w:gridCol w:w="2386"/>
        <w:gridCol w:w="6165"/>
      </w:tblGrid>
      <w:tr w14:paraId="11F28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503" w:type="dxa"/>
          </w:tcPr>
          <w:p w14:paraId="016656D0">
            <w:pPr>
              <w:autoSpaceDE w:val="0"/>
              <w:autoSpaceDN w:val="0"/>
              <w:adjustRightInd w:val="0"/>
              <w:spacing w:line="240" w:lineRule="auto"/>
              <w:rPr>
                <w:rFonts w:ascii="宋体" w:cs="楷体_GB2312"/>
                <w:b/>
                <w:bCs/>
                <w:color w:val="auto"/>
                <w:sz w:val="24"/>
                <w:highlight w:val="none"/>
                <w:lang w:val="zh-CN"/>
              </w:rPr>
            </w:pPr>
            <w:r>
              <w:rPr>
                <w:rFonts w:hint="eastAsia" w:ascii="宋体" w:hAnsi="宋体" w:cs="楷体_GB2312"/>
                <w:b/>
                <w:bCs/>
                <w:color w:val="auto"/>
                <w:sz w:val="24"/>
                <w:highlight w:val="none"/>
                <w:lang w:val="zh-CN"/>
              </w:rPr>
              <w:t>章节</w:t>
            </w:r>
          </w:p>
        </w:tc>
        <w:tc>
          <w:tcPr>
            <w:tcW w:w="699" w:type="dxa"/>
            <w:vAlign w:val="center"/>
          </w:tcPr>
          <w:p w14:paraId="12F61C1A">
            <w:pPr>
              <w:autoSpaceDE w:val="0"/>
              <w:autoSpaceDN w:val="0"/>
              <w:adjustRightInd w:val="0"/>
              <w:spacing w:line="240" w:lineRule="auto"/>
              <w:rPr>
                <w:rFonts w:ascii="宋体" w:cs="楷体_GB2312"/>
                <w:b/>
                <w:bCs/>
                <w:color w:val="auto"/>
                <w:sz w:val="24"/>
                <w:highlight w:val="none"/>
                <w:lang w:val="zh-CN"/>
              </w:rPr>
            </w:pPr>
            <w:r>
              <w:rPr>
                <w:rFonts w:hint="eastAsia" w:ascii="宋体" w:hAnsi="宋体" w:cs="楷体_GB2312"/>
                <w:b/>
                <w:bCs/>
                <w:color w:val="auto"/>
                <w:sz w:val="24"/>
                <w:highlight w:val="none"/>
                <w:lang w:val="zh-CN"/>
              </w:rPr>
              <w:t>条款号</w:t>
            </w:r>
          </w:p>
        </w:tc>
        <w:tc>
          <w:tcPr>
            <w:tcW w:w="2386" w:type="dxa"/>
            <w:vAlign w:val="center"/>
          </w:tcPr>
          <w:p w14:paraId="52C724B5">
            <w:pPr>
              <w:autoSpaceDE w:val="0"/>
              <w:autoSpaceDN w:val="0"/>
              <w:adjustRightIn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条款名称</w:t>
            </w:r>
          </w:p>
        </w:tc>
        <w:tc>
          <w:tcPr>
            <w:tcW w:w="6165" w:type="dxa"/>
            <w:vAlign w:val="center"/>
          </w:tcPr>
          <w:p w14:paraId="620CC5FA">
            <w:pPr>
              <w:autoSpaceDE w:val="0"/>
              <w:autoSpaceDN w:val="0"/>
              <w:adjustRightIn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编列内容</w:t>
            </w:r>
          </w:p>
        </w:tc>
      </w:tr>
      <w:tr w14:paraId="22789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03" w:type="dxa"/>
            <w:vMerge w:val="restart"/>
            <w:vAlign w:val="center"/>
          </w:tcPr>
          <w:p w14:paraId="5FAF154F">
            <w:pPr>
              <w:autoSpaceDE w:val="0"/>
              <w:autoSpaceDN w:val="0"/>
              <w:adjustRightInd w:val="0"/>
              <w:snapToGrid w:val="0"/>
              <w:spacing w:line="240" w:lineRule="auto"/>
              <w:rPr>
                <w:rFonts w:ascii="宋体" w:cs="楷体_GB2312"/>
                <w:b/>
                <w:bCs/>
                <w:color w:val="auto"/>
                <w:sz w:val="24"/>
                <w:highlight w:val="none"/>
              </w:rPr>
            </w:pPr>
            <w:r>
              <w:rPr>
                <w:rFonts w:hint="eastAsia" w:ascii="宋体" w:hAnsi="宋体" w:cs="楷体_GB2312"/>
                <w:b/>
                <w:bCs/>
                <w:color w:val="auto"/>
                <w:sz w:val="24"/>
                <w:highlight w:val="none"/>
              </w:rPr>
              <w:t>第一章</w:t>
            </w:r>
          </w:p>
        </w:tc>
        <w:tc>
          <w:tcPr>
            <w:tcW w:w="699" w:type="dxa"/>
            <w:vAlign w:val="center"/>
          </w:tcPr>
          <w:p w14:paraId="34945E95">
            <w:pPr>
              <w:autoSpaceDE w:val="0"/>
              <w:autoSpaceDN w:val="0"/>
              <w:adjustRightInd w:val="0"/>
              <w:snapToGrid w:val="0"/>
              <w:spacing w:line="240" w:lineRule="auto"/>
              <w:jc w:val="center"/>
              <w:rPr>
                <w:rFonts w:ascii="宋体" w:cs="楷体_GB2312"/>
                <w:b/>
                <w:bCs/>
                <w:color w:val="auto"/>
                <w:szCs w:val="21"/>
                <w:highlight w:val="none"/>
              </w:rPr>
            </w:pPr>
            <w:r>
              <w:rPr>
                <w:rFonts w:ascii="宋体" w:hAnsi="宋体" w:cs="楷体_GB2312"/>
                <w:b/>
                <w:bCs/>
                <w:color w:val="auto"/>
                <w:szCs w:val="21"/>
                <w:highlight w:val="none"/>
              </w:rPr>
              <w:t>1.</w:t>
            </w:r>
            <w:r>
              <w:rPr>
                <w:rFonts w:hint="eastAsia" w:ascii="宋体" w:hAnsi="宋体" w:cs="楷体_GB2312"/>
                <w:b/>
                <w:bCs/>
                <w:color w:val="auto"/>
                <w:szCs w:val="21"/>
                <w:highlight w:val="none"/>
              </w:rPr>
              <w:t>2</w:t>
            </w:r>
          </w:p>
        </w:tc>
        <w:tc>
          <w:tcPr>
            <w:tcW w:w="2386" w:type="dxa"/>
            <w:vAlign w:val="center"/>
          </w:tcPr>
          <w:p w14:paraId="5972E8D5">
            <w:pPr>
              <w:autoSpaceDE w:val="0"/>
              <w:autoSpaceDN w:val="0"/>
              <w:adjustRightInd w:val="0"/>
              <w:snapToGrid w:val="0"/>
              <w:spacing w:line="240" w:lineRule="auto"/>
              <w:jc w:val="center"/>
              <w:rPr>
                <w:rFonts w:ascii="宋体" w:cs="楷体_GB2312"/>
                <w:color w:val="auto"/>
                <w:sz w:val="24"/>
                <w:highlight w:val="none"/>
                <w:lang w:val="zh-CN"/>
              </w:rPr>
            </w:pPr>
            <w:r>
              <w:rPr>
                <w:rFonts w:hint="eastAsia" w:ascii="宋体" w:hAnsi="宋体" w:cs="楷体_GB2312"/>
                <w:b/>
                <w:bCs/>
                <w:color w:val="auto"/>
                <w:sz w:val="24"/>
                <w:highlight w:val="none"/>
              </w:rPr>
              <w:t>招标项目名称</w:t>
            </w:r>
          </w:p>
        </w:tc>
        <w:tc>
          <w:tcPr>
            <w:tcW w:w="6165" w:type="dxa"/>
            <w:vAlign w:val="center"/>
          </w:tcPr>
          <w:p w14:paraId="3D68B86D">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color w:val="auto"/>
                <w:sz w:val="24"/>
                <w:szCs w:val="24"/>
                <w:highlight w:val="none"/>
              </w:rPr>
              <w:t>见“第一章招标公告”相应条款</w:t>
            </w:r>
          </w:p>
        </w:tc>
      </w:tr>
      <w:tr w14:paraId="5A045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03" w:type="dxa"/>
            <w:vMerge w:val="continue"/>
            <w:vAlign w:val="center"/>
          </w:tcPr>
          <w:p w14:paraId="33BA4B12">
            <w:pPr>
              <w:autoSpaceDE w:val="0"/>
              <w:autoSpaceDN w:val="0"/>
              <w:adjustRightInd w:val="0"/>
              <w:snapToGrid w:val="0"/>
              <w:spacing w:line="240" w:lineRule="auto"/>
              <w:rPr>
                <w:rFonts w:ascii="宋体" w:cs="楷体_GB2312"/>
                <w:b/>
                <w:bCs/>
                <w:color w:val="auto"/>
                <w:sz w:val="24"/>
                <w:highlight w:val="none"/>
              </w:rPr>
            </w:pPr>
          </w:p>
        </w:tc>
        <w:tc>
          <w:tcPr>
            <w:tcW w:w="699" w:type="dxa"/>
            <w:vAlign w:val="center"/>
          </w:tcPr>
          <w:p w14:paraId="668E10F7">
            <w:pPr>
              <w:autoSpaceDE w:val="0"/>
              <w:autoSpaceDN w:val="0"/>
              <w:adjustRightInd w:val="0"/>
              <w:snapToGrid w:val="0"/>
              <w:spacing w:line="240" w:lineRule="auto"/>
              <w:jc w:val="center"/>
              <w:rPr>
                <w:rFonts w:ascii="宋体" w:cs="楷体_GB2312"/>
                <w:b/>
                <w:bCs/>
                <w:color w:val="auto"/>
                <w:szCs w:val="21"/>
                <w:highlight w:val="none"/>
              </w:rPr>
            </w:pPr>
            <w:r>
              <w:rPr>
                <w:rFonts w:ascii="宋体" w:hAnsi="宋体" w:cs="楷体_GB2312"/>
                <w:b/>
                <w:bCs/>
                <w:color w:val="auto"/>
                <w:szCs w:val="21"/>
                <w:highlight w:val="none"/>
              </w:rPr>
              <w:t>1.</w:t>
            </w:r>
            <w:r>
              <w:rPr>
                <w:rFonts w:hint="eastAsia" w:ascii="宋体" w:hAnsi="宋体" w:cs="楷体_GB2312"/>
                <w:b/>
                <w:bCs/>
                <w:color w:val="auto"/>
                <w:szCs w:val="21"/>
                <w:highlight w:val="none"/>
              </w:rPr>
              <w:t>1</w:t>
            </w:r>
          </w:p>
        </w:tc>
        <w:tc>
          <w:tcPr>
            <w:tcW w:w="2386" w:type="dxa"/>
            <w:vAlign w:val="center"/>
          </w:tcPr>
          <w:p w14:paraId="52A834EE">
            <w:pPr>
              <w:autoSpaceDE w:val="0"/>
              <w:autoSpaceDN w:val="0"/>
              <w:adjustRightInd w:val="0"/>
              <w:snapToGrid w:val="0"/>
              <w:spacing w:line="240" w:lineRule="auto"/>
              <w:jc w:val="center"/>
              <w:rPr>
                <w:rFonts w:ascii="宋体" w:cs="楷体_GB2312"/>
                <w:b/>
                <w:bCs/>
                <w:color w:val="auto"/>
                <w:sz w:val="24"/>
                <w:highlight w:val="none"/>
              </w:rPr>
            </w:pPr>
            <w:r>
              <w:rPr>
                <w:rFonts w:hint="eastAsia" w:ascii="宋体" w:hAnsi="宋体" w:cs="楷体_GB2312"/>
                <w:b/>
                <w:bCs/>
                <w:color w:val="auto"/>
                <w:sz w:val="24"/>
                <w:highlight w:val="none"/>
              </w:rPr>
              <w:t>项目编号</w:t>
            </w:r>
          </w:p>
        </w:tc>
        <w:tc>
          <w:tcPr>
            <w:tcW w:w="6165" w:type="dxa"/>
            <w:vAlign w:val="center"/>
          </w:tcPr>
          <w:p w14:paraId="2B53B302">
            <w:pPr>
              <w:autoSpaceDE w:val="0"/>
              <w:autoSpaceDN w:val="0"/>
              <w:adjustRightInd w:val="0"/>
              <w:snapToGrid w:val="0"/>
              <w:spacing w:before="156" w:beforeLines="50" w:line="240" w:lineRule="auto"/>
              <w:rPr>
                <w:color w:val="auto"/>
                <w:sz w:val="24"/>
                <w:szCs w:val="24"/>
                <w:highlight w:val="none"/>
              </w:rPr>
            </w:pPr>
            <w:r>
              <w:rPr>
                <w:rFonts w:hint="eastAsia"/>
                <w:color w:val="auto"/>
                <w:sz w:val="24"/>
                <w:szCs w:val="24"/>
                <w:highlight w:val="none"/>
              </w:rPr>
              <w:t>见“第一章招标公告”相应条款</w:t>
            </w:r>
          </w:p>
        </w:tc>
      </w:tr>
      <w:tr w14:paraId="1C412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03" w:type="dxa"/>
            <w:vMerge w:val="continue"/>
            <w:vAlign w:val="center"/>
          </w:tcPr>
          <w:p w14:paraId="6B3F11E5">
            <w:pPr>
              <w:autoSpaceDE w:val="0"/>
              <w:autoSpaceDN w:val="0"/>
              <w:adjustRightInd w:val="0"/>
              <w:snapToGrid w:val="0"/>
              <w:spacing w:line="240" w:lineRule="auto"/>
              <w:rPr>
                <w:rFonts w:ascii="宋体" w:cs="楷体_GB2312"/>
                <w:b/>
                <w:bCs/>
                <w:color w:val="auto"/>
                <w:sz w:val="24"/>
                <w:highlight w:val="none"/>
              </w:rPr>
            </w:pPr>
          </w:p>
        </w:tc>
        <w:tc>
          <w:tcPr>
            <w:tcW w:w="699" w:type="dxa"/>
            <w:vAlign w:val="center"/>
          </w:tcPr>
          <w:p w14:paraId="551F5BCF">
            <w:pPr>
              <w:autoSpaceDE w:val="0"/>
              <w:autoSpaceDN w:val="0"/>
              <w:adjustRightInd w:val="0"/>
              <w:snapToGrid w:val="0"/>
              <w:spacing w:line="240" w:lineRule="auto"/>
              <w:jc w:val="center"/>
              <w:rPr>
                <w:rFonts w:ascii="宋体" w:cs="楷体_GB2312"/>
                <w:b/>
                <w:bCs/>
                <w:color w:val="auto"/>
                <w:szCs w:val="21"/>
                <w:highlight w:val="none"/>
              </w:rPr>
            </w:pPr>
            <w:r>
              <w:rPr>
                <w:rFonts w:ascii="宋体" w:hAnsi="宋体" w:cs="楷体_GB2312"/>
                <w:b/>
                <w:bCs/>
                <w:color w:val="auto"/>
                <w:szCs w:val="21"/>
                <w:highlight w:val="none"/>
              </w:rPr>
              <w:t>1.3</w:t>
            </w:r>
          </w:p>
        </w:tc>
        <w:tc>
          <w:tcPr>
            <w:tcW w:w="2386" w:type="dxa"/>
            <w:vAlign w:val="center"/>
          </w:tcPr>
          <w:p w14:paraId="655F1E76">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采购方式</w:t>
            </w:r>
          </w:p>
        </w:tc>
        <w:tc>
          <w:tcPr>
            <w:tcW w:w="6165" w:type="dxa"/>
            <w:vAlign w:val="center"/>
          </w:tcPr>
          <w:p w14:paraId="7FA411D6">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color w:val="auto"/>
                <w:sz w:val="24"/>
                <w:szCs w:val="24"/>
                <w:highlight w:val="none"/>
              </w:rPr>
              <w:t>公开</w:t>
            </w:r>
            <w:r>
              <w:rPr>
                <w:color w:val="auto"/>
                <w:sz w:val="24"/>
                <w:szCs w:val="24"/>
                <w:highlight w:val="none"/>
              </w:rPr>
              <w:t>招标</w:t>
            </w:r>
          </w:p>
        </w:tc>
      </w:tr>
      <w:tr w14:paraId="2F516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503" w:type="dxa"/>
            <w:vMerge w:val="continue"/>
          </w:tcPr>
          <w:p w14:paraId="3AAFAF4B">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vAlign w:val="center"/>
          </w:tcPr>
          <w:p w14:paraId="6B6EDE2E">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1.</w:t>
            </w:r>
            <w:r>
              <w:rPr>
                <w:rFonts w:hint="eastAsia" w:ascii="宋体" w:hAnsi="宋体" w:cs="楷体_GB2312"/>
                <w:b/>
                <w:bCs/>
                <w:color w:val="auto"/>
                <w:szCs w:val="21"/>
                <w:highlight w:val="none"/>
                <w:lang w:val="zh-CN"/>
              </w:rPr>
              <w:t>4</w:t>
            </w:r>
          </w:p>
        </w:tc>
        <w:tc>
          <w:tcPr>
            <w:tcW w:w="2386" w:type="dxa"/>
            <w:vAlign w:val="center"/>
          </w:tcPr>
          <w:p w14:paraId="18D8DE9B">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预算金额</w:t>
            </w:r>
          </w:p>
        </w:tc>
        <w:tc>
          <w:tcPr>
            <w:tcW w:w="6165" w:type="dxa"/>
            <w:vAlign w:val="center"/>
          </w:tcPr>
          <w:p w14:paraId="719DC934">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color w:val="auto"/>
                <w:sz w:val="24"/>
                <w:szCs w:val="24"/>
                <w:highlight w:val="none"/>
              </w:rPr>
              <w:t>见“第一章招标公告”相应条款。</w:t>
            </w:r>
            <w:r>
              <w:rPr>
                <w:rFonts w:hint="eastAsia" w:ascii="宋体" w:hAnsi="宋体" w:cs="楷体_GB2312"/>
                <w:b/>
                <w:color w:val="auto"/>
                <w:sz w:val="24"/>
                <w:highlight w:val="none"/>
                <w:lang w:val="zh-CN"/>
              </w:rPr>
              <w:t>注：投标人的投标报价未超过</w:t>
            </w:r>
            <w:r>
              <w:rPr>
                <w:rFonts w:hint="eastAsia" w:ascii="宋体" w:hAnsi="宋体" w:cs="楷体_GB2312"/>
                <w:b/>
                <w:bCs/>
                <w:color w:val="auto"/>
                <w:sz w:val="24"/>
                <w:highlight w:val="none"/>
                <w:lang w:val="zh-CN"/>
              </w:rPr>
              <w:t>预算金额</w:t>
            </w:r>
            <w:r>
              <w:rPr>
                <w:rFonts w:hint="eastAsia" w:ascii="宋体" w:hAnsi="宋体" w:cs="楷体_GB2312"/>
                <w:b/>
                <w:color w:val="auto"/>
                <w:sz w:val="24"/>
                <w:highlight w:val="none"/>
                <w:lang w:val="zh-CN"/>
              </w:rPr>
              <w:t>的不足三家时，该标段（包）废标。</w:t>
            </w:r>
          </w:p>
        </w:tc>
      </w:tr>
      <w:tr w14:paraId="5CF78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3" w:type="dxa"/>
            <w:vMerge w:val="continue"/>
          </w:tcPr>
          <w:p w14:paraId="34944072">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vAlign w:val="center"/>
          </w:tcPr>
          <w:p w14:paraId="23C8881C">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2</w:t>
            </w:r>
          </w:p>
        </w:tc>
        <w:tc>
          <w:tcPr>
            <w:tcW w:w="2386" w:type="dxa"/>
            <w:vAlign w:val="center"/>
          </w:tcPr>
          <w:p w14:paraId="050D94F2">
            <w:pPr>
              <w:autoSpaceDE w:val="0"/>
              <w:autoSpaceDN w:val="0"/>
              <w:adjustRightInd w:val="0"/>
              <w:snapToGrid w:val="0"/>
              <w:spacing w:line="240" w:lineRule="auto"/>
              <w:ind w:right="-73" w:rightChars="-35"/>
              <w:jc w:val="center"/>
              <w:rPr>
                <w:rFonts w:ascii="宋体"/>
                <w:b/>
                <w:color w:val="auto"/>
                <w:sz w:val="24"/>
                <w:szCs w:val="24"/>
                <w:highlight w:val="none"/>
              </w:rPr>
            </w:pPr>
            <w:r>
              <w:rPr>
                <w:rFonts w:hint="eastAsia" w:ascii="宋体" w:hAnsi="宋体"/>
                <w:b/>
                <w:color w:val="auto"/>
                <w:sz w:val="24"/>
                <w:szCs w:val="24"/>
                <w:highlight w:val="none"/>
              </w:rPr>
              <w:t>申请人的资格要求及相关证明材料要求</w:t>
            </w:r>
          </w:p>
        </w:tc>
        <w:tc>
          <w:tcPr>
            <w:tcW w:w="6165" w:type="dxa"/>
            <w:vAlign w:val="center"/>
          </w:tcPr>
          <w:p w14:paraId="67F783F3">
            <w:pPr>
              <w:autoSpaceDE w:val="0"/>
              <w:autoSpaceDN w:val="0"/>
              <w:adjustRightInd w:val="0"/>
              <w:snapToGrid w:val="0"/>
              <w:spacing w:before="156" w:beforeLines="50" w:line="240" w:lineRule="auto"/>
              <w:rPr>
                <w:color w:val="auto"/>
                <w:sz w:val="24"/>
                <w:szCs w:val="24"/>
                <w:highlight w:val="none"/>
              </w:rPr>
            </w:pPr>
            <w:r>
              <w:rPr>
                <w:rFonts w:hint="eastAsia"/>
                <w:color w:val="auto"/>
                <w:sz w:val="24"/>
                <w:szCs w:val="24"/>
                <w:highlight w:val="none"/>
              </w:rPr>
              <w:t>见“第一章招标公告”相应条款</w:t>
            </w:r>
          </w:p>
        </w:tc>
      </w:tr>
      <w:tr w14:paraId="06EC8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3" w:type="dxa"/>
            <w:vMerge w:val="continue"/>
          </w:tcPr>
          <w:p w14:paraId="503F3A39">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vAlign w:val="center"/>
          </w:tcPr>
          <w:p w14:paraId="53A3FA53">
            <w:pPr>
              <w:autoSpaceDE w:val="0"/>
              <w:autoSpaceDN w:val="0"/>
              <w:adjustRightInd w:val="0"/>
              <w:snapToGrid w:val="0"/>
              <w:spacing w:line="240" w:lineRule="auto"/>
              <w:jc w:val="center"/>
              <w:rPr>
                <w:rFonts w:ascii="宋体" w:cs="楷体_GB2312"/>
                <w:b/>
                <w:bCs/>
                <w:color w:val="auto"/>
                <w:szCs w:val="21"/>
                <w:highlight w:val="none"/>
                <w:lang w:val="zh-CN"/>
              </w:rPr>
            </w:pPr>
            <w:r>
              <w:rPr>
                <w:rFonts w:hint="eastAsia" w:ascii="宋体" w:hAnsi="宋体" w:cs="楷体_GB2312"/>
                <w:b/>
                <w:bCs/>
                <w:color w:val="auto"/>
                <w:szCs w:val="21"/>
                <w:highlight w:val="none"/>
                <w:lang w:val="zh-CN"/>
              </w:rPr>
              <w:t>8.1</w:t>
            </w:r>
          </w:p>
        </w:tc>
        <w:tc>
          <w:tcPr>
            <w:tcW w:w="2386" w:type="dxa"/>
            <w:vAlign w:val="center"/>
          </w:tcPr>
          <w:p w14:paraId="4B8AEA64">
            <w:pPr>
              <w:autoSpaceDE w:val="0"/>
              <w:autoSpaceDN w:val="0"/>
              <w:adjustRightInd w:val="0"/>
              <w:snapToGrid w:val="0"/>
              <w:spacing w:line="240" w:lineRule="auto"/>
              <w:ind w:right="-73" w:rightChars="-35"/>
              <w:jc w:val="center"/>
              <w:rPr>
                <w:rFonts w:ascii="宋体"/>
                <w:b/>
                <w:color w:val="auto"/>
                <w:sz w:val="24"/>
                <w:szCs w:val="24"/>
                <w:highlight w:val="none"/>
              </w:rPr>
            </w:pPr>
            <w:r>
              <w:rPr>
                <w:rFonts w:hint="eastAsia" w:ascii="宋体" w:hAnsi="宋体"/>
                <w:b/>
                <w:color w:val="auto"/>
                <w:sz w:val="24"/>
                <w:szCs w:val="24"/>
                <w:highlight w:val="none"/>
              </w:rPr>
              <w:t>采购人</w:t>
            </w:r>
          </w:p>
        </w:tc>
        <w:tc>
          <w:tcPr>
            <w:tcW w:w="6165" w:type="dxa"/>
            <w:vAlign w:val="center"/>
          </w:tcPr>
          <w:p w14:paraId="729FF417">
            <w:pPr>
              <w:autoSpaceDE w:val="0"/>
              <w:autoSpaceDN w:val="0"/>
              <w:adjustRightInd w:val="0"/>
              <w:snapToGrid w:val="0"/>
              <w:spacing w:before="156" w:beforeLines="50" w:line="240" w:lineRule="auto"/>
              <w:rPr>
                <w:color w:val="auto"/>
                <w:sz w:val="24"/>
                <w:szCs w:val="24"/>
                <w:highlight w:val="none"/>
              </w:rPr>
            </w:pPr>
            <w:r>
              <w:rPr>
                <w:rFonts w:hint="eastAsia"/>
                <w:color w:val="auto"/>
                <w:sz w:val="24"/>
                <w:szCs w:val="24"/>
                <w:highlight w:val="none"/>
              </w:rPr>
              <w:t>见“第一章招标公告”相应条款</w:t>
            </w:r>
          </w:p>
        </w:tc>
      </w:tr>
      <w:tr w14:paraId="7DB58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3" w:type="dxa"/>
            <w:vMerge w:val="continue"/>
          </w:tcPr>
          <w:p w14:paraId="1A56A023">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vAlign w:val="center"/>
          </w:tcPr>
          <w:p w14:paraId="6EDC885B">
            <w:pPr>
              <w:autoSpaceDE w:val="0"/>
              <w:autoSpaceDN w:val="0"/>
              <w:adjustRightInd w:val="0"/>
              <w:snapToGrid w:val="0"/>
              <w:spacing w:line="240" w:lineRule="auto"/>
              <w:jc w:val="center"/>
              <w:rPr>
                <w:rFonts w:ascii="宋体" w:cs="楷体_GB2312"/>
                <w:b/>
                <w:bCs/>
                <w:color w:val="auto"/>
                <w:szCs w:val="21"/>
                <w:highlight w:val="none"/>
                <w:lang w:val="zh-CN"/>
              </w:rPr>
            </w:pPr>
            <w:r>
              <w:rPr>
                <w:rFonts w:hint="eastAsia" w:ascii="宋体" w:hAnsi="宋体" w:cs="楷体_GB2312"/>
                <w:b/>
                <w:bCs/>
                <w:color w:val="auto"/>
                <w:szCs w:val="21"/>
                <w:highlight w:val="none"/>
                <w:lang w:val="zh-CN"/>
              </w:rPr>
              <w:t>8.2</w:t>
            </w:r>
          </w:p>
        </w:tc>
        <w:tc>
          <w:tcPr>
            <w:tcW w:w="2386" w:type="dxa"/>
            <w:vAlign w:val="center"/>
          </w:tcPr>
          <w:p w14:paraId="633E7518">
            <w:pPr>
              <w:autoSpaceDE w:val="0"/>
              <w:autoSpaceDN w:val="0"/>
              <w:adjustRightInd w:val="0"/>
              <w:snapToGrid w:val="0"/>
              <w:spacing w:line="240" w:lineRule="auto"/>
              <w:ind w:right="-73" w:rightChars="-35"/>
              <w:jc w:val="center"/>
              <w:rPr>
                <w:rFonts w:ascii="宋体"/>
                <w:b/>
                <w:color w:val="auto"/>
                <w:sz w:val="24"/>
                <w:szCs w:val="24"/>
                <w:highlight w:val="none"/>
              </w:rPr>
            </w:pPr>
            <w:r>
              <w:rPr>
                <w:rFonts w:hint="eastAsia" w:ascii="宋体" w:hAnsi="宋体"/>
                <w:b/>
                <w:color w:val="auto"/>
                <w:sz w:val="24"/>
                <w:szCs w:val="24"/>
                <w:highlight w:val="none"/>
              </w:rPr>
              <w:t>采购代理机构</w:t>
            </w:r>
          </w:p>
        </w:tc>
        <w:tc>
          <w:tcPr>
            <w:tcW w:w="6165" w:type="dxa"/>
            <w:vAlign w:val="center"/>
          </w:tcPr>
          <w:p w14:paraId="4FE0D0ED">
            <w:pPr>
              <w:autoSpaceDE w:val="0"/>
              <w:autoSpaceDN w:val="0"/>
              <w:adjustRightInd w:val="0"/>
              <w:snapToGrid w:val="0"/>
              <w:spacing w:before="156" w:beforeLines="50" w:line="240" w:lineRule="auto"/>
              <w:rPr>
                <w:color w:val="auto"/>
                <w:sz w:val="24"/>
                <w:szCs w:val="24"/>
                <w:highlight w:val="none"/>
              </w:rPr>
            </w:pPr>
            <w:r>
              <w:rPr>
                <w:rFonts w:hint="eastAsia"/>
                <w:color w:val="auto"/>
                <w:sz w:val="24"/>
                <w:szCs w:val="24"/>
                <w:highlight w:val="none"/>
              </w:rPr>
              <w:t>见“第一章招标公告”相应条款</w:t>
            </w:r>
          </w:p>
        </w:tc>
      </w:tr>
      <w:tr w14:paraId="023DB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3" w:type="dxa"/>
            <w:vMerge w:val="restart"/>
            <w:vAlign w:val="center"/>
          </w:tcPr>
          <w:p w14:paraId="3CC78B0B">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第二章</w:t>
            </w:r>
          </w:p>
        </w:tc>
        <w:tc>
          <w:tcPr>
            <w:tcW w:w="699" w:type="dxa"/>
            <w:vAlign w:val="center"/>
          </w:tcPr>
          <w:p w14:paraId="6476ABC5">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1.2</w:t>
            </w:r>
          </w:p>
        </w:tc>
        <w:tc>
          <w:tcPr>
            <w:tcW w:w="2386" w:type="dxa"/>
            <w:vAlign w:val="center"/>
          </w:tcPr>
          <w:p w14:paraId="5646B1FC">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b/>
                <w:color w:val="auto"/>
                <w:sz w:val="24"/>
                <w:szCs w:val="24"/>
                <w:highlight w:val="none"/>
              </w:rPr>
              <w:t>标段（包）划分</w:t>
            </w:r>
          </w:p>
        </w:tc>
        <w:tc>
          <w:tcPr>
            <w:tcW w:w="6165" w:type="dxa"/>
            <w:vAlign w:val="center"/>
          </w:tcPr>
          <w:p w14:paraId="6F59CB59">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color w:val="auto"/>
                <w:sz w:val="24"/>
                <w:szCs w:val="24"/>
                <w:highlight w:val="none"/>
              </w:rPr>
              <w:t>见“第二章招标项目要求及采购需求”相应条款</w:t>
            </w:r>
          </w:p>
        </w:tc>
      </w:tr>
      <w:tr w14:paraId="4BC85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3" w:type="dxa"/>
            <w:vMerge w:val="continue"/>
          </w:tcPr>
          <w:p w14:paraId="6217AB3F">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vAlign w:val="center"/>
          </w:tcPr>
          <w:p w14:paraId="5568C12B">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1.2</w:t>
            </w:r>
          </w:p>
        </w:tc>
        <w:tc>
          <w:tcPr>
            <w:tcW w:w="2386" w:type="dxa"/>
            <w:vAlign w:val="center"/>
          </w:tcPr>
          <w:p w14:paraId="05F07883">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b/>
                <w:color w:val="auto"/>
                <w:sz w:val="24"/>
                <w:szCs w:val="24"/>
                <w:highlight w:val="none"/>
              </w:rPr>
              <w:t>交付&lt;实施&gt;期/工期</w:t>
            </w:r>
          </w:p>
        </w:tc>
        <w:tc>
          <w:tcPr>
            <w:tcW w:w="6165" w:type="dxa"/>
            <w:vAlign w:val="center"/>
          </w:tcPr>
          <w:p w14:paraId="564501A5">
            <w:pPr>
              <w:autoSpaceDE w:val="0"/>
              <w:autoSpaceDN w:val="0"/>
              <w:adjustRightInd w:val="0"/>
              <w:snapToGrid w:val="0"/>
              <w:spacing w:before="156" w:beforeLines="50" w:line="240" w:lineRule="auto"/>
              <w:rPr>
                <w:rFonts w:ascii="宋体" w:cs="楷体_GB2312"/>
                <w:bCs/>
                <w:color w:val="auto"/>
                <w:sz w:val="24"/>
                <w:highlight w:val="none"/>
                <w:lang w:val="zh-CN"/>
              </w:rPr>
            </w:pPr>
            <w:r>
              <w:rPr>
                <w:rFonts w:hint="eastAsia" w:ascii="宋体" w:hAnsi="宋体"/>
                <w:color w:val="auto"/>
                <w:sz w:val="24"/>
                <w:highlight w:val="none"/>
              </w:rPr>
              <w:t>见“第二章招标项目要求及采购需求”</w:t>
            </w:r>
            <w:r>
              <w:rPr>
                <w:rFonts w:hint="eastAsia"/>
                <w:color w:val="auto"/>
                <w:sz w:val="24"/>
                <w:szCs w:val="24"/>
                <w:highlight w:val="none"/>
              </w:rPr>
              <w:t>相应条款</w:t>
            </w:r>
          </w:p>
        </w:tc>
      </w:tr>
      <w:tr w14:paraId="77BD3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3" w:type="dxa"/>
            <w:vMerge w:val="continue"/>
          </w:tcPr>
          <w:p w14:paraId="044955AA">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vAlign w:val="center"/>
          </w:tcPr>
          <w:p w14:paraId="1B6C5A9F">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1.2</w:t>
            </w:r>
          </w:p>
        </w:tc>
        <w:tc>
          <w:tcPr>
            <w:tcW w:w="2386" w:type="dxa"/>
            <w:vAlign w:val="center"/>
          </w:tcPr>
          <w:p w14:paraId="695AFCED">
            <w:pPr>
              <w:autoSpaceDE w:val="0"/>
              <w:autoSpaceDN w:val="0"/>
              <w:adjustRightInd w:val="0"/>
              <w:snapToGrid w:val="0"/>
              <w:spacing w:line="240" w:lineRule="auto"/>
              <w:jc w:val="center"/>
              <w:rPr>
                <w:rFonts w:ascii="宋体" w:hAnsi="宋体" w:cs="楷体_GB2312"/>
                <w:b/>
                <w:bCs/>
                <w:color w:val="auto"/>
                <w:sz w:val="24"/>
                <w:highlight w:val="none"/>
                <w:lang w:val="zh-CN"/>
              </w:rPr>
            </w:pPr>
            <w:r>
              <w:rPr>
                <w:rFonts w:hint="eastAsia" w:ascii="宋体" w:hAnsi="宋体" w:cs="楷体_GB2312"/>
                <w:b/>
                <w:bCs/>
                <w:color w:val="auto"/>
                <w:sz w:val="24"/>
                <w:highlight w:val="none"/>
              </w:rPr>
              <w:t>交付（实施）</w:t>
            </w:r>
            <w:r>
              <w:rPr>
                <w:rFonts w:hint="eastAsia" w:ascii="宋体" w:hAnsi="宋体" w:cs="楷体_GB2312"/>
                <w:b/>
                <w:bCs/>
                <w:color w:val="auto"/>
                <w:sz w:val="24"/>
                <w:highlight w:val="none"/>
                <w:lang w:val="zh-CN"/>
              </w:rPr>
              <w:t>地</w:t>
            </w:r>
          </w:p>
          <w:p w14:paraId="0F12D2F0">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/施工地</w:t>
            </w:r>
          </w:p>
        </w:tc>
        <w:tc>
          <w:tcPr>
            <w:tcW w:w="6165" w:type="dxa"/>
            <w:vAlign w:val="center"/>
          </w:tcPr>
          <w:p w14:paraId="73525BD8">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见“第二章招标项目要求及采购需求”</w:t>
            </w:r>
            <w:r>
              <w:rPr>
                <w:rFonts w:hint="eastAsia"/>
                <w:color w:val="auto"/>
                <w:sz w:val="24"/>
                <w:szCs w:val="24"/>
                <w:highlight w:val="none"/>
              </w:rPr>
              <w:t>相应条款</w:t>
            </w:r>
          </w:p>
        </w:tc>
      </w:tr>
      <w:tr w14:paraId="15FB5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3" w:type="dxa"/>
            <w:vMerge w:val="continue"/>
          </w:tcPr>
          <w:p w14:paraId="0792F737">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vAlign w:val="center"/>
          </w:tcPr>
          <w:p w14:paraId="32B44B45">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1.3</w:t>
            </w:r>
          </w:p>
        </w:tc>
        <w:tc>
          <w:tcPr>
            <w:tcW w:w="2386" w:type="dxa"/>
            <w:vAlign w:val="center"/>
          </w:tcPr>
          <w:p w14:paraId="1DAEF615">
            <w:pPr>
              <w:autoSpaceDE w:val="0"/>
              <w:autoSpaceDN w:val="0"/>
              <w:adjustRightInd w:val="0"/>
              <w:snapToGrid w:val="0"/>
              <w:spacing w:line="240" w:lineRule="auto"/>
              <w:jc w:val="center"/>
              <w:rPr>
                <w:rFonts w:ascii="宋体"/>
                <w:b/>
                <w:color w:val="auto"/>
                <w:sz w:val="24"/>
                <w:szCs w:val="24"/>
                <w:highlight w:val="none"/>
              </w:rPr>
            </w:pPr>
            <w:r>
              <w:rPr>
                <w:rFonts w:hint="eastAsia" w:ascii="宋体" w:hAnsi="宋体"/>
                <w:b/>
                <w:color w:val="auto"/>
                <w:sz w:val="24"/>
                <w:szCs w:val="24"/>
                <w:highlight w:val="none"/>
              </w:rPr>
              <w:t>投标报价</w:t>
            </w:r>
          </w:p>
        </w:tc>
        <w:tc>
          <w:tcPr>
            <w:tcW w:w="6165" w:type="dxa"/>
            <w:vAlign w:val="center"/>
          </w:tcPr>
          <w:p w14:paraId="33E5EBDA">
            <w:pPr>
              <w:autoSpaceDE w:val="0"/>
              <w:autoSpaceDN w:val="0"/>
              <w:adjustRightInd w:val="0"/>
              <w:snapToGrid w:val="0"/>
              <w:spacing w:before="156" w:beforeLines="50" w:line="240" w:lineRule="auto"/>
              <w:rPr>
                <w:color w:val="auto"/>
                <w:sz w:val="24"/>
                <w:szCs w:val="24"/>
                <w:highlight w:val="none"/>
              </w:rPr>
            </w:pPr>
            <w:r>
              <w:rPr>
                <w:rFonts w:hint="eastAsia"/>
                <w:color w:val="auto"/>
                <w:sz w:val="24"/>
                <w:szCs w:val="24"/>
                <w:highlight w:val="none"/>
              </w:rPr>
              <w:t>见“第二章招标项目要求及采购需求”相应条款</w:t>
            </w:r>
          </w:p>
        </w:tc>
      </w:tr>
      <w:tr w14:paraId="73AC1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503" w:type="dxa"/>
            <w:vMerge w:val="continue"/>
          </w:tcPr>
          <w:p w14:paraId="47D84228">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vAlign w:val="center"/>
          </w:tcPr>
          <w:p w14:paraId="3BC2FE68">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2</w:t>
            </w:r>
          </w:p>
        </w:tc>
        <w:tc>
          <w:tcPr>
            <w:tcW w:w="2386" w:type="dxa"/>
            <w:vAlign w:val="center"/>
          </w:tcPr>
          <w:p w14:paraId="4995539B">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标段（包）内容（范围）及具体采购需求</w:t>
            </w:r>
          </w:p>
        </w:tc>
        <w:tc>
          <w:tcPr>
            <w:tcW w:w="6165" w:type="dxa"/>
            <w:vAlign w:val="center"/>
          </w:tcPr>
          <w:p w14:paraId="10B0BF1E">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见“第二章招标项目要求及采购需求”</w:t>
            </w:r>
            <w:r>
              <w:rPr>
                <w:rFonts w:hint="eastAsia"/>
                <w:color w:val="auto"/>
                <w:sz w:val="24"/>
                <w:szCs w:val="24"/>
                <w:highlight w:val="none"/>
              </w:rPr>
              <w:t>相应条款</w:t>
            </w:r>
          </w:p>
        </w:tc>
      </w:tr>
      <w:tr w14:paraId="46546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503" w:type="dxa"/>
            <w:vMerge w:val="continue"/>
          </w:tcPr>
          <w:p w14:paraId="40CA905F">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vAlign w:val="center"/>
          </w:tcPr>
          <w:p w14:paraId="6584E04C">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2.</w:t>
            </w:r>
            <w:r>
              <w:rPr>
                <w:rFonts w:hint="eastAsia" w:ascii="宋体" w:hAnsi="宋体" w:cs="楷体_GB2312"/>
                <w:b/>
                <w:bCs/>
                <w:color w:val="auto"/>
                <w:szCs w:val="21"/>
                <w:highlight w:val="none"/>
                <w:lang w:val="zh-CN"/>
              </w:rPr>
              <w:t>7/2.4</w:t>
            </w:r>
          </w:p>
        </w:tc>
        <w:tc>
          <w:tcPr>
            <w:tcW w:w="2386" w:type="dxa"/>
            <w:vAlign w:val="center"/>
          </w:tcPr>
          <w:p w14:paraId="2BF40CAC">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技术偏离</w:t>
            </w:r>
          </w:p>
        </w:tc>
        <w:tc>
          <w:tcPr>
            <w:tcW w:w="6165" w:type="dxa"/>
            <w:vAlign w:val="center"/>
          </w:tcPr>
          <w:p w14:paraId="51B820CA">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见“第二章招标项目要求及采购需求”</w:t>
            </w:r>
            <w:r>
              <w:rPr>
                <w:rFonts w:hint="eastAsia"/>
                <w:color w:val="auto"/>
                <w:sz w:val="24"/>
                <w:szCs w:val="24"/>
                <w:highlight w:val="none"/>
              </w:rPr>
              <w:t>相应条款</w:t>
            </w:r>
          </w:p>
        </w:tc>
      </w:tr>
      <w:tr w14:paraId="61198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503" w:type="dxa"/>
            <w:vMerge w:val="continue"/>
          </w:tcPr>
          <w:p w14:paraId="6E9C9D56">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vAlign w:val="center"/>
          </w:tcPr>
          <w:p w14:paraId="55711653">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2.</w:t>
            </w:r>
            <w:r>
              <w:rPr>
                <w:rFonts w:hint="eastAsia" w:ascii="宋体" w:hAnsi="宋体" w:cs="楷体_GB2312"/>
                <w:b/>
                <w:bCs/>
                <w:color w:val="auto"/>
                <w:szCs w:val="21"/>
                <w:highlight w:val="none"/>
                <w:lang w:val="zh-CN"/>
              </w:rPr>
              <w:t>8</w:t>
            </w:r>
          </w:p>
        </w:tc>
        <w:tc>
          <w:tcPr>
            <w:tcW w:w="2386" w:type="dxa"/>
            <w:vAlign w:val="center"/>
          </w:tcPr>
          <w:p w14:paraId="6D60D99E">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售后服务</w:t>
            </w:r>
          </w:p>
        </w:tc>
        <w:tc>
          <w:tcPr>
            <w:tcW w:w="6165" w:type="dxa"/>
            <w:vAlign w:val="center"/>
          </w:tcPr>
          <w:p w14:paraId="17A1524B">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见“第二章招标项目要求及采购需求”</w:t>
            </w:r>
            <w:r>
              <w:rPr>
                <w:rFonts w:hint="eastAsia"/>
                <w:color w:val="auto"/>
                <w:sz w:val="24"/>
                <w:szCs w:val="24"/>
                <w:highlight w:val="none"/>
              </w:rPr>
              <w:t>相应条款</w:t>
            </w:r>
          </w:p>
        </w:tc>
      </w:tr>
      <w:tr w14:paraId="5154D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503" w:type="dxa"/>
            <w:vMerge w:val="restart"/>
          </w:tcPr>
          <w:p w14:paraId="137F73D8">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第三章</w:t>
            </w:r>
          </w:p>
        </w:tc>
        <w:tc>
          <w:tcPr>
            <w:tcW w:w="699" w:type="dxa"/>
            <w:vAlign w:val="center"/>
          </w:tcPr>
          <w:p w14:paraId="255D825F">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1.4</w:t>
            </w:r>
          </w:p>
        </w:tc>
        <w:tc>
          <w:tcPr>
            <w:tcW w:w="2386" w:type="dxa"/>
            <w:vAlign w:val="center"/>
          </w:tcPr>
          <w:p w14:paraId="6F93C7BC">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联合体投标</w:t>
            </w:r>
          </w:p>
        </w:tc>
        <w:tc>
          <w:tcPr>
            <w:tcW w:w="6165" w:type="dxa"/>
            <w:vAlign w:val="center"/>
          </w:tcPr>
          <w:p w14:paraId="759A679C">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color w:val="auto"/>
                <w:sz w:val="24"/>
                <w:szCs w:val="24"/>
                <w:highlight w:val="none"/>
              </w:rPr>
              <w:t>见“第一章招标公告”相应条款。</w:t>
            </w:r>
          </w:p>
        </w:tc>
      </w:tr>
      <w:tr w14:paraId="1C39D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03" w:type="dxa"/>
            <w:vMerge w:val="continue"/>
          </w:tcPr>
          <w:p w14:paraId="73DE366F">
            <w:pPr>
              <w:autoSpaceDE w:val="0"/>
              <w:autoSpaceDN w:val="0"/>
              <w:adjustRightInd w:val="0"/>
              <w:snapToGrid w:val="0"/>
              <w:spacing w:line="240" w:lineRule="auto"/>
              <w:jc w:val="center"/>
              <w:rPr>
                <w:rFonts w:ascii="宋体" w:cs="楷体_GB2312"/>
                <w:b/>
                <w:bCs/>
                <w:color w:val="auto"/>
                <w:sz w:val="24"/>
                <w:highlight w:val="none"/>
              </w:rPr>
            </w:pPr>
          </w:p>
        </w:tc>
        <w:tc>
          <w:tcPr>
            <w:tcW w:w="699" w:type="dxa"/>
            <w:vAlign w:val="center"/>
          </w:tcPr>
          <w:p w14:paraId="4CD8B441">
            <w:pPr>
              <w:autoSpaceDE w:val="0"/>
              <w:autoSpaceDN w:val="0"/>
              <w:adjustRightInd w:val="0"/>
              <w:snapToGrid w:val="0"/>
              <w:spacing w:line="240" w:lineRule="auto"/>
              <w:jc w:val="center"/>
              <w:rPr>
                <w:rFonts w:ascii="宋体" w:cs="楷体_GB2312"/>
                <w:b/>
                <w:bCs/>
                <w:color w:val="auto"/>
                <w:szCs w:val="21"/>
                <w:highlight w:val="none"/>
              </w:rPr>
            </w:pPr>
            <w:r>
              <w:rPr>
                <w:rFonts w:ascii="宋体" w:hAnsi="宋体" w:cs="楷体_GB2312"/>
                <w:b/>
                <w:bCs/>
                <w:color w:val="auto"/>
                <w:szCs w:val="21"/>
                <w:highlight w:val="none"/>
              </w:rPr>
              <w:t>1.</w:t>
            </w:r>
            <w:r>
              <w:rPr>
                <w:rFonts w:hint="eastAsia" w:ascii="宋体" w:hAnsi="宋体" w:cs="楷体_GB2312"/>
                <w:b/>
                <w:bCs/>
                <w:color w:val="auto"/>
                <w:szCs w:val="21"/>
                <w:highlight w:val="none"/>
              </w:rPr>
              <w:t>10</w:t>
            </w:r>
          </w:p>
        </w:tc>
        <w:tc>
          <w:tcPr>
            <w:tcW w:w="2386" w:type="dxa"/>
            <w:vAlign w:val="center"/>
          </w:tcPr>
          <w:p w14:paraId="08A18925">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踏勘现场</w:t>
            </w:r>
          </w:p>
        </w:tc>
        <w:tc>
          <w:tcPr>
            <w:tcW w:w="6165" w:type="dxa"/>
            <w:vAlign w:val="center"/>
          </w:tcPr>
          <w:p w14:paraId="5329BCF6">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不组织</w:t>
            </w:r>
          </w:p>
        </w:tc>
      </w:tr>
      <w:tr w14:paraId="7F028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03" w:type="dxa"/>
            <w:vMerge w:val="continue"/>
          </w:tcPr>
          <w:p w14:paraId="1CC39ED4">
            <w:pPr>
              <w:autoSpaceDE w:val="0"/>
              <w:autoSpaceDN w:val="0"/>
              <w:adjustRightInd w:val="0"/>
              <w:snapToGrid w:val="0"/>
              <w:spacing w:line="240" w:lineRule="auto"/>
              <w:jc w:val="center"/>
              <w:rPr>
                <w:rFonts w:ascii="宋体" w:cs="楷体_GB2312"/>
                <w:b/>
                <w:bCs/>
                <w:color w:val="auto"/>
                <w:sz w:val="24"/>
                <w:highlight w:val="none"/>
              </w:rPr>
            </w:pPr>
          </w:p>
        </w:tc>
        <w:tc>
          <w:tcPr>
            <w:tcW w:w="699" w:type="dxa"/>
            <w:vAlign w:val="center"/>
          </w:tcPr>
          <w:p w14:paraId="09FA0C70">
            <w:pPr>
              <w:autoSpaceDE w:val="0"/>
              <w:autoSpaceDN w:val="0"/>
              <w:adjustRightInd w:val="0"/>
              <w:snapToGrid w:val="0"/>
              <w:spacing w:line="240" w:lineRule="auto"/>
              <w:ind w:right="-88" w:rightChars="-42"/>
              <w:jc w:val="center"/>
              <w:rPr>
                <w:rFonts w:ascii="宋体" w:cs="楷体_GB2312"/>
                <w:b/>
                <w:bCs/>
                <w:color w:val="auto"/>
                <w:szCs w:val="21"/>
                <w:highlight w:val="none"/>
              </w:rPr>
            </w:pPr>
            <w:r>
              <w:rPr>
                <w:rFonts w:ascii="宋体" w:hAnsi="宋体" w:cs="楷体_GB2312"/>
                <w:b/>
                <w:bCs/>
                <w:color w:val="auto"/>
                <w:szCs w:val="21"/>
                <w:highlight w:val="none"/>
              </w:rPr>
              <w:t>1.1</w:t>
            </w:r>
            <w:r>
              <w:rPr>
                <w:rFonts w:hint="eastAsia" w:ascii="宋体" w:hAnsi="宋体" w:cs="楷体_GB2312"/>
                <w:b/>
                <w:bCs/>
                <w:color w:val="auto"/>
                <w:szCs w:val="21"/>
                <w:highlight w:val="none"/>
              </w:rPr>
              <w:t>1</w:t>
            </w:r>
          </w:p>
        </w:tc>
        <w:tc>
          <w:tcPr>
            <w:tcW w:w="2386" w:type="dxa"/>
            <w:vAlign w:val="center"/>
          </w:tcPr>
          <w:p w14:paraId="41CC6924">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开标前答疑会</w:t>
            </w:r>
          </w:p>
        </w:tc>
        <w:tc>
          <w:tcPr>
            <w:tcW w:w="6165" w:type="dxa"/>
            <w:vAlign w:val="center"/>
          </w:tcPr>
          <w:p w14:paraId="53FBCBC5">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不召开</w:t>
            </w:r>
          </w:p>
        </w:tc>
      </w:tr>
      <w:tr w14:paraId="1BF98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03" w:type="dxa"/>
            <w:vMerge w:val="continue"/>
          </w:tcPr>
          <w:p w14:paraId="735D032D">
            <w:pPr>
              <w:autoSpaceDE w:val="0"/>
              <w:autoSpaceDN w:val="0"/>
              <w:adjustRightInd w:val="0"/>
              <w:snapToGrid w:val="0"/>
              <w:spacing w:line="240" w:lineRule="auto"/>
              <w:jc w:val="center"/>
              <w:rPr>
                <w:rFonts w:ascii="宋体" w:cs="楷体_GB2312"/>
                <w:b/>
                <w:bCs/>
                <w:color w:val="auto"/>
                <w:sz w:val="24"/>
                <w:highlight w:val="none"/>
              </w:rPr>
            </w:pPr>
          </w:p>
        </w:tc>
        <w:tc>
          <w:tcPr>
            <w:tcW w:w="699" w:type="dxa"/>
            <w:vAlign w:val="center"/>
          </w:tcPr>
          <w:p w14:paraId="3D86727D">
            <w:pPr>
              <w:autoSpaceDE w:val="0"/>
              <w:autoSpaceDN w:val="0"/>
              <w:adjustRightInd w:val="0"/>
              <w:snapToGrid w:val="0"/>
              <w:spacing w:line="240" w:lineRule="auto"/>
              <w:ind w:right="-88" w:rightChars="-42"/>
              <w:jc w:val="center"/>
              <w:rPr>
                <w:rFonts w:ascii="宋体" w:cs="楷体_GB2312"/>
                <w:b/>
                <w:bCs/>
                <w:color w:val="auto"/>
                <w:szCs w:val="21"/>
                <w:highlight w:val="none"/>
              </w:rPr>
            </w:pPr>
            <w:r>
              <w:rPr>
                <w:rFonts w:ascii="宋体" w:hAnsi="宋体" w:cs="楷体_GB2312"/>
                <w:b/>
                <w:bCs/>
                <w:color w:val="auto"/>
                <w:szCs w:val="21"/>
                <w:highlight w:val="none"/>
              </w:rPr>
              <w:t>1.1</w:t>
            </w:r>
            <w:r>
              <w:rPr>
                <w:rFonts w:hint="eastAsia" w:ascii="宋体" w:hAnsi="宋体" w:cs="楷体_GB2312"/>
                <w:b/>
                <w:bCs/>
                <w:color w:val="auto"/>
                <w:szCs w:val="21"/>
                <w:highlight w:val="none"/>
              </w:rPr>
              <w:t>2</w:t>
            </w:r>
          </w:p>
        </w:tc>
        <w:tc>
          <w:tcPr>
            <w:tcW w:w="2386" w:type="dxa"/>
            <w:vAlign w:val="center"/>
          </w:tcPr>
          <w:p w14:paraId="1DACCAD8">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分包</w:t>
            </w:r>
          </w:p>
        </w:tc>
        <w:tc>
          <w:tcPr>
            <w:tcW w:w="6165" w:type="dxa"/>
            <w:vAlign w:val="center"/>
          </w:tcPr>
          <w:p w14:paraId="1BA8119A">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不允许</w:t>
            </w:r>
          </w:p>
        </w:tc>
      </w:tr>
      <w:tr w14:paraId="5DE96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03" w:type="dxa"/>
            <w:vMerge w:val="continue"/>
          </w:tcPr>
          <w:p w14:paraId="5A173E0C">
            <w:pPr>
              <w:autoSpaceDE w:val="0"/>
              <w:autoSpaceDN w:val="0"/>
              <w:adjustRightInd w:val="0"/>
              <w:snapToGrid w:val="0"/>
              <w:spacing w:line="240" w:lineRule="auto"/>
              <w:jc w:val="center"/>
              <w:rPr>
                <w:rFonts w:ascii="宋体" w:cs="楷体_GB2312"/>
                <w:b/>
                <w:bCs/>
                <w:color w:val="auto"/>
                <w:sz w:val="24"/>
                <w:highlight w:val="none"/>
              </w:rPr>
            </w:pPr>
          </w:p>
        </w:tc>
        <w:tc>
          <w:tcPr>
            <w:tcW w:w="699" w:type="dxa"/>
            <w:vAlign w:val="center"/>
          </w:tcPr>
          <w:p w14:paraId="32EC4575">
            <w:pPr>
              <w:autoSpaceDE w:val="0"/>
              <w:autoSpaceDN w:val="0"/>
              <w:adjustRightInd w:val="0"/>
              <w:snapToGrid w:val="0"/>
              <w:spacing w:line="240" w:lineRule="auto"/>
              <w:ind w:right="-88" w:rightChars="-42"/>
              <w:jc w:val="center"/>
              <w:rPr>
                <w:rFonts w:ascii="宋体" w:cs="楷体_GB2312"/>
                <w:b/>
                <w:bCs/>
                <w:color w:val="auto"/>
                <w:szCs w:val="21"/>
                <w:highlight w:val="none"/>
              </w:rPr>
            </w:pPr>
            <w:r>
              <w:rPr>
                <w:rFonts w:ascii="宋体" w:hAnsi="宋体" w:cs="楷体_GB2312"/>
                <w:b/>
                <w:bCs/>
                <w:color w:val="auto"/>
                <w:szCs w:val="21"/>
                <w:highlight w:val="none"/>
              </w:rPr>
              <w:t>2.1</w:t>
            </w:r>
          </w:p>
        </w:tc>
        <w:tc>
          <w:tcPr>
            <w:tcW w:w="2386" w:type="dxa"/>
            <w:vAlign w:val="center"/>
          </w:tcPr>
          <w:p w14:paraId="4B38C155">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构成招标文件的其他材料</w:t>
            </w:r>
          </w:p>
        </w:tc>
        <w:tc>
          <w:tcPr>
            <w:tcW w:w="6165" w:type="dxa"/>
            <w:vAlign w:val="center"/>
          </w:tcPr>
          <w:p w14:paraId="2EDAA6D7">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见“第三章</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投标人须知”</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相应条款</w:t>
            </w:r>
          </w:p>
        </w:tc>
      </w:tr>
      <w:tr w14:paraId="31968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03" w:type="dxa"/>
            <w:vMerge w:val="continue"/>
          </w:tcPr>
          <w:p w14:paraId="09451762">
            <w:pPr>
              <w:autoSpaceDE w:val="0"/>
              <w:autoSpaceDN w:val="0"/>
              <w:adjustRightInd w:val="0"/>
              <w:snapToGrid w:val="0"/>
              <w:spacing w:line="240" w:lineRule="auto"/>
              <w:jc w:val="center"/>
              <w:rPr>
                <w:rFonts w:ascii="宋体" w:cs="楷体_GB2312"/>
                <w:b/>
                <w:bCs/>
                <w:color w:val="auto"/>
                <w:sz w:val="24"/>
                <w:highlight w:val="none"/>
              </w:rPr>
            </w:pPr>
          </w:p>
        </w:tc>
        <w:tc>
          <w:tcPr>
            <w:tcW w:w="699" w:type="dxa"/>
            <w:vAlign w:val="center"/>
          </w:tcPr>
          <w:p w14:paraId="69E383B3">
            <w:pPr>
              <w:autoSpaceDE w:val="0"/>
              <w:autoSpaceDN w:val="0"/>
              <w:adjustRightInd w:val="0"/>
              <w:snapToGrid w:val="0"/>
              <w:spacing w:line="240" w:lineRule="auto"/>
              <w:ind w:left="-134" w:leftChars="-64" w:right="-88" w:rightChars="-42"/>
              <w:jc w:val="center"/>
              <w:rPr>
                <w:rFonts w:ascii="宋体" w:hAnsi="宋体" w:cs="楷体_GB2312"/>
                <w:b/>
                <w:bCs/>
                <w:color w:val="auto"/>
                <w:szCs w:val="21"/>
                <w:highlight w:val="none"/>
              </w:rPr>
            </w:pPr>
            <w:r>
              <w:rPr>
                <w:rFonts w:ascii="宋体" w:hAnsi="宋体" w:cs="楷体_GB2312"/>
                <w:b/>
                <w:bCs/>
                <w:color w:val="auto"/>
                <w:szCs w:val="21"/>
                <w:highlight w:val="none"/>
              </w:rPr>
              <w:t>2.2.1</w:t>
            </w:r>
          </w:p>
        </w:tc>
        <w:tc>
          <w:tcPr>
            <w:tcW w:w="2386" w:type="dxa"/>
            <w:vAlign w:val="center"/>
          </w:tcPr>
          <w:p w14:paraId="6ACDB55A">
            <w:pPr>
              <w:autoSpaceDE w:val="0"/>
              <w:autoSpaceDN w:val="0"/>
              <w:adjustRightInd w:val="0"/>
              <w:snapToGrid w:val="0"/>
              <w:spacing w:line="240" w:lineRule="auto"/>
              <w:ind w:right="-178" w:rightChars="-85"/>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投标人提出问题的截止时间</w:t>
            </w:r>
          </w:p>
        </w:tc>
        <w:tc>
          <w:tcPr>
            <w:tcW w:w="6165" w:type="dxa"/>
            <w:vAlign w:val="center"/>
          </w:tcPr>
          <w:p w14:paraId="6300A42A">
            <w:pPr>
              <w:autoSpaceDE w:val="0"/>
              <w:autoSpaceDN w:val="0"/>
              <w:adjustRightInd w:val="0"/>
              <w:snapToGrid w:val="0"/>
              <w:spacing w:before="156" w:beforeLines="50" w:line="240" w:lineRule="auto"/>
              <w:rPr>
                <w:rFonts w:ascii="宋体" w:hAnsi="宋体" w:cs="楷体_GB2312"/>
                <w:color w:val="auto"/>
                <w:sz w:val="24"/>
                <w:highlight w:val="none"/>
                <w:lang w:val="zh-CN"/>
              </w:rPr>
            </w:pPr>
            <w:r>
              <w:rPr>
                <w:rFonts w:hint="eastAsia" w:ascii="宋体" w:hAnsi="宋体" w:cs="楷体_GB2312"/>
                <w:color w:val="auto"/>
                <w:sz w:val="24"/>
                <w:highlight w:val="none"/>
                <w:lang w:val="zh-CN"/>
              </w:rPr>
              <w:t>公告期结束或获取招标文件</w:t>
            </w:r>
            <w:r>
              <w:rPr>
                <w:rFonts w:ascii="宋体" w:hAnsi="宋体" w:cs="楷体_GB2312"/>
                <w:color w:val="auto"/>
                <w:sz w:val="24"/>
                <w:highlight w:val="none"/>
                <w:lang w:val="zh-CN"/>
              </w:rPr>
              <w:t>7</w:t>
            </w:r>
            <w:r>
              <w:rPr>
                <w:rFonts w:hint="eastAsia" w:ascii="宋体" w:hAnsi="宋体" w:cs="楷体_GB2312"/>
                <w:color w:val="auto"/>
                <w:sz w:val="24"/>
                <w:highlight w:val="none"/>
                <w:lang w:val="zh-CN"/>
              </w:rPr>
              <w:t>个工作日内。</w:t>
            </w:r>
          </w:p>
        </w:tc>
      </w:tr>
      <w:tr w14:paraId="2667A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03" w:type="dxa"/>
            <w:vMerge w:val="continue"/>
          </w:tcPr>
          <w:p w14:paraId="0533C384">
            <w:pPr>
              <w:autoSpaceDE w:val="0"/>
              <w:autoSpaceDN w:val="0"/>
              <w:adjustRightInd w:val="0"/>
              <w:snapToGrid w:val="0"/>
              <w:spacing w:line="240" w:lineRule="auto"/>
              <w:jc w:val="center"/>
              <w:rPr>
                <w:rFonts w:ascii="宋体" w:cs="楷体_GB2312"/>
                <w:b/>
                <w:bCs/>
                <w:color w:val="auto"/>
                <w:sz w:val="24"/>
                <w:highlight w:val="none"/>
              </w:rPr>
            </w:pPr>
          </w:p>
        </w:tc>
        <w:tc>
          <w:tcPr>
            <w:tcW w:w="699" w:type="dxa"/>
            <w:vAlign w:val="center"/>
          </w:tcPr>
          <w:p w14:paraId="6C93AE8B">
            <w:pPr>
              <w:autoSpaceDE w:val="0"/>
              <w:autoSpaceDN w:val="0"/>
              <w:adjustRightInd w:val="0"/>
              <w:snapToGrid w:val="0"/>
              <w:spacing w:line="240" w:lineRule="auto"/>
              <w:ind w:left="-134" w:leftChars="-64" w:right="-88" w:rightChars="-42"/>
              <w:jc w:val="center"/>
              <w:rPr>
                <w:rFonts w:ascii="宋体" w:hAnsi="宋体" w:cs="楷体_GB2312"/>
                <w:b/>
                <w:bCs/>
                <w:color w:val="auto"/>
                <w:szCs w:val="21"/>
                <w:highlight w:val="none"/>
              </w:rPr>
            </w:pPr>
            <w:r>
              <w:rPr>
                <w:rFonts w:ascii="宋体" w:hAnsi="宋体" w:cs="楷体_GB2312"/>
                <w:b/>
                <w:bCs/>
                <w:color w:val="auto"/>
                <w:szCs w:val="21"/>
                <w:highlight w:val="none"/>
              </w:rPr>
              <w:t>2.</w:t>
            </w:r>
            <w:r>
              <w:rPr>
                <w:rFonts w:hint="eastAsia" w:ascii="宋体" w:hAnsi="宋体" w:cs="楷体_GB2312"/>
                <w:b/>
                <w:bCs/>
                <w:color w:val="auto"/>
                <w:szCs w:val="21"/>
                <w:highlight w:val="none"/>
              </w:rPr>
              <w:t>4</w:t>
            </w:r>
          </w:p>
        </w:tc>
        <w:tc>
          <w:tcPr>
            <w:tcW w:w="2386" w:type="dxa"/>
            <w:vAlign w:val="center"/>
          </w:tcPr>
          <w:p w14:paraId="2152951B">
            <w:pPr>
              <w:autoSpaceDE w:val="0"/>
              <w:autoSpaceDN w:val="0"/>
              <w:adjustRightInd w:val="0"/>
              <w:snapToGrid w:val="0"/>
              <w:spacing w:line="240" w:lineRule="auto"/>
              <w:ind w:left="-126" w:leftChars="-60" w:right="-36" w:rightChars="-17"/>
              <w:jc w:val="center"/>
              <w:rPr>
                <w:rFonts w:ascii="宋体" w:cs="楷体_GB2312"/>
                <w:b/>
                <w:bCs/>
                <w:color w:val="auto"/>
                <w:szCs w:val="21"/>
                <w:highlight w:val="none"/>
                <w:lang w:val="zh-CN"/>
              </w:rPr>
            </w:pPr>
            <w:r>
              <w:rPr>
                <w:rFonts w:hint="eastAsia" w:ascii="宋体" w:hAnsi="宋体" w:cs="楷体_GB2312"/>
                <w:b/>
                <w:bCs/>
                <w:color w:val="auto"/>
                <w:szCs w:val="21"/>
                <w:highlight w:val="none"/>
                <w:lang w:val="zh-CN"/>
              </w:rPr>
              <w:t>招标文件的澄清修改补充告知方式</w:t>
            </w:r>
          </w:p>
        </w:tc>
        <w:tc>
          <w:tcPr>
            <w:tcW w:w="6165" w:type="dxa"/>
            <w:vAlign w:val="center"/>
          </w:tcPr>
          <w:p w14:paraId="3982E7BD">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见“第三章</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投标人须知”</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相应条款</w:t>
            </w:r>
          </w:p>
        </w:tc>
      </w:tr>
      <w:tr w14:paraId="303DE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03" w:type="dxa"/>
            <w:vMerge w:val="continue"/>
          </w:tcPr>
          <w:p w14:paraId="539646BE">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vAlign w:val="center"/>
          </w:tcPr>
          <w:p w14:paraId="2E0648DA">
            <w:pPr>
              <w:autoSpaceDE w:val="0"/>
              <w:autoSpaceDN w:val="0"/>
              <w:adjustRightInd w:val="0"/>
              <w:snapToGrid w:val="0"/>
              <w:spacing w:line="240" w:lineRule="auto"/>
              <w:ind w:right="-88" w:rightChars="-42"/>
              <w:jc w:val="center"/>
              <w:rPr>
                <w:rFonts w:ascii="宋体" w:hAnsi="宋体" w:cs="楷体_GB2312"/>
                <w:b/>
                <w:bCs/>
                <w:color w:val="auto"/>
                <w:szCs w:val="21"/>
                <w:highlight w:val="none"/>
                <w:lang w:val="zh-CN"/>
              </w:rPr>
            </w:pPr>
            <w:r>
              <w:rPr>
                <w:rFonts w:ascii="宋体" w:hAnsi="宋体" w:cs="楷体_GB2312"/>
                <w:b/>
                <w:bCs/>
                <w:color w:val="auto"/>
                <w:szCs w:val="21"/>
                <w:highlight w:val="none"/>
                <w:lang w:val="zh-CN"/>
              </w:rPr>
              <w:t>2.</w:t>
            </w:r>
            <w:r>
              <w:rPr>
                <w:rFonts w:hint="eastAsia" w:ascii="宋体" w:hAnsi="宋体" w:cs="楷体_GB2312"/>
                <w:b/>
                <w:bCs/>
                <w:color w:val="auto"/>
                <w:szCs w:val="21"/>
                <w:highlight w:val="none"/>
                <w:lang w:val="zh-CN"/>
              </w:rPr>
              <w:t>4</w:t>
            </w:r>
          </w:p>
        </w:tc>
        <w:tc>
          <w:tcPr>
            <w:tcW w:w="2386" w:type="dxa"/>
            <w:vAlign w:val="center"/>
          </w:tcPr>
          <w:p w14:paraId="1CB18943">
            <w:pPr>
              <w:autoSpaceDE w:val="0"/>
              <w:autoSpaceDN w:val="0"/>
              <w:adjustRightInd w:val="0"/>
              <w:snapToGrid w:val="0"/>
              <w:spacing w:line="240" w:lineRule="auto"/>
              <w:ind w:right="-178" w:rightChars="-85"/>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招标文件澄清修改补充时间</w:t>
            </w:r>
          </w:p>
        </w:tc>
        <w:tc>
          <w:tcPr>
            <w:tcW w:w="6165" w:type="dxa"/>
            <w:vAlign w:val="center"/>
          </w:tcPr>
          <w:p w14:paraId="50F42DB6">
            <w:pPr>
              <w:autoSpaceDE w:val="0"/>
              <w:autoSpaceDN w:val="0"/>
              <w:adjustRightInd w:val="0"/>
              <w:snapToGrid w:val="0"/>
              <w:spacing w:before="156" w:beforeLines="50" w:line="240" w:lineRule="auto"/>
              <w:rPr>
                <w:rFonts w:ascii="宋体" w:hAnsi="宋体" w:cs="楷体_GB2312"/>
                <w:color w:val="auto"/>
                <w:sz w:val="24"/>
                <w:highlight w:val="none"/>
                <w:lang w:val="zh-CN"/>
              </w:rPr>
            </w:pPr>
            <w:r>
              <w:rPr>
                <w:rFonts w:hint="eastAsia" w:ascii="宋体" w:hAnsi="宋体" w:cs="楷体_GB2312"/>
                <w:color w:val="auto"/>
                <w:sz w:val="24"/>
                <w:highlight w:val="none"/>
                <w:lang w:val="zh-CN"/>
              </w:rPr>
              <w:t>投标截止时间</w:t>
            </w:r>
            <w:r>
              <w:rPr>
                <w:rFonts w:ascii="宋体" w:hAnsi="宋体" w:cs="楷体_GB2312"/>
                <w:color w:val="auto"/>
                <w:sz w:val="24"/>
                <w:highlight w:val="none"/>
              </w:rPr>
              <w:t>15</w:t>
            </w:r>
            <w:r>
              <w:rPr>
                <w:rFonts w:hint="eastAsia" w:ascii="宋体" w:hAnsi="宋体" w:cs="楷体_GB2312"/>
                <w:color w:val="auto"/>
                <w:sz w:val="24"/>
                <w:highlight w:val="none"/>
                <w:lang w:val="zh-CN"/>
              </w:rPr>
              <w:t>日前。</w:t>
            </w:r>
          </w:p>
        </w:tc>
      </w:tr>
      <w:tr w14:paraId="08F25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503" w:type="dxa"/>
            <w:vMerge w:val="continue"/>
          </w:tcPr>
          <w:p w14:paraId="4D14A363">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vAlign w:val="center"/>
          </w:tcPr>
          <w:p w14:paraId="50C166AA">
            <w:pPr>
              <w:autoSpaceDE w:val="0"/>
              <w:autoSpaceDN w:val="0"/>
              <w:adjustRightInd w:val="0"/>
              <w:snapToGrid w:val="0"/>
              <w:spacing w:line="240" w:lineRule="auto"/>
              <w:ind w:right="-88" w:rightChars="-42"/>
              <w:jc w:val="center"/>
              <w:rPr>
                <w:rFonts w:ascii="宋体" w:cs="楷体_GB2312"/>
                <w:b/>
                <w:bCs/>
                <w:color w:val="auto"/>
                <w:szCs w:val="21"/>
                <w:highlight w:val="none"/>
                <w:lang w:val="zh-CN"/>
              </w:rPr>
            </w:pPr>
            <w:r>
              <w:rPr>
                <w:rFonts w:ascii="宋体" w:hAnsi="宋体" w:cs="楷体_GB2312"/>
                <w:b/>
                <w:bCs/>
                <w:color w:val="auto"/>
                <w:szCs w:val="21"/>
                <w:highlight w:val="none"/>
                <w:lang w:val="zh-CN"/>
              </w:rPr>
              <w:t>3.2</w:t>
            </w:r>
          </w:p>
        </w:tc>
        <w:tc>
          <w:tcPr>
            <w:tcW w:w="2386" w:type="dxa"/>
            <w:vAlign w:val="center"/>
          </w:tcPr>
          <w:p w14:paraId="19E3358F">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构成投标文件的其他材料</w:t>
            </w:r>
          </w:p>
        </w:tc>
        <w:tc>
          <w:tcPr>
            <w:tcW w:w="6165" w:type="dxa"/>
            <w:vAlign w:val="center"/>
          </w:tcPr>
          <w:p w14:paraId="732E6DB1">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见“第三章</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投标人须知”</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相应条款</w:t>
            </w:r>
          </w:p>
        </w:tc>
      </w:tr>
      <w:tr w14:paraId="511CF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503" w:type="dxa"/>
            <w:vMerge w:val="restart"/>
          </w:tcPr>
          <w:p w14:paraId="4785975D">
            <w:pPr>
              <w:autoSpaceDE w:val="0"/>
              <w:autoSpaceDN w:val="0"/>
              <w:adjustRightInd w:val="0"/>
              <w:snapToGrid w:val="0"/>
              <w:spacing w:line="240" w:lineRule="auto"/>
              <w:jc w:val="center"/>
              <w:rPr>
                <w:rFonts w:ascii="宋体" w:hAnsi="宋体" w:cs="楷体_GB2312"/>
                <w:b/>
                <w:bCs/>
                <w:color w:val="auto"/>
                <w:sz w:val="24"/>
                <w:highlight w:val="none"/>
                <w:lang w:val="zh-CN"/>
              </w:rPr>
            </w:pPr>
            <w:r>
              <w:rPr>
                <w:rFonts w:hint="eastAsia" w:ascii="宋体" w:hAnsi="宋体" w:cs="楷体_GB2312"/>
                <w:b/>
                <w:bCs/>
                <w:color w:val="auto"/>
                <w:sz w:val="24"/>
                <w:highlight w:val="none"/>
                <w:lang w:val="zh-CN"/>
              </w:rPr>
              <w:t>第三章</w:t>
            </w:r>
          </w:p>
          <w:p w14:paraId="41294C9E">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vAlign w:val="center"/>
          </w:tcPr>
          <w:p w14:paraId="242951D3">
            <w:pPr>
              <w:autoSpaceDE w:val="0"/>
              <w:autoSpaceDN w:val="0"/>
              <w:adjustRightInd w:val="0"/>
              <w:snapToGrid w:val="0"/>
              <w:spacing w:line="240" w:lineRule="auto"/>
              <w:ind w:right="-88" w:rightChars="-42"/>
              <w:jc w:val="center"/>
              <w:rPr>
                <w:rFonts w:ascii="宋体" w:cs="楷体_GB2312"/>
                <w:b/>
                <w:bCs/>
                <w:color w:val="auto"/>
                <w:szCs w:val="21"/>
                <w:highlight w:val="none"/>
                <w:lang w:val="zh-CN"/>
              </w:rPr>
            </w:pPr>
            <w:r>
              <w:rPr>
                <w:rFonts w:ascii="宋体" w:hAnsi="宋体" w:cs="楷体_GB2312"/>
                <w:b/>
                <w:bCs/>
                <w:color w:val="auto"/>
                <w:szCs w:val="21"/>
                <w:highlight w:val="none"/>
                <w:lang w:val="zh-CN"/>
              </w:rPr>
              <w:t>3.4.1</w:t>
            </w:r>
          </w:p>
        </w:tc>
        <w:tc>
          <w:tcPr>
            <w:tcW w:w="2386" w:type="dxa"/>
            <w:vAlign w:val="center"/>
          </w:tcPr>
          <w:p w14:paraId="2518C32B">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投标有效期</w:t>
            </w:r>
          </w:p>
        </w:tc>
        <w:tc>
          <w:tcPr>
            <w:tcW w:w="6165" w:type="dxa"/>
            <w:vAlign w:val="center"/>
          </w:tcPr>
          <w:p w14:paraId="00E6965F">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从开标之日起，投标有效期为</w:t>
            </w:r>
            <w:r>
              <w:rPr>
                <w:rFonts w:ascii="宋体" w:hAnsi="宋体" w:cs="楷体_GB2312"/>
                <w:color w:val="auto"/>
                <w:sz w:val="24"/>
                <w:highlight w:val="none"/>
                <w:lang w:val="zh-CN"/>
              </w:rPr>
              <w:t>90</w:t>
            </w:r>
            <w:r>
              <w:rPr>
                <w:rFonts w:hint="eastAsia" w:ascii="宋体" w:hAnsi="宋体" w:cs="楷体_GB2312"/>
                <w:color w:val="auto"/>
                <w:sz w:val="24"/>
                <w:highlight w:val="none"/>
                <w:lang w:val="zh-CN"/>
              </w:rPr>
              <w:t>日历天</w:t>
            </w:r>
          </w:p>
        </w:tc>
      </w:tr>
      <w:tr w14:paraId="1FDC0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503" w:type="dxa"/>
            <w:vMerge w:val="continue"/>
          </w:tcPr>
          <w:p w14:paraId="3B48C36F">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vAlign w:val="center"/>
          </w:tcPr>
          <w:p w14:paraId="45098680">
            <w:pPr>
              <w:autoSpaceDE w:val="0"/>
              <w:autoSpaceDN w:val="0"/>
              <w:adjustRightInd w:val="0"/>
              <w:snapToGrid w:val="0"/>
              <w:spacing w:line="240" w:lineRule="auto"/>
              <w:ind w:right="-88" w:rightChars="-42"/>
              <w:jc w:val="center"/>
              <w:rPr>
                <w:rFonts w:ascii="宋体" w:cs="楷体_GB2312"/>
                <w:b/>
                <w:bCs/>
                <w:color w:val="auto"/>
                <w:szCs w:val="21"/>
                <w:highlight w:val="none"/>
                <w:lang w:val="zh-CN"/>
              </w:rPr>
            </w:pPr>
            <w:r>
              <w:rPr>
                <w:rFonts w:ascii="宋体" w:hAnsi="宋体" w:cs="楷体_GB2312"/>
                <w:b/>
                <w:bCs/>
                <w:color w:val="auto"/>
                <w:szCs w:val="21"/>
                <w:highlight w:val="none"/>
                <w:lang w:val="zh-CN"/>
              </w:rPr>
              <w:t>3.5</w:t>
            </w:r>
          </w:p>
        </w:tc>
        <w:tc>
          <w:tcPr>
            <w:tcW w:w="2386" w:type="dxa"/>
            <w:vAlign w:val="center"/>
          </w:tcPr>
          <w:p w14:paraId="5BF71015">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cs="楷体_GB2312"/>
                <w:b/>
                <w:bCs/>
                <w:color w:val="auto"/>
                <w:sz w:val="24"/>
                <w:highlight w:val="none"/>
                <w:lang w:val="zh-CN"/>
              </w:rPr>
              <w:t>投标承诺函</w:t>
            </w:r>
          </w:p>
          <w:p w14:paraId="09080820">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cs="楷体_GB2312"/>
                <w:b/>
                <w:bCs/>
                <w:color w:val="auto"/>
                <w:sz w:val="24"/>
                <w:highlight w:val="none"/>
                <w:lang w:val="zh-CN"/>
              </w:rPr>
              <w:t>（替代投标保证金）</w:t>
            </w:r>
          </w:p>
        </w:tc>
        <w:tc>
          <w:tcPr>
            <w:tcW w:w="6165" w:type="dxa"/>
            <w:vAlign w:val="center"/>
          </w:tcPr>
          <w:p w14:paraId="15210862">
            <w:pPr>
              <w:widowControl w:val="0"/>
              <w:snapToGrid w:val="0"/>
              <w:spacing w:before="156" w:beforeLines="50" w:line="240" w:lineRule="auto"/>
              <w:rPr>
                <w:color w:val="auto"/>
                <w:sz w:val="24"/>
                <w:szCs w:val="24"/>
                <w:highlight w:val="none"/>
              </w:rPr>
            </w:pPr>
            <w:r>
              <w:rPr>
                <w:rFonts w:hint="eastAsia"/>
                <w:color w:val="auto"/>
                <w:sz w:val="24"/>
                <w:szCs w:val="24"/>
                <w:highlight w:val="none"/>
              </w:rPr>
              <w:t>以投标承诺函形式替代投标保证金。</w:t>
            </w:r>
          </w:p>
          <w:p w14:paraId="126F8F8F">
            <w:pPr>
              <w:pStyle w:val="57"/>
              <w:snapToGrid w:val="0"/>
              <w:spacing w:before="156" w:beforeLines="50" w:beforeAutospacing="0" w:after="0" w:afterAutospacing="0"/>
              <w:jc w:val="both"/>
              <w:rPr>
                <w:color w:val="auto"/>
                <w:sz w:val="24"/>
                <w:szCs w:val="24"/>
                <w:highlight w:val="none"/>
              </w:rPr>
            </w:pPr>
            <w:r>
              <w:rPr>
                <w:rFonts w:hint="eastAsia"/>
                <w:color w:val="auto"/>
                <w:sz w:val="24"/>
                <w:szCs w:val="24"/>
                <w:highlight w:val="none"/>
              </w:rPr>
              <w:t>供应商应按附件格式进行投标承诺、违背承诺的责任追究。</w:t>
            </w:r>
          </w:p>
        </w:tc>
      </w:tr>
      <w:tr w14:paraId="7DF8E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03" w:type="dxa"/>
            <w:vMerge w:val="continue"/>
          </w:tcPr>
          <w:p w14:paraId="5DE242D6">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vAlign w:val="center"/>
          </w:tcPr>
          <w:p w14:paraId="7D15D4A4">
            <w:pPr>
              <w:autoSpaceDE w:val="0"/>
              <w:autoSpaceDN w:val="0"/>
              <w:adjustRightInd w:val="0"/>
              <w:snapToGrid w:val="0"/>
              <w:spacing w:line="240" w:lineRule="auto"/>
              <w:ind w:right="-88" w:rightChars="-42"/>
              <w:jc w:val="center"/>
              <w:rPr>
                <w:rFonts w:ascii="宋体" w:cs="楷体_GB2312"/>
                <w:b/>
                <w:bCs/>
                <w:color w:val="auto"/>
                <w:szCs w:val="21"/>
                <w:highlight w:val="none"/>
                <w:lang w:val="zh-CN"/>
              </w:rPr>
            </w:pPr>
            <w:r>
              <w:rPr>
                <w:rFonts w:ascii="宋体" w:hAnsi="宋体" w:cs="楷体_GB2312"/>
                <w:b/>
                <w:bCs/>
                <w:color w:val="auto"/>
                <w:szCs w:val="21"/>
                <w:highlight w:val="none"/>
                <w:lang w:val="zh-CN"/>
              </w:rPr>
              <w:t>3.7.3</w:t>
            </w:r>
          </w:p>
        </w:tc>
        <w:tc>
          <w:tcPr>
            <w:tcW w:w="2386" w:type="dxa"/>
            <w:vAlign w:val="center"/>
          </w:tcPr>
          <w:p w14:paraId="345E0C93">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偏差描述</w:t>
            </w:r>
          </w:p>
        </w:tc>
        <w:tc>
          <w:tcPr>
            <w:tcW w:w="6165" w:type="dxa"/>
            <w:vAlign w:val="center"/>
          </w:tcPr>
          <w:p w14:paraId="514FD8BD">
            <w:pPr>
              <w:widowControl w:val="0"/>
              <w:snapToGrid w:val="0"/>
              <w:spacing w:before="156" w:beforeLines="50" w:line="240" w:lineRule="auto"/>
              <w:rPr>
                <w:b/>
                <w:color w:val="auto"/>
                <w:sz w:val="24"/>
                <w:szCs w:val="24"/>
                <w:highlight w:val="none"/>
              </w:rPr>
            </w:pPr>
            <w:r>
              <w:rPr>
                <w:rFonts w:hint="eastAsia" w:ascii="宋体" w:hAnsi="宋体" w:cs="楷体_GB2312"/>
                <w:color w:val="auto"/>
                <w:sz w:val="24"/>
                <w:highlight w:val="none"/>
                <w:lang w:val="zh-CN"/>
              </w:rPr>
              <w:t>见“第三章</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投标人须知”</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相应条款</w:t>
            </w:r>
          </w:p>
        </w:tc>
      </w:tr>
      <w:tr w14:paraId="14213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503" w:type="dxa"/>
            <w:vMerge w:val="continue"/>
          </w:tcPr>
          <w:p w14:paraId="27F7E5D9">
            <w:pPr>
              <w:autoSpaceDE w:val="0"/>
              <w:autoSpaceDN w:val="0"/>
              <w:adjustRightInd w:val="0"/>
              <w:snapToGrid w:val="0"/>
              <w:spacing w:line="240" w:lineRule="auto"/>
              <w:jc w:val="center"/>
              <w:rPr>
                <w:rFonts w:ascii="宋体" w:cs="楷体_GB2312"/>
                <w:b/>
                <w:bCs/>
                <w:color w:val="auto"/>
                <w:sz w:val="24"/>
                <w:highlight w:val="none"/>
              </w:rPr>
            </w:pPr>
          </w:p>
        </w:tc>
        <w:tc>
          <w:tcPr>
            <w:tcW w:w="699" w:type="dxa"/>
            <w:vAlign w:val="center"/>
          </w:tcPr>
          <w:p w14:paraId="2858C3B9">
            <w:pPr>
              <w:autoSpaceDE w:val="0"/>
              <w:autoSpaceDN w:val="0"/>
              <w:adjustRightInd w:val="0"/>
              <w:snapToGrid w:val="0"/>
              <w:spacing w:line="240" w:lineRule="auto"/>
              <w:ind w:left="-134" w:leftChars="-64" w:right="-88" w:rightChars="-42"/>
              <w:jc w:val="center"/>
              <w:rPr>
                <w:rFonts w:ascii="宋体" w:cs="楷体_GB2312"/>
                <w:b/>
                <w:bCs/>
                <w:color w:val="auto"/>
                <w:szCs w:val="21"/>
                <w:highlight w:val="none"/>
                <w:lang w:val="zh-CN"/>
              </w:rPr>
            </w:pPr>
            <w:r>
              <w:rPr>
                <w:rFonts w:ascii="宋体" w:hAnsi="宋体" w:cs="楷体_GB2312"/>
                <w:b/>
                <w:bCs/>
                <w:color w:val="auto"/>
                <w:szCs w:val="21"/>
                <w:highlight w:val="none"/>
              </w:rPr>
              <w:t>3.7.</w:t>
            </w:r>
            <w:r>
              <w:rPr>
                <w:rFonts w:hint="eastAsia" w:ascii="宋体" w:hAnsi="宋体" w:cs="楷体_GB2312"/>
                <w:b/>
                <w:bCs/>
                <w:color w:val="auto"/>
                <w:szCs w:val="21"/>
                <w:highlight w:val="none"/>
              </w:rPr>
              <w:t>4</w:t>
            </w:r>
          </w:p>
        </w:tc>
        <w:tc>
          <w:tcPr>
            <w:tcW w:w="2386" w:type="dxa"/>
            <w:vAlign w:val="center"/>
          </w:tcPr>
          <w:p w14:paraId="17A77E1C">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签字或盖章要求</w:t>
            </w:r>
          </w:p>
        </w:tc>
        <w:tc>
          <w:tcPr>
            <w:tcW w:w="6165" w:type="dxa"/>
            <w:vAlign w:val="center"/>
          </w:tcPr>
          <w:p w14:paraId="15978D50">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见“第三章</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投标人须知”</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相应条款</w:t>
            </w:r>
          </w:p>
        </w:tc>
      </w:tr>
      <w:tr w14:paraId="7E733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503" w:type="dxa"/>
            <w:vMerge w:val="continue"/>
          </w:tcPr>
          <w:p w14:paraId="23186FE1">
            <w:pPr>
              <w:autoSpaceDE w:val="0"/>
              <w:autoSpaceDN w:val="0"/>
              <w:adjustRightInd w:val="0"/>
              <w:snapToGrid w:val="0"/>
              <w:spacing w:line="240" w:lineRule="auto"/>
              <w:jc w:val="center"/>
              <w:rPr>
                <w:rFonts w:ascii="宋体" w:cs="楷体_GB2312"/>
                <w:b/>
                <w:bCs/>
                <w:color w:val="auto"/>
                <w:sz w:val="24"/>
                <w:highlight w:val="none"/>
              </w:rPr>
            </w:pPr>
          </w:p>
        </w:tc>
        <w:tc>
          <w:tcPr>
            <w:tcW w:w="699" w:type="dxa"/>
            <w:vAlign w:val="center"/>
          </w:tcPr>
          <w:p w14:paraId="10D6EA73">
            <w:pPr>
              <w:autoSpaceDE w:val="0"/>
              <w:autoSpaceDN w:val="0"/>
              <w:adjustRightInd w:val="0"/>
              <w:snapToGrid w:val="0"/>
              <w:spacing w:line="240" w:lineRule="auto"/>
              <w:ind w:left="-134" w:leftChars="-64" w:right="-88" w:rightChars="-42"/>
              <w:jc w:val="center"/>
              <w:rPr>
                <w:rFonts w:ascii="宋体" w:cs="楷体_GB2312"/>
                <w:b/>
                <w:bCs/>
                <w:color w:val="auto"/>
                <w:szCs w:val="21"/>
                <w:highlight w:val="none"/>
                <w:lang w:val="zh-CN"/>
              </w:rPr>
            </w:pPr>
            <w:r>
              <w:rPr>
                <w:rFonts w:ascii="宋体" w:hAnsi="宋体" w:cs="楷体_GB2312"/>
                <w:b/>
                <w:bCs/>
                <w:color w:val="auto"/>
                <w:szCs w:val="21"/>
                <w:highlight w:val="none"/>
              </w:rPr>
              <w:t>4.2.</w:t>
            </w:r>
            <w:r>
              <w:rPr>
                <w:rFonts w:hint="eastAsia" w:ascii="宋体" w:hAnsi="宋体" w:cs="楷体_GB2312"/>
                <w:b/>
                <w:bCs/>
                <w:color w:val="auto"/>
                <w:szCs w:val="21"/>
                <w:highlight w:val="none"/>
              </w:rPr>
              <w:t>4</w:t>
            </w:r>
          </w:p>
        </w:tc>
        <w:tc>
          <w:tcPr>
            <w:tcW w:w="2386" w:type="dxa"/>
            <w:vAlign w:val="center"/>
          </w:tcPr>
          <w:p w14:paraId="0CF1BC2B">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是否退还投标文件</w:t>
            </w:r>
          </w:p>
        </w:tc>
        <w:tc>
          <w:tcPr>
            <w:tcW w:w="6165" w:type="dxa"/>
            <w:vAlign w:val="center"/>
          </w:tcPr>
          <w:p w14:paraId="052A1891">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否</w:t>
            </w:r>
          </w:p>
        </w:tc>
      </w:tr>
      <w:tr w14:paraId="506F9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503" w:type="dxa"/>
            <w:vMerge w:val="continue"/>
          </w:tcPr>
          <w:p w14:paraId="0BC8BA17">
            <w:pPr>
              <w:autoSpaceDE w:val="0"/>
              <w:autoSpaceDN w:val="0"/>
              <w:adjustRightInd w:val="0"/>
              <w:snapToGrid w:val="0"/>
              <w:spacing w:line="240" w:lineRule="auto"/>
              <w:jc w:val="center"/>
              <w:rPr>
                <w:rFonts w:ascii="宋体" w:cs="楷体_GB2312"/>
                <w:b/>
                <w:bCs/>
                <w:color w:val="auto"/>
                <w:sz w:val="24"/>
                <w:highlight w:val="none"/>
              </w:rPr>
            </w:pPr>
          </w:p>
        </w:tc>
        <w:tc>
          <w:tcPr>
            <w:tcW w:w="699" w:type="dxa"/>
            <w:vAlign w:val="center"/>
          </w:tcPr>
          <w:p w14:paraId="359C3325">
            <w:pPr>
              <w:autoSpaceDE w:val="0"/>
              <w:autoSpaceDN w:val="0"/>
              <w:adjustRightInd w:val="0"/>
              <w:snapToGrid w:val="0"/>
              <w:spacing w:line="240" w:lineRule="auto"/>
              <w:ind w:left="-134" w:leftChars="-64" w:right="-88" w:rightChars="-42"/>
              <w:jc w:val="center"/>
              <w:rPr>
                <w:rFonts w:ascii="宋体" w:cs="楷体_GB2312"/>
                <w:b/>
                <w:bCs/>
                <w:color w:val="auto"/>
                <w:szCs w:val="21"/>
                <w:highlight w:val="none"/>
                <w:lang w:val="zh-CN"/>
              </w:rPr>
            </w:pPr>
            <w:r>
              <w:rPr>
                <w:rFonts w:ascii="宋体" w:hAnsi="宋体" w:cs="楷体_GB2312"/>
                <w:b/>
                <w:bCs/>
                <w:color w:val="auto"/>
                <w:szCs w:val="21"/>
                <w:highlight w:val="none"/>
              </w:rPr>
              <w:t>7.1</w:t>
            </w:r>
          </w:p>
        </w:tc>
        <w:tc>
          <w:tcPr>
            <w:tcW w:w="2386" w:type="dxa"/>
            <w:vAlign w:val="center"/>
          </w:tcPr>
          <w:p w14:paraId="449568B3">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评标委员会的组建</w:t>
            </w:r>
          </w:p>
        </w:tc>
        <w:tc>
          <w:tcPr>
            <w:tcW w:w="6165" w:type="dxa"/>
            <w:vAlign w:val="center"/>
          </w:tcPr>
          <w:p w14:paraId="7B508EAE">
            <w:pPr>
              <w:autoSpaceDE w:val="0"/>
              <w:autoSpaceDN w:val="0"/>
              <w:adjustRightInd w:val="0"/>
              <w:snapToGrid w:val="0"/>
              <w:spacing w:before="156"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见“第三章</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投标人须知”</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相应条款</w:t>
            </w:r>
          </w:p>
        </w:tc>
      </w:tr>
      <w:tr w14:paraId="56E48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503" w:type="dxa"/>
            <w:vMerge w:val="restart"/>
          </w:tcPr>
          <w:p w14:paraId="4D18E052">
            <w:pPr>
              <w:autoSpaceDE w:val="0"/>
              <w:autoSpaceDN w:val="0"/>
              <w:adjustRightInd w:val="0"/>
              <w:snapToGrid w:val="0"/>
              <w:spacing w:line="240" w:lineRule="auto"/>
              <w:jc w:val="center"/>
              <w:rPr>
                <w:rFonts w:ascii="宋体" w:cs="楷体_GB2312"/>
                <w:b/>
                <w:bCs/>
                <w:color w:val="auto"/>
                <w:sz w:val="24"/>
                <w:highlight w:val="none"/>
              </w:rPr>
            </w:pPr>
            <w:r>
              <w:rPr>
                <w:rFonts w:hint="eastAsia" w:ascii="宋体" w:hAnsi="宋体" w:cs="楷体_GB2312"/>
                <w:b/>
                <w:bCs/>
                <w:color w:val="auto"/>
                <w:sz w:val="24"/>
                <w:highlight w:val="none"/>
              </w:rPr>
              <w:t>第三章</w:t>
            </w:r>
          </w:p>
        </w:tc>
        <w:tc>
          <w:tcPr>
            <w:tcW w:w="699" w:type="dxa"/>
            <w:vAlign w:val="center"/>
          </w:tcPr>
          <w:p w14:paraId="1290B9EC">
            <w:pPr>
              <w:autoSpaceDE w:val="0"/>
              <w:autoSpaceDN w:val="0"/>
              <w:adjustRightInd w:val="0"/>
              <w:snapToGrid w:val="0"/>
              <w:spacing w:line="240" w:lineRule="auto"/>
              <w:ind w:left="-134" w:leftChars="-64" w:right="-88" w:rightChars="-42"/>
              <w:jc w:val="center"/>
              <w:rPr>
                <w:rFonts w:ascii="宋体" w:cs="楷体_GB2312"/>
                <w:b/>
                <w:bCs/>
                <w:color w:val="auto"/>
                <w:szCs w:val="21"/>
                <w:highlight w:val="none"/>
              </w:rPr>
            </w:pPr>
            <w:r>
              <w:rPr>
                <w:rFonts w:ascii="宋体" w:hAnsi="宋体" w:cs="楷体_GB2312"/>
                <w:b/>
                <w:bCs/>
                <w:color w:val="auto"/>
                <w:szCs w:val="21"/>
                <w:highlight w:val="none"/>
              </w:rPr>
              <w:t>8.1</w:t>
            </w:r>
          </w:p>
        </w:tc>
        <w:tc>
          <w:tcPr>
            <w:tcW w:w="2386" w:type="dxa"/>
            <w:vAlign w:val="center"/>
          </w:tcPr>
          <w:p w14:paraId="3D6E455E">
            <w:pPr>
              <w:autoSpaceDE w:val="0"/>
              <w:autoSpaceDN w:val="0"/>
              <w:adjustRightInd w:val="0"/>
              <w:snapToGrid w:val="0"/>
              <w:spacing w:line="240" w:lineRule="auto"/>
              <w:jc w:val="center"/>
              <w:rPr>
                <w:rFonts w:ascii="宋体"/>
                <w:b/>
                <w:color w:val="auto"/>
                <w:sz w:val="24"/>
                <w:highlight w:val="none"/>
              </w:rPr>
            </w:pPr>
            <w:r>
              <w:rPr>
                <w:rFonts w:hint="eastAsia" w:ascii="宋体" w:hAnsi="宋体"/>
                <w:b/>
                <w:color w:val="auto"/>
                <w:sz w:val="24"/>
                <w:highlight w:val="none"/>
              </w:rPr>
              <w:t>是否授权评标委员会确定中标人</w:t>
            </w:r>
          </w:p>
        </w:tc>
        <w:tc>
          <w:tcPr>
            <w:tcW w:w="6165" w:type="dxa"/>
            <w:vAlign w:val="center"/>
          </w:tcPr>
          <w:p w14:paraId="48D0B594">
            <w:pPr>
              <w:adjustRightInd w:val="0"/>
              <w:snapToGrid w:val="0"/>
              <w:spacing w:before="156" w:beforeLines="50" w:line="240" w:lineRule="auto"/>
              <w:rPr>
                <w:rFonts w:ascii="宋体" w:hAnsi="宋体"/>
                <w:b/>
                <w:color w:val="auto"/>
                <w:sz w:val="24"/>
                <w:highlight w:val="none"/>
              </w:rPr>
            </w:pPr>
            <w:r>
              <w:rPr>
                <w:rFonts w:hint="eastAsia" w:ascii="宋体" w:hAnsi="宋体"/>
                <w:b/>
                <w:color w:val="auto"/>
                <w:sz w:val="24"/>
                <w:highlight w:val="none"/>
              </w:rPr>
              <w:t>包1综合评分法：</w:t>
            </w:r>
            <w:r>
              <w:rPr>
                <w:rFonts w:hint="eastAsia" w:ascii="宋体" w:hAnsi="宋体"/>
                <w:color w:val="auto"/>
                <w:sz w:val="24"/>
                <w:highlight w:val="none"/>
              </w:rPr>
              <w:t>是。评标委员会按照综合得分由高到低的顺序提出</w:t>
            </w:r>
            <w:r>
              <w:rPr>
                <w:rFonts w:ascii="宋体" w:hAnsi="宋体"/>
                <w:color w:val="auto"/>
                <w:sz w:val="24"/>
                <w:highlight w:val="none"/>
              </w:rPr>
              <w:t>3</w:t>
            </w:r>
            <w:r>
              <w:rPr>
                <w:rFonts w:hint="eastAsia" w:ascii="宋体" w:hAnsi="宋体"/>
                <w:color w:val="auto"/>
                <w:sz w:val="24"/>
                <w:highlight w:val="none"/>
              </w:rPr>
              <w:t>名中标候选人，并确定排名第一的中标候选人为中标人。</w:t>
            </w:r>
          </w:p>
          <w:p w14:paraId="2FD1BD3F">
            <w:pPr>
              <w:adjustRightInd w:val="0"/>
              <w:snapToGrid w:val="0"/>
              <w:spacing w:before="156" w:beforeLines="50" w:line="240" w:lineRule="auto"/>
              <w:rPr>
                <w:rFonts w:ascii="宋体"/>
                <w:color w:val="auto"/>
                <w:sz w:val="24"/>
                <w:highlight w:val="none"/>
              </w:rPr>
            </w:pPr>
            <w:r>
              <w:rPr>
                <w:rFonts w:hint="eastAsia" w:ascii="宋体" w:hAnsi="宋体"/>
                <w:b/>
                <w:color w:val="auto"/>
                <w:sz w:val="24"/>
                <w:highlight w:val="none"/>
              </w:rPr>
              <w:t>包2最低评标价法：</w:t>
            </w:r>
            <w:r>
              <w:rPr>
                <w:rFonts w:hint="eastAsia" w:ascii="宋体" w:hAnsi="宋体"/>
                <w:color w:val="auto"/>
                <w:sz w:val="24"/>
                <w:highlight w:val="none"/>
              </w:rPr>
              <w:t>是。评标委员会按照最终报价由低到高的顺序提出</w:t>
            </w:r>
            <w:r>
              <w:rPr>
                <w:rFonts w:ascii="宋体" w:hAnsi="宋体"/>
                <w:color w:val="auto"/>
                <w:sz w:val="24"/>
                <w:highlight w:val="none"/>
              </w:rPr>
              <w:t>3</w:t>
            </w:r>
            <w:r>
              <w:rPr>
                <w:rFonts w:hint="eastAsia" w:ascii="宋体" w:hAnsi="宋体"/>
                <w:color w:val="auto"/>
                <w:sz w:val="24"/>
                <w:highlight w:val="none"/>
              </w:rPr>
              <w:t>名中标候选人，并确定排名第一的中标候选人为中标人。</w:t>
            </w:r>
          </w:p>
        </w:tc>
      </w:tr>
      <w:tr w14:paraId="37A9C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03" w:type="dxa"/>
            <w:vMerge w:val="continue"/>
          </w:tcPr>
          <w:p w14:paraId="308A6A22">
            <w:pPr>
              <w:autoSpaceDE w:val="0"/>
              <w:autoSpaceDN w:val="0"/>
              <w:adjustRightInd w:val="0"/>
              <w:snapToGrid w:val="0"/>
              <w:spacing w:line="240" w:lineRule="auto"/>
              <w:jc w:val="center"/>
              <w:rPr>
                <w:rFonts w:ascii="宋体" w:cs="楷体_GB2312"/>
                <w:b/>
                <w:bCs/>
                <w:color w:val="auto"/>
                <w:sz w:val="24"/>
                <w:highlight w:val="none"/>
              </w:rPr>
            </w:pPr>
          </w:p>
        </w:tc>
        <w:tc>
          <w:tcPr>
            <w:tcW w:w="699" w:type="dxa"/>
            <w:vAlign w:val="center"/>
          </w:tcPr>
          <w:p w14:paraId="5200A6AF">
            <w:pPr>
              <w:autoSpaceDE w:val="0"/>
              <w:autoSpaceDN w:val="0"/>
              <w:adjustRightInd w:val="0"/>
              <w:snapToGrid w:val="0"/>
              <w:spacing w:line="240" w:lineRule="auto"/>
              <w:jc w:val="center"/>
              <w:rPr>
                <w:rFonts w:ascii="宋体" w:cs="楷体_GB2312"/>
                <w:b/>
                <w:bCs/>
                <w:color w:val="auto"/>
                <w:sz w:val="24"/>
                <w:highlight w:val="none"/>
              </w:rPr>
            </w:pPr>
            <w:r>
              <w:rPr>
                <w:rFonts w:ascii="宋体" w:hAnsi="宋体" w:cs="楷体_GB2312"/>
                <w:b/>
                <w:bCs/>
                <w:color w:val="auto"/>
                <w:sz w:val="24"/>
                <w:highlight w:val="none"/>
              </w:rPr>
              <w:t>8.2</w:t>
            </w:r>
          </w:p>
        </w:tc>
        <w:tc>
          <w:tcPr>
            <w:tcW w:w="2386" w:type="dxa"/>
            <w:vAlign w:val="center"/>
          </w:tcPr>
          <w:p w14:paraId="59B3EFB5">
            <w:pPr>
              <w:autoSpaceDE w:val="0"/>
              <w:autoSpaceDN w:val="0"/>
              <w:adjustRightInd w:val="0"/>
              <w:snapToGrid w:val="0"/>
              <w:spacing w:line="240" w:lineRule="auto"/>
              <w:jc w:val="center"/>
              <w:rPr>
                <w:rFonts w:ascii="宋体"/>
                <w:b/>
                <w:color w:val="auto"/>
                <w:sz w:val="24"/>
                <w:highlight w:val="none"/>
              </w:rPr>
            </w:pPr>
            <w:r>
              <w:rPr>
                <w:rFonts w:hint="eastAsia" w:ascii="宋体" w:hAnsi="宋体"/>
                <w:b/>
                <w:color w:val="auto"/>
                <w:sz w:val="24"/>
                <w:highlight w:val="none"/>
              </w:rPr>
              <w:t>中标结果公告</w:t>
            </w:r>
          </w:p>
        </w:tc>
        <w:tc>
          <w:tcPr>
            <w:tcW w:w="6165" w:type="dxa"/>
            <w:vAlign w:val="center"/>
          </w:tcPr>
          <w:p w14:paraId="39DC2209">
            <w:pPr>
              <w:adjustRightInd w:val="0"/>
              <w:snapToGrid w:val="0"/>
              <w:spacing w:before="156" w:beforeLines="50" w:line="240" w:lineRule="auto"/>
              <w:rPr>
                <w:rFonts w:ascii="宋体" w:hAnsi="宋体"/>
                <w:color w:val="auto"/>
                <w:sz w:val="24"/>
                <w:highlight w:val="none"/>
              </w:rPr>
            </w:pPr>
            <w:r>
              <w:rPr>
                <w:rFonts w:hint="eastAsia" w:ascii="宋体" w:hAnsi="宋体"/>
                <w:color w:val="auto"/>
                <w:sz w:val="24"/>
                <w:highlight w:val="none"/>
              </w:rPr>
              <w:t>本次公开招标的中标结果将在中标人确定当天在招标公告所述媒介公告</w:t>
            </w:r>
            <w:r>
              <w:rPr>
                <w:rFonts w:ascii="宋体" w:hAnsi="宋体"/>
                <w:color w:val="auto"/>
                <w:sz w:val="24"/>
                <w:highlight w:val="none"/>
              </w:rPr>
              <w:t>1</w:t>
            </w:r>
            <w:r>
              <w:rPr>
                <w:rFonts w:hint="eastAsia" w:ascii="宋体" w:hAnsi="宋体"/>
                <w:color w:val="auto"/>
                <w:sz w:val="24"/>
                <w:highlight w:val="none"/>
              </w:rPr>
              <w:t>个工作日。</w:t>
            </w:r>
          </w:p>
        </w:tc>
      </w:tr>
      <w:tr w14:paraId="41A6A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03" w:type="dxa"/>
            <w:vMerge w:val="continue"/>
          </w:tcPr>
          <w:p w14:paraId="28291B1E">
            <w:pPr>
              <w:autoSpaceDE w:val="0"/>
              <w:autoSpaceDN w:val="0"/>
              <w:adjustRightInd w:val="0"/>
              <w:snapToGrid w:val="0"/>
              <w:spacing w:line="240" w:lineRule="auto"/>
              <w:jc w:val="center"/>
              <w:rPr>
                <w:rFonts w:ascii="宋体" w:cs="楷体_GB2312"/>
                <w:b/>
                <w:bCs/>
                <w:color w:val="auto"/>
                <w:sz w:val="24"/>
                <w:highlight w:val="none"/>
              </w:rPr>
            </w:pPr>
          </w:p>
        </w:tc>
        <w:tc>
          <w:tcPr>
            <w:tcW w:w="699" w:type="dxa"/>
            <w:vAlign w:val="center"/>
          </w:tcPr>
          <w:p w14:paraId="4F152A27">
            <w:pPr>
              <w:autoSpaceDE w:val="0"/>
              <w:autoSpaceDN w:val="0"/>
              <w:adjustRightInd w:val="0"/>
              <w:snapToGrid w:val="0"/>
              <w:spacing w:line="240" w:lineRule="auto"/>
              <w:jc w:val="center"/>
              <w:rPr>
                <w:rFonts w:ascii="宋体" w:cs="楷体_GB2312"/>
                <w:b/>
                <w:bCs/>
                <w:color w:val="auto"/>
                <w:sz w:val="24"/>
                <w:highlight w:val="none"/>
              </w:rPr>
            </w:pPr>
            <w:r>
              <w:rPr>
                <w:rFonts w:ascii="宋体" w:hAnsi="宋体" w:cs="楷体_GB2312"/>
                <w:b/>
                <w:bCs/>
                <w:color w:val="auto"/>
                <w:sz w:val="24"/>
                <w:highlight w:val="none"/>
              </w:rPr>
              <w:t>8.3</w:t>
            </w:r>
          </w:p>
        </w:tc>
        <w:tc>
          <w:tcPr>
            <w:tcW w:w="2386" w:type="dxa"/>
            <w:vAlign w:val="center"/>
          </w:tcPr>
          <w:p w14:paraId="1CBD1465">
            <w:pPr>
              <w:autoSpaceDE w:val="0"/>
              <w:autoSpaceDN w:val="0"/>
              <w:adjustRightInd w:val="0"/>
              <w:snapToGrid w:val="0"/>
              <w:spacing w:line="240" w:lineRule="auto"/>
              <w:jc w:val="center"/>
              <w:rPr>
                <w:rFonts w:ascii="宋体" w:cs="楷体_GB2312"/>
                <w:b/>
                <w:bCs/>
                <w:color w:val="auto"/>
                <w:sz w:val="24"/>
                <w:highlight w:val="none"/>
              </w:rPr>
            </w:pPr>
            <w:r>
              <w:rPr>
                <w:rFonts w:hint="eastAsia" w:ascii="宋体" w:hAnsi="宋体" w:cs="楷体_GB2312"/>
                <w:b/>
                <w:bCs/>
                <w:color w:val="auto"/>
                <w:sz w:val="24"/>
                <w:highlight w:val="none"/>
              </w:rPr>
              <w:t>质疑、投诉</w:t>
            </w:r>
          </w:p>
        </w:tc>
        <w:tc>
          <w:tcPr>
            <w:tcW w:w="6165" w:type="dxa"/>
            <w:vAlign w:val="center"/>
          </w:tcPr>
          <w:p w14:paraId="0768BDBE">
            <w:pPr>
              <w:rPr>
                <w:rFonts w:ascii="宋体" w:hAnsi="宋体"/>
                <w:color w:val="auto"/>
                <w:sz w:val="24"/>
                <w:highlight w:val="none"/>
              </w:rPr>
            </w:pPr>
            <w:r>
              <w:rPr>
                <w:rFonts w:hint="eastAsia" w:ascii="宋体" w:hAnsi="宋体"/>
                <w:color w:val="auto"/>
                <w:sz w:val="24"/>
                <w:highlight w:val="none"/>
              </w:rPr>
              <w:t>参与本次采购活动的供应商如有异议，可在各环节法定质疑期内向采购代理机构一次性提出针对该采购程序环节的书面质疑函，书面原件送达至招标文件列示的采购代理机构及采购单位联系人处；依据法规规定，质疑函应当有明确的请求和必要的证明材料，应当包括下列内容：1、供应商的姓名或者名称、地址、邮编、联系人及联系电话；2、质疑项目的名称、编号；3、具体、明确的质疑事项和与质疑事项相关的请求；4、事实依据；5、必要的法律依据；6、提出质</w:t>
            </w:r>
            <w:r>
              <w:rPr>
                <w:rFonts w:hint="eastAsia" w:ascii="宋体" w:hAnsi="宋体"/>
                <w:bCs/>
                <w:color w:val="auto"/>
                <w:sz w:val="24"/>
                <w:szCs w:val="24"/>
                <w:highlight w:val="none"/>
              </w:rPr>
              <w:t>疑的日期。供应商为自然人的，应当由本人签字；供应商为法人或者其他组织的，应当由法定代表人、主要负责人，或者其授权代表签字或者盖章，并加盖公章。</w:t>
            </w:r>
            <w:r>
              <w:rPr>
                <w:rFonts w:hint="eastAsia" w:ascii="宋体" w:hAnsi="宋体"/>
                <w:color w:val="auto"/>
                <w:sz w:val="24"/>
                <w:highlight w:val="none"/>
              </w:rPr>
              <w:t>如对采购代理机构的答复仍有异议的，可向同级财政局政府采购监督管理办公室提出书面投诉。（具体程序按照《政府采购质疑和投诉办法》执行）。</w:t>
            </w:r>
          </w:p>
        </w:tc>
      </w:tr>
      <w:tr w14:paraId="5FD87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03" w:type="dxa"/>
            <w:vMerge w:val="continue"/>
          </w:tcPr>
          <w:p w14:paraId="32A6B8AD">
            <w:pPr>
              <w:autoSpaceDE w:val="0"/>
              <w:autoSpaceDN w:val="0"/>
              <w:adjustRightInd w:val="0"/>
              <w:snapToGrid w:val="0"/>
              <w:spacing w:line="240" w:lineRule="auto"/>
              <w:jc w:val="center"/>
              <w:rPr>
                <w:rFonts w:ascii="宋体" w:cs="楷体_GB2312"/>
                <w:b/>
                <w:bCs/>
                <w:color w:val="auto"/>
                <w:sz w:val="24"/>
                <w:highlight w:val="none"/>
              </w:rPr>
            </w:pPr>
          </w:p>
        </w:tc>
        <w:tc>
          <w:tcPr>
            <w:tcW w:w="699" w:type="dxa"/>
            <w:vAlign w:val="center"/>
          </w:tcPr>
          <w:p w14:paraId="74A3A91D">
            <w:pPr>
              <w:autoSpaceDE w:val="0"/>
              <w:autoSpaceDN w:val="0"/>
              <w:adjustRightInd w:val="0"/>
              <w:snapToGrid w:val="0"/>
              <w:spacing w:line="240" w:lineRule="auto"/>
              <w:jc w:val="center"/>
              <w:rPr>
                <w:rFonts w:ascii="宋体" w:cs="楷体_GB2312"/>
                <w:b/>
                <w:bCs/>
                <w:color w:val="auto"/>
                <w:sz w:val="24"/>
                <w:highlight w:val="none"/>
              </w:rPr>
            </w:pPr>
            <w:r>
              <w:rPr>
                <w:rFonts w:ascii="宋体" w:hAnsi="宋体" w:cs="楷体_GB2312"/>
                <w:b/>
                <w:bCs/>
                <w:color w:val="auto"/>
                <w:sz w:val="24"/>
                <w:highlight w:val="none"/>
              </w:rPr>
              <w:t>8.4</w:t>
            </w:r>
          </w:p>
        </w:tc>
        <w:tc>
          <w:tcPr>
            <w:tcW w:w="2386" w:type="dxa"/>
            <w:vAlign w:val="center"/>
          </w:tcPr>
          <w:p w14:paraId="659E6CBE">
            <w:pPr>
              <w:autoSpaceDE w:val="0"/>
              <w:autoSpaceDN w:val="0"/>
              <w:adjustRightInd w:val="0"/>
              <w:snapToGrid w:val="0"/>
              <w:spacing w:line="240" w:lineRule="auto"/>
              <w:jc w:val="center"/>
              <w:rPr>
                <w:rFonts w:ascii="宋体" w:cs="楷体_GB2312"/>
                <w:b/>
                <w:bCs/>
                <w:color w:val="auto"/>
                <w:sz w:val="24"/>
                <w:highlight w:val="none"/>
              </w:rPr>
            </w:pPr>
            <w:r>
              <w:rPr>
                <w:rFonts w:hint="eastAsia" w:ascii="宋体" w:hAnsi="宋体" w:cs="楷体_GB2312"/>
                <w:b/>
                <w:bCs/>
                <w:color w:val="auto"/>
                <w:sz w:val="24"/>
                <w:highlight w:val="none"/>
              </w:rPr>
              <w:t>中标通知书</w:t>
            </w:r>
          </w:p>
        </w:tc>
        <w:tc>
          <w:tcPr>
            <w:tcW w:w="6165" w:type="dxa"/>
            <w:vAlign w:val="center"/>
          </w:tcPr>
          <w:p w14:paraId="392DE3B7">
            <w:pPr>
              <w:adjustRightInd w:val="0"/>
              <w:snapToGrid w:val="0"/>
              <w:spacing w:before="156" w:beforeLines="50" w:line="240" w:lineRule="auto"/>
              <w:rPr>
                <w:rFonts w:ascii="宋体" w:hAnsi="宋体" w:cs="楷体_GB2312"/>
                <w:color w:val="auto"/>
                <w:sz w:val="24"/>
                <w:highlight w:val="none"/>
                <w:lang w:val="zh-CN"/>
              </w:rPr>
            </w:pPr>
            <w:r>
              <w:rPr>
                <w:rFonts w:hint="eastAsia" w:ascii="宋体" w:hAnsi="宋体" w:cs="楷体_GB2312"/>
                <w:color w:val="auto"/>
                <w:sz w:val="24"/>
                <w:highlight w:val="none"/>
                <w:lang w:val="zh-CN"/>
              </w:rPr>
              <w:t>采购代理机构在中标人确定当天向中标人发出中标通知书。中标人应凭缴费凭证及时领取中标通知书。</w:t>
            </w:r>
          </w:p>
        </w:tc>
      </w:tr>
      <w:tr w14:paraId="26932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03" w:type="dxa"/>
            <w:vMerge w:val="restart"/>
          </w:tcPr>
          <w:p w14:paraId="48539F40">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第三章</w:t>
            </w:r>
          </w:p>
        </w:tc>
        <w:tc>
          <w:tcPr>
            <w:tcW w:w="699" w:type="dxa"/>
            <w:vAlign w:val="center"/>
          </w:tcPr>
          <w:p w14:paraId="59684323">
            <w:pPr>
              <w:autoSpaceDE w:val="0"/>
              <w:autoSpaceDN w:val="0"/>
              <w:adjustRightInd w:val="0"/>
              <w:snapToGrid w:val="0"/>
              <w:spacing w:line="240" w:lineRule="auto"/>
              <w:jc w:val="center"/>
              <w:rPr>
                <w:rFonts w:ascii="宋体" w:cs="楷体_GB2312"/>
                <w:b/>
                <w:bCs/>
                <w:color w:val="auto"/>
                <w:sz w:val="24"/>
                <w:highlight w:val="none"/>
                <w:lang w:val="zh-CN"/>
              </w:rPr>
            </w:pPr>
            <w:r>
              <w:rPr>
                <w:rFonts w:ascii="宋体" w:hAnsi="宋体" w:cs="楷体_GB2312"/>
                <w:b/>
                <w:bCs/>
                <w:color w:val="auto"/>
                <w:sz w:val="24"/>
                <w:highlight w:val="none"/>
                <w:lang w:val="zh-CN"/>
              </w:rPr>
              <w:t>8.5</w:t>
            </w:r>
          </w:p>
        </w:tc>
        <w:tc>
          <w:tcPr>
            <w:tcW w:w="2386" w:type="dxa"/>
            <w:vAlign w:val="center"/>
          </w:tcPr>
          <w:p w14:paraId="3F64D8D9">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履约保证金</w:t>
            </w:r>
          </w:p>
        </w:tc>
        <w:tc>
          <w:tcPr>
            <w:tcW w:w="6165" w:type="dxa"/>
            <w:vAlign w:val="center"/>
          </w:tcPr>
          <w:p w14:paraId="428B031A">
            <w:pPr>
              <w:widowControl w:val="0"/>
              <w:snapToGrid w:val="0"/>
              <w:spacing w:before="156" w:beforeLines="50" w:line="240" w:lineRule="auto"/>
              <w:rPr>
                <w:color w:val="auto"/>
                <w:sz w:val="24"/>
                <w:szCs w:val="24"/>
                <w:highlight w:val="none"/>
              </w:rPr>
            </w:pPr>
            <w:r>
              <w:rPr>
                <w:rFonts w:hint="eastAsia"/>
                <w:color w:val="auto"/>
                <w:sz w:val="24"/>
                <w:szCs w:val="24"/>
                <w:highlight w:val="none"/>
              </w:rPr>
              <w:t>不需缴纳</w:t>
            </w:r>
          </w:p>
        </w:tc>
      </w:tr>
      <w:tr w14:paraId="0F47C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03" w:type="dxa"/>
            <w:vMerge w:val="continue"/>
          </w:tcPr>
          <w:p w14:paraId="0EF89B94">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vAlign w:val="center"/>
          </w:tcPr>
          <w:p w14:paraId="0113F6F5">
            <w:pPr>
              <w:autoSpaceDE w:val="0"/>
              <w:autoSpaceDN w:val="0"/>
              <w:adjustRightInd w:val="0"/>
              <w:snapToGrid w:val="0"/>
              <w:spacing w:line="240" w:lineRule="auto"/>
              <w:jc w:val="center"/>
              <w:rPr>
                <w:rFonts w:ascii="宋体" w:cs="楷体_GB2312"/>
                <w:b/>
                <w:bCs/>
                <w:color w:val="auto"/>
                <w:sz w:val="24"/>
                <w:highlight w:val="none"/>
                <w:lang w:val="zh-CN"/>
              </w:rPr>
            </w:pPr>
            <w:r>
              <w:rPr>
                <w:rFonts w:ascii="宋体" w:hAnsi="宋体" w:cs="楷体_GB2312"/>
                <w:b/>
                <w:bCs/>
                <w:color w:val="auto"/>
                <w:sz w:val="24"/>
                <w:highlight w:val="none"/>
                <w:lang w:val="zh-CN"/>
              </w:rPr>
              <w:t>9</w:t>
            </w:r>
          </w:p>
        </w:tc>
        <w:tc>
          <w:tcPr>
            <w:tcW w:w="2386" w:type="dxa"/>
            <w:vAlign w:val="center"/>
          </w:tcPr>
          <w:p w14:paraId="741D2470">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验收</w:t>
            </w:r>
          </w:p>
        </w:tc>
        <w:tc>
          <w:tcPr>
            <w:tcW w:w="6165" w:type="dxa"/>
            <w:vAlign w:val="center"/>
          </w:tcPr>
          <w:p w14:paraId="2820721A">
            <w:pPr>
              <w:widowControl w:val="0"/>
              <w:snapToGrid w:val="0"/>
              <w:spacing w:before="156" w:beforeLines="50" w:line="240" w:lineRule="auto"/>
              <w:rPr>
                <w:color w:val="auto"/>
                <w:sz w:val="24"/>
                <w:szCs w:val="24"/>
                <w:highlight w:val="none"/>
              </w:rPr>
            </w:pPr>
            <w:r>
              <w:rPr>
                <w:rFonts w:hint="eastAsia"/>
                <w:color w:val="auto"/>
                <w:sz w:val="24"/>
                <w:szCs w:val="24"/>
                <w:highlight w:val="none"/>
              </w:rPr>
              <w:t>见“第三章投标人须知”相应条款</w:t>
            </w:r>
          </w:p>
        </w:tc>
      </w:tr>
      <w:tr w14:paraId="007EB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03" w:type="dxa"/>
            <w:vMerge w:val="continue"/>
          </w:tcPr>
          <w:p w14:paraId="0D4376C0">
            <w:pPr>
              <w:autoSpaceDE w:val="0"/>
              <w:autoSpaceDN w:val="0"/>
              <w:adjustRightInd w:val="0"/>
              <w:spacing w:line="360" w:lineRule="auto"/>
              <w:rPr>
                <w:rFonts w:ascii="宋体" w:cs="楷体_GB2312"/>
                <w:b/>
                <w:bCs/>
                <w:color w:val="auto"/>
                <w:sz w:val="24"/>
                <w:highlight w:val="none"/>
              </w:rPr>
            </w:pPr>
          </w:p>
        </w:tc>
        <w:tc>
          <w:tcPr>
            <w:tcW w:w="699" w:type="dxa"/>
            <w:vAlign w:val="center"/>
          </w:tcPr>
          <w:p w14:paraId="2BCFB510">
            <w:pPr>
              <w:autoSpaceDE w:val="0"/>
              <w:autoSpaceDN w:val="0"/>
              <w:adjustRightInd w:val="0"/>
              <w:spacing w:line="360" w:lineRule="auto"/>
              <w:jc w:val="center"/>
              <w:rPr>
                <w:rFonts w:ascii="宋体" w:cs="楷体_GB2312"/>
                <w:b/>
                <w:bCs/>
                <w:color w:val="auto"/>
                <w:sz w:val="24"/>
                <w:highlight w:val="none"/>
              </w:rPr>
            </w:pPr>
            <w:r>
              <w:rPr>
                <w:rFonts w:ascii="宋体" w:hAnsi="宋体" w:cs="楷体_GB2312"/>
                <w:b/>
                <w:bCs/>
                <w:color w:val="auto"/>
                <w:sz w:val="24"/>
                <w:highlight w:val="none"/>
              </w:rPr>
              <w:t>10</w:t>
            </w:r>
          </w:p>
        </w:tc>
        <w:tc>
          <w:tcPr>
            <w:tcW w:w="2386" w:type="dxa"/>
            <w:vAlign w:val="center"/>
          </w:tcPr>
          <w:p w14:paraId="45C585E5">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付款</w:t>
            </w:r>
          </w:p>
        </w:tc>
        <w:tc>
          <w:tcPr>
            <w:tcW w:w="6165" w:type="dxa"/>
            <w:vAlign w:val="center"/>
          </w:tcPr>
          <w:p w14:paraId="6027E8A2">
            <w:pPr>
              <w:snapToGrid w:val="0"/>
              <w:spacing w:before="156" w:beforeLines="50" w:line="240" w:lineRule="auto"/>
              <w:ind w:firstLine="480" w:firstLineChars="200"/>
              <w:rPr>
                <w:color w:val="auto"/>
                <w:sz w:val="24"/>
                <w:szCs w:val="24"/>
                <w:highlight w:val="none"/>
              </w:rPr>
            </w:pPr>
            <w:bookmarkStart w:id="28" w:name="OLE_LINK11"/>
            <w:r>
              <w:rPr>
                <w:rFonts w:hint="eastAsia"/>
                <w:color w:val="auto"/>
                <w:sz w:val="24"/>
                <w:szCs w:val="24"/>
                <w:highlight w:val="none"/>
              </w:rPr>
              <w:t>为优化政府采购营商环境，根据安财购﹝2019﹞8号文件落实政府采购预付款的规定，采购人可在政府采购合同履约前向中标人预付</w:t>
            </w:r>
            <w:r>
              <w:rPr>
                <w:color w:val="auto"/>
                <w:sz w:val="24"/>
                <w:szCs w:val="24"/>
                <w:highlight w:val="none"/>
                <w:u w:val="single"/>
              </w:rPr>
              <w:t>30%</w:t>
            </w:r>
            <w:r>
              <w:rPr>
                <w:rFonts w:hint="eastAsia"/>
                <w:color w:val="auto"/>
                <w:sz w:val="24"/>
                <w:szCs w:val="24"/>
                <w:highlight w:val="none"/>
              </w:rPr>
              <w:t>的合同资金，中标人应向采购人提交预付款保函，未提供保函的，视同其放弃项目预付款的支付。</w:t>
            </w:r>
          </w:p>
          <w:p w14:paraId="5E96B14A">
            <w:pPr>
              <w:snapToGrid w:val="0"/>
              <w:spacing w:before="156" w:beforeLines="50" w:line="240" w:lineRule="auto"/>
              <w:ind w:firstLine="480" w:firstLineChars="200"/>
              <w:rPr>
                <w:color w:val="auto"/>
                <w:sz w:val="24"/>
                <w:szCs w:val="24"/>
                <w:highlight w:val="none"/>
              </w:rPr>
            </w:pPr>
            <w:r>
              <w:rPr>
                <w:rFonts w:hint="eastAsia"/>
                <w:color w:val="auto"/>
                <w:sz w:val="24"/>
                <w:szCs w:val="24"/>
                <w:highlight w:val="none"/>
              </w:rPr>
              <w:t>为进一步优化营商环境，根据安财购﹝</w:t>
            </w:r>
            <w:r>
              <w:rPr>
                <w:color w:val="auto"/>
                <w:sz w:val="24"/>
                <w:szCs w:val="24"/>
                <w:highlight w:val="none"/>
              </w:rPr>
              <w:t>2022</w:t>
            </w:r>
            <w:r>
              <w:rPr>
                <w:rFonts w:hint="eastAsia"/>
                <w:color w:val="auto"/>
                <w:sz w:val="24"/>
                <w:szCs w:val="24"/>
                <w:highlight w:val="none"/>
              </w:rPr>
              <w:t>﹞</w:t>
            </w:r>
            <w:r>
              <w:rPr>
                <w:color w:val="auto"/>
                <w:sz w:val="24"/>
                <w:szCs w:val="24"/>
                <w:highlight w:val="none"/>
              </w:rPr>
              <w:t>8</w:t>
            </w:r>
            <w:r>
              <w:rPr>
                <w:rFonts w:hint="eastAsia"/>
                <w:color w:val="auto"/>
                <w:sz w:val="24"/>
                <w:szCs w:val="24"/>
                <w:highlight w:val="none"/>
              </w:rPr>
              <w:t>号文件落实政府采购中小企业预付款的规定，采购人可在政府采购合同签订后，向中标人原则上预付不低于合同金额</w:t>
            </w:r>
            <w:r>
              <w:rPr>
                <w:color w:val="auto"/>
                <w:sz w:val="24"/>
                <w:szCs w:val="24"/>
                <w:highlight w:val="none"/>
              </w:rPr>
              <w:t>50%</w:t>
            </w:r>
            <w:r>
              <w:rPr>
                <w:rFonts w:hint="eastAsia"/>
                <w:color w:val="auto"/>
                <w:sz w:val="24"/>
                <w:szCs w:val="24"/>
                <w:highlight w:val="none"/>
              </w:rPr>
              <w:t>的预付款，中标人应向采购人提交预付款保函，未提供保函的，视同其放弃项目预付款的支付。</w:t>
            </w:r>
          </w:p>
          <w:p w14:paraId="072B64DF">
            <w:pPr>
              <w:snapToGrid w:val="0"/>
              <w:spacing w:before="156" w:beforeLines="50" w:line="240" w:lineRule="auto"/>
              <w:ind w:firstLine="480" w:firstLineChars="200"/>
              <w:rPr>
                <w:color w:val="auto"/>
                <w:sz w:val="24"/>
                <w:szCs w:val="24"/>
                <w:highlight w:val="none"/>
              </w:rPr>
            </w:pPr>
            <w:r>
              <w:rPr>
                <w:rFonts w:hint="eastAsia"/>
                <w:color w:val="auto"/>
                <w:sz w:val="24"/>
                <w:szCs w:val="24"/>
                <w:highlight w:val="none"/>
              </w:rPr>
              <w:t>项目完成后，采购人需持从“安阳市政府采购网”登录系统下载本项目带水印的《安阳市市直政府采购资金申请表》和《安阳市市直政府采购申报表》，以及《政府采购验收报告》和发票等，作为付款依据，报安阳市财政国库支付中心审核确认后一次无息付清剩余项目款。</w:t>
            </w:r>
            <w:bookmarkEnd w:id="28"/>
          </w:p>
        </w:tc>
      </w:tr>
      <w:tr w14:paraId="6AE3C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03" w:type="dxa"/>
          </w:tcPr>
          <w:p w14:paraId="15B0484F">
            <w:pPr>
              <w:autoSpaceDE w:val="0"/>
              <w:autoSpaceDN w:val="0"/>
              <w:adjustRightInd w:val="0"/>
              <w:spacing w:line="360" w:lineRule="auto"/>
              <w:rPr>
                <w:rFonts w:ascii="宋体" w:cs="楷体_GB2312"/>
                <w:b/>
                <w:bCs/>
                <w:color w:val="auto"/>
                <w:sz w:val="24"/>
                <w:highlight w:val="none"/>
              </w:rPr>
            </w:pPr>
          </w:p>
        </w:tc>
        <w:tc>
          <w:tcPr>
            <w:tcW w:w="699" w:type="dxa"/>
            <w:vAlign w:val="center"/>
          </w:tcPr>
          <w:p w14:paraId="64221DFE">
            <w:pPr>
              <w:autoSpaceDE w:val="0"/>
              <w:autoSpaceDN w:val="0"/>
              <w:adjustRightInd w:val="0"/>
              <w:spacing w:line="360" w:lineRule="auto"/>
              <w:jc w:val="center"/>
              <w:rPr>
                <w:rFonts w:ascii="宋体" w:hAnsi="宋体" w:cs="楷体_GB2312"/>
                <w:b/>
                <w:bCs/>
                <w:color w:val="auto"/>
                <w:sz w:val="24"/>
                <w:highlight w:val="none"/>
              </w:rPr>
            </w:pPr>
            <w:r>
              <w:rPr>
                <w:rFonts w:ascii="宋体" w:hAnsi="宋体" w:cs="楷体_GB2312"/>
                <w:b/>
                <w:bCs/>
                <w:color w:val="auto"/>
                <w:sz w:val="24"/>
                <w:highlight w:val="none"/>
              </w:rPr>
              <w:t>11</w:t>
            </w:r>
          </w:p>
        </w:tc>
        <w:tc>
          <w:tcPr>
            <w:tcW w:w="2386" w:type="dxa"/>
            <w:vAlign w:val="center"/>
          </w:tcPr>
          <w:p w14:paraId="735D9F91">
            <w:pPr>
              <w:autoSpaceDE w:val="0"/>
              <w:autoSpaceDN w:val="0"/>
              <w:adjustRightInd w:val="0"/>
              <w:snapToGrid w:val="0"/>
              <w:spacing w:line="240" w:lineRule="auto"/>
              <w:jc w:val="center"/>
              <w:rPr>
                <w:rFonts w:ascii="宋体" w:hAnsi="宋体"/>
                <w:b/>
                <w:color w:val="auto"/>
                <w:sz w:val="24"/>
                <w:highlight w:val="none"/>
              </w:rPr>
            </w:pPr>
            <w:r>
              <w:rPr>
                <w:rFonts w:hint="eastAsia" w:ascii="宋体" w:hAnsi="宋体"/>
                <w:b/>
                <w:color w:val="auto"/>
                <w:sz w:val="24"/>
                <w:highlight w:val="none"/>
              </w:rPr>
              <w:t>代理服务费</w:t>
            </w:r>
          </w:p>
        </w:tc>
        <w:tc>
          <w:tcPr>
            <w:tcW w:w="6165" w:type="dxa"/>
            <w:vAlign w:val="center"/>
          </w:tcPr>
          <w:p w14:paraId="4DCC28A6">
            <w:pPr>
              <w:widowControl w:val="0"/>
              <w:snapToGrid w:val="0"/>
              <w:spacing w:before="156" w:beforeLines="50" w:line="240" w:lineRule="auto"/>
              <w:rPr>
                <w:rFonts w:ascii="宋体"/>
                <w:b/>
                <w:color w:val="auto"/>
                <w:sz w:val="24"/>
                <w:highlight w:val="none"/>
              </w:rPr>
            </w:pPr>
            <w:r>
              <w:rPr>
                <w:rFonts w:hint="eastAsia"/>
                <w:color w:val="auto"/>
                <w:sz w:val="24"/>
                <w:szCs w:val="24"/>
                <w:highlight w:val="none"/>
              </w:rPr>
              <w:t>按照预算参照河南省招标代理服务收费指导意见（豫招协[2023]002号）文件取费标准核算并优惠51%后由中标供应商支付。</w:t>
            </w:r>
          </w:p>
        </w:tc>
      </w:tr>
    </w:tbl>
    <w:p w14:paraId="31323525">
      <w:pPr>
        <w:autoSpaceDE w:val="0"/>
        <w:autoSpaceDN w:val="0"/>
        <w:adjustRightInd w:val="0"/>
        <w:spacing w:line="360" w:lineRule="auto"/>
        <w:rPr>
          <w:color w:val="auto"/>
          <w:highlight w:val="none"/>
        </w:rPr>
      </w:pPr>
    </w:p>
    <w:p w14:paraId="5F893819">
      <w:pPr>
        <w:autoSpaceDE w:val="0"/>
        <w:autoSpaceDN w:val="0"/>
        <w:adjustRightInd w:val="0"/>
        <w:spacing w:line="360" w:lineRule="auto"/>
        <w:ind w:firstLine="539"/>
        <w:rPr>
          <w:color w:val="auto"/>
          <w:highlight w:val="none"/>
        </w:rPr>
      </w:pPr>
      <w:r>
        <w:rPr>
          <w:color w:val="auto"/>
          <w:highlight w:val="none"/>
        </w:rPr>
        <w:br w:type="page"/>
      </w:r>
    </w:p>
    <w:p w14:paraId="06FB20BF">
      <w:pPr>
        <w:autoSpaceDE w:val="0"/>
        <w:autoSpaceDN w:val="0"/>
        <w:adjustRightInd w:val="0"/>
        <w:spacing w:line="360" w:lineRule="auto"/>
        <w:ind w:firstLine="539"/>
        <w:rPr>
          <w:color w:val="auto"/>
          <w:highlight w:val="none"/>
        </w:rPr>
      </w:pPr>
    </w:p>
    <w:p w14:paraId="61FFF98B">
      <w:pPr>
        <w:autoSpaceDE w:val="0"/>
        <w:autoSpaceDN w:val="0"/>
        <w:adjustRightInd w:val="0"/>
        <w:snapToGrid w:val="0"/>
        <w:spacing w:before="156" w:beforeLines="50" w:line="300" w:lineRule="auto"/>
        <w:ind w:firstLine="539"/>
        <w:outlineLvl w:val="1"/>
        <w:rPr>
          <w:rFonts w:ascii="黑体" w:hAnsi="黑体" w:eastAsia="黑体"/>
          <w:color w:val="auto"/>
          <w:sz w:val="28"/>
          <w:szCs w:val="28"/>
          <w:highlight w:val="none"/>
          <w:lang w:val="zh-CN"/>
        </w:rPr>
      </w:pPr>
      <w:bookmarkStart w:id="29" w:name="_Toc24840"/>
      <w:r>
        <w:rPr>
          <w:rFonts w:ascii="黑体" w:hAnsi="黑体" w:eastAsia="黑体" w:cs="楷体_GB2312"/>
          <w:b/>
          <w:bCs/>
          <w:color w:val="auto"/>
          <w:sz w:val="28"/>
          <w:szCs w:val="28"/>
          <w:highlight w:val="none"/>
          <w:lang w:val="zh-CN"/>
        </w:rPr>
        <w:t xml:space="preserve">1 </w:t>
      </w:r>
      <w:r>
        <w:rPr>
          <w:rFonts w:hint="eastAsia" w:ascii="黑体" w:hAnsi="黑体" w:eastAsia="黑体" w:cs="楷体_GB2312"/>
          <w:b/>
          <w:bCs/>
          <w:color w:val="auto"/>
          <w:sz w:val="28"/>
          <w:szCs w:val="28"/>
          <w:highlight w:val="none"/>
          <w:lang w:val="zh-CN"/>
        </w:rPr>
        <w:t>总则</w:t>
      </w:r>
      <w:bookmarkEnd w:id="29"/>
    </w:p>
    <w:p w14:paraId="24336102">
      <w:pPr>
        <w:autoSpaceDE w:val="0"/>
        <w:autoSpaceDN w:val="0"/>
        <w:adjustRightInd w:val="0"/>
        <w:snapToGrid w:val="0"/>
        <w:spacing w:before="156" w:beforeLines="50" w:line="300" w:lineRule="auto"/>
        <w:ind w:firstLine="539"/>
        <w:rPr>
          <w:rFonts w:ascii="宋体"/>
          <w:color w:val="auto"/>
          <w:sz w:val="24"/>
          <w:szCs w:val="24"/>
          <w:highlight w:val="none"/>
        </w:rPr>
      </w:pPr>
      <w:r>
        <w:rPr>
          <w:rFonts w:ascii="黑体" w:hAnsi="黑体" w:eastAsia="黑体" w:cs="楷体_GB2312"/>
          <w:b/>
          <w:color w:val="auto"/>
          <w:sz w:val="24"/>
          <w:highlight w:val="none"/>
          <w:lang w:val="zh-CN"/>
        </w:rPr>
        <w:t>1.1</w:t>
      </w:r>
      <w:r>
        <w:rPr>
          <w:rFonts w:hint="eastAsia" w:ascii="黑体" w:hAnsi="黑体" w:eastAsia="黑体" w:cs="楷体_GB2312"/>
          <w:b/>
          <w:color w:val="auto"/>
          <w:sz w:val="24"/>
          <w:highlight w:val="none"/>
          <w:lang w:val="zh-CN"/>
        </w:rPr>
        <w:t xml:space="preserve"> </w:t>
      </w:r>
      <w:r>
        <w:rPr>
          <w:rFonts w:hint="eastAsia" w:ascii="宋体" w:hAnsi="宋体"/>
          <w:color w:val="auto"/>
          <w:sz w:val="24"/>
          <w:szCs w:val="24"/>
          <w:highlight w:val="none"/>
        </w:rPr>
        <w:t>根据《中华人民共和国政府采购法》、《中华人民共和国政府采购法实施条例》、《政府采购货物和服务招标投标管理办法》及相关政府采购法律法规等制定本文件。</w:t>
      </w:r>
    </w:p>
    <w:p w14:paraId="7A2CAC6E">
      <w:pPr>
        <w:adjustRightInd w:val="0"/>
        <w:snapToGrid w:val="0"/>
        <w:spacing w:before="156" w:beforeLines="50" w:line="300" w:lineRule="auto"/>
        <w:ind w:right="240" w:firstLine="482" w:firstLineChars="200"/>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1.2</w:t>
      </w:r>
      <w:r>
        <w:rPr>
          <w:rFonts w:hint="eastAsia" w:ascii="黑体" w:hAnsi="黑体" w:eastAsia="黑体" w:cs="楷体_GB2312"/>
          <w:b/>
          <w:color w:val="auto"/>
          <w:sz w:val="24"/>
          <w:highlight w:val="none"/>
          <w:lang w:val="zh-CN"/>
        </w:rPr>
        <w:t>招标文件的法律适用及法律效力</w:t>
      </w:r>
    </w:p>
    <w:p w14:paraId="77437F34">
      <w:pPr>
        <w:adjustRightInd w:val="0"/>
        <w:snapToGrid w:val="0"/>
        <w:spacing w:before="156" w:beforeLines="50" w:line="300" w:lineRule="auto"/>
        <w:ind w:right="240" w:firstLine="547" w:firstLineChars="228"/>
        <w:rPr>
          <w:rFonts w:ascii="宋体"/>
          <w:color w:val="auto"/>
          <w:sz w:val="24"/>
          <w:szCs w:val="24"/>
          <w:highlight w:val="none"/>
        </w:rPr>
      </w:pPr>
      <w:r>
        <w:rPr>
          <w:rFonts w:ascii="宋体" w:hAnsi="宋体"/>
          <w:color w:val="auto"/>
          <w:sz w:val="24"/>
          <w:szCs w:val="24"/>
          <w:highlight w:val="none"/>
        </w:rPr>
        <w:t>1.2.1</w:t>
      </w:r>
      <w:r>
        <w:rPr>
          <w:rFonts w:hint="eastAsia" w:ascii="宋体" w:hAnsi="宋体"/>
          <w:color w:val="auto"/>
          <w:sz w:val="24"/>
          <w:szCs w:val="24"/>
          <w:highlight w:val="none"/>
        </w:rPr>
        <w:t>本</w:t>
      </w:r>
      <w:r>
        <w:rPr>
          <w:rFonts w:hint="eastAsia" w:ascii="宋体" w:hAnsi="宋体" w:cs="宋体"/>
          <w:color w:val="auto"/>
          <w:sz w:val="24"/>
          <w:szCs w:val="24"/>
          <w:highlight w:val="none"/>
        </w:rPr>
        <w:t>招标文件</w:t>
      </w:r>
      <w:r>
        <w:rPr>
          <w:rFonts w:hint="eastAsia" w:ascii="宋体" w:hAnsi="宋体"/>
          <w:color w:val="auto"/>
          <w:sz w:val="24"/>
          <w:szCs w:val="24"/>
          <w:highlight w:val="none"/>
        </w:rPr>
        <w:t>所述内容，仅适用于本次项目采购。</w:t>
      </w:r>
    </w:p>
    <w:p w14:paraId="23083AC9">
      <w:pPr>
        <w:adjustRightInd w:val="0"/>
        <w:snapToGrid w:val="0"/>
        <w:spacing w:before="156" w:beforeLines="50" w:line="300" w:lineRule="auto"/>
        <w:ind w:right="240" w:firstLine="547" w:firstLineChars="228"/>
        <w:rPr>
          <w:rFonts w:ascii="宋体"/>
          <w:color w:val="auto"/>
          <w:sz w:val="24"/>
          <w:szCs w:val="24"/>
          <w:highlight w:val="none"/>
        </w:rPr>
      </w:pPr>
      <w:r>
        <w:rPr>
          <w:rFonts w:ascii="宋体" w:hAnsi="宋体"/>
          <w:color w:val="auto"/>
          <w:sz w:val="24"/>
          <w:szCs w:val="24"/>
          <w:highlight w:val="none"/>
        </w:rPr>
        <w:t xml:space="preserve">1.2.2 </w:t>
      </w:r>
      <w:r>
        <w:rPr>
          <w:rFonts w:hint="eastAsia" w:ascii="宋体" w:hAnsi="宋体" w:cs="宋体"/>
          <w:color w:val="auto"/>
          <w:sz w:val="24"/>
          <w:szCs w:val="24"/>
          <w:highlight w:val="none"/>
        </w:rPr>
        <w:t>招标文件</w:t>
      </w:r>
      <w:r>
        <w:rPr>
          <w:rFonts w:hint="eastAsia" w:ascii="宋体" w:hAnsi="宋体"/>
          <w:color w:val="auto"/>
          <w:sz w:val="24"/>
          <w:szCs w:val="24"/>
          <w:highlight w:val="none"/>
        </w:rPr>
        <w:t>的修改性文件、补充文件、澄清文件或说明具有同等法律效力。</w:t>
      </w:r>
    </w:p>
    <w:p w14:paraId="7E67E892">
      <w:pPr>
        <w:adjustRightInd w:val="0"/>
        <w:snapToGrid w:val="0"/>
        <w:spacing w:before="156" w:beforeLines="50" w:line="300" w:lineRule="auto"/>
        <w:ind w:right="240" w:firstLine="547" w:firstLineChars="228"/>
        <w:rPr>
          <w:rFonts w:ascii="宋体"/>
          <w:color w:val="auto"/>
          <w:sz w:val="24"/>
          <w:szCs w:val="24"/>
          <w:highlight w:val="none"/>
        </w:rPr>
      </w:pPr>
      <w:r>
        <w:rPr>
          <w:rFonts w:ascii="宋体" w:hAnsi="宋体"/>
          <w:color w:val="auto"/>
          <w:sz w:val="24"/>
          <w:szCs w:val="24"/>
          <w:highlight w:val="none"/>
        </w:rPr>
        <w:t xml:space="preserve">1.2.3 </w:t>
      </w:r>
      <w:r>
        <w:rPr>
          <w:rFonts w:hint="eastAsia" w:ascii="宋体" w:hAnsi="宋体"/>
          <w:color w:val="auto"/>
          <w:sz w:val="24"/>
          <w:szCs w:val="24"/>
          <w:highlight w:val="none"/>
        </w:rPr>
        <w:t>本</w:t>
      </w:r>
      <w:r>
        <w:rPr>
          <w:rFonts w:hint="eastAsia" w:ascii="宋体" w:hAnsi="宋体" w:cs="宋体"/>
          <w:color w:val="auto"/>
          <w:sz w:val="24"/>
          <w:szCs w:val="24"/>
          <w:highlight w:val="none"/>
        </w:rPr>
        <w:t>招标文件</w:t>
      </w:r>
      <w:r>
        <w:rPr>
          <w:rFonts w:hint="eastAsia" w:ascii="宋体" w:hAnsi="宋体"/>
          <w:color w:val="auto"/>
          <w:sz w:val="24"/>
          <w:szCs w:val="24"/>
          <w:highlight w:val="none"/>
        </w:rPr>
        <w:t>适用于并执行《政府采购法》和其它相关的法律、法规。</w:t>
      </w:r>
    </w:p>
    <w:p w14:paraId="0297943C">
      <w:pPr>
        <w:adjustRightInd w:val="0"/>
        <w:snapToGrid w:val="0"/>
        <w:spacing w:before="156" w:beforeLines="50" w:line="300" w:lineRule="auto"/>
        <w:ind w:right="240" w:firstLine="600" w:firstLineChars="250"/>
        <w:rPr>
          <w:rFonts w:ascii="宋体"/>
          <w:color w:val="auto"/>
          <w:sz w:val="24"/>
          <w:szCs w:val="24"/>
          <w:highlight w:val="none"/>
        </w:rPr>
      </w:pPr>
      <w:r>
        <w:rPr>
          <w:rFonts w:ascii="宋体" w:hAnsi="宋体"/>
          <w:color w:val="auto"/>
          <w:sz w:val="24"/>
          <w:szCs w:val="24"/>
          <w:highlight w:val="none"/>
        </w:rPr>
        <w:t xml:space="preserve">1.2.4 </w:t>
      </w:r>
      <w:r>
        <w:rPr>
          <w:rFonts w:hint="eastAsia" w:ascii="宋体" w:hAnsi="宋体"/>
          <w:color w:val="auto"/>
          <w:sz w:val="24"/>
          <w:szCs w:val="24"/>
          <w:highlight w:val="none"/>
        </w:rPr>
        <w:t>本</w:t>
      </w:r>
      <w:r>
        <w:rPr>
          <w:rFonts w:hint="eastAsia" w:ascii="宋体" w:hAnsi="宋体" w:cs="宋体"/>
          <w:color w:val="auto"/>
          <w:sz w:val="24"/>
          <w:szCs w:val="24"/>
          <w:highlight w:val="none"/>
        </w:rPr>
        <w:t>招标文件</w:t>
      </w:r>
      <w:r>
        <w:rPr>
          <w:rFonts w:hint="eastAsia" w:ascii="宋体" w:hAnsi="宋体"/>
          <w:color w:val="auto"/>
          <w:sz w:val="24"/>
          <w:szCs w:val="24"/>
          <w:highlight w:val="none"/>
        </w:rPr>
        <w:t>的解释权属采购人及代理机构。</w:t>
      </w:r>
    </w:p>
    <w:p w14:paraId="11BBD673">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1.3</w:t>
      </w:r>
      <w:r>
        <w:rPr>
          <w:rFonts w:hint="eastAsia" w:ascii="黑体" w:hAnsi="黑体" w:eastAsia="黑体" w:cs="楷体_GB2312"/>
          <w:b/>
          <w:color w:val="auto"/>
          <w:sz w:val="24"/>
          <w:highlight w:val="none"/>
          <w:lang w:val="zh-CN"/>
        </w:rPr>
        <w:t xml:space="preserve"> 合格的投标人</w:t>
      </w:r>
    </w:p>
    <w:p w14:paraId="77C77101">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1.3.1 </w:t>
      </w:r>
      <w:r>
        <w:rPr>
          <w:rFonts w:hint="eastAsia" w:ascii="宋体" w:hAnsi="宋体" w:cs="楷体_GB2312"/>
          <w:color w:val="auto"/>
          <w:sz w:val="24"/>
          <w:highlight w:val="none"/>
          <w:lang w:val="zh-CN"/>
        </w:rPr>
        <w:t>凡符合招标文件规定，承认本招标文件所有内容的投标人为合格的投标人。</w:t>
      </w:r>
    </w:p>
    <w:p w14:paraId="4FFD3A37">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1.3.2 </w:t>
      </w:r>
      <w:r>
        <w:rPr>
          <w:rFonts w:hint="eastAsia" w:ascii="宋体" w:hAnsi="宋体" w:cs="楷体_GB2312"/>
          <w:color w:val="auto"/>
          <w:sz w:val="24"/>
          <w:highlight w:val="none"/>
          <w:lang w:val="zh-CN"/>
        </w:rPr>
        <w:t>单位负责人为同一人或者存在直接控股、管理关系的不同供应商，不得参加同一合同项下的政府采购活动。</w:t>
      </w:r>
    </w:p>
    <w:p w14:paraId="45835262">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1.3.3 </w:t>
      </w:r>
      <w:r>
        <w:rPr>
          <w:rFonts w:hint="eastAsia" w:ascii="宋体" w:hAnsi="宋体" w:cs="楷体_GB2312"/>
          <w:color w:val="auto"/>
          <w:sz w:val="24"/>
          <w:highlight w:val="none"/>
          <w:lang w:val="zh-CN"/>
        </w:rPr>
        <w:t>为招标项目提供整体设计、规范编制或者项目管理、监理、检测等服务的供应商，不得再参加该招标项目的其他采购活动。</w:t>
      </w:r>
    </w:p>
    <w:p w14:paraId="335A9590">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1.3.4 </w:t>
      </w:r>
      <w:r>
        <w:rPr>
          <w:rFonts w:hint="eastAsia" w:ascii="宋体" w:hAnsi="宋体" w:cs="楷体_GB2312"/>
          <w:color w:val="auto"/>
          <w:sz w:val="24"/>
          <w:highlight w:val="none"/>
          <w:lang w:val="zh-CN"/>
        </w:rPr>
        <w:t>投标人应遵守国家法律、法规和招标文件的规定。不得违背国家利益、社会公众利益。</w:t>
      </w:r>
    </w:p>
    <w:p w14:paraId="1F903C1B">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1.4</w:t>
      </w:r>
      <w:r>
        <w:rPr>
          <w:rFonts w:hint="eastAsia" w:ascii="黑体" w:hAnsi="黑体" w:eastAsia="黑体" w:cs="楷体_GB2312"/>
          <w:b/>
          <w:color w:val="auto"/>
          <w:sz w:val="24"/>
          <w:highlight w:val="none"/>
          <w:lang w:val="zh-CN"/>
        </w:rPr>
        <w:t>　联合体</w:t>
      </w:r>
    </w:p>
    <w:p w14:paraId="31F651DE">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投标人须知前附表规定接受联合体投标的，应遵守以下规定：</w:t>
      </w:r>
    </w:p>
    <w:p w14:paraId="1671C0B9">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）两个以上供应商可以组成一个投标联合体，以一个投标人的身份投标，但必须确定其中一个单位为投标的全权代表参加投标活动，并承担投标及履约中应承担的全部责任和义务。</w:t>
      </w:r>
    </w:p>
    <w:p w14:paraId="761A4F92">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cs="楷体_GB2312"/>
          <w:color w:val="auto"/>
          <w:sz w:val="24"/>
          <w:highlight w:val="none"/>
          <w:lang w:val="zh-CN"/>
        </w:rPr>
        <w:t>（</w:t>
      </w:r>
      <w:r>
        <w:rPr>
          <w:rFonts w:ascii="宋体" w:cs="楷体_GB2312"/>
          <w:color w:val="auto"/>
          <w:sz w:val="24"/>
          <w:highlight w:val="none"/>
          <w:lang w:val="zh-CN"/>
        </w:rPr>
        <w:t>2</w:t>
      </w:r>
      <w:r>
        <w:rPr>
          <w:rFonts w:hint="eastAsia" w:ascii="宋体" w:cs="楷体_GB2312"/>
          <w:color w:val="auto"/>
          <w:sz w:val="24"/>
          <w:highlight w:val="none"/>
          <w:lang w:val="zh-CN"/>
        </w:rPr>
        <w:t>）</w:t>
      </w:r>
      <w:r>
        <w:rPr>
          <w:rFonts w:hint="eastAsia" w:ascii="宋体" w:hAnsi="宋体" w:cs="楷体_GB2312"/>
          <w:color w:val="auto"/>
          <w:sz w:val="24"/>
          <w:highlight w:val="none"/>
          <w:lang w:val="zh-CN"/>
        </w:rPr>
        <w:t>以联合体形式参加投标的</w:t>
      </w:r>
      <w:r>
        <w:rPr>
          <w:rFonts w:hint="eastAsia" w:ascii="宋体" w:cs="楷体_GB2312"/>
          <w:color w:val="auto"/>
          <w:sz w:val="24"/>
          <w:highlight w:val="none"/>
          <w:lang w:val="zh-CN"/>
        </w:rPr>
        <w:t>，将对所有的联合体成员进行信用记录查询，联合体成员存在不良信用记录的，视同联合体存在不良信用记录，为无效投标。</w:t>
      </w:r>
    </w:p>
    <w:p w14:paraId="6573D475">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3</w:t>
      </w:r>
      <w:r>
        <w:rPr>
          <w:rFonts w:hint="eastAsia" w:ascii="宋体" w:hAnsi="宋体" w:cs="楷体_GB2312"/>
          <w:color w:val="auto"/>
          <w:sz w:val="24"/>
          <w:highlight w:val="none"/>
          <w:lang w:val="zh-CN"/>
        </w:rPr>
        <w:t>）以联合体形式参加投标的，应符投标人须知前附表的要求，联合体各方均应当符合政府采购法第二十二条第一款规定的条件，联合体各方均应当具备承担招标项目（标段&lt;包&gt;）的相应能力、具备规定的相应资格条件。</w:t>
      </w:r>
    </w:p>
    <w:p w14:paraId="2A5E23DD">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4</w:t>
      </w:r>
      <w:r>
        <w:rPr>
          <w:rFonts w:hint="eastAsia" w:ascii="宋体" w:hAnsi="宋体" w:cs="楷体_GB2312"/>
          <w:color w:val="auto"/>
          <w:sz w:val="24"/>
          <w:highlight w:val="none"/>
          <w:lang w:val="zh-CN"/>
        </w:rPr>
        <w:t>）联合体中有同类资质的供应商按照联合体分工承担相同工作的，应当按照资质等级较低的供应商确定资质等级。</w:t>
      </w:r>
    </w:p>
    <w:p w14:paraId="42117057">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5</w:t>
      </w:r>
      <w:r>
        <w:rPr>
          <w:rFonts w:hint="eastAsia" w:ascii="宋体" w:hAnsi="宋体" w:cs="楷体_GB2312"/>
          <w:color w:val="auto"/>
          <w:sz w:val="24"/>
          <w:highlight w:val="none"/>
          <w:lang w:val="zh-CN"/>
        </w:rPr>
        <w:t>）联合体各方之间应当签订联合投标协议，明确约定联合体各方承担的工作和相应的责任，并将联合投标协议连同投标文件一并提交采购代理机构。</w:t>
      </w:r>
    </w:p>
    <w:p w14:paraId="0925FB9F">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6</w:t>
      </w:r>
      <w:r>
        <w:rPr>
          <w:rFonts w:hint="eastAsia" w:ascii="宋体" w:hAnsi="宋体" w:cs="楷体_GB2312"/>
          <w:color w:val="auto"/>
          <w:sz w:val="24"/>
          <w:highlight w:val="none"/>
          <w:lang w:val="zh-CN"/>
        </w:rPr>
        <w:t>）联合体各方签订联合投标协议后，不得再以自己名义单独在同一项目中投标，也不得组成新的联合体参加同一项目投标。</w:t>
      </w:r>
    </w:p>
    <w:p w14:paraId="305E8A80">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7</w:t>
      </w:r>
      <w:r>
        <w:rPr>
          <w:rFonts w:hint="eastAsia" w:ascii="宋体" w:hAnsi="宋体" w:cs="楷体_GB2312"/>
          <w:color w:val="auto"/>
          <w:sz w:val="24"/>
          <w:highlight w:val="none"/>
          <w:lang w:val="zh-CN"/>
        </w:rPr>
        <w:t>）联合体中标的，联合体各方应当共同与采购人签订合同，就中标项目（标段&lt;包&gt;）向采购人承担连带责任。</w:t>
      </w:r>
    </w:p>
    <w:p w14:paraId="727E22CE">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（8）预留中小企业份额项目中，</w:t>
      </w:r>
      <w:r>
        <w:rPr>
          <w:rFonts w:hint="eastAsia" w:ascii="宋体" w:hAnsi="宋体"/>
          <w:color w:val="auto"/>
          <w:sz w:val="24"/>
          <w:szCs w:val="24"/>
          <w:highlight w:val="none"/>
        </w:rPr>
        <w:t>组成联合体的中小企业与联合体内其他企业不得存在直接控股、管理关系。</w:t>
      </w:r>
    </w:p>
    <w:p w14:paraId="6F8FFF2B">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hint="eastAsia" w:ascii="黑体" w:hAnsi="黑体" w:eastAsia="黑体" w:cs="楷体_GB2312"/>
          <w:b/>
          <w:color w:val="auto"/>
          <w:sz w:val="24"/>
          <w:highlight w:val="none"/>
          <w:lang w:val="zh-CN"/>
        </w:rPr>
        <w:t>1.5  知识产权</w:t>
      </w:r>
    </w:p>
    <w:p w14:paraId="05BF3BB5">
      <w:pPr>
        <w:ind w:firstLine="480" w:firstLineChars="200"/>
        <w:rPr>
          <w:rFonts w:ascii="宋体" w:hAnsi="宋体"/>
          <w:color w:val="auto"/>
          <w:sz w:val="24"/>
          <w:highlight w:val="none"/>
        </w:rPr>
      </w:pPr>
      <w:r>
        <w:rPr>
          <w:rFonts w:hint="eastAsia" w:ascii="宋体" w:hAnsi="宋体" w:cs="楷体_GB2312"/>
          <w:color w:val="auto"/>
          <w:sz w:val="24"/>
          <w:highlight w:val="none"/>
          <w:lang w:val="zh-CN"/>
        </w:rPr>
        <w:t>1.5.1 供应商须保证采购人使用投标货物、资料、技术、服务或其任何一部分时，享有不受限制的无偿使用权，不会产生因第三方提出侵犯其专利权、商标权或其它知识产权而引起的法律或经济纠纷。</w:t>
      </w:r>
      <w:r>
        <w:rPr>
          <w:rFonts w:hint="eastAsia" w:ascii="宋体" w:hAnsi="宋体"/>
          <w:color w:val="auto"/>
          <w:sz w:val="24"/>
          <w:highlight w:val="none"/>
        </w:rPr>
        <w:t>如因专利权、商标权或其它知识产权而引起法律和经济纠纷，由供应商承担所有相关责任。</w:t>
      </w:r>
    </w:p>
    <w:p w14:paraId="663211C0">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如供应商不拥有相应的知识产权，则在投标报价中必须包括合法获取该知识产权的一切相关费用。如因此导致采购人损失的，供应商须承担全部赔偿责任。</w:t>
      </w:r>
    </w:p>
    <w:p w14:paraId="66AB0187">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1.5.2供应商将在采购项目实施过程中采用自有或者第三方知识成果的，应当在投标文件中载明，并提供相关知识产权证明文件。使用该知识成果后，供应商需提供开发接口和开发手册等技术资料，并承诺提供无限期支持，采购人享有使用权（含采购人委托第三方在该项目后续开发的使用权）。</w:t>
      </w:r>
    </w:p>
    <w:p w14:paraId="7AB21B8D">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1.5.3 除非招标文件特别规定，采购人享有本项目实施过程中产生的知识成果及知识产权。</w:t>
      </w:r>
    </w:p>
    <w:p w14:paraId="147B3EA5">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w:t>
      </w:r>
      <w:r>
        <w:rPr>
          <w:rFonts w:hint="eastAsia" w:ascii="黑体" w:hAnsi="黑体" w:eastAsia="黑体" w:cs="楷体_GB2312"/>
          <w:b/>
          <w:color w:val="auto"/>
          <w:sz w:val="24"/>
          <w:highlight w:val="none"/>
          <w:lang w:val="zh-CN"/>
        </w:rPr>
        <w:t>6</w:t>
      </w:r>
      <w:r>
        <w:rPr>
          <w:rFonts w:ascii="黑体" w:hAnsi="黑体" w:eastAsia="黑体" w:cs="楷体_GB2312"/>
          <w:b/>
          <w:color w:val="auto"/>
          <w:sz w:val="24"/>
          <w:highlight w:val="none"/>
          <w:lang w:val="zh-CN"/>
        </w:rPr>
        <w:t xml:space="preserve"> </w:t>
      </w:r>
      <w:r>
        <w:rPr>
          <w:rFonts w:hint="eastAsia" w:ascii="黑体" w:hAnsi="黑体" w:eastAsia="黑体" w:cs="楷体_GB2312"/>
          <w:b/>
          <w:color w:val="auto"/>
          <w:sz w:val="24"/>
          <w:highlight w:val="none"/>
          <w:lang w:val="zh-CN"/>
        </w:rPr>
        <w:t>投标费用</w:t>
      </w:r>
    </w:p>
    <w:p w14:paraId="78E0D923">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无论投标过程中的做法和结果如何，无论何种原因的招标失败废标，投标人应自行承担所有与准备和参加投标有关的全部费用（类比商业采购中的客户洽谈费用），采购代理机构在任何情况下均无义务和责任承担投标人的任何费用。</w:t>
      </w:r>
    </w:p>
    <w:p w14:paraId="44471B01">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w:t>
      </w:r>
      <w:r>
        <w:rPr>
          <w:rFonts w:hint="eastAsia" w:ascii="黑体" w:hAnsi="黑体" w:eastAsia="黑体" w:cs="楷体_GB2312"/>
          <w:b/>
          <w:color w:val="auto"/>
          <w:sz w:val="24"/>
          <w:highlight w:val="none"/>
          <w:lang w:val="zh-CN"/>
        </w:rPr>
        <w:t xml:space="preserve">7 </w:t>
      </w:r>
      <w:r>
        <w:rPr>
          <w:rFonts w:ascii="黑体" w:hAnsi="黑体" w:eastAsia="黑体" w:cs="楷体_GB2312"/>
          <w:b/>
          <w:color w:val="auto"/>
          <w:sz w:val="24"/>
          <w:highlight w:val="none"/>
          <w:lang w:val="zh-CN"/>
        </w:rPr>
        <w:t xml:space="preserve"> </w:t>
      </w:r>
      <w:r>
        <w:rPr>
          <w:rFonts w:hint="eastAsia" w:ascii="黑体" w:hAnsi="黑体" w:eastAsia="黑体" w:cs="楷体_GB2312"/>
          <w:b/>
          <w:color w:val="auto"/>
          <w:sz w:val="24"/>
          <w:highlight w:val="none"/>
          <w:lang w:val="zh-CN"/>
        </w:rPr>
        <w:t>保密</w:t>
      </w:r>
    </w:p>
    <w:p w14:paraId="7F070851">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w:t>
      </w:r>
      <w:r>
        <w:rPr>
          <w:rFonts w:hint="eastAsia" w:ascii="宋体" w:hAnsi="宋体" w:cs="楷体_GB2312"/>
          <w:color w:val="auto"/>
          <w:sz w:val="24"/>
          <w:highlight w:val="none"/>
          <w:lang w:val="zh-CN"/>
        </w:rPr>
        <w:t>7</w:t>
      </w:r>
      <w:r>
        <w:rPr>
          <w:rFonts w:ascii="宋体" w:hAnsi="宋体" w:cs="楷体_GB2312"/>
          <w:color w:val="auto"/>
          <w:sz w:val="24"/>
          <w:highlight w:val="none"/>
          <w:lang w:val="zh-CN"/>
        </w:rPr>
        <w:t xml:space="preserve">.1 </w:t>
      </w:r>
      <w:r>
        <w:rPr>
          <w:rFonts w:hint="eastAsia" w:ascii="宋体" w:hAnsi="宋体" w:cs="楷体_GB2312"/>
          <w:color w:val="auto"/>
          <w:sz w:val="24"/>
          <w:highlight w:val="none"/>
          <w:lang w:val="zh-CN"/>
        </w:rPr>
        <w:t>参与公开招标活动的各方应对招标文件和投标文件中的商业和技术等秘密保密，投标人应在投标文件中对需保密事项予以书面声明，否则视为非保密事项。</w:t>
      </w:r>
    </w:p>
    <w:p w14:paraId="06F359A2">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w:t>
      </w:r>
      <w:r>
        <w:rPr>
          <w:rFonts w:hint="eastAsia" w:ascii="宋体" w:hAnsi="宋体" w:cs="楷体_GB2312"/>
          <w:color w:val="auto"/>
          <w:sz w:val="24"/>
          <w:highlight w:val="none"/>
          <w:lang w:val="zh-CN"/>
        </w:rPr>
        <w:t>7</w:t>
      </w:r>
      <w:r>
        <w:rPr>
          <w:rFonts w:ascii="宋体" w:hAnsi="宋体" w:cs="楷体_GB2312"/>
          <w:color w:val="auto"/>
          <w:sz w:val="24"/>
          <w:highlight w:val="none"/>
          <w:lang w:val="zh-CN"/>
        </w:rPr>
        <w:t xml:space="preserve">.2 </w:t>
      </w:r>
      <w:r>
        <w:rPr>
          <w:rFonts w:hint="eastAsia" w:ascii="宋体" w:hAnsi="宋体" w:cs="楷体_GB2312"/>
          <w:color w:val="auto"/>
          <w:sz w:val="24"/>
          <w:highlight w:val="none"/>
          <w:lang w:val="zh-CN"/>
        </w:rPr>
        <w:t>依据政府采购中标结果及合同公告规定，中标（合同）标的名称、规格型号、单价及中标（合同）金额等内容不得作为商业秘密。</w:t>
      </w:r>
    </w:p>
    <w:p w14:paraId="56E83B92">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w:t>
      </w:r>
      <w:r>
        <w:rPr>
          <w:rFonts w:hint="eastAsia" w:ascii="黑体" w:hAnsi="黑体" w:eastAsia="黑体" w:cs="楷体_GB2312"/>
          <w:b/>
          <w:color w:val="auto"/>
          <w:sz w:val="24"/>
          <w:highlight w:val="none"/>
          <w:lang w:val="zh-CN"/>
        </w:rPr>
        <w:t xml:space="preserve">8 </w:t>
      </w:r>
      <w:r>
        <w:rPr>
          <w:rFonts w:ascii="黑体" w:hAnsi="黑体" w:eastAsia="黑体" w:cs="楷体_GB2312"/>
          <w:b/>
          <w:color w:val="auto"/>
          <w:sz w:val="24"/>
          <w:highlight w:val="none"/>
          <w:lang w:val="zh-CN"/>
        </w:rPr>
        <w:t xml:space="preserve"> </w:t>
      </w:r>
      <w:r>
        <w:rPr>
          <w:rFonts w:hint="eastAsia" w:ascii="黑体" w:hAnsi="黑体" w:eastAsia="黑体" w:cs="楷体_GB2312"/>
          <w:b/>
          <w:color w:val="auto"/>
          <w:sz w:val="24"/>
          <w:highlight w:val="none"/>
          <w:lang w:val="zh-CN"/>
        </w:rPr>
        <w:t>语言文字</w:t>
      </w:r>
    </w:p>
    <w:p w14:paraId="2D8DE2D7">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除专用术语外，与公开招标有关的语言均使用中文。必要时专用术语应附有中文注释。如果投标文件或与投标有关的其它文件、信件及来往函电以其它语言书写，投标人应将其译成中文，并对中文译稿的真实、准确、完整承担责任。</w:t>
      </w:r>
    </w:p>
    <w:p w14:paraId="74677D3B">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w:t>
      </w:r>
      <w:r>
        <w:rPr>
          <w:rFonts w:hint="eastAsia" w:ascii="黑体" w:hAnsi="黑体" w:eastAsia="黑体" w:cs="楷体_GB2312"/>
          <w:b/>
          <w:color w:val="auto"/>
          <w:sz w:val="24"/>
          <w:highlight w:val="none"/>
          <w:lang w:val="zh-CN"/>
        </w:rPr>
        <w:t>9</w:t>
      </w:r>
      <w:r>
        <w:rPr>
          <w:rFonts w:ascii="黑体" w:hAnsi="黑体" w:eastAsia="黑体" w:cs="楷体_GB2312"/>
          <w:b/>
          <w:color w:val="auto"/>
          <w:sz w:val="24"/>
          <w:highlight w:val="none"/>
          <w:lang w:val="zh-CN"/>
        </w:rPr>
        <w:t xml:space="preserve"> </w:t>
      </w:r>
      <w:r>
        <w:rPr>
          <w:rFonts w:hint="eastAsia" w:ascii="黑体" w:hAnsi="黑体" w:eastAsia="黑体" w:cs="楷体_GB2312"/>
          <w:b/>
          <w:color w:val="auto"/>
          <w:sz w:val="24"/>
          <w:highlight w:val="none"/>
          <w:lang w:val="zh-CN"/>
        </w:rPr>
        <w:t>计量单位</w:t>
      </w:r>
    </w:p>
    <w:p w14:paraId="49D66355">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所有计量均采用中华人民共和国法定计量单位。</w:t>
      </w:r>
    </w:p>
    <w:p w14:paraId="49978F7B">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w:t>
      </w:r>
      <w:r>
        <w:rPr>
          <w:rFonts w:hint="eastAsia" w:ascii="黑体" w:hAnsi="黑体" w:eastAsia="黑体" w:cs="楷体_GB2312"/>
          <w:b/>
          <w:color w:val="auto"/>
          <w:sz w:val="24"/>
          <w:highlight w:val="none"/>
          <w:lang w:val="zh-CN"/>
        </w:rPr>
        <w:t>10</w:t>
      </w:r>
      <w:r>
        <w:rPr>
          <w:rFonts w:ascii="黑体" w:hAnsi="黑体" w:eastAsia="黑体" w:cs="楷体_GB2312"/>
          <w:b/>
          <w:color w:val="auto"/>
          <w:sz w:val="24"/>
          <w:highlight w:val="none"/>
          <w:lang w:val="zh-CN"/>
        </w:rPr>
        <w:t xml:space="preserve"> </w:t>
      </w:r>
      <w:r>
        <w:rPr>
          <w:rFonts w:hint="eastAsia" w:ascii="黑体" w:hAnsi="黑体" w:eastAsia="黑体" w:cs="楷体_GB2312"/>
          <w:b/>
          <w:color w:val="auto"/>
          <w:sz w:val="24"/>
          <w:highlight w:val="none"/>
          <w:lang w:val="zh-CN"/>
        </w:rPr>
        <w:t>踏勘现场</w:t>
      </w:r>
    </w:p>
    <w:p w14:paraId="4554EF57">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w:t>
      </w:r>
      <w:r>
        <w:rPr>
          <w:rFonts w:hint="eastAsia" w:ascii="宋体" w:hAnsi="宋体" w:cs="楷体_GB2312"/>
          <w:color w:val="auto"/>
          <w:sz w:val="24"/>
          <w:highlight w:val="none"/>
          <w:lang w:val="zh-CN"/>
        </w:rPr>
        <w:t>10</w:t>
      </w:r>
      <w:r>
        <w:rPr>
          <w:rFonts w:ascii="宋体" w:hAnsi="宋体" w:cs="楷体_GB2312"/>
          <w:color w:val="auto"/>
          <w:sz w:val="24"/>
          <w:highlight w:val="none"/>
          <w:lang w:val="zh-CN"/>
        </w:rPr>
        <w:t xml:space="preserve">.1 </w:t>
      </w:r>
      <w:r>
        <w:rPr>
          <w:rFonts w:hint="eastAsia" w:ascii="宋体" w:hAnsi="宋体" w:cs="楷体_GB2312"/>
          <w:color w:val="auto"/>
          <w:sz w:val="24"/>
          <w:highlight w:val="none"/>
          <w:lang w:val="zh-CN"/>
        </w:rPr>
        <w:t>投标人踏勘现场发生的费用自理，投标人自行负责在踏勘现场中所发生的人员伤亡和财产损失。</w:t>
      </w:r>
    </w:p>
    <w:p w14:paraId="3BE7D246">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w:t>
      </w:r>
      <w:r>
        <w:rPr>
          <w:rFonts w:hint="eastAsia" w:ascii="宋体" w:hAnsi="宋体" w:cs="楷体_GB2312"/>
          <w:color w:val="auto"/>
          <w:sz w:val="24"/>
          <w:highlight w:val="none"/>
          <w:lang w:val="zh-CN"/>
        </w:rPr>
        <w:t>10</w:t>
      </w:r>
      <w:r>
        <w:rPr>
          <w:rFonts w:ascii="宋体" w:hAnsi="宋体" w:cs="楷体_GB2312"/>
          <w:color w:val="auto"/>
          <w:sz w:val="24"/>
          <w:highlight w:val="none"/>
          <w:lang w:val="zh-CN"/>
        </w:rPr>
        <w:t xml:space="preserve">.2 </w:t>
      </w:r>
      <w:r>
        <w:rPr>
          <w:rFonts w:hint="eastAsia" w:ascii="宋体" w:hAnsi="宋体" w:cs="楷体_GB2312"/>
          <w:color w:val="auto"/>
          <w:sz w:val="24"/>
          <w:highlight w:val="none"/>
          <w:lang w:val="zh-CN"/>
        </w:rPr>
        <w:t>投标人须知前附表规定组织踏勘现场的，采购人及代理机构按投标人须知前附表规定的时间、地点组织投标人踏勘项目现场。或者在招标文件提供期限截止后以书面形式通知所有获取招标文件的潜在投标人。采购人及代理机构在踏勘现场中介绍的交验安装条件和相关的周边环境情况，供投标人在编制投标文件时参考，采购人及代理机构不对投标人据此作出的判断和决策负责。</w:t>
      </w:r>
    </w:p>
    <w:p w14:paraId="3A0B3D9B">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w:t>
      </w:r>
      <w:r>
        <w:rPr>
          <w:rFonts w:hint="eastAsia" w:ascii="宋体" w:hAnsi="宋体" w:cs="楷体_GB2312"/>
          <w:color w:val="auto"/>
          <w:sz w:val="24"/>
          <w:highlight w:val="none"/>
          <w:lang w:val="zh-CN"/>
        </w:rPr>
        <w:t>10</w:t>
      </w:r>
      <w:r>
        <w:rPr>
          <w:rFonts w:ascii="宋体" w:hAnsi="宋体" w:cs="楷体_GB2312"/>
          <w:color w:val="auto"/>
          <w:sz w:val="24"/>
          <w:highlight w:val="none"/>
          <w:lang w:val="zh-CN"/>
        </w:rPr>
        <w:t xml:space="preserve">.3 </w:t>
      </w:r>
      <w:r>
        <w:rPr>
          <w:rFonts w:hint="eastAsia" w:ascii="宋体" w:hAnsi="宋体" w:cs="楷体_GB2312"/>
          <w:color w:val="auto"/>
          <w:sz w:val="24"/>
          <w:highlight w:val="none"/>
          <w:lang w:val="zh-CN"/>
        </w:rPr>
        <w:t>不组织踏勘现场的，招标文件不单独提供交付（实施）地自然环境、气候条件、交验安装条件等情况说明，投标人被视为熟悉前述与履行合同有关的一切情况，投标人可自行踏勘现场并自行了解相关情况。</w:t>
      </w:r>
    </w:p>
    <w:p w14:paraId="13AED51C">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1.1</w:t>
      </w:r>
      <w:r>
        <w:rPr>
          <w:rFonts w:hint="eastAsia" w:ascii="黑体" w:hAnsi="黑体" w:eastAsia="黑体" w:cs="楷体_GB2312"/>
          <w:b/>
          <w:color w:val="auto"/>
          <w:sz w:val="24"/>
          <w:highlight w:val="none"/>
          <w:lang w:val="zh-CN"/>
        </w:rPr>
        <w:t>1</w:t>
      </w:r>
      <w:r>
        <w:rPr>
          <w:rFonts w:ascii="黑体" w:hAnsi="黑体" w:eastAsia="黑体" w:cs="楷体_GB2312"/>
          <w:b/>
          <w:color w:val="auto"/>
          <w:sz w:val="24"/>
          <w:highlight w:val="none"/>
          <w:lang w:val="zh-CN"/>
        </w:rPr>
        <w:t xml:space="preserve"> </w:t>
      </w:r>
      <w:r>
        <w:rPr>
          <w:rFonts w:hint="eastAsia" w:ascii="黑体" w:hAnsi="黑体" w:eastAsia="黑体" w:cs="楷体_GB2312"/>
          <w:b/>
          <w:color w:val="auto"/>
          <w:sz w:val="24"/>
          <w:highlight w:val="none"/>
          <w:lang w:val="zh-CN"/>
        </w:rPr>
        <w:t>开标前答疑会</w:t>
      </w:r>
    </w:p>
    <w:p w14:paraId="2BD1E5C5">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1.1</w:t>
      </w:r>
      <w:r>
        <w:rPr>
          <w:rFonts w:hint="eastAsia" w:ascii="宋体" w:hAnsi="宋体" w:cs="楷体_GB2312"/>
          <w:color w:val="auto"/>
          <w:sz w:val="24"/>
          <w:highlight w:val="none"/>
          <w:lang w:val="zh-CN"/>
        </w:rPr>
        <w:t>1</w:t>
      </w:r>
      <w:r>
        <w:rPr>
          <w:rFonts w:ascii="宋体" w:hAnsi="宋体" w:cs="楷体_GB2312"/>
          <w:color w:val="auto"/>
          <w:sz w:val="24"/>
          <w:highlight w:val="none"/>
          <w:lang w:val="zh-CN"/>
        </w:rPr>
        <w:t xml:space="preserve">.1 </w:t>
      </w:r>
      <w:r>
        <w:rPr>
          <w:rFonts w:hint="eastAsia" w:ascii="宋体" w:hAnsi="宋体" w:cs="楷体_GB2312"/>
          <w:color w:val="auto"/>
          <w:sz w:val="24"/>
          <w:highlight w:val="none"/>
          <w:lang w:val="zh-CN"/>
        </w:rPr>
        <w:t>采购人或者采购代理机构可以在招标文件提供期限截止后，组织已获取招标文件的潜在投标人召开开标前答疑会。</w:t>
      </w:r>
    </w:p>
    <w:p w14:paraId="7E130D32">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召开答疑会的，将在招标文件中载明，或者在招标文件提供期限截止后以书面形式通知所有获取招标文件的潜在投标人。</w:t>
      </w:r>
    </w:p>
    <w:p w14:paraId="79C53BF7">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1.1</w:t>
      </w:r>
      <w:r>
        <w:rPr>
          <w:rFonts w:hint="eastAsia" w:ascii="宋体" w:hAnsi="宋体" w:cs="楷体_GB2312"/>
          <w:color w:val="auto"/>
          <w:sz w:val="24"/>
          <w:highlight w:val="none"/>
          <w:lang w:val="zh-CN"/>
        </w:rPr>
        <w:t>1</w:t>
      </w:r>
      <w:r>
        <w:rPr>
          <w:rFonts w:ascii="宋体" w:hAnsi="宋体" w:cs="楷体_GB2312"/>
          <w:color w:val="auto"/>
          <w:sz w:val="24"/>
          <w:highlight w:val="none"/>
          <w:lang w:val="zh-CN"/>
        </w:rPr>
        <w:t xml:space="preserve">.2 </w:t>
      </w:r>
      <w:r>
        <w:rPr>
          <w:rFonts w:hint="eastAsia" w:ascii="宋体" w:hAnsi="宋体" w:cs="楷体_GB2312"/>
          <w:color w:val="auto"/>
          <w:sz w:val="24"/>
          <w:highlight w:val="none"/>
          <w:lang w:val="zh-CN"/>
        </w:rPr>
        <w:t>投标人应在投标人须知前附表或书面通知规定的时间前，以书面形式将提出的问题送达采购人及代理机构，以便采购人及代理机构在会议期间答疑说明。投标人需要采购人或者采购代理机构书面澄清的问题，应当书面明确标注。</w:t>
      </w:r>
    </w:p>
    <w:p w14:paraId="07EEB373">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1.1</w:t>
      </w:r>
      <w:r>
        <w:rPr>
          <w:rFonts w:hint="eastAsia" w:ascii="宋体" w:hAnsi="宋体" w:cs="楷体_GB2312"/>
          <w:color w:val="auto"/>
          <w:sz w:val="24"/>
          <w:highlight w:val="none"/>
          <w:lang w:val="zh-CN"/>
        </w:rPr>
        <w:t>1</w:t>
      </w:r>
      <w:r>
        <w:rPr>
          <w:rFonts w:ascii="宋体" w:hAnsi="宋体" w:cs="楷体_GB2312"/>
          <w:color w:val="auto"/>
          <w:sz w:val="24"/>
          <w:highlight w:val="none"/>
          <w:lang w:val="zh-CN"/>
        </w:rPr>
        <w:t xml:space="preserve">.3 </w:t>
      </w:r>
      <w:r>
        <w:rPr>
          <w:rFonts w:hint="eastAsia" w:ascii="宋体" w:hAnsi="宋体" w:cs="楷体_GB2312"/>
          <w:color w:val="auto"/>
          <w:sz w:val="24"/>
          <w:highlight w:val="none"/>
          <w:lang w:val="zh-CN"/>
        </w:rPr>
        <w:t>答疑会后，采购人及代理机构在投标人须知前附表规定的时间内，将对投标人依法提出的重要问题的澄清，以本章</w:t>
      </w:r>
      <w:r>
        <w:rPr>
          <w:rFonts w:ascii="宋体" w:hAnsi="宋体" w:cs="楷体_GB2312"/>
          <w:color w:val="auto"/>
          <w:sz w:val="24"/>
          <w:highlight w:val="none"/>
          <w:lang w:val="zh-CN"/>
        </w:rPr>
        <w:t>2.</w:t>
      </w:r>
      <w:r>
        <w:rPr>
          <w:rFonts w:hint="eastAsia" w:ascii="宋体" w:hAnsi="宋体" w:cs="楷体_GB2312"/>
          <w:color w:val="auto"/>
          <w:sz w:val="24"/>
          <w:highlight w:val="none"/>
          <w:lang w:val="zh-CN"/>
        </w:rPr>
        <w:t>4</w:t>
      </w:r>
      <w:r>
        <w:rPr>
          <w:rFonts w:ascii="宋体" w:hAnsi="宋体" w:cs="楷体_GB2312"/>
          <w:color w:val="auto"/>
          <w:sz w:val="24"/>
          <w:highlight w:val="none"/>
          <w:lang w:val="zh-CN"/>
        </w:rPr>
        <w:t>.</w:t>
      </w:r>
      <w:r>
        <w:rPr>
          <w:rFonts w:hint="eastAsia" w:ascii="宋体" w:hAnsi="宋体" w:cs="楷体_GB2312"/>
          <w:color w:val="auto"/>
          <w:sz w:val="24"/>
          <w:highlight w:val="none"/>
          <w:lang w:val="zh-CN"/>
        </w:rPr>
        <w:t>1项方式通告潜在投标人。该澄清内容为招标文件的组成部分。</w:t>
      </w:r>
    </w:p>
    <w:p w14:paraId="410AAE9C">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1.1</w:t>
      </w:r>
      <w:r>
        <w:rPr>
          <w:rFonts w:hint="eastAsia" w:ascii="黑体" w:hAnsi="黑体" w:eastAsia="黑体" w:cs="楷体_GB2312"/>
          <w:b/>
          <w:color w:val="auto"/>
          <w:sz w:val="24"/>
          <w:highlight w:val="none"/>
          <w:lang w:val="zh-CN"/>
        </w:rPr>
        <w:t>2</w:t>
      </w:r>
      <w:r>
        <w:rPr>
          <w:rFonts w:ascii="黑体" w:hAnsi="黑体" w:eastAsia="黑体" w:cs="楷体_GB2312"/>
          <w:b/>
          <w:color w:val="auto"/>
          <w:sz w:val="24"/>
          <w:highlight w:val="none"/>
          <w:lang w:val="zh-CN"/>
        </w:rPr>
        <w:t xml:space="preserve"> </w:t>
      </w:r>
      <w:r>
        <w:rPr>
          <w:rFonts w:hint="eastAsia" w:ascii="黑体" w:hAnsi="黑体" w:eastAsia="黑体" w:cs="楷体_GB2312"/>
          <w:b/>
          <w:color w:val="auto"/>
          <w:sz w:val="24"/>
          <w:highlight w:val="none"/>
          <w:lang w:val="zh-CN"/>
        </w:rPr>
        <w:t>分包</w:t>
      </w:r>
    </w:p>
    <w:p w14:paraId="0C7532C1">
      <w:pPr>
        <w:autoSpaceDE w:val="0"/>
        <w:autoSpaceDN w:val="0"/>
        <w:adjustRightInd w:val="0"/>
        <w:snapToGrid w:val="0"/>
        <w:spacing w:before="156" w:beforeLines="50" w:line="300" w:lineRule="auto"/>
        <w:ind w:firstLine="539"/>
        <w:rPr>
          <w:rFonts w:ascii="宋体" w:hAnsi="宋体" w:cs="宋体"/>
          <w:color w:val="auto"/>
          <w:sz w:val="24"/>
          <w:highlight w:val="none"/>
        </w:rPr>
      </w:pPr>
      <w:r>
        <w:rPr>
          <w:rFonts w:hint="eastAsia" w:ascii="宋体" w:hAnsi="宋体" w:cs="楷体_GB2312"/>
          <w:color w:val="auto"/>
          <w:sz w:val="24"/>
          <w:highlight w:val="none"/>
          <w:lang w:val="zh-CN"/>
        </w:rPr>
        <w:t>投标人拟中标后将中标项目（标段&lt;包&gt;）的部分非主体、非关键性工作进行分包的，应符合投标人须知前附表规定的分包内容、分包金额和接受分包的第三人资质要求等限制性条件。投标人</w:t>
      </w:r>
      <w:r>
        <w:rPr>
          <w:rFonts w:hint="eastAsia" w:ascii="宋体" w:hAnsi="宋体" w:cs="宋体"/>
          <w:color w:val="auto"/>
          <w:sz w:val="24"/>
          <w:highlight w:val="none"/>
        </w:rPr>
        <w:t>应当在投标文件中载明分包承担主体，分包承担主体应当具备相应资质条件且不得再次分包。</w:t>
      </w:r>
    </w:p>
    <w:p w14:paraId="03C9A53A">
      <w:pPr>
        <w:autoSpaceDE w:val="0"/>
        <w:autoSpaceDN w:val="0"/>
        <w:adjustRightInd w:val="0"/>
        <w:snapToGrid w:val="0"/>
        <w:spacing w:before="156" w:beforeLines="50" w:line="300" w:lineRule="auto"/>
        <w:ind w:firstLine="539"/>
        <w:rPr>
          <w:rFonts w:ascii="宋体" w:hAnsi="宋体"/>
          <w:color w:val="auto"/>
          <w:sz w:val="24"/>
          <w:szCs w:val="24"/>
          <w:highlight w:val="none"/>
        </w:rPr>
      </w:pPr>
      <w:r>
        <w:rPr>
          <w:rFonts w:hint="eastAsia" w:ascii="宋体" w:hAnsi="宋体" w:cs="楷体_GB2312"/>
          <w:color w:val="auto"/>
          <w:sz w:val="24"/>
          <w:highlight w:val="none"/>
          <w:lang w:val="zh-CN"/>
        </w:rPr>
        <w:t>预留中小企业份额项目中，</w:t>
      </w:r>
      <w:r>
        <w:rPr>
          <w:rFonts w:hint="eastAsia" w:ascii="宋体" w:hAnsi="宋体"/>
          <w:color w:val="auto"/>
          <w:sz w:val="24"/>
          <w:szCs w:val="24"/>
          <w:highlight w:val="none"/>
        </w:rPr>
        <w:t>接受分包合同的中小企业与分包企业之间不得存在直接控股、管理关系。</w:t>
      </w:r>
    </w:p>
    <w:p w14:paraId="57714E80">
      <w:pPr>
        <w:autoSpaceDE w:val="0"/>
        <w:autoSpaceDN w:val="0"/>
        <w:adjustRightInd w:val="0"/>
        <w:snapToGrid w:val="0"/>
        <w:spacing w:before="156" w:beforeLines="50" w:line="300" w:lineRule="auto"/>
        <w:ind w:firstLine="539"/>
        <w:rPr>
          <w:rFonts w:ascii="宋体" w:cs="楷体_GB2312"/>
          <w:color w:val="auto"/>
          <w:sz w:val="24"/>
          <w:highlight w:val="none"/>
        </w:rPr>
      </w:pPr>
      <w:r>
        <w:rPr>
          <w:rFonts w:hint="eastAsia" w:ascii="宋体" w:cs="楷体_GB2312"/>
          <w:color w:val="auto"/>
          <w:sz w:val="24"/>
          <w:highlight w:val="none"/>
        </w:rPr>
        <w:t>依法享受扶持政策获得政府采购合同的，小微企业不得将合同分包给大中型企业，中型企业不得将合同分包给大型企业。</w:t>
      </w:r>
    </w:p>
    <w:p w14:paraId="1CDEEC2C">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1.1</w:t>
      </w:r>
      <w:r>
        <w:rPr>
          <w:rFonts w:hint="eastAsia" w:ascii="黑体" w:hAnsi="黑体" w:eastAsia="黑体" w:cs="楷体_GB2312"/>
          <w:b/>
          <w:color w:val="auto"/>
          <w:sz w:val="24"/>
          <w:highlight w:val="none"/>
          <w:lang w:val="zh-CN"/>
        </w:rPr>
        <w:t>3 偏离</w:t>
      </w:r>
    </w:p>
    <w:p w14:paraId="76EB1014">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招标文件允许投标文件偏离招标文件某些要求的，偏离应当符合招标文件规定的偏离范围和幅度。</w:t>
      </w:r>
    </w:p>
    <w:p w14:paraId="4C9EB229">
      <w:pPr>
        <w:autoSpaceDE w:val="0"/>
        <w:autoSpaceDN w:val="0"/>
        <w:adjustRightInd w:val="0"/>
        <w:snapToGrid w:val="0"/>
        <w:spacing w:before="156" w:beforeLines="50" w:line="300" w:lineRule="auto"/>
        <w:ind w:firstLine="539"/>
        <w:rPr>
          <w:rFonts w:ascii="黑体" w:hAnsi="黑体" w:eastAsia="黑体" w:cs="楷体_GB2312"/>
          <w:b/>
          <w:bCs/>
          <w:color w:val="auto"/>
          <w:sz w:val="28"/>
          <w:szCs w:val="28"/>
          <w:highlight w:val="none"/>
          <w:lang w:val="zh-CN"/>
        </w:rPr>
      </w:pPr>
    </w:p>
    <w:p w14:paraId="497F57F2">
      <w:pPr>
        <w:autoSpaceDE w:val="0"/>
        <w:autoSpaceDN w:val="0"/>
        <w:adjustRightInd w:val="0"/>
        <w:snapToGrid w:val="0"/>
        <w:spacing w:before="156" w:beforeLines="50" w:line="300" w:lineRule="auto"/>
        <w:ind w:firstLine="539"/>
        <w:outlineLvl w:val="1"/>
        <w:rPr>
          <w:rFonts w:ascii="黑体" w:hAnsi="黑体" w:eastAsia="黑体" w:cs="楷体_GB2312"/>
          <w:b/>
          <w:bCs/>
          <w:color w:val="auto"/>
          <w:sz w:val="28"/>
          <w:szCs w:val="28"/>
          <w:highlight w:val="none"/>
          <w:lang w:val="zh-CN"/>
        </w:rPr>
      </w:pPr>
      <w:bookmarkStart w:id="30" w:name="_Toc10536"/>
      <w:r>
        <w:rPr>
          <w:rFonts w:ascii="黑体" w:hAnsi="黑体" w:eastAsia="黑体" w:cs="楷体_GB2312"/>
          <w:b/>
          <w:bCs/>
          <w:color w:val="auto"/>
          <w:sz w:val="28"/>
          <w:szCs w:val="28"/>
          <w:highlight w:val="none"/>
          <w:lang w:val="zh-CN"/>
        </w:rPr>
        <w:t xml:space="preserve">2 </w:t>
      </w:r>
      <w:r>
        <w:rPr>
          <w:rFonts w:hint="eastAsia" w:ascii="黑体" w:hAnsi="黑体" w:eastAsia="黑体" w:cs="楷体_GB2312"/>
          <w:b/>
          <w:bCs/>
          <w:color w:val="auto"/>
          <w:sz w:val="28"/>
          <w:szCs w:val="28"/>
          <w:highlight w:val="none"/>
          <w:lang w:val="zh-CN"/>
        </w:rPr>
        <w:t>招标文件</w:t>
      </w:r>
      <w:bookmarkEnd w:id="30"/>
    </w:p>
    <w:p w14:paraId="0F6034BC">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黑体" w:hAnsi="黑体" w:eastAsia="黑体" w:cs="楷体_GB2312"/>
          <w:b/>
          <w:color w:val="auto"/>
          <w:sz w:val="24"/>
          <w:highlight w:val="none"/>
          <w:lang w:val="zh-CN"/>
        </w:rPr>
        <w:t xml:space="preserve">2.1 </w:t>
      </w:r>
      <w:r>
        <w:rPr>
          <w:rFonts w:hint="eastAsia" w:ascii="黑体" w:hAnsi="黑体" w:eastAsia="黑体" w:cs="楷体_GB2312"/>
          <w:b/>
          <w:color w:val="auto"/>
          <w:sz w:val="24"/>
          <w:highlight w:val="none"/>
          <w:lang w:val="zh-CN"/>
        </w:rPr>
        <w:t>招标文件的组成</w:t>
      </w:r>
      <w:r>
        <w:rPr>
          <w:rFonts w:hint="eastAsia" w:ascii="宋体" w:hAnsi="宋体" w:cs="楷体_GB2312"/>
          <w:color w:val="auto"/>
          <w:sz w:val="24"/>
          <w:highlight w:val="none"/>
          <w:lang w:val="zh-CN"/>
        </w:rPr>
        <w:t>：</w:t>
      </w:r>
    </w:p>
    <w:p w14:paraId="7B845485">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2.1.1 </w:t>
      </w:r>
      <w:r>
        <w:rPr>
          <w:rFonts w:hint="eastAsia" w:ascii="宋体" w:hAnsi="宋体" w:cs="楷体_GB2312"/>
          <w:color w:val="auto"/>
          <w:sz w:val="24"/>
          <w:highlight w:val="none"/>
          <w:lang w:val="zh-CN"/>
        </w:rPr>
        <w:t>招标文件用以阐明招标项目的内容、程序和合同主要条款。招标文件由下述部分组成：</w:t>
      </w:r>
    </w:p>
    <w:p w14:paraId="2225F04F">
      <w:pPr>
        <w:autoSpaceDE w:val="0"/>
        <w:autoSpaceDN w:val="0"/>
        <w:adjustRightInd w:val="0"/>
        <w:snapToGrid w:val="0"/>
        <w:spacing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）招标公告</w:t>
      </w:r>
    </w:p>
    <w:p w14:paraId="757A22DF">
      <w:pPr>
        <w:autoSpaceDE w:val="0"/>
        <w:autoSpaceDN w:val="0"/>
        <w:adjustRightInd w:val="0"/>
        <w:snapToGrid w:val="0"/>
        <w:spacing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2</w:t>
      </w:r>
      <w:r>
        <w:rPr>
          <w:rFonts w:hint="eastAsia" w:ascii="宋体" w:hAnsi="宋体" w:cs="楷体_GB2312"/>
          <w:color w:val="auto"/>
          <w:sz w:val="24"/>
          <w:highlight w:val="none"/>
          <w:lang w:val="zh-CN"/>
        </w:rPr>
        <w:t>）招标项目要求及采购需求</w:t>
      </w:r>
    </w:p>
    <w:p w14:paraId="781B5504">
      <w:pPr>
        <w:autoSpaceDE w:val="0"/>
        <w:autoSpaceDN w:val="0"/>
        <w:adjustRightInd w:val="0"/>
        <w:snapToGrid w:val="0"/>
        <w:spacing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3</w:t>
      </w:r>
      <w:r>
        <w:rPr>
          <w:rFonts w:hint="eastAsia" w:ascii="宋体" w:hAnsi="宋体" w:cs="楷体_GB2312"/>
          <w:color w:val="auto"/>
          <w:sz w:val="24"/>
          <w:highlight w:val="none"/>
          <w:lang w:val="zh-CN"/>
        </w:rPr>
        <w:t>）投标人须知</w:t>
      </w:r>
    </w:p>
    <w:p w14:paraId="310CD8C2">
      <w:pPr>
        <w:autoSpaceDE w:val="0"/>
        <w:autoSpaceDN w:val="0"/>
        <w:adjustRightInd w:val="0"/>
        <w:snapToGrid w:val="0"/>
        <w:spacing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4</w:t>
      </w:r>
      <w:r>
        <w:rPr>
          <w:rFonts w:hint="eastAsia" w:ascii="宋体" w:hAnsi="宋体" w:cs="楷体_GB2312"/>
          <w:color w:val="auto"/>
          <w:sz w:val="24"/>
          <w:highlight w:val="none"/>
          <w:lang w:val="zh-CN"/>
        </w:rPr>
        <w:t>）评标办法</w:t>
      </w:r>
    </w:p>
    <w:p w14:paraId="23000B2A">
      <w:pPr>
        <w:autoSpaceDE w:val="0"/>
        <w:autoSpaceDN w:val="0"/>
        <w:adjustRightInd w:val="0"/>
        <w:snapToGrid w:val="0"/>
        <w:spacing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5</w:t>
      </w:r>
      <w:r>
        <w:rPr>
          <w:rFonts w:hint="eastAsia" w:ascii="宋体" w:hAnsi="宋体" w:cs="楷体_GB2312"/>
          <w:color w:val="auto"/>
          <w:sz w:val="24"/>
          <w:highlight w:val="none"/>
          <w:lang w:val="zh-CN"/>
        </w:rPr>
        <w:t>）合同主要条款</w:t>
      </w:r>
    </w:p>
    <w:p w14:paraId="423F0648">
      <w:pPr>
        <w:autoSpaceDE w:val="0"/>
        <w:autoSpaceDN w:val="0"/>
        <w:adjustRightInd w:val="0"/>
        <w:snapToGrid w:val="0"/>
        <w:spacing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6</w:t>
      </w:r>
      <w:r>
        <w:rPr>
          <w:rFonts w:hint="eastAsia" w:ascii="宋体" w:hAnsi="宋体" w:cs="楷体_GB2312"/>
          <w:color w:val="auto"/>
          <w:sz w:val="24"/>
          <w:highlight w:val="none"/>
          <w:lang w:val="zh-CN"/>
        </w:rPr>
        <w:t>）投标文件格式</w:t>
      </w:r>
    </w:p>
    <w:p w14:paraId="25879C05">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2.1.2 </w:t>
      </w:r>
      <w:r>
        <w:rPr>
          <w:rFonts w:hint="eastAsia" w:ascii="宋体" w:hAnsi="宋体" w:cs="楷体_GB2312"/>
          <w:color w:val="auto"/>
          <w:sz w:val="24"/>
          <w:highlight w:val="none"/>
          <w:lang w:val="zh-CN"/>
        </w:rPr>
        <w:t>根据本章第</w:t>
      </w:r>
      <w:r>
        <w:rPr>
          <w:rFonts w:ascii="宋体" w:hAnsi="宋体" w:cs="楷体_GB2312"/>
          <w:color w:val="auto"/>
          <w:sz w:val="24"/>
          <w:highlight w:val="none"/>
          <w:lang w:val="zh-CN"/>
        </w:rPr>
        <w:t>1.1</w:t>
      </w:r>
      <w:r>
        <w:rPr>
          <w:rFonts w:hint="eastAsia" w:ascii="宋体" w:hAnsi="宋体" w:cs="楷体_GB2312"/>
          <w:color w:val="auto"/>
          <w:sz w:val="24"/>
          <w:highlight w:val="none"/>
          <w:lang w:val="zh-CN"/>
        </w:rPr>
        <w:t>1款、第</w:t>
      </w:r>
      <w:r>
        <w:rPr>
          <w:rFonts w:ascii="宋体" w:hAnsi="宋体" w:cs="楷体_GB2312"/>
          <w:color w:val="auto"/>
          <w:sz w:val="24"/>
          <w:highlight w:val="none"/>
          <w:lang w:val="zh-CN"/>
        </w:rPr>
        <w:t>2.2</w:t>
      </w:r>
      <w:r>
        <w:rPr>
          <w:rFonts w:hint="eastAsia" w:ascii="宋体" w:hAnsi="宋体" w:cs="楷体_GB2312"/>
          <w:color w:val="auto"/>
          <w:sz w:val="24"/>
          <w:highlight w:val="none"/>
          <w:lang w:val="zh-CN"/>
        </w:rPr>
        <w:t>款、第</w:t>
      </w:r>
      <w:r>
        <w:rPr>
          <w:rFonts w:ascii="宋体" w:hAnsi="宋体" w:cs="楷体_GB2312"/>
          <w:color w:val="auto"/>
          <w:sz w:val="24"/>
          <w:highlight w:val="none"/>
          <w:lang w:val="zh-CN"/>
        </w:rPr>
        <w:t>2.3</w:t>
      </w:r>
      <w:r>
        <w:rPr>
          <w:rFonts w:hint="eastAsia" w:ascii="宋体" w:hAnsi="宋体" w:cs="楷体_GB2312"/>
          <w:color w:val="auto"/>
          <w:sz w:val="24"/>
          <w:highlight w:val="none"/>
          <w:lang w:val="zh-CN"/>
        </w:rPr>
        <w:t>款和第</w:t>
      </w:r>
      <w:r>
        <w:rPr>
          <w:rFonts w:ascii="宋体" w:hAnsi="宋体" w:cs="楷体_GB2312"/>
          <w:color w:val="auto"/>
          <w:sz w:val="24"/>
          <w:highlight w:val="none"/>
          <w:lang w:val="zh-CN"/>
        </w:rPr>
        <w:t>2.</w:t>
      </w:r>
      <w:r>
        <w:rPr>
          <w:rFonts w:hint="eastAsia" w:ascii="宋体" w:hAnsi="宋体" w:cs="楷体_GB2312"/>
          <w:color w:val="auto"/>
          <w:sz w:val="24"/>
          <w:highlight w:val="none"/>
          <w:lang w:val="zh-CN"/>
        </w:rPr>
        <w:t>4款、对招标文件的澄清、修改、补充书构成招标文件的组成部分，并取代招标文件中被澄清、修改处，对所有投标人均有约束力。</w:t>
      </w:r>
    </w:p>
    <w:p w14:paraId="258AB2B4">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2.1.3 </w:t>
      </w:r>
      <w:r>
        <w:rPr>
          <w:rFonts w:hint="eastAsia" w:ascii="宋体" w:hAnsi="宋体" w:cs="楷体_GB2312"/>
          <w:color w:val="auto"/>
          <w:sz w:val="24"/>
          <w:highlight w:val="none"/>
          <w:lang w:val="zh-CN"/>
        </w:rPr>
        <w:t>当招标文件、招标文件的澄清、修改、补充等在同一内容的表述上不一致时，以最后发出（发布）的文件为准。</w:t>
      </w:r>
    </w:p>
    <w:p w14:paraId="51736E8F">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2.1.4 </w:t>
      </w:r>
      <w:r>
        <w:rPr>
          <w:rFonts w:hint="eastAsia" w:ascii="宋体" w:hAnsi="宋体" w:cs="楷体_GB2312"/>
          <w:color w:val="auto"/>
          <w:sz w:val="24"/>
          <w:highlight w:val="none"/>
          <w:lang w:val="zh-CN"/>
        </w:rPr>
        <w:t>投标人与任何人的口头协议不影响《招标文件》的任何条款和内容。</w:t>
      </w:r>
    </w:p>
    <w:p w14:paraId="2409A64B">
      <w:pPr>
        <w:autoSpaceDE w:val="0"/>
        <w:autoSpaceDN w:val="0"/>
        <w:adjustRightInd w:val="0"/>
        <w:snapToGrid w:val="0"/>
        <w:spacing w:before="156" w:beforeLines="50" w:line="300" w:lineRule="auto"/>
        <w:ind w:firstLine="539"/>
        <w:rPr>
          <w:rFonts w:ascii="宋体" w:cs="楷体_GB2312"/>
          <w:color w:val="auto"/>
          <w:sz w:val="24"/>
          <w:highlight w:val="none"/>
        </w:rPr>
      </w:pPr>
      <w:r>
        <w:rPr>
          <w:rFonts w:ascii="宋体" w:hAnsi="宋体" w:cs="楷体_GB2312"/>
          <w:color w:val="auto"/>
          <w:sz w:val="24"/>
          <w:highlight w:val="none"/>
        </w:rPr>
        <w:t>2.1.5</w:t>
      </w:r>
      <w:r>
        <w:rPr>
          <w:rFonts w:hint="eastAsia" w:ascii="宋体" w:hAnsi="宋体" w:cs="楷体_GB2312"/>
          <w:color w:val="auto"/>
          <w:sz w:val="24"/>
          <w:highlight w:val="none"/>
        </w:rPr>
        <w:t>投标人应仔细阅读和检查招标文件的全部内容是否齐全，如发现缺页或附件不全等遗漏，应及时向采购代理机构提出并索取补齐，否则责任及风险自负。</w:t>
      </w:r>
    </w:p>
    <w:p w14:paraId="07FD1846">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2.2 </w:t>
      </w:r>
      <w:r>
        <w:rPr>
          <w:rFonts w:hint="eastAsia" w:ascii="黑体" w:hAnsi="黑体" w:eastAsia="黑体" w:cs="楷体_GB2312"/>
          <w:b/>
          <w:color w:val="auto"/>
          <w:sz w:val="24"/>
          <w:highlight w:val="none"/>
          <w:lang w:val="zh-CN"/>
        </w:rPr>
        <w:t>招标文件的澄清</w:t>
      </w:r>
    </w:p>
    <w:p w14:paraId="55213991">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ascii="宋体" w:hAnsi="宋体" w:cs="楷体_GB2312"/>
          <w:color w:val="auto"/>
          <w:sz w:val="24"/>
          <w:highlight w:val="none"/>
          <w:lang w:val="zh-CN"/>
        </w:rPr>
        <w:t xml:space="preserve">2.2.1 </w:t>
      </w:r>
      <w:r>
        <w:rPr>
          <w:rFonts w:hint="eastAsia" w:ascii="宋体" w:hAnsi="宋体" w:cs="楷体_GB2312"/>
          <w:color w:val="auto"/>
          <w:sz w:val="24"/>
          <w:highlight w:val="none"/>
          <w:lang w:val="zh-CN"/>
        </w:rPr>
        <w:t>合规获取招标文件的所有潜在投标人对招标文件如有需澄清的疑问，应在投标人须知前附表规定的时间内，按投标人须知前附表规定通知到采购代理机构。在规定的时间内未提出疑问的，将视为对招标文件的完全认可。</w:t>
      </w:r>
    </w:p>
    <w:p w14:paraId="4BD7754A">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2.2.2 </w:t>
      </w:r>
      <w:r>
        <w:rPr>
          <w:rFonts w:hint="eastAsia" w:ascii="宋体" w:hAnsi="宋体" w:cs="楷体_GB2312"/>
          <w:color w:val="auto"/>
          <w:sz w:val="24"/>
          <w:highlight w:val="none"/>
          <w:lang w:val="zh-CN"/>
        </w:rPr>
        <w:t>采购代理机构对潜在投标人在规定的时间内提出的疑问，将按投标人须知前附表规定予以答复。</w:t>
      </w:r>
    </w:p>
    <w:p w14:paraId="2BE7C0F5">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2.2.3 </w:t>
      </w:r>
      <w:r>
        <w:rPr>
          <w:rFonts w:hint="eastAsia" w:ascii="宋体" w:hAnsi="宋体" w:cs="楷体_GB2312"/>
          <w:color w:val="auto"/>
          <w:sz w:val="24"/>
          <w:highlight w:val="none"/>
          <w:lang w:val="zh-CN"/>
        </w:rPr>
        <w:t>招标文件中如有不符合国家有关强制性规定、不符合国家标准及行业标准的，投标人应在投标阶段或中标实施阶段予以纠正或尽提醒义务。如作为有经验的投标人（中标人）应当知道而未尽提醒义务的，执行指令而造成的损失及风险由投标人（中标人）承担。</w:t>
      </w:r>
    </w:p>
    <w:p w14:paraId="3D6F277A">
      <w:pPr>
        <w:adjustRightInd w:val="0"/>
        <w:snapToGrid w:val="0"/>
        <w:spacing w:before="156" w:beforeLines="50" w:line="300" w:lineRule="auto"/>
        <w:ind w:firstLine="480" w:firstLineChars="200"/>
        <w:jc w:val="left"/>
        <w:rPr>
          <w:rFonts w:ascii="宋体" w:cs="楷体_GB2312"/>
          <w:color w:val="auto"/>
          <w:sz w:val="24"/>
          <w:highlight w:val="none"/>
          <w:lang w:val="zh-CN"/>
        </w:rPr>
      </w:pPr>
      <w:r>
        <w:rPr>
          <w:rFonts w:ascii="宋体" w:hAnsi="宋体" w:cs="楷体_GB2312"/>
          <w:color w:val="auto"/>
          <w:sz w:val="24"/>
          <w:highlight w:val="none"/>
          <w:lang w:val="zh-CN"/>
        </w:rPr>
        <w:t>2.2.4</w:t>
      </w:r>
      <w:r>
        <w:rPr>
          <w:rFonts w:hint="eastAsia" w:ascii="宋体" w:hAnsi="宋体" w:cs="楷体_GB2312"/>
          <w:color w:val="auto"/>
          <w:sz w:val="24"/>
          <w:highlight w:val="none"/>
          <w:lang w:val="zh-CN"/>
        </w:rPr>
        <w:t>采购代理机构可视情况在投标截止前答疑。</w:t>
      </w:r>
    </w:p>
    <w:p w14:paraId="31959130">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2.3 </w:t>
      </w:r>
      <w:r>
        <w:rPr>
          <w:rFonts w:hint="eastAsia" w:ascii="黑体" w:hAnsi="黑体" w:eastAsia="黑体" w:cs="楷体_GB2312"/>
          <w:b/>
          <w:color w:val="auto"/>
          <w:sz w:val="24"/>
          <w:highlight w:val="none"/>
          <w:lang w:val="zh-CN"/>
        </w:rPr>
        <w:t>招标文件的澄清、修改、补充</w:t>
      </w:r>
    </w:p>
    <w:p w14:paraId="3F581F6E">
      <w:pPr>
        <w:autoSpaceDE w:val="0"/>
        <w:autoSpaceDN w:val="0"/>
        <w:adjustRightInd w:val="0"/>
        <w:snapToGrid w:val="0"/>
        <w:spacing w:before="156" w:beforeLines="50" w:line="300" w:lineRule="auto"/>
        <w:ind w:firstLine="537" w:firstLineChars="224"/>
        <w:rPr>
          <w:rFonts w:ascii="宋体" w:cs="楷体_GB2312"/>
          <w:color w:val="auto"/>
          <w:sz w:val="24"/>
          <w:highlight w:val="none"/>
          <w:lang w:val="zh-CN"/>
        </w:rPr>
      </w:pPr>
      <w:r>
        <w:rPr>
          <w:rFonts w:hint="eastAsia" w:ascii="宋体" w:hAnsi="宋体" w:cs="楷体_GB2312"/>
          <w:color w:val="auto"/>
          <w:sz w:val="24"/>
          <w:highlight w:val="none"/>
          <w:lang w:val="zh-CN"/>
        </w:rPr>
        <w:t>采购人、代理机构在投标截止时间前有权澄清修改、补充已发售的招标文件。</w:t>
      </w:r>
    </w:p>
    <w:p w14:paraId="7938AAAA">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黑体" w:hAnsi="黑体" w:eastAsia="黑体" w:cs="楷体_GB2312"/>
          <w:b/>
          <w:color w:val="auto"/>
          <w:sz w:val="24"/>
          <w:highlight w:val="none"/>
          <w:lang w:val="zh-CN"/>
        </w:rPr>
        <w:t xml:space="preserve">2.4 </w:t>
      </w:r>
      <w:r>
        <w:rPr>
          <w:rFonts w:hint="eastAsia" w:ascii="黑体" w:hAnsi="黑体" w:eastAsia="黑体" w:cs="楷体_GB2312"/>
          <w:b/>
          <w:color w:val="auto"/>
          <w:sz w:val="24"/>
          <w:highlight w:val="none"/>
          <w:lang w:val="zh-CN"/>
        </w:rPr>
        <w:t>招标文件的澄清、修改、补充的</w:t>
      </w:r>
      <w:r>
        <w:rPr>
          <w:rFonts w:ascii="黑体" w:hAnsi="黑体" w:eastAsia="黑体" w:cs="楷体_GB2312"/>
          <w:b/>
          <w:color w:val="auto"/>
          <w:sz w:val="24"/>
          <w:highlight w:val="none"/>
          <w:lang w:val="zh-CN"/>
        </w:rPr>
        <w:t>通知</w:t>
      </w:r>
      <w:r>
        <w:rPr>
          <w:rFonts w:hint="eastAsia" w:ascii="黑体" w:hAnsi="黑体" w:eastAsia="黑体" w:cs="楷体_GB2312"/>
          <w:b/>
          <w:color w:val="auto"/>
          <w:sz w:val="24"/>
          <w:highlight w:val="none"/>
          <w:lang w:val="zh-CN"/>
        </w:rPr>
        <w:t>，及</w:t>
      </w:r>
      <w:r>
        <w:rPr>
          <w:rFonts w:ascii="黑体" w:hAnsi="黑体" w:eastAsia="黑体" w:cs="楷体_GB2312"/>
          <w:b/>
          <w:color w:val="auto"/>
          <w:sz w:val="24"/>
          <w:highlight w:val="none"/>
          <w:lang w:val="zh-CN"/>
        </w:rPr>
        <w:t>相应</w:t>
      </w:r>
      <w:r>
        <w:rPr>
          <w:rFonts w:hint="eastAsia" w:ascii="黑体" w:hAnsi="黑体" w:eastAsia="黑体" w:cs="楷体_GB2312"/>
          <w:b/>
          <w:color w:val="auto"/>
          <w:sz w:val="24"/>
          <w:highlight w:val="none"/>
          <w:lang w:val="zh-CN"/>
        </w:rPr>
        <w:t>时间变更</w:t>
      </w:r>
    </w:p>
    <w:p w14:paraId="5AF0099B">
      <w:pPr>
        <w:autoSpaceDE w:val="0"/>
        <w:autoSpaceDN w:val="0"/>
        <w:adjustRightInd w:val="0"/>
        <w:snapToGrid w:val="0"/>
        <w:spacing w:before="156" w:beforeLines="50" w:line="300" w:lineRule="auto"/>
        <w:ind w:firstLine="539"/>
        <w:rPr>
          <w:rFonts w:ascii="宋体" w:hAnsi="宋体" w:cs="楷体_GB2312"/>
          <w:b/>
          <w:color w:val="auto"/>
          <w:sz w:val="24"/>
          <w:highlight w:val="none"/>
          <w:lang w:val="zh-CN"/>
        </w:rPr>
      </w:pPr>
      <w:r>
        <w:rPr>
          <w:rFonts w:ascii="宋体" w:hAnsi="宋体" w:cs="楷体_GB2312"/>
          <w:color w:val="auto"/>
          <w:sz w:val="24"/>
          <w:highlight w:val="none"/>
          <w:lang w:val="zh-CN"/>
        </w:rPr>
        <w:t xml:space="preserve">2.4.1 </w:t>
      </w:r>
      <w:r>
        <w:rPr>
          <w:rFonts w:hint="eastAsia" w:ascii="宋体" w:hAnsi="宋体" w:cs="楷体_GB2312"/>
          <w:color w:val="auto"/>
          <w:sz w:val="24"/>
          <w:highlight w:val="none"/>
          <w:lang w:val="zh-CN"/>
        </w:rPr>
        <w:t>招标文件在投标截止时间前的所有澄清、修改（包括时间变更等）、补充事项，均在“招标公告”所述媒体予以公告。</w:t>
      </w:r>
      <w:r>
        <w:rPr>
          <w:rFonts w:hint="eastAsia" w:ascii="宋体" w:hAnsi="宋体" w:cs="楷体_GB2312"/>
          <w:b/>
          <w:color w:val="auto"/>
          <w:sz w:val="24"/>
          <w:highlight w:val="none"/>
          <w:lang w:val="zh-CN"/>
        </w:rPr>
        <w:t>澄清或修改公告一经在</w:t>
      </w:r>
      <w:r>
        <w:rPr>
          <w:rFonts w:ascii="宋体" w:hAnsi="宋体" w:cs="楷体_GB2312"/>
          <w:b/>
          <w:color w:val="auto"/>
          <w:sz w:val="24"/>
          <w:highlight w:val="none"/>
          <w:lang w:val="zh-CN"/>
        </w:rPr>
        <w:t>法定网</w:t>
      </w:r>
      <w:r>
        <w:rPr>
          <w:rFonts w:hint="eastAsia" w:ascii="宋体" w:hAnsi="宋体" w:cs="楷体_GB2312"/>
          <w:b/>
          <w:color w:val="auto"/>
          <w:sz w:val="24"/>
          <w:highlight w:val="none"/>
          <w:lang w:val="zh-CN"/>
        </w:rPr>
        <w:t>站以</w:t>
      </w:r>
      <w:r>
        <w:rPr>
          <w:rFonts w:ascii="宋体" w:hAnsi="宋体" w:cs="楷体_GB2312"/>
          <w:b/>
          <w:color w:val="auto"/>
          <w:sz w:val="24"/>
          <w:highlight w:val="none"/>
          <w:lang w:val="zh-CN"/>
        </w:rPr>
        <w:t>公</w:t>
      </w:r>
      <w:r>
        <w:rPr>
          <w:rFonts w:hint="eastAsia" w:ascii="宋体" w:hAnsi="宋体" w:cs="楷体_GB2312"/>
          <w:b/>
          <w:color w:val="auto"/>
          <w:sz w:val="24"/>
          <w:highlight w:val="none"/>
          <w:lang w:val="zh-CN"/>
        </w:rPr>
        <w:t>告</w:t>
      </w:r>
      <w:r>
        <w:rPr>
          <w:rFonts w:ascii="宋体" w:hAnsi="宋体" w:cs="楷体_GB2312"/>
          <w:b/>
          <w:color w:val="auto"/>
          <w:sz w:val="24"/>
          <w:highlight w:val="none"/>
          <w:lang w:val="zh-CN"/>
        </w:rPr>
        <w:t>形式</w:t>
      </w:r>
      <w:r>
        <w:rPr>
          <w:rFonts w:hint="eastAsia" w:ascii="宋体" w:hAnsi="宋体" w:cs="楷体_GB2312"/>
          <w:b/>
          <w:color w:val="auto"/>
          <w:sz w:val="24"/>
          <w:highlight w:val="none"/>
          <w:lang w:val="zh-CN"/>
        </w:rPr>
        <w:t>发布，依法视为书面通知，不再另行通知。</w:t>
      </w:r>
    </w:p>
    <w:p w14:paraId="287BE310">
      <w:pPr>
        <w:autoSpaceDE w:val="0"/>
        <w:autoSpaceDN w:val="0"/>
        <w:adjustRightInd w:val="0"/>
        <w:snapToGrid w:val="0"/>
        <w:spacing w:before="156" w:beforeLines="50" w:line="300" w:lineRule="auto"/>
        <w:ind w:firstLine="539"/>
        <w:rPr>
          <w:rFonts w:ascii="宋体" w:hAnsi="宋体" w:cs="楷体_GB2312"/>
          <w:b/>
          <w:color w:val="auto"/>
          <w:sz w:val="24"/>
          <w:highlight w:val="none"/>
          <w:lang w:val="zh-CN"/>
        </w:rPr>
      </w:pPr>
      <w:r>
        <w:rPr>
          <w:rFonts w:hint="eastAsia" w:ascii="宋体" w:hAnsi="宋体" w:cs="楷体_GB2312"/>
          <w:b/>
          <w:color w:val="auto"/>
          <w:sz w:val="24"/>
          <w:highlight w:val="none"/>
          <w:lang w:val="zh-CN"/>
        </w:rPr>
        <w:t>基于网</w:t>
      </w:r>
      <w:r>
        <w:rPr>
          <w:rFonts w:ascii="宋体" w:hAnsi="宋体" w:cs="楷体_GB2312"/>
          <w:b/>
          <w:color w:val="auto"/>
          <w:sz w:val="24"/>
          <w:highlight w:val="none"/>
          <w:lang w:val="zh-CN"/>
        </w:rPr>
        <w:t>上</w:t>
      </w:r>
      <w:r>
        <w:rPr>
          <w:rFonts w:hint="eastAsia" w:ascii="宋体" w:hAnsi="宋体" w:cs="楷体_GB2312"/>
          <w:b/>
          <w:color w:val="auto"/>
          <w:sz w:val="24"/>
          <w:highlight w:val="none"/>
          <w:lang w:val="zh-CN"/>
        </w:rPr>
        <w:t>电</w:t>
      </w:r>
      <w:r>
        <w:rPr>
          <w:rFonts w:ascii="宋体" w:hAnsi="宋体" w:cs="楷体_GB2312"/>
          <w:b/>
          <w:color w:val="auto"/>
          <w:sz w:val="24"/>
          <w:highlight w:val="none"/>
          <w:lang w:val="zh-CN"/>
        </w:rPr>
        <w:t>子</w:t>
      </w:r>
      <w:r>
        <w:rPr>
          <w:rFonts w:hint="eastAsia" w:ascii="宋体" w:hAnsi="宋体" w:cs="楷体_GB2312"/>
          <w:b/>
          <w:color w:val="auto"/>
          <w:sz w:val="24"/>
          <w:highlight w:val="none"/>
          <w:lang w:val="zh-CN"/>
        </w:rPr>
        <w:t>交易</w:t>
      </w:r>
      <w:r>
        <w:rPr>
          <w:rFonts w:ascii="宋体" w:hAnsi="宋体" w:cs="楷体_GB2312"/>
          <w:b/>
          <w:color w:val="auto"/>
          <w:sz w:val="24"/>
          <w:highlight w:val="none"/>
          <w:lang w:val="zh-CN"/>
        </w:rPr>
        <w:t>的特点—</w:t>
      </w:r>
      <w:r>
        <w:rPr>
          <w:rFonts w:ascii="宋体" w:cs="楷体_GB2312"/>
          <w:b/>
          <w:color w:val="auto"/>
          <w:sz w:val="24"/>
          <w:highlight w:val="none"/>
          <w:lang w:val="zh-CN"/>
        </w:rPr>
        <w:t>-</w:t>
      </w:r>
      <w:r>
        <w:rPr>
          <w:rFonts w:hint="eastAsia" w:ascii="宋体" w:hAnsi="宋体" w:cs="楷体_GB2312"/>
          <w:b/>
          <w:color w:val="auto"/>
          <w:sz w:val="24"/>
          <w:highlight w:val="none"/>
          <w:lang w:val="zh-CN"/>
        </w:rPr>
        <w:t>无权限获知或通知潜在投标人，潜在投标人应随时关注“招标公告”所</w:t>
      </w:r>
      <w:r>
        <w:rPr>
          <w:rFonts w:ascii="宋体" w:hAnsi="宋体" w:cs="楷体_GB2312"/>
          <w:b/>
          <w:color w:val="auto"/>
          <w:sz w:val="24"/>
          <w:highlight w:val="none"/>
          <w:lang w:val="zh-CN"/>
        </w:rPr>
        <w:t>述媒体</w:t>
      </w:r>
      <w:r>
        <w:rPr>
          <w:rFonts w:hint="eastAsia" w:ascii="宋体" w:hAnsi="宋体" w:cs="楷体_GB2312"/>
          <w:b/>
          <w:color w:val="auto"/>
          <w:sz w:val="24"/>
          <w:highlight w:val="none"/>
          <w:lang w:val="zh-CN"/>
        </w:rPr>
        <w:t>相关项目信息（为免各部门网站出现维护等情况，潜在投标人应对“招标公告”所述媒体逐一查阅），如有遗漏，后果自负。</w:t>
      </w:r>
    </w:p>
    <w:p w14:paraId="43A59EC7">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cs="楷体_GB2312"/>
          <w:color w:val="auto"/>
          <w:sz w:val="24"/>
          <w:highlight w:val="none"/>
          <w:lang w:val="zh-CN"/>
        </w:rPr>
        <w:t>2.</w:t>
      </w:r>
      <w:r>
        <w:rPr>
          <w:rFonts w:ascii="宋体" w:cs="楷体_GB2312"/>
          <w:color w:val="auto"/>
          <w:sz w:val="24"/>
          <w:highlight w:val="none"/>
          <w:lang w:val="zh-CN"/>
        </w:rPr>
        <w:t>4</w:t>
      </w:r>
      <w:r>
        <w:rPr>
          <w:rFonts w:hint="eastAsia" w:ascii="宋体" w:cs="楷体_GB2312"/>
          <w:color w:val="auto"/>
          <w:sz w:val="24"/>
          <w:highlight w:val="none"/>
          <w:lang w:val="zh-CN"/>
        </w:rPr>
        <w:t>.2招标文件的澄清、修改、补充书构成招标文件的组成部分，并取代招标文件中被澄清、修改处，对所有投标人均有约束力。</w:t>
      </w:r>
    </w:p>
    <w:p w14:paraId="4945F550">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2.4.3 </w:t>
      </w:r>
      <w:r>
        <w:rPr>
          <w:rFonts w:hint="eastAsia" w:ascii="宋体" w:hAnsi="宋体" w:cs="楷体_GB2312"/>
          <w:color w:val="auto"/>
          <w:sz w:val="24"/>
          <w:highlight w:val="none"/>
          <w:lang w:val="zh-CN"/>
        </w:rPr>
        <w:t>如果投标截止时间前的澄清修改补充发出的时间不满足投标人须知前附表规定时间，并且澄清修改补充内容影响投标文件编制的，代理机构可视采购具体情况延长投标截止时间和开标时间，并将在“招标公告”所述媒体予以公告。</w:t>
      </w:r>
    </w:p>
    <w:p w14:paraId="39A90CD2">
      <w:pPr>
        <w:autoSpaceDE w:val="0"/>
        <w:autoSpaceDN w:val="0"/>
        <w:adjustRightInd w:val="0"/>
        <w:snapToGrid w:val="0"/>
        <w:spacing w:before="156" w:beforeLines="50" w:line="300" w:lineRule="auto"/>
        <w:ind w:firstLine="539"/>
        <w:outlineLvl w:val="1"/>
        <w:rPr>
          <w:rFonts w:ascii="黑体" w:hAnsi="黑体" w:eastAsia="黑体" w:cs="楷体_GB2312"/>
          <w:b/>
          <w:bCs/>
          <w:color w:val="auto"/>
          <w:sz w:val="28"/>
          <w:szCs w:val="28"/>
          <w:highlight w:val="none"/>
        </w:rPr>
      </w:pPr>
    </w:p>
    <w:p w14:paraId="417D6A3B">
      <w:pPr>
        <w:autoSpaceDE w:val="0"/>
        <w:autoSpaceDN w:val="0"/>
        <w:adjustRightInd w:val="0"/>
        <w:snapToGrid w:val="0"/>
        <w:spacing w:before="156" w:beforeLines="50" w:line="300" w:lineRule="auto"/>
        <w:ind w:firstLine="539"/>
        <w:outlineLvl w:val="1"/>
        <w:rPr>
          <w:rFonts w:ascii="黑体" w:hAnsi="黑体" w:eastAsia="黑体" w:cs="楷体_GB2312"/>
          <w:b/>
          <w:bCs/>
          <w:color w:val="auto"/>
          <w:sz w:val="28"/>
          <w:szCs w:val="28"/>
          <w:highlight w:val="none"/>
          <w:lang w:val="zh-CN"/>
        </w:rPr>
      </w:pPr>
      <w:bookmarkStart w:id="31" w:name="_Toc14640"/>
      <w:r>
        <w:rPr>
          <w:rFonts w:ascii="黑体" w:hAnsi="黑体" w:eastAsia="黑体" w:cs="楷体_GB2312"/>
          <w:b/>
          <w:bCs/>
          <w:color w:val="auto"/>
          <w:sz w:val="28"/>
          <w:szCs w:val="28"/>
          <w:highlight w:val="none"/>
          <w:lang w:val="zh-CN"/>
        </w:rPr>
        <w:t xml:space="preserve">3 </w:t>
      </w:r>
      <w:r>
        <w:rPr>
          <w:rFonts w:hint="eastAsia" w:ascii="黑体" w:hAnsi="黑体" w:eastAsia="黑体" w:cs="楷体_GB2312"/>
          <w:b/>
          <w:bCs/>
          <w:color w:val="auto"/>
          <w:sz w:val="28"/>
          <w:szCs w:val="28"/>
          <w:highlight w:val="none"/>
          <w:lang w:val="zh-CN"/>
        </w:rPr>
        <w:t>投标文件</w:t>
      </w:r>
      <w:bookmarkEnd w:id="31"/>
    </w:p>
    <w:p w14:paraId="26CCC0EC">
      <w:pPr>
        <w:autoSpaceDE w:val="0"/>
        <w:autoSpaceDN w:val="0"/>
        <w:adjustRightInd w:val="0"/>
        <w:snapToGrid w:val="0"/>
        <w:spacing w:before="156" w:beforeLines="50" w:line="300" w:lineRule="auto"/>
        <w:ind w:firstLine="539"/>
        <w:rPr>
          <w:rFonts w:ascii="宋体" w:cs="楷体_GB2312"/>
          <w:b/>
          <w:color w:val="auto"/>
          <w:sz w:val="24"/>
          <w:highlight w:val="none"/>
          <w:lang w:val="zh-CN"/>
        </w:rPr>
      </w:pPr>
      <w:r>
        <w:rPr>
          <w:rFonts w:ascii="黑体" w:hAnsi="黑体" w:eastAsia="黑体" w:cs="楷体_GB2312"/>
          <w:b/>
          <w:color w:val="auto"/>
          <w:sz w:val="24"/>
          <w:highlight w:val="none"/>
          <w:lang w:val="zh-CN"/>
        </w:rPr>
        <w:t>3.1</w:t>
      </w:r>
      <w:r>
        <w:rPr>
          <w:rFonts w:hint="eastAsia" w:ascii="宋体" w:hAnsi="宋体" w:cs="楷体_GB2312"/>
          <w:color w:val="auto"/>
          <w:sz w:val="24"/>
          <w:highlight w:val="none"/>
          <w:lang w:val="zh-CN"/>
        </w:rPr>
        <w:t>　投标人应仔细阅读招标文件的所有内容，按招标文件的要求提供投标文件，并保证所提供全部资料的真实性。投标文件应对招标文件实质性要求作出实质性响应。评标委员会对投标文件的有效性、完整性和响应程度进行审查，不满足实质性要求的为</w:t>
      </w:r>
      <w:r>
        <w:rPr>
          <w:rFonts w:hint="eastAsia" w:ascii="宋体" w:hAnsi="宋体" w:cs="楷体_GB2312"/>
          <w:b/>
          <w:color w:val="auto"/>
          <w:sz w:val="24"/>
          <w:highlight w:val="none"/>
          <w:lang w:val="zh-CN"/>
        </w:rPr>
        <w:t>无效投标。</w:t>
      </w:r>
    </w:p>
    <w:p w14:paraId="77A9A3C6">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3.2 </w:t>
      </w:r>
      <w:r>
        <w:rPr>
          <w:rFonts w:hint="eastAsia" w:ascii="黑体" w:hAnsi="黑体" w:eastAsia="黑体" w:cs="楷体_GB2312"/>
          <w:b/>
          <w:color w:val="auto"/>
          <w:sz w:val="24"/>
          <w:highlight w:val="none"/>
          <w:lang w:val="zh-CN"/>
        </w:rPr>
        <w:t>投标文件的组成</w:t>
      </w:r>
    </w:p>
    <w:p w14:paraId="155A0288">
      <w:pPr>
        <w:adjustRightInd w:val="0"/>
        <w:snapToGrid w:val="0"/>
        <w:spacing w:before="156" w:beforeLines="50" w:line="300" w:lineRule="auto"/>
        <w:ind w:firstLine="539"/>
        <w:textAlignment w:val="top"/>
        <w:rPr>
          <w:rFonts w:ascii="宋体" w:cs="楷体_GB2312"/>
          <w:color w:val="auto"/>
          <w:sz w:val="24"/>
          <w:highlight w:val="none"/>
          <w:lang w:val="zh-CN"/>
        </w:rPr>
      </w:pPr>
      <w:r>
        <w:rPr>
          <w:rFonts w:ascii="宋体" w:hAnsi="宋体" w:cs="楷体_GB2312"/>
          <w:color w:val="auto"/>
          <w:sz w:val="24"/>
          <w:highlight w:val="none"/>
          <w:lang w:val="zh-CN"/>
        </w:rPr>
        <w:t xml:space="preserve">3.2.1 </w:t>
      </w:r>
      <w:r>
        <w:rPr>
          <w:rFonts w:hint="eastAsia" w:ascii="宋体" w:hAnsi="宋体" w:cs="楷体_GB2312"/>
          <w:color w:val="auto"/>
          <w:sz w:val="24"/>
          <w:highlight w:val="none"/>
          <w:lang w:val="zh-CN"/>
        </w:rPr>
        <w:t>投标文件组成如有缺项，评标委员会按照实质性判断原则（实质性要求和实质性响应两因素）、有权视情况将其作无效投标处理，投标人自负此项风险；投标文件组成内容未对招标文件实质性要求作出实质性响应，评标委员会按照实质性判断原则、视情况将其作无效投标处理，投标人自负此项风险</w:t>
      </w:r>
    </w:p>
    <w:p w14:paraId="163FF57D">
      <w:pPr>
        <w:adjustRightInd w:val="0"/>
        <w:snapToGrid w:val="0"/>
        <w:spacing w:before="156" w:beforeLines="50" w:line="300" w:lineRule="auto"/>
        <w:ind w:firstLine="539"/>
        <w:textAlignment w:val="top"/>
        <w:rPr>
          <w:rFonts w:ascii="宋体" w:hAnsi="宋体" w:cs="楷体_GB2312"/>
          <w:color w:val="auto"/>
          <w:sz w:val="24"/>
          <w:highlight w:val="none"/>
          <w:lang w:val="zh-CN"/>
        </w:rPr>
      </w:pPr>
      <w:r>
        <w:rPr>
          <w:rFonts w:ascii="宋体" w:hAnsi="宋体" w:cs="楷体_GB2312"/>
          <w:color w:val="auto"/>
          <w:sz w:val="24"/>
          <w:highlight w:val="none"/>
          <w:lang w:val="zh-CN"/>
        </w:rPr>
        <w:t>3.2.2</w:t>
      </w:r>
      <w:r>
        <w:rPr>
          <w:rFonts w:hint="eastAsia" w:ascii="宋体" w:hAnsi="宋体" w:cs="楷体_GB2312"/>
          <w:color w:val="auto"/>
          <w:sz w:val="24"/>
          <w:highlight w:val="none"/>
          <w:lang w:val="zh-CN"/>
        </w:rPr>
        <w:t>投标文件应包括下列内容：</w:t>
      </w:r>
    </w:p>
    <w:p w14:paraId="5971DE27">
      <w:pPr>
        <w:adjustRightInd w:val="0"/>
        <w:snapToGrid w:val="0"/>
        <w:spacing w:before="156" w:beforeLines="50" w:line="300" w:lineRule="auto"/>
        <w:ind w:firstLine="539"/>
        <w:textAlignment w:val="top"/>
        <w:rPr>
          <w:rFonts w:ascii="宋体" w:hAnsi="宋体" w:cs="楷体_GB2312"/>
          <w:b/>
          <w:color w:val="auto"/>
          <w:sz w:val="24"/>
          <w:highlight w:val="none"/>
          <w:lang w:val="zh-CN"/>
        </w:rPr>
      </w:pPr>
      <w:r>
        <w:rPr>
          <w:rFonts w:hint="eastAsia" w:ascii="宋体" w:hAnsi="宋体" w:cs="楷体_GB2312"/>
          <w:b/>
          <w:color w:val="auto"/>
          <w:sz w:val="24"/>
          <w:highlight w:val="none"/>
          <w:lang w:val="zh-CN"/>
        </w:rPr>
        <w:t>包1：</w:t>
      </w:r>
    </w:p>
    <w:p w14:paraId="0A45620A">
      <w:pPr>
        <w:adjustRightInd w:val="0"/>
        <w:snapToGrid w:val="0"/>
        <w:spacing w:before="156" w:beforeLines="50" w:line="300" w:lineRule="auto"/>
        <w:ind w:firstLine="539"/>
        <w:textAlignment w:val="top"/>
        <w:rPr>
          <w:rFonts w:ascii="黑体" w:hAnsi="黑体" w:eastAsia="黑体"/>
          <w:b/>
          <w:color w:val="auto"/>
          <w:highlight w:val="none"/>
        </w:rPr>
      </w:pPr>
      <w:r>
        <w:rPr>
          <w:rFonts w:hint="eastAsia" w:ascii="黑体" w:hAnsi="黑体" w:eastAsia="黑体" w:cs="楷体_GB2312"/>
          <w:b/>
          <w:color w:val="auto"/>
          <w:sz w:val="24"/>
          <w:highlight w:val="none"/>
          <w:lang w:val="zh-CN"/>
        </w:rPr>
        <w:t>符</w:t>
      </w:r>
      <w:r>
        <w:rPr>
          <w:rFonts w:ascii="黑体" w:hAnsi="黑体" w:eastAsia="黑体" w:cs="楷体_GB2312"/>
          <w:b/>
          <w:color w:val="auto"/>
          <w:sz w:val="24"/>
          <w:highlight w:val="none"/>
          <w:lang w:val="zh-CN"/>
        </w:rPr>
        <w:t>合性</w:t>
      </w:r>
      <w:r>
        <w:rPr>
          <w:rFonts w:hint="eastAsia" w:ascii="黑体" w:hAnsi="黑体" w:eastAsia="黑体" w:cs="楷体_GB2312"/>
          <w:b/>
          <w:color w:val="auto"/>
          <w:sz w:val="24"/>
          <w:highlight w:val="none"/>
          <w:lang w:val="zh-CN"/>
        </w:rPr>
        <w:t>响应</w:t>
      </w:r>
      <w:r>
        <w:rPr>
          <w:rFonts w:ascii="黑体" w:hAnsi="黑体" w:eastAsia="黑体" w:cs="楷体_GB2312"/>
          <w:b/>
          <w:color w:val="auto"/>
          <w:sz w:val="24"/>
          <w:highlight w:val="none"/>
          <w:lang w:val="zh-CN"/>
        </w:rPr>
        <w:t>文件</w:t>
      </w:r>
    </w:p>
    <w:p w14:paraId="6E970959">
      <w:pPr>
        <w:adjustRightInd w:val="0"/>
        <w:snapToGrid w:val="0"/>
        <w:spacing w:line="300" w:lineRule="auto"/>
        <w:ind w:firstLine="539"/>
        <w:textAlignment w:val="top"/>
        <w:rPr>
          <w:color w:val="auto"/>
          <w:sz w:val="24"/>
          <w:highlight w:val="none"/>
        </w:rPr>
      </w:pPr>
      <w:r>
        <w:rPr>
          <w:rFonts w:hint="eastAsia"/>
          <w:color w:val="auto"/>
          <w:sz w:val="24"/>
          <w:highlight w:val="none"/>
        </w:rPr>
        <w:t>（</w:t>
      </w:r>
      <w:r>
        <w:rPr>
          <w:color w:val="auto"/>
          <w:sz w:val="24"/>
          <w:highlight w:val="none"/>
        </w:rPr>
        <w:t>1</w:t>
      </w:r>
      <w:r>
        <w:rPr>
          <w:rFonts w:hint="eastAsia"/>
          <w:color w:val="auto"/>
          <w:sz w:val="24"/>
          <w:highlight w:val="none"/>
        </w:rPr>
        <w:t>）投标书。</w:t>
      </w:r>
    </w:p>
    <w:p w14:paraId="4337F919">
      <w:pPr>
        <w:adjustRightInd w:val="0"/>
        <w:snapToGrid w:val="0"/>
        <w:spacing w:line="300" w:lineRule="auto"/>
        <w:ind w:firstLine="539"/>
        <w:textAlignment w:val="top"/>
        <w:rPr>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2</w:t>
      </w:r>
      <w:r>
        <w:rPr>
          <w:rFonts w:hint="eastAsia" w:ascii="宋体" w:hAnsi="宋体" w:cs="楷体_GB2312"/>
          <w:color w:val="auto"/>
          <w:sz w:val="24"/>
          <w:highlight w:val="none"/>
          <w:lang w:val="zh-CN"/>
        </w:rPr>
        <w:t>）</w:t>
      </w:r>
      <w:r>
        <w:rPr>
          <w:rFonts w:hint="eastAsia" w:ascii="宋体" w:hAnsi="宋体"/>
          <w:color w:val="auto"/>
          <w:sz w:val="24"/>
          <w:szCs w:val="24"/>
          <w:highlight w:val="none"/>
        </w:rPr>
        <w:t>开标一览表（即交易系统中报价一览表）</w:t>
      </w:r>
    </w:p>
    <w:p w14:paraId="5E96515C">
      <w:pPr>
        <w:adjustRightInd w:val="0"/>
        <w:snapToGrid w:val="0"/>
        <w:spacing w:line="300" w:lineRule="auto"/>
        <w:ind w:firstLine="539"/>
        <w:textAlignment w:val="top"/>
        <w:rPr>
          <w:rFonts w:ascii="宋体" w:hAnsi="宋体"/>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3</w:t>
      </w:r>
      <w:r>
        <w:rPr>
          <w:rFonts w:hint="eastAsia" w:ascii="宋体" w:hAnsi="宋体" w:cs="楷体_GB2312"/>
          <w:color w:val="auto"/>
          <w:sz w:val="24"/>
          <w:highlight w:val="none"/>
          <w:lang w:val="zh-CN"/>
        </w:rPr>
        <w:t>）</w:t>
      </w:r>
      <w:r>
        <w:rPr>
          <w:rFonts w:hint="eastAsia"/>
          <w:color w:val="auto"/>
          <w:sz w:val="24"/>
          <w:highlight w:val="none"/>
        </w:rPr>
        <w:t>投标报价明细表</w:t>
      </w:r>
    </w:p>
    <w:p w14:paraId="0C86E2EF">
      <w:pPr>
        <w:adjustRightInd w:val="0"/>
        <w:snapToGrid w:val="0"/>
        <w:spacing w:line="300" w:lineRule="auto"/>
        <w:ind w:firstLine="539"/>
        <w:textAlignment w:val="top"/>
        <w:rPr>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4</w:t>
      </w:r>
      <w:r>
        <w:rPr>
          <w:rFonts w:hint="eastAsia" w:ascii="宋体" w:hAnsi="宋体" w:cs="楷体_GB2312"/>
          <w:color w:val="auto"/>
          <w:sz w:val="24"/>
          <w:highlight w:val="none"/>
          <w:lang w:val="zh-CN"/>
        </w:rPr>
        <w:t>）</w:t>
      </w:r>
      <w:r>
        <w:rPr>
          <w:rFonts w:hint="eastAsia"/>
          <w:color w:val="auto"/>
          <w:sz w:val="24"/>
          <w:highlight w:val="none"/>
        </w:rPr>
        <w:t>投标产品清单及其技术参数，安装调试方案</w:t>
      </w:r>
    </w:p>
    <w:p w14:paraId="70956804">
      <w:pPr>
        <w:adjustRightInd w:val="0"/>
        <w:snapToGrid w:val="0"/>
        <w:spacing w:line="300" w:lineRule="auto"/>
        <w:ind w:firstLine="539"/>
        <w:textAlignment w:val="top"/>
        <w:rPr>
          <w:color w:val="auto"/>
          <w:sz w:val="24"/>
          <w:highlight w:val="none"/>
        </w:rPr>
      </w:pPr>
      <w:r>
        <w:rPr>
          <w:rFonts w:hint="eastAsia"/>
          <w:color w:val="auto"/>
          <w:sz w:val="24"/>
          <w:highlight w:val="none"/>
        </w:rPr>
        <w:t>（</w:t>
      </w:r>
      <w:r>
        <w:rPr>
          <w:color w:val="auto"/>
          <w:sz w:val="24"/>
          <w:highlight w:val="none"/>
        </w:rPr>
        <w:t>5</w:t>
      </w:r>
      <w:r>
        <w:rPr>
          <w:rFonts w:hint="eastAsia"/>
          <w:color w:val="auto"/>
          <w:sz w:val="24"/>
          <w:highlight w:val="none"/>
        </w:rPr>
        <w:t>）技术偏差表。</w:t>
      </w:r>
    </w:p>
    <w:p w14:paraId="1D85C7F1">
      <w:pPr>
        <w:adjustRightInd w:val="0"/>
        <w:snapToGrid w:val="0"/>
        <w:spacing w:line="300" w:lineRule="auto"/>
        <w:ind w:firstLine="539"/>
        <w:rPr>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6</w:t>
      </w:r>
      <w:r>
        <w:rPr>
          <w:rFonts w:hint="eastAsia" w:ascii="宋体" w:hAnsi="宋体" w:cs="楷体_GB2312"/>
          <w:color w:val="auto"/>
          <w:sz w:val="24"/>
          <w:highlight w:val="none"/>
          <w:lang w:val="zh-CN"/>
        </w:rPr>
        <w:t>）</w:t>
      </w:r>
      <w:r>
        <w:rPr>
          <w:rFonts w:hint="eastAsia"/>
          <w:color w:val="auto"/>
          <w:sz w:val="24"/>
          <w:highlight w:val="none"/>
        </w:rPr>
        <w:t>其他偏差表</w:t>
      </w:r>
    </w:p>
    <w:p w14:paraId="2AE551D4">
      <w:pPr>
        <w:adjustRightInd w:val="0"/>
        <w:snapToGrid w:val="0"/>
        <w:spacing w:line="300" w:lineRule="auto"/>
        <w:ind w:firstLine="539"/>
        <w:textAlignment w:val="top"/>
        <w:rPr>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7</w:t>
      </w:r>
      <w:r>
        <w:rPr>
          <w:rFonts w:hint="eastAsia" w:ascii="宋体" w:hAnsi="宋体" w:cs="楷体_GB2312"/>
          <w:color w:val="auto"/>
          <w:sz w:val="24"/>
          <w:highlight w:val="none"/>
          <w:lang w:val="zh-CN"/>
        </w:rPr>
        <w:t>）</w:t>
      </w:r>
      <w:r>
        <w:rPr>
          <w:rFonts w:hint="eastAsia"/>
          <w:color w:val="auto"/>
          <w:sz w:val="24"/>
          <w:highlight w:val="none"/>
        </w:rPr>
        <w:t>售后服务计划</w:t>
      </w:r>
    </w:p>
    <w:p w14:paraId="7B82CE6F">
      <w:pPr>
        <w:adjustRightInd w:val="0"/>
        <w:snapToGrid w:val="0"/>
        <w:spacing w:line="300" w:lineRule="auto"/>
        <w:ind w:firstLine="539"/>
        <w:rPr>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8</w:t>
      </w:r>
      <w:r>
        <w:rPr>
          <w:rFonts w:hint="eastAsia" w:ascii="宋体" w:hAnsi="宋体" w:cs="楷体_GB2312"/>
          <w:color w:val="auto"/>
          <w:sz w:val="24"/>
          <w:highlight w:val="none"/>
          <w:lang w:val="zh-CN"/>
        </w:rPr>
        <w:t>）</w:t>
      </w:r>
      <w:r>
        <w:rPr>
          <w:rFonts w:hint="eastAsia"/>
          <w:color w:val="auto"/>
          <w:sz w:val="24"/>
          <w:highlight w:val="none"/>
        </w:rPr>
        <w:t>反商业贿赂承诺书。</w:t>
      </w:r>
    </w:p>
    <w:p w14:paraId="5B4FE5BD">
      <w:pPr>
        <w:adjustRightInd w:val="0"/>
        <w:snapToGrid w:val="0"/>
        <w:spacing w:line="300" w:lineRule="auto"/>
        <w:ind w:firstLine="539"/>
        <w:rPr>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9</w:t>
      </w:r>
      <w:r>
        <w:rPr>
          <w:rFonts w:hint="eastAsia" w:ascii="宋体" w:hAnsi="宋体" w:cs="楷体_GB2312"/>
          <w:color w:val="auto"/>
          <w:sz w:val="24"/>
          <w:highlight w:val="none"/>
          <w:lang w:val="zh-CN"/>
        </w:rPr>
        <w:t>）</w:t>
      </w:r>
      <w:r>
        <w:rPr>
          <w:rFonts w:hint="eastAsia"/>
          <w:color w:val="auto"/>
          <w:sz w:val="24"/>
          <w:highlight w:val="none"/>
        </w:rPr>
        <w:t>履约承诺书。</w:t>
      </w:r>
    </w:p>
    <w:p w14:paraId="7F20108F">
      <w:pPr>
        <w:widowControl w:val="0"/>
        <w:adjustRightInd w:val="0"/>
        <w:snapToGrid w:val="0"/>
        <w:spacing w:line="300" w:lineRule="auto"/>
        <w:ind w:firstLine="539"/>
        <w:textAlignment w:val="top"/>
        <w:rPr>
          <w:color w:val="auto"/>
          <w:sz w:val="24"/>
          <w:highlight w:val="none"/>
        </w:rPr>
      </w:pPr>
      <w:r>
        <w:rPr>
          <w:rFonts w:hint="eastAsia"/>
          <w:color w:val="auto"/>
          <w:sz w:val="24"/>
          <w:highlight w:val="none"/>
        </w:rPr>
        <w:t>（</w:t>
      </w:r>
      <w:r>
        <w:rPr>
          <w:color w:val="auto"/>
          <w:sz w:val="24"/>
          <w:highlight w:val="none"/>
        </w:rPr>
        <w:t>10</w:t>
      </w:r>
      <w:r>
        <w:rPr>
          <w:rFonts w:hint="eastAsia"/>
          <w:color w:val="auto"/>
          <w:sz w:val="24"/>
          <w:highlight w:val="none"/>
        </w:rPr>
        <w:t>）招标项目要求及采购需求所需的其他材料（按条款需要）</w:t>
      </w:r>
    </w:p>
    <w:p w14:paraId="52EE5F93">
      <w:pPr>
        <w:widowControl w:val="0"/>
        <w:adjustRightInd w:val="0"/>
        <w:snapToGrid w:val="0"/>
        <w:spacing w:line="300" w:lineRule="auto"/>
        <w:ind w:firstLine="539"/>
        <w:textAlignment w:val="top"/>
        <w:rPr>
          <w:color w:val="auto"/>
          <w:sz w:val="24"/>
          <w:highlight w:val="none"/>
        </w:rPr>
      </w:pPr>
      <w:r>
        <w:rPr>
          <w:rFonts w:hint="eastAsia"/>
          <w:color w:val="auto"/>
          <w:sz w:val="24"/>
          <w:highlight w:val="none"/>
        </w:rPr>
        <w:t>（</w:t>
      </w:r>
      <w:r>
        <w:rPr>
          <w:color w:val="auto"/>
          <w:sz w:val="24"/>
          <w:highlight w:val="none"/>
        </w:rPr>
        <w:t>11</w:t>
      </w:r>
      <w:r>
        <w:rPr>
          <w:rFonts w:hint="eastAsia"/>
          <w:color w:val="auto"/>
          <w:sz w:val="24"/>
          <w:highlight w:val="none"/>
        </w:rPr>
        <w:t>）投标人须知所需的其他材料（按条款需要）</w:t>
      </w:r>
    </w:p>
    <w:p w14:paraId="1A0132CF">
      <w:pPr>
        <w:widowControl w:val="0"/>
        <w:adjustRightInd w:val="0"/>
        <w:snapToGrid w:val="0"/>
        <w:spacing w:line="300" w:lineRule="auto"/>
        <w:ind w:firstLine="539"/>
        <w:textAlignment w:val="top"/>
        <w:rPr>
          <w:color w:val="auto"/>
          <w:sz w:val="24"/>
          <w:highlight w:val="none"/>
        </w:rPr>
      </w:pPr>
      <w:r>
        <w:rPr>
          <w:rFonts w:hint="eastAsia"/>
          <w:color w:val="auto"/>
          <w:sz w:val="24"/>
          <w:highlight w:val="none"/>
        </w:rPr>
        <w:t>（</w:t>
      </w:r>
      <w:r>
        <w:rPr>
          <w:color w:val="auto"/>
          <w:sz w:val="24"/>
          <w:highlight w:val="none"/>
        </w:rPr>
        <w:t>12</w:t>
      </w:r>
      <w:r>
        <w:rPr>
          <w:rFonts w:hint="eastAsia"/>
          <w:color w:val="auto"/>
          <w:sz w:val="24"/>
          <w:highlight w:val="none"/>
        </w:rPr>
        <w:t>）评标办法所需的其他材料（按条款需要）</w:t>
      </w:r>
    </w:p>
    <w:p w14:paraId="4B061C03">
      <w:pPr>
        <w:autoSpaceDE w:val="0"/>
        <w:autoSpaceDN w:val="0"/>
        <w:adjustRightInd w:val="0"/>
        <w:snapToGrid w:val="0"/>
        <w:spacing w:line="300" w:lineRule="auto"/>
        <w:ind w:firstLine="520" w:firstLineChars="217"/>
        <w:rPr>
          <w:rFonts w:ascii="宋体" w:hAnsi="宋体"/>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13</w:t>
      </w:r>
      <w:r>
        <w:rPr>
          <w:rFonts w:hint="eastAsia" w:ascii="宋体" w:hAnsi="宋体" w:cs="楷体_GB2312"/>
          <w:color w:val="auto"/>
          <w:sz w:val="24"/>
          <w:highlight w:val="none"/>
          <w:lang w:val="zh-CN"/>
        </w:rPr>
        <w:t>）</w:t>
      </w:r>
      <w:r>
        <w:rPr>
          <w:rFonts w:hint="eastAsia" w:ascii="宋体" w:hAnsi="宋体"/>
          <w:color w:val="auto"/>
          <w:sz w:val="24"/>
          <w:highlight w:val="none"/>
        </w:rPr>
        <w:t>投标人认为有必要提交的其它材料</w:t>
      </w:r>
    </w:p>
    <w:p w14:paraId="2BE06AAF">
      <w:pPr>
        <w:adjustRightInd w:val="0"/>
        <w:snapToGrid w:val="0"/>
        <w:spacing w:before="156" w:beforeLines="50" w:line="300" w:lineRule="auto"/>
        <w:ind w:firstLine="539"/>
        <w:textAlignment w:val="top"/>
        <w:rPr>
          <w:rFonts w:ascii="黑体" w:hAnsi="黑体" w:eastAsia="黑体" w:cs="楷体_GB2312"/>
          <w:b/>
          <w:color w:val="auto"/>
          <w:sz w:val="24"/>
          <w:highlight w:val="none"/>
          <w:lang w:val="zh-CN"/>
        </w:rPr>
      </w:pPr>
      <w:r>
        <w:rPr>
          <w:rFonts w:hint="eastAsia" w:ascii="黑体" w:hAnsi="黑体" w:eastAsia="黑体" w:cs="楷体_GB2312"/>
          <w:b/>
          <w:color w:val="auto"/>
          <w:sz w:val="24"/>
          <w:highlight w:val="none"/>
          <w:lang w:val="zh-CN"/>
        </w:rPr>
        <w:t>资</w:t>
      </w:r>
      <w:r>
        <w:rPr>
          <w:rFonts w:ascii="黑体" w:hAnsi="黑体" w:eastAsia="黑体" w:cs="楷体_GB2312"/>
          <w:b/>
          <w:color w:val="auto"/>
          <w:sz w:val="24"/>
          <w:highlight w:val="none"/>
          <w:lang w:val="zh-CN"/>
        </w:rPr>
        <w:t>格性</w:t>
      </w:r>
      <w:r>
        <w:rPr>
          <w:rFonts w:hint="eastAsia" w:ascii="黑体" w:hAnsi="黑体" w:eastAsia="黑体" w:cs="楷体_GB2312"/>
          <w:b/>
          <w:color w:val="auto"/>
          <w:sz w:val="24"/>
          <w:highlight w:val="none"/>
          <w:lang w:val="zh-CN"/>
        </w:rPr>
        <w:t>证明文件</w:t>
      </w:r>
    </w:p>
    <w:p w14:paraId="6D85D3E4">
      <w:pPr>
        <w:adjustRightInd w:val="0"/>
        <w:snapToGrid w:val="0"/>
        <w:spacing w:line="300" w:lineRule="auto"/>
        <w:ind w:firstLine="539"/>
        <w:textAlignment w:val="top"/>
        <w:rPr>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14</w:t>
      </w:r>
      <w:r>
        <w:rPr>
          <w:rFonts w:hint="eastAsia" w:ascii="宋体" w:hAnsi="宋体" w:cs="楷体_GB2312"/>
          <w:color w:val="auto"/>
          <w:sz w:val="24"/>
          <w:highlight w:val="none"/>
          <w:lang w:val="zh-CN"/>
        </w:rPr>
        <w:t>）</w:t>
      </w:r>
      <w:r>
        <w:rPr>
          <w:rFonts w:hint="eastAsia"/>
          <w:color w:val="auto"/>
          <w:sz w:val="24"/>
          <w:highlight w:val="none"/>
        </w:rPr>
        <w:t>关于资格的声明函</w:t>
      </w:r>
    </w:p>
    <w:p w14:paraId="3F7A497B">
      <w:pPr>
        <w:autoSpaceDE w:val="0"/>
        <w:autoSpaceDN w:val="0"/>
        <w:adjustRightInd w:val="0"/>
        <w:snapToGrid w:val="0"/>
        <w:spacing w:line="300" w:lineRule="auto"/>
        <w:ind w:firstLine="520" w:firstLineChars="217"/>
        <w:rPr>
          <w:color w:val="auto"/>
          <w:sz w:val="24"/>
          <w:highlight w:val="none"/>
        </w:rPr>
      </w:pPr>
      <w:r>
        <w:rPr>
          <w:rFonts w:hint="eastAsia"/>
          <w:color w:val="auto"/>
          <w:sz w:val="24"/>
          <w:highlight w:val="none"/>
        </w:rPr>
        <w:t>（</w:t>
      </w:r>
      <w:r>
        <w:rPr>
          <w:color w:val="auto"/>
          <w:sz w:val="24"/>
          <w:highlight w:val="none"/>
        </w:rPr>
        <w:t>15</w:t>
      </w:r>
      <w:r>
        <w:rPr>
          <w:rFonts w:hint="eastAsia"/>
          <w:color w:val="auto"/>
          <w:sz w:val="24"/>
          <w:highlight w:val="none"/>
        </w:rPr>
        <w:t>）资格要求相关证明材料（文件）</w:t>
      </w:r>
    </w:p>
    <w:p w14:paraId="74C3FB78">
      <w:pPr>
        <w:autoSpaceDE w:val="0"/>
        <w:autoSpaceDN w:val="0"/>
        <w:adjustRightInd w:val="0"/>
        <w:snapToGrid w:val="0"/>
        <w:spacing w:line="300" w:lineRule="auto"/>
        <w:ind w:firstLine="520" w:firstLineChars="217"/>
        <w:rPr>
          <w:color w:val="auto"/>
          <w:sz w:val="24"/>
          <w:highlight w:val="none"/>
        </w:rPr>
      </w:pPr>
    </w:p>
    <w:p w14:paraId="7F78157D">
      <w:pPr>
        <w:autoSpaceDE w:val="0"/>
        <w:autoSpaceDN w:val="0"/>
        <w:adjustRightInd w:val="0"/>
        <w:snapToGrid w:val="0"/>
        <w:spacing w:line="300" w:lineRule="auto"/>
        <w:ind w:firstLine="520" w:firstLineChars="217"/>
        <w:rPr>
          <w:color w:val="auto"/>
          <w:sz w:val="24"/>
          <w:highlight w:val="none"/>
        </w:rPr>
      </w:pPr>
    </w:p>
    <w:p w14:paraId="5E37C6A9">
      <w:pPr>
        <w:autoSpaceDE w:val="0"/>
        <w:autoSpaceDN w:val="0"/>
        <w:adjustRightInd w:val="0"/>
        <w:snapToGrid w:val="0"/>
        <w:spacing w:line="300" w:lineRule="auto"/>
        <w:ind w:firstLine="523" w:firstLineChars="217"/>
        <w:rPr>
          <w:b/>
          <w:color w:val="auto"/>
          <w:sz w:val="24"/>
          <w:highlight w:val="none"/>
        </w:rPr>
      </w:pPr>
      <w:r>
        <w:rPr>
          <w:rFonts w:hint="eastAsia"/>
          <w:b/>
          <w:color w:val="auto"/>
          <w:sz w:val="24"/>
          <w:highlight w:val="none"/>
        </w:rPr>
        <w:t>包2：</w:t>
      </w:r>
    </w:p>
    <w:p w14:paraId="447CA79D">
      <w:pPr>
        <w:adjustRightInd w:val="0"/>
        <w:snapToGrid w:val="0"/>
        <w:spacing w:before="156" w:beforeLines="50" w:line="300" w:lineRule="auto"/>
        <w:ind w:firstLine="539"/>
        <w:textAlignment w:val="top"/>
        <w:rPr>
          <w:rFonts w:ascii="黑体" w:hAnsi="黑体" w:eastAsia="黑体"/>
          <w:b/>
          <w:color w:val="auto"/>
          <w:highlight w:val="none"/>
        </w:rPr>
      </w:pPr>
      <w:r>
        <w:rPr>
          <w:rFonts w:hint="eastAsia" w:ascii="黑体" w:hAnsi="黑体" w:eastAsia="黑体" w:cs="楷体_GB2312"/>
          <w:b/>
          <w:color w:val="auto"/>
          <w:sz w:val="24"/>
          <w:highlight w:val="none"/>
          <w:lang w:val="zh-CN"/>
        </w:rPr>
        <w:t>符</w:t>
      </w:r>
      <w:r>
        <w:rPr>
          <w:rFonts w:ascii="黑体" w:hAnsi="黑体" w:eastAsia="黑体" w:cs="楷体_GB2312"/>
          <w:b/>
          <w:color w:val="auto"/>
          <w:sz w:val="24"/>
          <w:highlight w:val="none"/>
          <w:lang w:val="zh-CN"/>
        </w:rPr>
        <w:t>合性</w:t>
      </w:r>
      <w:r>
        <w:rPr>
          <w:rFonts w:hint="eastAsia" w:ascii="黑体" w:hAnsi="黑体" w:eastAsia="黑体" w:cs="楷体_GB2312"/>
          <w:b/>
          <w:color w:val="auto"/>
          <w:sz w:val="24"/>
          <w:highlight w:val="none"/>
          <w:lang w:val="zh-CN"/>
        </w:rPr>
        <w:t>响应</w:t>
      </w:r>
      <w:r>
        <w:rPr>
          <w:rFonts w:ascii="黑体" w:hAnsi="黑体" w:eastAsia="黑体" w:cs="楷体_GB2312"/>
          <w:b/>
          <w:color w:val="auto"/>
          <w:sz w:val="24"/>
          <w:highlight w:val="none"/>
          <w:lang w:val="zh-CN"/>
        </w:rPr>
        <w:t>文件</w:t>
      </w:r>
    </w:p>
    <w:p w14:paraId="748569AC">
      <w:pPr>
        <w:adjustRightInd w:val="0"/>
        <w:snapToGrid w:val="0"/>
        <w:spacing w:line="300" w:lineRule="auto"/>
        <w:ind w:firstLine="539"/>
        <w:textAlignment w:val="top"/>
        <w:rPr>
          <w:color w:val="auto"/>
          <w:sz w:val="24"/>
          <w:highlight w:val="none"/>
        </w:rPr>
      </w:pPr>
      <w:r>
        <w:rPr>
          <w:rFonts w:hint="eastAsia"/>
          <w:color w:val="auto"/>
          <w:sz w:val="24"/>
          <w:highlight w:val="none"/>
        </w:rPr>
        <w:t>（</w:t>
      </w:r>
      <w:r>
        <w:rPr>
          <w:color w:val="auto"/>
          <w:sz w:val="24"/>
          <w:highlight w:val="none"/>
        </w:rPr>
        <w:t>1</w:t>
      </w:r>
      <w:r>
        <w:rPr>
          <w:rFonts w:hint="eastAsia"/>
          <w:color w:val="auto"/>
          <w:sz w:val="24"/>
          <w:highlight w:val="none"/>
        </w:rPr>
        <w:t>）投标书。</w:t>
      </w:r>
    </w:p>
    <w:p w14:paraId="634AD271">
      <w:pPr>
        <w:adjustRightInd w:val="0"/>
        <w:snapToGrid w:val="0"/>
        <w:spacing w:line="300" w:lineRule="auto"/>
        <w:ind w:firstLine="539"/>
        <w:textAlignment w:val="top"/>
        <w:rPr>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2</w:t>
      </w:r>
      <w:r>
        <w:rPr>
          <w:rFonts w:hint="eastAsia" w:ascii="宋体" w:hAnsi="宋体" w:cs="楷体_GB2312"/>
          <w:color w:val="auto"/>
          <w:sz w:val="24"/>
          <w:highlight w:val="none"/>
          <w:lang w:val="zh-CN"/>
        </w:rPr>
        <w:t>）</w:t>
      </w:r>
      <w:r>
        <w:rPr>
          <w:rFonts w:hint="eastAsia" w:ascii="宋体" w:hAnsi="宋体"/>
          <w:color w:val="auto"/>
          <w:sz w:val="24"/>
          <w:szCs w:val="24"/>
          <w:highlight w:val="none"/>
        </w:rPr>
        <w:t>开标一览表（即交易系统中报价一览表）</w:t>
      </w:r>
    </w:p>
    <w:p w14:paraId="77EAC6A9">
      <w:pPr>
        <w:adjustRightInd w:val="0"/>
        <w:snapToGrid w:val="0"/>
        <w:spacing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3</w:t>
      </w:r>
      <w:r>
        <w:rPr>
          <w:rFonts w:hint="eastAsia" w:ascii="宋体" w:hAnsi="宋体" w:cs="楷体_GB2312"/>
          <w:color w:val="auto"/>
          <w:sz w:val="24"/>
          <w:highlight w:val="none"/>
          <w:lang w:val="zh-CN"/>
        </w:rPr>
        <w:t>）第一次</w:t>
      </w:r>
      <w:r>
        <w:rPr>
          <w:rFonts w:hint="eastAsia"/>
          <w:color w:val="auto"/>
          <w:sz w:val="24"/>
          <w:highlight w:val="none"/>
        </w:rPr>
        <w:t>报价明细表（或预算书）</w:t>
      </w:r>
    </w:p>
    <w:p w14:paraId="2058EFF5">
      <w:pPr>
        <w:adjustRightInd w:val="0"/>
        <w:snapToGrid w:val="0"/>
        <w:spacing w:line="300" w:lineRule="auto"/>
        <w:ind w:firstLine="539"/>
        <w:textAlignment w:val="top"/>
        <w:rPr>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4</w:t>
      </w:r>
      <w:r>
        <w:rPr>
          <w:rFonts w:hint="eastAsia" w:ascii="宋体" w:hAnsi="宋体" w:cs="楷体_GB2312"/>
          <w:color w:val="auto"/>
          <w:sz w:val="24"/>
          <w:highlight w:val="none"/>
          <w:lang w:val="zh-CN"/>
        </w:rPr>
        <w:t>）</w:t>
      </w:r>
      <w:r>
        <w:rPr>
          <w:rFonts w:hint="eastAsia"/>
          <w:color w:val="auto"/>
          <w:sz w:val="24"/>
          <w:highlight w:val="none"/>
        </w:rPr>
        <w:t>施工方案</w:t>
      </w:r>
    </w:p>
    <w:p w14:paraId="1CC1D94F">
      <w:pPr>
        <w:autoSpaceDE w:val="0"/>
        <w:autoSpaceDN w:val="0"/>
        <w:adjustRightInd w:val="0"/>
        <w:snapToGrid w:val="0"/>
        <w:spacing w:line="300" w:lineRule="auto"/>
        <w:ind w:firstLine="520" w:firstLineChars="217"/>
        <w:rPr>
          <w:rFonts w:ascii="宋体" w:hAnsi="宋体"/>
          <w:color w:val="auto"/>
          <w:sz w:val="24"/>
          <w:highlight w:val="none"/>
        </w:rPr>
      </w:pPr>
      <w:r>
        <w:rPr>
          <w:rFonts w:hint="eastAsia"/>
          <w:color w:val="auto"/>
          <w:sz w:val="24"/>
          <w:highlight w:val="none"/>
        </w:rPr>
        <w:t>（5）</w:t>
      </w:r>
      <w:r>
        <w:rPr>
          <w:rFonts w:hint="eastAsia" w:ascii="宋体" w:hAnsi="宋体"/>
          <w:color w:val="auto"/>
          <w:sz w:val="24"/>
          <w:highlight w:val="none"/>
        </w:rPr>
        <w:t>工程质量保修书</w:t>
      </w:r>
    </w:p>
    <w:p w14:paraId="746198E4">
      <w:pPr>
        <w:autoSpaceDE w:val="0"/>
        <w:autoSpaceDN w:val="0"/>
        <w:adjustRightInd w:val="0"/>
        <w:snapToGrid w:val="0"/>
        <w:spacing w:line="300" w:lineRule="auto"/>
        <w:ind w:firstLine="520" w:firstLineChars="217"/>
        <w:rPr>
          <w:rFonts w:ascii="宋体" w:hAnsi="宋体"/>
          <w:color w:val="auto"/>
          <w:sz w:val="24"/>
          <w:highlight w:val="none"/>
        </w:rPr>
      </w:pPr>
      <w:r>
        <w:rPr>
          <w:rFonts w:hint="eastAsia"/>
          <w:color w:val="auto"/>
          <w:sz w:val="24"/>
          <w:highlight w:val="none"/>
        </w:rPr>
        <w:t>（6）</w:t>
      </w:r>
      <w:r>
        <w:rPr>
          <w:rFonts w:hint="eastAsia" w:ascii="宋体" w:hAnsi="宋体"/>
          <w:color w:val="auto"/>
          <w:sz w:val="24"/>
          <w:highlight w:val="none"/>
        </w:rPr>
        <w:t>工程质量、安全、工期承诺书</w:t>
      </w:r>
    </w:p>
    <w:p w14:paraId="631EF149">
      <w:pPr>
        <w:adjustRightInd w:val="0"/>
        <w:snapToGrid w:val="0"/>
        <w:spacing w:line="300" w:lineRule="auto"/>
        <w:ind w:firstLine="539"/>
        <w:textAlignment w:val="top"/>
        <w:rPr>
          <w:color w:val="auto"/>
          <w:sz w:val="24"/>
          <w:highlight w:val="none"/>
        </w:rPr>
      </w:pPr>
      <w:r>
        <w:rPr>
          <w:rFonts w:hint="eastAsia" w:ascii="宋体" w:hAnsi="宋体" w:cs="楷体_GB2312"/>
          <w:color w:val="auto"/>
          <w:sz w:val="24"/>
          <w:highlight w:val="none"/>
          <w:lang w:val="zh-CN"/>
        </w:rPr>
        <w:t>（7）</w:t>
      </w:r>
      <w:r>
        <w:rPr>
          <w:rFonts w:hint="eastAsia"/>
          <w:color w:val="auto"/>
          <w:sz w:val="24"/>
          <w:highlight w:val="none"/>
        </w:rPr>
        <w:t>偏差表</w:t>
      </w:r>
    </w:p>
    <w:p w14:paraId="6DA9CAD7">
      <w:pPr>
        <w:adjustRightInd w:val="0"/>
        <w:snapToGrid w:val="0"/>
        <w:spacing w:line="300" w:lineRule="auto"/>
        <w:ind w:firstLine="539"/>
        <w:rPr>
          <w:color w:val="auto"/>
          <w:sz w:val="24"/>
          <w:highlight w:val="none"/>
        </w:rPr>
      </w:pPr>
      <w:r>
        <w:rPr>
          <w:rFonts w:hint="eastAsia" w:ascii="宋体" w:hAnsi="宋体" w:cs="楷体_GB2312"/>
          <w:color w:val="auto"/>
          <w:sz w:val="24"/>
          <w:highlight w:val="none"/>
          <w:lang w:val="zh-CN"/>
        </w:rPr>
        <w:t>（8）</w:t>
      </w:r>
      <w:r>
        <w:rPr>
          <w:rFonts w:hint="eastAsia"/>
          <w:color w:val="auto"/>
          <w:sz w:val="24"/>
          <w:highlight w:val="none"/>
        </w:rPr>
        <w:t>反商业贿赂承诺书。</w:t>
      </w:r>
    </w:p>
    <w:p w14:paraId="131DBDBD">
      <w:pPr>
        <w:adjustRightInd w:val="0"/>
        <w:snapToGrid w:val="0"/>
        <w:spacing w:line="300" w:lineRule="auto"/>
        <w:ind w:firstLine="539"/>
        <w:rPr>
          <w:color w:val="auto"/>
          <w:sz w:val="24"/>
          <w:highlight w:val="none"/>
        </w:rPr>
      </w:pPr>
      <w:r>
        <w:rPr>
          <w:rFonts w:hint="eastAsia" w:ascii="宋体" w:hAnsi="宋体" w:cs="楷体_GB2312"/>
          <w:color w:val="auto"/>
          <w:sz w:val="24"/>
          <w:highlight w:val="none"/>
          <w:lang w:val="zh-CN"/>
        </w:rPr>
        <w:t>（9）</w:t>
      </w:r>
      <w:r>
        <w:rPr>
          <w:rFonts w:hint="eastAsia"/>
          <w:color w:val="auto"/>
          <w:sz w:val="24"/>
          <w:highlight w:val="none"/>
        </w:rPr>
        <w:t>履约承诺书。</w:t>
      </w:r>
    </w:p>
    <w:p w14:paraId="5DDE835A">
      <w:pPr>
        <w:widowControl w:val="0"/>
        <w:adjustRightInd w:val="0"/>
        <w:snapToGrid w:val="0"/>
        <w:spacing w:line="300" w:lineRule="auto"/>
        <w:ind w:firstLine="539"/>
        <w:textAlignment w:val="top"/>
        <w:rPr>
          <w:color w:val="auto"/>
          <w:sz w:val="24"/>
          <w:highlight w:val="none"/>
        </w:rPr>
      </w:pPr>
      <w:r>
        <w:rPr>
          <w:rFonts w:hint="eastAsia"/>
          <w:color w:val="auto"/>
          <w:sz w:val="24"/>
          <w:highlight w:val="none"/>
        </w:rPr>
        <w:t>（</w:t>
      </w:r>
      <w:r>
        <w:rPr>
          <w:color w:val="auto"/>
          <w:sz w:val="24"/>
          <w:highlight w:val="none"/>
        </w:rPr>
        <w:t>1</w:t>
      </w:r>
      <w:r>
        <w:rPr>
          <w:rFonts w:hint="eastAsia"/>
          <w:color w:val="auto"/>
          <w:sz w:val="24"/>
          <w:highlight w:val="none"/>
        </w:rPr>
        <w:t>0）采购项目及技术服务要求所需的其他材料（按条款需要）</w:t>
      </w:r>
    </w:p>
    <w:p w14:paraId="21CB854B">
      <w:pPr>
        <w:widowControl w:val="0"/>
        <w:adjustRightInd w:val="0"/>
        <w:snapToGrid w:val="0"/>
        <w:spacing w:line="300" w:lineRule="auto"/>
        <w:ind w:firstLine="539"/>
        <w:textAlignment w:val="top"/>
        <w:rPr>
          <w:color w:val="auto"/>
          <w:sz w:val="24"/>
          <w:highlight w:val="none"/>
        </w:rPr>
      </w:pPr>
      <w:r>
        <w:rPr>
          <w:rFonts w:hint="eastAsia"/>
          <w:color w:val="auto"/>
          <w:sz w:val="24"/>
          <w:highlight w:val="none"/>
        </w:rPr>
        <w:t>（</w:t>
      </w:r>
      <w:r>
        <w:rPr>
          <w:color w:val="auto"/>
          <w:sz w:val="24"/>
          <w:highlight w:val="none"/>
        </w:rPr>
        <w:t>1</w:t>
      </w:r>
      <w:r>
        <w:rPr>
          <w:rFonts w:hint="eastAsia"/>
          <w:color w:val="auto"/>
          <w:sz w:val="24"/>
          <w:highlight w:val="none"/>
        </w:rPr>
        <w:t>1）投标人须知所需的其他材料（按条款需要）</w:t>
      </w:r>
    </w:p>
    <w:p w14:paraId="08D41771">
      <w:pPr>
        <w:widowControl w:val="0"/>
        <w:adjustRightInd w:val="0"/>
        <w:snapToGrid w:val="0"/>
        <w:spacing w:line="300" w:lineRule="auto"/>
        <w:ind w:firstLine="539"/>
        <w:textAlignment w:val="top"/>
        <w:rPr>
          <w:color w:val="auto"/>
          <w:sz w:val="24"/>
          <w:highlight w:val="none"/>
        </w:rPr>
      </w:pPr>
      <w:r>
        <w:rPr>
          <w:rFonts w:hint="eastAsia"/>
          <w:color w:val="auto"/>
          <w:sz w:val="24"/>
          <w:highlight w:val="none"/>
        </w:rPr>
        <w:t>（</w:t>
      </w:r>
      <w:r>
        <w:rPr>
          <w:color w:val="auto"/>
          <w:sz w:val="24"/>
          <w:highlight w:val="none"/>
        </w:rPr>
        <w:t>1</w:t>
      </w:r>
      <w:r>
        <w:rPr>
          <w:rFonts w:hint="eastAsia"/>
          <w:color w:val="auto"/>
          <w:sz w:val="24"/>
          <w:highlight w:val="none"/>
        </w:rPr>
        <w:t>2）评审办法所需的其他材料（按条款需要）</w:t>
      </w:r>
    </w:p>
    <w:p w14:paraId="34AF1CCF">
      <w:pPr>
        <w:autoSpaceDE w:val="0"/>
        <w:autoSpaceDN w:val="0"/>
        <w:adjustRightInd w:val="0"/>
        <w:snapToGrid w:val="0"/>
        <w:spacing w:line="300" w:lineRule="auto"/>
        <w:ind w:firstLine="520" w:firstLineChars="217"/>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3）</w:t>
      </w:r>
      <w:r>
        <w:rPr>
          <w:rFonts w:hint="eastAsia" w:ascii="宋体" w:hAnsi="宋体"/>
          <w:color w:val="auto"/>
          <w:sz w:val="24"/>
          <w:highlight w:val="none"/>
        </w:rPr>
        <w:t>投标人认为有必要提交的其它材料</w:t>
      </w:r>
    </w:p>
    <w:p w14:paraId="5877D30D">
      <w:pPr>
        <w:adjustRightInd w:val="0"/>
        <w:snapToGrid w:val="0"/>
        <w:spacing w:before="156" w:beforeLines="50" w:line="300" w:lineRule="auto"/>
        <w:ind w:firstLine="539"/>
        <w:textAlignment w:val="top"/>
        <w:rPr>
          <w:rFonts w:ascii="黑体" w:hAnsi="黑体" w:eastAsia="黑体" w:cs="楷体_GB2312"/>
          <w:b/>
          <w:color w:val="auto"/>
          <w:sz w:val="24"/>
          <w:highlight w:val="none"/>
          <w:lang w:val="zh-CN"/>
        </w:rPr>
      </w:pPr>
      <w:r>
        <w:rPr>
          <w:rFonts w:hint="eastAsia" w:ascii="黑体" w:hAnsi="黑体" w:eastAsia="黑体" w:cs="楷体_GB2312"/>
          <w:b/>
          <w:color w:val="auto"/>
          <w:sz w:val="24"/>
          <w:highlight w:val="none"/>
          <w:lang w:val="zh-CN"/>
        </w:rPr>
        <w:t>资</w:t>
      </w:r>
      <w:r>
        <w:rPr>
          <w:rFonts w:ascii="黑体" w:hAnsi="黑体" w:eastAsia="黑体" w:cs="楷体_GB2312"/>
          <w:b/>
          <w:color w:val="auto"/>
          <w:sz w:val="24"/>
          <w:highlight w:val="none"/>
          <w:lang w:val="zh-CN"/>
        </w:rPr>
        <w:t>格性</w:t>
      </w:r>
      <w:r>
        <w:rPr>
          <w:rFonts w:hint="eastAsia" w:ascii="黑体" w:hAnsi="黑体" w:eastAsia="黑体" w:cs="楷体_GB2312"/>
          <w:b/>
          <w:color w:val="auto"/>
          <w:sz w:val="24"/>
          <w:highlight w:val="none"/>
          <w:lang w:val="zh-CN"/>
        </w:rPr>
        <w:t>证明文件</w:t>
      </w:r>
    </w:p>
    <w:p w14:paraId="3E926201">
      <w:pPr>
        <w:adjustRightInd w:val="0"/>
        <w:snapToGrid w:val="0"/>
        <w:spacing w:line="300" w:lineRule="auto"/>
        <w:ind w:firstLine="539"/>
        <w:rPr>
          <w:color w:val="auto"/>
          <w:sz w:val="24"/>
          <w:highlight w:val="none"/>
        </w:rPr>
      </w:pPr>
      <w:r>
        <w:rPr>
          <w:rFonts w:hint="eastAsia" w:ascii="宋体" w:hAnsi="宋体" w:cs="楷体_GB2312"/>
          <w:color w:val="auto"/>
          <w:sz w:val="24"/>
          <w:highlight w:val="none"/>
          <w:lang w:val="zh-CN"/>
        </w:rPr>
        <w:t>（14）</w:t>
      </w:r>
      <w:r>
        <w:rPr>
          <w:rFonts w:hint="eastAsia"/>
          <w:color w:val="auto"/>
          <w:sz w:val="24"/>
          <w:highlight w:val="none"/>
        </w:rPr>
        <w:t>关于资格的声明函</w:t>
      </w:r>
    </w:p>
    <w:p w14:paraId="3C0BAD20">
      <w:pPr>
        <w:widowControl w:val="0"/>
        <w:adjustRightInd w:val="0"/>
        <w:snapToGrid w:val="0"/>
        <w:spacing w:line="300" w:lineRule="auto"/>
        <w:ind w:firstLine="539"/>
        <w:textAlignment w:val="top"/>
        <w:rPr>
          <w:color w:val="auto"/>
          <w:sz w:val="24"/>
          <w:highlight w:val="none"/>
        </w:rPr>
      </w:pPr>
      <w:r>
        <w:rPr>
          <w:rFonts w:hint="eastAsia"/>
          <w:color w:val="auto"/>
          <w:sz w:val="24"/>
          <w:highlight w:val="none"/>
        </w:rPr>
        <w:t>（15）资格要求相关证明材料（文件）</w:t>
      </w:r>
    </w:p>
    <w:p w14:paraId="2AE3E679">
      <w:pPr>
        <w:topLinePunct/>
        <w:adjustRightInd w:val="0"/>
        <w:snapToGrid w:val="0"/>
        <w:spacing w:before="156" w:beforeLines="50" w:line="300" w:lineRule="auto"/>
        <w:ind w:firstLine="564" w:firstLineChars="235"/>
        <w:rPr>
          <w:rFonts w:ascii="宋体" w:cs="楷体_GB2312"/>
          <w:color w:val="auto"/>
          <w:sz w:val="24"/>
          <w:highlight w:val="none"/>
          <w:lang w:val="zh-CN"/>
        </w:rPr>
      </w:pPr>
      <w:r>
        <w:rPr>
          <w:rFonts w:ascii="宋体" w:hAnsi="宋体" w:cs="楷体_GB2312"/>
          <w:color w:val="auto"/>
          <w:sz w:val="24"/>
          <w:highlight w:val="none"/>
          <w:lang w:val="zh-CN"/>
        </w:rPr>
        <w:t>3.2.3</w:t>
      </w:r>
      <w:r>
        <w:rPr>
          <w:rFonts w:hint="eastAsia" w:ascii="宋体" w:hAnsi="宋体" w:cs="楷体_GB2312"/>
          <w:color w:val="auto"/>
          <w:sz w:val="24"/>
          <w:highlight w:val="none"/>
          <w:lang w:val="zh-CN"/>
        </w:rPr>
        <w:t>按照本章第</w:t>
      </w:r>
      <w:r>
        <w:rPr>
          <w:rFonts w:ascii="宋体" w:hAnsi="宋体" w:cs="楷体_GB2312"/>
          <w:color w:val="auto"/>
          <w:sz w:val="24"/>
          <w:highlight w:val="none"/>
          <w:lang w:val="zh-CN"/>
        </w:rPr>
        <w:t>4.3</w:t>
      </w:r>
      <w:r>
        <w:rPr>
          <w:rFonts w:hint="eastAsia" w:ascii="宋体" w:hAnsi="宋体" w:cs="楷体_GB2312"/>
          <w:color w:val="auto"/>
          <w:sz w:val="24"/>
          <w:highlight w:val="none"/>
          <w:lang w:val="zh-CN"/>
        </w:rPr>
        <w:t>款、第四章第</w:t>
      </w:r>
      <w:r>
        <w:rPr>
          <w:rFonts w:ascii="宋体" w:hAnsi="宋体" w:cs="楷体_GB2312"/>
          <w:color w:val="auto"/>
          <w:sz w:val="24"/>
          <w:highlight w:val="none"/>
          <w:lang w:val="zh-CN"/>
        </w:rPr>
        <w:t>3.</w:t>
      </w:r>
      <w:r>
        <w:rPr>
          <w:rFonts w:hint="eastAsia" w:ascii="宋体" w:hAnsi="宋体" w:cs="楷体_GB2312"/>
          <w:color w:val="auto"/>
          <w:sz w:val="24"/>
          <w:highlight w:val="none"/>
          <w:lang w:val="zh-CN"/>
        </w:rPr>
        <w:t>3款规定，对投标文件的补充、修改、澄清、说明或者更正构成投标文件的组成部分，并取代投标文件中被澄清、修改处。</w:t>
      </w:r>
    </w:p>
    <w:p w14:paraId="698BFC61">
      <w:pPr>
        <w:topLinePunct/>
        <w:adjustRightInd w:val="0"/>
        <w:snapToGrid w:val="0"/>
        <w:spacing w:before="156" w:beforeLines="50" w:line="300" w:lineRule="auto"/>
        <w:ind w:firstLine="566" w:firstLineChars="235"/>
        <w:rPr>
          <w:rFonts w:ascii="宋体" w:cs="楷体_GB2312"/>
          <w:color w:val="auto"/>
          <w:sz w:val="24"/>
          <w:highlight w:val="none"/>
          <w:lang w:val="zh-CN"/>
        </w:rPr>
      </w:pPr>
      <w:r>
        <w:rPr>
          <w:rFonts w:ascii="黑体" w:hAnsi="黑体" w:eastAsia="黑体" w:cs="楷体_GB2312"/>
          <w:b/>
          <w:color w:val="auto"/>
          <w:sz w:val="24"/>
          <w:highlight w:val="none"/>
          <w:lang w:val="zh-CN"/>
        </w:rPr>
        <w:t xml:space="preserve">3.3 </w:t>
      </w:r>
      <w:r>
        <w:rPr>
          <w:rFonts w:hint="eastAsia" w:ascii="黑体" w:hAnsi="黑体" w:eastAsia="黑体" w:cs="楷体_GB2312"/>
          <w:b/>
          <w:color w:val="auto"/>
          <w:sz w:val="24"/>
          <w:highlight w:val="none"/>
          <w:lang w:val="zh-CN"/>
        </w:rPr>
        <w:t>投标报价</w:t>
      </w:r>
      <w:r>
        <w:rPr>
          <w:rFonts w:hint="eastAsia" w:ascii="宋体" w:hAnsi="宋体" w:cs="楷体_GB2312"/>
          <w:color w:val="auto"/>
          <w:sz w:val="24"/>
          <w:highlight w:val="none"/>
          <w:lang w:val="zh-CN"/>
        </w:rPr>
        <w:t>（价格构成）：见第二章</w:t>
      </w:r>
      <w:r>
        <w:rPr>
          <w:rFonts w:ascii="宋体" w:hAnsi="宋体" w:cs="楷体_GB2312"/>
          <w:color w:val="auto"/>
          <w:sz w:val="24"/>
          <w:highlight w:val="none"/>
          <w:lang w:val="zh-CN"/>
        </w:rPr>
        <w:t>1.3</w:t>
      </w:r>
      <w:r>
        <w:rPr>
          <w:rFonts w:hint="eastAsia" w:ascii="宋体" w:hAnsi="宋体" w:cs="楷体_GB2312"/>
          <w:color w:val="auto"/>
          <w:sz w:val="24"/>
          <w:highlight w:val="none"/>
          <w:lang w:val="zh-CN"/>
        </w:rPr>
        <w:t>款。</w:t>
      </w:r>
    </w:p>
    <w:p w14:paraId="552DF38B">
      <w:pPr>
        <w:topLinePunct/>
        <w:adjustRightInd w:val="0"/>
        <w:snapToGrid w:val="0"/>
        <w:spacing w:before="156" w:beforeLines="50" w:line="300" w:lineRule="auto"/>
        <w:ind w:firstLine="566" w:firstLineChars="235"/>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3.4 </w:t>
      </w:r>
      <w:r>
        <w:rPr>
          <w:rFonts w:hint="eastAsia" w:ascii="黑体" w:hAnsi="黑体" w:eastAsia="黑体" w:cs="楷体_GB2312"/>
          <w:b/>
          <w:color w:val="auto"/>
          <w:sz w:val="24"/>
          <w:highlight w:val="none"/>
          <w:lang w:val="zh-CN"/>
        </w:rPr>
        <w:t>投标有效期</w:t>
      </w:r>
    </w:p>
    <w:p w14:paraId="092DD2FB">
      <w:pPr>
        <w:topLinePunct/>
        <w:adjustRightInd w:val="0"/>
        <w:snapToGrid w:val="0"/>
        <w:spacing w:before="156" w:beforeLines="50" w:line="300" w:lineRule="auto"/>
        <w:ind w:firstLine="564" w:firstLineChars="235"/>
        <w:rPr>
          <w:rFonts w:ascii="宋体" w:cs="楷体_GB2312"/>
          <w:color w:val="auto"/>
          <w:sz w:val="24"/>
          <w:highlight w:val="none"/>
          <w:lang w:val="zh-CN"/>
        </w:rPr>
      </w:pPr>
      <w:r>
        <w:rPr>
          <w:rFonts w:ascii="宋体" w:hAnsi="宋体" w:cs="楷体_GB2312"/>
          <w:color w:val="auto"/>
          <w:sz w:val="24"/>
          <w:highlight w:val="none"/>
          <w:lang w:val="zh-CN"/>
        </w:rPr>
        <w:t>3.4.1</w:t>
      </w:r>
      <w:r>
        <w:rPr>
          <w:rFonts w:hint="eastAsia" w:ascii="宋体" w:hAnsi="宋体" w:cs="楷体_GB2312"/>
          <w:color w:val="auto"/>
          <w:sz w:val="24"/>
          <w:highlight w:val="none"/>
          <w:lang w:val="zh-CN"/>
        </w:rPr>
        <w:t>投标有效期见投标人须知前附表。投标有效期从提交投标文件的截止之日起算。投标文件中承诺的投标有效期应当不少于招标文件中载明的投标有效期。投标文件在投标有效期内保持不变（包括价格等投标文件各项条款）。</w:t>
      </w:r>
    </w:p>
    <w:p w14:paraId="0A077F5F">
      <w:pPr>
        <w:topLinePunct/>
        <w:adjustRightInd w:val="0"/>
        <w:snapToGrid w:val="0"/>
        <w:spacing w:before="156" w:beforeLines="50" w:line="300" w:lineRule="auto"/>
        <w:ind w:firstLine="564" w:firstLineChars="235"/>
        <w:rPr>
          <w:rFonts w:ascii="宋体" w:cs="楷体_GB2312"/>
          <w:color w:val="auto"/>
          <w:sz w:val="24"/>
          <w:highlight w:val="none"/>
          <w:lang w:val="zh-CN"/>
        </w:rPr>
      </w:pPr>
      <w:r>
        <w:rPr>
          <w:rFonts w:ascii="宋体" w:hAnsi="宋体" w:cs="楷体_GB2312"/>
          <w:color w:val="auto"/>
          <w:sz w:val="24"/>
          <w:highlight w:val="none"/>
          <w:lang w:val="zh-CN"/>
        </w:rPr>
        <w:t>3.4.2</w:t>
      </w:r>
      <w:r>
        <w:rPr>
          <w:rFonts w:hint="eastAsia" w:ascii="宋体" w:hAnsi="宋体" w:cs="楷体_GB2312"/>
          <w:color w:val="auto"/>
          <w:sz w:val="24"/>
          <w:highlight w:val="none"/>
          <w:lang w:val="zh-CN"/>
        </w:rPr>
        <w:t>在投标有效期内，投标人撤销或修改其投标文件的，依据招标文件“第三章3.5.5 违背承诺的责任追究措施”，投标人承担相应法律责任及违约责任。</w:t>
      </w:r>
    </w:p>
    <w:p w14:paraId="6FEA860B">
      <w:pPr>
        <w:topLinePunct/>
        <w:adjustRightInd w:val="0"/>
        <w:snapToGrid w:val="0"/>
        <w:spacing w:before="156" w:beforeLines="50" w:line="300" w:lineRule="auto"/>
        <w:ind w:firstLine="566" w:firstLineChars="235"/>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3.5 </w:t>
      </w:r>
      <w:r>
        <w:rPr>
          <w:rFonts w:hint="eastAsia" w:ascii="黑体" w:hAnsi="黑体" w:eastAsia="黑体" w:cs="楷体_GB2312"/>
          <w:b/>
          <w:color w:val="auto"/>
          <w:sz w:val="24"/>
          <w:highlight w:val="none"/>
        </w:rPr>
        <w:t>投标承诺函</w:t>
      </w:r>
      <w:r>
        <w:rPr>
          <w:rFonts w:hint="eastAsia" w:ascii="黑体" w:hAnsi="黑体" w:eastAsia="黑体" w:cs="楷体_GB2312"/>
          <w:b/>
          <w:color w:val="auto"/>
          <w:sz w:val="24"/>
          <w:highlight w:val="none"/>
          <w:lang w:val="zh-CN"/>
        </w:rPr>
        <w:t>（</w:t>
      </w:r>
      <w:r>
        <w:rPr>
          <w:rFonts w:hint="eastAsia" w:ascii="黑体" w:hAnsi="黑体" w:eastAsia="黑体" w:cs="楷体_GB2312"/>
          <w:b/>
          <w:color w:val="auto"/>
          <w:sz w:val="24"/>
          <w:highlight w:val="none"/>
        </w:rPr>
        <w:t>替代</w:t>
      </w:r>
      <w:r>
        <w:rPr>
          <w:rFonts w:hint="eastAsia" w:ascii="黑体" w:hAnsi="黑体" w:eastAsia="黑体" w:cs="楷体_GB2312"/>
          <w:b/>
          <w:color w:val="auto"/>
          <w:sz w:val="24"/>
          <w:highlight w:val="none"/>
          <w:lang w:val="zh-CN"/>
        </w:rPr>
        <w:t>投标保证金）：</w:t>
      </w:r>
    </w:p>
    <w:p w14:paraId="7854F887">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val="zh-CN"/>
        </w:rPr>
        <w:t xml:space="preserve">3.5.1 </w:t>
      </w:r>
      <w:r>
        <w:rPr>
          <w:rFonts w:hint="eastAsia" w:ascii="宋体" w:hAnsi="宋体"/>
          <w:color w:val="auto"/>
          <w:sz w:val="24"/>
          <w:szCs w:val="24"/>
          <w:highlight w:val="none"/>
        </w:rPr>
        <w:t>按照豫财购〔2019〕4号文件规定，本项目以投标承诺函的形式替代投标保证金，供应商应按附件格式进行投标承诺，违背承诺的将承担相应的法律责任及违约责任。</w:t>
      </w:r>
    </w:p>
    <w:p w14:paraId="70170F9A">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3.5.2 未提供投标承诺函的为</w:t>
      </w:r>
      <w:r>
        <w:rPr>
          <w:rFonts w:hint="eastAsia" w:ascii="宋体" w:hAnsi="宋体"/>
          <w:b/>
          <w:bCs/>
          <w:color w:val="auto"/>
          <w:sz w:val="24"/>
          <w:szCs w:val="24"/>
          <w:highlight w:val="none"/>
        </w:rPr>
        <w:t>无效投标</w:t>
      </w:r>
      <w:r>
        <w:rPr>
          <w:rFonts w:hint="eastAsia" w:ascii="宋体" w:hAnsi="宋体"/>
          <w:color w:val="auto"/>
          <w:sz w:val="24"/>
          <w:szCs w:val="24"/>
          <w:highlight w:val="none"/>
        </w:rPr>
        <w:t>。</w:t>
      </w:r>
    </w:p>
    <w:p w14:paraId="4C3519AF">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3.5.3 投标人的投标承诺函包含投标人承诺的事项及违背承诺的责任追究措施。</w:t>
      </w:r>
    </w:p>
    <w:p w14:paraId="2568C3FC">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3.5.4 承诺事项：</w:t>
      </w:r>
    </w:p>
    <w:p w14:paraId="6826E83C">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3.5.4.1、投标人应遵循公开、公平、公正和</w:t>
      </w:r>
      <w:r>
        <w:rPr>
          <w:color w:val="auto"/>
          <w:highlight w:val="none"/>
        </w:rPr>
        <w:fldChar w:fldCharType="begin"/>
      </w:r>
      <w:r>
        <w:rPr>
          <w:color w:val="auto"/>
          <w:highlight w:val="none"/>
        </w:rPr>
        <w:instrText xml:space="preserve"> HYPERLINK "http://www.so.com/s?q=%E8%AF%9A%E5%AE%9E%E4%BF%A1%E7%94%A8&amp;ie=utf-8&amp;src=internal_wenda_recommend_textn" \t "https://wenda.so.com/q/_blank" </w:instrText>
      </w:r>
      <w:r>
        <w:rPr>
          <w:color w:val="auto"/>
          <w:highlight w:val="none"/>
        </w:rPr>
        <w:fldChar w:fldCharType="separate"/>
      </w:r>
      <w:r>
        <w:rPr>
          <w:rFonts w:hint="eastAsia" w:ascii="宋体" w:hAnsi="宋体"/>
          <w:color w:val="auto"/>
          <w:sz w:val="24"/>
          <w:szCs w:val="24"/>
          <w:highlight w:val="none"/>
        </w:rPr>
        <w:t>诚实信用</w:t>
      </w:r>
      <w:r>
        <w:rPr>
          <w:rFonts w:hint="eastAsia" w:ascii="宋体" w:hAnsi="宋体"/>
          <w:color w:val="auto"/>
          <w:sz w:val="24"/>
          <w:szCs w:val="24"/>
          <w:highlight w:val="none"/>
        </w:rPr>
        <w:fldChar w:fldCharType="end"/>
      </w:r>
      <w:r>
        <w:rPr>
          <w:rFonts w:hint="eastAsia" w:ascii="宋体" w:hAnsi="宋体"/>
          <w:color w:val="auto"/>
          <w:sz w:val="24"/>
          <w:szCs w:val="24"/>
          <w:highlight w:val="none"/>
        </w:rPr>
        <w:t>的原则自愿参加项目的投标；</w:t>
      </w:r>
      <w:r>
        <w:rPr>
          <w:rFonts w:hint="eastAsia" w:ascii="宋体" w:hAnsi="宋体"/>
          <w:color w:val="auto"/>
          <w:sz w:val="24"/>
          <w:szCs w:val="24"/>
          <w:highlight w:val="none"/>
        </w:rPr>
        <w:br w:type="textWrapping"/>
      </w:r>
      <w:r>
        <w:rPr>
          <w:rFonts w:hint="eastAsia" w:ascii="宋体" w:hAnsi="宋体"/>
          <w:color w:val="auto"/>
          <w:sz w:val="24"/>
          <w:szCs w:val="24"/>
          <w:highlight w:val="none"/>
        </w:rPr>
        <w:t xml:space="preserve">    3.5.4.2、投标人在政府采购活动中应提供真实、准确、有效、合法的材料，不</w:t>
      </w:r>
      <w:r>
        <w:rPr>
          <w:rFonts w:hint="eastAsia" w:ascii="宋体" w:hAnsi="宋体"/>
          <w:color w:val="auto"/>
          <w:sz w:val="24"/>
          <w:szCs w:val="24"/>
          <w:highlight w:val="none"/>
          <w:lang w:val="zh-CN"/>
        </w:rPr>
        <w:t>提供虚假材料；</w:t>
      </w:r>
    </w:p>
    <w:p w14:paraId="5090767E">
      <w:pPr>
        <w:widowControl w:val="0"/>
        <w:tabs>
          <w:tab w:val="left" w:pos="65"/>
        </w:tabs>
        <w:spacing w:line="460" w:lineRule="atLeast"/>
        <w:ind w:firstLine="480" w:firstLineChars="200"/>
        <w:textAlignment w:val="auto"/>
        <w:rPr>
          <w:rFonts w:ascii="宋体" w:hAnsi="宋体"/>
          <w:color w:val="auto"/>
          <w:sz w:val="24"/>
          <w:szCs w:val="24"/>
          <w:highlight w:val="none"/>
          <w:lang w:val="zh-CN"/>
        </w:rPr>
      </w:pPr>
      <w:r>
        <w:rPr>
          <w:rFonts w:hint="eastAsia" w:ascii="宋体" w:hAnsi="宋体"/>
          <w:color w:val="auto"/>
          <w:sz w:val="24"/>
          <w:szCs w:val="24"/>
          <w:highlight w:val="none"/>
        </w:rPr>
        <w:t>3.5.4.3、投标人</w:t>
      </w:r>
      <w:r>
        <w:rPr>
          <w:rFonts w:hint="eastAsia" w:ascii="宋体" w:hAnsi="宋体"/>
          <w:color w:val="auto"/>
          <w:sz w:val="24"/>
          <w:szCs w:val="24"/>
          <w:highlight w:val="none"/>
          <w:lang w:val="zh-CN"/>
        </w:rPr>
        <w:t>按照招标文件规定，在提交投标文件截止时间后，在招标文件规定的投标有效期限内不</w:t>
      </w:r>
      <w:r>
        <w:rPr>
          <w:rFonts w:hint="eastAsia" w:ascii="宋体" w:hAnsi="宋体"/>
          <w:color w:val="auto"/>
          <w:sz w:val="24"/>
          <w:szCs w:val="24"/>
          <w:highlight w:val="none"/>
        </w:rPr>
        <w:t>应</w:t>
      </w:r>
      <w:r>
        <w:rPr>
          <w:rFonts w:hint="eastAsia" w:ascii="宋体" w:hAnsi="宋体"/>
          <w:color w:val="auto"/>
          <w:sz w:val="24"/>
          <w:szCs w:val="24"/>
          <w:highlight w:val="none"/>
          <w:lang w:val="zh-CN"/>
        </w:rPr>
        <w:t>撤回投标文件；</w:t>
      </w:r>
    </w:p>
    <w:p w14:paraId="357D856F">
      <w:pPr>
        <w:widowControl w:val="0"/>
        <w:tabs>
          <w:tab w:val="left" w:pos="65"/>
        </w:tabs>
        <w:spacing w:line="460" w:lineRule="atLeast"/>
        <w:ind w:firstLine="480" w:firstLineChars="200"/>
        <w:textAlignment w:val="auto"/>
        <w:rPr>
          <w:rFonts w:ascii="宋体" w:hAnsi="宋体"/>
          <w:color w:val="auto"/>
          <w:sz w:val="24"/>
          <w:szCs w:val="24"/>
          <w:highlight w:val="none"/>
          <w:lang w:val="zh-CN"/>
        </w:rPr>
      </w:pPr>
      <w:r>
        <w:rPr>
          <w:rFonts w:hint="eastAsia" w:ascii="宋体" w:hAnsi="宋体"/>
          <w:color w:val="auto"/>
          <w:sz w:val="24"/>
          <w:szCs w:val="24"/>
          <w:highlight w:val="none"/>
        </w:rPr>
        <w:t>3.5.4.4、不应</w:t>
      </w:r>
      <w:r>
        <w:rPr>
          <w:rFonts w:hint="eastAsia" w:ascii="宋体" w:hAnsi="宋体"/>
          <w:color w:val="auto"/>
          <w:sz w:val="24"/>
          <w:szCs w:val="24"/>
          <w:highlight w:val="none"/>
          <w:lang w:val="zh-CN"/>
        </w:rPr>
        <w:t>与其他投标人、采购人或采购代理机构串通或恶意串通。</w:t>
      </w:r>
    </w:p>
    <w:p w14:paraId="6477AACF">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3.5.4.5、中标后</w:t>
      </w:r>
      <w:r>
        <w:rPr>
          <w:rFonts w:hint="eastAsia" w:ascii="宋体" w:hAnsi="宋体"/>
          <w:color w:val="auto"/>
          <w:sz w:val="24"/>
          <w:szCs w:val="24"/>
          <w:highlight w:val="none"/>
          <w:lang w:val="zh-CN"/>
        </w:rPr>
        <w:t>除不可抗拒力或</w:t>
      </w:r>
      <w:r>
        <w:rPr>
          <w:rFonts w:hint="eastAsia" w:ascii="宋体" w:hAnsi="宋体"/>
          <w:color w:val="auto"/>
          <w:sz w:val="24"/>
          <w:szCs w:val="24"/>
          <w:highlight w:val="none"/>
        </w:rPr>
        <w:t>招标</w:t>
      </w:r>
      <w:r>
        <w:rPr>
          <w:rFonts w:hint="eastAsia" w:ascii="宋体" w:hAnsi="宋体"/>
          <w:color w:val="auto"/>
          <w:sz w:val="24"/>
          <w:szCs w:val="24"/>
          <w:highlight w:val="none"/>
          <w:lang w:val="zh-CN"/>
        </w:rPr>
        <w:t>文件认可的情形外</w:t>
      </w:r>
      <w:r>
        <w:rPr>
          <w:rFonts w:hint="eastAsia" w:ascii="宋体" w:hAnsi="宋体"/>
          <w:color w:val="auto"/>
          <w:sz w:val="24"/>
          <w:szCs w:val="24"/>
          <w:highlight w:val="none"/>
        </w:rPr>
        <w:t>，投标人应及时领取中标通知书，</w:t>
      </w:r>
      <w:r>
        <w:rPr>
          <w:rFonts w:hint="eastAsia" w:ascii="宋体" w:hAnsi="宋体"/>
          <w:color w:val="auto"/>
          <w:sz w:val="24"/>
          <w:szCs w:val="24"/>
          <w:highlight w:val="none"/>
          <w:lang w:val="zh-CN"/>
        </w:rPr>
        <w:t>在成交通知书规定时间、地点与采购人签订合同；</w:t>
      </w:r>
      <w:r>
        <w:rPr>
          <w:rFonts w:hint="eastAsia" w:ascii="宋体" w:hAnsi="宋体"/>
          <w:color w:val="auto"/>
          <w:sz w:val="24"/>
          <w:szCs w:val="24"/>
          <w:highlight w:val="none"/>
        </w:rPr>
        <w:br w:type="textWrapping"/>
      </w:r>
      <w:r>
        <w:rPr>
          <w:rFonts w:hint="eastAsia" w:ascii="宋体" w:hAnsi="宋体"/>
          <w:color w:val="auto"/>
          <w:sz w:val="24"/>
          <w:szCs w:val="24"/>
          <w:highlight w:val="none"/>
        </w:rPr>
        <w:t xml:space="preserve">    3.5.4.6、投标人应</w:t>
      </w:r>
      <w:r>
        <w:rPr>
          <w:rFonts w:hint="eastAsia" w:ascii="宋体" w:hAnsi="宋体"/>
          <w:color w:val="auto"/>
          <w:sz w:val="24"/>
          <w:szCs w:val="24"/>
          <w:highlight w:val="none"/>
          <w:lang w:val="zh-CN"/>
        </w:rPr>
        <w:t>遵守法律法规及招标文件规定的其他情况；</w:t>
      </w:r>
    </w:p>
    <w:p w14:paraId="12F44D23">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3.5.4.7、投标人应按招标文件规定及时缴纳中标服务费。</w:t>
      </w:r>
    </w:p>
    <w:p w14:paraId="0F1B8174">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3.5.5 违背承诺的责任追究措施</w:t>
      </w:r>
    </w:p>
    <w:p w14:paraId="1391E9B8">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投标人如违背上述承诺事项，应无条件接受以下责任追究：</w:t>
      </w:r>
    </w:p>
    <w:p w14:paraId="69599F69">
      <w:pPr>
        <w:widowControl w:val="0"/>
        <w:tabs>
          <w:tab w:val="left" w:pos="65"/>
        </w:tabs>
        <w:spacing w:line="460" w:lineRule="atLeast"/>
        <w:ind w:firstLine="480" w:firstLineChars="200"/>
        <w:textAlignment w:val="auto"/>
        <w:rPr>
          <w:rFonts w:ascii="宋体" w:hAnsi="宋体"/>
          <w:color w:val="auto"/>
          <w:sz w:val="24"/>
          <w:szCs w:val="24"/>
          <w:highlight w:val="none"/>
          <w:lang w:val="zh-CN"/>
        </w:rPr>
      </w:pPr>
      <w:r>
        <w:rPr>
          <w:rFonts w:hint="eastAsia" w:ascii="宋体" w:hAnsi="宋体"/>
          <w:color w:val="auto"/>
          <w:sz w:val="24"/>
          <w:szCs w:val="24"/>
          <w:highlight w:val="none"/>
        </w:rPr>
        <w:t>3.5.5.1</w:t>
      </w:r>
      <w:r>
        <w:rPr>
          <w:rFonts w:hint="eastAsia" w:ascii="宋体" w:hAnsi="宋体"/>
          <w:color w:val="auto"/>
          <w:sz w:val="24"/>
          <w:szCs w:val="24"/>
          <w:highlight w:val="none"/>
          <w:lang w:val="zh-CN"/>
        </w:rPr>
        <w:t>法定责任：</w:t>
      </w:r>
      <w:r>
        <w:rPr>
          <w:rFonts w:hint="eastAsia" w:ascii="宋体" w:hAnsi="宋体"/>
          <w:color w:val="auto"/>
          <w:sz w:val="24"/>
          <w:szCs w:val="24"/>
          <w:highlight w:val="none"/>
        </w:rPr>
        <w:t>按照政府采购相关法规，</w:t>
      </w:r>
      <w:r>
        <w:rPr>
          <w:rFonts w:hint="eastAsia" w:ascii="宋体" w:hAnsi="宋体"/>
          <w:color w:val="auto"/>
          <w:sz w:val="24"/>
          <w:szCs w:val="24"/>
          <w:highlight w:val="none"/>
          <w:lang w:val="zh-CN"/>
        </w:rPr>
        <w:t>处以罚款，列入不良行为记录名单，在一至三年内禁止参加政府采购活动，有违法所得的，并处没收违法所得，情节严重的，由工商行政管理机关（市场监督机关）吊销营业执照；构成犯罪的，依法追究刑事责任。</w:t>
      </w:r>
    </w:p>
    <w:p w14:paraId="5D4D4B99">
      <w:pPr>
        <w:widowControl w:val="0"/>
        <w:tabs>
          <w:tab w:val="left" w:pos="65"/>
        </w:tabs>
        <w:spacing w:line="460" w:lineRule="atLeast"/>
        <w:ind w:firstLine="480" w:firstLineChars="200"/>
        <w:textAlignment w:val="auto"/>
        <w:rPr>
          <w:rFonts w:ascii="宋体" w:hAnsi="宋体"/>
          <w:color w:val="auto"/>
          <w:sz w:val="24"/>
          <w:szCs w:val="24"/>
          <w:highlight w:val="none"/>
          <w:lang w:val="zh-CN"/>
        </w:rPr>
      </w:pPr>
      <w:r>
        <w:rPr>
          <w:rFonts w:hint="eastAsia" w:ascii="宋体" w:hAnsi="宋体"/>
          <w:color w:val="auto"/>
          <w:sz w:val="24"/>
          <w:szCs w:val="24"/>
          <w:highlight w:val="none"/>
        </w:rPr>
        <w:t>给采购人及他人造成损失的，应承担相应的赔偿责任。</w:t>
      </w:r>
    </w:p>
    <w:p w14:paraId="7A545602">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3.5.5.2</w:t>
      </w:r>
      <w:r>
        <w:rPr>
          <w:rFonts w:hint="eastAsia" w:ascii="宋体" w:hAnsi="宋体"/>
          <w:color w:val="auto"/>
          <w:sz w:val="24"/>
          <w:szCs w:val="24"/>
          <w:highlight w:val="none"/>
          <w:lang w:val="zh-CN"/>
        </w:rPr>
        <w:t>违约责任：</w:t>
      </w:r>
      <w:r>
        <w:rPr>
          <w:rFonts w:hint="eastAsia" w:ascii="宋体" w:hAnsi="宋体"/>
          <w:color w:val="auto"/>
          <w:sz w:val="24"/>
          <w:szCs w:val="24"/>
          <w:highlight w:val="none"/>
        </w:rPr>
        <w:t xml:space="preserve"> </w:t>
      </w:r>
    </w:p>
    <w:p w14:paraId="02A677CC">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3.5.5.2.1 已中标的，中标（成交）无效；</w:t>
      </w:r>
    </w:p>
    <w:p w14:paraId="578B8491">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3.5.5.2.2 支付采购人违约标的预算金额2%的</w:t>
      </w:r>
      <w:r>
        <w:rPr>
          <w:rFonts w:hint="eastAsia" w:ascii="宋体" w:hAnsi="宋体"/>
          <w:color w:val="auto"/>
          <w:sz w:val="24"/>
          <w:szCs w:val="24"/>
          <w:highlight w:val="none"/>
          <w:lang w:val="zh-CN"/>
        </w:rPr>
        <w:t>违约金</w:t>
      </w:r>
      <w:r>
        <w:rPr>
          <w:rFonts w:hint="eastAsia" w:ascii="宋体" w:hAnsi="宋体"/>
          <w:color w:val="auto"/>
          <w:sz w:val="24"/>
          <w:szCs w:val="24"/>
          <w:highlight w:val="none"/>
        </w:rPr>
        <w:t>；</w:t>
      </w:r>
    </w:p>
    <w:p w14:paraId="6F6B0B76">
      <w:pPr>
        <w:widowControl w:val="0"/>
        <w:tabs>
          <w:tab w:val="left" w:pos="65"/>
        </w:tabs>
        <w:spacing w:line="460" w:lineRule="atLeast"/>
        <w:ind w:firstLine="480" w:firstLineChars="200"/>
        <w:textAlignment w:val="auto"/>
        <w:rPr>
          <w:rFonts w:ascii="宋体" w:cs="楷体_GB2312"/>
          <w:color w:val="auto"/>
          <w:sz w:val="24"/>
          <w:highlight w:val="none"/>
          <w:lang w:val="zh-CN"/>
        </w:rPr>
      </w:pPr>
      <w:r>
        <w:rPr>
          <w:rFonts w:hint="eastAsia" w:ascii="宋体" w:hAnsi="宋体"/>
          <w:color w:val="auto"/>
          <w:sz w:val="24"/>
          <w:szCs w:val="24"/>
          <w:highlight w:val="none"/>
        </w:rPr>
        <w:t>3.5.5.2.3中标后未缴中标服务费的，作为违约及违背</w:t>
      </w:r>
      <w:r>
        <w:rPr>
          <w:color w:val="auto"/>
          <w:highlight w:val="none"/>
        </w:rPr>
        <w:fldChar w:fldCharType="begin"/>
      </w:r>
      <w:r>
        <w:rPr>
          <w:color w:val="auto"/>
          <w:highlight w:val="none"/>
        </w:rPr>
        <w:instrText xml:space="preserve"> HYPERLINK "http://www.so.com/s?q=%E8%AF%9A%E5%AE%9E%E4%BF%A1%E7%94%A8&amp;ie=utf-8&amp;src=internal_wenda_recommend_textn" \t "https://wenda.so.com/q/_blank" </w:instrText>
      </w:r>
      <w:r>
        <w:rPr>
          <w:color w:val="auto"/>
          <w:highlight w:val="none"/>
        </w:rPr>
        <w:fldChar w:fldCharType="separate"/>
      </w:r>
      <w:r>
        <w:rPr>
          <w:rFonts w:hint="eastAsia" w:ascii="宋体" w:hAnsi="宋体"/>
          <w:color w:val="auto"/>
          <w:sz w:val="24"/>
          <w:szCs w:val="24"/>
          <w:highlight w:val="none"/>
        </w:rPr>
        <w:t>诚实信用</w:t>
      </w:r>
      <w:r>
        <w:rPr>
          <w:rFonts w:hint="eastAsia" w:ascii="宋体" w:hAnsi="宋体"/>
          <w:color w:val="auto"/>
          <w:sz w:val="24"/>
          <w:szCs w:val="24"/>
          <w:highlight w:val="none"/>
        </w:rPr>
        <w:fldChar w:fldCharType="end"/>
      </w:r>
      <w:r>
        <w:rPr>
          <w:rFonts w:hint="eastAsia" w:ascii="宋体" w:hAnsi="宋体"/>
          <w:color w:val="auto"/>
          <w:sz w:val="24"/>
          <w:szCs w:val="24"/>
          <w:highlight w:val="none"/>
        </w:rPr>
        <w:t>原则，在履行承诺前，代理机构将视该单位为失信企业、不予办理其后相关业务。</w:t>
      </w:r>
    </w:p>
    <w:p w14:paraId="0CF91CBC">
      <w:pPr>
        <w:autoSpaceDE w:val="0"/>
        <w:autoSpaceDN w:val="0"/>
        <w:adjustRightInd w:val="0"/>
        <w:spacing w:before="156" w:beforeLines="50" w:line="360" w:lineRule="auto"/>
        <w:ind w:firstLine="539"/>
        <w:rPr>
          <w:rFonts w:ascii="黑体" w:hAnsi="黑体" w:eastAsia="黑体" w:cs="楷体_GB2312"/>
          <w:b/>
          <w:bCs/>
          <w:color w:val="auto"/>
          <w:sz w:val="28"/>
          <w:szCs w:val="28"/>
          <w:highlight w:val="none"/>
          <w:lang w:val="zh-CN"/>
        </w:rPr>
      </w:pPr>
      <w:r>
        <w:rPr>
          <w:rFonts w:ascii="黑体" w:hAnsi="黑体" w:eastAsia="黑体" w:cs="楷体_GB2312"/>
          <w:b/>
          <w:color w:val="auto"/>
          <w:sz w:val="24"/>
          <w:highlight w:val="none"/>
          <w:lang w:val="zh-CN"/>
        </w:rPr>
        <w:t xml:space="preserve">3.6 </w:t>
      </w:r>
      <w:r>
        <w:rPr>
          <w:rFonts w:hint="eastAsia" w:ascii="黑体" w:hAnsi="黑体" w:eastAsia="黑体" w:cs="楷体_GB2312"/>
          <w:b/>
          <w:color w:val="auto"/>
          <w:sz w:val="24"/>
          <w:highlight w:val="none"/>
          <w:lang w:val="zh-CN"/>
        </w:rPr>
        <w:t>投标资格文件：</w:t>
      </w:r>
      <w:r>
        <w:rPr>
          <w:rFonts w:hint="eastAsia" w:ascii="宋体" w:hAnsi="宋体" w:cs="楷体_GB2312"/>
          <w:color w:val="auto"/>
          <w:sz w:val="24"/>
          <w:highlight w:val="none"/>
          <w:lang w:val="zh-CN"/>
        </w:rPr>
        <w:t>要求见招标公告</w:t>
      </w:r>
    </w:p>
    <w:p w14:paraId="1F14DD81">
      <w:pPr>
        <w:topLinePunct/>
        <w:adjustRightInd w:val="0"/>
        <w:snapToGrid w:val="0"/>
        <w:spacing w:before="156" w:beforeLines="50" w:line="300" w:lineRule="auto"/>
        <w:ind w:left="561" w:leftChars="267" w:firstLine="5" w:firstLineChars="2"/>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3.7</w:t>
      </w:r>
      <w:r>
        <w:rPr>
          <w:rFonts w:hint="eastAsia" w:ascii="黑体" w:hAnsi="黑体" w:eastAsia="黑体" w:cs="楷体_GB2312"/>
          <w:b/>
          <w:color w:val="auto"/>
          <w:sz w:val="24"/>
          <w:highlight w:val="none"/>
          <w:lang w:val="zh-CN"/>
        </w:rPr>
        <w:t>投标文件的编制</w:t>
      </w:r>
    </w:p>
    <w:p w14:paraId="36B46312">
      <w:pPr>
        <w:topLinePunct/>
        <w:adjustRightInd w:val="0"/>
        <w:snapToGrid w:val="0"/>
        <w:spacing w:before="156" w:beforeLines="50" w:line="300" w:lineRule="auto"/>
        <w:ind w:firstLine="564" w:firstLineChars="235"/>
        <w:rPr>
          <w:rFonts w:ascii="宋体" w:hAnsi="宋体" w:cs="楷体_GB2312"/>
          <w:color w:val="auto"/>
          <w:sz w:val="24"/>
          <w:highlight w:val="none"/>
          <w:lang w:val="zh-CN"/>
        </w:rPr>
      </w:pPr>
      <w:r>
        <w:rPr>
          <w:rFonts w:ascii="宋体" w:hAnsi="宋体" w:cs="楷体_GB2312"/>
          <w:color w:val="auto"/>
          <w:sz w:val="24"/>
          <w:highlight w:val="none"/>
          <w:lang w:val="zh-CN"/>
        </w:rPr>
        <w:t>3.7.1</w:t>
      </w:r>
      <w:r>
        <w:rPr>
          <w:rFonts w:hint="eastAsia" w:ascii="宋体" w:hAnsi="宋体" w:cs="楷体_GB2312"/>
          <w:color w:val="auto"/>
          <w:sz w:val="24"/>
          <w:highlight w:val="none"/>
          <w:lang w:val="zh-CN"/>
        </w:rPr>
        <w:t>投标文件应按第六章“投标文件格式”进行编写，如有必要，可以增加附页，作为投标文件的组成部分。招标文件中未列明格式的，由投标人按一般通用格式自行设计编写。</w:t>
      </w:r>
    </w:p>
    <w:p w14:paraId="2DB89AA4">
      <w:pPr>
        <w:widowControl w:val="0"/>
        <w:adjustRightInd w:val="0"/>
        <w:spacing w:before="156" w:beforeLines="50" w:line="300" w:lineRule="auto"/>
        <w:ind w:firstLine="540" w:firstLineChars="225"/>
        <w:rPr>
          <w:rFonts w:ascii="宋体" w:hAnsi="宋体"/>
          <w:color w:val="auto"/>
          <w:sz w:val="24"/>
          <w:szCs w:val="24"/>
          <w:highlight w:val="none"/>
        </w:rPr>
      </w:pPr>
      <w:r>
        <w:rPr>
          <w:rFonts w:hint="eastAsia" w:ascii="宋体" w:hAnsi="宋体" w:cs="楷体_GB2312"/>
          <w:color w:val="auto"/>
          <w:sz w:val="24"/>
          <w:highlight w:val="none"/>
          <w:lang w:val="zh-CN"/>
        </w:rPr>
        <w:t>投标文件编制后，</w:t>
      </w:r>
      <w:r>
        <w:rPr>
          <w:rFonts w:hint="eastAsia" w:ascii="宋体" w:hAnsi="宋体"/>
          <w:color w:val="auto"/>
          <w:sz w:val="24"/>
          <w:szCs w:val="24"/>
          <w:highlight w:val="none"/>
        </w:rPr>
        <w:t>投标人应在投标截止时间前上传加密的电子投标文件（*.aytf）到安阳市公共资源交易平台。上传时投标人须使用制作该投标文件的同一CA锁进行上传操作。请投标人在上传时认真检查上传投标文件是否完整、正确。投标人应充分考虑上传文件时的不可预见因素，未在投标截止时间前完成上传的，视为逾期送达，安阳市公共资源交易平台将拒绝接收。</w:t>
      </w:r>
    </w:p>
    <w:p w14:paraId="76FBB9B0">
      <w:pPr>
        <w:topLinePunct/>
        <w:adjustRightInd w:val="0"/>
        <w:snapToGrid w:val="0"/>
        <w:spacing w:before="156" w:beforeLines="50" w:line="300" w:lineRule="auto"/>
        <w:ind w:firstLine="564" w:firstLineChars="235"/>
        <w:rPr>
          <w:rFonts w:ascii="宋体" w:cs="楷体_GB2312"/>
          <w:color w:val="auto"/>
          <w:sz w:val="24"/>
          <w:highlight w:val="none"/>
          <w:lang w:val="zh-CN"/>
        </w:rPr>
      </w:pPr>
      <w:r>
        <w:rPr>
          <w:rFonts w:ascii="宋体" w:hAnsi="宋体" w:cs="楷体_GB2312"/>
          <w:color w:val="auto"/>
          <w:sz w:val="24"/>
          <w:highlight w:val="none"/>
          <w:lang w:val="zh-CN"/>
        </w:rPr>
        <w:t xml:space="preserve">3.7.2 </w:t>
      </w:r>
      <w:r>
        <w:rPr>
          <w:rFonts w:hint="eastAsia" w:ascii="宋体" w:hAnsi="宋体" w:cs="楷体_GB2312"/>
          <w:color w:val="auto"/>
          <w:sz w:val="24"/>
          <w:highlight w:val="none"/>
          <w:lang w:val="zh-CN"/>
        </w:rPr>
        <w:t>“投标文件格式”仅为对投标文件部分内容的格式化规范，并非投标文件所应具备的全部内容。投标人应按本章“</w:t>
      </w:r>
      <w:r>
        <w:rPr>
          <w:rFonts w:ascii="宋体" w:hAnsi="宋体" w:cs="楷体_GB2312"/>
          <w:color w:val="auto"/>
          <w:sz w:val="24"/>
          <w:highlight w:val="none"/>
          <w:lang w:val="zh-CN"/>
        </w:rPr>
        <w:t>3.2</w:t>
      </w:r>
      <w:r>
        <w:rPr>
          <w:rFonts w:hint="eastAsia" w:ascii="宋体" w:hAnsi="宋体" w:cs="楷体_GB2312"/>
          <w:color w:val="auto"/>
          <w:sz w:val="24"/>
          <w:highlight w:val="none"/>
          <w:lang w:val="zh-CN"/>
        </w:rPr>
        <w:t>投标文件的组成”列示内容编制投标文件。</w:t>
      </w:r>
    </w:p>
    <w:p w14:paraId="6B357871">
      <w:pPr>
        <w:adjustRightInd w:val="0"/>
        <w:snapToGrid w:val="0"/>
        <w:spacing w:before="156" w:beforeLines="50" w:line="300" w:lineRule="auto"/>
        <w:ind w:firstLine="480" w:firstLineChars="200"/>
        <w:rPr>
          <w:rFonts w:ascii="宋体" w:hAnsi="宋体" w:cs="楷体_GB2312"/>
          <w:color w:val="auto"/>
          <w:sz w:val="24"/>
          <w:highlight w:val="none"/>
          <w:lang w:val="zh-CN"/>
        </w:rPr>
      </w:pPr>
      <w:r>
        <w:rPr>
          <w:rFonts w:ascii="宋体" w:hAnsi="宋体" w:cs="楷体_GB2312"/>
          <w:color w:val="auto"/>
          <w:sz w:val="24"/>
          <w:highlight w:val="none"/>
          <w:lang w:val="zh-CN"/>
        </w:rPr>
        <w:t>3.7</w:t>
      </w:r>
      <w:r>
        <w:rPr>
          <w:rFonts w:ascii="宋体" w:cs="楷体_GB2312"/>
          <w:color w:val="auto"/>
          <w:sz w:val="24"/>
          <w:highlight w:val="none"/>
          <w:lang w:val="zh-CN"/>
        </w:rPr>
        <w:t>.</w:t>
      </w:r>
      <w:r>
        <w:rPr>
          <w:rFonts w:ascii="宋体" w:hAnsi="宋体" w:cs="楷体_GB2312"/>
          <w:color w:val="auto"/>
          <w:sz w:val="24"/>
          <w:highlight w:val="none"/>
          <w:lang w:val="zh-CN"/>
        </w:rPr>
        <w:t>3</w:t>
      </w:r>
      <w:r>
        <w:rPr>
          <w:rFonts w:hint="eastAsia" w:ascii="宋体" w:hAnsi="宋体" w:cs="楷体_GB2312"/>
          <w:color w:val="auto"/>
          <w:sz w:val="24"/>
          <w:highlight w:val="none"/>
          <w:lang w:val="zh-CN"/>
        </w:rPr>
        <w:t>投标文件应当对招标文件有关标段（包）内容（范围）、采购需求（技术要求、售后服务、交付（实施）期等）、投标有效期等实质性内容作出响应。在满足招标文件实质性要求的基础上，可以提出比招标文件要求更有利于采购人的承诺。并符合招标文件偏差规定。</w:t>
      </w:r>
    </w:p>
    <w:p w14:paraId="675E26C0">
      <w:pPr>
        <w:adjustRightInd w:val="0"/>
        <w:snapToGrid w:val="0"/>
        <w:spacing w:before="156" w:beforeLines="50" w:line="300" w:lineRule="auto"/>
        <w:ind w:firstLine="482" w:firstLineChars="200"/>
        <w:rPr>
          <w:rFonts w:asciiTheme="minorEastAsia" w:hAnsiTheme="minorEastAsia" w:eastAsiaTheme="minorEastAsia"/>
          <w:b/>
          <w:color w:val="auto"/>
          <w:sz w:val="24"/>
          <w:szCs w:val="24"/>
          <w:highlight w:val="none"/>
        </w:rPr>
      </w:pPr>
      <w:r>
        <w:rPr>
          <w:rFonts w:hint="eastAsia" w:cs="楷体_GB2312" w:asciiTheme="minorEastAsia" w:hAnsiTheme="minorEastAsia" w:eastAsiaTheme="minorEastAsia"/>
          <w:b/>
          <w:color w:val="auto"/>
          <w:sz w:val="24"/>
          <w:highlight w:val="none"/>
          <w:lang w:val="zh-CN"/>
        </w:rPr>
        <w:t>技术要求的偏离按第二章“</w:t>
      </w:r>
      <w:r>
        <w:rPr>
          <w:rFonts w:asciiTheme="minorEastAsia" w:hAnsiTheme="minorEastAsia" w:eastAsiaTheme="minorEastAsia"/>
          <w:b/>
          <w:color w:val="auto"/>
          <w:sz w:val="24"/>
          <w:szCs w:val="24"/>
          <w:highlight w:val="none"/>
        </w:rPr>
        <w:t>2.</w:t>
      </w:r>
      <w:r>
        <w:rPr>
          <w:rFonts w:hint="eastAsia" w:asciiTheme="minorEastAsia" w:hAnsiTheme="minorEastAsia" w:eastAsiaTheme="minorEastAsia"/>
          <w:b/>
          <w:color w:val="auto"/>
          <w:sz w:val="24"/>
          <w:szCs w:val="24"/>
          <w:highlight w:val="none"/>
        </w:rPr>
        <w:t>7技术偏离”执行；其他条款如未标明为非实质性要求的，均为实质性要求，不接受负偏离。</w:t>
      </w:r>
    </w:p>
    <w:p w14:paraId="7AAF1FEE">
      <w:pPr>
        <w:adjustRightInd w:val="0"/>
        <w:snapToGrid w:val="0"/>
        <w:spacing w:before="156" w:beforeLines="50" w:line="300" w:lineRule="auto"/>
        <w:ind w:firstLine="480" w:firstLineChars="200"/>
        <w:rPr>
          <w:rFonts w:ascii="宋体" w:cs="楷体_GB2312"/>
          <w:color w:val="auto"/>
          <w:sz w:val="24"/>
          <w:highlight w:val="none"/>
          <w:lang w:val="zh-CN"/>
        </w:rPr>
      </w:pPr>
      <w:r>
        <w:rPr>
          <w:rFonts w:hint="eastAsia" w:ascii="宋体" w:hAnsi="宋体" w:cs="楷体_GB2312"/>
          <w:color w:val="auto"/>
          <w:sz w:val="24"/>
          <w:highlight w:val="none"/>
          <w:lang w:val="zh-CN"/>
        </w:rPr>
        <w:t>投标文件的所有条款与招标文件要求有任何不同之处，应按《技术偏差表》、《其他偏差表》格式逐一填列。投标文件与招标文件所有要求存在偏差而未填列的，评标委员会有权按照实质性判断原则（实质性要求和实质性响应两因素）评定其为</w:t>
      </w:r>
      <w:r>
        <w:rPr>
          <w:rFonts w:hint="eastAsia" w:ascii="宋体" w:hAnsi="宋体" w:cs="楷体_GB2312"/>
          <w:b/>
          <w:color w:val="auto"/>
          <w:sz w:val="24"/>
          <w:highlight w:val="none"/>
          <w:lang w:val="zh-CN"/>
        </w:rPr>
        <w:t>无效投标</w:t>
      </w:r>
      <w:r>
        <w:rPr>
          <w:rFonts w:hint="eastAsia" w:ascii="宋体" w:hAnsi="宋体" w:cs="楷体_GB2312"/>
          <w:color w:val="auto"/>
          <w:sz w:val="24"/>
          <w:highlight w:val="none"/>
          <w:lang w:val="zh-CN"/>
        </w:rPr>
        <w:t>。投标人应认真编制投标文件并自负此项风险。</w:t>
      </w:r>
    </w:p>
    <w:p w14:paraId="4A609217">
      <w:pPr>
        <w:autoSpaceDE w:val="0"/>
        <w:autoSpaceDN w:val="0"/>
        <w:adjustRightInd w:val="0"/>
        <w:snapToGrid w:val="0"/>
        <w:spacing w:before="156" w:beforeLines="50" w:line="300" w:lineRule="auto"/>
        <w:ind w:firstLine="539"/>
        <w:rPr>
          <w:rFonts w:ascii="宋体" w:cs="楷体_GB2312"/>
          <w:b/>
          <w:color w:val="auto"/>
          <w:sz w:val="24"/>
          <w:highlight w:val="none"/>
        </w:rPr>
      </w:pPr>
      <w:r>
        <w:rPr>
          <w:rFonts w:ascii="宋体" w:hAnsi="宋体" w:cs="楷体_GB2312"/>
          <w:b/>
          <w:color w:val="auto"/>
          <w:sz w:val="24"/>
          <w:highlight w:val="none"/>
          <w:lang w:val="zh-CN"/>
        </w:rPr>
        <w:t>3.7.</w:t>
      </w:r>
      <w:r>
        <w:rPr>
          <w:rFonts w:hint="eastAsia" w:ascii="宋体" w:hAnsi="宋体" w:cs="楷体_GB2312"/>
          <w:b/>
          <w:color w:val="auto"/>
          <w:sz w:val="24"/>
          <w:highlight w:val="none"/>
          <w:lang w:val="zh-CN"/>
        </w:rPr>
        <w:t>4</w:t>
      </w:r>
      <w:r>
        <w:rPr>
          <w:rFonts w:ascii="宋体" w:hAnsi="宋体" w:cs="楷体_GB2312"/>
          <w:b/>
          <w:color w:val="auto"/>
          <w:sz w:val="24"/>
          <w:highlight w:val="none"/>
          <w:lang w:val="zh-CN"/>
        </w:rPr>
        <w:t xml:space="preserve"> </w:t>
      </w:r>
      <w:r>
        <w:rPr>
          <w:rFonts w:hint="eastAsia" w:ascii="宋体" w:hAnsi="宋体" w:cs="楷体_GB2312"/>
          <w:b/>
          <w:color w:val="auto"/>
          <w:sz w:val="24"/>
          <w:highlight w:val="none"/>
          <w:lang w:val="zh-CN"/>
        </w:rPr>
        <w:t>投标文件</w:t>
      </w:r>
      <w:r>
        <w:rPr>
          <w:rFonts w:hint="eastAsia" w:ascii="宋体" w:hAnsi="宋体" w:cs="楷体_GB2312"/>
          <w:b/>
          <w:color w:val="auto"/>
          <w:sz w:val="24"/>
          <w:highlight w:val="none"/>
        </w:rPr>
        <w:t>应</w:t>
      </w:r>
      <w:r>
        <w:rPr>
          <w:rFonts w:hint="eastAsia" w:ascii="宋体" w:hAnsi="宋体" w:cs="楷体_GB2312"/>
          <w:b/>
          <w:color w:val="auto"/>
          <w:sz w:val="24"/>
          <w:highlight w:val="none"/>
          <w:lang w:val="zh-CN"/>
        </w:rPr>
        <w:t>按招标文件相关要求（含格式上标注的要求）、</w:t>
      </w:r>
      <w:r>
        <w:rPr>
          <w:rFonts w:hint="eastAsia" w:ascii="宋体" w:hAnsi="宋体" w:cs="楷体_GB2312"/>
          <w:b/>
          <w:color w:val="auto"/>
          <w:sz w:val="24"/>
          <w:highlight w:val="none"/>
        </w:rPr>
        <w:t>使用供应商企业数字证书进行电</w:t>
      </w:r>
      <w:r>
        <w:rPr>
          <w:rFonts w:ascii="宋体" w:hAnsi="宋体" w:cs="楷体_GB2312"/>
          <w:b/>
          <w:color w:val="auto"/>
          <w:sz w:val="24"/>
          <w:highlight w:val="none"/>
        </w:rPr>
        <w:t>子</w:t>
      </w:r>
      <w:r>
        <w:rPr>
          <w:rFonts w:hint="eastAsia" w:ascii="宋体" w:hAnsi="宋体" w:cs="楷体_GB2312"/>
          <w:b/>
          <w:color w:val="auto"/>
          <w:sz w:val="24"/>
          <w:highlight w:val="none"/>
        </w:rPr>
        <w:t>签章和供应商法定代表人数字证书进行电</w:t>
      </w:r>
      <w:r>
        <w:rPr>
          <w:rFonts w:ascii="宋体" w:hAnsi="宋体" w:cs="楷体_GB2312"/>
          <w:b/>
          <w:color w:val="auto"/>
          <w:sz w:val="24"/>
          <w:highlight w:val="none"/>
        </w:rPr>
        <w:t>子</w:t>
      </w:r>
      <w:r>
        <w:rPr>
          <w:rFonts w:hint="eastAsia" w:ascii="宋体" w:hAnsi="宋体" w:cs="楷体_GB2312"/>
          <w:b/>
          <w:color w:val="auto"/>
          <w:sz w:val="24"/>
          <w:highlight w:val="none"/>
        </w:rPr>
        <w:t>签名（签章）、并加密，没有使用供应商企业数字证书和供应商法定代表人数字证书进行电</w:t>
      </w:r>
      <w:r>
        <w:rPr>
          <w:rFonts w:ascii="宋体" w:hAnsi="宋体" w:cs="楷体_GB2312"/>
          <w:b/>
          <w:color w:val="auto"/>
          <w:sz w:val="24"/>
          <w:highlight w:val="none"/>
        </w:rPr>
        <w:t>子</w:t>
      </w:r>
      <w:r>
        <w:rPr>
          <w:rFonts w:hint="eastAsia" w:ascii="宋体" w:hAnsi="宋体" w:cs="楷体_GB2312"/>
          <w:b/>
          <w:color w:val="auto"/>
          <w:sz w:val="24"/>
          <w:highlight w:val="none"/>
        </w:rPr>
        <w:t>签名（签章）并加密的投标文件，属于未按照招标文件要求进行签署。</w:t>
      </w:r>
    </w:p>
    <w:p w14:paraId="2E50B05F">
      <w:pPr>
        <w:adjustRightInd w:val="0"/>
        <w:snapToGrid w:val="0"/>
        <w:spacing w:before="156" w:beforeLines="50" w:line="300" w:lineRule="auto"/>
        <w:ind w:firstLine="482" w:firstLineChars="200"/>
        <w:rPr>
          <w:rFonts w:ascii="宋体" w:hAnsi="宋体" w:cs="楷体_GB2312"/>
          <w:color w:val="auto"/>
          <w:sz w:val="24"/>
          <w:highlight w:val="none"/>
          <w:lang w:val="zh-CN"/>
        </w:rPr>
      </w:pPr>
      <w:r>
        <w:rPr>
          <w:rFonts w:hint="eastAsia" w:ascii="宋体" w:hAnsi="宋体" w:cs="楷体_GB2312"/>
          <w:b/>
          <w:color w:val="auto"/>
          <w:sz w:val="24"/>
          <w:highlight w:val="none"/>
        </w:rPr>
        <w:t>根据《中华人民共和国电子签名法》规定，可靠的电子签名与手写签名或者盖章具有同等的法律效力。本次采购活动中，供应商使用有效的企业数字证书对投标文件进行电子签章与加盖投标</w:t>
      </w:r>
      <w:r>
        <w:rPr>
          <w:rFonts w:ascii="宋体" w:hAnsi="宋体" w:cs="楷体_GB2312"/>
          <w:b/>
          <w:color w:val="auto"/>
          <w:sz w:val="24"/>
          <w:highlight w:val="none"/>
        </w:rPr>
        <w:t>人公</w:t>
      </w:r>
      <w:r>
        <w:rPr>
          <w:rFonts w:hint="eastAsia" w:ascii="宋体" w:hAnsi="宋体" w:cs="楷体_GB2312"/>
          <w:b/>
          <w:color w:val="auto"/>
          <w:sz w:val="24"/>
          <w:highlight w:val="none"/>
        </w:rPr>
        <w:t>章具有同等法律效力；供应商法定代表人使用有效的个人数字证书对投标文件进行签名（签章）与法人签章具有同等法律效力。</w:t>
      </w:r>
    </w:p>
    <w:p w14:paraId="4521D3B4">
      <w:pPr>
        <w:adjustRightInd w:val="0"/>
        <w:snapToGrid w:val="0"/>
        <w:spacing w:before="156" w:beforeLines="50" w:line="300" w:lineRule="auto"/>
        <w:ind w:firstLine="480" w:firstLineChars="200"/>
        <w:rPr>
          <w:rFonts w:ascii="宋体" w:cs="楷体_GB2312"/>
          <w:color w:val="auto"/>
          <w:sz w:val="24"/>
          <w:highlight w:val="none"/>
          <w:lang w:val="zh-CN"/>
        </w:rPr>
      </w:pPr>
      <w:r>
        <w:rPr>
          <w:rFonts w:ascii="宋体" w:hAnsi="宋体" w:cs="楷体_GB2312"/>
          <w:color w:val="auto"/>
          <w:sz w:val="24"/>
          <w:highlight w:val="none"/>
          <w:lang w:val="zh-CN"/>
        </w:rPr>
        <w:t>3.7.</w:t>
      </w:r>
      <w:r>
        <w:rPr>
          <w:rFonts w:hint="eastAsia" w:ascii="宋体" w:hAnsi="宋体" w:cs="楷体_GB2312"/>
          <w:color w:val="auto"/>
          <w:sz w:val="24"/>
          <w:highlight w:val="none"/>
          <w:lang w:val="zh-CN"/>
        </w:rPr>
        <w:t>5投标人可对本招标文件中所列的所有标段（包）进行分别投标，也可选择其中一个标段（包）或几个标段（包）投标，但不得将招标文件规定的同一标段（包）的内容拆开投标，否则将按</w:t>
      </w:r>
      <w:r>
        <w:rPr>
          <w:rFonts w:hint="eastAsia" w:ascii="宋体" w:hAnsi="宋体" w:cs="楷体_GB2312"/>
          <w:b/>
          <w:color w:val="auto"/>
          <w:sz w:val="24"/>
          <w:highlight w:val="none"/>
          <w:lang w:val="zh-CN"/>
        </w:rPr>
        <w:t>无效投标处理</w:t>
      </w:r>
      <w:r>
        <w:rPr>
          <w:rFonts w:hint="eastAsia" w:ascii="宋体" w:hAnsi="宋体" w:cs="楷体_GB2312"/>
          <w:color w:val="auto"/>
          <w:sz w:val="24"/>
          <w:highlight w:val="none"/>
          <w:lang w:val="zh-CN"/>
        </w:rPr>
        <w:t>。</w:t>
      </w:r>
    </w:p>
    <w:p w14:paraId="6AC6A074">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3.7.6 </w:t>
      </w:r>
      <w:r>
        <w:rPr>
          <w:rFonts w:hint="eastAsia" w:ascii="宋体" w:hAnsi="宋体" w:cs="楷体_GB2312"/>
          <w:color w:val="auto"/>
          <w:sz w:val="24"/>
          <w:highlight w:val="none"/>
          <w:lang w:val="zh-CN"/>
        </w:rPr>
        <w:t>投标文件因字迹或表述不清所引起的后果由投标人自行负责。</w:t>
      </w:r>
    </w:p>
    <w:p w14:paraId="68C308F4">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3.7.7 </w:t>
      </w:r>
      <w:r>
        <w:rPr>
          <w:rFonts w:hint="eastAsia" w:ascii="宋体" w:hAnsi="宋体" w:cs="楷体_GB2312"/>
          <w:color w:val="auto"/>
          <w:sz w:val="24"/>
          <w:highlight w:val="none"/>
          <w:lang w:val="zh-CN"/>
        </w:rPr>
        <w:t>未按上述要求提供的投标文件将视为</w:t>
      </w:r>
      <w:r>
        <w:rPr>
          <w:rFonts w:hint="eastAsia" w:ascii="宋体" w:hAnsi="宋体" w:cs="楷体_GB2312"/>
          <w:b/>
          <w:color w:val="auto"/>
          <w:sz w:val="24"/>
          <w:highlight w:val="none"/>
          <w:lang w:val="zh-CN"/>
        </w:rPr>
        <w:t>无效投标。</w:t>
      </w:r>
    </w:p>
    <w:p w14:paraId="36007484">
      <w:pPr>
        <w:autoSpaceDE w:val="0"/>
        <w:autoSpaceDN w:val="0"/>
        <w:adjustRightInd w:val="0"/>
        <w:spacing w:line="360" w:lineRule="auto"/>
        <w:ind w:firstLine="539"/>
        <w:rPr>
          <w:rFonts w:ascii="黑体" w:hAnsi="黑体" w:eastAsia="黑体" w:cs="楷体_GB2312"/>
          <w:b/>
          <w:bCs/>
          <w:color w:val="auto"/>
          <w:sz w:val="28"/>
          <w:szCs w:val="28"/>
          <w:highlight w:val="none"/>
          <w:lang w:val="zh-CN"/>
        </w:rPr>
      </w:pPr>
    </w:p>
    <w:p w14:paraId="4E349151">
      <w:pPr>
        <w:autoSpaceDE w:val="0"/>
        <w:autoSpaceDN w:val="0"/>
        <w:adjustRightInd w:val="0"/>
        <w:snapToGrid w:val="0"/>
        <w:spacing w:before="156" w:beforeLines="50" w:line="300" w:lineRule="auto"/>
        <w:ind w:firstLine="539"/>
        <w:outlineLvl w:val="1"/>
        <w:rPr>
          <w:rFonts w:ascii="黑体" w:hAnsi="黑体" w:eastAsia="黑体" w:cs="楷体_GB2312"/>
          <w:b/>
          <w:bCs/>
          <w:color w:val="auto"/>
          <w:sz w:val="28"/>
          <w:szCs w:val="28"/>
          <w:highlight w:val="none"/>
          <w:lang w:val="zh-CN"/>
        </w:rPr>
      </w:pPr>
      <w:bookmarkStart w:id="32" w:name="_Toc20624"/>
      <w:r>
        <w:rPr>
          <w:rFonts w:ascii="黑体" w:hAnsi="黑体" w:eastAsia="黑体" w:cs="楷体_GB2312"/>
          <w:b/>
          <w:bCs/>
          <w:color w:val="auto"/>
          <w:sz w:val="28"/>
          <w:szCs w:val="28"/>
          <w:highlight w:val="none"/>
          <w:lang w:val="zh-CN"/>
        </w:rPr>
        <w:t xml:space="preserve">4 </w:t>
      </w:r>
      <w:r>
        <w:rPr>
          <w:rFonts w:hint="eastAsia" w:ascii="黑体" w:hAnsi="黑体" w:eastAsia="黑体" w:cs="楷体_GB2312"/>
          <w:b/>
          <w:bCs/>
          <w:color w:val="auto"/>
          <w:sz w:val="28"/>
          <w:szCs w:val="28"/>
          <w:highlight w:val="none"/>
          <w:lang w:val="zh-CN"/>
        </w:rPr>
        <w:t>投标</w:t>
      </w:r>
      <w:bookmarkEnd w:id="32"/>
    </w:p>
    <w:p w14:paraId="6D0A9373">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4.1 </w:t>
      </w:r>
      <w:r>
        <w:rPr>
          <w:rFonts w:hint="eastAsia" w:ascii="黑体" w:hAnsi="黑体" w:eastAsia="黑体" w:cs="楷体_GB2312"/>
          <w:b/>
          <w:color w:val="auto"/>
          <w:sz w:val="24"/>
          <w:highlight w:val="none"/>
          <w:lang w:val="zh-CN"/>
        </w:rPr>
        <w:t>投标文件的密封和标记：</w:t>
      </w:r>
    </w:p>
    <w:p w14:paraId="372766B8">
      <w:pPr>
        <w:autoSpaceDE w:val="0"/>
        <w:autoSpaceDN w:val="0"/>
        <w:adjustRightInd w:val="0"/>
        <w:snapToGrid w:val="0"/>
        <w:spacing w:before="156" w:beforeLines="50" w:line="300" w:lineRule="auto"/>
        <w:ind w:firstLine="539"/>
        <w:rPr>
          <w:rFonts w:ascii="宋体" w:cs="楷体_GB2312"/>
          <w:b/>
          <w:color w:val="auto"/>
          <w:sz w:val="24"/>
          <w:highlight w:val="none"/>
          <w:lang w:val="zh-CN"/>
        </w:rPr>
      </w:pPr>
      <w:bookmarkStart w:id="33" w:name="OLE_LINK2"/>
      <w:r>
        <w:rPr>
          <w:rFonts w:ascii="宋体" w:hAnsi="宋体" w:cs="楷体_GB2312"/>
          <w:b/>
          <w:color w:val="auto"/>
          <w:sz w:val="24"/>
          <w:highlight w:val="none"/>
          <w:lang w:val="zh-CN"/>
        </w:rPr>
        <w:t xml:space="preserve">4.1.1 </w:t>
      </w:r>
      <w:r>
        <w:rPr>
          <w:rFonts w:hint="eastAsia" w:ascii="宋体" w:hAnsi="宋体" w:cs="楷体_GB2312"/>
          <w:b/>
          <w:color w:val="auto"/>
          <w:sz w:val="24"/>
          <w:highlight w:val="none"/>
          <w:lang w:val="zh-CN"/>
        </w:rPr>
        <w:t>投标文件应</w:t>
      </w:r>
      <w:r>
        <w:rPr>
          <w:rFonts w:ascii="宋体" w:hAnsi="宋体" w:cs="楷体_GB2312"/>
          <w:b/>
          <w:color w:val="auto"/>
          <w:sz w:val="24"/>
          <w:highlight w:val="none"/>
          <w:lang w:val="zh-CN"/>
        </w:rPr>
        <w:t>当</w:t>
      </w:r>
      <w:r>
        <w:rPr>
          <w:rFonts w:hint="eastAsia" w:ascii="宋体" w:hAnsi="宋体" w:cs="楷体_GB2312"/>
          <w:b/>
          <w:color w:val="auto"/>
          <w:sz w:val="24"/>
          <w:highlight w:val="none"/>
          <w:lang w:val="zh-CN"/>
        </w:rPr>
        <w:t>按网上电子交易系统要</w:t>
      </w:r>
      <w:r>
        <w:rPr>
          <w:rFonts w:ascii="宋体" w:hAnsi="宋体" w:cs="楷体_GB2312"/>
          <w:b/>
          <w:color w:val="auto"/>
          <w:sz w:val="24"/>
          <w:highlight w:val="none"/>
          <w:lang w:val="zh-CN"/>
        </w:rPr>
        <w:t>求</w:t>
      </w:r>
      <w:r>
        <w:rPr>
          <w:rFonts w:hint="eastAsia" w:ascii="宋体" w:hAnsi="宋体" w:cs="楷体_GB2312"/>
          <w:b/>
          <w:color w:val="auto"/>
          <w:sz w:val="24"/>
          <w:highlight w:val="none"/>
          <w:lang w:val="zh-CN"/>
        </w:rPr>
        <w:t>进行</w:t>
      </w:r>
      <w:r>
        <w:rPr>
          <w:rFonts w:ascii="宋体" w:hAnsi="宋体" w:cs="楷体_GB2312"/>
          <w:b/>
          <w:color w:val="auto"/>
          <w:sz w:val="24"/>
          <w:highlight w:val="none"/>
          <w:lang w:val="zh-CN"/>
        </w:rPr>
        <w:t>加密</w:t>
      </w:r>
      <w:r>
        <w:rPr>
          <w:rFonts w:hint="eastAsia" w:ascii="宋体" w:hAnsi="宋体" w:cs="楷体_GB2312"/>
          <w:b/>
          <w:color w:val="auto"/>
          <w:sz w:val="24"/>
          <w:highlight w:val="none"/>
          <w:lang w:val="zh-CN"/>
        </w:rPr>
        <w:t>和标记，</w:t>
      </w:r>
      <w:r>
        <w:rPr>
          <w:rFonts w:ascii="宋体" w:hAnsi="宋体" w:cs="楷体_GB2312"/>
          <w:b/>
          <w:color w:val="auto"/>
          <w:sz w:val="24"/>
          <w:highlight w:val="none"/>
          <w:lang w:val="zh-CN"/>
        </w:rPr>
        <w:t>在</w:t>
      </w:r>
      <w:r>
        <w:rPr>
          <w:rFonts w:hint="eastAsia" w:ascii="宋体" w:hAnsi="宋体" w:cs="楷体_GB2312"/>
          <w:b/>
          <w:color w:val="auto"/>
          <w:sz w:val="24"/>
          <w:highlight w:val="none"/>
          <w:lang w:val="zh-CN"/>
        </w:rPr>
        <w:t>投标文件提</w:t>
      </w:r>
      <w:r>
        <w:rPr>
          <w:rFonts w:ascii="宋体" w:hAnsi="宋体" w:cs="楷体_GB2312"/>
          <w:b/>
          <w:color w:val="auto"/>
          <w:sz w:val="24"/>
          <w:highlight w:val="none"/>
          <w:lang w:val="zh-CN"/>
        </w:rPr>
        <w:t>交</w:t>
      </w:r>
      <w:r>
        <w:rPr>
          <w:rFonts w:hint="eastAsia" w:ascii="宋体" w:hAnsi="宋体" w:cs="楷体_GB2312"/>
          <w:b/>
          <w:color w:val="auto"/>
          <w:sz w:val="24"/>
          <w:highlight w:val="none"/>
          <w:lang w:val="zh-CN"/>
        </w:rPr>
        <w:t>截止时间前，将</w:t>
      </w:r>
      <w:r>
        <w:rPr>
          <w:rFonts w:ascii="宋体" w:hAnsi="宋体" w:cs="楷体_GB2312"/>
          <w:b/>
          <w:color w:val="auto"/>
          <w:sz w:val="24"/>
          <w:highlight w:val="none"/>
          <w:lang w:val="zh-CN"/>
        </w:rPr>
        <w:t>加密的</w:t>
      </w:r>
      <w:r>
        <w:rPr>
          <w:rFonts w:hint="eastAsia" w:ascii="宋体" w:hAnsi="宋体" w:cs="楷体_GB2312"/>
          <w:b/>
          <w:color w:val="auto"/>
          <w:sz w:val="24"/>
          <w:highlight w:val="none"/>
          <w:lang w:val="zh-CN"/>
        </w:rPr>
        <w:t>投标文件</w:t>
      </w:r>
      <w:r>
        <w:rPr>
          <w:rFonts w:ascii="宋体" w:hAnsi="宋体" w:cs="楷体_GB2312"/>
          <w:b/>
          <w:color w:val="auto"/>
          <w:sz w:val="24"/>
          <w:highlight w:val="none"/>
          <w:lang w:val="zh-CN"/>
        </w:rPr>
        <w:t>上</w:t>
      </w:r>
      <w:r>
        <w:rPr>
          <w:rFonts w:hint="eastAsia" w:ascii="宋体" w:hAnsi="宋体" w:cs="楷体_GB2312"/>
          <w:b/>
          <w:color w:val="auto"/>
          <w:sz w:val="24"/>
          <w:highlight w:val="none"/>
          <w:lang w:val="zh-CN"/>
        </w:rPr>
        <w:t>传至招标公告所述网上电子交易系</w:t>
      </w:r>
      <w:r>
        <w:rPr>
          <w:rFonts w:ascii="宋体" w:hAnsi="宋体" w:cs="楷体_GB2312"/>
          <w:b/>
          <w:color w:val="auto"/>
          <w:sz w:val="24"/>
          <w:highlight w:val="none"/>
          <w:lang w:val="zh-CN"/>
        </w:rPr>
        <w:t>统</w:t>
      </w:r>
      <w:r>
        <w:rPr>
          <w:rFonts w:hint="eastAsia" w:ascii="宋体" w:hAnsi="宋体" w:cs="楷体_GB2312"/>
          <w:b/>
          <w:color w:val="auto"/>
          <w:sz w:val="24"/>
          <w:highlight w:val="none"/>
          <w:lang w:val="zh-CN"/>
        </w:rPr>
        <w:t>。</w:t>
      </w:r>
    </w:p>
    <w:p w14:paraId="0AC59C60">
      <w:pPr>
        <w:autoSpaceDE w:val="0"/>
        <w:autoSpaceDN w:val="0"/>
        <w:adjustRightInd w:val="0"/>
        <w:snapToGrid w:val="0"/>
        <w:spacing w:before="156" w:beforeLines="50" w:line="300" w:lineRule="auto"/>
        <w:ind w:firstLine="539"/>
        <w:rPr>
          <w:rFonts w:ascii="宋体" w:cs="楷体_GB2312"/>
          <w:b/>
          <w:color w:val="auto"/>
          <w:sz w:val="24"/>
          <w:highlight w:val="none"/>
          <w:lang w:val="zh-CN"/>
        </w:rPr>
      </w:pPr>
      <w:bookmarkStart w:id="34" w:name="OLE_LINK1"/>
      <w:r>
        <w:rPr>
          <w:rFonts w:ascii="宋体" w:hAnsi="宋体" w:cs="楷体_GB2312"/>
          <w:b/>
          <w:color w:val="auto"/>
          <w:sz w:val="24"/>
          <w:highlight w:val="none"/>
          <w:lang w:val="zh-CN"/>
        </w:rPr>
        <w:t xml:space="preserve">4.1.2 </w:t>
      </w:r>
      <w:r>
        <w:rPr>
          <w:rFonts w:hint="eastAsia" w:ascii="宋体" w:hAnsi="宋体" w:cs="楷体_GB2312"/>
          <w:b/>
          <w:color w:val="auto"/>
          <w:sz w:val="24"/>
          <w:highlight w:val="none"/>
          <w:lang w:val="zh-CN"/>
        </w:rPr>
        <w:t>投标文件没有按照上述要求进行</w:t>
      </w:r>
      <w:r>
        <w:rPr>
          <w:rFonts w:ascii="宋体" w:hAnsi="宋体" w:cs="楷体_GB2312"/>
          <w:b/>
          <w:color w:val="auto"/>
          <w:sz w:val="24"/>
          <w:highlight w:val="none"/>
          <w:lang w:val="zh-CN"/>
        </w:rPr>
        <w:t>加密</w:t>
      </w:r>
      <w:r>
        <w:rPr>
          <w:rFonts w:hint="eastAsia" w:ascii="黑体" w:hAnsi="黑体" w:eastAsia="黑体" w:cs="楷体_GB2312"/>
          <w:b/>
          <w:color w:val="auto"/>
          <w:sz w:val="24"/>
          <w:highlight w:val="none"/>
          <w:lang w:val="zh-CN"/>
        </w:rPr>
        <w:t>和标记</w:t>
      </w:r>
      <w:r>
        <w:rPr>
          <w:rFonts w:hint="eastAsia" w:ascii="宋体" w:hAnsi="宋体" w:cs="楷体_GB2312"/>
          <w:b/>
          <w:color w:val="auto"/>
          <w:sz w:val="24"/>
          <w:highlight w:val="none"/>
          <w:lang w:val="zh-CN"/>
        </w:rPr>
        <w:t>的、网上电子交易系</w:t>
      </w:r>
      <w:r>
        <w:rPr>
          <w:rFonts w:ascii="宋体" w:hAnsi="宋体" w:cs="楷体_GB2312"/>
          <w:b/>
          <w:color w:val="auto"/>
          <w:sz w:val="24"/>
          <w:highlight w:val="none"/>
          <w:lang w:val="zh-CN"/>
        </w:rPr>
        <w:t>统</w:t>
      </w:r>
      <w:r>
        <w:rPr>
          <w:rFonts w:hint="eastAsia" w:ascii="宋体" w:hAnsi="宋体" w:cs="楷体_GB2312"/>
          <w:b/>
          <w:color w:val="auto"/>
          <w:sz w:val="24"/>
          <w:highlight w:val="none"/>
          <w:lang w:val="zh-CN"/>
        </w:rPr>
        <w:t>将</w:t>
      </w:r>
      <w:r>
        <w:rPr>
          <w:rFonts w:ascii="宋体" w:hAnsi="宋体" w:cs="楷体_GB2312"/>
          <w:b/>
          <w:color w:val="auto"/>
          <w:sz w:val="24"/>
          <w:highlight w:val="none"/>
          <w:lang w:val="zh-CN"/>
        </w:rPr>
        <w:t>据系统设定</w:t>
      </w:r>
      <w:r>
        <w:rPr>
          <w:rFonts w:hint="eastAsia" w:ascii="宋体" w:hAnsi="宋体" w:cs="楷体_GB2312"/>
          <w:b/>
          <w:color w:val="auto"/>
          <w:sz w:val="24"/>
          <w:highlight w:val="none"/>
          <w:lang w:val="zh-CN"/>
        </w:rPr>
        <w:t>拒收其投标文件，投标人应自负该项风险，采购代理机构对可能产</w:t>
      </w:r>
      <w:r>
        <w:rPr>
          <w:rFonts w:ascii="宋体" w:hAnsi="宋体" w:cs="楷体_GB2312"/>
          <w:b/>
          <w:color w:val="auto"/>
          <w:sz w:val="24"/>
          <w:highlight w:val="none"/>
          <w:lang w:val="zh-CN"/>
        </w:rPr>
        <w:t>生的</w:t>
      </w:r>
      <w:r>
        <w:rPr>
          <w:rFonts w:hint="eastAsia" w:ascii="宋体" w:hAnsi="宋体" w:cs="楷体_GB2312"/>
          <w:b/>
          <w:color w:val="auto"/>
          <w:sz w:val="24"/>
          <w:highlight w:val="none"/>
          <w:lang w:val="zh-CN"/>
        </w:rPr>
        <w:t>误投或提前启封概不负责。</w:t>
      </w:r>
      <w:bookmarkEnd w:id="34"/>
    </w:p>
    <w:bookmarkEnd w:id="33"/>
    <w:p w14:paraId="13521B4E">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4.2 </w:t>
      </w:r>
      <w:r>
        <w:rPr>
          <w:rFonts w:hint="eastAsia" w:ascii="黑体" w:hAnsi="黑体" w:eastAsia="黑体" w:cs="楷体_GB2312"/>
          <w:b/>
          <w:color w:val="auto"/>
          <w:sz w:val="24"/>
          <w:highlight w:val="none"/>
          <w:lang w:val="zh-CN"/>
        </w:rPr>
        <w:t>投标文件的递交</w:t>
      </w:r>
    </w:p>
    <w:p w14:paraId="3438E124">
      <w:pPr>
        <w:autoSpaceDE w:val="0"/>
        <w:autoSpaceDN w:val="0"/>
        <w:adjustRightInd w:val="0"/>
        <w:snapToGrid w:val="0"/>
        <w:spacing w:before="156"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4.2.1</w:t>
      </w:r>
      <w:r>
        <w:rPr>
          <w:rFonts w:hint="eastAsia" w:ascii="宋体" w:hAnsi="宋体"/>
          <w:color w:val="auto"/>
          <w:sz w:val="24"/>
          <w:szCs w:val="24"/>
          <w:highlight w:val="none"/>
        </w:rPr>
        <w:t>投标人应在投标截止时间前上传加密的电子投标文件（*.aytf）到安阳市公共资源交易平台。上传时投标人须使用制作该投标文件的同一CA锁进行上传操作。请投标人在上传时认真检查上传投标文件是否完整、正确。投标人应充分考虑上传文件时的不可预见因素，未在投标截止时间前完成上传的，视为逾期送达，安阳市公共资源交易平台将拒绝接收。</w:t>
      </w:r>
    </w:p>
    <w:p w14:paraId="61755066">
      <w:pPr>
        <w:autoSpaceDE w:val="0"/>
        <w:autoSpaceDN w:val="0"/>
        <w:adjustRightInd w:val="0"/>
        <w:snapToGrid w:val="0"/>
        <w:spacing w:before="156"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 xml:space="preserve">4.2.2 </w:t>
      </w:r>
      <w:r>
        <w:rPr>
          <w:rFonts w:hint="eastAsia" w:ascii="宋体" w:hAnsi="宋体" w:cs="楷体_GB2312"/>
          <w:b/>
          <w:color w:val="auto"/>
          <w:sz w:val="24"/>
          <w:highlight w:val="none"/>
          <w:lang w:val="zh-CN"/>
        </w:rPr>
        <w:t>据网上电子交易系统设</w:t>
      </w:r>
      <w:r>
        <w:rPr>
          <w:rFonts w:ascii="宋体" w:hAnsi="宋体" w:cs="楷体_GB2312"/>
          <w:b/>
          <w:color w:val="auto"/>
          <w:sz w:val="24"/>
          <w:highlight w:val="none"/>
          <w:lang w:val="zh-CN"/>
        </w:rPr>
        <w:t>定，</w:t>
      </w:r>
      <w:r>
        <w:rPr>
          <w:rFonts w:hint="eastAsia" w:ascii="宋体" w:hAnsi="宋体" w:cs="楷体_GB2312"/>
          <w:b/>
          <w:color w:val="auto"/>
          <w:sz w:val="24"/>
          <w:highlight w:val="none"/>
          <w:lang w:val="zh-CN"/>
        </w:rPr>
        <w:t>投标文件提交截止时间后，系统将自动锁定已经提交的电子投标文件，拒绝再次提交。投</w:t>
      </w:r>
      <w:r>
        <w:rPr>
          <w:rFonts w:ascii="宋体" w:hAnsi="宋体" w:cs="楷体_GB2312"/>
          <w:b/>
          <w:color w:val="auto"/>
          <w:sz w:val="24"/>
          <w:highlight w:val="none"/>
          <w:lang w:val="zh-CN"/>
        </w:rPr>
        <w:t>标人</w:t>
      </w:r>
      <w:r>
        <w:rPr>
          <w:rFonts w:hint="eastAsia" w:ascii="宋体" w:hAnsi="宋体" w:cs="楷体_GB2312"/>
          <w:b/>
          <w:color w:val="auto"/>
          <w:sz w:val="24"/>
          <w:highlight w:val="none"/>
          <w:lang w:val="zh-CN"/>
        </w:rPr>
        <w:t>将无法通过网上电子交易系统进行上传，采购代理机构将无法接受并拒绝接受投标截止时间以后提</w:t>
      </w:r>
      <w:r>
        <w:rPr>
          <w:rFonts w:ascii="宋体" w:hAnsi="宋体" w:cs="楷体_GB2312"/>
          <w:b/>
          <w:color w:val="auto"/>
          <w:sz w:val="24"/>
          <w:highlight w:val="none"/>
          <w:lang w:val="zh-CN"/>
        </w:rPr>
        <w:t>交</w:t>
      </w:r>
      <w:r>
        <w:rPr>
          <w:rFonts w:hint="eastAsia" w:ascii="宋体" w:hAnsi="宋体" w:cs="楷体_GB2312"/>
          <w:b/>
          <w:color w:val="auto"/>
          <w:sz w:val="24"/>
          <w:highlight w:val="none"/>
          <w:lang w:val="zh-CN"/>
        </w:rPr>
        <w:t>的投标文件</w:t>
      </w:r>
    </w:p>
    <w:p w14:paraId="607F8986">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ascii="宋体" w:hAnsi="宋体" w:cs="楷体_GB2312"/>
          <w:color w:val="auto"/>
          <w:sz w:val="24"/>
          <w:highlight w:val="none"/>
          <w:lang w:val="zh-CN"/>
        </w:rPr>
        <w:t xml:space="preserve">4.2.3 </w:t>
      </w:r>
      <w:r>
        <w:rPr>
          <w:rFonts w:hint="eastAsia" w:ascii="宋体" w:hAnsi="宋体" w:cs="楷体_GB2312"/>
          <w:color w:val="auto"/>
          <w:sz w:val="24"/>
          <w:highlight w:val="none"/>
          <w:lang w:val="zh-CN"/>
        </w:rPr>
        <w:t>由于不可抗拒的原因，代理机构对投标文件的遗失和损坏不负任何责任。</w:t>
      </w:r>
    </w:p>
    <w:p w14:paraId="3A2A33C0">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4.2.4 </w:t>
      </w:r>
      <w:r>
        <w:rPr>
          <w:rFonts w:hint="eastAsia" w:ascii="宋体" w:hAnsi="宋体" w:cs="楷体_GB2312"/>
          <w:color w:val="auto"/>
          <w:sz w:val="24"/>
          <w:highlight w:val="none"/>
          <w:lang w:val="zh-CN"/>
        </w:rPr>
        <w:t>除投标人须知前附表另有规定外，投标人所递交的投标文件不予退还。</w:t>
      </w:r>
    </w:p>
    <w:p w14:paraId="3994E885">
      <w:pPr>
        <w:autoSpaceDE w:val="0"/>
        <w:autoSpaceDN w:val="0"/>
        <w:adjustRightInd w:val="0"/>
        <w:snapToGrid w:val="0"/>
        <w:spacing w:before="156"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 xml:space="preserve">4.2.5 </w:t>
      </w:r>
      <w:r>
        <w:rPr>
          <w:rFonts w:hint="eastAsia" w:ascii="宋体" w:hAnsi="宋体" w:cs="楷体_GB2312"/>
          <w:b/>
          <w:color w:val="auto"/>
          <w:sz w:val="24"/>
          <w:highlight w:val="none"/>
          <w:lang w:val="zh-CN"/>
        </w:rPr>
        <w:t>基于</w:t>
      </w:r>
      <w:r>
        <w:rPr>
          <w:rFonts w:ascii="宋体" w:hAnsi="宋体" w:cs="楷体_GB2312"/>
          <w:b/>
          <w:color w:val="auto"/>
          <w:sz w:val="24"/>
          <w:highlight w:val="none"/>
          <w:lang w:val="zh-CN"/>
        </w:rPr>
        <w:t>网上电子交易的</w:t>
      </w:r>
      <w:r>
        <w:rPr>
          <w:rFonts w:hint="eastAsia" w:ascii="宋体" w:hAnsi="宋体" w:cs="楷体_GB2312"/>
          <w:b/>
          <w:color w:val="auto"/>
          <w:sz w:val="24"/>
          <w:highlight w:val="none"/>
          <w:lang w:val="zh-CN"/>
        </w:rPr>
        <w:t>系统</w:t>
      </w:r>
      <w:r>
        <w:rPr>
          <w:rFonts w:ascii="宋体" w:hAnsi="宋体" w:cs="楷体_GB2312"/>
          <w:b/>
          <w:color w:val="auto"/>
          <w:sz w:val="24"/>
          <w:highlight w:val="none"/>
          <w:lang w:val="zh-CN"/>
        </w:rPr>
        <w:t>要求及</w:t>
      </w:r>
      <w:r>
        <w:rPr>
          <w:rFonts w:hint="eastAsia" w:ascii="宋体" w:hAnsi="宋体" w:cs="楷体_GB2312"/>
          <w:b/>
          <w:color w:val="auto"/>
          <w:sz w:val="24"/>
          <w:highlight w:val="none"/>
          <w:lang w:val="zh-CN"/>
        </w:rPr>
        <w:t>特点</w:t>
      </w:r>
      <w:r>
        <w:rPr>
          <w:rFonts w:ascii="宋体" w:hAnsi="宋体" w:cs="楷体_GB2312"/>
          <w:b/>
          <w:color w:val="auto"/>
          <w:sz w:val="24"/>
          <w:highlight w:val="none"/>
          <w:lang w:val="zh-CN"/>
        </w:rPr>
        <w:t>，</w:t>
      </w:r>
      <w:r>
        <w:rPr>
          <w:rFonts w:hint="eastAsia" w:ascii="宋体" w:hAnsi="宋体" w:cs="楷体_GB2312"/>
          <w:b/>
          <w:color w:val="auto"/>
          <w:sz w:val="24"/>
          <w:highlight w:val="none"/>
          <w:lang w:val="zh-CN"/>
        </w:rPr>
        <w:t>只</w:t>
      </w:r>
      <w:r>
        <w:rPr>
          <w:rFonts w:ascii="宋体" w:hAnsi="宋体" w:cs="楷体_GB2312"/>
          <w:b/>
          <w:color w:val="auto"/>
          <w:sz w:val="24"/>
          <w:highlight w:val="none"/>
          <w:lang w:val="zh-CN"/>
        </w:rPr>
        <w:t>接受基于</w:t>
      </w:r>
      <w:r>
        <w:rPr>
          <w:rFonts w:hint="eastAsia" w:ascii="宋体" w:hAnsi="宋体" w:cs="楷体_GB2312"/>
          <w:b/>
          <w:color w:val="auto"/>
          <w:sz w:val="24"/>
          <w:highlight w:val="none"/>
          <w:lang w:val="zh-CN"/>
        </w:rPr>
        <w:t>符</w:t>
      </w:r>
      <w:r>
        <w:rPr>
          <w:rFonts w:ascii="宋体" w:hAnsi="宋体" w:cs="楷体_GB2312"/>
          <w:b/>
          <w:color w:val="auto"/>
          <w:sz w:val="24"/>
          <w:highlight w:val="none"/>
          <w:lang w:val="zh-CN"/>
        </w:rPr>
        <w:t>合</w:t>
      </w:r>
      <w:r>
        <w:rPr>
          <w:rFonts w:hint="eastAsia" w:ascii="宋体" w:hAnsi="宋体" w:cs="楷体_GB2312"/>
          <w:b/>
          <w:color w:val="auto"/>
          <w:sz w:val="24"/>
          <w:highlight w:val="none"/>
          <w:lang w:val="zh-CN"/>
        </w:rPr>
        <w:t>网上电子交易系统要</w:t>
      </w:r>
      <w:r>
        <w:rPr>
          <w:rFonts w:ascii="宋体" w:hAnsi="宋体" w:cs="楷体_GB2312"/>
          <w:b/>
          <w:color w:val="auto"/>
          <w:sz w:val="24"/>
          <w:highlight w:val="none"/>
          <w:lang w:val="zh-CN"/>
        </w:rPr>
        <w:t>求</w:t>
      </w:r>
      <w:r>
        <w:rPr>
          <w:rFonts w:hint="eastAsia" w:ascii="宋体" w:hAnsi="宋体" w:cs="楷体_GB2312"/>
          <w:b/>
          <w:color w:val="auto"/>
          <w:sz w:val="24"/>
          <w:highlight w:val="none"/>
          <w:lang w:val="zh-CN"/>
        </w:rPr>
        <w:t>的</w:t>
      </w:r>
      <w:r>
        <w:rPr>
          <w:rFonts w:ascii="宋体" w:hAnsi="宋体" w:cs="楷体_GB2312"/>
          <w:b/>
          <w:color w:val="auto"/>
          <w:sz w:val="24"/>
          <w:highlight w:val="none"/>
          <w:lang w:val="zh-CN"/>
        </w:rPr>
        <w:t>投标</w:t>
      </w:r>
      <w:r>
        <w:rPr>
          <w:rFonts w:hint="eastAsia" w:ascii="宋体" w:hAnsi="宋体" w:cs="楷体_GB2312"/>
          <w:b/>
          <w:color w:val="auto"/>
          <w:sz w:val="24"/>
          <w:highlight w:val="none"/>
          <w:lang w:val="zh-CN"/>
        </w:rPr>
        <w:t>，</w:t>
      </w:r>
      <w:r>
        <w:rPr>
          <w:rFonts w:ascii="宋体" w:hAnsi="宋体" w:cs="楷体_GB2312"/>
          <w:b/>
          <w:color w:val="auto"/>
          <w:sz w:val="24"/>
          <w:highlight w:val="none"/>
          <w:lang w:val="zh-CN"/>
        </w:rPr>
        <w:t>其他如纸制、送达、</w:t>
      </w:r>
      <w:r>
        <w:rPr>
          <w:rFonts w:hint="eastAsia" w:ascii="宋体" w:hAnsi="宋体" w:cs="楷体_GB2312"/>
          <w:b/>
          <w:color w:val="auto"/>
          <w:sz w:val="24"/>
          <w:highlight w:val="none"/>
          <w:lang w:val="zh-CN"/>
        </w:rPr>
        <w:t>电报、电话、电子邮件等形式的投标概不接受。</w:t>
      </w:r>
    </w:p>
    <w:p w14:paraId="535CAFE2">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黑体" w:hAnsi="黑体" w:eastAsia="黑体" w:cs="楷体_GB2312"/>
          <w:b/>
          <w:color w:val="auto"/>
          <w:sz w:val="24"/>
          <w:highlight w:val="none"/>
          <w:lang w:val="zh-CN"/>
        </w:rPr>
        <w:t xml:space="preserve">4.3 </w:t>
      </w:r>
      <w:r>
        <w:rPr>
          <w:rFonts w:hint="eastAsia" w:ascii="黑体" w:hAnsi="黑体" w:eastAsia="黑体" w:cs="楷体_GB2312"/>
          <w:b/>
          <w:color w:val="auto"/>
          <w:sz w:val="24"/>
          <w:highlight w:val="none"/>
          <w:lang w:val="zh-CN"/>
        </w:rPr>
        <w:t>投标文件的修改与撤回</w:t>
      </w:r>
      <w:r>
        <w:rPr>
          <w:rFonts w:hint="eastAsia" w:ascii="宋体" w:hAnsi="宋体" w:cs="楷体_GB2312"/>
          <w:color w:val="auto"/>
          <w:sz w:val="24"/>
          <w:highlight w:val="none"/>
          <w:lang w:val="zh-CN"/>
        </w:rPr>
        <w:t>：</w:t>
      </w:r>
    </w:p>
    <w:p w14:paraId="6CA1E2CB">
      <w:pPr>
        <w:autoSpaceDE w:val="0"/>
        <w:autoSpaceDN w:val="0"/>
        <w:adjustRightInd w:val="0"/>
        <w:snapToGrid w:val="0"/>
        <w:spacing w:before="156"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4.3.1</w:t>
      </w:r>
      <w:r>
        <w:rPr>
          <w:rFonts w:hint="eastAsia" w:ascii="宋体" w:hAnsi="宋体" w:cs="楷体_GB2312"/>
          <w:b/>
          <w:color w:val="auto"/>
          <w:sz w:val="24"/>
          <w:highlight w:val="none"/>
          <w:lang w:val="zh-CN"/>
        </w:rPr>
        <w:t xml:space="preserve"> 投标人于提交投标文件截止时间前如对投标文件进行补充、修改，可以上传新的投标文件进行覆盖。投标人如撤回投标文件，应及时书面通知采购代理机构进行办理。</w:t>
      </w:r>
    </w:p>
    <w:p w14:paraId="41C4C1C7">
      <w:pPr>
        <w:autoSpaceDE w:val="0"/>
        <w:autoSpaceDN w:val="0"/>
        <w:adjustRightInd w:val="0"/>
        <w:snapToGrid w:val="0"/>
        <w:spacing w:before="156"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4.3.</w:t>
      </w:r>
      <w:r>
        <w:rPr>
          <w:rFonts w:hint="eastAsia" w:ascii="宋体" w:hAnsi="宋体" w:cs="楷体_GB2312"/>
          <w:b/>
          <w:color w:val="auto"/>
          <w:sz w:val="24"/>
          <w:highlight w:val="none"/>
          <w:lang w:val="zh-CN"/>
        </w:rPr>
        <w:t>2 投标人在投标文件提</w:t>
      </w:r>
      <w:r>
        <w:rPr>
          <w:rFonts w:ascii="宋体" w:hAnsi="宋体" w:cs="楷体_GB2312"/>
          <w:b/>
          <w:color w:val="auto"/>
          <w:sz w:val="24"/>
          <w:highlight w:val="none"/>
          <w:lang w:val="zh-CN"/>
        </w:rPr>
        <w:t>交</w:t>
      </w:r>
      <w:r>
        <w:rPr>
          <w:rFonts w:hint="eastAsia" w:ascii="宋体" w:hAnsi="宋体" w:cs="楷体_GB2312"/>
          <w:b/>
          <w:color w:val="auto"/>
          <w:sz w:val="24"/>
          <w:highlight w:val="none"/>
          <w:lang w:val="zh-CN"/>
        </w:rPr>
        <w:t>截止时间后不得自行修改或撤回其投标，否则依据招标文件“第三章3.5.5 违背承诺的责任追究措施”，投标人承担相应法律责任及违约责任。</w:t>
      </w:r>
    </w:p>
    <w:p w14:paraId="3FC67B0E">
      <w:pPr>
        <w:autoSpaceDE w:val="0"/>
        <w:autoSpaceDN w:val="0"/>
        <w:adjustRightInd w:val="0"/>
        <w:snapToGrid w:val="0"/>
        <w:spacing w:before="156" w:beforeLines="50" w:line="300" w:lineRule="auto"/>
        <w:ind w:firstLine="539"/>
        <w:rPr>
          <w:rFonts w:ascii="宋体" w:cs="楷体_GB2312"/>
          <w:color w:val="auto"/>
          <w:sz w:val="24"/>
          <w:highlight w:val="none"/>
          <w:lang w:val="zh-CN"/>
        </w:rPr>
      </w:pPr>
    </w:p>
    <w:p w14:paraId="40045E84">
      <w:pPr>
        <w:autoSpaceDE w:val="0"/>
        <w:autoSpaceDN w:val="0"/>
        <w:adjustRightInd w:val="0"/>
        <w:snapToGrid w:val="0"/>
        <w:spacing w:before="156" w:beforeLines="50" w:line="300" w:lineRule="auto"/>
        <w:ind w:firstLine="539"/>
        <w:outlineLvl w:val="1"/>
        <w:rPr>
          <w:rFonts w:ascii="宋体" w:cs="楷体_GB2312"/>
          <w:color w:val="auto"/>
          <w:sz w:val="24"/>
          <w:highlight w:val="none"/>
          <w:lang w:val="zh-CN"/>
        </w:rPr>
      </w:pPr>
      <w:bookmarkStart w:id="35" w:name="_Toc29180"/>
      <w:r>
        <w:rPr>
          <w:rFonts w:ascii="黑体" w:hAnsi="黑体" w:eastAsia="黑体" w:cs="楷体_GB2312"/>
          <w:b/>
          <w:bCs/>
          <w:color w:val="auto"/>
          <w:sz w:val="28"/>
          <w:szCs w:val="28"/>
          <w:highlight w:val="none"/>
          <w:lang w:val="zh-CN"/>
        </w:rPr>
        <w:t xml:space="preserve">5 </w:t>
      </w:r>
      <w:r>
        <w:rPr>
          <w:rFonts w:hint="eastAsia" w:ascii="黑体" w:hAnsi="黑体" w:eastAsia="黑体" w:cs="楷体_GB2312"/>
          <w:b/>
          <w:bCs/>
          <w:color w:val="auto"/>
          <w:sz w:val="28"/>
          <w:szCs w:val="28"/>
          <w:highlight w:val="none"/>
          <w:lang w:val="zh-CN"/>
        </w:rPr>
        <w:t>开标</w:t>
      </w:r>
      <w:bookmarkEnd w:id="35"/>
    </w:p>
    <w:p w14:paraId="37C514F1">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5.1 </w:t>
      </w:r>
      <w:r>
        <w:rPr>
          <w:rFonts w:hint="eastAsia" w:ascii="黑体" w:hAnsi="黑体" w:eastAsia="黑体" w:cs="楷体_GB2312"/>
          <w:b/>
          <w:color w:val="auto"/>
          <w:sz w:val="24"/>
          <w:highlight w:val="none"/>
          <w:lang w:val="zh-CN"/>
        </w:rPr>
        <w:t>开标时间和地点</w:t>
      </w:r>
    </w:p>
    <w:p w14:paraId="06AA5A0A">
      <w:pPr>
        <w:autoSpaceDE w:val="0"/>
        <w:autoSpaceDN w:val="0"/>
        <w:adjustRightInd w:val="0"/>
        <w:snapToGrid w:val="0"/>
        <w:spacing w:before="156"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 xml:space="preserve">5.1.1 </w:t>
      </w:r>
      <w:r>
        <w:rPr>
          <w:rFonts w:hint="eastAsia" w:ascii="宋体" w:hAnsi="宋体" w:cs="楷体_GB2312"/>
          <w:b/>
          <w:color w:val="auto"/>
          <w:sz w:val="24"/>
          <w:highlight w:val="none"/>
          <w:lang w:val="zh-CN"/>
        </w:rPr>
        <w:t>采购人和采购代理机构按招标公告规定的时间和地点于</w:t>
      </w:r>
      <w:r>
        <w:rPr>
          <w:rFonts w:ascii="宋体" w:hAnsi="宋体" w:cs="楷体_GB2312"/>
          <w:b/>
          <w:color w:val="auto"/>
          <w:sz w:val="24"/>
          <w:highlight w:val="none"/>
          <w:lang w:val="zh-CN"/>
        </w:rPr>
        <w:t>网上</w:t>
      </w:r>
      <w:r>
        <w:rPr>
          <w:rFonts w:hint="eastAsia" w:ascii="宋体" w:hAnsi="宋体" w:cs="楷体_GB2312"/>
          <w:b/>
          <w:color w:val="auto"/>
          <w:sz w:val="24"/>
          <w:highlight w:val="none"/>
          <w:lang w:val="zh-CN"/>
        </w:rPr>
        <w:t>（招标公告所述网上电子交易系统</w:t>
      </w:r>
      <w:r>
        <w:rPr>
          <w:rFonts w:ascii="宋体" w:hAnsi="宋体" w:cs="楷体_GB2312"/>
          <w:b/>
          <w:color w:val="auto"/>
          <w:sz w:val="24"/>
          <w:highlight w:val="none"/>
          <w:lang w:val="zh-CN"/>
        </w:rPr>
        <w:t>）</w:t>
      </w:r>
      <w:r>
        <w:rPr>
          <w:rFonts w:hint="eastAsia" w:ascii="宋体" w:hAnsi="宋体" w:cs="楷体_GB2312"/>
          <w:b/>
          <w:color w:val="auto"/>
          <w:sz w:val="24"/>
          <w:highlight w:val="none"/>
          <w:lang w:val="zh-CN"/>
        </w:rPr>
        <w:t>公开开标。</w:t>
      </w:r>
    </w:p>
    <w:p w14:paraId="3BE47C04">
      <w:pPr>
        <w:autoSpaceDE w:val="0"/>
        <w:autoSpaceDN w:val="0"/>
        <w:adjustRightInd w:val="0"/>
        <w:snapToGrid w:val="0"/>
        <w:spacing w:before="156"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5.1.2</w:t>
      </w:r>
      <w:r>
        <w:rPr>
          <w:rFonts w:hint="eastAsia" w:ascii="宋体" w:hAnsi="宋体" w:cs="楷体_GB2312"/>
          <w:b/>
          <w:color w:val="auto"/>
          <w:sz w:val="24"/>
          <w:highlight w:val="none"/>
          <w:lang w:val="zh-CN"/>
        </w:rPr>
        <w:t xml:space="preserve"> 本项目采用远程不见面交易的模式，开标当日，投标人无需到开标现场参加开标会议，投标人应当在投标截止时间前，使用IE浏览器登录到安阳市公共资源交易不见面开标大厅，点击右上方【登录】按钮进入，在线准时参加开标活动并进行投标文件解密等。因投标人原因未能解密、解密失败或解密超时的将被拒绝。</w:t>
      </w:r>
    </w:p>
    <w:p w14:paraId="15941E2B">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5.2 </w:t>
      </w:r>
      <w:r>
        <w:rPr>
          <w:rFonts w:hint="eastAsia" w:ascii="黑体" w:hAnsi="黑体" w:eastAsia="黑体" w:cs="楷体_GB2312"/>
          <w:b/>
          <w:color w:val="auto"/>
          <w:sz w:val="24"/>
          <w:highlight w:val="none"/>
          <w:lang w:val="zh-CN"/>
        </w:rPr>
        <w:t>开标程序</w:t>
      </w:r>
    </w:p>
    <w:p w14:paraId="7948D8CC">
      <w:pPr>
        <w:autoSpaceDE w:val="0"/>
        <w:autoSpaceDN w:val="0"/>
        <w:adjustRightInd w:val="0"/>
        <w:snapToGrid w:val="0"/>
        <w:spacing w:before="156"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5.2.1</w:t>
      </w:r>
      <w:r>
        <w:rPr>
          <w:rFonts w:hint="eastAsia" w:ascii="宋体" w:hAnsi="宋体" w:cs="楷体_GB2312"/>
          <w:b/>
          <w:color w:val="auto"/>
          <w:sz w:val="24"/>
          <w:highlight w:val="none"/>
          <w:lang w:val="zh-CN"/>
        </w:rPr>
        <w:t xml:space="preserve"> 本项目为网</w:t>
      </w:r>
      <w:r>
        <w:rPr>
          <w:rFonts w:ascii="宋体" w:hAnsi="宋体" w:cs="楷体_GB2312"/>
          <w:b/>
          <w:color w:val="auto"/>
          <w:sz w:val="24"/>
          <w:highlight w:val="none"/>
          <w:lang w:val="zh-CN"/>
        </w:rPr>
        <w:t>上</w:t>
      </w:r>
      <w:r>
        <w:rPr>
          <w:rFonts w:hint="eastAsia" w:ascii="宋体" w:hAnsi="宋体" w:cs="楷体_GB2312"/>
          <w:b/>
          <w:color w:val="auto"/>
          <w:sz w:val="24"/>
          <w:highlight w:val="none"/>
          <w:lang w:val="zh-CN"/>
        </w:rPr>
        <w:t>电子交易方</w:t>
      </w:r>
      <w:r>
        <w:rPr>
          <w:rFonts w:ascii="宋体" w:hAnsi="宋体" w:cs="楷体_GB2312"/>
          <w:b/>
          <w:color w:val="auto"/>
          <w:sz w:val="24"/>
          <w:highlight w:val="none"/>
          <w:lang w:val="zh-CN"/>
        </w:rPr>
        <w:t>式，</w:t>
      </w:r>
      <w:r>
        <w:rPr>
          <w:rFonts w:hint="eastAsia" w:ascii="宋体" w:hAnsi="宋体" w:cs="楷体_GB2312"/>
          <w:b/>
          <w:color w:val="auto"/>
          <w:sz w:val="24"/>
          <w:highlight w:val="none"/>
          <w:lang w:val="zh-CN"/>
        </w:rPr>
        <w:t>投标文件的开启方式为远程解密，为保证开标工作顺利进行，投标人需在开标阶段</w:t>
      </w:r>
      <w:r>
        <w:rPr>
          <w:rFonts w:ascii="宋体" w:hAnsi="宋体" w:cs="楷体_GB2312"/>
          <w:b/>
          <w:color w:val="auto"/>
          <w:sz w:val="24"/>
          <w:highlight w:val="none"/>
          <w:lang w:val="zh-CN"/>
        </w:rPr>
        <w:t>、在</w:t>
      </w:r>
      <w:r>
        <w:rPr>
          <w:rFonts w:hint="eastAsia" w:ascii="宋体" w:hAnsi="宋体" w:cs="楷体_GB2312"/>
          <w:b/>
          <w:color w:val="auto"/>
          <w:sz w:val="24"/>
          <w:highlight w:val="none"/>
          <w:lang w:val="zh-CN"/>
        </w:rPr>
        <w:t>管理员下达解密指令后的指定时限内，完成对本单位的加密投标文件的远程解密。如投标人因自身原因、在指定时限内没</w:t>
      </w:r>
      <w:r>
        <w:rPr>
          <w:rFonts w:ascii="宋体" w:hAnsi="宋体" w:cs="楷体_GB2312"/>
          <w:b/>
          <w:color w:val="auto"/>
          <w:sz w:val="24"/>
          <w:highlight w:val="none"/>
          <w:lang w:val="zh-CN"/>
        </w:rPr>
        <w:t>有</w:t>
      </w:r>
      <w:r>
        <w:rPr>
          <w:rFonts w:hint="eastAsia" w:ascii="宋体" w:hAnsi="宋体" w:cs="楷体_GB2312"/>
          <w:b/>
          <w:color w:val="auto"/>
          <w:sz w:val="24"/>
          <w:highlight w:val="none"/>
          <w:lang w:val="zh-CN"/>
        </w:rPr>
        <w:t>解密成功的，其投标将不能被接受，投标人自行承担相应后果。</w:t>
      </w:r>
    </w:p>
    <w:p w14:paraId="097969FC">
      <w:pPr>
        <w:autoSpaceDE w:val="0"/>
        <w:autoSpaceDN w:val="0"/>
        <w:adjustRightInd w:val="0"/>
        <w:snapToGrid w:val="0"/>
        <w:spacing w:before="156" w:beforeLines="50" w:line="300" w:lineRule="auto"/>
        <w:ind w:firstLine="539"/>
        <w:rPr>
          <w:rFonts w:ascii="宋体" w:hAnsi="宋体" w:cs="楷体_GB2312"/>
          <w:b/>
          <w:color w:val="auto"/>
          <w:sz w:val="24"/>
          <w:highlight w:val="none"/>
          <w:lang w:val="zh-CN"/>
        </w:rPr>
      </w:pPr>
      <w:r>
        <w:rPr>
          <w:rFonts w:hint="eastAsia" w:ascii="宋体" w:hAnsi="宋体" w:cs="楷体_GB2312"/>
          <w:b/>
          <w:color w:val="auto"/>
          <w:sz w:val="24"/>
          <w:highlight w:val="none"/>
          <w:lang w:val="zh-CN"/>
        </w:rPr>
        <w:t>鉴于网上电子交易方式的特点，管理员将根据系统情况下达解密指令。</w:t>
      </w:r>
    </w:p>
    <w:p w14:paraId="011AA69E">
      <w:pPr>
        <w:autoSpaceDE w:val="0"/>
        <w:autoSpaceDN w:val="0"/>
        <w:adjustRightInd w:val="0"/>
        <w:snapToGrid w:val="0"/>
        <w:spacing w:before="156"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5.2.2</w:t>
      </w:r>
      <w:r>
        <w:rPr>
          <w:rFonts w:hint="eastAsia" w:ascii="宋体" w:hAnsi="宋体" w:cs="楷体_GB2312"/>
          <w:b/>
          <w:color w:val="auto"/>
          <w:sz w:val="24"/>
          <w:highlight w:val="none"/>
          <w:lang w:val="zh-CN"/>
        </w:rPr>
        <w:t xml:space="preserve"> 投标人对开标过程和开标记录有疑义，以及认为采购人、采购代理机构相关工作人员有需要回避的情形的，应在系统中提出询问或者回避申请，否则，视为对开标无异议。</w:t>
      </w:r>
    </w:p>
    <w:p w14:paraId="6C01C227">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5.2.3  </w:t>
      </w:r>
      <w:r>
        <w:rPr>
          <w:rFonts w:hint="eastAsia" w:ascii="宋体" w:hAnsi="宋体" w:cs="楷体_GB2312"/>
          <w:color w:val="auto"/>
          <w:sz w:val="24"/>
          <w:highlight w:val="none"/>
          <w:lang w:val="zh-CN"/>
        </w:rPr>
        <w:t>投标人不足</w:t>
      </w:r>
      <w:r>
        <w:rPr>
          <w:rFonts w:ascii="宋体" w:hAnsi="宋体" w:cs="楷体_GB2312"/>
          <w:color w:val="auto"/>
          <w:sz w:val="24"/>
          <w:highlight w:val="none"/>
          <w:lang w:val="zh-CN"/>
        </w:rPr>
        <w:t>3</w:t>
      </w:r>
      <w:r>
        <w:rPr>
          <w:rFonts w:hint="eastAsia" w:ascii="宋体" w:hAnsi="宋体" w:cs="楷体_GB2312"/>
          <w:color w:val="auto"/>
          <w:sz w:val="24"/>
          <w:highlight w:val="none"/>
          <w:lang w:val="zh-CN"/>
        </w:rPr>
        <w:t>家的，将不予开标。</w:t>
      </w:r>
    </w:p>
    <w:p w14:paraId="3A8E1928">
      <w:pPr>
        <w:autoSpaceDE w:val="0"/>
        <w:autoSpaceDN w:val="0"/>
        <w:adjustRightInd w:val="0"/>
        <w:snapToGrid w:val="0"/>
        <w:spacing w:before="156" w:beforeLines="50" w:line="300" w:lineRule="auto"/>
        <w:ind w:firstLine="539"/>
        <w:rPr>
          <w:rFonts w:ascii="宋体" w:cs="楷体_GB2312"/>
          <w:color w:val="auto"/>
          <w:sz w:val="24"/>
          <w:highlight w:val="none"/>
          <w:lang w:val="zh-CN"/>
        </w:rPr>
      </w:pPr>
    </w:p>
    <w:p w14:paraId="399A2EEF">
      <w:pPr>
        <w:autoSpaceDE w:val="0"/>
        <w:autoSpaceDN w:val="0"/>
        <w:adjustRightInd w:val="0"/>
        <w:snapToGrid w:val="0"/>
        <w:spacing w:before="156" w:beforeLines="50" w:line="300" w:lineRule="auto"/>
        <w:ind w:firstLine="539"/>
        <w:outlineLvl w:val="1"/>
        <w:rPr>
          <w:rFonts w:ascii="黑体" w:hAnsi="黑体" w:eastAsia="黑体" w:cs="楷体_GB2312"/>
          <w:b/>
          <w:bCs/>
          <w:color w:val="auto"/>
          <w:sz w:val="28"/>
          <w:szCs w:val="28"/>
          <w:highlight w:val="none"/>
          <w:lang w:val="zh-CN"/>
        </w:rPr>
      </w:pPr>
      <w:bookmarkStart w:id="36" w:name="_Toc23877"/>
      <w:r>
        <w:rPr>
          <w:rFonts w:ascii="黑体" w:hAnsi="黑体" w:eastAsia="黑体" w:cs="楷体_GB2312"/>
          <w:b/>
          <w:bCs/>
          <w:color w:val="auto"/>
          <w:sz w:val="28"/>
          <w:szCs w:val="28"/>
          <w:highlight w:val="none"/>
          <w:lang w:val="zh-CN"/>
        </w:rPr>
        <w:t xml:space="preserve">6 </w:t>
      </w:r>
      <w:r>
        <w:rPr>
          <w:rFonts w:hint="eastAsia" w:ascii="黑体" w:hAnsi="黑体" w:eastAsia="黑体" w:cs="楷体_GB2312"/>
          <w:b/>
          <w:bCs/>
          <w:color w:val="auto"/>
          <w:sz w:val="28"/>
          <w:szCs w:val="28"/>
          <w:highlight w:val="none"/>
          <w:lang w:val="zh-CN"/>
        </w:rPr>
        <w:t>资格性审查</w:t>
      </w:r>
      <w:bookmarkEnd w:id="36"/>
    </w:p>
    <w:p w14:paraId="54ACCCEB">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黑体" w:hAnsi="黑体" w:eastAsia="黑体" w:cs="楷体_GB2312"/>
          <w:b/>
          <w:color w:val="auto"/>
          <w:sz w:val="24"/>
          <w:highlight w:val="none"/>
          <w:lang w:val="zh-CN"/>
        </w:rPr>
        <w:t xml:space="preserve">6.1 </w:t>
      </w:r>
      <w:r>
        <w:rPr>
          <w:rFonts w:hint="eastAsia" w:ascii="黑体" w:hAnsi="黑体" w:eastAsia="黑体" w:cs="楷体_GB2312"/>
          <w:b/>
          <w:color w:val="auto"/>
          <w:sz w:val="24"/>
          <w:highlight w:val="none"/>
          <w:lang w:val="zh-CN"/>
        </w:rPr>
        <w:t>资格性审查环节</w:t>
      </w:r>
    </w:p>
    <w:p w14:paraId="1F3FCF6D">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cs="楷体_GB2312"/>
          <w:color w:val="auto"/>
          <w:sz w:val="24"/>
          <w:highlight w:val="none"/>
          <w:lang w:val="zh-CN"/>
        </w:rPr>
        <w:t>公开招标采购项目开标结束后，采购人或者采购代理机构将依法对投标人的资格进行审查。</w:t>
      </w:r>
    </w:p>
    <w:p w14:paraId="0DFB4334">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6.2 </w:t>
      </w:r>
      <w:r>
        <w:rPr>
          <w:rFonts w:hint="eastAsia" w:ascii="黑体" w:hAnsi="黑体" w:eastAsia="黑体" w:cs="楷体_GB2312"/>
          <w:b/>
          <w:color w:val="auto"/>
          <w:sz w:val="24"/>
          <w:highlight w:val="none"/>
          <w:lang w:val="zh-CN"/>
        </w:rPr>
        <w:t>资格性审查内容</w:t>
      </w:r>
    </w:p>
    <w:p w14:paraId="240F4746">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cs="楷体_GB2312"/>
          <w:color w:val="auto"/>
          <w:sz w:val="24"/>
          <w:highlight w:val="none"/>
          <w:lang w:val="zh-CN"/>
        </w:rPr>
        <w:t>（</w:t>
      </w:r>
      <w:r>
        <w:rPr>
          <w:rFonts w:ascii="宋体" w:cs="楷体_GB2312"/>
          <w:color w:val="auto"/>
          <w:sz w:val="24"/>
          <w:highlight w:val="none"/>
          <w:lang w:val="zh-CN"/>
        </w:rPr>
        <w:t>1</w:t>
      </w:r>
      <w:r>
        <w:rPr>
          <w:rFonts w:hint="eastAsia" w:ascii="宋体" w:cs="楷体_GB2312"/>
          <w:color w:val="auto"/>
          <w:sz w:val="24"/>
          <w:highlight w:val="none"/>
          <w:lang w:val="zh-CN"/>
        </w:rPr>
        <w:t>）按照第一章“招标公告”第</w:t>
      </w:r>
      <w:r>
        <w:rPr>
          <w:rFonts w:ascii="宋体" w:cs="楷体_GB2312"/>
          <w:color w:val="auto"/>
          <w:sz w:val="24"/>
          <w:highlight w:val="none"/>
          <w:lang w:val="zh-CN"/>
        </w:rPr>
        <w:t>2</w:t>
      </w:r>
      <w:r>
        <w:rPr>
          <w:rFonts w:hint="eastAsia" w:ascii="宋体" w:cs="楷体_GB2312"/>
          <w:color w:val="auto"/>
          <w:sz w:val="24"/>
          <w:highlight w:val="none"/>
          <w:lang w:val="zh-CN"/>
        </w:rPr>
        <w:t>条各项资格要求规定，审查投标人是否符合第一章“招标公告”第</w:t>
      </w:r>
      <w:r>
        <w:rPr>
          <w:rFonts w:ascii="宋体" w:cs="楷体_GB2312"/>
          <w:color w:val="auto"/>
          <w:sz w:val="24"/>
          <w:highlight w:val="none"/>
          <w:lang w:val="zh-CN"/>
        </w:rPr>
        <w:t>2</w:t>
      </w:r>
      <w:r>
        <w:rPr>
          <w:rFonts w:hint="eastAsia" w:ascii="宋体" w:cs="楷体_GB2312"/>
          <w:color w:val="auto"/>
          <w:sz w:val="24"/>
          <w:highlight w:val="none"/>
          <w:lang w:val="zh-CN"/>
        </w:rPr>
        <w:t>条各项资格要求及所需证件材料、证明材料要求，不符合的、投标无效。</w:t>
      </w:r>
    </w:p>
    <w:p w14:paraId="35CBD7AE">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cs="楷体_GB2312"/>
          <w:color w:val="auto"/>
          <w:sz w:val="24"/>
          <w:highlight w:val="none"/>
          <w:lang w:val="zh-CN"/>
        </w:rPr>
        <w:t>（</w:t>
      </w:r>
      <w:r>
        <w:rPr>
          <w:rFonts w:ascii="宋体" w:cs="楷体_GB2312"/>
          <w:color w:val="auto"/>
          <w:sz w:val="24"/>
          <w:highlight w:val="none"/>
          <w:lang w:val="zh-CN"/>
        </w:rPr>
        <w:t>2</w:t>
      </w:r>
      <w:r>
        <w:rPr>
          <w:rFonts w:hint="eastAsia" w:ascii="宋体" w:cs="楷体_GB2312"/>
          <w:color w:val="auto"/>
          <w:sz w:val="24"/>
          <w:highlight w:val="none"/>
          <w:lang w:val="zh-CN"/>
        </w:rPr>
        <w:t>）投标</w:t>
      </w:r>
      <w:r>
        <w:rPr>
          <w:rFonts w:hint="eastAsia" w:ascii="宋体" w:cs="楷体_GB2312"/>
          <w:color w:val="auto"/>
          <w:sz w:val="24"/>
          <w:highlight w:val="none"/>
        </w:rPr>
        <w:t>承诺函（替代投标</w:t>
      </w:r>
      <w:r>
        <w:rPr>
          <w:rFonts w:hint="eastAsia" w:ascii="宋体" w:cs="楷体_GB2312"/>
          <w:color w:val="auto"/>
          <w:sz w:val="24"/>
          <w:highlight w:val="none"/>
          <w:lang w:val="zh-CN"/>
        </w:rPr>
        <w:t>保证金</w:t>
      </w:r>
      <w:r>
        <w:rPr>
          <w:rFonts w:hint="eastAsia" w:ascii="宋体" w:cs="楷体_GB2312"/>
          <w:color w:val="auto"/>
          <w:sz w:val="24"/>
          <w:highlight w:val="none"/>
        </w:rPr>
        <w:t>）</w:t>
      </w:r>
      <w:r>
        <w:rPr>
          <w:rFonts w:hint="eastAsia" w:ascii="宋体" w:cs="楷体_GB2312"/>
          <w:color w:val="auto"/>
          <w:sz w:val="24"/>
          <w:highlight w:val="none"/>
          <w:lang w:val="zh-CN"/>
        </w:rPr>
        <w:t>。按照招标文件第三章“投标人须知”</w:t>
      </w:r>
      <w:r>
        <w:rPr>
          <w:rFonts w:ascii="宋体" w:cs="楷体_GB2312"/>
          <w:color w:val="auto"/>
          <w:sz w:val="24"/>
          <w:highlight w:val="none"/>
          <w:lang w:val="zh-CN"/>
        </w:rPr>
        <w:t>3.5</w:t>
      </w:r>
      <w:r>
        <w:rPr>
          <w:rFonts w:hint="eastAsia" w:ascii="宋体" w:cs="楷体_GB2312"/>
          <w:color w:val="auto"/>
          <w:sz w:val="24"/>
          <w:highlight w:val="none"/>
          <w:lang w:val="zh-CN"/>
        </w:rPr>
        <w:t>款规定审查，不符合的、投标无效。</w:t>
      </w:r>
    </w:p>
    <w:p w14:paraId="0CB3AD54">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cs="楷体_GB2312"/>
          <w:color w:val="auto"/>
          <w:sz w:val="24"/>
          <w:highlight w:val="none"/>
          <w:lang w:val="zh-CN"/>
        </w:rPr>
        <w:t>（</w:t>
      </w:r>
      <w:r>
        <w:rPr>
          <w:rFonts w:ascii="宋体" w:cs="楷体_GB2312"/>
          <w:color w:val="auto"/>
          <w:sz w:val="24"/>
          <w:highlight w:val="none"/>
          <w:lang w:val="zh-CN"/>
        </w:rPr>
        <w:t>3</w:t>
      </w:r>
      <w:r>
        <w:rPr>
          <w:rFonts w:hint="eastAsia" w:ascii="宋体" w:cs="楷体_GB2312"/>
          <w:color w:val="auto"/>
          <w:sz w:val="24"/>
          <w:highlight w:val="none"/>
          <w:lang w:val="zh-CN"/>
        </w:rPr>
        <w:t>）</w:t>
      </w:r>
      <w:r>
        <w:rPr>
          <w:rFonts w:hint="eastAsia" w:ascii="宋体" w:hAnsi="宋体" w:cs="楷体_GB2312"/>
          <w:color w:val="auto"/>
          <w:sz w:val="24"/>
          <w:highlight w:val="none"/>
          <w:lang w:val="zh-CN"/>
        </w:rPr>
        <w:t>招标公告、资格预审公告或者投标邀请书中载明</w:t>
      </w:r>
      <w:r>
        <w:rPr>
          <w:rFonts w:hint="eastAsia" w:ascii="宋体" w:cs="楷体_GB2312"/>
          <w:color w:val="auto"/>
          <w:sz w:val="24"/>
          <w:highlight w:val="none"/>
          <w:lang w:val="zh-CN"/>
        </w:rPr>
        <w:t>接受联合体投标的，按照招标文件第三章“</w:t>
      </w:r>
      <w:r>
        <w:rPr>
          <w:rFonts w:hint="eastAsia" w:ascii="宋体" w:hAnsi="宋体" w:cs="楷体_GB2312"/>
          <w:color w:val="auto"/>
          <w:sz w:val="24"/>
          <w:highlight w:val="none"/>
          <w:lang w:val="zh-CN"/>
        </w:rPr>
        <w:t>投标人须知”</w:t>
      </w:r>
      <w:r>
        <w:rPr>
          <w:rFonts w:ascii="宋体" w:hAnsi="宋体" w:cs="楷体_GB2312"/>
          <w:color w:val="auto"/>
          <w:sz w:val="24"/>
          <w:highlight w:val="none"/>
          <w:lang w:val="zh-CN"/>
        </w:rPr>
        <w:t>1.4</w:t>
      </w:r>
      <w:r>
        <w:rPr>
          <w:rFonts w:hint="eastAsia" w:ascii="宋体" w:hAnsi="宋体" w:cs="楷体_GB2312"/>
          <w:color w:val="auto"/>
          <w:sz w:val="24"/>
          <w:highlight w:val="none"/>
          <w:lang w:val="zh-CN"/>
        </w:rPr>
        <w:t>款</w:t>
      </w:r>
      <w:r>
        <w:rPr>
          <w:rFonts w:hint="eastAsia" w:ascii="宋体" w:cs="楷体_GB2312"/>
          <w:color w:val="auto"/>
          <w:sz w:val="24"/>
          <w:highlight w:val="none"/>
          <w:lang w:val="zh-CN"/>
        </w:rPr>
        <w:t>规定进行审查，不符合的、投标无效。</w:t>
      </w:r>
    </w:p>
    <w:p w14:paraId="66F1D5D1">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6.3 </w:t>
      </w:r>
      <w:r>
        <w:rPr>
          <w:rFonts w:hint="eastAsia" w:ascii="黑体" w:hAnsi="黑体" w:eastAsia="黑体" w:cs="楷体_GB2312"/>
          <w:b/>
          <w:color w:val="auto"/>
          <w:sz w:val="24"/>
          <w:highlight w:val="none"/>
          <w:lang w:val="zh-CN"/>
        </w:rPr>
        <w:t>资格性审查结果</w:t>
      </w:r>
    </w:p>
    <w:p w14:paraId="6B65E485">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cs="楷体_GB2312"/>
          <w:color w:val="auto"/>
          <w:sz w:val="24"/>
          <w:highlight w:val="none"/>
          <w:lang w:val="zh-CN"/>
        </w:rPr>
        <w:t xml:space="preserve">6.3.1 </w:t>
      </w:r>
      <w:r>
        <w:rPr>
          <w:rFonts w:hint="eastAsia" w:ascii="宋体" w:cs="楷体_GB2312"/>
          <w:color w:val="auto"/>
          <w:sz w:val="24"/>
          <w:highlight w:val="none"/>
          <w:lang w:val="zh-CN"/>
        </w:rPr>
        <w:t>对未通过资格审查的投标人，将告知其未通过的原因。</w:t>
      </w:r>
    </w:p>
    <w:p w14:paraId="2154F209">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cs="楷体_GB2312"/>
          <w:color w:val="auto"/>
          <w:sz w:val="24"/>
          <w:highlight w:val="none"/>
          <w:lang w:val="zh-CN"/>
        </w:rPr>
        <w:t xml:space="preserve">6.3.2 </w:t>
      </w:r>
      <w:r>
        <w:rPr>
          <w:rFonts w:hint="eastAsia" w:ascii="宋体" w:cs="楷体_GB2312"/>
          <w:color w:val="auto"/>
          <w:sz w:val="24"/>
          <w:highlight w:val="none"/>
          <w:lang w:val="zh-CN"/>
        </w:rPr>
        <w:t>资格性审查合格投标人不足</w:t>
      </w:r>
      <w:r>
        <w:rPr>
          <w:rFonts w:ascii="宋体" w:cs="楷体_GB2312"/>
          <w:color w:val="auto"/>
          <w:sz w:val="24"/>
          <w:highlight w:val="none"/>
          <w:lang w:val="zh-CN"/>
        </w:rPr>
        <w:t>3</w:t>
      </w:r>
      <w:r>
        <w:rPr>
          <w:rFonts w:hint="eastAsia" w:ascii="宋体" w:cs="楷体_GB2312"/>
          <w:color w:val="auto"/>
          <w:sz w:val="24"/>
          <w:highlight w:val="none"/>
          <w:lang w:val="zh-CN"/>
        </w:rPr>
        <w:t>家的，将不再评标。</w:t>
      </w:r>
    </w:p>
    <w:p w14:paraId="5834A740">
      <w:pPr>
        <w:autoSpaceDE w:val="0"/>
        <w:autoSpaceDN w:val="0"/>
        <w:adjustRightInd w:val="0"/>
        <w:snapToGrid w:val="0"/>
        <w:spacing w:before="156" w:beforeLines="50" w:line="300" w:lineRule="auto"/>
        <w:ind w:firstLine="539"/>
        <w:rPr>
          <w:rFonts w:ascii="宋体" w:cs="楷体_GB2312"/>
          <w:color w:val="auto"/>
          <w:sz w:val="24"/>
          <w:highlight w:val="none"/>
          <w:lang w:val="zh-CN"/>
        </w:rPr>
      </w:pPr>
    </w:p>
    <w:p w14:paraId="7FE3A068">
      <w:pPr>
        <w:autoSpaceDE w:val="0"/>
        <w:autoSpaceDN w:val="0"/>
        <w:adjustRightInd w:val="0"/>
        <w:snapToGrid w:val="0"/>
        <w:spacing w:before="156" w:beforeLines="50" w:line="300" w:lineRule="auto"/>
        <w:ind w:firstLine="539"/>
        <w:outlineLvl w:val="1"/>
        <w:rPr>
          <w:rFonts w:ascii="宋体" w:cs="楷体_GB2312"/>
          <w:color w:val="auto"/>
          <w:sz w:val="24"/>
          <w:highlight w:val="none"/>
          <w:lang w:val="zh-CN"/>
        </w:rPr>
      </w:pPr>
      <w:bookmarkStart w:id="37" w:name="_Toc23092"/>
      <w:r>
        <w:rPr>
          <w:rFonts w:ascii="黑体" w:hAnsi="黑体" w:eastAsia="黑体" w:cs="楷体_GB2312"/>
          <w:b/>
          <w:bCs/>
          <w:color w:val="auto"/>
          <w:sz w:val="28"/>
          <w:szCs w:val="28"/>
          <w:highlight w:val="none"/>
          <w:lang w:val="zh-CN"/>
        </w:rPr>
        <w:t xml:space="preserve">7 </w:t>
      </w:r>
      <w:r>
        <w:rPr>
          <w:rFonts w:hint="eastAsia" w:ascii="黑体" w:hAnsi="黑体" w:eastAsia="黑体" w:cs="楷体_GB2312"/>
          <w:b/>
          <w:bCs/>
          <w:color w:val="auto"/>
          <w:sz w:val="28"/>
          <w:szCs w:val="28"/>
          <w:highlight w:val="none"/>
          <w:lang w:val="zh-CN"/>
        </w:rPr>
        <w:t>评审</w:t>
      </w:r>
      <w:bookmarkEnd w:id="37"/>
    </w:p>
    <w:p w14:paraId="6B504046">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7.1 </w:t>
      </w:r>
      <w:r>
        <w:rPr>
          <w:rFonts w:hint="eastAsia" w:ascii="黑体" w:hAnsi="黑体" w:eastAsia="黑体" w:cs="楷体_GB2312"/>
          <w:b/>
          <w:color w:val="auto"/>
          <w:sz w:val="24"/>
          <w:highlight w:val="none"/>
          <w:lang w:val="zh-CN"/>
        </w:rPr>
        <w:t>评标委员会</w:t>
      </w:r>
    </w:p>
    <w:p w14:paraId="7E37B4ED">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评标工作由依法组建的评标委员会负责。评标委员会由采购人代表和评审专家共</w:t>
      </w:r>
      <w:r>
        <w:rPr>
          <w:rFonts w:ascii="宋体" w:hAnsi="宋体" w:cs="楷体_GB2312"/>
          <w:color w:val="auto"/>
          <w:sz w:val="24"/>
          <w:highlight w:val="none"/>
          <w:lang w:val="zh-CN"/>
        </w:rPr>
        <w:t>5</w:t>
      </w:r>
      <w:r>
        <w:rPr>
          <w:rFonts w:hint="eastAsia" w:ascii="宋体" w:hAnsi="宋体" w:cs="楷体_GB2312"/>
          <w:color w:val="auto"/>
          <w:sz w:val="24"/>
          <w:highlight w:val="none"/>
          <w:lang w:val="zh-CN"/>
        </w:rPr>
        <w:t>人及以上单数组成，其中评审专家人数不少于评标委员会成员总数的</w:t>
      </w:r>
      <w:r>
        <w:rPr>
          <w:rFonts w:ascii="宋体" w:hAnsi="宋体" w:cs="楷体_GB2312"/>
          <w:color w:val="auto"/>
          <w:sz w:val="24"/>
          <w:highlight w:val="none"/>
          <w:lang w:val="zh-CN"/>
        </w:rPr>
        <w:t>2/3</w:t>
      </w:r>
      <w:r>
        <w:rPr>
          <w:rFonts w:hint="eastAsia" w:ascii="宋体" w:hAnsi="宋体" w:cs="楷体_GB2312"/>
          <w:color w:val="auto"/>
          <w:sz w:val="24"/>
          <w:highlight w:val="none"/>
          <w:lang w:val="zh-CN"/>
        </w:rPr>
        <w:t>，评审专家是在监督部门监督下从政府采购专家库中随机抽取产生。技术复杂、专业性强的采购项目，通过随机方式难以确定合适评审专家的，经主管预算单位同意，报经批准后，采购人自行选定相应专业领域的评审专家。</w:t>
      </w:r>
    </w:p>
    <w:p w14:paraId="59574297">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7.2 </w:t>
      </w:r>
      <w:r>
        <w:rPr>
          <w:rFonts w:hint="eastAsia" w:ascii="黑体" w:hAnsi="黑体" w:eastAsia="黑体" w:cs="楷体_GB2312"/>
          <w:b/>
          <w:color w:val="auto"/>
          <w:sz w:val="24"/>
          <w:highlight w:val="none"/>
          <w:lang w:val="zh-CN"/>
        </w:rPr>
        <w:t>评审原则</w:t>
      </w:r>
    </w:p>
    <w:p w14:paraId="5E5C6098">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7.2.1 </w:t>
      </w:r>
      <w:r>
        <w:rPr>
          <w:rFonts w:hint="eastAsia" w:ascii="宋体" w:hAnsi="宋体" w:cs="楷体_GB2312"/>
          <w:color w:val="auto"/>
          <w:sz w:val="24"/>
          <w:highlight w:val="none"/>
          <w:lang w:val="zh-CN"/>
        </w:rPr>
        <w:t>坚持公开、公平、公正地对待所有投标人。</w:t>
      </w:r>
    </w:p>
    <w:p w14:paraId="1A72BBB3">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7.2.2 </w:t>
      </w:r>
      <w:r>
        <w:rPr>
          <w:rFonts w:hint="eastAsia" w:ascii="宋体" w:hAnsi="宋体" w:cs="楷体_GB2312"/>
          <w:color w:val="auto"/>
          <w:sz w:val="24"/>
          <w:highlight w:val="none"/>
          <w:lang w:val="zh-CN"/>
        </w:rPr>
        <w:t>按照同一评审程序及方法审查所有投标人的投标文件。</w:t>
      </w:r>
    </w:p>
    <w:p w14:paraId="093DD49A">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7.2.3 </w:t>
      </w:r>
      <w:r>
        <w:rPr>
          <w:rFonts w:hint="eastAsia" w:ascii="宋体" w:hAnsi="宋体" w:cs="楷体_GB2312"/>
          <w:color w:val="auto"/>
          <w:sz w:val="24"/>
          <w:highlight w:val="none"/>
          <w:lang w:val="zh-CN"/>
        </w:rPr>
        <w:t>反对不正当竞争</w:t>
      </w:r>
    </w:p>
    <w:p w14:paraId="59C0B664">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7.3 </w:t>
      </w:r>
      <w:r>
        <w:rPr>
          <w:rFonts w:hint="eastAsia" w:ascii="黑体" w:hAnsi="黑体" w:eastAsia="黑体" w:cs="楷体_GB2312"/>
          <w:b/>
          <w:color w:val="auto"/>
          <w:sz w:val="24"/>
          <w:highlight w:val="none"/>
          <w:lang w:val="zh-CN"/>
        </w:rPr>
        <w:t>评审</w:t>
      </w:r>
    </w:p>
    <w:p w14:paraId="7839FD90">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7.3.1</w:t>
      </w:r>
      <w:r>
        <w:rPr>
          <w:rFonts w:hint="eastAsia" w:ascii="宋体" w:hAnsi="宋体" w:cs="楷体_GB2312"/>
          <w:color w:val="auto"/>
          <w:sz w:val="24"/>
          <w:highlight w:val="none"/>
          <w:lang w:val="zh-CN"/>
        </w:rPr>
        <w:t>评审工作在评标委员会内独立进行。评标委员会按照第四章“评标办法”规定的方法、评标因素、标准和程序对投标文件进行评审。第四章“评标办法”没有规定的方法、评标因素和标准，不作为评审依据。</w:t>
      </w:r>
    </w:p>
    <w:p w14:paraId="21DF2486">
      <w:pPr>
        <w:adjustRightInd w:val="0"/>
        <w:snapToGrid w:val="0"/>
        <w:spacing w:line="300" w:lineRule="auto"/>
        <w:ind w:firstLine="480" w:firstLineChars="200"/>
        <w:jc w:val="left"/>
        <w:rPr>
          <w:rFonts w:ascii="宋体" w:cs="楷体_GB2312"/>
          <w:color w:val="auto"/>
          <w:sz w:val="24"/>
          <w:highlight w:val="none"/>
          <w:lang w:val="zh-CN"/>
        </w:rPr>
      </w:pPr>
      <w:r>
        <w:rPr>
          <w:rFonts w:ascii="宋体" w:hAnsi="宋体" w:cs="宋体"/>
          <w:color w:val="auto"/>
          <w:sz w:val="24"/>
          <w:highlight w:val="none"/>
        </w:rPr>
        <w:t xml:space="preserve">7.3.2 </w:t>
      </w:r>
      <w:r>
        <w:rPr>
          <w:rFonts w:hint="eastAsia" w:ascii="宋体" w:hAnsi="宋体" w:cs="宋体"/>
          <w:color w:val="auto"/>
          <w:sz w:val="24"/>
          <w:highlight w:val="none"/>
        </w:rPr>
        <w:t>评标中因评标委员会成员缺席、回避或者健康等特殊原因导致评标委员会组成不符政府采购法规规定的，无法及时补足评标委员会成员的，采购代理机构将停止评标活动，封存所有投标文件和开标、评标资料，依法重新组建评标委员会进行评标。原评标委员会所作出的评标意见无效。</w:t>
      </w:r>
    </w:p>
    <w:p w14:paraId="53A1D80D">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7.3.3 </w:t>
      </w:r>
      <w:r>
        <w:rPr>
          <w:rFonts w:hint="eastAsia" w:ascii="宋体" w:hAnsi="宋体" w:cs="楷体_GB2312"/>
          <w:color w:val="auto"/>
          <w:sz w:val="24"/>
          <w:highlight w:val="none"/>
          <w:lang w:val="zh-CN"/>
        </w:rPr>
        <w:t>在开标、评审期间，投标人不得向评标委员会成员询问情况，不得进行旨在影响评审结果的活动。</w:t>
      </w:r>
    </w:p>
    <w:p w14:paraId="602CFE46">
      <w:pPr>
        <w:autoSpaceDE w:val="0"/>
        <w:autoSpaceDN w:val="0"/>
        <w:adjustRightInd w:val="0"/>
        <w:snapToGrid w:val="0"/>
        <w:spacing w:before="156" w:beforeLines="50" w:line="300" w:lineRule="auto"/>
        <w:ind w:firstLine="539"/>
        <w:rPr>
          <w:rFonts w:ascii="宋体" w:cs="楷体_GB2312"/>
          <w:color w:val="auto"/>
          <w:sz w:val="24"/>
          <w:highlight w:val="none"/>
          <w:lang w:val="zh-CN"/>
        </w:rPr>
      </w:pPr>
    </w:p>
    <w:p w14:paraId="61892A5D">
      <w:pPr>
        <w:autoSpaceDE w:val="0"/>
        <w:autoSpaceDN w:val="0"/>
        <w:adjustRightInd w:val="0"/>
        <w:snapToGrid w:val="0"/>
        <w:spacing w:before="156" w:beforeLines="50" w:line="300" w:lineRule="auto"/>
        <w:ind w:firstLine="539"/>
        <w:outlineLvl w:val="1"/>
        <w:rPr>
          <w:rFonts w:ascii="黑体" w:hAnsi="黑体" w:eastAsia="黑体" w:cs="楷体_GB2312"/>
          <w:b/>
          <w:bCs/>
          <w:color w:val="auto"/>
          <w:sz w:val="28"/>
          <w:szCs w:val="28"/>
          <w:highlight w:val="none"/>
          <w:lang w:val="zh-CN"/>
        </w:rPr>
      </w:pPr>
      <w:bookmarkStart w:id="38" w:name="_Toc24247"/>
      <w:r>
        <w:rPr>
          <w:rFonts w:ascii="黑体" w:hAnsi="黑体" w:eastAsia="黑体" w:cs="楷体_GB2312"/>
          <w:b/>
          <w:bCs/>
          <w:color w:val="auto"/>
          <w:sz w:val="28"/>
          <w:szCs w:val="28"/>
          <w:highlight w:val="none"/>
          <w:lang w:val="zh-CN"/>
        </w:rPr>
        <w:t xml:space="preserve">8 </w:t>
      </w:r>
      <w:r>
        <w:rPr>
          <w:rFonts w:hint="eastAsia" w:ascii="黑体" w:hAnsi="黑体" w:eastAsia="黑体" w:cs="楷体_GB2312"/>
          <w:b/>
          <w:bCs/>
          <w:color w:val="auto"/>
          <w:sz w:val="28"/>
          <w:szCs w:val="28"/>
          <w:highlight w:val="none"/>
          <w:lang w:val="zh-CN"/>
        </w:rPr>
        <w:t>授予合同</w:t>
      </w:r>
      <w:bookmarkEnd w:id="38"/>
    </w:p>
    <w:p w14:paraId="265AF1C3">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8.1 </w:t>
      </w:r>
      <w:r>
        <w:rPr>
          <w:rFonts w:hint="eastAsia" w:ascii="黑体" w:hAnsi="黑体" w:eastAsia="黑体" w:cs="楷体_GB2312"/>
          <w:b/>
          <w:color w:val="auto"/>
          <w:sz w:val="24"/>
          <w:highlight w:val="none"/>
          <w:lang w:val="zh-CN"/>
        </w:rPr>
        <w:t>确定中标人方式</w:t>
      </w:r>
    </w:p>
    <w:p w14:paraId="4781F73E">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除投标人须知前附表规定授权评标委员会直接确定中标人外，采购人应当自收到评标报告之日起</w:t>
      </w:r>
      <w:r>
        <w:rPr>
          <w:rFonts w:ascii="宋体" w:hAnsi="宋体" w:cs="楷体_GB2312"/>
          <w:color w:val="auto"/>
          <w:sz w:val="24"/>
          <w:highlight w:val="none"/>
          <w:lang w:val="zh-CN"/>
        </w:rPr>
        <w:t>5</w:t>
      </w:r>
      <w:r>
        <w:rPr>
          <w:rFonts w:hint="eastAsia" w:ascii="宋体" w:hAnsi="宋体" w:cs="楷体_GB2312"/>
          <w:color w:val="auto"/>
          <w:sz w:val="24"/>
          <w:highlight w:val="none"/>
          <w:lang w:val="zh-CN"/>
        </w:rPr>
        <w:t>个工作日内在评标报告推荐的中标候选人中按顺序确定中标人。若排名第一的中标候选人放弃中标，或者因不可抗力不能履行合同，或者被查实存在影响中标结果的违法行为等情形、不符合中标条件的，采购人可以按照评标委员会提出的中标候选人名单排序依次确定其他中标候选人为中标人，也可以重新采购。</w:t>
      </w:r>
    </w:p>
    <w:p w14:paraId="79ACEAAB">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8.2 </w:t>
      </w:r>
      <w:r>
        <w:rPr>
          <w:rFonts w:hint="eastAsia" w:ascii="黑体" w:hAnsi="黑体" w:eastAsia="黑体" w:cs="楷体_GB2312"/>
          <w:b/>
          <w:color w:val="auto"/>
          <w:sz w:val="24"/>
          <w:highlight w:val="none"/>
          <w:lang w:val="zh-CN"/>
        </w:rPr>
        <w:t>中标结果公告</w:t>
      </w:r>
    </w:p>
    <w:p w14:paraId="1C5AEFF4">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采购代理机构在中标人确定当天在招标公告所述媒体公告中标结果。同时向中标人发出中标通知书。中标结果公告期限为</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个工作日。</w:t>
      </w:r>
    </w:p>
    <w:p w14:paraId="16665238">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8.3 </w:t>
      </w:r>
      <w:r>
        <w:rPr>
          <w:rFonts w:hint="eastAsia" w:ascii="黑体" w:hAnsi="黑体" w:eastAsia="黑体" w:cs="楷体_GB2312"/>
          <w:b/>
          <w:color w:val="auto"/>
          <w:sz w:val="24"/>
          <w:highlight w:val="none"/>
          <w:lang w:val="zh-CN"/>
        </w:rPr>
        <w:t>质疑、投诉：</w:t>
      </w:r>
    </w:p>
    <w:p w14:paraId="3FC03859">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olor w:val="auto"/>
          <w:sz w:val="24"/>
          <w:highlight w:val="none"/>
        </w:rPr>
        <w:t>8.3.1</w:t>
      </w:r>
      <w:r>
        <w:rPr>
          <w:rFonts w:ascii="黑体" w:hAnsi="黑体" w:eastAsia="黑体" w:cs="楷体_GB2312"/>
          <w:b/>
          <w:color w:val="auto"/>
          <w:sz w:val="24"/>
          <w:highlight w:val="none"/>
          <w:lang w:val="zh-CN"/>
        </w:rPr>
        <w:t xml:space="preserve"> </w:t>
      </w:r>
      <w:r>
        <w:rPr>
          <w:rFonts w:hint="eastAsia" w:ascii="宋体" w:hAnsi="宋体" w:cs="楷体_GB2312"/>
          <w:color w:val="auto"/>
          <w:sz w:val="24"/>
          <w:highlight w:val="none"/>
          <w:lang w:val="zh-CN"/>
        </w:rPr>
        <w:t>见投标人须知前附表</w:t>
      </w:r>
    </w:p>
    <w:p w14:paraId="4FF102FA">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8.3.2 </w:t>
      </w:r>
      <w:r>
        <w:rPr>
          <w:rFonts w:hint="eastAsia" w:ascii="宋体" w:hAnsi="宋体" w:cs="楷体_GB2312"/>
          <w:color w:val="auto"/>
          <w:sz w:val="24"/>
          <w:highlight w:val="none"/>
          <w:lang w:val="zh-CN"/>
        </w:rPr>
        <w:t>依据政府采购法规规定，招标公告、资格预审公告的公告期限为</w:t>
      </w:r>
      <w:r>
        <w:rPr>
          <w:rFonts w:ascii="宋体" w:hAnsi="宋体" w:cs="楷体_GB2312"/>
          <w:color w:val="auto"/>
          <w:sz w:val="24"/>
          <w:highlight w:val="none"/>
          <w:lang w:val="zh-CN"/>
        </w:rPr>
        <w:t>5</w:t>
      </w:r>
      <w:r>
        <w:rPr>
          <w:rFonts w:hint="eastAsia" w:ascii="宋体" w:hAnsi="宋体" w:cs="楷体_GB2312"/>
          <w:color w:val="auto"/>
          <w:sz w:val="24"/>
          <w:highlight w:val="none"/>
          <w:lang w:val="zh-CN"/>
        </w:rPr>
        <w:t>个工作日，中标公告期限为</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个工作日，投标人应在法定期限内提出质疑，逾期提交或未按照要求提交的质疑函将不予受理。</w:t>
      </w:r>
    </w:p>
    <w:p w14:paraId="6678DBF7">
      <w:pPr>
        <w:adjustRightInd w:val="0"/>
        <w:snapToGrid w:val="0"/>
        <w:spacing w:before="156" w:beforeLines="50" w:line="300" w:lineRule="auto"/>
        <w:ind w:firstLine="600" w:firstLineChars="250"/>
        <w:rPr>
          <w:rFonts w:ascii="宋体"/>
          <w:color w:val="auto"/>
          <w:sz w:val="24"/>
          <w:highlight w:val="none"/>
        </w:rPr>
      </w:pPr>
      <w:r>
        <w:rPr>
          <w:rFonts w:ascii="宋体" w:hAnsi="宋体"/>
          <w:color w:val="auto"/>
          <w:sz w:val="24"/>
          <w:highlight w:val="none"/>
        </w:rPr>
        <w:t xml:space="preserve">8.3.3 </w:t>
      </w:r>
      <w:r>
        <w:rPr>
          <w:rFonts w:hint="eastAsia" w:ascii="宋体" w:hAnsi="宋体"/>
          <w:color w:val="auto"/>
          <w:sz w:val="24"/>
          <w:highlight w:val="none"/>
        </w:rPr>
        <w:t>询问或者质疑事项可能影响中标结果的，采购人应当暂停签订合同，已经签订合同的，应当中止履行合同。</w:t>
      </w:r>
    </w:p>
    <w:p w14:paraId="54BA417B">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8.4 </w:t>
      </w:r>
      <w:r>
        <w:rPr>
          <w:rFonts w:hint="eastAsia" w:ascii="黑体" w:hAnsi="黑体" w:eastAsia="黑体" w:cs="楷体_GB2312"/>
          <w:b/>
          <w:color w:val="auto"/>
          <w:sz w:val="24"/>
          <w:highlight w:val="none"/>
          <w:lang w:val="zh-CN"/>
        </w:rPr>
        <w:t>中标通知：</w:t>
      </w:r>
      <w:r>
        <w:rPr>
          <w:rFonts w:hint="eastAsia" w:ascii="宋体" w:hAnsi="宋体" w:cs="楷体_GB2312"/>
          <w:color w:val="auto"/>
          <w:sz w:val="24"/>
          <w:highlight w:val="none"/>
          <w:lang w:val="zh-CN"/>
        </w:rPr>
        <w:t>见投标人须知前附表</w:t>
      </w:r>
    </w:p>
    <w:p w14:paraId="429CADD8">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8.5 </w:t>
      </w:r>
      <w:r>
        <w:rPr>
          <w:rFonts w:hint="eastAsia" w:ascii="黑体" w:hAnsi="黑体" w:eastAsia="黑体" w:cs="楷体_GB2312"/>
          <w:b/>
          <w:color w:val="auto"/>
          <w:sz w:val="24"/>
          <w:highlight w:val="none"/>
          <w:lang w:val="zh-CN"/>
        </w:rPr>
        <w:t>履约保证金</w:t>
      </w:r>
    </w:p>
    <w:p w14:paraId="28BF918A">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8.5.1</w:t>
      </w:r>
      <w:r>
        <w:rPr>
          <w:rFonts w:hint="eastAsia" w:ascii="宋体" w:hAnsi="宋体" w:cs="楷体_GB2312"/>
          <w:color w:val="auto"/>
          <w:sz w:val="24"/>
          <w:highlight w:val="none"/>
          <w:lang w:val="zh-CN"/>
        </w:rPr>
        <w:t>在签订合同时，中标人应按投标人须知前附表规定向采购人提交履约保证金。</w:t>
      </w:r>
    </w:p>
    <w:p w14:paraId="173AE2AF">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8.5.2 </w:t>
      </w:r>
      <w:r>
        <w:rPr>
          <w:rFonts w:hint="eastAsia" w:ascii="宋体" w:hAnsi="宋体" w:cs="楷体_GB2312"/>
          <w:color w:val="auto"/>
          <w:sz w:val="24"/>
          <w:highlight w:val="none"/>
          <w:lang w:val="zh-CN"/>
        </w:rPr>
        <w:t>中标人不能按本章第8</w:t>
      </w:r>
      <w:r>
        <w:rPr>
          <w:rFonts w:ascii="宋体" w:hAnsi="宋体" w:cs="楷体_GB2312"/>
          <w:color w:val="auto"/>
          <w:sz w:val="24"/>
          <w:highlight w:val="none"/>
          <w:lang w:val="zh-CN"/>
        </w:rPr>
        <w:t>.5.1</w:t>
      </w:r>
      <w:r>
        <w:rPr>
          <w:rFonts w:hint="eastAsia" w:ascii="宋体" w:hAnsi="宋体" w:cs="楷体_GB2312"/>
          <w:color w:val="auto"/>
          <w:sz w:val="24"/>
          <w:highlight w:val="none"/>
          <w:lang w:val="zh-CN"/>
        </w:rPr>
        <w:t>项要求提交履约保证金的，视为放弃中标资格，</w:t>
      </w:r>
      <w:r>
        <w:rPr>
          <w:rFonts w:hint="eastAsia" w:ascii="宋体" w:hAnsi="宋体"/>
          <w:color w:val="auto"/>
          <w:sz w:val="24"/>
          <w:szCs w:val="24"/>
          <w:highlight w:val="none"/>
        </w:rPr>
        <w:t>依据招标文件“第三章</w:t>
      </w:r>
      <w:r>
        <w:rPr>
          <w:rFonts w:hint="eastAsia" w:ascii="宋体" w:hAnsi="宋体" w:cs="楷体_GB2312"/>
          <w:color w:val="auto"/>
          <w:sz w:val="24"/>
          <w:szCs w:val="22"/>
          <w:highlight w:val="none"/>
        </w:rPr>
        <w:t>3.5.5 违背承诺的责任追究措施</w:t>
      </w:r>
      <w:r>
        <w:rPr>
          <w:rFonts w:hint="eastAsia" w:ascii="宋体" w:hAnsi="宋体"/>
          <w:color w:val="auto"/>
          <w:sz w:val="24"/>
          <w:szCs w:val="24"/>
          <w:highlight w:val="none"/>
        </w:rPr>
        <w:t>”，投标人</w:t>
      </w:r>
      <w:r>
        <w:rPr>
          <w:rFonts w:hint="eastAsia" w:ascii="宋体" w:hAnsi="宋体" w:cs="楷体_GB2312"/>
          <w:color w:val="auto"/>
          <w:sz w:val="24"/>
          <w:szCs w:val="22"/>
          <w:highlight w:val="none"/>
        </w:rPr>
        <w:t>承担相应法律责任及违约责任。</w:t>
      </w:r>
      <w:r>
        <w:rPr>
          <w:rFonts w:hint="eastAsia" w:ascii="宋体" w:hAnsi="宋体" w:cs="楷体_GB2312"/>
          <w:color w:val="auto"/>
          <w:sz w:val="24"/>
          <w:highlight w:val="none"/>
          <w:lang w:val="zh-CN"/>
        </w:rPr>
        <w:t>给采购人及采购代理机构造成的损失，中标人应当予以赔偿。</w:t>
      </w:r>
    </w:p>
    <w:p w14:paraId="3308D787">
      <w:pPr>
        <w:autoSpaceDE w:val="0"/>
        <w:autoSpaceDN w:val="0"/>
        <w:adjustRightInd w:val="0"/>
        <w:snapToGrid w:val="0"/>
        <w:spacing w:before="156"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8.6 </w:t>
      </w:r>
      <w:r>
        <w:rPr>
          <w:rFonts w:hint="eastAsia" w:ascii="黑体" w:hAnsi="黑体" w:eastAsia="黑体" w:cs="楷体_GB2312"/>
          <w:b/>
          <w:color w:val="auto"/>
          <w:sz w:val="24"/>
          <w:highlight w:val="none"/>
          <w:lang w:val="zh-CN"/>
        </w:rPr>
        <w:t>签订合同</w:t>
      </w:r>
    </w:p>
    <w:p w14:paraId="190357AC">
      <w:pPr>
        <w:autoSpaceDE w:val="0"/>
        <w:autoSpaceDN w:val="0"/>
        <w:adjustRightInd w:val="0"/>
        <w:snapToGrid w:val="0"/>
        <w:spacing w:before="156" w:beforeLines="50" w:line="300" w:lineRule="auto"/>
        <w:ind w:firstLine="539"/>
        <w:rPr>
          <w:rFonts w:ascii="宋体" w:hAnsi="宋体"/>
          <w:color w:val="auto"/>
          <w:sz w:val="24"/>
          <w:highlight w:val="none"/>
        </w:rPr>
      </w:pPr>
      <w:r>
        <w:rPr>
          <w:rFonts w:ascii="宋体" w:hAnsi="宋体"/>
          <w:color w:val="auto"/>
          <w:sz w:val="24"/>
          <w:highlight w:val="none"/>
        </w:rPr>
        <w:t xml:space="preserve">8.6.1 </w:t>
      </w:r>
      <w:r>
        <w:rPr>
          <w:rFonts w:hint="eastAsia" w:ascii="宋体" w:hAnsi="宋体"/>
          <w:color w:val="auto"/>
          <w:sz w:val="24"/>
          <w:highlight w:val="none"/>
        </w:rPr>
        <w:t>据优化营商环境精神，中标人应在《中标通知书》发出后2个工作日内，按照招标文件确定的合同文本以及中标标的、技术和服务等事项与采购人签订</w:t>
      </w:r>
      <w:r>
        <w:rPr>
          <w:rFonts w:hint="eastAsia" w:ascii="宋体" w:hAnsi="宋体" w:cs="楷体_GB2312"/>
          <w:color w:val="auto"/>
          <w:sz w:val="24"/>
          <w:highlight w:val="none"/>
          <w:lang w:val="zh-CN"/>
        </w:rPr>
        <w:t>书面</w:t>
      </w:r>
      <w:r>
        <w:rPr>
          <w:rFonts w:hint="eastAsia" w:ascii="宋体" w:hAnsi="宋体"/>
          <w:color w:val="auto"/>
          <w:sz w:val="24"/>
          <w:highlight w:val="none"/>
        </w:rPr>
        <w:t>政府采购合同。</w:t>
      </w:r>
    </w:p>
    <w:p w14:paraId="7D315238">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ascii="宋体" w:hAnsi="宋体"/>
          <w:color w:val="auto"/>
          <w:sz w:val="24"/>
          <w:highlight w:val="none"/>
        </w:rPr>
        <w:t xml:space="preserve">8.6.2 </w:t>
      </w:r>
      <w:r>
        <w:rPr>
          <w:rFonts w:hint="eastAsia" w:ascii="宋体" w:hAnsi="宋体"/>
          <w:color w:val="auto"/>
          <w:sz w:val="24"/>
          <w:highlight w:val="none"/>
        </w:rPr>
        <w:t>如中标人不按时签订合同、</w:t>
      </w:r>
      <w:r>
        <w:rPr>
          <w:rFonts w:hint="eastAsia" w:ascii="宋体" w:hAnsi="宋体" w:cs="楷体_GB2312"/>
          <w:color w:val="auto"/>
          <w:sz w:val="24"/>
          <w:highlight w:val="none"/>
          <w:lang w:val="zh-CN"/>
        </w:rPr>
        <w:t>拒签合同的，取消其中标资格，依据招标文件“第三章3.5.5 违背承诺的责任追究措施”，投标人承担相应法律责任及违约责任。</w:t>
      </w:r>
    </w:p>
    <w:p w14:paraId="310AF6B6">
      <w:pPr>
        <w:widowControl w:val="0"/>
        <w:adjustRightInd w:val="0"/>
        <w:snapToGrid w:val="0"/>
        <w:spacing w:before="156" w:beforeLines="50" w:line="300" w:lineRule="auto"/>
        <w:ind w:firstLine="566"/>
        <w:rPr>
          <w:rFonts w:ascii="宋体" w:hAnsi="宋体"/>
          <w:color w:val="auto"/>
          <w:sz w:val="24"/>
          <w:szCs w:val="24"/>
          <w:highlight w:val="none"/>
        </w:rPr>
      </w:pPr>
      <w:r>
        <w:rPr>
          <w:color w:val="auto"/>
          <w:sz w:val="24"/>
          <w:szCs w:val="24"/>
          <w:highlight w:val="none"/>
        </w:rPr>
        <w:t>8.6.3</w:t>
      </w:r>
      <w:r>
        <w:rPr>
          <w:rFonts w:hint="eastAsia"/>
          <w:color w:val="auto"/>
          <w:sz w:val="24"/>
          <w:szCs w:val="24"/>
          <w:highlight w:val="none"/>
        </w:rPr>
        <w:t>合同生效：中标人与采购人签订的合同，双方签字后盖章生效。</w:t>
      </w:r>
      <w:r>
        <w:rPr>
          <w:rFonts w:hint="eastAsia" w:ascii="宋体" w:hAnsi="宋体" w:cs="宋体"/>
          <w:color w:val="auto"/>
          <w:sz w:val="24"/>
          <w:highlight w:val="none"/>
        </w:rPr>
        <w:t>采购</w:t>
      </w:r>
      <w:r>
        <w:rPr>
          <w:rFonts w:hint="eastAsia" w:ascii="宋体" w:hAnsi="宋体"/>
          <w:color w:val="auto"/>
          <w:sz w:val="24"/>
          <w:szCs w:val="24"/>
          <w:highlight w:val="none"/>
        </w:rPr>
        <w:t>人要在合同签订后1个工作日内登陆安阳市政府采购网进行备案并公告</w:t>
      </w:r>
      <w:r>
        <w:rPr>
          <w:rFonts w:hint="eastAsia" w:ascii="宋体" w:hAnsi="宋体" w:cs="宋体"/>
          <w:color w:val="auto"/>
          <w:sz w:val="24"/>
          <w:highlight w:val="none"/>
        </w:rPr>
        <w:t>。</w:t>
      </w:r>
    </w:p>
    <w:p w14:paraId="4B6B11FB">
      <w:pPr>
        <w:widowControl w:val="0"/>
        <w:adjustRightInd w:val="0"/>
        <w:snapToGrid w:val="0"/>
        <w:spacing w:before="156" w:beforeLines="50" w:line="300" w:lineRule="auto"/>
        <w:ind w:firstLine="566"/>
        <w:rPr>
          <w:color w:val="auto"/>
          <w:sz w:val="24"/>
          <w:szCs w:val="24"/>
          <w:highlight w:val="none"/>
        </w:rPr>
      </w:pPr>
      <w:r>
        <w:rPr>
          <w:color w:val="auto"/>
          <w:sz w:val="24"/>
          <w:szCs w:val="24"/>
          <w:highlight w:val="none"/>
        </w:rPr>
        <w:t xml:space="preserve">8.6.4 </w:t>
      </w:r>
      <w:r>
        <w:rPr>
          <w:rFonts w:hint="eastAsia"/>
          <w:color w:val="auto"/>
          <w:sz w:val="24"/>
          <w:szCs w:val="24"/>
          <w:highlight w:val="none"/>
        </w:rPr>
        <w:t>《中标通知书》、招标文件</w:t>
      </w:r>
      <w:r>
        <w:rPr>
          <w:rFonts w:hint="eastAsia"/>
          <w:color w:val="auto"/>
          <w:spacing w:val="20"/>
          <w:sz w:val="24"/>
          <w:szCs w:val="24"/>
          <w:highlight w:val="none"/>
        </w:rPr>
        <w:t>及其修改补充澄清</w:t>
      </w:r>
      <w:r>
        <w:rPr>
          <w:rFonts w:hint="eastAsia"/>
          <w:color w:val="auto"/>
          <w:sz w:val="24"/>
          <w:szCs w:val="24"/>
          <w:highlight w:val="none"/>
        </w:rPr>
        <w:t>、中标人的投标文件及</w:t>
      </w:r>
      <w:r>
        <w:rPr>
          <w:rFonts w:hint="eastAsia"/>
          <w:color w:val="auto"/>
          <w:spacing w:val="20"/>
          <w:sz w:val="24"/>
          <w:szCs w:val="24"/>
          <w:highlight w:val="none"/>
        </w:rPr>
        <w:t>其修改补充澄清</w:t>
      </w:r>
      <w:r>
        <w:rPr>
          <w:rFonts w:hint="eastAsia"/>
          <w:color w:val="auto"/>
          <w:sz w:val="24"/>
          <w:szCs w:val="24"/>
          <w:highlight w:val="none"/>
        </w:rPr>
        <w:t>等，均为签订合同的依据。所定合同不得对招标文件和中标人的投标文件作实质性修改，采购人和中标人不得私下订立背离合同实质性内容的协议。</w:t>
      </w:r>
    </w:p>
    <w:p w14:paraId="4386709C">
      <w:pPr>
        <w:widowControl w:val="0"/>
        <w:adjustRightInd w:val="0"/>
        <w:snapToGrid w:val="0"/>
        <w:spacing w:before="156" w:beforeLines="50" w:line="300" w:lineRule="auto"/>
        <w:ind w:firstLine="549"/>
        <w:rPr>
          <w:color w:val="auto"/>
          <w:sz w:val="24"/>
          <w:szCs w:val="24"/>
          <w:highlight w:val="none"/>
        </w:rPr>
      </w:pPr>
      <w:r>
        <w:rPr>
          <w:color w:val="auto"/>
          <w:sz w:val="24"/>
          <w:szCs w:val="24"/>
          <w:highlight w:val="none"/>
        </w:rPr>
        <w:t xml:space="preserve">8.6.5 </w:t>
      </w:r>
      <w:r>
        <w:rPr>
          <w:rFonts w:hint="eastAsia"/>
          <w:color w:val="auto"/>
          <w:sz w:val="24"/>
          <w:szCs w:val="24"/>
          <w:highlight w:val="none"/>
        </w:rPr>
        <w:t>评审会后，中标人、采购人之间擅自私下谈判、变更中标标的、价格及招投标文件实质性内容的，有关部门将按《中华人民共和国政府采购法》及相关法规的规定处理。</w:t>
      </w:r>
    </w:p>
    <w:p w14:paraId="3F9293F7">
      <w:pPr>
        <w:widowControl w:val="0"/>
        <w:adjustRightInd w:val="0"/>
        <w:snapToGrid w:val="0"/>
        <w:spacing w:before="156" w:beforeLines="50" w:line="300" w:lineRule="auto"/>
        <w:ind w:firstLine="549"/>
        <w:rPr>
          <w:color w:val="auto"/>
          <w:sz w:val="24"/>
          <w:szCs w:val="24"/>
          <w:highlight w:val="none"/>
        </w:rPr>
      </w:pPr>
      <w:r>
        <w:rPr>
          <w:color w:val="auto"/>
          <w:sz w:val="24"/>
          <w:szCs w:val="24"/>
          <w:highlight w:val="none"/>
        </w:rPr>
        <w:t>8.6.</w:t>
      </w:r>
      <w:r>
        <w:rPr>
          <w:rFonts w:hint="eastAsia"/>
          <w:color w:val="auto"/>
          <w:sz w:val="24"/>
          <w:szCs w:val="24"/>
          <w:highlight w:val="none"/>
        </w:rPr>
        <w:t>6</w:t>
      </w:r>
      <w:r>
        <w:rPr>
          <w:color w:val="auto"/>
          <w:sz w:val="24"/>
          <w:szCs w:val="24"/>
          <w:highlight w:val="none"/>
        </w:rPr>
        <w:t xml:space="preserve"> </w:t>
      </w:r>
      <w:r>
        <w:rPr>
          <w:rFonts w:hint="eastAsia"/>
          <w:color w:val="auto"/>
          <w:sz w:val="24"/>
          <w:szCs w:val="24"/>
          <w:highlight w:val="none"/>
        </w:rPr>
        <w:t>采购人与中标人签订《政府采购合同》后，合同履行中产生的纠纷、争议，由采购人与中标人按合同条款及《中华人民共和国民法典》处理。</w:t>
      </w:r>
    </w:p>
    <w:p w14:paraId="20F1FF81">
      <w:pPr>
        <w:widowControl w:val="0"/>
        <w:adjustRightInd w:val="0"/>
        <w:snapToGrid w:val="0"/>
        <w:spacing w:before="156" w:beforeLines="50" w:line="300" w:lineRule="auto"/>
        <w:ind w:firstLine="556"/>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8.7 </w:t>
      </w:r>
      <w:r>
        <w:rPr>
          <w:rFonts w:hint="eastAsia" w:ascii="黑体" w:hAnsi="黑体" w:eastAsia="黑体" w:cs="楷体_GB2312"/>
          <w:b/>
          <w:color w:val="auto"/>
          <w:sz w:val="24"/>
          <w:highlight w:val="none"/>
          <w:lang w:val="zh-CN"/>
        </w:rPr>
        <w:t>合同补充变更</w:t>
      </w:r>
    </w:p>
    <w:p w14:paraId="1C9F3CFD">
      <w:pPr>
        <w:widowControl w:val="0"/>
        <w:adjustRightInd w:val="0"/>
        <w:snapToGrid w:val="0"/>
        <w:spacing w:before="156" w:beforeLines="50" w:line="300" w:lineRule="auto"/>
        <w:ind w:firstLine="555"/>
        <w:rPr>
          <w:color w:val="auto"/>
          <w:sz w:val="24"/>
          <w:szCs w:val="24"/>
          <w:highlight w:val="none"/>
        </w:rPr>
      </w:pPr>
      <w:r>
        <w:rPr>
          <w:color w:val="auto"/>
          <w:sz w:val="24"/>
          <w:szCs w:val="24"/>
          <w:highlight w:val="none"/>
        </w:rPr>
        <w:t>8.7.1</w:t>
      </w:r>
      <w:r>
        <w:rPr>
          <w:rFonts w:hint="eastAsia"/>
          <w:color w:val="auto"/>
          <w:sz w:val="24"/>
          <w:szCs w:val="24"/>
          <w:highlight w:val="none"/>
        </w:rPr>
        <w:t>政府采购合同履行中，采购人需追加或减少与合同标的相同的货物、</w:t>
      </w:r>
      <w:r>
        <w:rPr>
          <w:rFonts w:hint="eastAsia" w:ascii="宋体" w:hAnsi="宋体"/>
          <w:color w:val="auto"/>
          <w:sz w:val="24"/>
          <w:szCs w:val="24"/>
          <w:highlight w:val="none"/>
        </w:rPr>
        <w:t>工程和服务的</w:t>
      </w:r>
      <w:r>
        <w:rPr>
          <w:rFonts w:hint="eastAsia"/>
          <w:color w:val="auto"/>
          <w:sz w:val="24"/>
          <w:szCs w:val="24"/>
          <w:highlight w:val="none"/>
        </w:rPr>
        <w:t>（即追加或减少原合同标的数量），在不改变合同条款（包括原合同单价）的前提下，双方可以协商签订补充合同，但所有补充合同总金额不得超过原合同采购金额的</w:t>
      </w:r>
      <w:r>
        <w:rPr>
          <w:color w:val="auto"/>
          <w:sz w:val="24"/>
          <w:szCs w:val="24"/>
          <w:highlight w:val="none"/>
        </w:rPr>
        <w:t>10%</w:t>
      </w:r>
      <w:r>
        <w:rPr>
          <w:rFonts w:hint="eastAsia"/>
          <w:color w:val="auto"/>
          <w:sz w:val="24"/>
          <w:szCs w:val="24"/>
          <w:highlight w:val="none"/>
        </w:rPr>
        <w:t>，不得调增原合同单价，不得超出项目预算，超过原合同采购金额的</w:t>
      </w:r>
      <w:r>
        <w:rPr>
          <w:color w:val="auto"/>
          <w:sz w:val="24"/>
          <w:szCs w:val="24"/>
          <w:highlight w:val="none"/>
        </w:rPr>
        <w:t>10%</w:t>
      </w:r>
      <w:r>
        <w:rPr>
          <w:rFonts w:hint="eastAsia"/>
          <w:color w:val="auto"/>
          <w:sz w:val="24"/>
          <w:szCs w:val="24"/>
          <w:highlight w:val="none"/>
        </w:rPr>
        <w:t>，应重新组织采购活动。</w:t>
      </w:r>
    </w:p>
    <w:p w14:paraId="5E58FA8A">
      <w:pPr>
        <w:widowControl w:val="0"/>
        <w:adjustRightInd w:val="0"/>
        <w:snapToGrid w:val="0"/>
        <w:spacing w:before="156" w:beforeLines="50" w:line="300" w:lineRule="auto"/>
        <w:ind w:firstLine="555"/>
        <w:rPr>
          <w:color w:val="auto"/>
          <w:sz w:val="24"/>
          <w:szCs w:val="24"/>
          <w:highlight w:val="none"/>
        </w:rPr>
      </w:pPr>
      <w:r>
        <w:rPr>
          <w:color w:val="auto"/>
          <w:sz w:val="24"/>
          <w:szCs w:val="24"/>
          <w:highlight w:val="none"/>
        </w:rPr>
        <w:t>8.7.2</w:t>
      </w:r>
      <w:r>
        <w:rPr>
          <w:rFonts w:hint="eastAsia"/>
          <w:color w:val="auto"/>
          <w:sz w:val="24"/>
          <w:szCs w:val="24"/>
          <w:highlight w:val="none"/>
        </w:rPr>
        <w:t>采购人需追加或减少的货物</w:t>
      </w:r>
      <w:r>
        <w:rPr>
          <w:rFonts w:hint="eastAsia" w:ascii="宋体" w:hAnsi="宋体"/>
          <w:color w:val="auto"/>
          <w:sz w:val="24"/>
          <w:szCs w:val="24"/>
          <w:highlight w:val="none"/>
        </w:rPr>
        <w:t>、工程和服务的</w:t>
      </w:r>
      <w:r>
        <w:rPr>
          <w:rFonts w:hint="eastAsia"/>
          <w:color w:val="auto"/>
          <w:sz w:val="24"/>
          <w:szCs w:val="24"/>
          <w:highlight w:val="none"/>
        </w:rPr>
        <w:t>金额达到</w:t>
      </w:r>
      <w:r>
        <w:rPr>
          <w:color w:val="auto"/>
          <w:sz w:val="24"/>
          <w:szCs w:val="24"/>
          <w:highlight w:val="none"/>
        </w:rPr>
        <w:t>50</w:t>
      </w:r>
      <w:r>
        <w:rPr>
          <w:rFonts w:hint="eastAsia"/>
          <w:color w:val="auto"/>
          <w:sz w:val="24"/>
          <w:szCs w:val="24"/>
          <w:highlight w:val="none"/>
        </w:rPr>
        <w:t>万元以上（含</w:t>
      </w:r>
      <w:r>
        <w:rPr>
          <w:color w:val="auto"/>
          <w:sz w:val="24"/>
          <w:szCs w:val="24"/>
          <w:highlight w:val="none"/>
        </w:rPr>
        <w:t>50</w:t>
      </w:r>
      <w:r>
        <w:rPr>
          <w:rFonts w:hint="eastAsia"/>
          <w:color w:val="auto"/>
          <w:sz w:val="24"/>
          <w:szCs w:val="24"/>
          <w:highlight w:val="none"/>
        </w:rPr>
        <w:t>万元）、且超过中标价</w:t>
      </w:r>
      <w:r>
        <w:rPr>
          <w:color w:val="auto"/>
          <w:sz w:val="24"/>
          <w:szCs w:val="24"/>
          <w:highlight w:val="none"/>
        </w:rPr>
        <w:t>3%</w:t>
      </w:r>
      <w:r>
        <w:rPr>
          <w:rFonts w:hint="eastAsia"/>
          <w:color w:val="auto"/>
          <w:sz w:val="24"/>
          <w:szCs w:val="24"/>
          <w:highlight w:val="none"/>
        </w:rPr>
        <w:t>的，采购人应当自确定变更之日起</w:t>
      </w:r>
      <w:r>
        <w:rPr>
          <w:color w:val="auto"/>
          <w:sz w:val="24"/>
          <w:szCs w:val="24"/>
          <w:highlight w:val="none"/>
        </w:rPr>
        <w:t>5</w:t>
      </w:r>
      <w:r>
        <w:rPr>
          <w:rFonts w:hint="eastAsia"/>
          <w:color w:val="auto"/>
          <w:sz w:val="24"/>
          <w:szCs w:val="24"/>
          <w:highlight w:val="none"/>
        </w:rPr>
        <w:t>个工作日内将变更情况及事由报送同级监察机关。</w:t>
      </w:r>
    </w:p>
    <w:p w14:paraId="662E5821">
      <w:pPr>
        <w:widowControl w:val="0"/>
        <w:adjustRightInd w:val="0"/>
        <w:snapToGrid w:val="0"/>
        <w:spacing w:before="156" w:beforeLines="50" w:line="300" w:lineRule="auto"/>
        <w:ind w:firstLine="555"/>
        <w:rPr>
          <w:color w:val="auto"/>
          <w:sz w:val="24"/>
          <w:szCs w:val="24"/>
          <w:highlight w:val="none"/>
        </w:rPr>
      </w:pPr>
      <w:r>
        <w:rPr>
          <w:rFonts w:hint="eastAsia"/>
          <w:color w:val="auto"/>
          <w:sz w:val="24"/>
          <w:szCs w:val="24"/>
          <w:highlight w:val="none"/>
        </w:rPr>
        <w:t>招标项目在中标后经有关行政机关批准变更的，批准的行政机关应当自批准之日起</w:t>
      </w:r>
      <w:r>
        <w:rPr>
          <w:color w:val="auto"/>
          <w:sz w:val="24"/>
          <w:szCs w:val="24"/>
          <w:highlight w:val="none"/>
        </w:rPr>
        <w:t>3</w:t>
      </w:r>
      <w:r>
        <w:rPr>
          <w:rFonts w:hint="eastAsia"/>
          <w:color w:val="auto"/>
          <w:sz w:val="24"/>
          <w:szCs w:val="24"/>
          <w:highlight w:val="none"/>
        </w:rPr>
        <w:t>个工作日内将批准文件抄送同级监察机关备案。</w:t>
      </w:r>
    </w:p>
    <w:p w14:paraId="2C7B10ED">
      <w:pPr>
        <w:widowControl w:val="0"/>
        <w:adjustRightInd w:val="0"/>
        <w:snapToGrid w:val="0"/>
        <w:spacing w:before="156" w:beforeLines="50" w:line="300" w:lineRule="auto"/>
        <w:ind w:firstLine="555"/>
        <w:rPr>
          <w:color w:val="auto"/>
          <w:sz w:val="24"/>
          <w:szCs w:val="24"/>
          <w:highlight w:val="none"/>
        </w:rPr>
      </w:pPr>
    </w:p>
    <w:p w14:paraId="76793ED2">
      <w:pPr>
        <w:widowControl w:val="0"/>
        <w:adjustRightInd w:val="0"/>
        <w:snapToGrid w:val="0"/>
        <w:spacing w:before="156" w:beforeLines="50" w:line="300" w:lineRule="auto"/>
        <w:ind w:firstLine="561"/>
        <w:outlineLvl w:val="1"/>
        <w:rPr>
          <w:rFonts w:ascii="黑体" w:hAnsi="黑体" w:eastAsia="黑体" w:cs="楷体_GB2312"/>
          <w:b/>
          <w:bCs/>
          <w:color w:val="auto"/>
          <w:sz w:val="28"/>
          <w:szCs w:val="28"/>
          <w:highlight w:val="none"/>
          <w:lang w:val="zh-CN"/>
        </w:rPr>
      </w:pPr>
      <w:bookmarkStart w:id="39" w:name="_Toc30760"/>
      <w:r>
        <w:rPr>
          <w:rFonts w:ascii="黑体" w:hAnsi="黑体" w:eastAsia="黑体" w:cs="楷体_GB2312"/>
          <w:b/>
          <w:bCs/>
          <w:color w:val="auto"/>
          <w:sz w:val="28"/>
          <w:szCs w:val="28"/>
          <w:highlight w:val="none"/>
          <w:lang w:val="zh-CN"/>
        </w:rPr>
        <w:t xml:space="preserve">9 </w:t>
      </w:r>
      <w:r>
        <w:rPr>
          <w:rFonts w:hint="eastAsia" w:ascii="黑体" w:hAnsi="黑体" w:eastAsia="黑体" w:cs="楷体_GB2312"/>
          <w:b/>
          <w:bCs/>
          <w:color w:val="auto"/>
          <w:sz w:val="28"/>
          <w:szCs w:val="28"/>
          <w:highlight w:val="none"/>
          <w:lang w:val="zh-CN"/>
        </w:rPr>
        <w:t>验收</w:t>
      </w:r>
      <w:bookmarkEnd w:id="39"/>
    </w:p>
    <w:p w14:paraId="5A208BB2">
      <w:pPr>
        <w:widowControl w:val="0"/>
        <w:adjustRightInd w:val="0"/>
        <w:snapToGrid w:val="0"/>
        <w:spacing w:before="156" w:beforeLines="50" w:line="300" w:lineRule="auto"/>
        <w:ind w:firstLine="561"/>
        <w:rPr>
          <w:rFonts w:ascii="宋体" w:cs="楷体_GB2312"/>
          <w:color w:val="auto"/>
          <w:sz w:val="24"/>
          <w:highlight w:val="none"/>
          <w:lang w:val="zh-CN"/>
        </w:rPr>
      </w:pPr>
      <w:r>
        <w:rPr>
          <w:rFonts w:hint="eastAsia" w:ascii="宋体" w:hAnsi="宋体" w:cs="楷体_GB2312"/>
          <w:color w:val="auto"/>
          <w:sz w:val="24"/>
          <w:highlight w:val="none"/>
        </w:rPr>
        <w:t>9</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验收时间：项目具备正常使用及验收条件时，由采购</w:t>
      </w:r>
      <w:r>
        <w:rPr>
          <w:rFonts w:hint="eastAsia" w:ascii="宋体" w:hAnsi="宋体" w:cs="楷体_GB2312"/>
          <w:color w:val="auto"/>
          <w:sz w:val="24"/>
          <w:highlight w:val="none"/>
        </w:rPr>
        <w:t>人</w:t>
      </w:r>
      <w:r>
        <w:rPr>
          <w:rFonts w:hint="eastAsia" w:ascii="宋体" w:hAnsi="宋体" w:cs="楷体_GB2312"/>
          <w:color w:val="auto"/>
          <w:sz w:val="24"/>
          <w:highlight w:val="none"/>
          <w:lang w:val="zh-CN"/>
        </w:rPr>
        <w:t>成立验收工作组负责验收。</w:t>
      </w:r>
      <w:r>
        <w:rPr>
          <w:rFonts w:hint="eastAsia" w:ascii="宋体" w:hAnsi="宋体" w:cs="楷体_GB2312"/>
          <w:color w:val="auto"/>
          <w:sz w:val="24"/>
          <w:highlight w:val="none"/>
        </w:rPr>
        <w:t>技术复杂、社会影响较大的货物类项目，可以根据需要设置出厂检验、到货检验、安装调试检验、配套服务检验等多重验收环节；服务类项目，可根据项目特点对服务期内的服务实施情况进行分期考核，结合考核情况和服务效果进行验收。</w:t>
      </w:r>
    </w:p>
    <w:p w14:paraId="764D9971">
      <w:pPr>
        <w:widowControl w:val="0"/>
        <w:adjustRightInd w:val="0"/>
        <w:snapToGrid w:val="0"/>
        <w:spacing w:before="156" w:beforeLines="50" w:line="300" w:lineRule="auto"/>
        <w:ind w:firstLine="561"/>
        <w:rPr>
          <w:rFonts w:ascii="宋体" w:hAnsi="宋体" w:cs="楷体_GB2312"/>
          <w:color w:val="auto"/>
          <w:sz w:val="24"/>
          <w:highlight w:val="none"/>
          <w:lang w:val="zh-CN"/>
        </w:rPr>
      </w:pPr>
      <w:r>
        <w:rPr>
          <w:rFonts w:hint="eastAsia" w:ascii="宋体" w:hAnsi="宋体" w:cs="楷体_GB2312"/>
          <w:color w:val="auto"/>
          <w:sz w:val="24"/>
          <w:highlight w:val="none"/>
        </w:rPr>
        <w:t>9</w:t>
      </w:r>
      <w:r>
        <w:rPr>
          <w:rFonts w:ascii="宋体" w:hAnsi="宋体" w:cs="楷体_GB2312"/>
          <w:color w:val="auto"/>
          <w:sz w:val="24"/>
          <w:highlight w:val="none"/>
          <w:lang w:val="zh-CN"/>
        </w:rPr>
        <w:t>.2</w:t>
      </w:r>
      <w:r>
        <w:rPr>
          <w:rFonts w:hint="eastAsia" w:ascii="宋体" w:hAnsi="宋体" w:cs="楷体_GB2312"/>
          <w:color w:val="auto"/>
          <w:sz w:val="24"/>
          <w:highlight w:val="none"/>
          <w:lang w:val="zh-CN"/>
        </w:rPr>
        <w:t>验收工作组：合同履约验收工作应成立验收工作组专门负责。</w:t>
      </w:r>
    </w:p>
    <w:p w14:paraId="48E04BF3">
      <w:pPr>
        <w:widowControl w:val="0"/>
        <w:adjustRightInd w:val="0"/>
        <w:snapToGrid w:val="0"/>
        <w:spacing w:before="156" w:beforeLines="50" w:line="300" w:lineRule="auto"/>
        <w:ind w:firstLine="561"/>
        <w:rPr>
          <w:rFonts w:ascii="宋体" w:hAnsi="宋体" w:cs="楷体_GB2312"/>
          <w:color w:val="auto"/>
          <w:sz w:val="24"/>
          <w:highlight w:val="none"/>
          <w:lang w:val="zh-CN"/>
        </w:rPr>
      </w:pPr>
      <w:r>
        <w:rPr>
          <w:rFonts w:hint="eastAsia" w:ascii="宋体" w:hAnsi="宋体" w:cs="楷体_GB2312"/>
          <w:color w:val="auto"/>
          <w:sz w:val="24"/>
          <w:highlight w:val="none"/>
          <w:lang w:val="zh-CN"/>
        </w:rPr>
        <w:t>直接参与该项目政府采购活动的主要负责人不得作为验收工作的主要负责人。</w:t>
      </w:r>
      <w:r>
        <w:rPr>
          <w:rFonts w:hint="eastAsia" w:ascii="宋体" w:hAnsi="宋体" w:cs="楷体_GB2312"/>
          <w:color w:val="auto"/>
          <w:sz w:val="24"/>
          <w:highlight w:val="none"/>
        </w:rPr>
        <w:t>对于采购人和使用人分离的采购项目，应当邀请实际使用人参与验收；政府向社会公众提供的公共服务项目，验收时应当邀请服务对象参与并出具意见，验收结果应当向社会公告。</w:t>
      </w:r>
    </w:p>
    <w:p w14:paraId="11B8DC23">
      <w:pPr>
        <w:widowControl w:val="0"/>
        <w:adjustRightInd w:val="0"/>
        <w:snapToGrid w:val="0"/>
        <w:spacing w:before="156" w:beforeLines="50" w:line="300" w:lineRule="auto"/>
        <w:ind w:firstLine="561"/>
        <w:rPr>
          <w:rFonts w:ascii="宋体" w:hAnsi="宋体" w:cs="楷体_GB2312"/>
          <w:color w:val="auto"/>
          <w:sz w:val="24"/>
          <w:highlight w:val="none"/>
        </w:rPr>
      </w:pPr>
      <w:r>
        <w:rPr>
          <w:rFonts w:hint="eastAsia" w:ascii="宋体" w:hAnsi="宋体" w:cs="楷体_GB2312"/>
          <w:color w:val="auto"/>
          <w:sz w:val="24"/>
          <w:highlight w:val="none"/>
        </w:rPr>
        <w:t>9.2.1</w:t>
      </w:r>
      <w:r>
        <w:rPr>
          <w:rFonts w:hint="eastAsia" w:ascii="宋体" w:hAnsi="宋体" w:cs="楷体_GB2312"/>
          <w:color w:val="auto"/>
          <w:sz w:val="24"/>
          <w:highlight w:val="none"/>
          <w:lang w:val="zh-CN"/>
        </w:rPr>
        <w:t>政府采购合同金额</w:t>
      </w:r>
      <w:r>
        <w:rPr>
          <w:rFonts w:hint="eastAsia" w:ascii="宋体" w:hAnsi="宋体" w:cs="楷体_GB2312"/>
          <w:color w:val="auto"/>
          <w:sz w:val="24"/>
          <w:highlight w:val="none"/>
        </w:rPr>
        <w:t>在</w:t>
      </w:r>
      <w:r>
        <w:rPr>
          <w:rFonts w:hint="eastAsia" w:ascii="宋体" w:hAnsi="宋体" w:cs="楷体_GB2312"/>
          <w:color w:val="auto"/>
          <w:sz w:val="24"/>
          <w:highlight w:val="none"/>
          <w:lang w:val="zh-CN"/>
        </w:rPr>
        <w:t>10万元以下（</w:t>
      </w:r>
      <w:r>
        <w:rPr>
          <w:rFonts w:hint="eastAsia" w:ascii="宋体" w:hAnsi="宋体" w:cs="楷体_GB2312"/>
          <w:color w:val="auto"/>
          <w:sz w:val="24"/>
          <w:highlight w:val="none"/>
        </w:rPr>
        <w:t>含10万元</w:t>
      </w:r>
      <w:r>
        <w:rPr>
          <w:rFonts w:hint="eastAsia" w:ascii="宋体" w:hAnsi="宋体" w:cs="楷体_GB2312"/>
          <w:color w:val="auto"/>
          <w:sz w:val="24"/>
          <w:highlight w:val="none"/>
          <w:lang w:val="zh-CN"/>
        </w:rPr>
        <w:t>）的项目，原则上可以不邀请评审专家参加，组织方成立验收小组自行验收。</w:t>
      </w:r>
      <w:r>
        <w:rPr>
          <w:rFonts w:hint="eastAsia" w:ascii="宋体" w:hAnsi="宋体" w:cs="楷体_GB2312"/>
          <w:color w:val="auto"/>
          <w:sz w:val="24"/>
          <w:highlight w:val="none"/>
        </w:rPr>
        <w:t>自行验收时，验收小组应仔细对照采购文件及合同，对标的物的数量、质量、规格、型号等参数逐一核对，并编制验收报告。组织方认为不能独立完成验收任务的，可以邀请评审专家参与验收。</w:t>
      </w:r>
    </w:p>
    <w:p w14:paraId="4B065335">
      <w:pPr>
        <w:widowControl w:val="0"/>
        <w:adjustRightInd w:val="0"/>
        <w:snapToGrid w:val="0"/>
        <w:spacing w:before="156" w:beforeLines="50" w:line="300" w:lineRule="auto"/>
        <w:ind w:firstLine="561"/>
        <w:rPr>
          <w:rFonts w:ascii="宋体" w:hAnsi="宋体" w:cs="楷体_GB2312"/>
          <w:color w:val="auto"/>
          <w:sz w:val="24"/>
          <w:highlight w:val="none"/>
        </w:rPr>
      </w:pPr>
      <w:r>
        <w:rPr>
          <w:rFonts w:hint="eastAsia" w:ascii="宋体" w:hAnsi="宋体" w:cs="楷体_GB2312"/>
          <w:color w:val="auto"/>
          <w:sz w:val="24"/>
          <w:highlight w:val="none"/>
        </w:rPr>
        <w:t>9.2.2</w:t>
      </w:r>
      <w:r>
        <w:rPr>
          <w:rFonts w:hint="eastAsia" w:ascii="宋体" w:hAnsi="宋体" w:cs="楷体_GB2312"/>
          <w:color w:val="auto"/>
          <w:sz w:val="24"/>
          <w:highlight w:val="none"/>
          <w:lang w:val="zh-CN"/>
        </w:rPr>
        <w:t>政府采购合同金额50万元以下的（含50万元）的项目，验收工作组应不少于三人；政府采购合同金额50万元以上的项目，验收工作组应由</w:t>
      </w:r>
      <w:r>
        <w:rPr>
          <w:rFonts w:hint="eastAsia" w:ascii="宋体" w:hAnsi="宋体" w:cs="楷体_GB2312"/>
          <w:color w:val="auto"/>
          <w:sz w:val="24"/>
          <w:highlight w:val="none"/>
        </w:rPr>
        <w:t>采购人</w:t>
      </w:r>
      <w:r>
        <w:rPr>
          <w:rFonts w:hint="eastAsia" w:ascii="宋体" w:hAnsi="宋体" w:cs="楷体_GB2312"/>
          <w:color w:val="auto"/>
          <w:sz w:val="24"/>
          <w:highlight w:val="none"/>
          <w:lang w:val="zh-CN"/>
        </w:rPr>
        <w:t>领导牵头，财务、审计、监察、资产管理、技术等部门人员参与，成员不少于五人。验收工作</w:t>
      </w:r>
      <w:r>
        <w:rPr>
          <w:rFonts w:hint="eastAsia" w:ascii="宋体" w:hAnsi="宋体" w:cs="楷体_GB2312"/>
          <w:color w:val="auto"/>
          <w:sz w:val="24"/>
          <w:highlight w:val="none"/>
        </w:rPr>
        <w:t>原则上</w:t>
      </w:r>
      <w:r>
        <w:rPr>
          <w:rFonts w:hint="eastAsia" w:ascii="宋体" w:hAnsi="宋体" w:cs="楷体_GB2312"/>
          <w:color w:val="auto"/>
          <w:sz w:val="24"/>
          <w:highlight w:val="none"/>
          <w:lang w:val="zh-CN"/>
        </w:rPr>
        <w:t>应当邀请采购评审专家参加验收；大型、复杂或者技术性很强的政府采购项目，应当邀请国家认可的质量检测机构参加验收工作；国家规定强制性检测的采购项目，</w:t>
      </w:r>
      <w:r>
        <w:rPr>
          <w:rFonts w:hint="eastAsia" w:ascii="宋体" w:hAnsi="宋体" w:cs="楷体_GB2312"/>
          <w:color w:val="auto"/>
          <w:sz w:val="24"/>
          <w:highlight w:val="none"/>
        </w:rPr>
        <w:t>采购人</w:t>
      </w:r>
      <w:r>
        <w:rPr>
          <w:rFonts w:hint="eastAsia" w:ascii="宋体" w:hAnsi="宋体" w:cs="楷体_GB2312"/>
          <w:color w:val="auto"/>
          <w:sz w:val="24"/>
          <w:highlight w:val="none"/>
          <w:lang w:val="zh-CN"/>
        </w:rPr>
        <w:t>必须委托国家认可专业检测机构进行验收。</w:t>
      </w:r>
    </w:p>
    <w:p w14:paraId="6276D18A">
      <w:pPr>
        <w:widowControl w:val="0"/>
        <w:adjustRightInd w:val="0"/>
        <w:snapToGrid w:val="0"/>
        <w:spacing w:before="156" w:beforeLines="50" w:line="300" w:lineRule="auto"/>
        <w:ind w:firstLine="561"/>
        <w:rPr>
          <w:rFonts w:ascii="宋体" w:hAnsi="宋体" w:cs="楷体_GB2312"/>
          <w:color w:val="auto"/>
          <w:sz w:val="24"/>
          <w:highlight w:val="none"/>
        </w:rPr>
      </w:pPr>
      <w:r>
        <w:rPr>
          <w:rFonts w:hint="eastAsia" w:ascii="宋体" w:hAnsi="宋体" w:cs="楷体_GB2312"/>
          <w:color w:val="auto"/>
          <w:sz w:val="24"/>
          <w:highlight w:val="none"/>
        </w:rPr>
        <w:t>9.3验收时，验收小组按照采购合同的约定对每一项技术、服务、安全标准的履约情况进行确认。</w:t>
      </w:r>
      <w:r>
        <w:rPr>
          <w:rFonts w:hint="eastAsia" w:ascii="宋体" w:hAnsi="宋体" w:cs="楷体_GB2312"/>
          <w:color w:val="auto"/>
          <w:sz w:val="24"/>
          <w:highlight w:val="none"/>
          <w:lang w:val="zh-CN"/>
        </w:rPr>
        <w:t>验收时需要进行破坏性试验的，供应商应进行充分的配合并提供备品备件。</w:t>
      </w:r>
    </w:p>
    <w:p w14:paraId="304B80A6">
      <w:pPr>
        <w:widowControl w:val="0"/>
        <w:adjustRightInd w:val="0"/>
        <w:snapToGrid w:val="0"/>
        <w:spacing w:before="156" w:beforeLines="50" w:line="300" w:lineRule="auto"/>
        <w:ind w:firstLine="561"/>
        <w:rPr>
          <w:rFonts w:ascii="宋体" w:hAnsi="宋体" w:cs="楷体_GB2312"/>
          <w:color w:val="auto"/>
          <w:sz w:val="24"/>
          <w:highlight w:val="none"/>
        </w:rPr>
      </w:pPr>
      <w:r>
        <w:rPr>
          <w:rFonts w:hint="eastAsia" w:ascii="宋体" w:hAnsi="宋体" w:cs="楷体_GB2312"/>
          <w:color w:val="auto"/>
          <w:sz w:val="24"/>
          <w:highlight w:val="none"/>
        </w:rPr>
        <w:t>9</w:t>
      </w:r>
      <w:r>
        <w:rPr>
          <w:rFonts w:ascii="宋体" w:hAnsi="宋体" w:cs="楷体_GB2312"/>
          <w:color w:val="auto"/>
          <w:sz w:val="24"/>
          <w:highlight w:val="none"/>
          <w:lang w:val="zh-CN"/>
        </w:rPr>
        <w:t>.</w:t>
      </w:r>
      <w:r>
        <w:rPr>
          <w:rFonts w:hint="eastAsia" w:ascii="宋体" w:hAnsi="宋体" w:cs="楷体_GB2312"/>
          <w:color w:val="auto"/>
          <w:sz w:val="24"/>
          <w:highlight w:val="none"/>
        </w:rPr>
        <w:t>4</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验收报告：验收后，由采购</w:t>
      </w:r>
      <w:r>
        <w:rPr>
          <w:rFonts w:hint="eastAsia" w:ascii="宋体" w:hAnsi="宋体" w:cs="楷体_GB2312"/>
          <w:color w:val="auto"/>
          <w:sz w:val="24"/>
          <w:highlight w:val="none"/>
        </w:rPr>
        <w:t>人</w:t>
      </w:r>
      <w:r>
        <w:rPr>
          <w:rFonts w:hint="eastAsia" w:ascii="宋体" w:hAnsi="宋体" w:cs="楷体_GB2312"/>
          <w:color w:val="auto"/>
          <w:sz w:val="24"/>
          <w:highlight w:val="none"/>
          <w:lang w:val="zh-CN"/>
        </w:rPr>
        <w:t>及专家等出具验收报告（</w:t>
      </w:r>
      <w:r>
        <w:rPr>
          <w:rFonts w:hint="eastAsia" w:ascii="宋体" w:hAnsi="宋体" w:cs="楷体_GB2312"/>
          <w:color w:val="auto"/>
          <w:sz w:val="24"/>
          <w:highlight w:val="none"/>
        </w:rPr>
        <w:t>自行验收的，由采购人出具</w:t>
      </w:r>
      <w:r>
        <w:rPr>
          <w:rFonts w:hint="eastAsia" w:ascii="宋体" w:hAnsi="宋体" w:cs="楷体_GB2312"/>
          <w:color w:val="auto"/>
          <w:sz w:val="24"/>
          <w:highlight w:val="none"/>
          <w:lang w:val="zh-CN"/>
        </w:rPr>
        <w:t>），国家规定强制性检测的采购项目应附国家认可的专业检测机构出具的验收报告。</w:t>
      </w:r>
    </w:p>
    <w:p w14:paraId="546FDF5A">
      <w:pPr>
        <w:widowControl w:val="0"/>
        <w:adjustRightInd w:val="0"/>
        <w:snapToGrid w:val="0"/>
        <w:spacing w:before="156" w:beforeLines="50" w:line="300" w:lineRule="auto"/>
        <w:ind w:firstLine="561"/>
        <w:rPr>
          <w:rFonts w:ascii="宋体" w:cs="楷体_GB2312"/>
          <w:color w:val="auto"/>
          <w:sz w:val="24"/>
          <w:highlight w:val="none"/>
          <w:lang w:val="zh-CN"/>
        </w:rPr>
      </w:pPr>
      <w:r>
        <w:rPr>
          <w:rFonts w:hint="eastAsia" w:ascii="宋体" w:hAnsi="宋体" w:cs="楷体_GB2312"/>
          <w:color w:val="auto"/>
          <w:sz w:val="24"/>
          <w:highlight w:val="none"/>
        </w:rPr>
        <w:t>9</w:t>
      </w:r>
      <w:r>
        <w:rPr>
          <w:rFonts w:hint="eastAsia" w:ascii="宋体" w:hAnsi="宋体" w:cs="楷体_GB2312"/>
          <w:color w:val="auto"/>
          <w:sz w:val="24"/>
          <w:highlight w:val="none"/>
          <w:lang w:val="zh-CN"/>
        </w:rPr>
        <w:t>.</w:t>
      </w:r>
      <w:r>
        <w:rPr>
          <w:rFonts w:hint="eastAsia" w:ascii="宋体" w:hAnsi="宋体" w:cs="楷体_GB2312"/>
          <w:color w:val="auto"/>
          <w:sz w:val="24"/>
          <w:highlight w:val="none"/>
        </w:rPr>
        <w:t>5</w:t>
      </w:r>
      <w:r>
        <w:rPr>
          <w:rFonts w:hint="eastAsia" w:ascii="宋体" w:hAnsi="宋体" w:cs="楷体_GB2312"/>
          <w:color w:val="auto"/>
          <w:sz w:val="24"/>
          <w:highlight w:val="none"/>
          <w:lang w:val="zh-CN"/>
        </w:rPr>
        <w:t>验收中发现</w:t>
      </w:r>
      <w:r>
        <w:rPr>
          <w:rFonts w:hint="eastAsia" w:ascii="宋体" w:hAnsi="宋体" w:cs="楷体_GB2312"/>
          <w:color w:val="auto"/>
          <w:sz w:val="24"/>
          <w:highlight w:val="none"/>
        </w:rPr>
        <w:t>中标单位</w:t>
      </w:r>
      <w:r>
        <w:rPr>
          <w:rFonts w:hint="eastAsia" w:ascii="宋体" w:hAnsi="宋体" w:cs="楷体_GB2312"/>
          <w:color w:val="auto"/>
          <w:sz w:val="24"/>
          <w:highlight w:val="none"/>
          <w:lang w:val="zh-CN"/>
        </w:rPr>
        <w:t>未按合同约定的时间、地点或方式履约，提供的货物或服务的数量、质量、性能、功能达不到合同约定的，或者提供假冒伪劣产品等违反合同约定的，验收人员应在验收报告中注明违约情形和事项，并应及时通知财政部门。属假冒伪劣产品的，同时向工商管理、质量监督等行政执法部门举报。</w:t>
      </w:r>
    </w:p>
    <w:p w14:paraId="0884D214">
      <w:pPr>
        <w:autoSpaceDE w:val="0"/>
        <w:autoSpaceDN w:val="0"/>
        <w:adjustRightInd w:val="0"/>
        <w:snapToGrid w:val="0"/>
        <w:spacing w:before="156"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9.6 验收公告的时限：采购人要在政府采购项目验收完成后1个工作日内登陆安阳市政府采购网进行验收公告。</w:t>
      </w:r>
    </w:p>
    <w:p w14:paraId="7CE17360">
      <w:pPr>
        <w:widowControl w:val="0"/>
        <w:adjustRightInd w:val="0"/>
        <w:snapToGrid w:val="0"/>
        <w:spacing w:before="156" w:beforeLines="50" w:line="300" w:lineRule="auto"/>
        <w:ind w:firstLine="561"/>
        <w:rPr>
          <w:rFonts w:ascii="宋体" w:cs="楷体_GB2312"/>
          <w:color w:val="auto"/>
          <w:sz w:val="24"/>
          <w:highlight w:val="none"/>
          <w:lang w:val="zh-CN"/>
        </w:rPr>
      </w:pPr>
    </w:p>
    <w:p w14:paraId="1197392A">
      <w:pPr>
        <w:widowControl w:val="0"/>
        <w:adjustRightInd w:val="0"/>
        <w:snapToGrid w:val="0"/>
        <w:spacing w:before="156" w:beforeLines="50" w:line="300" w:lineRule="auto"/>
        <w:ind w:firstLine="561"/>
        <w:outlineLvl w:val="1"/>
        <w:rPr>
          <w:rFonts w:ascii="黑体" w:hAnsi="黑体" w:eastAsia="黑体" w:cs="楷体_GB2312"/>
          <w:b/>
          <w:bCs/>
          <w:color w:val="auto"/>
          <w:sz w:val="28"/>
          <w:szCs w:val="28"/>
          <w:highlight w:val="none"/>
          <w:lang w:val="zh-CN"/>
        </w:rPr>
      </w:pPr>
      <w:bookmarkStart w:id="40" w:name="_Toc11283"/>
      <w:r>
        <w:rPr>
          <w:rFonts w:ascii="黑体" w:hAnsi="黑体" w:eastAsia="黑体" w:cs="楷体_GB2312"/>
          <w:b/>
          <w:bCs/>
          <w:color w:val="auto"/>
          <w:sz w:val="28"/>
          <w:szCs w:val="28"/>
          <w:highlight w:val="none"/>
          <w:lang w:val="zh-CN"/>
        </w:rPr>
        <w:t xml:space="preserve">10 </w:t>
      </w:r>
      <w:r>
        <w:rPr>
          <w:rFonts w:hint="eastAsia" w:ascii="黑体" w:hAnsi="黑体" w:eastAsia="黑体" w:cs="楷体_GB2312"/>
          <w:b/>
          <w:bCs/>
          <w:color w:val="auto"/>
          <w:sz w:val="28"/>
          <w:szCs w:val="28"/>
          <w:highlight w:val="none"/>
          <w:lang w:val="zh-CN"/>
        </w:rPr>
        <w:t>付款</w:t>
      </w:r>
      <w:bookmarkEnd w:id="40"/>
    </w:p>
    <w:p w14:paraId="54D2F3B3">
      <w:pPr>
        <w:widowControl w:val="0"/>
        <w:adjustRightInd w:val="0"/>
        <w:snapToGrid w:val="0"/>
        <w:spacing w:before="156" w:beforeLines="50" w:line="300" w:lineRule="auto"/>
        <w:ind w:firstLine="561"/>
        <w:rPr>
          <w:rFonts w:ascii="宋体" w:cs="楷体_GB2312"/>
          <w:color w:val="auto"/>
          <w:sz w:val="24"/>
          <w:highlight w:val="none"/>
          <w:lang w:val="zh-CN"/>
        </w:rPr>
      </w:pPr>
      <w:r>
        <w:rPr>
          <w:rFonts w:hint="eastAsia" w:ascii="宋体" w:hAnsi="宋体" w:cs="楷体_GB2312"/>
          <w:color w:val="auto"/>
          <w:sz w:val="24"/>
          <w:highlight w:val="none"/>
          <w:lang w:val="zh-CN"/>
        </w:rPr>
        <w:t>见投标人须知前附表</w:t>
      </w:r>
    </w:p>
    <w:p w14:paraId="0AF3F399">
      <w:pPr>
        <w:widowControl w:val="0"/>
        <w:adjustRightInd w:val="0"/>
        <w:snapToGrid w:val="0"/>
        <w:spacing w:before="156" w:beforeLines="50" w:line="300" w:lineRule="auto"/>
        <w:ind w:firstLine="561"/>
        <w:rPr>
          <w:rFonts w:ascii="黑体" w:hAnsi="黑体" w:eastAsia="黑体" w:cs="楷体_GB2312"/>
          <w:b/>
          <w:bCs/>
          <w:color w:val="auto"/>
          <w:sz w:val="28"/>
          <w:szCs w:val="28"/>
          <w:highlight w:val="none"/>
          <w:lang w:val="zh-CN"/>
        </w:rPr>
      </w:pPr>
    </w:p>
    <w:p w14:paraId="3EAB3507">
      <w:pPr>
        <w:widowControl w:val="0"/>
        <w:adjustRightInd w:val="0"/>
        <w:snapToGrid w:val="0"/>
        <w:spacing w:before="156" w:beforeLines="50" w:line="300" w:lineRule="auto"/>
        <w:ind w:firstLine="561"/>
        <w:outlineLvl w:val="1"/>
        <w:rPr>
          <w:rFonts w:ascii="黑体" w:hAnsi="黑体" w:eastAsia="黑体" w:cs="楷体_GB2312"/>
          <w:b/>
          <w:bCs/>
          <w:color w:val="auto"/>
          <w:sz w:val="28"/>
          <w:szCs w:val="28"/>
          <w:highlight w:val="none"/>
          <w:lang w:val="zh-CN"/>
        </w:rPr>
      </w:pPr>
      <w:bookmarkStart w:id="41" w:name="_Toc28683"/>
      <w:r>
        <w:rPr>
          <w:rFonts w:ascii="黑体" w:hAnsi="黑体" w:eastAsia="黑体" w:cs="楷体_GB2312"/>
          <w:b/>
          <w:bCs/>
          <w:color w:val="auto"/>
          <w:sz w:val="28"/>
          <w:szCs w:val="28"/>
          <w:highlight w:val="none"/>
          <w:lang w:val="zh-CN"/>
        </w:rPr>
        <w:t xml:space="preserve">11 </w:t>
      </w:r>
      <w:r>
        <w:rPr>
          <w:rFonts w:hint="eastAsia" w:ascii="黑体" w:hAnsi="黑体" w:eastAsia="黑体" w:cs="楷体_GB2312"/>
          <w:b/>
          <w:bCs/>
          <w:color w:val="auto"/>
          <w:sz w:val="28"/>
          <w:szCs w:val="28"/>
          <w:highlight w:val="none"/>
          <w:lang w:val="zh-CN"/>
        </w:rPr>
        <w:t>其他</w:t>
      </w:r>
      <w:bookmarkEnd w:id="41"/>
    </w:p>
    <w:p w14:paraId="3C206959">
      <w:pPr>
        <w:widowControl w:val="0"/>
        <w:adjustRightInd w:val="0"/>
        <w:snapToGrid w:val="0"/>
        <w:spacing w:before="156" w:beforeLines="50" w:line="300" w:lineRule="auto"/>
        <w:ind w:firstLine="561"/>
        <w:rPr>
          <w:rFonts w:ascii="宋体" w:cs="楷体_GB2312"/>
          <w:color w:val="auto"/>
          <w:sz w:val="24"/>
          <w:highlight w:val="none"/>
          <w:lang w:val="zh-CN"/>
        </w:rPr>
      </w:pPr>
      <w:r>
        <w:rPr>
          <w:rFonts w:ascii="宋体" w:hAnsi="宋体" w:cs="楷体_GB2312"/>
          <w:color w:val="auto"/>
          <w:sz w:val="24"/>
          <w:highlight w:val="none"/>
          <w:lang w:val="zh-CN"/>
        </w:rPr>
        <w:t>1</w:t>
      </w:r>
      <w:r>
        <w:rPr>
          <w:rFonts w:ascii="宋体" w:cs="楷体_GB2312"/>
          <w:color w:val="auto"/>
          <w:sz w:val="24"/>
          <w:highlight w:val="none"/>
          <w:lang w:val="zh-CN"/>
        </w:rPr>
        <w:t>1</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中标服务费等：见投标人须知前附表</w:t>
      </w:r>
    </w:p>
    <w:p w14:paraId="7E7B9800">
      <w:pPr>
        <w:widowControl w:val="0"/>
        <w:adjustRightInd w:val="0"/>
        <w:snapToGrid w:val="0"/>
        <w:spacing w:before="156" w:beforeLines="50" w:line="300" w:lineRule="auto"/>
        <w:ind w:firstLine="561"/>
        <w:rPr>
          <w:rFonts w:ascii="宋体" w:cs="楷体_GB2312"/>
          <w:color w:val="auto"/>
          <w:sz w:val="24"/>
          <w:highlight w:val="none"/>
          <w:lang w:val="zh-CN"/>
        </w:rPr>
      </w:pPr>
      <w:r>
        <w:rPr>
          <w:rFonts w:ascii="宋体" w:hAnsi="宋体" w:cs="楷体_GB2312"/>
          <w:color w:val="auto"/>
          <w:sz w:val="24"/>
          <w:highlight w:val="none"/>
          <w:lang w:val="zh-CN"/>
        </w:rPr>
        <w:t>1</w:t>
      </w:r>
      <w:r>
        <w:rPr>
          <w:rFonts w:ascii="宋体" w:cs="楷体_GB2312"/>
          <w:color w:val="auto"/>
          <w:sz w:val="24"/>
          <w:highlight w:val="none"/>
          <w:lang w:val="zh-CN"/>
        </w:rPr>
        <w:t>1.</w:t>
      </w:r>
      <w:r>
        <w:rPr>
          <w:rFonts w:ascii="宋体" w:hAnsi="宋体" w:cs="楷体_GB2312"/>
          <w:color w:val="auto"/>
          <w:sz w:val="24"/>
          <w:highlight w:val="none"/>
          <w:lang w:val="zh-CN"/>
        </w:rPr>
        <w:t>2</w:t>
      </w:r>
      <w:r>
        <w:rPr>
          <w:rFonts w:hint="eastAsia" w:ascii="宋体" w:hAnsi="宋体" w:cs="楷体_GB2312"/>
          <w:color w:val="auto"/>
          <w:sz w:val="24"/>
          <w:highlight w:val="none"/>
          <w:lang w:val="zh-CN"/>
        </w:rPr>
        <w:t>投标人资格条件（申请人的资格要求）中包含非法人单位的，招标文件中法定代表人一词相应包含表示证照标示的负责人；投标人资格条件（申请人的资格要求）中包含自然人的，招标文件中法定代表人一词相应包含表示自然人，自然人应由其本人签署投标文件、参加投标，不应再授权他人。</w:t>
      </w:r>
    </w:p>
    <w:p w14:paraId="58AB3655">
      <w:pPr>
        <w:widowControl w:val="0"/>
        <w:autoSpaceDE w:val="0"/>
        <w:autoSpaceDN w:val="0"/>
        <w:adjustRightInd w:val="0"/>
        <w:spacing w:before="156" w:beforeLines="50" w:line="300" w:lineRule="auto"/>
        <w:ind w:firstLine="480" w:firstLineChars="200"/>
        <w:jc w:val="left"/>
        <w:textAlignment w:val="auto"/>
        <w:rPr>
          <w:rFonts w:ascii="宋体" w:hAnsi="宋体" w:cs="楷体_GB2312"/>
          <w:color w:val="auto"/>
          <w:sz w:val="24"/>
          <w:highlight w:val="none"/>
          <w:lang w:val="zh-CN"/>
        </w:rPr>
      </w:pPr>
      <w:r>
        <w:rPr>
          <w:rFonts w:ascii="宋体" w:hAnsi="宋体" w:cs="楷体_GB2312"/>
          <w:color w:val="auto"/>
          <w:sz w:val="24"/>
          <w:highlight w:val="none"/>
          <w:lang w:val="zh-CN"/>
        </w:rPr>
        <w:t xml:space="preserve">11.3 </w:t>
      </w:r>
      <w:r>
        <w:rPr>
          <w:rFonts w:hint="eastAsia" w:ascii="宋体" w:hAnsi="宋体" w:cs="楷体_GB2312"/>
          <w:color w:val="auto"/>
          <w:sz w:val="24"/>
          <w:highlight w:val="none"/>
          <w:lang w:val="zh-CN"/>
        </w:rPr>
        <w:t>招标文件第一章至第四章各章中，用序号标示条、款、项、目，例如：</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为第</w:t>
      </w:r>
      <w:r>
        <w:rPr>
          <w:rFonts w:ascii="宋体" w:hAnsi="宋体" w:cs="楷体_GB2312"/>
          <w:color w:val="auto"/>
          <w:sz w:val="24"/>
          <w:highlight w:val="none"/>
          <w:lang w:val="zh-CN"/>
        </w:rPr>
        <w:t xml:space="preserve">1 </w:t>
      </w:r>
      <w:r>
        <w:rPr>
          <w:rFonts w:hint="eastAsia" w:ascii="宋体" w:hAnsi="宋体" w:cs="楷体_GB2312"/>
          <w:color w:val="auto"/>
          <w:sz w:val="24"/>
          <w:highlight w:val="none"/>
          <w:lang w:val="zh-CN"/>
        </w:rPr>
        <w:t>条，</w:t>
      </w:r>
      <w:r>
        <w:rPr>
          <w:rFonts w:ascii="宋体" w:hAnsi="宋体" w:cs="楷体_GB2312"/>
          <w:color w:val="auto"/>
          <w:sz w:val="24"/>
          <w:highlight w:val="none"/>
          <w:lang w:val="zh-CN"/>
        </w:rPr>
        <w:t>1.1</w:t>
      </w:r>
      <w:r>
        <w:rPr>
          <w:rFonts w:hint="eastAsia" w:ascii="宋体" w:hAnsi="宋体" w:cs="楷体_GB2312"/>
          <w:color w:val="auto"/>
          <w:sz w:val="24"/>
          <w:highlight w:val="none"/>
          <w:lang w:val="zh-CN"/>
        </w:rPr>
        <w:t>为第</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条第</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款（简称</w:t>
      </w:r>
      <w:r>
        <w:rPr>
          <w:rFonts w:ascii="宋体" w:hAnsi="宋体" w:cs="楷体_GB2312"/>
          <w:color w:val="auto"/>
          <w:sz w:val="24"/>
          <w:highlight w:val="none"/>
          <w:lang w:val="zh-CN"/>
        </w:rPr>
        <w:t>1.1</w:t>
      </w:r>
      <w:r>
        <w:rPr>
          <w:rFonts w:hint="eastAsia" w:ascii="宋体" w:hAnsi="宋体" w:cs="楷体_GB2312"/>
          <w:color w:val="auto"/>
          <w:sz w:val="24"/>
          <w:highlight w:val="none"/>
          <w:lang w:val="zh-CN"/>
        </w:rPr>
        <w:t>款），</w:t>
      </w:r>
      <w:r>
        <w:rPr>
          <w:rFonts w:ascii="宋体" w:hAnsi="宋体" w:cs="楷体_GB2312"/>
          <w:color w:val="auto"/>
          <w:sz w:val="24"/>
          <w:highlight w:val="none"/>
          <w:lang w:val="zh-CN"/>
        </w:rPr>
        <w:t>1.1.1</w:t>
      </w:r>
      <w:r>
        <w:rPr>
          <w:rFonts w:hint="eastAsia" w:ascii="宋体" w:hAnsi="宋体" w:cs="楷体_GB2312"/>
          <w:color w:val="auto"/>
          <w:sz w:val="24"/>
          <w:highlight w:val="none"/>
          <w:lang w:val="zh-CN"/>
        </w:rPr>
        <w:t>为第</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条第</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款第</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项（简称</w:t>
      </w:r>
      <w:r>
        <w:rPr>
          <w:rFonts w:ascii="宋体" w:hAnsi="宋体" w:cs="楷体_GB2312"/>
          <w:color w:val="auto"/>
          <w:sz w:val="24"/>
          <w:highlight w:val="none"/>
          <w:lang w:val="zh-CN"/>
        </w:rPr>
        <w:t>1.1.1</w:t>
      </w:r>
      <w:r>
        <w:rPr>
          <w:rFonts w:hint="eastAsia" w:ascii="宋体" w:hAnsi="宋体" w:cs="楷体_GB2312"/>
          <w:color w:val="auto"/>
          <w:sz w:val="24"/>
          <w:highlight w:val="none"/>
          <w:lang w:val="zh-CN"/>
        </w:rPr>
        <w:t>项）。“条”包含款、项、目；“款”包含项、目；“项”包含目。</w:t>
      </w:r>
      <w:bookmarkStart w:id="42" w:name="_Toc58855443"/>
      <w:bookmarkStart w:id="43" w:name="_Toc423723402"/>
      <w:bookmarkStart w:id="44" w:name="_Toc427683909"/>
      <w:bookmarkStart w:id="45" w:name="_Toc427683952"/>
    </w:p>
    <w:p w14:paraId="419F7101">
      <w:pPr>
        <w:widowControl w:val="0"/>
        <w:autoSpaceDE w:val="0"/>
        <w:autoSpaceDN w:val="0"/>
        <w:adjustRightInd w:val="0"/>
        <w:spacing w:before="156" w:beforeLines="50" w:line="300" w:lineRule="auto"/>
        <w:ind w:firstLine="883" w:firstLineChars="200"/>
        <w:jc w:val="left"/>
        <w:textAlignment w:val="auto"/>
        <w:rPr>
          <w:rFonts w:eastAsia="黑体"/>
          <w:b/>
          <w:color w:val="auto"/>
          <w:sz w:val="44"/>
          <w:highlight w:val="none"/>
        </w:rPr>
      </w:pPr>
    </w:p>
    <w:p w14:paraId="01484BDC">
      <w:pPr>
        <w:widowControl w:val="0"/>
        <w:adjustRightInd w:val="0"/>
        <w:snapToGrid w:val="0"/>
        <w:spacing w:before="156" w:beforeLines="50" w:line="300" w:lineRule="auto"/>
        <w:ind w:firstLine="561"/>
        <w:outlineLvl w:val="1"/>
        <w:rPr>
          <w:rFonts w:ascii="黑体" w:hAnsi="黑体" w:eastAsia="黑体" w:cs="楷体_GB2312"/>
          <w:b/>
          <w:bCs/>
          <w:color w:val="auto"/>
          <w:sz w:val="28"/>
          <w:szCs w:val="28"/>
          <w:highlight w:val="none"/>
          <w:lang w:val="zh-CN"/>
        </w:rPr>
      </w:pPr>
      <w:bookmarkStart w:id="46" w:name="_Toc9132"/>
      <w:r>
        <w:rPr>
          <w:rFonts w:ascii="黑体" w:hAnsi="黑体" w:eastAsia="黑体" w:cs="楷体_GB2312"/>
          <w:b/>
          <w:bCs/>
          <w:color w:val="auto"/>
          <w:sz w:val="28"/>
          <w:szCs w:val="28"/>
          <w:highlight w:val="none"/>
          <w:lang w:val="zh-CN"/>
        </w:rPr>
        <w:t>1</w:t>
      </w:r>
      <w:r>
        <w:rPr>
          <w:rFonts w:hint="eastAsia" w:ascii="黑体" w:hAnsi="黑体" w:eastAsia="黑体" w:cs="楷体_GB2312"/>
          <w:b/>
          <w:bCs/>
          <w:color w:val="auto"/>
          <w:sz w:val="28"/>
          <w:szCs w:val="28"/>
          <w:highlight w:val="none"/>
          <w:lang w:val="zh-CN"/>
        </w:rPr>
        <w:t>2 河南省政府采购合同融资政策告知函</w:t>
      </w:r>
      <w:bookmarkEnd w:id="42"/>
      <w:bookmarkEnd w:id="46"/>
    </w:p>
    <w:p w14:paraId="0BCF783A">
      <w:pPr>
        <w:widowControl w:val="0"/>
        <w:adjustRightInd w:val="0"/>
        <w:snapToGrid w:val="0"/>
        <w:spacing w:before="156" w:beforeLines="50" w:line="300" w:lineRule="auto"/>
        <w:ind w:firstLine="555"/>
        <w:rPr>
          <w:rFonts w:ascii="宋体" w:hAnsi="宋体"/>
          <w:color w:val="auto"/>
          <w:sz w:val="24"/>
          <w:szCs w:val="24"/>
          <w:highlight w:val="none"/>
        </w:rPr>
      </w:pPr>
      <w:r>
        <w:rPr>
          <w:rFonts w:hint="eastAsia" w:ascii="宋体" w:hAnsi="宋体"/>
          <w:color w:val="auto"/>
          <w:sz w:val="24"/>
          <w:szCs w:val="24"/>
          <w:highlight w:val="none"/>
        </w:rPr>
        <w:t>各供应商：</w:t>
      </w:r>
    </w:p>
    <w:p w14:paraId="632489EF">
      <w:pPr>
        <w:widowControl w:val="0"/>
        <w:adjustRightInd w:val="0"/>
        <w:snapToGrid w:val="0"/>
        <w:spacing w:before="156" w:beforeLines="50" w:line="300" w:lineRule="auto"/>
        <w:ind w:firstLine="555"/>
        <w:rPr>
          <w:rFonts w:ascii="宋体" w:hAnsi="宋体"/>
          <w:color w:val="auto"/>
          <w:sz w:val="24"/>
          <w:szCs w:val="24"/>
          <w:highlight w:val="none"/>
        </w:rPr>
      </w:pPr>
      <w:r>
        <w:rPr>
          <w:rFonts w:hint="eastAsia" w:ascii="宋体" w:hAnsi="宋体"/>
          <w:color w:val="auto"/>
          <w:sz w:val="24"/>
          <w:szCs w:val="24"/>
          <w:highlight w:val="none"/>
        </w:rPr>
        <w:t>欢迎贵公司参与河南省政府采购活动！</w:t>
      </w:r>
    </w:p>
    <w:p w14:paraId="4965FF25">
      <w:pPr>
        <w:widowControl w:val="0"/>
        <w:adjustRightInd w:val="0"/>
        <w:snapToGrid w:val="0"/>
        <w:spacing w:before="156" w:beforeLines="50" w:line="300" w:lineRule="auto"/>
        <w:ind w:firstLine="555"/>
        <w:rPr>
          <w:rFonts w:ascii="宋体" w:hAnsi="宋体"/>
          <w:color w:val="auto"/>
          <w:sz w:val="24"/>
          <w:szCs w:val="24"/>
          <w:highlight w:val="none"/>
        </w:rPr>
      </w:pPr>
      <w:r>
        <w:rPr>
          <w:rFonts w:hint="eastAsia" w:ascii="宋体" w:hAnsi="宋体"/>
          <w:color w:val="auto"/>
          <w:sz w:val="24"/>
          <w:szCs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60490EDE">
      <w:pPr>
        <w:widowControl w:val="0"/>
        <w:adjustRightInd w:val="0"/>
        <w:snapToGrid w:val="0"/>
        <w:spacing w:before="156" w:beforeLines="50" w:line="300" w:lineRule="auto"/>
        <w:ind w:firstLine="555"/>
        <w:rPr>
          <w:rFonts w:ascii="宋体" w:hAnsi="宋体"/>
          <w:color w:val="auto"/>
          <w:sz w:val="24"/>
          <w:szCs w:val="24"/>
          <w:highlight w:val="none"/>
        </w:rPr>
      </w:pPr>
      <w:r>
        <w:rPr>
          <w:rFonts w:hint="eastAsia" w:ascii="宋体" w:hAnsi="宋体"/>
          <w:color w:val="auto"/>
          <w:sz w:val="24"/>
          <w:szCs w:val="24"/>
          <w:highlight w:val="none"/>
        </w:rPr>
        <w:t>贷款渠道和提供贷款的金融机构，可在河南省政府采购网“河南省政府采购合同融资平台”查询联系。</w:t>
      </w:r>
    </w:p>
    <w:p w14:paraId="75E9B875">
      <w:pPr>
        <w:widowControl w:val="0"/>
        <w:autoSpaceDE w:val="0"/>
        <w:autoSpaceDN w:val="0"/>
        <w:adjustRightInd w:val="0"/>
        <w:spacing w:before="156" w:beforeLines="50" w:line="300" w:lineRule="auto"/>
        <w:ind w:firstLine="883" w:firstLineChars="200"/>
        <w:jc w:val="left"/>
        <w:textAlignment w:val="auto"/>
        <w:rPr>
          <w:rFonts w:eastAsia="黑体"/>
          <w:b/>
          <w:color w:val="auto"/>
          <w:sz w:val="44"/>
          <w:highlight w:val="none"/>
        </w:rPr>
      </w:pPr>
    </w:p>
    <w:p w14:paraId="5F3C17D2">
      <w:pPr>
        <w:widowControl w:val="0"/>
        <w:autoSpaceDE w:val="0"/>
        <w:autoSpaceDN w:val="0"/>
        <w:adjustRightInd w:val="0"/>
        <w:spacing w:before="156" w:beforeLines="50" w:line="300" w:lineRule="auto"/>
        <w:ind w:firstLine="883" w:firstLineChars="200"/>
        <w:jc w:val="left"/>
        <w:textAlignment w:val="auto"/>
        <w:rPr>
          <w:rFonts w:eastAsia="黑体"/>
          <w:b/>
          <w:color w:val="auto"/>
          <w:sz w:val="44"/>
          <w:highlight w:val="none"/>
        </w:rPr>
      </w:pPr>
      <w:r>
        <w:rPr>
          <w:rFonts w:eastAsia="黑体"/>
          <w:b/>
          <w:color w:val="auto"/>
          <w:sz w:val="44"/>
          <w:highlight w:val="none"/>
        </w:rPr>
        <w:br w:type="page"/>
      </w:r>
    </w:p>
    <w:bookmarkEnd w:id="43"/>
    <w:bookmarkEnd w:id="44"/>
    <w:bookmarkEnd w:id="45"/>
    <w:p w14:paraId="2F59AB1B">
      <w:pPr>
        <w:keepNext/>
        <w:keepLines/>
        <w:widowControl w:val="0"/>
        <w:spacing w:before="624" w:beforeLines="200" w:after="624" w:afterLines="200" w:line="360" w:lineRule="auto"/>
        <w:jc w:val="center"/>
        <w:textAlignment w:val="auto"/>
        <w:outlineLvl w:val="0"/>
        <w:rPr>
          <w:rFonts w:ascii="黑体" w:hAnsi="黑体" w:eastAsia="黑体"/>
          <w:b/>
          <w:bCs/>
          <w:color w:val="auto"/>
          <w:kern w:val="44"/>
          <w:sz w:val="24"/>
          <w:szCs w:val="44"/>
          <w:highlight w:val="none"/>
        </w:rPr>
      </w:pPr>
      <w:bookmarkStart w:id="47" w:name="_Toc28190"/>
      <w:r>
        <w:rPr>
          <w:rFonts w:hint="eastAsia" w:ascii="黑体" w:hAnsi="黑体" w:eastAsia="黑体"/>
          <w:b/>
          <w:bCs/>
          <w:color w:val="auto"/>
          <w:kern w:val="44"/>
          <w:sz w:val="36"/>
          <w:szCs w:val="36"/>
          <w:highlight w:val="none"/>
          <w:lang w:val="zh-CN"/>
        </w:rPr>
        <w:t>第四章</w:t>
      </w:r>
      <w:r>
        <w:rPr>
          <w:rFonts w:ascii="黑体" w:hAnsi="黑体" w:eastAsia="黑体"/>
          <w:b/>
          <w:bCs/>
          <w:color w:val="auto"/>
          <w:kern w:val="44"/>
          <w:sz w:val="36"/>
          <w:szCs w:val="36"/>
          <w:highlight w:val="none"/>
          <w:lang w:val="zh-CN"/>
        </w:rPr>
        <w:t xml:space="preserve">  </w:t>
      </w:r>
      <w:r>
        <w:rPr>
          <w:rFonts w:hint="eastAsia" w:ascii="黑体" w:hAnsi="黑体" w:eastAsia="黑体"/>
          <w:b/>
          <w:bCs/>
          <w:color w:val="auto"/>
          <w:kern w:val="44"/>
          <w:sz w:val="36"/>
          <w:szCs w:val="36"/>
          <w:highlight w:val="none"/>
          <w:lang w:val="zh-CN"/>
        </w:rPr>
        <w:t>包1评标办法（综合评分法）</w:t>
      </w:r>
      <w:bookmarkEnd w:id="47"/>
    </w:p>
    <w:p w14:paraId="0412ACE8">
      <w:pPr>
        <w:spacing w:line="500" w:lineRule="exact"/>
        <w:ind w:firstLine="420"/>
        <w:jc w:val="left"/>
        <w:outlineLvl w:val="1"/>
        <w:rPr>
          <w:rFonts w:ascii="黑体" w:hAnsi="黑体" w:eastAsia="黑体"/>
          <w:b/>
          <w:color w:val="auto"/>
          <w:sz w:val="28"/>
          <w:szCs w:val="28"/>
          <w:highlight w:val="none"/>
          <w:lang w:val="zh-CN"/>
        </w:rPr>
      </w:pPr>
      <w:bookmarkStart w:id="48" w:name="_Toc29428"/>
      <w:r>
        <w:rPr>
          <w:rFonts w:hint="eastAsia" w:ascii="黑体" w:hAnsi="黑体" w:eastAsia="黑体"/>
          <w:b/>
          <w:color w:val="auto"/>
          <w:sz w:val="28"/>
          <w:szCs w:val="28"/>
          <w:highlight w:val="none"/>
        </w:rPr>
        <w:t>评标办法前附表</w:t>
      </w:r>
      <w:bookmarkEnd w:id="48"/>
    </w:p>
    <w:tbl>
      <w:tblPr>
        <w:tblStyle w:val="20"/>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67"/>
        <w:gridCol w:w="1134"/>
        <w:gridCol w:w="1701"/>
        <w:gridCol w:w="5670"/>
      </w:tblGrid>
      <w:tr w14:paraId="31C17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384" w:type="dxa"/>
            <w:gridSpan w:val="2"/>
            <w:vAlign w:val="center"/>
          </w:tcPr>
          <w:p w14:paraId="4E6E14EC">
            <w:pPr>
              <w:widowControl w:val="0"/>
              <w:autoSpaceDE w:val="0"/>
              <w:autoSpaceDN w:val="0"/>
              <w:adjustRightInd w:val="0"/>
              <w:spacing w:line="240" w:lineRule="auto"/>
              <w:jc w:val="center"/>
              <w:textAlignment w:val="auto"/>
              <w:rPr>
                <w:rFonts w:ascii="宋体" w:cs="宋体"/>
                <w:b/>
                <w:color w:val="auto"/>
                <w:sz w:val="24"/>
                <w:szCs w:val="24"/>
                <w:highlight w:val="none"/>
              </w:rPr>
            </w:pPr>
            <w:r>
              <w:rPr>
                <w:rFonts w:hint="eastAsia" w:ascii="宋体" w:hAnsi="宋体" w:cs="宋体"/>
                <w:b/>
                <w:color w:val="auto"/>
                <w:sz w:val="24"/>
                <w:szCs w:val="24"/>
                <w:highlight w:val="none"/>
              </w:rPr>
              <w:t>条款号</w:t>
            </w:r>
          </w:p>
        </w:tc>
        <w:tc>
          <w:tcPr>
            <w:tcW w:w="2835" w:type="dxa"/>
            <w:gridSpan w:val="2"/>
            <w:vAlign w:val="center"/>
          </w:tcPr>
          <w:p w14:paraId="07CCCC95">
            <w:pPr>
              <w:widowControl w:val="0"/>
              <w:autoSpaceDE w:val="0"/>
              <w:autoSpaceDN w:val="0"/>
              <w:adjustRightInd w:val="0"/>
              <w:spacing w:line="240" w:lineRule="auto"/>
              <w:jc w:val="center"/>
              <w:textAlignment w:val="auto"/>
              <w:rPr>
                <w:rFonts w:ascii="宋体" w:cs="宋体"/>
                <w:b/>
                <w:color w:val="auto"/>
                <w:sz w:val="24"/>
                <w:szCs w:val="24"/>
                <w:highlight w:val="none"/>
              </w:rPr>
            </w:pPr>
            <w:r>
              <w:rPr>
                <w:rFonts w:hint="eastAsia" w:ascii="宋体" w:hAnsi="宋体" w:cs="宋体"/>
                <w:b/>
                <w:color w:val="auto"/>
                <w:sz w:val="24"/>
                <w:szCs w:val="24"/>
                <w:highlight w:val="none"/>
              </w:rPr>
              <w:t>评标因素</w:t>
            </w:r>
          </w:p>
        </w:tc>
        <w:tc>
          <w:tcPr>
            <w:tcW w:w="5670" w:type="dxa"/>
            <w:vAlign w:val="center"/>
          </w:tcPr>
          <w:p w14:paraId="4E87D718">
            <w:pPr>
              <w:widowControl w:val="0"/>
              <w:autoSpaceDE w:val="0"/>
              <w:autoSpaceDN w:val="0"/>
              <w:adjustRightInd w:val="0"/>
              <w:spacing w:line="240" w:lineRule="auto"/>
              <w:jc w:val="center"/>
              <w:textAlignment w:val="auto"/>
              <w:rPr>
                <w:rFonts w:ascii="宋体" w:cs="宋体"/>
                <w:b/>
                <w:color w:val="auto"/>
                <w:sz w:val="24"/>
                <w:szCs w:val="24"/>
                <w:highlight w:val="none"/>
              </w:rPr>
            </w:pPr>
            <w:r>
              <w:rPr>
                <w:rFonts w:hint="eastAsia" w:ascii="宋体" w:hAnsi="宋体" w:cs="宋体"/>
                <w:b/>
                <w:color w:val="auto"/>
                <w:sz w:val="24"/>
                <w:szCs w:val="24"/>
                <w:highlight w:val="none"/>
              </w:rPr>
              <w:t>评标标准</w:t>
            </w:r>
          </w:p>
        </w:tc>
      </w:tr>
      <w:tr w14:paraId="5AF5F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17" w:type="dxa"/>
            <w:vMerge w:val="restart"/>
            <w:vAlign w:val="center"/>
          </w:tcPr>
          <w:p w14:paraId="3EB5FAD0">
            <w:pPr>
              <w:widowControl w:val="0"/>
              <w:autoSpaceDE w:val="0"/>
              <w:autoSpaceDN w:val="0"/>
              <w:adjustRightInd w:val="0"/>
              <w:spacing w:line="360" w:lineRule="auto"/>
              <w:ind w:right="-147" w:rightChars="-70"/>
              <w:rPr>
                <w:rFonts w:ascii="微软雅黑" w:hAnsi="微软雅黑" w:eastAsia="微软雅黑" w:cs="楷体_GB2312"/>
                <w:b/>
                <w:bCs/>
                <w:color w:val="auto"/>
                <w:szCs w:val="21"/>
                <w:highlight w:val="none"/>
                <w:lang w:val="zh-CN"/>
              </w:rPr>
            </w:pPr>
            <w:r>
              <w:rPr>
                <w:rFonts w:ascii="微软雅黑" w:hAnsi="微软雅黑" w:eastAsia="微软雅黑" w:cs="楷体_GB2312"/>
                <w:b/>
                <w:bCs/>
                <w:color w:val="auto"/>
                <w:szCs w:val="21"/>
                <w:highlight w:val="none"/>
                <w:lang w:val="zh-CN"/>
              </w:rPr>
              <w:t>2.1</w:t>
            </w:r>
          </w:p>
        </w:tc>
        <w:tc>
          <w:tcPr>
            <w:tcW w:w="567" w:type="dxa"/>
            <w:vMerge w:val="restart"/>
            <w:vAlign w:val="center"/>
          </w:tcPr>
          <w:p w14:paraId="00502AD3">
            <w:pPr>
              <w:widowControl w:val="0"/>
              <w:autoSpaceDE w:val="0"/>
              <w:autoSpaceDN w:val="0"/>
              <w:adjustRightInd w:val="0"/>
              <w:spacing w:line="360" w:lineRule="auto"/>
              <w:textAlignment w:val="auto"/>
              <w:rPr>
                <w:rFonts w:ascii="宋体" w:cs="宋体"/>
                <w:color w:val="auto"/>
                <w:sz w:val="24"/>
                <w:szCs w:val="24"/>
                <w:highlight w:val="none"/>
              </w:rPr>
            </w:pPr>
            <w:r>
              <w:rPr>
                <w:rFonts w:hint="eastAsia" w:ascii="宋体" w:hAnsi="宋体" w:cs="宋体"/>
                <w:color w:val="auto"/>
                <w:sz w:val="24"/>
                <w:szCs w:val="24"/>
                <w:highlight w:val="none"/>
              </w:rPr>
              <w:t>符</w:t>
            </w:r>
          </w:p>
          <w:p w14:paraId="650151D2">
            <w:pPr>
              <w:widowControl w:val="0"/>
              <w:autoSpaceDE w:val="0"/>
              <w:autoSpaceDN w:val="0"/>
              <w:adjustRightInd w:val="0"/>
              <w:spacing w:line="360" w:lineRule="auto"/>
              <w:textAlignment w:val="auto"/>
              <w:rPr>
                <w:rFonts w:ascii="宋体" w:cs="宋体"/>
                <w:color w:val="auto"/>
                <w:sz w:val="24"/>
                <w:szCs w:val="24"/>
                <w:highlight w:val="none"/>
              </w:rPr>
            </w:pPr>
            <w:r>
              <w:rPr>
                <w:rFonts w:hint="eastAsia" w:ascii="宋体" w:hAnsi="宋体" w:cs="宋体"/>
                <w:color w:val="auto"/>
                <w:sz w:val="24"/>
                <w:szCs w:val="24"/>
                <w:highlight w:val="none"/>
              </w:rPr>
              <w:t>合</w:t>
            </w:r>
          </w:p>
          <w:p w14:paraId="4C0E3B10">
            <w:pPr>
              <w:widowControl w:val="0"/>
              <w:autoSpaceDE w:val="0"/>
              <w:autoSpaceDN w:val="0"/>
              <w:adjustRightInd w:val="0"/>
              <w:spacing w:line="360" w:lineRule="auto"/>
              <w:textAlignment w:val="auto"/>
              <w:rPr>
                <w:rFonts w:ascii="宋体" w:cs="宋体"/>
                <w:color w:val="auto"/>
                <w:sz w:val="24"/>
                <w:szCs w:val="24"/>
                <w:highlight w:val="none"/>
              </w:rPr>
            </w:pPr>
            <w:r>
              <w:rPr>
                <w:rFonts w:hint="eastAsia" w:ascii="宋体" w:hAnsi="宋体" w:cs="宋体"/>
                <w:color w:val="auto"/>
                <w:sz w:val="24"/>
                <w:szCs w:val="24"/>
                <w:highlight w:val="none"/>
              </w:rPr>
              <w:t>性</w:t>
            </w:r>
          </w:p>
          <w:p w14:paraId="2BEACF36">
            <w:pPr>
              <w:widowControl w:val="0"/>
              <w:autoSpaceDE w:val="0"/>
              <w:autoSpaceDN w:val="0"/>
              <w:adjustRightInd w:val="0"/>
              <w:spacing w:line="360" w:lineRule="auto"/>
              <w:textAlignment w:val="auto"/>
              <w:rPr>
                <w:rFonts w:ascii="宋体" w:cs="宋体"/>
                <w:color w:val="auto"/>
                <w:sz w:val="24"/>
                <w:szCs w:val="24"/>
                <w:highlight w:val="none"/>
              </w:rPr>
            </w:pPr>
            <w:r>
              <w:rPr>
                <w:rFonts w:hint="eastAsia" w:ascii="宋体" w:hAnsi="宋体" w:cs="宋体"/>
                <w:color w:val="auto"/>
                <w:sz w:val="24"/>
                <w:szCs w:val="24"/>
                <w:highlight w:val="none"/>
              </w:rPr>
              <w:t>审</w:t>
            </w:r>
          </w:p>
          <w:p w14:paraId="7E36B5A9">
            <w:pPr>
              <w:widowControl w:val="0"/>
              <w:autoSpaceDE w:val="0"/>
              <w:autoSpaceDN w:val="0"/>
              <w:adjustRightInd w:val="0"/>
              <w:spacing w:line="360" w:lineRule="auto"/>
              <w:rPr>
                <w:rFonts w:ascii="黑体" w:hAnsi="黑体" w:eastAsia="黑体" w:cs="楷体_GB2312"/>
                <w:bCs/>
                <w:color w:val="auto"/>
                <w:sz w:val="24"/>
                <w:szCs w:val="24"/>
                <w:highlight w:val="none"/>
                <w:lang w:val="zh-CN"/>
              </w:rPr>
            </w:pPr>
            <w:r>
              <w:rPr>
                <w:rFonts w:hint="eastAsia" w:hAnsi="宋体"/>
                <w:color w:val="auto"/>
                <w:sz w:val="24"/>
                <w:szCs w:val="24"/>
                <w:highlight w:val="none"/>
              </w:rPr>
              <w:t>查</w:t>
            </w:r>
          </w:p>
        </w:tc>
        <w:tc>
          <w:tcPr>
            <w:tcW w:w="1134" w:type="dxa"/>
            <w:vMerge w:val="restart"/>
            <w:vAlign w:val="center"/>
          </w:tcPr>
          <w:p w14:paraId="1625ED78">
            <w:pPr>
              <w:widowControl w:val="0"/>
              <w:autoSpaceDE w:val="0"/>
              <w:autoSpaceDN w:val="0"/>
              <w:adjustRightInd w:val="0"/>
              <w:spacing w:line="360" w:lineRule="auto"/>
              <w:rPr>
                <w:rFonts w:ascii="黑体" w:hAnsi="黑体" w:eastAsia="黑体" w:cs="楷体_GB2312"/>
                <w:bCs/>
                <w:color w:val="auto"/>
                <w:sz w:val="24"/>
                <w:szCs w:val="24"/>
                <w:highlight w:val="none"/>
                <w:lang w:val="zh-CN"/>
              </w:rPr>
            </w:pPr>
            <w:r>
              <w:rPr>
                <w:rFonts w:hint="eastAsia" w:hAnsi="宋体"/>
                <w:color w:val="auto"/>
                <w:sz w:val="24"/>
                <w:szCs w:val="24"/>
                <w:highlight w:val="none"/>
              </w:rPr>
              <w:t>有效性</w:t>
            </w:r>
          </w:p>
        </w:tc>
        <w:tc>
          <w:tcPr>
            <w:tcW w:w="1701" w:type="dxa"/>
            <w:vAlign w:val="center"/>
          </w:tcPr>
          <w:p w14:paraId="23A13323">
            <w:pPr>
              <w:widowControl w:val="0"/>
              <w:autoSpaceDE w:val="0"/>
              <w:autoSpaceDN w:val="0"/>
              <w:snapToGrid w:val="0"/>
              <w:spacing w:line="240" w:lineRule="auto"/>
              <w:textAlignment w:val="auto"/>
              <w:rPr>
                <w:rFonts w:ascii="宋体" w:cs="宋体"/>
                <w:color w:val="auto"/>
                <w:sz w:val="24"/>
                <w:szCs w:val="24"/>
                <w:highlight w:val="none"/>
              </w:rPr>
            </w:pPr>
            <w:r>
              <w:rPr>
                <w:rFonts w:hint="eastAsia" w:ascii="宋体" w:hAnsi="宋体" w:cs="宋体"/>
                <w:color w:val="auto"/>
                <w:sz w:val="24"/>
                <w:szCs w:val="24"/>
                <w:highlight w:val="none"/>
              </w:rPr>
              <w:t>投标人名称</w:t>
            </w:r>
          </w:p>
        </w:tc>
        <w:tc>
          <w:tcPr>
            <w:tcW w:w="5670" w:type="dxa"/>
            <w:vAlign w:val="center"/>
          </w:tcPr>
          <w:p w14:paraId="7B582B9E">
            <w:pPr>
              <w:widowControl w:val="0"/>
              <w:autoSpaceDE w:val="0"/>
              <w:autoSpaceDN w:val="0"/>
              <w:snapToGrid w:val="0"/>
              <w:spacing w:line="240" w:lineRule="auto"/>
              <w:jc w:val="left"/>
              <w:textAlignment w:val="auto"/>
              <w:rPr>
                <w:rFonts w:ascii="宋体" w:cs="宋体"/>
                <w:color w:val="auto"/>
                <w:sz w:val="24"/>
                <w:szCs w:val="24"/>
                <w:highlight w:val="none"/>
              </w:rPr>
            </w:pPr>
            <w:r>
              <w:rPr>
                <w:rFonts w:hint="eastAsia" w:ascii="宋体" w:hAnsi="宋体" w:cs="宋体"/>
                <w:color w:val="auto"/>
                <w:sz w:val="24"/>
                <w:szCs w:val="24"/>
                <w:highlight w:val="none"/>
              </w:rPr>
              <w:t>与营业执照证等证照及签章一致</w:t>
            </w:r>
          </w:p>
        </w:tc>
      </w:tr>
      <w:tr w14:paraId="0847A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817" w:type="dxa"/>
            <w:vMerge w:val="continue"/>
            <w:vAlign w:val="center"/>
          </w:tcPr>
          <w:p w14:paraId="44DDC220">
            <w:pPr>
              <w:widowControl w:val="0"/>
              <w:autoSpaceDE w:val="0"/>
              <w:autoSpaceDN w:val="0"/>
              <w:adjustRightInd w:val="0"/>
              <w:spacing w:line="360" w:lineRule="auto"/>
              <w:rPr>
                <w:rFonts w:ascii="黑体" w:hAnsi="黑体" w:eastAsia="黑体" w:cs="楷体_GB2312"/>
                <w:bCs/>
                <w:color w:val="auto"/>
                <w:sz w:val="24"/>
                <w:szCs w:val="24"/>
                <w:highlight w:val="none"/>
                <w:lang w:val="zh-CN"/>
              </w:rPr>
            </w:pPr>
          </w:p>
        </w:tc>
        <w:tc>
          <w:tcPr>
            <w:tcW w:w="567" w:type="dxa"/>
            <w:vMerge w:val="continue"/>
            <w:vAlign w:val="center"/>
          </w:tcPr>
          <w:p w14:paraId="7177F91F">
            <w:pPr>
              <w:widowControl w:val="0"/>
              <w:autoSpaceDE w:val="0"/>
              <w:autoSpaceDN w:val="0"/>
              <w:adjustRightInd w:val="0"/>
              <w:spacing w:line="360" w:lineRule="auto"/>
              <w:rPr>
                <w:rFonts w:ascii="黑体" w:hAnsi="黑体" w:eastAsia="黑体" w:cs="楷体_GB2312"/>
                <w:bCs/>
                <w:color w:val="auto"/>
                <w:sz w:val="24"/>
                <w:szCs w:val="24"/>
                <w:highlight w:val="none"/>
                <w:lang w:val="zh-CN"/>
              </w:rPr>
            </w:pPr>
          </w:p>
        </w:tc>
        <w:tc>
          <w:tcPr>
            <w:tcW w:w="1134" w:type="dxa"/>
            <w:vMerge w:val="continue"/>
            <w:vAlign w:val="center"/>
          </w:tcPr>
          <w:p w14:paraId="3B62CA7F">
            <w:pPr>
              <w:widowControl w:val="0"/>
              <w:autoSpaceDE w:val="0"/>
              <w:autoSpaceDN w:val="0"/>
              <w:adjustRightInd w:val="0"/>
              <w:spacing w:line="360" w:lineRule="auto"/>
              <w:rPr>
                <w:rFonts w:ascii="黑体" w:hAnsi="黑体" w:eastAsia="黑体" w:cs="楷体_GB2312"/>
                <w:bCs/>
                <w:color w:val="auto"/>
                <w:sz w:val="24"/>
                <w:szCs w:val="24"/>
                <w:highlight w:val="none"/>
                <w:lang w:val="zh-CN"/>
              </w:rPr>
            </w:pPr>
          </w:p>
        </w:tc>
        <w:tc>
          <w:tcPr>
            <w:tcW w:w="1701" w:type="dxa"/>
            <w:vAlign w:val="center"/>
          </w:tcPr>
          <w:p w14:paraId="75A83EBC">
            <w:pPr>
              <w:widowControl w:val="0"/>
              <w:autoSpaceDE w:val="0"/>
              <w:autoSpaceDN w:val="0"/>
              <w:snapToGrid w:val="0"/>
              <w:spacing w:line="240" w:lineRule="auto"/>
              <w:textAlignment w:val="auto"/>
              <w:rPr>
                <w:rFonts w:ascii="宋体" w:cs="宋体"/>
                <w:color w:val="auto"/>
                <w:sz w:val="24"/>
                <w:szCs w:val="24"/>
                <w:highlight w:val="none"/>
              </w:rPr>
            </w:pPr>
            <w:r>
              <w:rPr>
                <w:rFonts w:hint="eastAsia" w:ascii="宋体" w:hAnsi="宋体" w:cs="宋体"/>
                <w:color w:val="auto"/>
                <w:sz w:val="24"/>
                <w:szCs w:val="24"/>
                <w:highlight w:val="none"/>
              </w:rPr>
              <w:t>签字或盖章</w:t>
            </w:r>
          </w:p>
        </w:tc>
        <w:tc>
          <w:tcPr>
            <w:tcW w:w="5670" w:type="dxa"/>
            <w:vAlign w:val="center"/>
          </w:tcPr>
          <w:p w14:paraId="664542A1">
            <w:pPr>
              <w:widowControl w:val="0"/>
              <w:autoSpaceDE w:val="0"/>
              <w:autoSpaceDN w:val="0"/>
              <w:snapToGrid w:val="0"/>
              <w:spacing w:line="240" w:lineRule="auto"/>
              <w:jc w:val="left"/>
              <w:textAlignment w:val="auto"/>
              <w:rPr>
                <w:rFonts w:ascii="宋体" w:cs="宋体"/>
                <w:color w:val="auto"/>
                <w:sz w:val="24"/>
                <w:szCs w:val="24"/>
                <w:highlight w:val="none"/>
              </w:rPr>
            </w:pPr>
            <w:r>
              <w:rPr>
                <w:rFonts w:hint="eastAsia" w:ascii="宋体" w:hAnsi="宋体" w:cs="宋体"/>
                <w:color w:val="auto"/>
                <w:sz w:val="24"/>
                <w:szCs w:val="24"/>
                <w:highlight w:val="none"/>
              </w:rPr>
              <w:t>符合第三章“投标人须知”</w:t>
            </w:r>
            <w:r>
              <w:rPr>
                <w:rFonts w:ascii="宋体" w:hAnsi="宋体" w:cs="宋体"/>
                <w:color w:val="auto"/>
                <w:sz w:val="24"/>
                <w:szCs w:val="24"/>
                <w:highlight w:val="none"/>
              </w:rPr>
              <w:t>3.7.</w:t>
            </w:r>
            <w:r>
              <w:rPr>
                <w:rFonts w:hint="eastAsia" w:ascii="宋体" w:hAnsi="宋体" w:cs="宋体"/>
                <w:color w:val="auto"/>
                <w:sz w:val="24"/>
                <w:szCs w:val="24"/>
                <w:highlight w:val="none"/>
              </w:rPr>
              <w:t>4项规定</w:t>
            </w:r>
          </w:p>
        </w:tc>
      </w:tr>
      <w:tr w14:paraId="2C83B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17" w:type="dxa"/>
            <w:vMerge w:val="continue"/>
            <w:vAlign w:val="center"/>
          </w:tcPr>
          <w:p w14:paraId="30C7E401">
            <w:pPr>
              <w:widowControl w:val="0"/>
              <w:autoSpaceDE w:val="0"/>
              <w:autoSpaceDN w:val="0"/>
              <w:adjustRightInd w:val="0"/>
              <w:spacing w:line="360" w:lineRule="auto"/>
              <w:rPr>
                <w:rFonts w:ascii="黑体" w:hAnsi="黑体" w:eastAsia="黑体" w:cs="楷体_GB2312"/>
                <w:bCs/>
                <w:color w:val="auto"/>
                <w:sz w:val="24"/>
                <w:szCs w:val="24"/>
                <w:highlight w:val="none"/>
                <w:lang w:val="zh-CN"/>
              </w:rPr>
            </w:pPr>
          </w:p>
        </w:tc>
        <w:tc>
          <w:tcPr>
            <w:tcW w:w="567" w:type="dxa"/>
            <w:vMerge w:val="continue"/>
            <w:vAlign w:val="center"/>
          </w:tcPr>
          <w:p w14:paraId="302B5687">
            <w:pPr>
              <w:widowControl w:val="0"/>
              <w:autoSpaceDE w:val="0"/>
              <w:autoSpaceDN w:val="0"/>
              <w:adjustRightInd w:val="0"/>
              <w:spacing w:line="360" w:lineRule="auto"/>
              <w:rPr>
                <w:rFonts w:ascii="黑体" w:hAnsi="黑体" w:eastAsia="黑体" w:cs="楷体_GB2312"/>
                <w:bCs/>
                <w:color w:val="auto"/>
                <w:sz w:val="24"/>
                <w:szCs w:val="24"/>
                <w:highlight w:val="none"/>
                <w:lang w:val="zh-CN"/>
              </w:rPr>
            </w:pPr>
          </w:p>
        </w:tc>
        <w:tc>
          <w:tcPr>
            <w:tcW w:w="1134" w:type="dxa"/>
            <w:vAlign w:val="center"/>
          </w:tcPr>
          <w:p w14:paraId="5CD153D5">
            <w:pPr>
              <w:widowControl w:val="0"/>
              <w:autoSpaceDE w:val="0"/>
              <w:autoSpaceDN w:val="0"/>
              <w:snapToGrid w:val="0"/>
              <w:spacing w:line="240" w:lineRule="auto"/>
              <w:textAlignment w:val="auto"/>
              <w:rPr>
                <w:rFonts w:ascii="宋体" w:cs="宋体"/>
                <w:color w:val="auto"/>
                <w:sz w:val="24"/>
                <w:szCs w:val="24"/>
                <w:highlight w:val="none"/>
              </w:rPr>
            </w:pPr>
            <w:r>
              <w:rPr>
                <w:rFonts w:hint="eastAsia" w:ascii="宋体" w:hAnsi="宋体" w:cs="宋体"/>
                <w:color w:val="auto"/>
                <w:sz w:val="24"/>
                <w:szCs w:val="24"/>
                <w:highlight w:val="none"/>
              </w:rPr>
              <w:t>完整性</w:t>
            </w:r>
          </w:p>
        </w:tc>
        <w:tc>
          <w:tcPr>
            <w:tcW w:w="1701" w:type="dxa"/>
            <w:vAlign w:val="center"/>
          </w:tcPr>
          <w:p w14:paraId="237C4B2F">
            <w:pPr>
              <w:widowControl w:val="0"/>
              <w:autoSpaceDE w:val="0"/>
              <w:autoSpaceDN w:val="0"/>
              <w:snapToGrid w:val="0"/>
              <w:spacing w:line="240" w:lineRule="auto"/>
              <w:textAlignment w:val="auto"/>
              <w:rPr>
                <w:rFonts w:ascii="宋体" w:cs="宋体"/>
                <w:color w:val="auto"/>
                <w:sz w:val="24"/>
                <w:szCs w:val="24"/>
                <w:highlight w:val="none"/>
              </w:rPr>
            </w:pPr>
            <w:r>
              <w:rPr>
                <w:rFonts w:hint="eastAsia" w:ascii="宋体" w:hAnsi="宋体" w:cs="宋体"/>
                <w:color w:val="auto"/>
                <w:sz w:val="24"/>
                <w:szCs w:val="24"/>
                <w:highlight w:val="none"/>
              </w:rPr>
              <w:t>投标文件组成</w:t>
            </w:r>
          </w:p>
        </w:tc>
        <w:tc>
          <w:tcPr>
            <w:tcW w:w="5670" w:type="dxa"/>
            <w:vAlign w:val="center"/>
          </w:tcPr>
          <w:p w14:paraId="28DDEC15">
            <w:pPr>
              <w:widowControl w:val="0"/>
              <w:autoSpaceDE w:val="0"/>
              <w:autoSpaceDN w:val="0"/>
              <w:snapToGrid w:val="0"/>
              <w:spacing w:line="240" w:lineRule="auto"/>
              <w:jc w:val="left"/>
              <w:textAlignment w:val="auto"/>
              <w:rPr>
                <w:rFonts w:ascii="宋体" w:cs="宋体"/>
                <w:color w:val="auto"/>
                <w:sz w:val="24"/>
                <w:szCs w:val="24"/>
                <w:highlight w:val="none"/>
              </w:rPr>
            </w:pPr>
            <w:r>
              <w:rPr>
                <w:rFonts w:hint="eastAsia" w:ascii="宋体" w:hAnsi="宋体" w:cs="宋体"/>
                <w:color w:val="auto"/>
                <w:sz w:val="24"/>
                <w:szCs w:val="24"/>
                <w:highlight w:val="none"/>
              </w:rPr>
              <w:t>符合第三章“投标人须知”</w:t>
            </w:r>
            <w:r>
              <w:rPr>
                <w:rFonts w:ascii="宋体" w:hAnsi="宋体" w:cs="宋体"/>
                <w:color w:val="auto"/>
                <w:sz w:val="24"/>
                <w:szCs w:val="24"/>
                <w:highlight w:val="none"/>
              </w:rPr>
              <w:t>3.2</w:t>
            </w:r>
            <w:r>
              <w:rPr>
                <w:rFonts w:hint="eastAsia" w:ascii="宋体" w:hAnsi="宋体" w:cs="宋体"/>
                <w:color w:val="auto"/>
                <w:sz w:val="24"/>
                <w:szCs w:val="24"/>
                <w:highlight w:val="none"/>
              </w:rPr>
              <w:t>款规定</w:t>
            </w:r>
          </w:p>
        </w:tc>
      </w:tr>
      <w:tr w14:paraId="68603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17" w:type="dxa"/>
            <w:vMerge w:val="continue"/>
            <w:vAlign w:val="center"/>
          </w:tcPr>
          <w:p w14:paraId="0258159A">
            <w:pPr>
              <w:widowControl w:val="0"/>
              <w:autoSpaceDE w:val="0"/>
              <w:autoSpaceDN w:val="0"/>
              <w:adjustRightInd w:val="0"/>
              <w:spacing w:line="360" w:lineRule="auto"/>
              <w:rPr>
                <w:rFonts w:ascii="黑体" w:hAnsi="黑体" w:eastAsia="黑体" w:cs="楷体_GB2312"/>
                <w:bCs/>
                <w:color w:val="auto"/>
                <w:sz w:val="24"/>
                <w:szCs w:val="24"/>
                <w:highlight w:val="none"/>
                <w:lang w:val="zh-CN"/>
              </w:rPr>
            </w:pPr>
          </w:p>
        </w:tc>
        <w:tc>
          <w:tcPr>
            <w:tcW w:w="567" w:type="dxa"/>
            <w:vMerge w:val="continue"/>
            <w:vAlign w:val="center"/>
          </w:tcPr>
          <w:p w14:paraId="1CD6C8E0">
            <w:pPr>
              <w:widowControl w:val="0"/>
              <w:autoSpaceDE w:val="0"/>
              <w:autoSpaceDN w:val="0"/>
              <w:adjustRightInd w:val="0"/>
              <w:spacing w:line="360" w:lineRule="auto"/>
              <w:rPr>
                <w:rFonts w:ascii="黑体" w:hAnsi="黑体" w:eastAsia="黑体" w:cs="楷体_GB2312"/>
                <w:bCs/>
                <w:color w:val="auto"/>
                <w:sz w:val="24"/>
                <w:szCs w:val="24"/>
                <w:highlight w:val="none"/>
                <w:lang w:val="zh-CN"/>
              </w:rPr>
            </w:pPr>
          </w:p>
        </w:tc>
        <w:tc>
          <w:tcPr>
            <w:tcW w:w="1134" w:type="dxa"/>
            <w:vMerge w:val="restart"/>
            <w:vAlign w:val="center"/>
          </w:tcPr>
          <w:p w14:paraId="1A66C6F1">
            <w:pPr>
              <w:widowControl w:val="0"/>
              <w:autoSpaceDE w:val="0"/>
              <w:autoSpaceDN w:val="0"/>
              <w:adjustRightInd w:val="0"/>
              <w:spacing w:line="360" w:lineRule="auto"/>
              <w:rPr>
                <w:rFonts w:hAnsi="宋体"/>
                <w:color w:val="auto"/>
                <w:sz w:val="24"/>
                <w:szCs w:val="24"/>
                <w:highlight w:val="none"/>
              </w:rPr>
            </w:pPr>
            <w:r>
              <w:rPr>
                <w:rFonts w:hint="eastAsia" w:hAnsi="宋体"/>
                <w:color w:val="auto"/>
                <w:sz w:val="24"/>
                <w:szCs w:val="24"/>
                <w:highlight w:val="none"/>
              </w:rPr>
              <w:t>响应</w:t>
            </w:r>
          </w:p>
          <w:p w14:paraId="1478B7B4">
            <w:pPr>
              <w:widowControl w:val="0"/>
              <w:autoSpaceDE w:val="0"/>
              <w:autoSpaceDN w:val="0"/>
              <w:adjustRightInd w:val="0"/>
              <w:spacing w:line="360" w:lineRule="auto"/>
              <w:rPr>
                <w:rFonts w:ascii="黑体" w:hAnsi="黑体" w:eastAsia="黑体" w:cs="楷体_GB2312"/>
                <w:bCs/>
                <w:color w:val="auto"/>
                <w:sz w:val="24"/>
                <w:szCs w:val="24"/>
                <w:highlight w:val="none"/>
                <w:lang w:val="zh-CN"/>
              </w:rPr>
            </w:pPr>
            <w:r>
              <w:rPr>
                <w:rFonts w:hint="eastAsia" w:hAnsi="宋体"/>
                <w:color w:val="auto"/>
                <w:sz w:val="24"/>
                <w:szCs w:val="24"/>
                <w:highlight w:val="none"/>
              </w:rPr>
              <w:t>程度</w:t>
            </w:r>
          </w:p>
        </w:tc>
        <w:tc>
          <w:tcPr>
            <w:tcW w:w="1701" w:type="dxa"/>
            <w:vAlign w:val="center"/>
          </w:tcPr>
          <w:p w14:paraId="068F8D06">
            <w:pPr>
              <w:widowControl w:val="0"/>
              <w:autoSpaceDE w:val="0"/>
              <w:autoSpaceDN w:val="0"/>
              <w:snapToGrid w:val="0"/>
              <w:spacing w:line="240" w:lineRule="auto"/>
              <w:textAlignment w:val="auto"/>
              <w:rPr>
                <w:rFonts w:ascii="宋体" w:cs="宋体"/>
                <w:color w:val="auto"/>
                <w:sz w:val="24"/>
                <w:szCs w:val="24"/>
                <w:highlight w:val="none"/>
              </w:rPr>
            </w:pPr>
            <w:r>
              <w:rPr>
                <w:rFonts w:hint="eastAsia" w:ascii="宋体" w:hAnsi="宋体" w:cs="宋体"/>
                <w:color w:val="auto"/>
                <w:sz w:val="24"/>
                <w:szCs w:val="24"/>
                <w:highlight w:val="none"/>
              </w:rPr>
              <w:t>投标报价</w:t>
            </w:r>
          </w:p>
        </w:tc>
        <w:tc>
          <w:tcPr>
            <w:tcW w:w="5670" w:type="dxa"/>
            <w:vAlign w:val="center"/>
          </w:tcPr>
          <w:p w14:paraId="4ED42E2C">
            <w:pPr>
              <w:widowControl w:val="0"/>
              <w:autoSpaceDE w:val="0"/>
              <w:autoSpaceDN w:val="0"/>
              <w:snapToGrid w:val="0"/>
              <w:spacing w:line="240" w:lineRule="auto"/>
              <w:jc w:val="left"/>
              <w:textAlignment w:val="auto"/>
              <w:rPr>
                <w:rFonts w:ascii="宋体" w:cs="宋体"/>
                <w:color w:val="auto"/>
                <w:sz w:val="24"/>
                <w:szCs w:val="24"/>
                <w:highlight w:val="none"/>
              </w:rPr>
            </w:pPr>
            <w:r>
              <w:rPr>
                <w:rFonts w:hint="eastAsia" w:ascii="宋体" w:hAnsi="宋体" w:cs="宋体"/>
                <w:color w:val="auto"/>
                <w:sz w:val="24"/>
                <w:szCs w:val="24"/>
                <w:highlight w:val="none"/>
              </w:rPr>
              <w:t>符合第二章“招标项目要求及采购需求”</w:t>
            </w:r>
            <w:r>
              <w:rPr>
                <w:rFonts w:ascii="宋体" w:hAnsi="宋体" w:cs="宋体"/>
                <w:color w:val="auto"/>
                <w:sz w:val="24"/>
                <w:szCs w:val="24"/>
                <w:highlight w:val="none"/>
              </w:rPr>
              <w:t>1.3</w:t>
            </w:r>
            <w:r>
              <w:rPr>
                <w:rFonts w:hint="eastAsia" w:ascii="宋体" w:hAnsi="宋体" w:cs="宋体"/>
                <w:color w:val="auto"/>
                <w:sz w:val="24"/>
                <w:szCs w:val="24"/>
                <w:highlight w:val="none"/>
              </w:rPr>
              <w:t>款规定</w:t>
            </w:r>
          </w:p>
        </w:tc>
      </w:tr>
      <w:tr w14:paraId="325F9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17" w:type="dxa"/>
            <w:vMerge w:val="continue"/>
            <w:vAlign w:val="center"/>
          </w:tcPr>
          <w:p w14:paraId="1CFAF950">
            <w:pPr>
              <w:widowControl w:val="0"/>
              <w:autoSpaceDE w:val="0"/>
              <w:autoSpaceDN w:val="0"/>
              <w:adjustRightInd w:val="0"/>
              <w:spacing w:line="360" w:lineRule="auto"/>
              <w:rPr>
                <w:rFonts w:ascii="黑体" w:hAnsi="黑体" w:eastAsia="黑体" w:cs="楷体_GB2312"/>
                <w:bCs/>
                <w:color w:val="auto"/>
                <w:sz w:val="24"/>
                <w:szCs w:val="24"/>
                <w:highlight w:val="none"/>
                <w:lang w:val="zh-CN"/>
              </w:rPr>
            </w:pPr>
          </w:p>
        </w:tc>
        <w:tc>
          <w:tcPr>
            <w:tcW w:w="567" w:type="dxa"/>
            <w:vMerge w:val="continue"/>
            <w:vAlign w:val="center"/>
          </w:tcPr>
          <w:p w14:paraId="44AEDF99">
            <w:pPr>
              <w:widowControl w:val="0"/>
              <w:autoSpaceDE w:val="0"/>
              <w:autoSpaceDN w:val="0"/>
              <w:adjustRightInd w:val="0"/>
              <w:spacing w:line="360" w:lineRule="auto"/>
              <w:rPr>
                <w:rFonts w:ascii="黑体" w:hAnsi="黑体" w:eastAsia="黑体" w:cs="楷体_GB2312"/>
                <w:bCs/>
                <w:color w:val="auto"/>
                <w:sz w:val="24"/>
                <w:szCs w:val="24"/>
                <w:highlight w:val="none"/>
                <w:lang w:val="zh-CN"/>
              </w:rPr>
            </w:pPr>
          </w:p>
        </w:tc>
        <w:tc>
          <w:tcPr>
            <w:tcW w:w="1134" w:type="dxa"/>
            <w:vMerge w:val="continue"/>
            <w:vAlign w:val="center"/>
          </w:tcPr>
          <w:p w14:paraId="05229325">
            <w:pPr>
              <w:widowControl w:val="0"/>
              <w:autoSpaceDE w:val="0"/>
              <w:autoSpaceDN w:val="0"/>
              <w:adjustRightInd w:val="0"/>
              <w:spacing w:line="360" w:lineRule="auto"/>
              <w:rPr>
                <w:rFonts w:ascii="黑体" w:hAnsi="黑体" w:eastAsia="黑体" w:cs="楷体_GB2312"/>
                <w:bCs/>
                <w:color w:val="auto"/>
                <w:sz w:val="24"/>
                <w:szCs w:val="24"/>
                <w:highlight w:val="none"/>
                <w:lang w:val="zh-CN"/>
              </w:rPr>
            </w:pPr>
          </w:p>
        </w:tc>
        <w:tc>
          <w:tcPr>
            <w:tcW w:w="1701" w:type="dxa"/>
            <w:vAlign w:val="center"/>
          </w:tcPr>
          <w:p w14:paraId="26506A1D">
            <w:pPr>
              <w:widowControl w:val="0"/>
              <w:autoSpaceDE w:val="0"/>
              <w:autoSpaceDN w:val="0"/>
              <w:snapToGrid w:val="0"/>
              <w:spacing w:line="240" w:lineRule="auto"/>
              <w:textAlignment w:val="auto"/>
              <w:rPr>
                <w:rFonts w:ascii="宋体" w:cs="宋体"/>
                <w:color w:val="auto"/>
                <w:sz w:val="24"/>
                <w:szCs w:val="24"/>
                <w:highlight w:val="none"/>
              </w:rPr>
            </w:pPr>
            <w:r>
              <w:rPr>
                <w:rFonts w:hint="eastAsia" w:ascii="宋体" w:hAnsi="宋体" w:cs="宋体"/>
                <w:color w:val="auto"/>
                <w:sz w:val="24"/>
                <w:szCs w:val="24"/>
                <w:highlight w:val="none"/>
              </w:rPr>
              <w:t>投标内容</w:t>
            </w:r>
          </w:p>
        </w:tc>
        <w:tc>
          <w:tcPr>
            <w:tcW w:w="5670" w:type="dxa"/>
            <w:vAlign w:val="center"/>
          </w:tcPr>
          <w:p w14:paraId="43A4E4A6">
            <w:pPr>
              <w:widowControl w:val="0"/>
              <w:autoSpaceDE w:val="0"/>
              <w:autoSpaceDN w:val="0"/>
              <w:snapToGrid w:val="0"/>
              <w:spacing w:line="240" w:lineRule="auto"/>
              <w:jc w:val="left"/>
              <w:textAlignment w:val="auto"/>
              <w:rPr>
                <w:rFonts w:ascii="宋体" w:cs="宋体"/>
                <w:color w:val="auto"/>
                <w:sz w:val="24"/>
                <w:szCs w:val="24"/>
                <w:highlight w:val="none"/>
              </w:rPr>
            </w:pPr>
            <w:r>
              <w:rPr>
                <w:rFonts w:hint="eastAsia" w:ascii="宋体" w:hAnsi="宋体" w:cs="宋体"/>
                <w:color w:val="auto"/>
                <w:sz w:val="24"/>
                <w:szCs w:val="24"/>
                <w:highlight w:val="none"/>
              </w:rPr>
              <w:t>符合第二章“招标项目要求及采购需求”第</w:t>
            </w:r>
            <w:r>
              <w:rPr>
                <w:rFonts w:ascii="宋体" w:hAnsi="宋体" w:cs="宋体"/>
                <w:color w:val="auto"/>
                <w:sz w:val="24"/>
                <w:szCs w:val="24"/>
                <w:highlight w:val="none"/>
              </w:rPr>
              <w:t>2</w:t>
            </w:r>
            <w:r>
              <w:rPr>
                <w:rFonts w:hint="eastAsia" w:ascii="宋体" w:hAnsi="宋体" w:cs="宋体"/>
                <w:color w:val="auto"/>
                <w:sz w:val="24"/>
                <w:szCs w:val="24"/>
                <w:highlight w:val="none"/>
              </w:rPr>
              <w:t>条规定</w:t>
            </w:r>
          </w:p>
        </w:tc>
      </w:tr>
      <w:tr w14:paraId="54ED4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17" w:type="dxa"/>
            <w:vMerge w:val="continue"/>
            <w:vAlign w:val="center"/>
          </w:tcPr>
          <w:p w14:paraId="4905133A">
            <w:pPr>
              <w:widowControl w:val="0"/>
              <w:autoSpaceDE w:val="0"/>
              <w:autoSpaceDN w:val="0"/>
              <w:adjustRightInd w:val="0"/>
              <w:spacing w:line="360" w:lineRule="auto"/>
              <w:rPr>
                <w:rFonts w:ascii="黑体" w:hAnsi="黑体" w:eastAsia="黑体" w:cs="楷体_GB2312"/>
                <w:bCs/>
                <w:color w:val="auto"/>
                <w:sz w:val="24"/>
                <w:szCs w:val="24"/>
                <w:highlight w:val="none"/>
                <w:lang w:val="zh-CN"/>
              </w:rPr>
            </w:pPr>
          </w:p>
        </w:tc>
        <w:tc>
          <w:tcPr>
            <w:tcW w:w="567" w:type="dxa"/>
            <w:vMerge w:val="continue"/>
            <w:vAlign w:val="center"/>
          </w:tcPr>
          <w:p w14:paraId="65F2063B">
            <w:pPr>
              <w:widowControl w:val="0"/>
              <w:autoSpaceDE w:val="0"/>
              <w:autoSpaceDN w:val="0"/>
              <w:adjustRightInd w:val="0"/>
              <w:spacing w:line="360" w:lineRule="auto"/>
              <w:rPr>
                <w:rFonts w:ascii="黑体" w:hAnsi="黑体" w:eastAsia="黑体" w:cs="楷体_GB2312"/>
                <w:bCs/>
                <w:color w:val="auto"/>
                <w:sz w:val="24"/>
                <w:szCs w:val="24"/>
                <w:highlight w:val="none"/>
                <w:lang w:val="zh-CN"/>
              </w:rPr>
            </w:pPr>
          </w:p>
        </w:tc>
        <w:tc>
          <w:tcPr>
            <w:tcW w:w="1134" w:type="dxa"/>
            <w:vMerge w:val="continue"/>
            <w:vAlign w:val="center"/>
          </w:tcPr>
          <w:p w14:paraId="49A0BDE3">
            <w:pPr>
              <w:widowControl w:val="0"/>
              <w:autoSpaceDE w:val="0"/>
              <w:autoSpaceDN w:val="0"/>
              <w:adjustRightInd w:val="0"/>
              <w:spacing w:line="360" w:lineRule="auto"/>
              <w:rPr>
                <w:rFonts w:ascii="黑体" w:hAnsi="黑体" w:eastAsia="黑体" w:cs="楷体_GB2312"/>
                <w:bCs/>
                <w:color w:val="auto"/>
                <w:sz w:val="24"/>
                <w:szCs w:val="24"/>
                <w:highlight w:val="none"/>
                <w:lang w:val="zh-CN"/>
              </w:rPr>
            </w:pPr>
          </w:p>
        </w:tc>
        <w:tc>
          <w:tcPr>
            <w:tcW w:w="1701" w:type="dxa"/>
            <w:vAlign w:val="center"/>
          </w:tcPr>
          <w:p w14:paraId="11661E64">
            <w:pPr>
              <w:widowControl w:val="0"/>
              <w:autoSpaceDE w:val="0"/>
              <w:autoSpaceDN w:val="0"/>
              <w:snapToGrid w:val="0"/>
              <w:spacing w:line="240" w:lineRule="auto"/>
              <w:textAlignment w:val="auto"/>
              <w:rPr>
                <w:rFonts w:ascii="宋体" w:cs="宋体"/>
                <w:color w:val="auto"/>
                <w:sz w:val="24"/>
                <w:szCs w:val="24"/>
                <w:highlight w:val="none"/>
              </w:rPr>
            </w:pPr>
            <w:r>
              <w:rPr>
                <w:rFonts w:hint="eastAsia" w:ascii="宋体" w:hAnsi="宋体" w:cs="宋体"/>
                <w:color w:val="auto"/>
                <w:sz w:val="24"/>
                <w:szCs w:val="24"/>
                <w:highlight w:val="none"/>
              </w:rPr>
              <w:t>交付（实施）期、交付（实施）地</w:t>
            </w:r>
          </w:p>
        </w:tc>
        <w:tc>
          <w:tcPr>
            <w:tcW w:w="5670" w:type="dxa"/>
            <w:vAlign w:val="center"/>
          </w:tcPr>
          <w:p w14:paraId="2EE87244">
            <w:pPr>
              <w:widowControl w:val="0"/>
              <w:autoSpaceDE w:val="0"/>
              <w:autoSpaceDN w:val="0"/>
              <w:snapToGrid w:val="0"/>
              <w:spacing w:line="240" w:lineRule="auto"/>
              <w:jc w:val="left"/>
              <w:textAlignment w:val="auto"/>
              <w:rPr>
                <w:rFonts w:ascii="宋体" w:cs="宋体"/>
                <w:color w:val="auto"/>
                <w:sz w:val="24"/>
                <w:szCs w:val="24"/>
                <w:highlight w:val="none"/>
              </w:rPr>
            </w:pPr>
            <w:r>
              <w:rPr>
                <w:rFonts w:hint="eastAsia" w:ascii="宋体" w:hAnsi="宋体" w:cs="宋体"/>
                <w:color w:val="auto"/>
                <w:sz w:val="24"/>
                <w:szCs w:val="24"/>
                <w:highlight w:val="none"/>
              </w:rPr>
              <w:t>符合第二章“招标项目要求及采购需求”</w:t>
            </w:r>
            <w:r>
              <w:rPr>
                <w:rFonts w:ascii="宋体" w:hAnsi="宋体" w:cs="宋体"/>
                <w:color w:val="auto"/>
                <w:sz w:val="24"/>
                <w:szCs w:val="24"/>
                <w:highlight w:val="none"/>
              </w:rPr>
              <w:t>1.2</w:t>
            </w:r>
            <w:r>
              <w:rPr>
                <w:rFonts w:hint="eastAsia" w:ascii="宋体" w:hAnsi="宋体" w:cs="宋体"/>
                <w:color w:val="auto"/>
                <w:sz w:val="24"/>
                <w:szCs w:val="24"/>
                <w:highlight w:val="none"/>
              </w:rPr>
              <w:t>款规定</w:t>
            </w:r>
          </w:p>
        </w:tc>
      </w:tr>
      <w:tr w14:paraId="0D537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17" w:type="dxa"/>
            <w:vMerge w:val="continue"/>
            <w:vAlign w:val="center"/>
          </w:tcPr>
          <w:p w14:paraId="2346F4A6">
            <w:pPr>
              <w:widowControl w:val="0"/>
              <w:autoSpaceDE w:val="0"/>
              <w:autoSpaceDN w:val="0"/>
              <w:adjustRightInd w:val="0"/>
              <w:spacing w:line="360" w:lineRule="auto"/>
              <w:rPr>
                <w:rFonts w:ascii="黑体" w:hAnsi="黑体" w:eastAsia="黑体" w:cs="楷体_GB2312"/>
                <w:bCs/>
                <w:color w:val="auto"/>
                <w:sz w:val="24"/>
                <w:szCs w:val="24"/>
                <w:highlight w:val="none"/>
                <w:lang w:val="zh-CN"/>
              </w:rPr>
            </w:pPr>
          </w:p>
        </w:tc>
        <w:tc>
          <w:tcPr>
            <w:tcW w:w="567" w:type="dxa"/>
            <w:vMerge w:val="continue"/>
            <w:vAlign w:val="center"/>
          </w:tcPr>
          <w:p w14:paraId="0F1ABDD4">
            <w:pPr>
              <w:widowControl w:val="0"/>
              <w:autoSpaceDE w:val="0"/>
              <w:autoSpaceDN w:val="0"/>
              <w:adjustRightInd w:val="0"/>
              <w:spacing w:line="360" w:lineRule="auto"/>
              <w:rPr>
                <w:rFonts w:ascii="黑体" w:hAnsi="黑体" w:eastAsia="黑体" w:cs="楷体_GB2312"/>
                <w:bCs/>
                <w:color w:val="auto"/>
                <w:sz w:val="24"/>
                <w:szCs w:val="24"/>
                <w:highlight w:val="none"/>
                <w:lang w:val="zh-CN"/>
              </w:rPr>
            </w:pPr>
          </w:p>
        </w:tc>
        <w:tc>
          <w:tcPr>
            <w:tcW w:w="1134" w:type="dxa"/>
            <w:vMerge w:val="continue"/>
            <w:vAlign w:val="center"/>
          </w:tcPr>
          <w:p w14:paraId="13F61464">
            <w:pPr>
              <w:widowControl w:val="0"/>
              <w:autoSpaceDE w:val="0"/>
              <w:autoSpaceDN w:val="0"/>
              <w:adjustRightInd w:val="0"/>
              <w:spacing w:line="360" w:lineRule="auto"/>
              <w:rPr>
                <w:rFonts w:ascii="黑体" w:hAnsi="黑体" w:eastAsia="黑体" w:cs="楷体_GB2312"/>
                <w:bCs/>
                <w:color w:val="auto"/>
                <w:sz w:val="24"/>
                <w:szCs w:val="24"/>
                <w:highlight w:val="none"/>
                <w:lang w:val="zh-CN"/>
              </w:rPr>
            </w:pPr>
          </w:p>
        </w:tc>
        <w:tc>
          <w:tcPr>
            <w:tcW w:w="1701" w:type="dxa"/>
            <w:vAlign w:val="center"/>
          </w:tcPr>
          <w:p w14:paraId="7F34F94C">
            <w:pPr>
              <w:widowControl w:val="0"/>
              <w:autoSpaceDE w:val="0"/>
              <w:autoSpaceDN w:val="0"/>
              <w:snapToGrid w:val="0"/>
              <w:spacing w:line="240" w:lineRule="auto"/>
              <w:textAlignment w:val="auto"/>
              <w:rPr>
                <w:rFonts w:ascii="宋体" w:cs="宋体"/>
                <w:color w:val="auto"/>
                <w:sz w:val="24"/>
                <w:szCs w:val="24"/>
                <w:highlight w:val="none"/>
              </w:rPr>
            </w:pPr>
            <w:r>
              <w:rPr>
                <w:rFonts w:hint="eastAsia" w:ascii="宋体" w:hAnsi="宋体" w:cs="宋体"/>
                <w:color w:val="auto"/>
                <w:sz w:val="24"/>
                <w:szCs w:val="24"/>
                <w:highlight w:val="none"/>
              </w:rPr>
              <w:t>技术要求</w:t>
            </w:r>
          </w:p>
        </w:tc>
        <w:tc>
          <w:tcPr>
            <w:tcW w:w="5670" w:type="dxa"/>
            <w:vAlign w:val="center"/>
          </w:tcPr>
          <w:p w14:paraId="0D43E61D">
            <w:pPr>
              <w:widowControl w:val="0"/>
              <w:autoSpaceDE w:val="0"/>
              <w:autoSpaceDN w:val="0"/>
              <w:snapToGrid w:val="0"/>
              <w:spacing w:line="240" w:lineRule="auto"/>
              <w:jc w:val="left"/>
              <w:textAlignment w:val="auto"/>
              <w:rPr>
                <w:rFonts w:ascii="宋体" w:cs="宋体"/>
                <w:color w:val="auto"/>
                <w:sz w:val="24"/>
                <w:szCs w:val="24"/>
                <w:highlight w:val="none"/>
              </w:rPr>
            </w:pPr>
            <w:r>
              <w:rPr>
                <w:rFonts w:hint="eastAsia" w:ascii="宋体" w:hAnsi="宋体" w:cs="宋体"/>
                <w:color w:val="auto"/>
                <w:sz w:val="24"/>
                <w:szCs w:val="24"/>
                <w:highlight w:val="none"/>
              </w:rPr>
              <w:t>符合第二章“招标项目要求及采购需求”第</w:t>
            </w:r>
            <w:r>
              <w:rPr>
                <w:rFonts w:ascii="宋体" w:hAnsi="宋体" w:cs="宋体"/>
                <w:color w:val="auto"/>
                <w:sz w:val="24"/>
                <w:szCs w:val="24"/>
                <w:highlight w:val="none"/>
              </w:rPr>
              <w:t>2</w:t>
            </w:r>
            <w:r>
              <w:rPr>
                <w:rFonts w:hint="eastAsia" w:ascii="宋体" w:hAnsi="宋体" w:cs="宋体"/>
                <w:color w:val="auto"/>
                <w:sz w:val="24"/>
                <w:szCs w:val="24"/>
                <w:highlight w:val="none"/>
              </w:rPr>
              <w:t>条规定。</w:t>
            </w:r>
          </w:p>
        </w:tc>
      </w:tr>
      <w:tr w14:paraId="74DDC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17" w:type="dxa"/>
            <w:vMerge w:val="continue"/>
            <w:vAlign w:val="center"/>
          </w:tcPr>
          <w:p w14:paraId="0E0D4754">
            <w:pPr>
              <w:widowControl w:val="0"/>
              <w:autoSpaceDE w:val="0"/>
              <w:autoSpaceDN w:val="0"/>
              <w:adjustRightInd w:val="0"/>
              <w:spacing w:line="360" w:lineRule="auto"/>
              <w:rPr>
                <w:rFonts w:ascii="黑体" w:hAnsi="黑体" w:eastAsia="黑体" w:cs="楷体_GB2312"/>
                <w:bCs/>
                <w:color w:val="auto"/>
                <w:sz w:val="24"/>
                <w:szCs w:val="24"/>
                <w:highlight w:val="none"/>
                <w:lang w:val="zh-CN"/>
              </w:rPr>
            </w:pPr>
          </w:p>
        </w:tc>
        <w:tc>
          <w:tcPr>
            <w:tcW w:w="567" w:type="dxa"/>
            <w:vMerge w:val="continue"/>
            <w:vAlign w:val="center"/>
          </w:tcPr>
          <w:p w14:paraId="260B1C87">
            <w:pPr>
              <w:widowControl w:val="0"/>
              <w:autoSpaceDE w:val="0"/>
              <w:autoSpaceDN w:val="0"/>
              <w:adjustRightInd w:val="0"/>
              <w:spacing w:line="360" w:lineRule="auto"/>
              <w:rPr>
                <w:rFonts w:ascii="黑体" w:hAnsi="黑体" w:eastAsia="黑体" w:cs="楷体_GB2312"/>
                <w:bCs/>
                <w:color w:val="auto"/>
                <w:sz w:val="24"/>
                <w:szCs w:val="24"/>
                <w:highlight w:val="none"/>
                <w:lang w:val="zh-CN"/>
              </w:rPr>
            </w:pPr>
          </w:p>
        </w:tc>
        <w:tc>
          <w:tcPr>
            <w:tcW w:w="1134" w:type="dxa"/>
            <w:vMerge w:val="continue"/>
            <w:vAlign w:val="center"/>
          </w:tcPr>
          <w:p w14:paraId="0A3B84E5">
            <w:pPr>
              <w:widowControl w:val="0"/>
              <w:autoSpaceDE w:val="0"/>
              <w:autoSpaceDN w:val="0"/>
              <w:adjustRightInd w:val="0"/>
              <w:spacing w:line="360" w:lineRule="auto"/>
              <w:rPr>
                <w:rFonts w:ascii="黑体" w:hAnsi="黑体" w:eastAsia="黑体" w:cs="楷体_GB2312"/>
                <w:bCs/>
                <w:color w:val="auto"/>
                <w:sz w:val="24"/>
                <w:szCs w:val="24"/>
                <w:highlight w:val="none"/>
                <w:lang w:val="zh-CN"/>
              </w:rPr>
            </w:pPr>
          </w:p>
        </w:tc>
        <w:tc>
          <w:tcPr>
            <w:tcW w:w="1701" w:type="dxa"/>
            <w:vAlign w:val="center"/>
          </w:tcPr>
          <w:p w14:paraId="6E74FA40">
            <w:pPr>
              <w:widowControl w:val="0"/>
              <w:autoSpaceDE w:val="0"/>
              <w:autoSpaceDN w:val="0"/>
              <w:snapToGrid w:val="0"/>
              <w:spacing w:line="240" w:lineRule="auto"/>
              <w:textAlignment w:val="auto"/>
              <w:rPr>
                <w:rFonts w:ascii="宋体" w:cs="宋体"/>
                <w:color w:val="auto"/>
                <w:sz w:val="24"/>
                <w:szCs w:val="24"/>
                <w:highlight w:val="none"/>
              </w:rPr>
            </w:pPr>
            <w:r>
              <w:rPr>
                <w:rFonts w:hint="eastAsia" w:ascii="宋体" w:hAnsi="宋体" w:cs="宋体"/>
                <w:color w:val="auto"/>
                <w:sz w:val="24"/>
                <w:szCs w:val="24"/>
                <w:highlight w:val="none"/>
              </w:rPr>
              <w:t>售后服务</w:t>
            </w:r>
          </w:p>
        </w:tc>
        <w:tc>
          <w:tcPr>
            <w:tcW w:w="5670" w:type="dxa"/>
            <w:vAlign w:val="center"/>
          </w:tcPr>
          <w:p w14:paraId="05578C7C">
            <w:pPr>
              <w:widowControl w:val="0"/>
              <w:autoSpaceDE w:val="0"/>
              <w:autoSpaceDN w:val="0"/>
              <w:snapToGrid w:val="0"/>
              <w:spacing w:line="240" w:lineRule="auto"/>
              <w:jc w:val="left"/>
              <w:textAlignment w:val="auto"/>
              <w:rPr>
                <w:rFonts w:ascii="宋体" w:cs="宋体"/>
                <w:color w:val="auto"/>
                <w:sz w:val="24"/>
                <w:szCs w:val="24"/>
                <w:highlight w:val="none"/>
              </w:rPr>
            </w:pPr>
            <w:r>
              <w:rPr>
                <w:rFonts w:hint="eastAsia" w:ascii="宋体" w:hAnsi="宋体" w:cs="宋体"/>
                <w:color w:val="auto"/>
                <w:sz w:val="24"/>
                <w:szCs w:val="24"/>
                <w:highlight w:val="none"/>
              </w:rPr>
              <w:t>符合第二章“招标项目要求及采购需求”</w:t>
            </w:r>
            <w:r>
              <w:rPr>
                <w:rFonts w:ascii="宋体" w:hAnsi="宋体" w:cs="宋体"/>
                <w:color w:val="auto"/>
                <w:sz w:val="24"/>
                <w:szCs w:val="24"/>
                <w:highlight w:val="none"/>
              </w:rPr>
              <w:t xml:space="preserve"> 2.</w:t>
            </w:r>
            <w:r>
              <w:rPr>
                <w:rFonts w:hint="eastAsia" w:ascii="宋体" w:hAnsi="宋体" w:cs="宋体"/>
                <w:color w:val="auto"/>
                <w:sz w:val="24"/>
                <w:szCs w:val="24"/>
                <w:highlight w:val="none"/>
              </w:rPr>
              <w:t>8款规定</w:t>
            </w:r>
          </w:p>
        </w:tc>
      </w:tr>
      <w:tr w14:paraId="0ABC3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17" w:type="dxa"/>
            <w:vMerge w:val="continue"/>
            <w:vAlign w:val="center"/>
          </w:tcPr>
          <w:p w14:paraId="3BBD1111">
            <w:pPr>
              <w:widowControl w:val="0"/>
              <w:autoSpaceDE w:val="0"/>
              <w:autoSpaceDN w:val="0"/>
              <w:adjustRightInd w:val="0"/>
              <w:spacing w:line="360" w:lineRule="auto"/>
              <w:rPr>
                <w:rFonts w:ascii="黑体" w:hAnsi="黑体" w:eastAsia="黑体" w:cs="楷体_GB2312"/>
                <w:bCs/>
                <w:color w:val="auto"/>
                <w:sz w:val="24"/>
                <w:szCs w:val="24"/>
                <w:highlight w:val="none"/>
                <w:lang w:val="zh-CN"/>
              </w:rPr>
            </w:pPr>
          </w:p>
        </w:tc>
        <w:tc>
          <w:tcPr>
            <w:tcW w:w="567" w:type="dxa"/>
            <w:vMerge w:val="continue"/>
            <w:vAlign w:val="center"/>
          </w:tcPr>
          <w:p w14:paraId="4E8D8BD8">
            <w:pPr>
              <w:widowControl w:val="0"/>
              <w:autoSpaceDE w:val="0"/>
              <w:autoSpaceDN w:val="0"/>
              <w:adjustRightInd w:val="0"/>
              <w:spacing w:line="360" w:lineRule="auto"/>
              <w:rPr>
                <w:rFonts w:ascii="黑体" w:hAnsi="黑体" w:eastAsia="黑体" w:cs="楷体_GB2312"/>
                <w:bCs/>
                <w:color w:val="auto"/>
                <w:sz w:val="24"/>
                <w:szCs w:val="24"/>
                <w:highlight w:val="none"/>
                <w:lang w:val="zh-CN"/>
              </w:rPr>
            </w:pPr>
          </w:p>
        </w:tc>
        <w:tc>
          <w:tcPr>
            <w:tcW w:w="1134" w:type="dxa"/>
            <w:vMerge w:val="continue"/>
            <w:vAlign w:val="center"/>
          </w:tcPr>
          <w:p w14:paraId="650E631B">
            <w:pPr>
              <w:widowControl w:val="0"/>
              <w:autoSpaceDE w:val="0"/>
              <w:autoSpaceDN w:val="0"/>
              <w:adjustRightInd w:val="0"/>
              <w:spacing w:line="360" w:lineRule="auto"/>
              <w:rPr>
                <w:rFonts w:ascii="黑体" w:hAnsi="黑体" w:eastAsia="黑体" w:cs="楷体_GB2312"/>
                <w:bCs/>
                <w:color w:val="auto"/>
                <w:sz w:val="24"/>
                <w:szCs w:val="24"/>
                <w:highlight w:val="none"/>
                <w:lang w:val="zh-CN"/>
              </w:rPr>
            </w:pPr>
          </w:p>
        </w:tc>
        <w:tc>
          <w:tcPr>
            <w:tcW w:w="1701" w:type="dxa"/>
            <w:vAlign w:val="center"/>
          </w:tcPr>
          <w:p w14:paraId="72523C1C">
            <w:pPr>
              <w:widowControl w:val="0"/>
              <w:autoSpaceDE w:val="0"/>
              <w:autoSpaceDN w:val="0"/>
              <w:snapToGrid w:val="0"/>
              <w:spacing w:line="240" w:lineRule="auto"/>
              <w:textAlignment w:val="auto"/>
              <w:rPr>
                <w:rFonts w:ascii="宋体" w:cs="宋体"/>
                <w:color w:val="auto"/>
                <w:sz w:val="24"/>
                <w:szCs w:val="24"/>
                <w:highlight w:val="none"/>
              </w:rPr>
            </w:pPr>
            <w:r>
              <w:rPr>
                <w:rFonts w:hint="eastAsia" w:ascii="宋体" w:hAnsi="宋体" w:cs="宋体"/>
                <w:color w:val="auto"/>
                <w:sz w:val="24"/>
                <w:szCs w:val="24"/>
                <w:highlight w:val="none"/>
              </w:rPr>
              <w:t>投标有效期</w:t>
            </w:r>
          </w:p>
        </w:tc>
        <w:tc>
          <w:tcPr>
            <w:tcW w:w="5670" w:type="dxa"/>
            <w:vAlign w:val="center"/>
          </w:tcPr>
          <w:p w14:paraId="3F8A27CD">
            <w:pPr>
              <w:widowControl w:val="0"/>
              <w:snapToGrid w:val="0"/>
              <w:spacing w:line="240" w:lineRule="auto"/>
              <w:jc w:val="left"/>
              <w:rPr>
                <w:rFonts w:ascii="宋体"/>
                <w:color w:val="auto"/>
                <w:sz w:val="24"/>
                <w:szCs w:val="24"/>
                <w:highlight w:val="none"/>
              </w:rPr>
            </w:pPr>
            <w:r>
              <w:rPr>
                <w:rFonts w:hint="eastAsia" w:ascii="宋体" w:hAnsi="宋体"/>
                <w:color w:val="auto"/>
                <w:sz w:val="24"/>
                <w:szCs w:val="24"/>
                <w:highlight w:val="none"/>
              </w:rPr>
              <w:t>符合第</w:t>
            </w:r>
            <w:r>
              <w:rPr>
                <w:rFonts w:hint="eastAsia" w:ascii="宋体" w:hAnsi="宋体"/>
                <w:color w:val="auto"/>
                <w:sz w:val="24"/>
                <w:highlight w:val="none"/>
              </w:rPr>
              <w:t>三</w:t>
            </w:r>
            <w:r>
              <w:rPr>
                <w:rFonts w:hint="eastAsia" w:ascii="宋体" w:hAnsi="宋体"/>
                <w:color w:val="auto"/>
                <w:sz w:val="24"/>
                <w:szCs w:val="24"/>
                <w:highlight w:val="none"/>
              </w:rPr>
              <w:t>章“投标人须知”</w:t>
            </w:r>
            <w:r>
              <w:rPr>
                <w:rFonts w:ascii="宋体" w:hAnsi="宋体"/>
                <w:color w:val="auto"/>
                <w:sz w:val="24"/>
                <w:szCs w:val="24"/>
                <w:highlight w:val="none"/>
              </w:rPr>
              <w:t>3.4</w:t>
            </w:r>
            <w:r>
              <w:rPr>
                <w:rFonts w:hint="eastAsia" w:ascii="宋体" w:hAnsi="宋体"/>
                <w:color w:val="auto"/>
                <w:sz w:val="24"/>
                <w:szCs w:val="24"/>
                <w:highlight w:val="none"/>
              </w:rPr>
              <w:t>款规定</w:t>
            </w:r>
          </w:p>
        </w:tc>
      </w:tr>
      <w:tr w14:paraId="40713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17" w:type="dxa"/>
            <w:vMerge w:val="continue"/>
            <w:vAlign w:val="center"/>
          </w:tcPr>
          <w:p w14:paraId="4B74EA8A">
            <w:pPr>
              <w:widowControl w:val="0"/>
              <w:autoSpaceDE w:val="0"/>
              <w:autoSpaceDN w:val="0"/>
              <w:adjustRightInd w:val="0"/>
              <w:spacing w:line="360" w:lineRule="auto"/>
              <w:rPr>
                <w:rFonts w:ascii="黑体" w:hAnsi="黑体" w:eastAsia="黑体" w:cs="楷体_GB2312"/>
                <w:bCs/>
                <w:color w:val="auto"/>
                <w:sz w:val="24"/>
                <w:szCs w:val="24"/>
                <w:highlight w:val="none"/>
                <w:lang w:val="zh-CN"/>
              </w:rPr>
            </w:pPr>
          </w:p>
        </w:tc>
        <w:tc>
          <w:tcPr>
            <w:tcW w:w="567" w:type="dxa"/>
            <w:vMerge w:val="continue"/>
            <w:vAlign w:val="center"/>
          </w:tcPr>
          <w:p w14:paraId="511ACC0B">
            <w:pPr>
              <w:widowControl w:val="0"/>
              <w:autoSpaceDE w:val="0"/>
              <w:autoSpaceDN w:val="0"/>
              <w:adjustRightInd w:val="0"/>
              <w:spacing w:line="360" w:lineRule="auto"/>
              <w:rPr>
                <w:rFonts w:ascii="黑体" w:hAnsi="黑体" w:eastAsia="黑体" w:cs="楷体_GB2312"/>
                <w:bCs/>
                <w:color w:val="auto"/>
                <w:sz w:val="24"/>
                <w:szCs w:val="24"/>
                <w:highlight w:val="none"/>
                <w:lang w:val="zh-CN"/>
              </w:rPr>
            </w:pPr>
          </w:p>
        </w:tc>
        <w:tc>
          <w:tcPr>
            <w:tcW w:w="1134" w:type="dxa"/>
            <w:vMerge w:val="continue"/>
            <w:vAlign w:val="center"/>
          </w:tcPr>
          <w:p w14:paraId="379786FC">
            <w:pPr>
              <w:widowControl w:val="0"/>
              <w:autoSpaceDE w:val="0"/>
              <w:autoSpaceDN w:val="0"/>
              <w:adjustRightInd w:val="0"/>
              <w:spacing w:line="360" w:lineRule="auto"/>
              <w:rPr>
                <w:rFonts w:ascii="黑体" w:hAnsi="黑体" w:eastAsia="黑体" w:cs="楷体_GB2312"/>
                <w:bCs/>
                <w:color w:val="auto"/>
                <w:sz w:val="24"/>
                <w:szCs w:val="24"/>
                <w:highlight w:val="none"/>
                <w:lang w:val="zh-CN"/>
              </w:rPr>
            </w:pPr>
          </w:p>
        </w:tc>
        <w:tc>
          <w:tcPr>
            <w:tcW w:w="1701" w:type="dxa"/>
            <w:vAlign w:val="center"/>
          </w:tcPr>
          <w:p w14:paraId="5B1ED799">
            <w:pPr>
              <w:widowControl w:val="0"/>
              <w:autoSpaceDE w:val="0"/>
              <w:autoSpaceDN w:val="0"/>
              <w:snapToGrid w:val="0"/>
              <w:spacing w:line="240" w:lineRule="auto"/>
              <w:textAlignment w:val="auto"/>
              <w:rPr>
                <w:rFonts w:ascii="宋体" w:cs="宋体"/>
                <w:color w:val="auto"/>
                <w:sz w:val="24"/>
                <w:szCs w:val="24"/>
                <w:highlight w:val="none"/>
              </w:rPr>
            </w:pPr>
            <w:r>
              <w:rPr>
                <w:rFonts w:hint="eastAsia" w:ascii="宋体" w:hAnsi="宋体" w:cs="宋体"/>
                <w:color w:val="auto"/>
                <w:sz w:val="24"/>
                <w:szCs w:val="24"/>
                <w:highlight w:val="none"/>
              </w:rPr>
              <w:t>投标文件格式</w:t>
            </w:r>
          </w:p>
        </w:tc>
        <w:tc>
          <w:tcPr>
            <w:tcW w:w="5670" w:type="dxa"/>
            <w:vAlign w:val="center"/>
          </w:tcPr>
          <w:p w14:paraId="060E0E3C">
            <w:pPr>
              <w:widowControl w:val="0"/>
              <w:autoSpaceDE w:val="0"/>
              <w:autoSpaceDN w:val="0"/>
              <w:snapToGrid w:val="0"/>
              <w:spacing w:line="240" w:lineRule="auto"/>
              <w:jc w:val="left"/>
              <w:textAlignment w:val="auto"/>
              <w:rPr>
                <w:rFonts w:ascii="宋体" w:cs="宋体"/>
                <w:color w:val="auto"/>
                <w:sz w:val="24"/>
                <w:szCs w:val="24"/>
                <w:highlight w:val="none"/>
              </w:rPr>
            </w:pPr>
            <w:r>
              <w:rPr>
                <w:rFonts w:hint="eastAsia" w:ascii="宋体" w:hAnsi="宋体" w:cs="宋体"/>
                <w:color w:val="auto"/>
                <w:sz w:val="24"/>
                <w:szCs w:val="24"/>
                <w:highlight w:val="none"/>
              </w:rPr>
              <w:t>符合第六章“投标文件格式”规定</w:t>
            </w:r>
          </w:p>
        </w:tc>
      </w:tr>
      <w:tr w14:paraId="5CF26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17" w:type="dxa"/>
            <w:vMerge w:val="continue"/>
            <w:vAlign w:val="center"/>
          </w:tcPr>
          <w:p w14:paraId="545F2987">
            <w:pPr>
              <w:widowControl w:val="0"/>
              <w:autoSpaceDE w:val="0"/>
              <w:autoSpaceDN w:val="0"/>
              <w:adjustRightInd w:val="0"/>
              <w:spacing w:line="360" w:lineRule="auto"/>
              <w:rPr>
                <w:rFonts w:ascii="黑体" w:hAnsi="黑体" w:eastAsia="黑体" w:cs="楷体_GB2312"/>
                <w:bCs/>
                <w:color w:val="auto"/>
                <w:sz w:val="24"/>
                <w:szCs w:val="24"/>
                <w:highlight w:val="none"/>
                <w:lang w:val="zh-CN"/>
              </w:rPr>
            </w:pPr>
          </w:p>
        </w:tc>
        <w:tc>
          <w:tcPr>
            <w:tcW w:w="567" w:type="dxa"/>
            <w:vMerge w:val="continue"/>
            <w:vAlign w:val="center"/>
          </w:tcPr>
          <w:p w14:paraId="243A09B7">
            <w:pPr>
              <w:widowControl w:val="0"/>
              <w:autoSpaceDE w:val="0"/>
              <w:autoSpaceDN w:val="0"/>
              <w:adjustRightInd w:val="0"/>
              <w:spacing w:line="360" w:lineRule="auto"/>
              <w:rPr>
                <w:rFonts w:ascii="黑体" w:hAnsi="黑体" w:eastAsia="黑体" w:cs="楷体_GB2312"/>
                <w:bCs/>
                <w:color w:val="auto"/>
                <w:sz w:val="24"/>
                <w:szCs w:val="24"/>
                <w:highlight w:val="none"/>
                <w:lang w:val="zh-CN"/>
              </w:rPr>
            </w:pPr>
          </w:p>
        </w:tc>
        <w:tc>
          <w:tcPr>
            <w:tcW w:w="1134" w:type="dxa"/>
            <w:vMerge w:val="continue"/>
            <w:vAlign w:val="center"/>
          </w:tcPr>
          <w:p w14:paraId="7F170CF3">
            <w:pPr>
              <w:widowControl w:val="0"/>
              <w:autoSpaceDE w:val="0"/>
              <w:autoSpaceDN w:val="0"/>
              <w:adjustRightInd w:val="0"/>
              <w:spacing w:line="360" w:lineRule="auto"/>
              <w:rPr>
                <w:rFonts w:ascii="黑体" w:hAnsi="黑体" w:eastAsia="黑体" w:cs="楷体_GB2312"/>
                <w:bCs/>
                <w:color w:val="auto"/>
                <w:sz w:val="24"/>
                <w:szCs w:val="24"/>
                <w:highlight w:val="none"/>
                <w:lang w:val="zh-CN"/>
              </w:rPr>
            </w:pPr>
          </w:p>
        </w:tc>
        <w:tc>
          <w:tcPr>
            <w:tcW w:w="1701" w:type="dxa"/>
            <w:vAlign w:val="center"/>
          </w:tcPr>
          <w:p w14:paraId="1D64531F">
            <w:pPr>
              <w:widowControl w:val="0"/>
              <w:autoSpaceDE w:val="0"/>
              <w:autoSpaceDN w:val="0"/>
              <w:snapToGrid w:val="0"/>
              <w:spacing w:line="240" w:lineRule="auto"/>
              <w:textAlignment w:val="auto"/>
              <w:rPr>
                <w:rFonts w:ascii="宋体" w:cs="宋体"/>
                <w:color w:val="auto"/>
                <w:sz w:val="24"/>
                <w:szCs w:val="24"/>
                <w:highlight w:val="none"/>
              </w:rPr>
            </w:pPr>
            <w:r>
              <w:rPr>
                <w:rFonts w:hint="eastAsia" w:ascii="宋体" w:hAnsi="宋体" w:cs="宋体"/>
                <w:color w:val="auto"/>
                <w:sz w:val="24"/>
                <w:szCs w:val="24"/>
                <w:highlight w:val="none"/>
              </w:rPr>
              <w:t>付款</w:t>
            </w:r>
          </w:p>
        </w:tc>
        <w:tc>
          <w:tcPr>
            <w:tcW w:w="5670" w:type="dxa"/>
            <w:vAlign w:val="center"/>
          </w:tcPr>
          <w:p w14:paraId="7C4085C3">
            <w:pPr>
              <w:widowControl w:val="0"/>
              <w:snapToGrid w:val="0"/>
              <w:spacing w:line="240" w:lineRule="auto"/>
              <w:jc w:val="left"/>
              <w:rPr>
                <w:rFonts w:ascii="宋体"/>
                <w:color w:val="auto"/>
                <w:sz w:val="24"/>
                <w:szCs w:val="24"/>
                <w:highlight w:val="none"/>
              </w:rPr>
            </w:pPr>
            <w:r>
              <w:rPr>
                <w:rFonts w:hint="eastAsia" w:ascii="宋体" w:hAnsi="宋体"/>
                <w:color w:val="auto"/>
                <w:sz w:val="24"/>
                <w:szCs w:val="24"/>
                <w:highlight w:val="none"/>
              </w:rPr>
              <w:t>符合第三章“投标人须知”第</w:t>
            </w:r>
            <w:r>
              <w:rPr>
                <w:rFonts w:ascii="宋体" w:hAnsi="宋体"/>
                <w:color w:val="auto"/>
                <w:sz w:val="24"/>
                <w:szCs w:val="24"/>
                <w:highlight w:val="none"/>
              </w:rPr>
              <w:t>10</w:t>
            </w:r>
            <w:r>
              <w:rPr>
                <w:rFonts w:hint="eastAsia" w:ascii="宋体" w:hAnsi="宋体"/>
                <w:color w:val="auto"/>
                <w:sz w:val="24"/>
                <w:szCs w:val="24"/>
                <w:highlight w:val="none"/>
              </w:rPr>
              <w:t>条规定</w:t>
            </w:r>
          </w:p>
        </w:tc>
      </w:tr>
      <w:tr w14:paraId="0EF1B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817" w:type="dxa"/>
            <w:vMerge w:val="continue"/>
            <w:vAlign w:val="center"/>
          </w:tcPr>
          <w:p w14:paraId="0EDCCC7F">
            <w:pPr>
              <w:widowControl w:val="0"/>
              <w:autoSpaceDE w:val="0"/>
              <w:autoSpaceDN w:val="0"/>
              <w:adjustRightInd w:val="0"/>
              <w:spacing w:line="360" w:lineRule="auto"/>
              <w:rPr>
                <w:rFonts w:ascii="黑体" w:hAnsi="黑体" w:eastAsia="黑体" w:cs="楷体_GB2312"/>
                <w:bCs/>
                <w:color w:val="auto"/>
                <w:sz w:val="24"/>
                <w:szCs w:val="24"/>
                <w:highlight w:val="none"/>
                <w:lang w:val="zh-CN"/>
              </w:rPr>
            </w:pPr>
          </w:p>
        </w:tc>
        <w:tc>
          <w:tcPr>
            <w:tcW w:w="567" w:type="dxa"/>
            <w:vMerge w:val="continue"/>
            <w:vAlign w:val="center"/>
          </w:tcPr>
          <w:p w14:paraId="5143A0FF">
            <w:pPr>
              <w:widowControl w:val="0"/>
              <w:autoSpaceDE w:val="0"/>
              <w:autoSpaceDN w:val="0"/>
              <w:adjustRightInd w:val="0"/>
              <w:spacing w:line="360" w:lineRule="auto"/>
              <w:rPr>
                <w:rFonts w:ascii="黑体" w:hAnsi="黑体" w:eastAsia="黑体" w:cs="楷体_GB2312"/>
                <w:bCs/>
                <w:color w:val="auto"/>
                <w:sz w:val="24"/>
                <w:szCs w:val="24"/>
                <w:highlight w:val="none"/>
                <w:lang w:val="zh-CN"/>
              </w:rPr>
            </w:pPr>
          </w:p>
        </w:tc>
        <w:tc>
          <w:tcPr>
            <w:tcW w:w="1134" w:type="dxa"/>
            <w:vMerge w:val="continue"/>
            <w:vAlign w:val="center"/>
          </w:tcPr>
          <w:p w14:paraId="13ACC6E4">
            <w:pPr>
              <w:widowControl w:val="0"/>
              <w:autoSpaceDE w:val="0"/>
              <w:autoSpaceDN w:val="0"/>
              <w:adjustRightInd w:val="0"/>
              <w:spacing w:line="360" w:lineRule="auto"/>
              <w:rPr>
                <w:rFonts w:ascii="黑体" w:hAnsi="黑体" w:eastAsia="黑体" w:cs="楷体_GB2312"/>
                <w:bCs/>
                <w:color w:val="auto"/>
                <w:sz w:val="24"/>
                <w:szCs w:val="24"/>
                <w:highlight w:val="none"/>
                <w:lang w:val="zh-CN"/>
              </w:rPr>
            </w:pPr>
          </w:p>
        </w:tc>
        <w:tc>
          <w:tcPr>
            <w:tcW w:w="1701" w:type="dxa"/>
            <w:vAlign w:val="center"/>
          </w:tcPr>
          <w:p w14:paraId="234CCD66">
            <w:pPr>
              <w:widowControl w:val="0"/>
              <w:autoSpaceDE w:val="0"/>
              <w:autoSpaceDN w:val="0"/>
              <w:snapToGrid w:val="0"/>
              <w:spacing w:line="240" w:lineRule="auto"/>
              <w:textAlignment w:val="auto"/>
              <w:rPr>
                <w:rFonts w:ascii="宋体" w:cs="宋体"/>
                <w:color w:val="auto"/>
                <w:sz w:val="24"/>
                <w:szCs w:val="24"/>
                <w:highlight w:val="none"/>
              </w:rPr>
            </w:pPr>
            <w:r>
              <w:rPr>
                <w:rFonts w:hint="eastAsia" w:ascii="宋体" w:hAnsi="宋体" w:cs="宋体"/>
                <w:color w:val="auto"/>
                <w:sz w:val="24"/>
                <w:szCs w:val="24"/>
                <w:highlight w:val="none"/>
              </w:rPr>
              <w:t>偏差描述</w:t>
            </w:r>
          </w:p>
        </w:tc>
        <w:tc>
          <w:tcPr>
            <w:tcW w:w="5670" w:type="dxa"/>
            <w:vAlign w:val="center"/>
          </w:tcPr>
          <w:p w14:paraId="42B16676">
            <w:pPr>
              <w:widowControl w:val="0"/>
              <w:snapToGrid w:val="0"/>
              <w:spacing w:line="240" w:lineRule="auto"/>
              <w:jc w:val="left"/>
              <w:rPr>
                <w:rFonts w:ascii="宋体"/>
                <w:color w:val="auto"/>
                <w:sz w:val="24"/>
                <w:szCs w:val="24"/>
                <w:highlight w:val="none"/>
              </w:rPr>
            </w:pPr>
            <w:r>
              <w:rPr>
                <w:rFonts w:hint="eastAsia" w:ascii="宋体" w:hAnsi="宋体"/>
                <w:color w:val="auto"/>
                <w:sz w:val="24"/>
                <w:szCs w:val="24"/>
                <w:highlight w:val="none"/>
              </w:rPr>
              <w:t>符合第三章“投标人须知”</w:t>
            </w:r>
            <w:r>
              <w:rPr>
                <w:rFonts w:ascii="宋体" w:hAnsi="宋体"/>
                <w:color w:val="auto"/>
                <w:sz w:val="24"/>
                <w:szCs w:val="24"/>
                <w:highlight w:val="none"/>
              </w:rPr>
              <w:t>3.7.3</w:t>
            </w:r>
            <w:r>
              <w:rPr>
                <w:rFonts w:hint="eastAsia" w:ascii="宋体" w:hAnsi="宋体"/>
                <w:color w:val="auto"/>
                <w:sz w:val="24"/>
                <w:szCs w:val="24"/>
                <w:highlight w:val="none"/>
              </w:rPr>
              <w:t>项规定</w:t>
            </w:r>
          </w:p>
        </w:tc>
      </w:tr>
      <w:tr w14:paraId="7894A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817" w:type="dxa"/>
            <w:vMerge w:val="continue"/>
            <w:vAlign w:val="center"/>
          </w:tcPr>
          <w:p w14:paraId="519F2CBE">
            <w:pPr>
              <w:widowControl w:val="0"/>
              <w:autoSpaceDE w:val="0"/>
              <w:autoSpaceDN w:val="0"/>
              <w:adjustRightInd w:val="0"/>
              <w:spacing w:line="360" w:lineRule="auto"/>
              <w:rPr>
                <w:rFonts w:ascii="黑体" w:hAnsi="黑体" w:eastAsia="黑体" w:cs="楷体_GB2312"/>
                <w:bCs/>
                <w:color w:val="auto"/>
                <w:sz w:val="24"/>
                <w:szCs w:val="24"/>
                <w:highlight w:val="none"/>
                <w:lang w:val="zh-CN"/>
              </w:rPr>
            </w:pPr>
          </w:p>
        </w:tc>
        <w:tc>
          <w:tcPr>
            <w:tcW w:w="567" w:type="dxa"/>
            <w:vMerge w:val="continue"/>
            <w:vAlign w:val="center"/>
          </w:tcPr>
          <w:p w14:paraId="4D40541C">
            <w:pPr>
              <w:widowControl w:val="0"/>
              <w:autoSpaceDE w:val="0"/>
              <w:autoSpaceDN w:val="0"/>
              <w:adjustRightInd w:val="0"/>
              <w:spacing w:line="360" w:lineRule="auto"/>
              <w:rPr>
                <w:rFonts w:ascii="黑体" w:hAnsi="黑体" w:eastAsia="黑体" w:cs="楷体_GB2312"/>
                <w:bCs/>
                <w:color w:val="auto"/>
                <w:sz w:val="24"/>
                <w:szCs w:val="24"/>
                <w:highlight w:val="none"/>
                <w:lang w:val="zh-CN"/>
              </w:rPr>
            </w:pPr>
          </w:p>
        </w:tc>
        <w:tc>
          <w:tcPr>
            <w:tcW w:w="1134" w:type="dxa"/>
            <w:vMerge w:val="continue"/>
            <w:vAlign w:val="center"/>
          </w:tcPr>
          <w:p w14:paraId="15D9AA98">
            <w:pPr>
              <w:widowControl w:val="0"/>
              <w:autoSpaceDE w:val="0"/>
              <w:autoSpaceDN w:val="0"/>
              <w:adjustRightInd w:val="0"/>
              <w:spacing w:line="360" w:lineRule="auto"/>
              <w:rPr>
                <w:rFonts w:ascii="黑体" w:hAnsi="黑体" w:eastAsia="黑体" w:cs="楷体_GB2312"/>
                <w:bCs/>
                <w:color w:val="auto"/>
                <w:sz w:val="24"/>
                <w:szCs w:val="24"/>
                <w:highlight w:val="none"/>
                <w:lang w:val="zh-CN"/>
              </w:rPr>
            </w:pPr>
          </w:p>
        </w:tc>
        <w:tc>
          <w:tcPr>
            <w:tcW w:w="1701" w:type="dxa"/>
            <w:vAlign w:val="center"/>
          </w:tcPr>
          <w:p w14:paraId="2A654BFE">
            <w:pPr>
              <w:widowControl w:val="0"/>
              <w:snapToGrid w:val="0"/>
              <w:spacing w:line="240" w:lineRule="auto"/>
              <w:rPr>
                <w:rFonts w:ascii="宋体"/>
                <w:color w:val="auto"/>
                <w:sz w:val="24"/>
                <w:szCs w:val="24"/>
                <w:highlight w:val="none"/>
              </w:rPr>
            </w:pPr>
            <w:r>
              <w:rPr>
                <w:rFonts w:hint="eastAsia"/>
                <w:color w:val="auto"/>
                <w:sz w:val="24"/>
                <w:szCs w:val="24"/>
                <w:highlight w:val="none"/>
              </w:rPr>
              <w:t>招标</w:t>
            </w:r>
            <w:r>
              <w:rPr>
                <w:rFonts w:hint="eastAsia" w:ascii="宋体" w:hAnsi="宋体"/>
                <w:color w:val="auto"/>
                <w:sz w:val="24"/>
                <w:szCs w:val="24"/>
                <w:highlight w:val="none"/>
              </w:rPr>
              <w:t>文件总体响应</w:t>
            </w:r>
          </w:p>
        </w:tc>
        <w:tc>
          <w:tcPr>
            <w:tcW w:w="5670" w:type="dxa"/>
            <w:vAlign w:val="center"/>
          </w:tcPr>
          <w:p w14:paraId="55A0A422">
            <w:pPr>
              <w:widowControl w:val="0"/>
              <w:autoSpaceDE w:val="0"/>
              <w:autoSpaceDN w:val="0"/>
              <w:snapToGrid w:val="0"/>
              <w:spacing w:line="240" w:lineRule="auto"/>
              <w:jc w:val="left"/>
              <w:rPr>
                <w:rFonts w:ascii="宋体"/>
                <w:color w:val="auto"/>
                <w:sz w:val="24"/>
                <w:szCs w:val="24"/>
                <w:highlight w:val="none"/>
              </w:rPr>
            </w:pPr>
            <w:r>
              <w:rPr>
                <w:rFonts w:hint="eastAsia" w:ascii="宋体" w:hAnsi="宋体"/>
                <w:color w:val="auto"/>
                <w:sz w:val="24"/>
                <w:szCs w:val="24"/>
                <w:highlight w:val="none"/>
              </w:rPr>
              <w:t>符合第三章“投标人须知”</w:t>
            </w:r>
            <w:r>
              <w:rPr>
                <w:rFonts w:ascii="宋体" w:hAnsi="宋体"/>
                <w:color w:val="auto"/>
                <w:sz w:val="24"/>
                <w:szCs w:val="24"/>
                <w:highlight w:val="none"/>
              </w:rPr>
              <w:t>1.3</w:t>
            </w:r>
            <w:r>
              <w:rPr>
                <w:rFonts w:hint="eastAsia" w:ascii="宋体" w:hAnsi="宋体"/>
                <w:color w:val="auto"/>
                <w:sz w:val="24"/>
                <w:szCs w:val="24"/>
                <w:highlight w:val="none"/>
              </w:rPr>
              <w:t>项规定</w:t>
            </w:r>
          </w:p>
        </w:tc>
      </w:tr>
      <w:tr w14:paraId="3B3C4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3F8D9714">
            <w:pPr>
              <w:widowControl w:val="0"/>
              <w:autoSpaceDE w:val="0"/>
              <w:autoSpaceDN w:val="0"/>
              <w:adjustRightInd w:val="0"/>
              <w:spacing w:line="360" w:lineRule="auto"/>
              <w:rPr>
                <w:rFonts w:ascii="黑体" w:hAnsi="黑体" w:eastAsia="黑体" w:cs="楷体_GB2312"/>
                <w:bCs/>
                <w:color w:val="auto"/>
                <w:sz w:val="24"/>
                <w:szCs w:val="24"/>
                <w:highlight w:val="none"/>
                <w:lang w:val="zh-CN"/>
              </w:rPr>
            </w:pPr>
          </w:p>
        </w:tc>
        <w:tc>
          <w:tcPr>
            <w:tcW w:w="567" w:type="dxa"/>
            <w:vMerge w:val="continue"/>
            <w:vAlign w:val="center"/>
          </w:tcPr>
          <w:p w14:paraId="33CAAB9D">
            <w:pPr>
              <w:widowControl w:val="0"/>
              <w:autoSpaceDE w:val="0"/>
              <w:autoSpaceDN w:val="0"/>
              <w:adjustRightInd w:val="0"/>
              <w:spacing w:line="360" w:lineRule="auto"/>
              <w:rPr>
                <w:rFonts w:ascii="黑体" w:hAnsi="黑体" w:eastAsia="黑体" w:cs="楷体_GB2312"/>
                <w:bCs/>
                <w:color w:val="auto"/>
                <w:sz w:val="24"/>
                <w:szCs w:val="24"/>
                <w:highlight w:val="none"/>
                <w:lang w:val="zh-CN"/>
              </w:rPr>
            </w:pPr>
          </w:p>
        </w:tc>
        <w:tc>
          <w:tcPr>
            <w:tcW w:w="1134" w:type="dxa"/>
            <w:vMerge w:val="continue"/>
            <w:vAlign w:val="center"/>
          </w:tcPr>
          <w:p w14:paraId="6DC7BE8F">
            <w:pPr>
              <w:widowControl w:val="0"/>
              <w:autoSpaceDE w:val="0"/>
              <w:autoSpaceDN w:val="0"/>
              <w:adjustRightInd w:val="0"/>
              <w:spacing w:line="360" w:lineRule="auto"/>
              <w:rPr>
                <w:rFonts w:ascii="黑体" w:hAnsi="黑体" w:eastAsia="黑体" w:cs="楷体_GB2312"/>
                <w:bCs/>
                <w:color w:val="auto"/>
                <w:sz w:val="24"/>
                <w:szCs w:val="24"/>
                <w:highlight w:val="none"/>
                <w:lang w:val="zh-CN"/>
              </w:rPr>
            </w:pPr>
          </w:p>
        </w:tc>
        <w:tc>
          <w:tcPr>
            <w:tcW w:w="1701" w:type="dxa"/>
            <w:vAlign w:val="center"/>
          </w:tcPr>
          <w:p w14:paraId="2350FA28">
            <w:pPr>
              <w:snapToGrid w:val="0"/>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其他</w:t>
            </w:r>
          </w:p>
        </w:tc>
        <w:tc>
          <w:tcPr>
            <w:tcW w:w="5670" w:type="dxa"/>
            <w:vAlign w:val="center"/>
          </w:tcPr>
          <w:p w14:paraId="63355ED1">
            <w:pPr>
              <w:autoSpaceDE w:val="0"/>
              <w:autoSpaceDN w:val="0"/>
              <w:snapToGrid w:val="0"/>
              <w:spacing w:line="240" w:lineRule="auto"/>
              <w:rPr>
                <w:rFonts w:ascii="宋体" w:hAnsi="宋体"/>
                <w:color w:val="auto"/>
                <w:sz w:val="24"/>
                <w:szCs w:val="24"/>
                <w:highlight w:val="none"/>
              </w:rPr>
            </w:pPr>
            <w:r>
              <w:rPr>
                <w:rFonts w:hint="eastAsia" w:ascii="宋体" w:hAnsi="宋体"/>
                <w:color w:val="auto"/>
                <w:sz w:val="24"/>
                <w:szCs w:val="24"/>
                <w:highlight w:val="none"/>
              </w:rPr>
              <w:t>如涉及台式计算机、便携式计算机、一体式计算机、工作站、通用服务器、操作系统、数据库的，符合第六章12-2附件要求。</w:t>
            </w:r>
          </w:p>
        </w:tc>
      </w:tr>
    </w:tbl>
    <w:p w14:paraId="131B0CB1">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黑体" w:hAnsi="黑体" w:eastAsia="黑体" w:cs="楷体_GB2312"/>
          <w:b/>
          <w:bCs/>
          <w:color w:val="auto"/>
          <w:sz w:val="28"/>
          <w:szCs w:val="28"/>
          <w:highlight w:val="none"/>
          <w:lang w:val="zh-CN"/>
        </w:rPr>
        <w:t>注：</w:t>
      </w:r>
      <w:r>
        <w:rPr>
          <w:rFonts w:hint="eastAsia" w:ascii="宋体" w:cs="楷体_GB2312"/>
          <w:color w:val="auto"/>
          <w:sz w:val="24"/>
          <w:highlight w:val="none"/>
          <w:lang w:val="zh-CN"/>
        </w:rPr>
        <w:t>1、公开招标采购项目开标结束后、评标工作前，采购人或者采购代理机构将依法对投标人的资格进行审查。资格性审查不合格的、投标无效。合格资格性审查合格投标人不足</w:t>
      </w:r>
      <w:r>
        <w:rPr>
          <w:rFonts w:ascii="宋体" w:cs="楷体_GB2312"/>
          <w:color w:val="auto"/>
          <w:sz w:val="24"/>
          <w:highlight w:val="none"/>
          <w:lang w:val="zh-CN"/>
        </w:rPr>
        <w:t>3</w:t>
      </w:r>
      <w:r>
        <w:rPr>
          <w:rFonts w:hint="eastAsia" w:ascii="宋体" w:cs="楷体_GB2312"/>
          <w:color w:val="auto"/>
          <w:sz w:val="24"/>
          <w:highlight w:val="none"/>
          <w:lang w:val="zh-CN"/>
        </w:rPr>
        <w:t>家的，将不再评标。</w:t>
      </w:r>
    </w:p>
    <w:p w14:paraId="61FAF56A">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cs="楷体_GB2312"/>
          <w:color w:val="auto"/>
          <w:sz w:val="24"/>
          <w:highlight w:val="none"/>
          <w:lang w:val="zh-CN"/>
        </w:rPr>
        <w:t>2、评标委员会将依据第六章12-3附件“证明材料查询核验工作的清单及要求”对核验证明材料进行形式要件审核。</w:t>
      </w:r>
    </w:p>
    <w:p w14:paraId="75CFF4BD">
      <w:pPr>
        <w:autoSpaceDE w:val="0"/>
        <w:autoSpaceDN w:val="0"/>
        <w:adjustRightInd w:val="0"/>
        <w:snapToGrid w:val="0"/>
        <w:spacing w:before="156" w:beforeLines="50" w:line="300" w:lineRule="auto"/>
        <w:ind w:firstLine="539"/>
        <w:rPr>
          <w:rFonts w:ascii="宋体" w:cs="楷体_GB2312"/>
          <w:color w:val="auto"/>
          <w:sz w:val="24"/>
          <w:highlight w:val="none"/>
          <w:lang w:val="zh-CN"/>
        </w:rPr>
      </w:pPr>
    </w:p>
    <w:p w14:paraId="0E0401CF">
      <w:pPr>
        <w:spacing w:line="500" w:lineRule="exact"/>
        <w:jc w:val="left"/>
        <w:rPr>
          <w:rFonts w:ascii="黑体" w:hAnsi="黑体" w:eastAsia="黑体"/>
          <w:b/>
          <w:color w:val="auto"/>
          <w:sz w:val="28"/>
          <w:szCs w:val="28"/>
          <w:highlight w:val="none"/>
        </w:rPr>
      </w:pPr>
      <w:r>
        <w:rPr>
          <w:rFonts w:hint="eastAsia" w:ascii="黑体" w:hAnsi="黑体" w:eastAsia="黑体"/>
          <w:b/>
          <w:color w:val="auto"/>
          <w:sz w:val="28"/>
          <w:szCs w:val="28"/>
          <w:highlight w:val="none"/>
        </w:rPr>
        <w:t>评标办法前附表</w:t>
      </w:r>
      <w:r>
        <w:rPr>
          <w:rFonts w:ascii="黑体" w:hAnsi="黑体" w:eastAsia="黑体"/>
          <w:b/>
          <w:color w:val="auto"/>
          <w:sz w:val="28"/>
          <w:szCs w:val="28"/>
          <w:highlight w:val="none"/>
        </w:rPr>
        <w:t>------</w:t>
      </w:r>
      <w:r>
        <w:rPr>
          <w:rFonts w:hint="eastAsia" w:ascii="黑体" w:hAnsi="黑体" w:eastAsia="黑体"/>
          <w:b/>
          <w:color w:val="auto"/>
          <w:sz w:val="28"/>
          <w:szCs w:val="28"/>
          <w:highlight w:val="none"/>
        </w:rPr>
        <w:t>分值构成与评分标准</w:t>
      </w:r>
      <w:r>
        <w:rPr>
          <w:rFonts w:ascii="黑体" w:hAnsi="黑体" w:eastAsia="黑体"/>
          <w:b/>
          <w:color w:val="auto"/>
          <w:sz w:val="28"/>
          <w:szCs w:val="28"/>
          <w:highlight w:val="none"/>
        </w:rPr>
        <w:t xml:space="preserve">  </w:t>
      </w:r>
    </w:p>
    <w:tbl>
      <w:tblPr>
        <w:tblStyle w:val="20"/>
        <w:tblW w:w="10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1310"/>
        <w:gridCol w:w="7879"/>
      </w:tblGrid>
      <w:tr w14:paraId="2A54A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41" w:type="dxa"/>
            <w:vAlign w:val="center"/>
          </w:tcPr>
          <w:p w14:paraId="1602B524">
            <w:pPr>
              <w:widowControl w:val="0"/>
              <w:autoSpaceDE w:val="0"/>
              <w:autoSpaceDN w:val="0"/>
              <w:adjustRightInd w:val="0"/>
              <w:spacing w:line="240" w:lineRule="auto"/>
              <w:jc w:val="center"/>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条款号</w:t>
            </w:r>
          </w:p>
        </w:tc>
        <w:tc>
          <w:tcPr>
            <w:tcW w:w="1310" w:type="dxa"/>
            <w:vAlign w:val="center"/>
          </w:tcPr>
          <w:p w14:paraId="009FF8C1">
            <w:pPr>
              <w:spacing w:line="24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条款内容</w:t>
            </w:r>
          </w:p>
        </w:tc>
        <w:tc>
          <w:tcPr>
            <w:tcW w:w="7879" w:type="dxa"/>
            <w:vAlign w:val="center"/>
          </w:tcPr>
          <w:p w14:paraId="67B5629D">
            <w:pPr>
              <w:spacing w:line="24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编列内容</w:t>
            </w:r>
          </w:p>
        </w:tc>
      </w:tr>
      <w:tr w14:paraId="4F0EE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5" w:hRule="atLeast"/>
          <w:jc w:val="center"/>
        </w:trPr>
        <w:tc>
          <w:tcPr>
            <w:tcW w:w="841" w:type="dxa"/>
            <w:vAlign w:val="center"/>
          </w:tcPr>
          <w:p w14:paraId="4919F702">
            <w:pPr>
              <w:widowControl w:val="0"/>
              <w:autoSpaceDE w:val="0"/>
              <w:autoSpaceDN w:val="0"/>
              <w:adjustRightInd w:val="0"/>
              <w:spacing w:line="240"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2.2.1</w:t>
            </w:r>
          </w:p>
        </w:tc>
        <w:tc>
          <w:tcPr>
            <w:tcW w:w="1310" w:type="dxa"/>
            <w:vAlign w:val="center"/>
          </w:tcPr>
          <w:p w14:paraId="2C54C665">
            <w:pPr>
              <w:widowControl w:val="0"/>
              <w:autoSpaceDE w:val="0"/>
              <w:autoSpaceDN w:val="0"/>
              <w:adjustRightInd w:val="0"/>
              <w:spacing w:line="240"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分值构成</w:t>
            </w:r>
          </w:p>
          <w:p w14:paraId="331E8036">
            <w:pPr>
              <w:widowControl w:val="0"/>
              <w:autoSpaceDE w:val="0"/>
              <w:autoSpaceDN w:val="0"/>
              <w:adjustRightInd w:val="0"/>
              <w:spacing w:line="240" w:lineRule="auto"/>
              <w:jc w:val="center"/>
              <w:textAlignment w:val="auto"/>
              <w:rPr>
                <w:rFonts w:ascii="宋体" w:hAnsi="宋体" w:cs="宋体"/>
                <w:color w:val="auto"/>
                <w:sz w:val="24"/>
                <w:szCs w:val="24"/>
                <w:highlight w:val="none"/>
              </w:rPr>
            </w:pPr>
          </w:p>
          <w:p w14:paraId="3AE11EB3">
            <w:pPr>
              <w:widowControl w:val="0"/>
              <w:snapToGrid w:val="0"/>
              <w:spacing w:line="24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（总分100 分）</w:t>
            </w:r>
          </w:p>
        </w:tc>
        <w:tc>
          <w:tcPr>
            <w:tcW w:w="7879" w:type="dxa"/>
            <w:vAlign w:val="center"/>
          </w:tcPr>
          <w:p w14:paraId="73C86B47">
            <w:pPr>
              <w:widowControl w:val="0"/>
              <w:snapToGrid w:val="0"/>
              <w:spacing w:line="240" w:lineRule="auto"/>
              <w:rPr>
                <w:rFonts w:ascii="宋体" w:hAnsi="宋体" w:cs="宋体"/>
                <w:color w:val="auto"/>
                <w:sz w:val="24"/>
                <w:szCs w:val="24"/>
                <w:highlight w:val="none"/>
                <w:u w:val="single"/>
              </w:rPr>
            </w:pPr>
            <w:r>
              <w:rPr>
                <w:rFonts w:hint="eastAsia" w:ascii="宋体" w:hAnsi="宋体" w:cs="宋体"/>
                <w:color w:val="auto"/>
                <w:sz w:val="24"/>
                <w:szCs w:val="24"/>
                <w:highlight w:val="none"/>
              </w:rPr>
              <w:t>价格：</w:t>
            </w:r>
            <w:r>
              <w:rPr>
                <w:rFonts w:hint="eastAsia" w:ascii="宋体" w:hAnsi="宋体" w:cs="宋体"/>
                <w:color w:val="auto"/>
                <w:sz w:val="24"/>
                <w:szCs w:val="24"/>
                <w:highlight w:val="none"/>
                <w:u w:val="single"/>
              </w:rPr>
              <w:t>30</w:t>
            </w:r>
            <w:r>
              <w:rPr>
                <w:rFonts w:hint="eastAsia" w:ascii="宋体" w:hAnsi="宋体" w:cs="宋体"/>
                <w:color w:val="auto"/>
                <w:sz w:val="24"/>
                <w:szCs w:val="24"/>
                <w:highlight w:val="none"/>
              </w:rPr>
              <w:t>分</w:t>
            </w:r>
          </w:p>
          <w:p w14:paraId="70EC43B6">
            <w:pPr>
              <w:widowControl w:val="0"/>
              <w:snapToGrid w:val="0"/>
              <w:spacing w:line="240" w:lineRule="auto"/>
              <w:rPr>
                <w:rFonts w:ascii="宋体" w:hAnsi="宋体" w:cs="宋体"/>
                <w:color w:val="auto"/>
                <w:sz w:val="24"/>
                <w:szCs w:val="24"/>
                <w:highlight w:val="none"/>
              </w:rPr>
            </w:pPr>
            <w:r>
              <w:rPr>
                <w:rFonts w:hint="eastAsia" w:ascii="宋体" w:hAnsi="宋体" w:cs="宋体"/>
                <w:color w:val="auto"/>
                <w:sz w:val="24"/>
                <w:szCs w:val="24"/>
                <w:highlight w:val="none"/>
              </w:rPr>
              <w:t>技术：</w:t>
            </w:r>
            <w:r>
              <w:rPr>
                <w:rFonts w:hint="eastAsia" w:ascii="宋体" w:hAnsi="宋体" w:cs="宋体"/>
                <w:color w:val="auto"/>
                <w:sz w:val="24"/>
                <w:szCs w:val="24"/>
                <w:highlight w:val="none"/>
                <w:u w:val="single"/>
              </w:rPr>
              <w:t>27</w:t>
            </w:r>
            <w:r>
              <w:rPr>
                <w:rFonts w:hint="eastAsia" w:ascii="宋体" w:hAnsi="宋体" w:cs="宋体"/>
                <w:color w:val="auto"/>
                <w:sz w:val="24"/>
                <w:szCs w:val="24"/>
                <w:highlight w:val="none"/>
              </w:rPr>
              <w:t>分</w:t>
            </w:r>
          </w:p>
          <w:p w14:paraId="55969FCA">
            <w:pPr>
              <w:widowControl w:val="0"/>
              <w:snapToGrid w:val="0"/>
              <w:spacing w:line="240" w:lineRule="auto"/>
              <w:rPr>
                <w:rFonts w:ascii="宋体" w:hAnsi="宋体" w:cs="宋体"/>
                <w:color w:val="auto"/>
                <w:sz w:val="24"/>
                <w:szCs w:val="24"/>
                <w:highlight w:val="none"/>
              </w:rPr>
            </w:pPr>
            <w:r>
              <w:rPr>
                <w:rFonts w:hint="eastAsia" w:ascii="宋体" w:hAnsi="宋体" w:cs="宋体"/>
                <w:color w:val="auto"/>
                <w:sz w:val="24"/>
                <w:szCs w:val="24"/>
                <w:highlight w:val="none"/>
              </w:rPr>
              <w:t>履约能力：</w:t>
            </w:r>
            <w:r>
              <w:rPr>
                <w:rFonts w:hint="eastAsia" w:ascii="宋体" w:hAnsi="宋体" w:cs="宋体"/>
                <w:color w:val="auto"/>
                <w:sz w:val="24"/>
                <w:szCs w:val="24"/>
                <w:highlight w:val="none"/>
                <w:u w:val="single"/>
              </w:rPr>
              <w:t xml:space="preserve"> 30</w:t>
            </w:r>
            <w:r>
              <w:rPr>
                <w:rFonts w:hint="eastAsia" w:ascii="宋体" w:hAnsi="宋体" w:cs="宋体"/>
                <w:color w:val="auto"/>
                <w:sz w:val="24"/>
                <w:szCs w:val="24"/>
                <w:highlight w:val="none"/>
              </w:rPr>
              <w:t>分</w:t>
            </w:r>
          </w:p>
          <w:p w14:paraId="51B29BDF">
            <w:pPr>
              <w:widowControl w:val="0"/>
              <w:snapToGrid w:val="0"/>
              <w:spacing w:line="240" w:lineRule="auto"/>
              <w:rPr>
                <w:rFonts w:ascii="宋体" w:hAnsi="宋体" w:cs="宋体"/>
                <w:color w:val="auto"/>
                <w:sz w:val="24"/>
                <w:szCs w:val="24"/>
                <w:highlight w:val="none"/>
              </w:rPr>
            </w:pPr>
            <w:r>
              <w:rPr>
                <w:rFonts w:hint="eastAsia" w:ascii="宋体" w:hAnsi="宋体" w:cs="宋体"/>
                <w:color w:val="auto"/>
                <w:sz w:val="24"/>
                <w:szCs w:val="24"/>
                <w:highlight w:val="none"/>
              </w:rPr>
              <w:t>售后服务：</w:t>
            </w:r>
            <w:r>
              <w:rPr>
                <w:rFonts w:hint="eastAsia" w:ascii="宋体" w:hAnsi="宋体" w:cs="宋体"/>
                <w:color w:val="auto"/>
                <w:sz w:val="24"/>
                <w:szCs w:val="24"/>
                <w:highlight w:val="none"/>
                <w:u w:val="single"/>
              </w:rPr>
              <w:t>13</w:t>
            </w:r>
            <w:r>
              <w:rPr>
                <w:rFonts w:hint="eastAsia" w:ascii="宋体" w:hAnsi="宋体" w:cs="宋体"/>
                <w:color w:val="auto"/>
                <w:sz w:val="24"/>
                <w:szCs w:val="24"/>
                <w:highlight w:val="none"/>
              </w:rPr>
              <w:t>分</w:t>
            </w:r>
          </w:p>
        </w:tc>
      </w:tr>
      <w:tr w14:paraId="70143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841" w:type="dxa"/>
            <w:vAlign w:val="center"/>
          </w:tcPr>
          <w:p w14:paraId="0CE90A1A">
            <w:pPr>
              <w:widowControl w:val="0"/>
              <w:autoSpaceDE w:val="0"/>
              <w:autoSpaceDN w:val="0"/>
              <w:adjustRightInd w:val="0"/>
              <w:spacing w:line="240" w:lineRule="auto"/>
              <w:jc w:val="center"/>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条款号</w:t>
            </w:r>
          </w:p>
        </w:tc>
        <w:tc>
          <w:tcPr>
            <w:tcW w:w="1310" w:type="dxa"/>
            <w:vAlign w:val="center"/>
          </w:tcPr>
          <w:p w14:paraId="230A290A">
            <w:pPr>
              <w:widowControl w:val="0"/>
              <w:snapToGrid w:val="0"/>
              <w:spacing w:line="240" w:lineRule="auto"/>
              <w:ind w:hanging="13"/>
              <w:jc w:val="center"/>
              <w:rPr>
                <w:rFonts w:ascii="宋体" w:hAnsi="宋体" w:cs="宋体"/>
                <w:b/>
                <w:color w:val="auto"/>
                <w:sz w:val="24"/>
                <w:szCs w:val="24"/>
                <w:highlight w:val="none"/>
              </w:rPr>
            </w:pPr>
            <w:r>
              <w:rPr>
                <w:rFonts w:hint="eastAsia" w:ascii="宋体" w:hAnsi="宋体" w:cs="宋体"/>
                <w:b/>
                <w:color w:val="auto"/>
                <w:sz w:val="24"/>
                <w:szCs w:val="24"/>
                <w:highlight w:val="none"/>
              </w:rPr>
              <w:t>评分因素</w:t>
            </w:r>
          </w:p>
        </w:tc>
        <w:tc>
          <w:tcPr>
            <w:tcW w:w="7879" w:type="dxa"/>
            <w:vAlign w:val="center"/>
          </w:tcPr>
          <w:p w14:paraId="666BE715">
            <w:pPr>
              <w:widowControl w:val="0"/>
              <w:snapToGrid w:val="0"/>
              <w:spacing w:line="24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评分标准</w:t>
            </w:r>
          </w:p>
        </w:tc>
      </w:tr>
      <w:tr w14:paraId="700B8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2" w:hRule="atLeast"/>
          <w:jc w:val="center"/>
        </w:trPr>
        <w:tc>
          <w:tcPr>
            <w:tcW w:w="841" w:type="dxa"/>
            <w:vAlign w:val="center"/>
          </w:tcPr>
          <w:p w14:paraId="6360B15C">
            <w:pPr>
              <w:widowControl w:val="0"/>
              <w:autoSpaceDE w:val="0"/>
              <w:autoSpaceDN w:val="0"/>
              <w:adjustRightInd w:val="0"/>
              <w:spacing w:line="240"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2.2.2.1</w:t>
            </w:r>
          </w:p>
        </w:tc>
        <w:tc>
          <w:tcPr>
            <w:tcW w:w="1310" w:type="dxa"/>
            <w:vAlign w:val="center"/>
          </w:tcPr>
          <w:p w14:paraId="7DA29C66">
            <w:pPr>
              <w:widowControl w:val="0"/>
              <w:autoSpaceDE w:val="0"/>
              <w:autoSpaceDN w:val="0"/>
              <w:adjustRightInd w:val="0"/>
              <w:snapToGrid w:val="0"/>
              <w:spacing w:line="240"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价格（3</w:t>
            </w:r>
            <w:r>
              <w:rPr>
                <w:rFonts w:ascii="宋体" w:hAnsi="宋体" w:cs="宋体"/>
                <w:color w:val="auto"/>
                <w:sz w:val="24"/>
                <w:szCs w:val="24"/>
                <w:highlight w:val="none"/>
              </w:rPr>
              <w:t>0</w:t>
            </w:r>
            <w:r>
              <w:rPr>
                <w:rFonts w:hint="eastAsia" w:ascii="宋体" w:hAnsi="宋体" w:cs="宋体"/>
                <w:color w:val="auto"/>
                <w:sz w:val="24"/>
                <w:szCs w:val="24"/>
                <w:highlight w:val="none"/>
              </w:rPr>
              <w:t>）</w:t>
            </w:r>
          </w:p>
        </w:tc>
        <w:tc>
          <w:tcPr>
            <w:tcW w:w="7879" w:type="dxa"/>
            <w:vAlign w:val="center"/>
          </w:tcPr>
          <w:p w14:paraId="327F0B1B">
            <w:pPr>
              <w:widowControl w:val="0"/>
              <w:snapToGrid w:val="0"/>
              <w:spacing w:line="288" w:lineRule="auto"/>
              <w:rPr>
                <w:rFonts w:ascii="宋体" w:hAnsi="宋体" w:cs="宋体"/>
                <w:color w:val="auto"/>
                <w:sz w:val="24"/>
                <w:szCs w:val="24"/>
                <w:highlight w:val="none"/>
              </w:rPr>
            </w:pPr>
            <w:r>
              <w:rPr>
                <w:rFonts w:hint="eastAsia" w:ascii="宋体" w:hAnsi="宋体" w:cs="宋体"/>
                <w:color w:val="auto"/>
                <w:sz w:val="24"/>
                <w:szCs w:val="24"/>
                <w:highlight w:val="none"/>
              </w:rPr>
              <w:t>（1）按第四章“评标办法”第4条规定，评审小微企业价格扣除</w:t>
            </w:r>
          </w:p>
          <w:p w14:paraId="75636A97">
            <w:pPr>
              <w:widowControl w:val="0"/>
              <w:snapToGrid w:val="0"/>
              <w:spacing w:line="288" w:lineRule="auto"/>
              <w:rPr>
                <w:rFonts w:ascii="宋体" w:hAnsi="宋体" w:cs="宋体"/>
                <w:color w:val="auto"/>
                <w:sz w:val="24"/>
                <w:szCs w:val="24"/>
                <w:highlight w:val="none"/>
              </w:rPr>
            </w:pPr>
            <w:r>
              <w:rPr>
                <w:rFonts w:hint="eastAsia" w:ascii="宋体" w:hAnsi="宋体" w:cs="宋体"/>
                <w:color w:val="auto"/>
                <w:sz w:val="24"/>
                <w:szCs w:val="24"/>
                <w:highlight w:val="none"/>
              </w:rPr>
              <w:t>（2）价格因素评分</w:t>
            </w:r>
          </w:p>
          <w:p w14:paraId="27F7945B">
            <w:pPr>
              <w:widowControl w:val="0"/>
              <w:snapToGrid w:val="0"/>
              <w:spacing w:line="288" w:lineRule="auto"/>
              <w:rPr>
                <w:rFonts w:ascii="宋体" w:hAnsi="宋体" w:cs="宋体"/>
                <w:color w:val="auto"/>
                <w:sz w:val="24"/>
                <w:szCs w:val="24"/>
                <w:highlight w:val="none"/>
              </w:rPr>
            </w:pPr>
            <w:r>
              <w:rPr>
                <w:rFonts w:hint="eastAsia" w:ascii="宋体" w:hAnsi="宋体" w:cs="宋体"/>
                <w:color w:val="auto"/>
                <w:sz w:val="24"/>
                <w:szCs w:val="24"/>
                <w:highlight w:val="none"/>
              </w:rPr>
              <w:t>所有有效投标人的投标报价（扣除经评审合格的“价格扣除”）中，价格最低的投标报价（扣除经评审合格的“价格扣除”）为评标基准价。</w:t>
            </w:r>
          </w:p>
          <w:p w14:paraId="10FB8FF3">
            <w:pPr>
              <w:widowControl w:val="0"/>
              <w:snapToGrid w:val="0"/>
              <w:spacing w:line="288" w:lineRule="auto"/>
              <w:rPr>
                <w:rFonts w:ascii="宋体" w:hAnsi="宋体" w:cs="宋体"/>
                <w:color w:val="auto"/>
                <w:sz w:val="24"/>
                <w:szCs w:val="24"/>
                <w:highlight w:val="none"/>
              </w:rPr>
            </w:pPr>
            <w:r>
              <w:rPr>
                <w:rFonts w:hint="eastAsia" w:ascii="宋体" w:hAnsi="宋体" w:cs="宋体"/>
                <w:color w:val="auto"/>
                <w:sz w:val="24"/>
                <w:szCs w:val="24"/>
                <w:highlight w:val="none"/>
              </w:rPr>
              <w:t>有效投标报价（扣除经评审合格的“价格扣除”）等于评标基准价的得30分。</w:t>
            </w:r>
          </w:p>
          <w:p w14:paraId="31889161">
            <w:pPr>
              <w:widowControl w:val="0"/>
              <w:snapToGrid w:val="0"/>
              <w:spacing w:line="288" w:lineRule="auto"/>
              <w:rPr>
                <w:rFonts w:ascii="宋体" w:hAnsi="宋体" w:cs="宋体"/>
                <w:color w:val="auto"/>
                <w:sz w:val="24"/>
                <w:szCs w:val="24"/>
                <w:highlight w:val="none"/>
              </w:rPr>
            </w:pPr>
            <w:r>
              <w:rPr>
                <w:rFonts w:hint="eastAsia" w:ascii="宋体" w:hAnsi="宋体" w:cs="宋体"/>
                <w:color w:val="auto"/>
                <w:sz w:val="24"/>
                <w:szCs w:val="24"/>
                <w:highlight w:val="none"/>
              </w:rPr>
              <w:t>其他投标人投标报价（扣除经评审合格的“价格扣除”）得分=（评标基准价/最后投标报价&lt;扣除经评审合格的“价格扣除”&gt;）×0.3×100。</w:t>
            </w:r>
          </w:p>
        </w:tc>
      </w:tr>
      <w:tr w14:paraId="71E4E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0" w:hRule="atLeast"/>
          <w:jc w:val="center"/>
        </w:trPr>
        <w:tc>
          <w:tcPr>
            <w:tcW w:w="841" w:type="dxa"/>
            <w:vMerge w:val="restart"/>
            <w:vAlign w:val="center"/>
          </w:tcPr>
          <w:p w14:paraId="6CD71629">
            <w:pPr>
              <w:widowControl w:val="0"/>
              <w:autoSpaceDE w:val="0"/>
              <w:autoSpaceDN w:val="0"/>
              <w:adjustRightInd w:val="0"/>
              <w:spacing w:line="240"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2.2.2.2</w:t>
            </w:r>
          </w:p>
        </w:tc>
        <w:tc>
          <w:tcPr>
            <w:tcW w:w="1310" w:type="dxa"/>
            <w:vMerge w:val="restart"/>
            <w:vAlign w:val="center"/>
          </w:tcPr>
          <w:p w14:paraId="65A40CA9">
            <w:pPr>
              <w:widowControl w:val="0"/>
              <w:autoSpaceDE w:val="0"/>
              <w:autoSpaceDN w:val="0"/>
              <w:adjustRightInd w:val="0"/>
              <w:snapToGrid w:val="0"/>
              <w:spacing w:line="240"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技术</w:t>
            </w:r>
          </w:p>
          <w:p w14:paraId="28F72098">
            <w:pPr>
              <w:widowControl w:val="0"/>
              <w:autoSpaceDE w:val="0"/>
              <w:autoSpaceDN w:val="0"/>
              <w:adjustRightInd w:val="0"/>
              <w:snapToGrid w:val="0"/>
              <w:spacing w:line="240" w:lineRule="auto"/>
              <w:jc w:val="center"/>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（2</w:t>
            </w:r>
            <w:r>
              <w:rPr>
                <w:rFonts w:ascii="宋体" w:hAnsi="宋体" w:cs="宋体"/>
                <w:b/>
                <w:color w:val="auto"/>
                <w:sz w:val="24"/>
                <w:szCs w:val="24"/>
                <w:highlight w:val="none"/>
              </w:rPr>
              <w:t>7</w:t>
            </w:r>
            <w:r>
              <w:rPr>
                <w:rFonts w:hint="eastAsia" w:ascii="宋体" w:hAnsi="宋体" w:cs="宋体"/>
                <w:b/>
                <w:color w:val="auto"/>
                <w:sz w:val="24"/>
                <w:szCs w:val="24"/>
                <w:highlight w:val="none"/>
              </w:rPr>
              <w:t>）</w:t>
            </w:r>
          </w:p>
        </w:tc>
        <w:tc>
          <w:tcPr>
            <w:tcW w:w="7879" w:type="dxa"/>
            <w:vAlign w:val="center"/>
          </w:tcPr>
          <w:p w14:paraId="66156AB4">
            <w:pPr>
              <w:pStyle w:val="58"/>
              <w:snapToGrid w:val="0"/>
              <w:spacing w:line="288" w:lineRule="auto"/>
              <w:rPr>
                <w:rFonts w:hAnsi="宋体" w:cs="宋体"/>
                <w:color w:val="auto"/>
                <w:szCs w:val="24"/>
                <w:highlight w:val="none"/>
              </w:rPr>
            </w:pPr>
            <w:r>
              <w:rPr>
                <w:rFonts w:hint="eastAsia" w:hAnsi="宋体" w:cs="宋体"/>
                <w:color w:val="auto"/>
                <w:szCs w:val="24"/>
                <w:highlight w:val="none"/>
              </w:rPr>
              <w:t>1、技术参数响应（1</w:t>
            </w:r>
            <w:r>
              <w:rPr>
                <w:rFonts w:hAnsi="宋体" w:cs="宋体"/>
                <w:color w:val="auto"/>
                <w:szCs w:val="24"/>
                <w:highlight w:val="none"/>
              </w:rPr>
              <w:t>5</w:t>
            </w:r>
            <w:r>
              <w:rPr>
                <w:rFonts w:hint="eastAsia" w:hAnsi="宋体" w:cs="宋体"/>
                <w:color w:val="auto"/>
                <w:szCs w:val="24"/>
                <w:highlight w:val="none"/>
              </w:rPr>
              <w:t>分）</w:t>
            </w:r>
          </w:p>
          <w:p w14:paraId="4D8C6D09">
            <w:pPr>
              <w:pStyle w:val="58"/>
              <w:snapToGrid w:val="0"/>
              <w:spacing w:line="288" w:lineRule="auto"/>
              <w:rPr>
                <w:rFonts w:hAnsi="宋体" w:cs="宋体"/>
                <w:color w:val="auto"/>
                <w:szCs w:val="24"/>
                <w:highlight w:val="none"/>
              </w:rPr>
            </w:pPr>
            <w:r>
              <w:rPr>
                <w:rFonts w:hint="eastAsia" w:hAnsi="宋体" w:cs="宋体"/>
                <w:color w:val="auto"/>
                <w:szCs w:val="24"/>
                <w:highlight w:val="none"/>
              </w:rPr>
              <w:t>（1）第二章“基本技术要求”中带实心三角（▲）为重要性的技术参数指标，参数指标不接受负偏差，须提供带“CMA”、“CNAS”标识的第三方国家权威机构检测报告予以佐证。其中序号“</w:t>
            </w:r>
            <w:r>
              <w:rPr>
                <w:rFonts w:hint="eastAsia" w:hAnsi="宋体" w:cs="宋体"/>
                <w:color w:val="auto"/>
                <w:szCs w:val="24"/>
                <w:highlight w:val="none"/>
                <w:lang w:val="en-US" w:eastAsia="zh-CN"/>
              </w:rPr>
              <w:t>29</w:t>
            </w:r>
            <w:r>
              <w:rPr>
                <w:rFonts w:hint="eastAsia" w:hAnsi="宋体" w:cs="宋体"/>
                <w:color w:val="auto"/>
                <w:szCs w:val="24"/>
                <w:highlight w:val="none"/>
              </w:rPr>
              <w:t>”（</w:t>
            </w:r>
            <w:r>
              <w:rPr>
                <w:rFonts w:hint="eastAsia" w:hAnsi="宋体" w:cs="宋体"/>
                <w:color w:val="auto"/>
                <w:szCs w:val="24"/>
                <w:highlight w:val="none"/>
                <w:lang w:bidi="ar"/>
              </w:rPr>
              <w:t>音箱吊挂设备</w:t>
            </w:r>
            <w:r>
              <w:rPr>
                <w:rFonts w:hint="eastAsia" w:hAnsi="宋体" w:cs="宋体"/>
                <w:color w:val="auto"/>
                <w:szCs w:val="24"/>
                <w:highlight w:val="none"/>
              </w:rPr>
              <w:t>）须提供相关安全证书予以佐证。</w:t>
            </w:r>
          </w:p>
          <w:p w14:paraId="782FDCDF">
            <w:pPr>
              <w:pStyle w:val="58"/>
              <w:snapToGrid w:val="0"/>
              <w:spacing w:line="288" w:lineRule="auto"/>
              <w:rPr>
                <w:rFonts w:hAnsi="宋体" w:cs="宋体"/>
                <w:color w:val="auto"/>
                <w:szCs w:val="24"/>
                <w:highlight w:val="none"/>
              </w:rPr>
            </w:pPr>
            <w:r>
              <w:rPr>
                <w:rFonts w:hint="eastAsia" w:hAnsi="宋体" w:cs="宋体"/>
                <w:color w:val="auto"/>
                <w:szCs w:val="24"/>
                <w:highlight w:val="none"/>
              </w:rPr>
              <w:t>（2）所有实心三角（▲）项均提供检测报告（证书）的得1</w:t>
            </w:r>
            <w:r>
              <w:rPr>
                <w:rFonts w:hAnsi="宋体" w:cs="宋体"/>
                <w:color w:val="auto"/>
                <w:szCs w:val="24"/>
                <w:highlight w:val="none"/>
              </w:rPr>
              <w:t>5</w:t>
            </w:r>
            <w:r>
              <w:rPr>
                <w:rFonts w:hint="eastAsia" w:hAnsi="宋体" w:cs="宋体"/>
                <w:color w:val="auto"/>
                <w:szCs w:val="24"/>
                <w:highlight w:val="none"/>
              </w:rPr>
              <w:t>分，每缺一项技术参数的检测报告（证书）扣2分；除“▲”外的技术参数，每一项负偏差扣1分；最多扣1</w:t>
            </w:r>
            <w:r>
              <w:rPr>
                <w:rFonts w:hAnsi="宋体" w:cs="宋体"/>
                <w:color w:val="auto"/>
                <w:szCs w:val="24"/>
                <w:highlight w:val="none"/>
              </w:rPr>
              <w:t>5</w:t>
            </w:r>
            <w:r>
              <w:rPr>
                <w:rFonts w:hint="eastAsia" w:hAnsi="宋体" w:cs="宋体"/>
                <w:color w:val="auto"/>
                <w:szCs w:val="24"/>
                <w:highlight w:val="none"/>
              </w:rPr>
              <w:t>分。</w:t>
            </w:r>
          </w:p>
        </w:tc>
      </w:tr>
      <w:tr w14:paraId="02A4C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841" w:type="dxa"/>
            <w:vMerge w:val="continue"/>
            <w:vAlign w:val="center"/>
          </w:tcPr>
          <w:p w14:paraId="69D8BF3C">
            <w:pPr>
              <w:widowControl w:val="0"/>
              <w:autoSpaceDE w:val="0"/>
              <w:autoSpaceDN w:val="0"/>
              <w:adjustRightInd w:val="0"/>
              <w:spacing w:line="240" w:lineRule="auto"/>
              <w:jc w:val="center"/>
              <w:textAlignment w:val="auto"/>
              <w:rPr>
                <w:rFonts w:ascii="宋体" w:hAnsi="宋体" w:cs="宋体"/>
                <w:color w:val="auto"/>
                <w:sz w:val="24"/>
                <w:szCs w:val="24"/>
                <w:highlight w:val="none"/>
              </w:rPr>
            </w:pPr>
          </w:p>
        </w:tc>
        <w:tc>
          <w:tcPr>
            <w:tcW w:w="1310" w:type="dxa"/>
            <w:vMerge w:val="continue"/>
            <w:vAlign w:val="center"/>
          </w:tcPr>
          <w:p w14:paraId="15507D33">
            <w:pPr>
              <w:widowControl w:val="0"/>
              <w:autoSpaceDE w:val="0"/>
              <w:autoSpaceDN w:val="0"/>
              <w:adjustRightInd w:val="0"/>
              <w:snapToGrid w:val="0"/>
              <w:spacing w:line="240" w:lineRule="auto"/>
              <w:jc w:val="center"/>
              <w:textAlignment w:val="auto"/>
              <w:rPr>
                <w:rFonts w:ascii="宋体" w:hAnsi="宋体" w:cs="宋体"/>
                <w:color w:val="auto"/>
                <w:sz w:val="24"/>
                <w:szCs w:val="24"/>
                <w:highlight w:val="none"/>
              </w:rPr>
            </w:pPr>
          </w:p>
        </w:tc>
        <w:tc>
          <w:tcPr>
            <w:tcW w:w="7879" w:type="dxa"/>
            <w:vAlign w:val="center"/>
          </w:tcPr>
          <w:p w14:paraId="6269EFD4">
            <w:pPr>
              <w:widowControl w:val="0"/>
              <w:snapToGrid w:val="0"/>
              <w:spacing w:line="288" w:lineRule="auto"/>
              <w:rPr>
                <w:rFonts w:ascii="宋体" w:hAnsi="宋体" w:cs="宋体"/>
                <w:color w:val="auto"/>
                <w:sz w:val="24"/>
                <w:szCs w:val="24"/>
                <w:highlight w:val="none"/>
              </w:rPr>
            </w:pPr>
            <w:r>
              <w:rPr>
                <w:rFonts w:hint="eastAsia" w:ascii="宋体" w:hAnsi="宋体" w:cs="宋体"/>
                <w:color w:val="auto"/>
                <w:sz w:val="24"/>
                <w:szCs w:val="24"/>
                <w:highlight w:val="none"/>
              </w:rPr>
              <w:t>2、提供舞台机械深化设计图纸（3分）</w:t>
            </w:r>
          </w:p>
          <w:p w14:paraId="03F18E78">
            <w:pPr>
              <w:widowControl w:val="0"/>
              <w:snapToGrid w:val="0"/>
              <w:spacing w:line="288" w:lineRule="auto"/>
              <w:rPr>
                <w:rFonts w:ascii="宋体" w:hAnsi="宋体" w:cs="宋体"/>
                <w:color w:val="auto"/>
                <w:sz w:val="24"/>
                <w:szCs w:val="24"/>
                <w:highlight w:val="none"/>
              </w:rPr>
            </w:pPr>
            <w:r>
              <w:rPr>
                <w:rFonts w:hint="eastAsia" w:ascii="宋体" w:hAnsi="宋体" w:cs="宋体"/>
                <w:color w:val="auto"/>
                <w:sz w:val="24"/>
                <w:szCs w:val="24"/>
                <w:highlight w:val="none"/>
              </w:rPr>
              <w:t>a.图纸细致完善、符合实际、可行性高、量化操作，得3分；</w:t>
            </w:r>
          </w:p>
          <w:p w14:paraId="32BE6F56">
            <w:pPr>
              <w:widowControl w:val="0"/>
              <w:snapToGrid w:val="0"/>
              <w:spacing w:line="288" w:lineRule="auto"/>
              <w:rPr>
                <w:rFonts w:ascii="宋体" w:hAnsi="宋体" w:cs="宋体"/>
                <w:color w:val="auto"/>
                <w:sz w:val="24"/>
                <w:szCs w:val="24"/>
                <w:highlight w:val="none"/>
              </w:rPr>
            </w:pPr>
            <w:r>
              <w:rPr>
                <w:rFonts w:hint="eastAsia" w:ascii="宋体" w:hAnsi="宋体" w:cs="宋体"/>
                <w:color w:val="auto"/>
                <w:sz w:val="24"/>
                <w:szCs w:val="24"/>
                <w:highlight w:val="none"/>
              </w:rPr>
              <w:t>b.图纸完善、较符合实际、可行性较高、操作性强，得2分；</w:t>
            </w:r>
          </w:p>
          <w:p w14:paraId="29CBB1E1">
            <w:pPr>
              <w:widowControl w:val="0"/>
              <w:snapToGrid w:val="0"/>
              <w:spacing w:line="288" w:lineRule="auto"/>
              <w:rPr>
                <w:rFonts w:ascii="宋体" w:hAnsi="宋体" w:cs="宋体"/>
                <w:color w:val="auto"/>
                <w:sz w:val="24"/>
                <w:szCs w:val="24"/>
                <w:highlight w:val="none"/>
              </w:rPr>
            </w:pPr>
            <w:r>
              <w:rPr>
                <w:rFonts w:hint="eastAsia" w:ascii="宋体" w:hAnsi="宋体" w:cs="宋体"/>
                <w:color w:val="auto"/>
                <w:sz w:val="24"/>
                <w:szCs w:val="24"/>
                <w:highlight w:val="none"/>
              </w:rPr>
              <w:t>c.图纸基本完整、符合实际一般、可行性一般、可操作，得1分；</w:t>
            </w:r>
          </w:p>
          <w:p w14:paraId="319881A8">
            <w:pPr>
              <w:widowControl w:val="0"/>
              <w:snapToGrid w:val="0"/>
              <w:spacing w:line="288" w:lineRule="auto"/>
              <w:rPr>
                <w:rFonts w:ascii="宋体" w:hAnsi="宋体" w:cs="宋体"/>
                <w:color w:val="auto"/>
                <w:sz w:val="24"/>
                <w:szCs w:val="24"/>
                <w:highlight w:val="none"/>
              </w:rPr>
            </w:pPr>
            <w:r>
              <w:rPr>
                <w:rFonts w:hint="eastAsia" w:ascii="宋体" w:hAnsi="宋体" w:cs="宋体"/>
                <w:color w:val="auto"/>
                <w:sz w:val="24"/>
                <w:szCs w:val="24"/>
                <w:highlight w:val="none"/>
              </w:rPr>
              <w:t>d.不符合项目实际要求或未提供的不得分。</w:t>
            </w:r>
          </w:p>
        </w:tc>
      </w:tr>
      <w:tr w14:paraId="12A7D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841" w:type="dxa"/>
            <w:vMerge w:val="continue"/>
            <w:vAlign w:val="center"/>
          </w:tcPr>
          <w:p w14:paraId="582B12F7">
            <w:pPr>
              <w:widowControl w:val="0"/>
              <w:autoSpaceDE w:val="0"/>
              <w:autoSpaceDN w:val="0"/>
              <w:adjustRightInd w:val="0"/>
              <w:spacing w:line="240" w:lineRule="auto"/>
              <w:jc w:val="center"/>
              <w:textAlignment w:val="auto"/>
              <w:rPr>
                <w:rFonts w:ascii="宋体" w:hAnsi="宋体" w:cs="宋体"/>
                <w:color w:val="auto"/>
                <w:sz w:val="24"/>
                <w:szCs w:val="24"/>
                <w:highlight w:val="none"/>
              </w:rPr>
            </w:pPr>
          </w:p>
        </w:tc>
        <w:tc>
          <w:tcPr>
            <w:tcW w:w="1310" w:type="dxa"/>
            <w:vMerge w:val="continue"/>
            <w:vAlign w:val="center"/>
          </w:tcPr>
          <w:p w14:paraId="77F4B96A">
            <w:pPr>
              <w:widowControl w:val="0"/>
              <w:autoSpaceDE w:val="0"/>
              <w:autoSpaceDN w:val="0"/>
              <w:adjustRightInd w:val="0"/>
              <w:snapToGrid w:val="0"/>
              <w:spacing w:line="240" w:lineRule="auto"/>
              <w:jc w:val="center"/>
              <w:textAlignment w:val="auto"/>
              <w:rPr>
                <w:rFonts w:ascii="宋体" w:hAnsi="宋体" w:cs="宋体"/>
                <w:color w:val="auto"/>
                <w:sz w:val="24"/>
                <w:szCs w:val="24"/>
                <w:highlight w:val="none"/>
              </w:rPr>
            </w:pPr>
          </w:p>
        </w:tc>
        <w:tc>
          <w:tcPr>
            <w:tcW w:w="7879" w:type="dxa"/>
            <w:shd w:val="clear" w:color="auto" w:fill="auto"/>
            <w:vAlign w:val="center"/>
          </w:tcPr>
          <w:p w14:paraId="125EA5EA">
            <w:pPr>
              <w:widowControl w:val="0"/>
              <w:snapToGrid w:val="0"/>
              <w:spacing w:line="288" w:lineRule="auto"/>
              <w:rPr>
                <w:rFonts w:ascii="宋体" w:hAnsi="宋体" w:cs="宋体"/>
                <w:color w:val="auto"/>
                <w:sz w:val="24"/>
                <w:szCs w:val="24"/>
                <w:highlight w:val="none"/>
              </w:rPr>
            </w:pPr>
            <w:r>
              <w:rPr>
                <w:rFonts w:hint="eastAsia" w:ascii="宋体" w:hAnsi="宋体" w:cs="宋体"/>
                <w:color w:val="auto"/>
                <w:sz w:val="24"/>
                <w:szCs w:val="24"/>
                <w:highlight w:val="none"/>
              </w:rPr>
              <w:t>3、提供舞灯具深化设计点位图纸（3分）</w:t>
            </w:r>
          </w:p>
          <w:p w14:paraId="4904CC2C">
            <w:pPr>
              <w:widowControl w:val="0"/>
              <w:snapToGrid w:val="0"/>
              <w:spacing w:line="288" w:lineRule="auto"/>
              <w:rPr>
                <w:rFonts w:ascii="宋体" w:hAnsi="宋体" w:cs="宋体"/>
                <w:color w:val="auto"/>
                <w:sz w:val="24"/>
                <w:szCs w:val="24"/>
                <w:highlight w:val="none"/>
              </w:rPr>
            </w:pPr>
            <w:r>
              <w:rPr>
                <w:rFonts w:hint="eastAsia" w:ascii="宋体" w:hAnsi="宋体" w:cs="宋体"/>
                <w:color w:val="auto"/>
                <w:sz w:val="24"/>
                <w:szCs w:val="24"/>
                <w:highlight w:val="none"/>
              </w:rPr>
              <w:t>a.图纸细致完善、符合实际、可行性高、量化操作，得3分；</w:t>
            </w:r>
          </w:p>
          <w:p w14:paraId="4337496E">
            <w:pPr>
              <w:widowControl w:val="0"/>
              <w:snapToGrid w:val="0"/>
              <w:spacing w:line="288" w:lineRule="auto"/>
              <w:rPr>
                <w:rFonts w:ascii="宋体" w:hAnsi="宋体" w:cs="宋体"/>
                <w:color w:val="auto"/>
                <w:sz w:val="24"/>
                <w:szCs w:val="24"/>
                <w:highlight w:val="none"/>
              </w:rPr>
            </w:pPr>
            <w:r>
              <w:rPr>
                <w:rFonts w:hint="eastAsia" w:ascii="宋体" w:hAnsi="宋体" w:cs="宋体"/>
                <w:color w:val="auto"/>
                <w:sz w:val="24"/>
                <w:szCs w:val="24"/>
                <w:highlight w:val="none"/>
              </w:rPr>
              <w:t>b.图纸完善、较符合实际、可行性较高、操作性强，得2分；</w:t>
            </w:r>
          </w:p>
          <w:p w14:paraId="7E0C20D9">
            <w:pPr>
              <w:widowControl w:val="0"/>
              <w:snapToGrid w:val="0"/>
              <w:spacing w:line="288" w:lineRule="auto"/>
              <w:rPr>
                <w:rFonts w:ascii="宋体" w:hAnsi="宋体" w:cs="宋体"/>
                <w:color w:val="auto"/>
                <w:sz w:val="24"/>
                <w:szCs w:val="24"/>
                <w:highlight w:val="none"/>
              </w:rPr>
            </w:pPr>
            <w:r>
              <w:rPr>
                <w:rFonts w:hint="eastAsia" w:ascii="宋体" w:hAnsi="宋体" w:cs="宋体"/>
                <w:color w:val="auto"/>
                <w:sz w:val="24"/>
                <w:szCs w:val="24"/>
                <w:highlight w:val="none"/>
              </w:rPr>
              <w:t>c.图纸基本完整、符合实际一般、可行性一般、可操作，得1分；</w:t>
            </w:r>
          </w:p>
          <w:p w14:paraId="0E834D47">
            <w:pPr>
              <w:widowControl w:val="0"/>
              <w:snapToGrid w:val="0"/>
              <w:spacing w:line="288" w:lineRule="auto"/>
              <w:rPr>
                <w:rFonts w:ascii="宋体" w:hAnsi="宋体" w:cs="宋体"/>
                <w:color w:val="auto"/>
                <w:sz w:val="24"/>
                <w:szCs w:val="24"/>
                <w:highlight w:val="none"/>
              </w:rPr>
            </w:pPr>
            <w:r>
              <w:rPr>
                <w:rFonts w:hint="eastAsia" w:ascii="宋体" w:hAnsi="宋体" w:cs="宋体"/>
                <w:color w:val="auto"/>
                <w:sz w:val="24"/>
                <w:szCs w:val="24"/>
                <w:highlight w:val="none"/>
              </w:rPr>
              <w:t>d.不符合项目实际要求或未提供的不得分。</w:t>
            </w:r>
          </w:p>
        </w:tc>
      </w:tr>
      <w:tr w14:paraId="7397C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jc w:val="center"/>
        </w:trPr>
        <w:tc>
          <w:tcPr>
            <w:tcW w:w="841" w:type="dxa"/>
            <w:vMerge w:val="continue"/>
            <w:vAlign w:val="center"/>
          </w:tcPr>
          <w:p w14:paraId="71C4A67B">
            <w:pPr>
              <w:widowControl w:val="0"/>
              <w:autoSpaceDE w:val="0"/>
              <w:autoSpaceDN w:val="0"/>
              <w:adjustRightInd w:val="0"/>
              <w:spacing w:line="240" w:lineRule="auto"/>
              <w:jc w:val="center"/>
              <w:textAlignment w:val="auto"/>
              <w:rPr>
                <w:rFonts w:ascii="宋体" w:hAnsi="宋体" w:cs="宋体"/>
                <w:color w:val="auto"/>
                <w:sz w:val="24"/>
                <w:szCs w:val="24"/>
                <w:highlight w:val="none"/>
              </w:rPr>
            </w:pPr>
          </w:p>
        </w:tc>
        <w:tc>
          <w:tcPr>
            <w:tcW w:w="1310" w:type="dxa"/>
            <w:vMerge w:val="continue"/>
            <w:vAlign w:val="center"/>
          </w:tcPr>
          <w:p w14:paraId="613D2B67">
            <w:pPr>
              <w:widowControl w:val="0"/>
              <w:autoSpaceDE w:val="0"/>
              <w:autoSpaceDN w:val="0"/>
              <w:adjustRightInd w:val="0"/>
              <w:snapToGrid w:val="0"/>
              <w:spacing w:line="240" w:lineRule="auto"/>
              <w:jc w:val="center"/>
              <w:textAlignment w:val="auto"/>
              <w:rPr>
                <w:rFonts w:ascii="宋体" w:hAnsi="宋体" w:cs="宋体"/>
                <w:color w:val="auto"/>
                <w:sz w:val="24"/>
                <w:szCs w:val="24"/>
                <w:highlight w:val="none"/>
              </w:rPr>
            </w:pPr>
          </w:p>
        </w:tc>
        <w:tc>
          <w:tcPr>
            <w:tcW w:w="7879" w:type="dxa"/>
            <w:shd w:val="clear" w:color="auto" w:fill="auto"/>
            <w:vAlign w:val="center"/>
          </w:tcPr>
          <w:p w14:paraId="3B72B416">
            <w:pPr>
              <w:widowControl w:val="0"/>
              <w:snapToGrid w:val="0"/>
              <w:spacing w:line="288" w:lineRule="auto"/>
              <w:rPr>
                <w:rFonts w:ascii="宋体" w:hAnsi="宋体" w:cs="宋体"/>
                <w:color w:val="auto"/>
                <w:sz w:val="24"/>
                <w:szCs w:val="24"/>
                <w:highlight w:val="none"/>
              </w:rPr>
            </w:pPr>
            <w:r>
              <w:rPr>
                <w:rFonts w:hint="eastAsia" w:ascii="宋体" w:hAnsi="宋体" w:cs="宋体"/>
                <w:color w:val="auto"/>
                <w:sz w:val="24"/>
                <w:szCs w:val="24"/>
                <w:highlight w:val="none"/>
              </w:rPr>
              <w:t>4、供货实施方案（3分）</w:t>
            </w:r>
          </w:p>
          <w:p w14:paraId="33325411">
            <w:pPr>
              <w:pStyle w:val="58"/>
              <w:snapToGrid w:val="0"/>
              <w:spacing w:line="288" w:lineRule="auto"/>
              <w:jc w:val="both"/>
              <w:rPr>
                <w:rFonts w:hAnsi="宋体" w:cs="宋体"/>
                <w:color w:val="auto"/>
                <w:szCs w:val="24"/>
                <w:highlight w:val="none"/>
              </w:rPr>
            </w:pPr>
            <w:r>
              <w:rPr>
                <w:rFonts w:hint="eastAsia" w:hAnsi="宋体" w:cs="宋体"/>
                <w:color w:val="auto"/>
                <w:szCs w:val="24"/>
                <w:highlight w:val="none"/>
              </w:rPr>
              <w:t>供货实施方案内容包含但不限于：设备质量保证、完成设备交货时间、完成设备的安装调试时间、完成系统试运行、具备验收条件时间。</w:t>
            </w:r>
          </w:p>
          <w:p w14:paraId="6DF22D59">
            <w:pPr>
              <w:pStyle w:val="58"/>
              <w:snapToGrid w:val="0"/>
              <w:spacing w:line="288" w:lineRule="auto"/>
              <w:jc w:val="both"/>
              <w:rPr>
                <w:rFonts w:hAnsi="宋体" w:cs="宋体"/>
                <w:color w:val="auto"/>
                <w:szCs w:val="24"/>
                <w:highlight w:val="none"/>
              </w:rPr>
            </w:pPr>
            <w:r>
              <w:rPr>
                <w:rFonts w:hint="eastAsia" w:hAnsi="宋体" w:cs="宋体"/>
                <w:color w:val="auto"/>
                <w:szCs w:val="24"/>
                <w:highlight w:val="none"/>
              </w:rPr>
              <w:t>a.方案完整、详细，紧密结合本项目体现上述内容，得3分；</w:t>
            </w:r>
          </w:p>
          <w:p w14:paraId="62963FCD">
            <w:pPr>
              <w:pStyle w:val="58"/>
              <w:snapToGrid w:val="0"/>
              <w:spacing w:line="288" w:lineRule="auto"/>
              <w:jc w:val="both"/>
              <w:rPr>
                <w:rFonts w:hAnsi="宋体" w:cs="宋体"/>
                <w:color w:val="auto"/>
                <w:szCs w:val="24"/>
                <w:highlight w:val="none"/>
              </w:rPr>
            </w:pPr>
            <w:r>
              <w:rPr>
                <w:rFonts w:hint="eastAsia" w:hAnsi="宋体" w:cs="宋体"/>
                <w:color w:val="auto"/>
                <w:szCs w:val="24"/>
                <w:highlight w:val="none"/>
              </w:rPr>
              <w:t>b.方案完整、但不够详细体现上述内容，与本项目结合紧密，得2分；</w:t>
            </w:r>
          </w:p>
          <w:p w14:paraId="49530277">
            <w:pPr>
              <w:pStyle w:val="58"/>
              <w:snapToGrid w:val="0"/>
              <w:spacing w:line="288" w:lineRule="auto"/>
              <w:jc w:val="both"/>
              <w:rPr>
                <w:rFonts w:hAnsi="宋体" w:cs="宋体"/>
                <w:color w:val="auto"/>
                <w:szCs w:val="24"/>
                <w:highlight w:val="none"/>
              </w:rPr>
            </w:pPr>
            <w:r>
              <w:rPr>
                <w:rFonts w:hint="eastAsia" w:hAnsi="宋体" w:cs="宋体"/>
                <w:color w:val="auto"/>
                <w:szCs w:val="24"/>
                <w:highlight w:val="none"/>
              </w:rPr>
              <w:t>c.方案基本完整、不够详细体现上述内容，与本项目结合紧密度一般，得1分；</w:t>
            </w:r>
          </w:p>
          <w:p w14:paraId="73FAD7D8">
            <w:pPr>
              <w:widowControl w:val="0"/>
              <w:snapToGrid w:val="0"/>
              <w:spacing w:line="288" w:lineRule="auto"/>
              <w:rPr>
                <w:rFonts w:ascii="宋体" w:hAnsi="宋体" w:cs="宋体"/>
                <w:color w:val="auto"/>
                <w:sz w:val="24"/>
                <w:szCs w:val="24"/>
                <w:highlight w:val="none"/>
              </w:rPr>
            </w:pPr>
            <w:r>
              <w:rPr>
                <w:rFonts w:hint="eastAsia" w:ascii="宋体" w:hAnsi="宋体" w:cs="宋体"/>
                <w:color w:val="auto"/>
                <w:sz w:val="24"/>
                <w:szCs w:val="24"/>
                <w:highlight w:val="none"/>
              </w:rPr>
              <w:t>d.不符合项目实际要求或无供货方案得0分。</w:t>
            </w:r>
          </w:p>
        </w:tc>
      </w:tr>
      <w:tr w14:paraId="28464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841" w:type="dxa"/>
            <w:vMerge w:val="continue"/>
            <w:vAlign w:val="center"/>
          </w:tcPr>
          <w:p w14:paraId="430D5FA0">
            <w:pPr>
              <w:widowControl w:val="0"/>
              <w:autoSpaceDE w:val="0"/>
              <w:autoSpaceDN w:val="0"/>
              <w:adjustRightInd w:val="0"/>
              <w:spacing w:line="240" w:lineRule="auto"/>
              <w:jc w:val="center"/>
              <w:textAlignment w:val="auto"/>
              <w:rPr>
                <w:rFonts w:ascii="宋体" w:hAnsi="宋体" w:cs="宋体"/>
                <w:color w:val="auto"/>
                <w:sz w:val="24"/>
                <w:szCs w:val="24"/>
                <w:highlight w:val="none"/>
              </w:rPr>
            </w:pPr>
          </w:p>
        </w:tc>
        <w:tc>
          <w:tcPr>
            <w:tcW w:w="1310" w:type="dxa"/>
            <w:vMerge w:val="continue"/>
            <w:vAlign w:val="center"/>
          </w:tcPr>
          <w:p w14:paraId="1466446D">
            <w:pPr>
              <w:widowControl w:val="0"/>
              <w:autoSpaceDE w:val="0"/>
              <w:autoSpaceDN w:val="0"/>
              <w:adjustRightInd w:val="0"/>
              <w:snapToGrid w:val="0"/>
              <w:spacing w:line="240" w:lineRule="auto"/>
              <w:jc w:val="center"/>
              <w:textAlignment w:val="auto"/>
              <w:rPr>
                <w:rFonts w:ascii="宋体" w:hAnsi="宋体" w:cs="宋体"/>
                <w:color w:val="auto"/>
                <w:sz w:val="24"/>
                <w:szCs w:val="24"/>
                <w:highlight w:val="none"/>
              </w:rPr>
            </w:pPr>
          </w:p>
        </w:tc>
        <w:tc>
          <w:tcPr>
            <w:tcW w:w="7879" w:type="dxa"/>
            <w:vAlign w:val="center"/>
          </w:tcPr>
          <w:p w14:paraId="417D8B21">
            <w:pPr>
              <w:widowControl w:val="0"/>
              <w:snapToGrid w:val="0"/>
              <w:spacing w:line="288" w:lineRule="auto"/>
              <w:rPr>
                <w:rFonts w:ascii="宋体" w:hAnsi="宋体" w:cs="宋体"/>
                <w:color w:val="auto"/>
                <w:sz w:val="24"/>
                <w:szCs w:val="24"/>
                <w:highlight w:val="none"/>
              </w:rPr>
            </w:pPr>
            <w:r>
              <w:rPr>
                <w:rFonts w:hint="eastAsia" w:ascii="宋体" w:hAnsi="宋体" w:cs="宋体"/>
                <w:color w:val="auto"/>
                <w:sz w:val="24"/>
                <w:szCs w:val="24"/>
                <w:highlight w:val="none"/>
              </w:rPr>
              <w:t>5、安装调试方案（3分）</w:t>
            </w:r>
          </w:p>
          <w:p w14:paraId="0AC6905D">
            <w:pPr>
              <w:pStyle w:val="58"/>
              <w:snapToGrid w:val="0"/>
              <w:spacing w:line="288" w:lineRule="auto"/>
              <w:rPr>
                <w:rFonts w:hAnsi="宋体" w:cs="宋体"/>
                <w:color w:val="auto"/>
                <w:szCs w:val="24"/>
                <w:highlight w:val="none"/>
              </w:rPr>
            </w:pPr>
            <w:r>
              <w:rPr>
                <w:rFonts w:hint="eastAsia" w:hAnsi="宋体" w:cs="宋体"/>
                <w:color w:val="auto"/>
                <w:szCs w:val="24"/>
                <w:highlight w:val="none"/>
              </w:rPr>
              <w:t>安装调试方案内容包含但不限于：安装调试计划、现场安装调试、系统初步验收、系统终验、保证措施、施工过程安全保障。</w:t>
            </w:r>
          </w:p>
          <w:p w14:paraId="435B1D1A">
            <w:pPr>
              <w:pStyle w:val="58"/>
              <w:snapToGrid w:val="0"/>
              <w:spacing w:line="288" w:lineRule="auto"/>
              <w:jc w:val="both"/>
              <w:rPr>
                <w:rFonts w:hAnsi="宋体" w:cs="宋体"/>
                <w:color w:val="auto"/>
                <w:szCs w:val="24"/>
                <w:highlight w:val="none"/>
              </w:rPr>
            </w:pPr>
            <w:r>
              <w:rPr>
                <w:rFonts w:hint="eastAsia" w:hAnsi="宋体" w:cs="宋体"/>
                <w:color w:val="auto"/>
                <w:szCs w:val="24"/>
                <w:highlight w:val="none"/>
              </w:rPr>
              <w:t>a.方案完整、详细，紧密结合本项目体现上述内容，得3分；</w:t>
            </w:r>
          </w:p>
          <w:p w14:paraId="10C56D42">
            <w:pPr>
              <w:pStyle w:val="58"/>
              <w:snapToGrid w:val="0"/>
              <w:spacing w:line="288" w:lineRule="auto"/>
              <w:jc w:val="both"/>
              <w:rPr>
                <w:rFonts w:hAnsi="宋体" w:cs="宋体"/>
                <w:color w:val="auto"/>
                <w:szCs w:val="24"/>
                <w:highlight w:val="none"/>
              </w:rPr>
            </w:pPr>
            <w:r>
              <w:rPr>
                <w:rFonts w:hint="eastAsia" w:hAnsi="宋体" w:cs="宋体"/>
                <w:color w:val="auto"/>
                <w:szCs w:val="24"/>
                <w:highlight w:val="none"/>
              </w:rPr>
              <w:t>b.方案完整、但不够详细体现上述内容，与本项目结合紧密，得2分；</w:t>
            </w:r>
          </w:p>
          <w:p w14:paraId="109ACDFA">
            <w:pPr>
              <w:pStyle w:val="58"/>
              <w:snapToGrid w:val="0"/>
              <w:spacing w:line="288" w:lineRule="auto"/>
              <w:jc w:val="both"/>
              <w:rPr>
                <w:rFonts w:hAnsi="宋体" w:cs="宋体"/>
                <w:color w:val="auto"/>
                <w:szCs w:val="24"/>
                <w:highlight w:val="none"/>
              </w:rPr>
            </w:pPr>
            <w:r>
              <w:rPr>
                <w:rFonts w:hint="eastAsia" w:hAnsi="宋体" w:cs="宋体"/>
                <w:color w:val="auto"/>
                <w:szCs w:val="24"/>
                <w:highlight w:val="none"/>
              </w:rPr>
              <w:t>c.方案基本完整、不够详细体现上述内容，与本项目结合紧密度一般，得1分；</w:t>
            </w:r>
          </w:p>
          <w:p w14:paraId="03B3DFDF">
            <w:pPr>
              <w:widowControl w:val="0"/>
              <w:snapToGrid w:val="0"/>
              <w:spacing w:line="288" w:lineRule="auto"/>
              <w:rPr>
                <w:rFonts w:ascii="宋体" w:hAnsi="宋体" w:cs="宋体"/>
                <w:color w:val="auto"/>
                <w:sz w:val="24"/>
                <w:szCs w:val="24"/>
                <w:highlight w:val="none"/>
              </w:rPr>
            </w:pPr>
            <w:r>
              <w:rPr>
                <w:rFonts w:hint="eastAsia" w:ascii="宋体" w:hAnsi="宋体" w:cs="宋体"/>
                <w:color w:val="auto"/>
                <w:sz w:val="24"/>
                <w:szCs w:val="24"/>
                <w:highlight w:val="none"/>
              </w:rPr>
              <w:t>d.不符合项目实际要求或无安装调试方案得0分。</w:t>
            </w:r>
          </w:p>
        </w:tc>
      </w:tr>
      <w:tr w14:paraId="25B73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841" w:type="dxa"/>
            <w:vMerge w:val="restart"/>
            <w:vAlign w:val="center"/>
          </w:tcPr>
          <w:p w14:paraId="3F78D296">
            <w:pPr>
              <w:widowControl w:val="0"/>
              <w:autoSpaceDE w:val="0"/>
              <w:autoSpaceDN w:val="0"/>
              <w:adjustRightInd w:val="0"/>
              <w:spacing w:line="240"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2.2.2.3</w:t>
            </w:r>
          </w:p>
        </w:tc>
        <w:tc>
          <w:tcPr>
            <w:tcW w:w="1310" w:type="dxa"/>
            <w:vMerge w:val="restart"/>
            <w:vAlign w:val="center"/>
          </w:tcPr>
          <w:p w14:paraId="3C85C81C">
            <w:pPr>
              <w:widowControl w:val="0"/>
              <w:autoSpaceDE w:val="0"/>
              <w:autoSpaceDN w:val="0"/>
              <w:snapToGrid w:val="0"/>
              <w:spacing w:line="240"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履约能力</w:t>
            </w:r>
          </w:p>
          <w:p w14:paraId="20F9AE62">
            <w:pPr>
              <w:widowControl w:val="0"/>
              <w:autoSpaceDE w:val="0"/>
              <w:autoSpaceDN w:val="0"/>
              <w:snapToGrid w:val="0"/>
              <w:spacing w:line="240"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（3</w:t>
            </w:r>
            <w:r>
              <w:rPr>
                <w:rFonts w:ascii="宋体" w:hAnsi="宋体" w:cs="宋体"/>
                <w:color w:val="auto"/>
                <w:sz w:val="24"/>
                <w:szCs w:val="24"/>
                <w:highlight w:val="none"/>
              </w:rPr>
              <w:t>0</w:t>
            </w:r>
            <w:r>
              <w:rPr>
                <w:rFonts w:hint="eastAsia" w:ascii="宋体" w:hAnsi="宋体" w:cs="宋体"/>
                <w:color w:val="auto"/>
                <w:sz w:val="24"/>
                <w:szCs w:val="24"/>
                <w:highlight w:val="none"/>
              </w:rPr>
              <w:t>）</w:t>
            </w:r>
          </w:p>
        </w:tc>
        <w:tc>
          <w:tcPr>
            <w:tcW w:w="7879" w:type="dxa"/>
            <w:vAlign w:val="center"/>
          </w:tcPr>
          <w:p w14:paraId="23AB4DB6">
            <w:pPr>
              <w:widowControl w:val="0"/>
              <w:snapToGrid w:val="0"/>
              <w:spacing w:line="288" w:lineRule="auto"/>
              <w:rPr>
                <w:rFonts w:ascii="宋体" w:hAnsi="宋体" w:cs="宋体"/>
                <w:color w:val="auto"/>
                <w:sz w:val="24"/>
                <w:szCs w:val="24"/>
                <w:highlight w:val="none"/>
              </w:rPr>
            </w:pPr>
            <w:r>
              <w:rPr>
                <w:rFonts w:hint="eastAsia" w:ascii="宋体" w:hAnsi="宋体" w:cs="宋体"/>
                <w:color w:val="auto"/>
                <w:sz w:val="24"/>
                <w:szCs w:val="24"/>
                <w:highlight w:val="none"/>
              </w:rPr>
              <w:t>1、灯光系统产品（9分）</w:t>
            </w:r>
          </w:p>
          <w:p w14:paraId="1FE12ADB">
            <w:pPr>
              <w:pStyle w:val="58"/>
              <w:snapToGrid w:val="0"/>
              <w:spacing w:line="288" w:lineRule="auto"/>
              <w:rPr>
                <w:rFonts w:hAnsi="宋体" w:cs="宋体"/>
                <w:color w:val="auto"/>
                <w:szCs w:val="24"/>
                <w:highlight w:val="none"/>
              </w:rPr>
            </w:pPr>
            <w:r>
              <w:rPr>
                <w:rFonts w:hint="eastAsia" w:hAnsi="宋体" w:cs="宋体"/>
                <w:color w:val="auto"/>
                <w:szCs w:val="24"/>
                <w:highlight w:val="none"/>
              </w:rPr>
              <w:t>（1）</w:t>
            </w:r>
            <w:r>
              <w:rPr>
                <w:rFonts w:hint="eastAsia" w:hAnsi="宋体" w:cs="宋体"/>
                <w:color w:val="auto"/>
                <w:szCs w:val="24"/>
                <w:highlight w:val="none"/>
                <w:lang w:val="en-US" w:eastAsia="zh-CN"/>
              </w:rPr>
              <w:t>所投</w:t>
            </w:r>
            <w:r>
              <w:rPr>
                <w:rFonts w:hint="eastAsia" w:hAnsi="宋体" w:cs="宋体"/>
                <w:color w:val="auto"/>
                <w:szCs w:val="24"/>
                <w:highlight w:val="none"/>
              </w:rPr>
              <w:t>灯具</w:t>
            </w:r>
            <w:r>
              <w:rPr>
                <w:rFonts w:hint="eastAsia" w:hAnsi="宋体" w:cs="宋体"/>
                <w:color w:val="auto"/>
                <w:szCs w:val="24"/>
                <w:highlight w:val="none"/>
                <w:lang w:val="en-US" w:eastAsia="zh-CN"/>
              </w:rPr>
              <w:t>产品</w:t>
            </w:r>
            <w:r>
              <w:rPr>
                <w:rFonts w:hint="eastAsia" w:hAnsi="宋体" w:cs="宋体"/>
                <w:color w:val="auto"/>
                <w:szCs w:val="24"/>
                <w:highlight w:val="none"/>
              </w:rPr>
              <w:t>生产商具备节能环保证书（1分）。</w:t>
            </w:r>
          </w:p>
          <w:p w14:paraId="46FA7B18">
            <w:pPr>
              <w:pStyle w:val="58"/>
              <w:snapToGrid w:val="0"/>
              <w:spacing w:line="288" w:lineRule="auto"/>
              <w:rPr>
                <w:rFonts w:hAnsi="宋体" w:cs="宋体"/>
                <w:color w:val="auto"/>
                <w:szCs w:val="24"/>
                <w:highlight w:val="none"/>
              </w:rPr>
            </w:pPr>
            <w:r>
              <w:rPr>
                <w:rFonts w:hint="eastAsia" w:hAnsi="宋体" w:cs="宋体"/>
                <w:color w:val="auto"/>
                <w:szCs w:val="24"/>
                <w:highlight w:val="none"/>
              </w:rPr>
              <w:t>（2）</w:t>
            </w:r>
            <w:r>
              <w:rPr>
                <w:rFonts w:hint="eastAsia" w:hAnsi="宋体" w:cs="宋体"/>
                <w:color w:val="auto"/>
                <w:szCs w:val="24"/>
                <w:highlight w:val="none"/>
                <w:lang w:val="en-US" w:eastAsia="zh-CN"/>
              </w:rPr>
              <w:t>所投</w:t>
            </w:r>
            <w:r>
              <w:rPr>
                <w:rFonts w:hint="eastAsia" w:hAnsi="宋体" w:cs="宋体"/>
                <w:color w:val="auto"/>
                <w:szCs w:val="24"/>
                <w:highlight w:val="none"/>
              </w:rPr>
              <w:t>灯具</w:t>
            </w:r>
            <w:r>
              <w:rPr>
                <w:rFonts w:hint="eastAsia" w:hAnsi="宋体" w:cs="宋体"/>
                <w:color w:val="auto"/>
                <w:szCs w:val="24"/>
                <w:highlight w:val="none"/>
                <w:lang w:val="en-US" w:eastAsia="zh-CN"/>
              </w:rPr>
              <w:t>产品</w:t>
            </w:r>
            <w:r>
              <w:rPr>
                <w:rFonts w:hint="eastAsia" w:hAnsi="宋体" w:cs="宋体"/>
                <w:color w:val="auto"/>
                <w:szCs w:val="24"/>
                <w:highlight w:val="none"/>
              </w:rPr>
              <w:t>生产商同时具有环境体系认证证书、质量体系认证证书、职业健康安全管理体系认证证书，每项得1分。（3分）。</w:t>
            </w:r>
          </w:p>
          <w:p w14:paraId="50F505FB">
            <w:pPr>
              <w:pStyle w:val="58"/>
              <w:snapToGrid w:val="0"/>
              <w:spacing w:line="288" w:lineRule="auto"/>
              <w:rPr>
                <w:rFonts w:hAnsi="宋体" w:cs="宋体"/>
                <w:color w:val="auto"/>
                <w:szCs w:val="24"/>
                <w:highlight w:val="none"/>
              </w:rPr>
            </w:pPr>
            <w:r>
              <w:rPr>
                <w:rFonts w:hint="eastAsia" w:hAnsi="宋体" w:cs="宋体"/>
                <w:color w:val="auto"/>
                <w:szCs w:val="24"/>
                <w:highlight w:val="none"/>
              </w:rPr>
              <w:t>（3）</w:t>
            </w:r>
            <w:r>
              <w:rPr>
                <w:rFonts w:hint="eastAsia" w:hAnsi="宋体" w:cs="宋体"/>
                <w:color w:val="auto"/>
                <w:szCs w:val="24"/>
                <w:highlight w:val="none"/>
                <w:lang w:val="en-US" w:eastAsia="zh-CN"/>
              </w:rPr>
              <w:t>所投</w:t>
            </w:r>
            <w:r>
              <w:rPr>
                <w:rFonts w:hint="eastAsia" w:hAnsi="宋体" w:cs="宋体"/>
                <w:color w:val="auto"/>
                <w:szCs w:val="24"/>
                <w:highlight w:val="none"/>
              </w:rPr>
              <w:t>灯具</w:t>
            </w:r>
            <w:r>
              <w:rPr>
                <w:rFonts w:hint="eastAsia" w:hAnsi="宋体" w:cs="宋体"/>
                <w:color w:val="auto"/>
                <w:szCs w:val="24"/>
                <w:highlight w:val="none"/>
                <w:lang w:val="en-US" w:eastAsia="zh-CN"/>
              </w:rPr>
              <w:t>产品</w:t>
            </w:r>
            <w:r>
              <w:rPr>
                <w:rFonts w:hint="eastAsia" w:hAnsi="宋体" w:cs="宋体"/>
                <w:color w:val="auto"/>
                <w:szCs w:val="24"/>
                <w:highlight w:val="none"/>
              </w:rPr>
              <w:t>生产商具有质量信用管理体系认证证书（AAA）（1分）。</w:t>
            </w:r>
          </w:p>
          <w:p w14:paraId="71A115E1">
            <w:pPr>
              <w:pStyle w:val="58"/>
              <w:snapToGrid w:val="0"/>
              <w:spacing w:line="288" w:lineRule="auto"/>
              <w:rPr>
                <w:rFonts w:hAnsi="宋体" w:cs="宋体"/>
                <w:color w:val="auto"/>
                <w:szCs w:val="24"/>
                <w:highlight w:val="none"/>
              </w:rPr>
            </w:pPr>
            <w:r>
              <w:rPr>
                <w:rFonts w:hint="eastAsia" w:hAnsi="宋体" w:cs="宋体"/>
                <w:color w:val="auto"/>
                <w:szCs w:val="24"/>
                <w:highlight w:val="none"/>
              </w:rPr>
              <w:t>（4）</w:t>
            </w:r>
            <w:r>
              <w:rPr>
                <w:rFonts w:hint="eastAsia" w:hAnsi="宋体" w:cs="宋体"/>
                <w:color w:val="auto"/>
                <w:szCs w:val="24"/>
                <w:highlight w:val="none"/>
                <w:lang w:val="en-US" w:eastAsia="zh-CN"/>
              </w:rPr>
              <w:t>所投</w:t>
            </w:r>
            <w:r>
              <w:rPr>
                <w:rFonts w:hint="eastAsia" w:hAnsi="宋体" w:cs="宋体"/>
                <w:color w:val="auto"/>
                <w:szCs w:val="24"/>
                <w:highlight w:val="none"/>
              </w:rPr>
              <w:t>灯具</w:t>
            </w:r>
            <w:r>
              <w:rPr>
                <w:rFonts w:hint="eastAsia" w:hAnsi="宋体" w:cs="宋体"/>
                <w:color w:val="auto"/>
                <w:szCs w:val="24"/>
                <w:highlight w:val="none"/>
                <w:lang w:val="en-US" w:eastAsia="zh-CN"/>
              </w:rPr>
              <w:t>产品</w:t>
            </w:r>
            <w:r>
              <w:rPr>
                <w:rFonts w:hint="eastAsia" w:hAnsi="宋体" w:cs="宋体"/>
                <w:color w:val="auto"/>
                <w:szCs w:val="24"/>
                <w:highlight w:val="none"/>
              </w:rPr>
              <w:t>生产商具有灯具散热控制系统类计算机软件著作权登记证书（2分）。</w:t>
            </w:r>
          </w:p>
          <w:p w14:paraId="4779D12F">
            <w:pPr>
              <w:pStyle w:val="58"/>
              <w:snapToGrid w:val="0"/>
              <w:spacing w:line="288" w:lineRule="auto"/>
              <w:rPr>
                <w:rFonts w:hAnsi="宋体" w:cs="宋体"/>
                <w:color w:val="auto"/>
                <w:szCs w:val="24"/>
                <w:highlight w:val="none"/>
              </w:rPr>
            </w:pPr>
            <w:r>
              <w:rPr>
                <w:rFonts w:hint="eastAsia" w:hAnsi="宋体" w:cs="宋体"/>
                <w:color w:val="auto"/>
                <w:szCs w:val="24"/>
                <w:highlight w:val="none"/>
              </w:rPr>
              <w:t>（5）</w:t>
            </w:r>
            <w:r>
              <w:rPr>
                <w:rFonts w:hint="eastAsia" w:hAnsi="宋体" w:cs="宋体"/>
                <w:color w:val="auto"/>
                <w:szCs w:val="24"/>
                <w:highlight w:val="none"/>
                <w:lang w:val="en-US" w:eastAsia="zh-CN"/>
              </w:rPr>
              <w:t>所投</w:t>
            </w:r>
            <w:r>
              <w:rPr>
                <w:rFonts w:hint="eastAsia" w:hAnsi="宋体" w:cs="宋体"/>
                <w:color w:val="auto"/>
                <w:szCs w:val="24"/>
                <w:highlight w:val="none"/>
              </w:rPr>
              <w:t>灯具</w:t>
            </w:r>
            <w:r>
              <w:rPr>
                <w:rFonts w:hint="eastAsia" w:hAnsi="宋体" w:cs="宋体"/>
                <w:color w:val="auto"/>
                <w:szCs w:val="24"/>
                <w:highlight w:val="none"/>
                <w:lang w:val="en-US" w:eastAsia="zh-CN"/>
              </w:rPr>
              <w:t>产品</w:t>
            </w:r>
            <w:r>
              <w:rPr>
                <w:rFonts w:hint="eastAsia" w:hAnsi="宋体" w:cs="宋体"/>
                <w:color w:val="auto"/>
                <w:szCs w:val="24"/>
                <w:highlight w:val="none"/>
              </w:rPr>
              <w:t>生产商具有灯光控制系统类计算机软件著作权登记证书（2分）。</w:t>
            </w:r>
          </w:p>
          <w:p w14:paraId="4756E7AD">
            <w:pPr>
              <w:widowControl w:val="0"/>
              <w:snapToGrid w:val="0"/>
              <w:spacing w:line="288" w:lineRule="auto"/>
              <w:ind w:firstLine="120" w:firstLineChars="50"/>
              <w:rPr>
                <w:rFonts w:ascii="宋体" w:hAnsi="宋体" w:cs="宋体"/>
                <w:color w:val="auto"/>
                <w:sz w:val="24"/>
                <w:szCs w:val="24"/>
                <w:highlight w:val="none"/>
              </w:rPr>
            </w:pPr>
            <w:r>
              <w:rPr>
                <w:rFonts w:hint="eastAsia" w:ascii="宋体" w:hAnsi="宋体" w:cs="宋体"/>
                <w:color w:val="auto"/>
                <w:sz w:val="24"/>
                <w:szCs w:val="24"/>
                <w:highlight w:val="none"/>
              </w:rPr>
              <w:t>注：投标文件中须提供证书扫描件。</w:t>
            </w:r>
          </w:p>
        </w:tc>
      </w:tr>
      <w:tr w14:paraId="4523E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841" w:type="dxa"/>
            <w:vMerge w:val="continue"/>
            <w:vAlign w:val="center"/>
          </w:tcPr>
          <w:p w14:paraId="330E7954">
            <w:pPr>
              <w:widowControl w:val="0"/>
              <w:autoSpaceDE w:val="0"/>
              <w:autoSpaceDN w:val="0"/>
              <w:adjustRightInd w:val="0"/>
              <w:spacing w:line="240" w:lineRule="auto"/>
              <w:jc w:val="center"/>
              <w:textAlignment w:val="auto"/>
              <w:rPr>
                <w:rFonts w:ascii="宋体" w:hAnsi="宋体" w:cs="宋体"/>
                <w:color w:val="auto"/>
                <w:sz w:val="24"/>
                <w:szCs w:val="24"/>
                <w:highlight w:val="none"/>
              </w:rPr>
            </w:pPr>
          </w:p>
        </w:tc>
        <w:tc>
          <w:tcPr>
            <w:tcW w:w="1310" w:type="dxa"/>
            <w:vMerge w:val="continue"/>
            <w:vAlign w:val="center"/>
          </w:tcPr>
          <w:p w14:paraId="462D16B9">
            <w:pPr>
              <w:widowControl w:val="0"/>
              <w:autoSpaceDE w:val="0"/>
              <w:autoSpaceDN w:val="0"/>
              <w:snapToGrid w:val="0"/>
              <w:spacing w:line="240" w:lineRule="auto"/>
              <w:jc w:val="center"/>
              <w:textAlignment w:val="auto"/>
              <w:rPr>
                <w:rFonts w:ascii="宋体" w:hAnsi="宋体" w:cs="宋体"/>
                <w:color w:val="auto"/>
                <w:sz w:val="24"/>
                <w:szCs w:val="24"/>
                <w:highlight w:val="none"/>
              </w:rPr>
            </w:pPr>
          </w:p>
        </w:tc>
        <w:tc>
          <w:tcPr>
            <w:tcW w:w="7879" w:type="dxa"/>
            <w:vAlign w:val="center"/>
          </w:tcPr>
          <w:p w14:paraId="7F070FBB">
            <w:pPr>
              <w:widowControl w:val="0"/>
              <w:snapToGrid w:val="0"/>
              <w:spacing w:line="288" w:lineRule="auto"/>
              <w:rPr>
                <w:rFonts w:ascii="宋体" w:hAnsi="宋体" w:cs="宋体"/>
                <w:color w:val="auto"/>
                <w:sz w:val="24"/>
                <w:szCs w:val="24"/>
                <w:highlight w:val="none"/>
              </w:rPr>
            </w:pPr>
            <w:r>
              <w:rPr>
                <w:rFonts w:hint="eastAsia" w:ascii="宋体" w:hAnsi="宋体" w:cs="宋体"/>
                <w:color w:val="auto"/>
                <w:sz w:val="24"/>
                <w:szCs w:val="24"/>
                <w:highlight w:val="none"/>
              </w:rPr>
              <w:t>2、吊挂系统产品（4分）</w:t>
            </w:r>
          </w:p>
          <w:p w14:paraId="0A1E6FC2">
            <w:pPr>
              <w:pStyle w:val="58"/>
              <w:snapToGrid w:val="0"/>
              <w:spacing w:line="288" w:lineRule="auto"/>
              <w:rPr>
                <w:rFonts w:hAnsi="宋体" w:cs="宋体"/>
                <w:color w:val="auto"/>
                <w:szCs w:val="24"/>
                <w:highlight w:val="none"/>
              </w:rPr>
            </w:pPr>
            <w:r>
              <w:rPr>
                <w:rFonts w:hint="eastAsia" w:hAnsi="宋体" w:cs="宋体"/>
                <w:color w:val="auto"/>
                <w:szCs w:val="24"/>
                <w:highlight w:val="none"/>
                <w:lang w:val="en-US" w:eastAsia="zh-CN"/>
              </w:rPr>
              <w:t>投标人或所投设备生产商具有</w:t>
            </w:r>
            <w:r>
              <w:rPr>
                <w:rFonts w:hint="eastAsia" w:hAnsi="宋体" w:cs="宋体"/>
                <w:color w:val="auto"/>
                <w:szCs w:val="24"/>
                <w:highlight w:val="none"/>
              </w:rPr>
              <w:t>舞台机械自动化控制系统类软件、舞台控制连锁单元系统类软件、PLC 位置控制类软件、舞台多转台智能控制PLC类软件的计算机软件著作权登记证书，每提供一项得1分，本项最高得4分。</w:t>
            </w:r>
          </w:p>
        </w:tc>
      </w:tr>
      <w:tr w14:paraId="4D6ED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841" w:type="dxa"/>
            <w:vMerge w:val="continue"/>
            <w:vAlign w:val="center"/>
          </w:tcPr>
          <w:p w14:paraId="17D5765B">
            <w:pPr>
              <w:widowControl w:val="0"/>
              <w:autoSpaceDE w:val="0"/>
              <w:autoSpaceDN w:val="0"/>
              <w:adjustRightInd w:val="0"/>
              <w:spacing w:line="240" w:lineRule="auto"/>
              <w:jc w:val="center"/>
              <w:textAlignment w:val="auto"/>
              <w:rPr>
                <w:rFonts w:ascii="宋体" w:hAnsi="宋体" w:cs="宋体"/>
                <w:color w:val="auto"/>
                <w:sz w:val="24"/>
                <w:szCs w:val="24"/>
                <w:highlight w:val="none"/>
              </w:rPr>
            </w:pPr>
          </w:p>
        </w:tc>
        <w:tc>
          <w:tcPr>
            <w:tcW w:w="1310" w:type="dxa"/>
            <w:vMerge w:val="continue"/>
            <w:vAlign w:val="center"/>
          </w:tcPr>
          <w:p w14:paraId="7711F182">
            <w:pPr>
              <w:widowControl w:val="0"/>
              <w:autoSpaceDE w:val="0"/>
              <w:autoSpaceDN w:val="0"/>
              <w:snapToGrid w:val="0"/>
              <w:spacing w:line="240" w:lineRule="auto"/>
              <w:jc w:val="center"/>
              <w:textAlignment w:val="auto"/>
              <w:rPr>
                <w:rFonts w:ascii="宋体" w:hAnsi="宋体" w:cs="宋体"/>
                <w:color w:val="auto"/>
                <w:sz w:val="24"/>
                <w:szCs w:val="24"/>
                <w:highlight w:val="none"/>
              </w:rPr>
            </w:pPr>
          </w:p>
        </w:tc>
        <w:tc>
          <w:tcPr>
            <w:tcW w:w="7879" w:type="dxa"/>
            <w:vAlign w:val="center"/>
          </w:tcPr>
          <w:p w14:paraId="1A01FF61">
            <w:pPr>
              <w:pStyle w:val="58"/>
              <w:snapToGrid w:val="0"/>
              <w:spacing w:line="288" w:lineRule="auto"/>
              <w:rPr>
                <w:rFonts w:hAnsi="宋体" w:cs="宋体"/>
                <w:color w:val="auto"/>
                <w:szCs w:val="24"/>
                <w:highlight w:val="none"/>
              </w:rPr>
            </w:pPr>
            <w:r>
              <w:rPr>
                <w:rFonts w:hint="eastAsia" w:hAnsi="宋体" w:cs="宋体"/>
                <w:color w:val="auto"/>
                <w:szCs w:val="24"/>
                <w:highlight w:val="none"/>
              </w:rPr>
              <w:t>3、安装调试人员（6分）</w:t>
            </w:r>
          </w:p>
          <w:p w14:paraId="1DD5B8BA">
            <w:pPr>
              <w:pStyle w:val="58"/>
              <w:snapToGrid w:val="0"/>
              <w:spacing w:line="288" w:lineRule="auto"/>
              <w:jc w:val="both"/>
              <w:rPr>
                <w:rFonts w:hAnsi="宋体" w:cs="宋体"/>
                <w:color w:val="auto"/>
                <w:szCs w:val="24"/>
                <w:highlight w:val="none"/>
              </w:rPr>
            </w:pPr>
            <w:r>
              <w:rPr>
                <w:rFonts w:hint="eastAsia" w:hAnsi="宋体" w:cs="宋体"/>
                <w:color w:val="auto"/>
                <w:szCs w:val="24"/>
                <w:highlight w:val="none"/>
              </w:rPr>
              <w:t>（1）投标人拟派的项目负责人，具有国家事业单位或权威机构（非协会、学会等社会团体性机构）颁发的机电一体化工程师证书、弱电系统工程师证书，每提供一个证书得2分，本项最高得4分。</w:t>
            </w:r>
          </w:p>
          <w:p w14:paraId="4375793F">
            <w:pPr>
              <w:pStyle w:val="58"/>
              <w:snapToGrid w:val="0"/>
              <w:spacing w:line="288" w:lineRule="auto"/>
              <w:jc w:val="both"/>
              <w:rPr>
                <w:rFonts w:hAnsi="宋体" w:cs="宋体"/>
                <w:color w:val="auto"/>
                <w:szCs w:val="24"/>
                <w:highlight w:val="none"/>
              </w:rPr>
            </w:pPr>
            <w:r>
              <w:rPr>
                <w:rFonts w:hint="eastAsia" w:hAnsi="宋体" w:cs="宋体"/>
                <w:color w:val="auto"/>
                <w:szCs w:val="24"/>
                <w:highlight w:val="none"/>
              </w:rPr>
              <w:t>（2）投标人拟派的技术负责人，具有国家事业单位或权威机构（非协会、学会等社会团体性机构）颁发的舞台灯光（高级）证书的得2分。</w:t>
            </w:r>
          </w:p>
          <w:p w14:paraId="04B667FB">
            <w:pPr>
              <w:pStyle w:val="58"/>
              <w:snapToGrid w:val="0"/>
              <w:spacing w:line="288" w:lineRule="auto"/>
              <w:rPr>
                <w:rFonts w:hAnsi="宋体" w:cs="宋体"/>
                <w:color w:val="auto"/>
                <w:szCs w:val="24"/>
                <w:highlight w:val="none"/>
              </w:rPr>
            </w:pPr>
          </w:p>
          <w:p w14:paraId="0C33CF39">
            <w:pPr>
              <w:pStyle w:val="58"/>
              <w:snapToGrid w:val="0"/>
              <w:spacing w:line="288" w:lineRule="auto"/>
              <w:rPr>
                <w:rFonts w:hAnsi="宋体" w:cs="宋体"/>
                <w:color w:val="auto"/>
                <w:szCs w:val="24"/>
                <w:highlight w:val="none"/>
              </w:rPr>
            </w:pPr>
            <w:r>
              <w:rPr>
                <w:rFonts w:hint="eastAsia" w:hAnsi="宋体" w:cs="宋体"/>
                <w:color w:val="auto"/>
                <w:szCs w:val="24"/>
                <w:highlight w:val="none"/>
              </w:rPr>
              <w:t>注：提供证书、劳务合同和近六个月任意三个月本单位缴纳社保证明（至少体现基本养老保险、失业保险、工伤保险）。</w:t>
            </w:r>
          </w:p>
        </w:tc>
      </w:tr>
      <w:tr w14:paraId="5F509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841" w:type="dxa"/>
            <w:vMerge w:val="continue"/>
            <w:vAlign w:val="center"/>
          </w:tcPr>
          <w:p w14:paraId="01FD29DE">
            <w:pPr>
              <w:widowControl w:val="0"/>
              <w:autoSpaceDE w:val="0"/>
              <w:autoSpaceDN w:val="0"/>
              <w:adjustRightInd w:val="0"/>
              <w:spacing w:line="240" w:lineRule="auto"/>
              <w:jc w:val="center"/>
              <w:textAlignment w:val="auto"/>
              <w:rPr>
                <w:rFonts w:ascii="宋体" w:hAnsi="宋体" w:cs="宋体"/>
                <w:color w:val="auto"/>
                <w:sz w:val="24"/>
                <w:szCs w:val="24"/>
                <w:highlight w:val="none"/>
              </w:rPr>
            </w:pPr>
          </w:p>
        </w:tc>
        <w:tc>
          <w:tcPr>
            <w:tcW w:w="1310" w:type="dxa"/>
            <w:vMerge w:val="continue"/>
            <w:vAlign w:val="center"/>
          </w:tcPr>
          <w:p w14:paraId="5C1A6495">
            <w:pPr>
              <w:widowControl w:val="0"/>
              <w:autoSpaceDE w:val="0"/>
              <w:autoSpaceDN w:val="0"/>
              <w:snapToGrid w:val="0"/>
              <w:spacing w:line="240" w:lineRule="auto"/>
              <w:jc w:val="center"/>
              <w:textAlignment w:val="auto"/>
              <w:rPr>
                <w:rFonts w:ascii="宋体" w:hAnsi="宋体" w:cs="宋体"/>
                <w:color w:val="auto"/>
                <w:sz w:val="24"/>
                <w:szCs w:val="24"/>
                <w:highlight w:val="none"/>
              </w:rPr>
            </w:pPr>
          </w:p>
        </w:tc>
        <w:tc>
          <w:tcPr>
            <w:tcW w:w="7879" w:type="dxa"/>
            <w:vAlign w:val="center"/>
          </w:tcPr>
          <w:p w14:paraId="35DFE9DA">
            <w:pPr>
              <w:widowControl w:val="0"/>
              <w:snapToGrid w:val="0"/>
              <w:spacing w:line="288" w:lineRule="auto"/>
              <w:rPr>
                <w:rFonts w:ascii="宋体" w:hAnsi="宋体" w:cs="宋体"/>
                <w:color w:val="auto"/>
                <w:sz w:val="24"/>
                <w:szCs w:val="24"/>
                <w:highlight w:val="none"/>
              </w:rPr>
            </w:pPr>
            <w:r>
              <w:rPr>
                <w:rFonts w:hint="eastAsia" w:ascii="宋体" w:hAnsi="宋体" w:cs="宋体"/>
                <w:color w:val="auto"/>
                <w:sz w:val="24"/>
                <w:szCs w:val="24"/>
                <w:highlight w:val="none"/>
              </w:rPr>
              <w:t>4、业绩（6分）</w:t>
            </w:r>
          </w:p>
          <w:p w14:paraId="669C3000">
            <w:pPr>
              <w:pStyle w:val="58"/>
              <w:snapToGrid w:val="0"/>
              <w:spacing w:line="288" w:lineRule="auto"/>
              <w:rPr>
                <w:rFonts w:hAnsi="宋体" w:cs="宋体"/>
                <w:color w:val="auto"/>
                <w:szCs w:val="24"/>
                <w:highlight w:val="none"/>
              </w:rPr>
            </w:pPr>
            <w:r>
              <w:rPr>
                <w:rFonts w:hint="eastAsia" w:hAnsi="宋体" w:cs="宋体"/>
                <w:color w:val="auto"/>
                <w:szCs w:val="24"/>
                <w:highlight w:val="none"/>
              </w:rPr>
              <w:t>投标人自2020年1月1日（以合同签订时间为准）以来承担过类似规模项目业绩，业绩中包含舞台灯光综合集成项目（不含临时演出场所的舞台灯光项目），每提供一份业绩合同得3分，最高得6分。</w:t>
            </w:r>
          </w:p>
          <w:p w14:paraId="0C56A0DF">
            <w:pPr>
              <w:widowControl w:val="0"/>
              <w:snapToGrid w:val="0"/>
              <w:spacing w:line="288" w:lineRule="auto"/>
              <w:rPr>
                <w:rFonts w:ascii="宋体" w:hAnsi="宋体" w:cs="宋体"/>
                <w:b/>
                <w:color w:val="auto"/>
                <w:sz w:val="24"/>
                <w:szCs w:val="24"/>
                <w:highlight w:val="none"/>
              </w:rPr>
            </w:pPr>
            <w:r>
              <w:rPr>
                <w:rFonts w:hint="eastAsia" w:ascii="宋体" w:hAnsi="宋体" w:cs="宋体"/>
                <w:color w:val="auto"/>
                <w:sz w:val="24"/>
                <w:szCs w:val="24"/>
                <w:highlight w:val="none"/>
              </w:rPr>
              <w:t>注：提供合同扫描件。</w:t>
            </w:r>
          </w:p>
        </w:tc>
      </w:tr>
      <w:tr w14:paraId="0B09D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0" w:hRule="atLeast"/>
          <w:jc w:val="center"/>
        </w:trPr>
        <w:tc>
          <w:tcPr>
            <w:tcW w:w="841" w:type="dxa"/>
            <w:vMerge w:val="continue"/>
            <w:vAlign w:val="center"/>
          </w:tcPr>
          <w:p w14:paraId="70018F42">
            <w:pPr>
              <w:widowControl w:val="0"/>
              <w:autoSpaceDE w:val="0"/>
              <w:autoSpaceDN w:val="0"/>
              <w:adjustRightInd w:val="0"/>
              <w:spacing w:line="240" w:lineRule="auto"/>
              <w:jc w:val="center"/>
              <w:textAlignment w:val="auto"/>
              <w:rPr>
                <w:rFonts w:ascii="宋体" w:hAnsi="宋体" w:cs="宋体"/>
                <w:color w:val="auto"/>
                <w:sz w:val="24"/>
                <w:szCs w:val="24"/>
                <w:highlight w:val="none"/>
              </w:rPr>
            </w:pPr>
          </w:p>
        </w:tc>
        <w:tc>
          <w:tcPr>
            <w:tcW w:w="1310" w:type="dxa"/>
            <w:vMerge w:val="continue"/>
            <w:vAlign w:val="center"/>
          </w:tcPr>
          <w:p w14:paraId="569C6F44">
            <w:pPr>
              <w:widowControl w:val="0"/>
              <w:autoSpaceDE w:val="0"/>
              <w:autoSpaceDN w:val="0"/>
              <w:snapToGrid w:val="0"/>
              <w:spacing w:line="240" w:lineRule="auto"/>
              <w:jc w:val="center"/>
              <w:textAlignment w:val="auto"/>
              <w:rPr>
                <w:rFonts w:ascii="宋体" w:hAnsi="宋体" w:cs="宋体"/>
                <w:color w:val="auto"/>
                <w:sz w:val="24"/>
                <w:szCs w:val="24"/>
                <w:highlight w:val="none"/>
              </w:rPr>
            </w:pPr>
          </w:p>
        </w:tc>
        <w:tc>
          <w:tcPr>
            <w:tcW w:w="7879" w:type="dxa"/>
            <w:vAlign w:val="center"/>
          </w:tcPr>
          <w:p w14:paraId="1238C998">
            <w:pPr>
              <w:widowControl w:val="0"/>
              <w:snapToGrid w:val="0"/>
              <w:spacing w:line="288" w:lineRule="auto"/>
              <w:rPr>
                <w:rFonts w:ascii="宋体" w:hAnsi="宋体" w:cs="宋体"/>
                <w:color w:val="auto"/>
                <w:sz w:val="24"/>
                <w:szCs w:val="24"/>
                <w:highlight w:val="none"/>
              </w:rPr>
            </w:pPr>
            <w:r>
              <w:rPr>
                <w:rFonts w:hint="eastAsia" w:ascii="宋体" w:hAnsi="宋体" w:cs="宋体"/>
                <w:color w:val="auto"/>
                <w:sz w:val="24"/>
                <w:szCs w:val="24"/>
                <w:highlight w:val="none"/>
              </w:rPr>
              <w:t>5、荣誉（5分）</w:t>
            </w:r>
          </w:p>
          <w:p w14:paraId="6D4DB589">
            <w:pPr>
              <w:pStyle w:val="58"/>
              <w:snapToGrid w:val="0"/>
              <w:spacing w:line="288" w:lineRule="auto"/>
              <w:rPr>
                <w:rFonts w:hAnsi="宋体" w:cs="宋体"/>
                <w:color w:val="auto"/>
                <w:szCs w:val="24"/>
                <w:highlight w:val="none"/>
              </w:rPr>
            </w:pPr>
            <w:r>
              <w:rPr>
                <w:rFonts w:hint="eastAsia" w:hAnsi="宋体" w:cs="宋体"/>
                <w:color w:val="auto"/>
                <w:szCs w:val="24"/>
                <w:highlight w:val="none"/>
              </w:rPr>
              <w:t>（1）投标人具有企业信用等级证书（AAA）、质量服务诚信企业证书，每提一个证书得1分，本项最高得2分。</w:t>
            </w:r>
          </w:p>
          <w:p w14:paraId="4113123C">
            <w:pPr>
              <w:pStyle w:val="58"/>
              <w:snapToGrid w:val="0"/>
              <w:spacing w:line="288" w:lineRule="auto"/>
              <w:rPr>
                <w:rFonts w:hAnsi="宋体" w:cs="宋体"/>
                <w:color w:val="auto"/>
                <w:szCs w:val="24"/>
                <w:highlight w:val="none"/>
              </w:rPr>
            </w:pPr>
            <w:r>
              <w:rPr>
                <w:rFonts w:hint="eastAsia" w:hAnsi="宋体" w:cs="宋体"/>
                <w:color w:val="auto"/>
                <w:szCs w:val="24"/>
                <w:highlight w:val="none"/>
              </w:rPr>
              <w:t>（2）投标人具有有效的环境体系认证证书、质量体系认证证书、职业健康安全管理体系认证证书，每提一个证书得1分，本项最高得3分。</w:t>
            </w:r>
          </w:p>
          <w:p w14:paraId="1CEB26AF">
            <w:pPr>
              <w:widowControl w:val="0"/>
              <w:snapToGrid w:val="0"/>
              <w:spacing w:line="288" w:lineRule="auto"/>
              <w:rPr>
                <w:rFonts w:ascii="宋体" w:hAnsi="宋体" w:cs="宋体"/>
                <w:color w:val="auto"/>
                <w:sz w:val="24"/>
                <w:szCs w:val="24"/>
                <w:highlight w:val="none"/>
              </w:rPr>
            </w:pPr>
            <w:r>
              <w:rPr>
                <w:rFonts w:hint="eastAsia" w:ascii="宋体" w:hAnsi="宋体" w:cs="宋体"/>
                <w:color w:val="auto"/>
                <w:sz w:val="24"/>
                <w:szCs w:val="24"/>
                <w:highlight w:val="none"/>
              </w:rPr>
              <w:t>注：证书须提供扫描件。</w:t>
            </w:r>
          </w:p>
        </w:tc>
      </w:tr>
      <w:tr w14:paraId="7997C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841" w:type="dxa"/>
            <w:vMerge w:val="restart"/>
            <w:vAlign w:val="center"/>
          </w:tcPr>
          <w:p w14:paraId="1F9361AF">
            <w:pPr>
              <w:widowControl w:val="0"/>
              <w:autoSpaceDE w:val="0"/>
              <w:autoSpaceDN w:val="0"/>
              <w:adjustRightInd w:val="0"/>
              <w:spacing w:line="240"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2.2.2.3</w:t>
            </w:r>
          </w:p>
        </w:tc>
        <w:tc>
          <w:tcPr>
            <w:tcW w:w="1310" w:type="dxa"/>
            <w:vMerge w:val="restart"/>
            <w:vAlign w:val="center"/>
          </w:tcPr>
          <w:p w14:paraId="0C912C0B">
            <w:pPr>
              <w:widowControl w:val="0"/>
              <w:autoSpaceDE w:val="0"/>
              <w:autoSpaceDN w:val="0"/>
              <w:snapToGrid w:val="0"/>
              <w:spacing w:line="240"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售后服务</w:t>
            </w:r>
          </w:p>
          <w:p w14:paraId="767039E5">
            <w:pPr>
              <w:widowControl w:val="0"/>
              <w:autoSpaceDE w:val="0"/>
              <w:autoSpaceDN w:val="0"/>
              <w:snapToGrid w:val="0"/>
              <w:spacing w:line="240"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（1</w:t>
            </w:r>
            <w:r>
              <w:rPr>
                <w:rFonts w:ascii="宋体" w:hAnsi="宋体" w:cs="宋体"/>
                <w:color w:val="auto"/>
                <w:sz w:val="24"/>
                <w:szCs w:val="24"/>
                <w:highlight w:val="none"/>
              </w:rPr>
              <w:t>3</w:t>
            </w:r>
            <w:r>
              <w:rPr>
                <w:rFonts w:hint="eastAsia" w:ascii="宋体" w:hAnsi="宋体" w:cs="宋体"/>
                <w:color w:val="auto"/>
                <w:sz w:val="24"/>
                <w:szCs w:val="24"/>
                <w:highlight w:val="none"/>
              </w:rPr>
              <w:t>）</w:t>
            </w:r>
          </w:p>
        </w:tc>
        <w:tc>
          <w:tcPr>
            <w:tcW w:w="7879" w:type="dxa"/>
            <w:vAlign w:val="center"/>
          </w:tcPr>
          <w:p w14:paraId="1A2F8B60">
            <w:pPr>
              <w:widowControl w:val="0"/>
              <w:snapToGrid w:val="0"/>
              <w:spacing w:line="288" w:lineRule="auto"/>
              <w:rPr>
                <w:rFonts w:ascii="宋体" w:hAnsi="宋体" w:cs="宋体"/>
                <w:color w:val="auto"/>
                <w:sz w:val="24"/>
                <w:szCs w:val="24"/>
                <w:highlight w:val="none"/>
              </w:rPr>
            </w:pPr>
            <w:r>
              <w:rPr>
                <w:rFonts w:hint="eastAsia" w:ascii="宋体" w:hAnsi="宋体" w:cs="宋体"/>
                <w:color w:val="auto"/>
                <w:sz w:val="24"/>
                <w:szCs w:val="24"/>
                <w:highlight w:val="none"/>
              </w:rPr>
              <w:t>售后服务（10分）</w:t>
            </w:r>
          </w:p>
          <w:p w14:paraId="57A96291">
            <w:pPr>
              <w:pStyle w:val="58"/>
              <w:snapToGrid w:val="0"/>
              <w:spacing w:line="288" w:lineRule="auto"/>
              <w:rPr>
                <w:rFonts w:hAnsi="宋体" w:cs="宋体"/>
                <w:color w:val="auto"/>
                <w:szCs w:val="24"/>
                <w:highlight w:val="none"/>
              </w:rPr>
            </w:pPr>
            <w:r>
              <w:rPr>
                <w:rFonts w:hint="eastAsia" w:hAnsi="宋体" w:cs="宋体"/>
                <w:color w:val="auto"/>
                <w:szCs w:val="24"/>
                <w:highlight w:val="none"/>
              </w:rPr>
              <w:t xml:space="preserve">提供的售后服务方案，主要内容包含但不限于：①售后服务人员配备情况；②现场服务措施；③保修期内故障处理流程；④具体响应时间；⑤到场时间；⑥一般故障解决方案；⑦无法解决问题的需要更换备品、备件方案；⑧巡回检修服务故障解决流程特殊情况处理。 </w:t>
            </w:r>
          </w:p>
          <w:p w14:paraId="2CFD8582">
            <w:pPr>
              <w:pStyle w:val="58"/>
              <w:snapToGrid w:val="0"/>
              <w:spacing w:line="288" w:lineRule="auto"/>
              <w:rPr>
                <w:rFonts w:hAnsi="宋体" w:cs="宋体"/>
                <w:color w:val="auto"/>
                <w:szCs w:val="24"/>
                <w:highlight w:val="none"/>
              </w:rPr>
            </w:pPr>
            <w:r>
              <w:rPr>
                <w:rFonts w:hint="eastAsia" w:hAnsi="宋体" w:cs="宋体"/>
                <w:color w:val="auto"/>
                <w:szCs w:val="24"/>
                <w:highlight w:val="none"/>
              </w:rPr>
              <w:t>（1）售后服务方案含有上述8项内容，得1分，缺项得0分；</w:t>
            </w:r>
          </w:p>
          <w:p w14:paraId="55D084FC">
            <w:pPr>
              <w:pStyle w:val="58"/>
              <w:snapToGrid w:val="0"/>
              <w:spacing w:line="288" w:lineRule="auto"/>
              <w:rPr>
                <w:rFonts w:hAnsi="宋体" w:cs="宋体"/>
                <w:color w:val="auto"/>
                <w:szCs w:val="24"/>
                <w:highlight w:val="none"/>
              </w:rPr>
            </w:pPr>
            <w:r>
              <w:rPr>
                <w:rFonts w:hint="eastAsia" w:hAnsi="宋体" w:cs="宋体"/>
                <w:color w:val="auto"/>
                <w:szCs w:val="24"/>
                <w:highlight w:val="none"/>
              </w:rPr>
              <w:t>（2）售后服务方案中承诺故障响应时间30分钟内得1分。</w:t>
            </w:r>
          </w:p>
          <w:p w14:paraId="1D83BCD5">
            <w:pPr>
              <w:pStyle w:val="58"/>
              <w:snapToGrid w:val="0"/>
              <w:spacing w:line="288" w:lineRule="auto"/>
              <w:rPr>
                <w:rFonts w:hAnsi="宋体" w:cs="宋体"/>
                <w:color w:val="auto"/>
                <w:szCs w:val="24"/>
                <w:highlight w:val="none"/>
              </w:rPr>
            </w:pPr>
            <w:r>
              <w:rPr>
                <w:rFonts w:hint="eastAsia" w:hAnsi="宋体" w:cs="宋体"/>
                <w:color w:val="auto"/>
                <w:szCs w:val="24"/>
                <w:highlight w:val="none"/>
              </w:rPr>
              <w:t>（3）售后服务方案中承诺售后人员达现场响应时间2小时内得1分。</w:t>
            </w:r>
          </w:p>
          <w:p w14:paraId="5EC3E3FF">
            <w:pPr>
              <w:pStyle w:val="58"/>
              <w:snapToGrid w:val="0"/>
              <w:spacing w:line="288" w:lineRule="auto"/>
              <w:rPr>
                <w:rFonts w:hAnsi="宋体" w:cs="宋体"/>
                <w:color w:val="auto"/>
                <w:szCs w:val="24"/>
                <w:highlight w:val="none"/>
              </w:rPr>
            </w:pPr>
            <w:r>
              <w:rPr>
                <w:rFonts w:hint="eastAsia" w:hAnsi="宋体" w:cs="宋体"/>
                <w:color w:val="auto"/>
                <w:szCs w:val="24"/>
                <w:highlight w:val="none"/>
              </w:rPr>
              <w:t>（4）投标人在满足招标文件质保年限的基础上, 每增加一年免费质保期加1分，最多得4分。</w:t>
            </w:r>
          </w:p>
          <w:p w14:paraId="0D3A64B1">
            <w:pPr>
              <w:pStyle w:val="58"/>
              <w:snapToGrid w:val="0"/>
              <w:spacing w:line="288" w:lineRule="auto"/>
              <w:rPr>
                <w:rFonts w:hAnsi="宋体" w:cs="宋体"/>
                <w:color w:val="auto"/>
                <w:szCs w:val="24"/>
                <w:highlight w:val="none"/>
              </w:rPr>
            </w:pPr>
            <w:r>
              <w:rPr>
                <w:rFonts w:hint="eastAsia" w:hAnsi="宋体" w:cs="宋体"/>
                <w:color w:val="auto"/>
                <w:szCs w:val="24"/>
                <w:highlight w:val="none"/>
              </w:rPr>
              <w:t>（5）承诺提供重大活动免费灯光租借及保障服务，至少包含20台260W以上电脑光束灯和一名技术人员，每提供一次得1分，最多得3分。</w:t>
            </w:r>
          </w:p>
        </w:tc>
      </w:tr>
      <w:tr w14:paraId="014CA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841" w:type="dxa"/>
            <w:vMerge w:val="continue"/>
            <w:vAlign w:val="center"/>
          </w:tcPr>
          <w:p w14:paraId="742BF7F9">
            <w:pPr>
              <w:widowControl w:val="0"/>
              <w:autoSpaceDE w:val="0"/>
              <w:autoSpaceDN w:val="0"/>
              <w:adjustRightInd w:val="0"/>
              <w:spacing w:line="240" w:lineRule="auto"/>
              <w:jc w:val="center"/>
              <w:textAlignment w:val="auto"/>
              <w:rPr>
                <w:rFonts w:ascii="宋体" w:hAnsi="宋体" w:cs="宋体"/>
                <w:color w:val="auto"/>
                <w:sz w:val="24"/>
                <w:szCs w:val="24"/>
                <w:highlight w:val="none"/>
              </w:rPr>
            </w:pPr>
          </w:p>
        </w:tc>
        <w:tc>
          <w:tcPr>
            <w:tcW w:w="1310" w:type="dxa"/>
            <w:vMerge w:val="continue"/>
            <w:vAlign w:val="center"/>
          </w:tcPr>
          <w:p w14:paraId="535914D8">
            <w:pPr>
              <w:widowControl w:val="0"/>
              <w:autoSpaceDE w:val="0"/>
              <w:autoSpaceDN w:val="0"/>
              <w:snapToGrid w:val="0"/>
              <w:spacing w:line="240" w:lineRule="auto"/>
              <w:jc w:val="center"/>
              <w:textAlignment w:val="auto"/>
              <w:rPr>
                <w:rFonts w:ascii="宋体" w:hAnsi="宋体" w:cs="宋体"/>
                <w:color w:val="auto"/>
                <w:sz w:val="24"/>
                <w:szCs w:val="24"/>
                <w:highlight w:val="none"/>
              </w:rPr>
            </w:pPr>
          </w:p>
        </w:tc>
        <w:tc>
          <w:tcPr>
            <w:tcW w:w="7879" w:type="dxa"/>
            <w:vAlign w:val="center"/>
          </w:tcPr>
          <w:p w14:paraId="03003C60">
            <w:pPr>
              <w:widowControl w:val="0"/>
              <w:snapToGrid w:val="0"/>
              <w:spacing w:line="288" w:lineRule="auto"/>
              <w:rPr>
                <w:rFonts w:ascii="宋体" w:hAnsi="宋体" w:cs="宋体"/>
                <w:color w:val="auto"/>
                <w:sz w:val="24"/>
                <w:szCs w:val="24"/>
                <w:highlight w:val="none"/>
              </w:rPr>
            </w:pPr>
            <w:r>
              <w:rPr>
                <w:rFonts w:hint="eastAsia" w:ascii="宋体" w:hAnsi="宋体" w:cs="宋体"/>
                <w:color w:val="auto"/>
                <w:sz w:val="24"/>
                <w:szCs w:val="24"/>
                <w:highlight w:val="none"/>
              </w:rPr>
              <w:t>培训方案（3分）</w:t>
            </w:r>
          </w:p>
          <w:p w14:paraId="06EEF674">
            <w:pPr>
              <w:pStyle w:val="58"/>
              <w:snapToGrid w:val="0"/>
              <w:spacing w:line="288" w:lineRule="auto"/>
              <w:rPr>
                <w:rFonts w:hAnsi="宋体" w:cs="宋体"/>
                <w:color w:val="auto"/>
                <w:szCs w:val="24"/>
                <w:highlight w:val="none"/>
              </w:rPr>
            </w:pPr>
            <w:r>
              <w:rPr>
                <w:rFonts w:hint="eastAsia" w:hAnsi="宋体" w:cs="宋体"/>
                <w:color w:val="auto"/>
                <w:szCs w:val="24"/>
                <w:highlight w:val="none"/>
              </w:rPr>
              <w:t>培训服务方案内容包含但不限于：培训目标、培训时间进度关键控制点、培训对象、培训计划、培训内容、培训方式、培训讲师安排、培训地点等方面。</w:t>
            </w:r>
          </w:p>
          <w:p w14:paraId="1E16E18A">
            <w:pPr>
              <w:pStyle w:val="58"/>
              <w:snapToGrid w:val="0"/>
              <w:spacing w:line="288" w:lineRule="auto"/>
              <w:rPr>
                <w:rFonts w:hAnsi="宋体" w:cs="宋体"/>
                <w:color w:val="auto"/>
                <w:szCs w:val="24"/>
                <w:highlight w:val="none"/>
              </w:rPr>
            </w:pPr>
            <w:r>
              <w:rPr>
                <w:rFonts w:hint="eastAsia" w:hAnsi="宋体" w:cs="宋体"/>
                <w:color w:val="auto"/>
                <w:szCs w:val="24"/>
                <w:highlight w:val="none"/>
              </w:rPr>
              <w:t>a.培训方案完整、详细，结合本项目紧密具体，得3分；</w:t>
            </w:r>
          </w:p>
          <w:p w14:paraId="3C4998A8">
            <w:pPr>
              <w:pStyle w:val="58"/>
              <w:snapToGrid w:val="0"/>
              <w:spacing w:line="288" w:lineRule="auto"/>
              <w:rPr>
                <w:rFonts w:hAnsi="宋体" w:cs="宋体"/>
                <w:color w:val="auto"/>
                <w:szCs w:val="24"/>
                <w:highlight w:val="none"/>
              </w:rPr>
            </w:pPr>
            <w:r>
              <w:rPr>
                <w:rFonts w:hint="eastAsia" w:hAnsi="宋体" w:cs="宋体"/>
                <w:color w:val="auto"/>
                <w:szCs w:val="24"/>
                <w:highlight w:val="none"/>
              </w:rPr>
              <w:t>b.培训方案较为完整、详细，得2分；</w:t>
            </w:r>
          </w:p>
          <w:p w14:paraId="12DA45CF">
            <w:pPr>
              <w:pStyle w:val="14"/>
              <w:adjustRightInd w:val="0"/>
              <w:snapToGrid w:val="0"/>
              <w:spacing w:line="288" w:lineRule="auto"/>
              <w:ind w:left="0" w:leftChars="0" w:firstLine="0" w:firstLineChars="0"/>
              <w:rPr>
                <w:rFonts w:ascii="宋体" w:hAnsi="宋体" w:cs="宋体"/>
                <w:color w:val="auto"/>
                <w:sz w:val="24"/>
                <w:szCs w:val="24"/>
                <w:highlight w:val="none"/>
              </w:rPr>
            </w:pPr>
            <w:r>
              <w:rPr>
                <w:rFonts w:hint="eastAsia" w:ascii="宋体" w:hAnsi="宋体" w:cs="宋体"/>
                <w:color w:val="auto"/>
                <w:sz w:val="24"/>
                <w:szCs w:val="24"/>
                <w:highlight w:val="none"/>
              </w:rPr>
              <w:t>c.培训方案不完整或不详细，得1分；</w:t>
            </w:r>
          </w:p>
          <w:p w14:paraId="23B5A008">
            <w:pPr>
              <w:widowControl w:val="0"/>
              <w:snapToGrid w:val="0"/>
              <w:spacing w:line="288" w:lineRule="auto"/>
              <w:rPr>
                <w:rFonts w:ascii="宋体" w:hAnsi="宋体" w:cs="宋体"/>
                <w:color w:val="auto"/>
                <w:sz w:val="24"/>
                <w:szCs w:val="24"/>
                <w:highlight w:val="none"/>
              </w:rPr>
            </w:pPr>
            <w:r>
              <w:rPr>
                <w:rFonts w:hint="eastAsia" w:ascii="宋体" w:hAnsi="宋体" w:cs="宋体"/>
                <w:color w:val="auto"/>
                <w:sz w:val="24"/>
                <w:szCs w:val="24"/>
                <w:highlight w:val="none"/>
              </w:rPr>
              <w:t>d.不符合项目实际要求或无培训方案得0分。</w:t>
            </w:r>
          </w:p>
        </w:tc>
      </w:tr>
    </w:tbl>
    <w:p w14:paraId="08C9EB3A">
      <w:pPr>
        <w:autoSpaceDE w:val="0"/>
        <w:autoSpaceDN w:val="0"/>
        <w:adjustRightInd w:val="0"/>
        <w:snapToGrid w:val="0"/>
        <w:spacing w:before="156" w:beforeLines="50" w:line="300" w:lineRule="auto"/>
        <w:ind w:firstLine="616" w:firstLineChars="257"/>
        <w:jc w:val="left"/>
        <w:rPr>
          <w:color w:val="auto"/>
          <w:sz w:val="24"/>
          <w:szCs w:val="24"/>
          <w:highlight w:val="none"/>
        </w:rPr>
      </w:pPr>
      <w:r>
        <w:rPr>
          <w:rFonts w:hint="eastAsia"/>
          <w:bCs/>
          <w:color w:val="auto"/>
          <w:sz w:val="24"/>
          <w:szCs w:val="24"/>
          <w:highlight w:val="none"/>
        </w:rPr>
        <w:t>注：1、</w:t>
      </w:r>
      <w:r>
        <w:rPr>
          <w:rFonts w:hint="eastAsia"/>
          <w:color w:val="auto"/>
          <w:sz w:val="24"/>
          <w:szCs w:val="24"/>
          <w:highlight w:val="none"/>
        </w:rPr>
        <w:t>以上打分细则中所需要的证件、证书、合同等证明资料，需提供原件的扫描件附于投标文件中。</w:t>
      </w:r>
    </w:p>
    <w:p w14:paraId="7E5638BB">
      <w:pPr>
        <w:spacing w:line="500" w:lineRule="exact"/>
        <w:ind w:firstLine="236" w:firstLineChars="98"/>
        <w:jc w:val="left"/>
        <w:rPr>
          <w:b/>
          <w:bCs/>
          <w:color w:val="auto"/>
          <w:sz w:val="24"/>
          <w:szCs w:val="24"/>
          <w:highlight w:val="none"/>
        </w:rPr>
      </w:pPr>
    </w:p>
    <w:p w14:paraId="4ED8711C">
      <w:pPr>
        <w:spacing w:line="500" w:lineRule="exact"/>
        <w:ind w:firstLine="235" w:firstLineChars="98"/>
        <w:jc w:val="left"/>
        <w:rPr>
          <w:bCs/>
          <w:color w:val="auto"/>
          <w:sz w:val="24"/>
          <w:szCs w:val="24"/>
          <w:highlight w:val="none"/>
        </w:rPr>
      </w:pPr>
      <w:r>
        <w:rPr>
          <w:rFonts w:hint="eastAsia"/>
          <w:bCs/>
          <w:color w:val="auto"/>
          <w:sz w:val="24"/>
          <w:szCs w:val="24"/>
          <w:highlight w:val="none"/>
        </w:rPr>
        <w:t>2、防范虚假证明材料的要求</w:t>
      </w:r>
    </w:p>
    <w:p w14:paraId="39FC8A46">
      <w:pPr>
        <w:spacing w:line="240" w:lineRule="auto"/>
        <w:jc w:val="left"/>
        <w:textAlignment w:val="auto"/>
        <w:rPr>
          <w:rFonts w:ascii="黑体" w:hAnsi="黑体" w:eastAsia="黑体" w:cs="楷体_GB2312"/>
          <w:bCs/>
          <w:color w:val="auto"/>
          <w:sz w:val="28"/>
          <w:szCs w:val="28"/>
          <w:highlight w:val="none"/>
          <w:lang w:val="zh-CN"/>
        </w:rPr>
      </w:pPr>
      <w:r>
        <w:rPr>
          <w:rFonts w:hint="eastAsia"/>
          <w:bCs/>
          <w:color w:val="auto"/>
          <w:sz w:val="24"/>
          <w:szCs w:val="24"/>
          <w:highlight w:val="none"/>
        </w:rPr>
        <w:t>基于当前监督检查工作要求，为防范虚假材料，投标人（中标人）应按第六章12-3附件“证明材料查询核验工作的清单及要求”执行。</w:t>
      </w:r>
    </w:p>
    <w:p w14:paraId="65A8932A">
      <w:pPr>
        <w:autoSpaceDE w:val="0"/>
        <w:autoSpaceDN w:val="0"/>
        <w:adjustRightInd w:val="0"/>
        <w:snapToGrid w:val="0"/>
        <w:spacing w:before="156" w:beforeLines="50" w:line="300" w:lineRule="auto"/>
        <w:ind w:firstLine="562" w:firstLineChars="200"/>
        <w:jc w:val="left"/>
        <w:outlineLvl w:val="1"/>
        <w:rPr>
          <w:rFonts w:ascii="黑体" w:hAnsi="黑体" w:eastAsia="黑体" w:cs="楷体_GB2312"/>
          <w:b/>
          <w:bCs/>
          <w:color w:val="auto"/>
          <w:sz w:val="28"/>
          <w:szCs w:val="28"/>
          <w:highlight w:val="none"/>
          <w:lang w:val="zh-CN"/>
        </w:rPr>
      </w:pPr>
      <w:r>
        <w:rPr>
          <w:rFonts w:ascii="黑体" w:hAnsi="黑体" w:eastAsia="黑体" w:cs="楷体_GB2312"/>
          <w:b/>
          <w:bCs/>
          <w:color w:val="auto"/>
          <w:sz w:val="28"/>
          <w:szCs w:val="28"/>
          <w:highlight w:val="none"/>
          <w:lang w:val="zh-CN"/>
        </w:rPr>
        <w:br w:type="page"/>
      </w:r>
    </w:p>
    <w:p w14:paraId="670BBE03">
      <w:pPr>
        <w:autoSpaceDE w:val="0"/>
        <w:autoSpaceDN w:val="0"/>
        <w:adjustRightInd w:val="0"/>
        <w:snapToGrid w:val="0"/>
        <w:spacing w:before="156" w:beforeLines="50" w:line="300" w:lineRule="auto"/>
        <w:ind w:firstLine="562" w:firstLineChars="200"/>
        <w:jc w:val="left"/>
        <w:outlineLvl w:val="1"/>
        <w:rPr>
          <w:rFonts w:ascii="黑体" w:hAnsi="黑体" w:eastAsia="黑体" w:cs="楷体_GB2312"/>
          <w:b/>
          <w:bCs/>
          <w:color w:val="auto"/>
          <w:sz w:val="28"/>
          <w:szCs w:val="28"/>
          <w:highlight w:val="none"/>
          <w:lang w:val="zh-CN"/>
        </w:rPr>
      </w:pPr>
      <w:bookmarkStart w:id="49" w:name="_Toc15204"/>
      <w:r>
        <w:rPr>
          <w:rFonts w:ascii="黑体" w:hAnsi="黑体" w:eastAsia="黑体" w:cs="楷体_GB2312"/>
          <w:b/>
          <w:bCs/>
          <w:color w:val="auto"/>
          <w:sz w:val="28"/>
          <w:szCs w:val="28"/>
          <w:highlight w:val="none"/>
          <w:lang w:val="zh-CN"/>
        </w:rPr>
        <w:t xml:space="preserve">1. </w:t>
      </w:r>
      <w:r>
        <w:rPr>
          <w:rFonts w:hint="eastAsia" w:ascii="黑体" w:hAnsi="黑体" w:eastAsia="黑体" w:cs="楷体_GB2312"/>
          <w:b/>
          <w:bCs/>
          <w:color w:val="auto"/>
          <w:sz w:val="28"/>
          <w:szCs w:val="28"/>
          <w:highlight w:val="none"/>
          <w:lang w:val="zh-CN"/>
        </w:rPr>
        <w:t>评标方法</w:t>
      </w:r>
      <w:bookmarkEnd w:id="49"/>
    </w:p>
    <w:p w14:paraId="1B9542B2">
      <w:pPr>
        <w:widowControl w:val="0"/>
        <w:adjustRightInd w:val="0"/>
        <w:snapToGrid w:val="0"/>
        <w:spacing w:before="156" w:beforeLines="50" w:line="300" w:lineRule="auto"/>
        <w:ind w:firstLine="480" w:firstLineChars="200"/>
        <w:textAlignment w:val="top"/>
        <w:rPr>
          <w:color w:val="auto"/>
          <w:sz w:val="24"/>
          <w:szCs w:val="24"/>
          <w:highlight w:val="none"/>
        </w:rPr>
      </w:pPr>
      <w:r>
        <w:rPr>
          <w:rFonts w:hint="eastAsia"/>
          <w:color w:val="auto"/>
          <w:sz w:val="24"/>
          <w:szCs w:val="24"/>
          <w:highlight w:val="none"/>
        </w:rPr>
        <w:t>本次招标标段&lt;包&gt;1的评标方法采用《政府采购货物和服务招标投标管理办法》中的“综合评分法”。</w:t>
      </w:r>
    </w:p>
    <w:p w14:paraId="0585AD28">
      <w:pPr>
        <w:widowControl w:val="0"/>
        <w:adjustRightInd w:val="0"/>
        <w:snapToGrid w:val="0"/>
        <w:spacing w:before="156" w:beforeLines="50" w:line="300" w:lineRule="auto"/>
        <w:ind w:firstLine="480" w:firstLineChars="200"/>
        <w:textAlignment w:val="top"/>
        <w:rPr>
          <w:color w:val="auto"/>
          <w:sz w:val="24"/>
          <w:szCs w:val="24"/>
          <w:highlight w:val="none"/>
        </w:rPr>
      </w:pPr>
      <w:r>
        <w:rPr>
          <w:rFonts w:hint="eastAsia"/>
          <w:color w:val="auto"/>
          <w:sz w:val="24"/>
          <w:szCs w:val="24"/>
          <w:highlight w:val="none"/>
        </w:rPr>
        <w:t>投标文件满足招标文件全部实质性要求的，评标委员会按照“评标办法前附表”列示的各项评审因素进行评价、打分，投标人的各项评审因素得分的汇总分值即为投标人该标段&lt;包&gt;的评审得分，评审得分最高的投标人为该标段&lt;包&gt;的中标候选人。如有两个投标人评审得分相同、并列第一的，以投标报价得分高者为该标段（包）的中标候选人。</w:t>
      </w:r>
    </w:p>
    <w:p w14:paraId="37AE3C47">
      <w:pPr>
        <w:autoSpaceDE w:val="0"/>
        <w:autoSpaceDN w:val="0"/>
        <w:adjustRightInd w:val="0"/>
        <w:snapToGrid w:val="0"/>
        <w:spacing w:before="50" w:line="300" w:lineRule="auto"/>
        <w:ind w:firstLine="480" w:firstLineChars="200"/>
        <w:jc w:val="left"/>
        <w:rPr>
          <w:rFonts w:ascii="宋体"/>
          <w:color w:val="auto"/>
          <w:sz w:val="24"/>
          <w:highlight w:val="none"/>
        </w:rPr>
      </w:pPr>
    </w:p>
    <w:p w14:paraId="5C05C8D7">
      <w:pPr>
        <w:widowControl w:val="0"/>
        <w:autoSpaceDE w:val="0"/>
        <w:autoSpaceDN w:val="0"/>
        <w:adjustRightInd w:val="0"/>
        <w:snapToGrid w:val="0"/>
        <w:spacing w:before="50" w:line="300" w:lineRule="auto"/>
        <w:ind w:firstLine="562" w:firstLineChars="200"/>
        <w:textAlignment w:val="auto"/>
        <w:outlineLvl w:val="1"/>
        <w:rPr>
          <w:rFonts w:ascii="黑体" w:hAnsi="黑体" w:eastAsia="黑体" w:cs="楷体_GB2312"/>
          <w:b/>
          <w:bCs/>
          <w:color w:val="auto"/>
          <w:sz w:val="28"/>
          <w:szCs w:val="28"/>
          <w:highlight w:val="none"/>
          <w:lang w:val="zh-CN"/>
        </w:rPr>
      </w:pPr>
      <w:bookmarkStart w:id="50" w:name="_Toc4846"/>
      <w:r>
        <w:rPr>
          <w:rFonts w:ascii="黑体" w:hAnsi="黑体" w:eastAsia="黑体" w:cs="楷体_GB2312"/>
          <w:b/>
          <w:bCs/>
          <w:color w:val="auto"/>
          <w:sz w:val="28"/>
          <w:szCs w:val="28"/>
          <w:highlight w:val="none"/>
          <w:lang w:val="zh-CN"/>
        </w:rPr>
        <w:t xml:space="preserve">2. </w:t>
      </w:r>
      <w:r>
        <w:rPr>
          <w:rFonts w:hint="eastAsia" w:ascii="黑体" w:hAnsi="黑体" w:eastAsia="黑体" w:cs="楷体_GB2312"/>
          <w:b/>
          <w:bCs/>
          <w:color w:val="auto"/>
          <w:sz w:val="28"/>
          <w:szCs w:val="28"/>
          <w:highlight w:val="none"/>
          <w:lang w:val="zh-CN"/>
        </w:rPr>
        <w:t>评标标准</w:t>
      </w:r>
      <w:bookmarkEnd w:id="50"/>
    </w:p>
    <w:p w14:paraId="52E8AC5D">
      <w:pPr>
        <w:autoSpaceDE w:val="0"/>
        <w:autoSpaceDN w:val="0"/>
        <w:adjustRightInd w:val="0"/>
        <w:snapToGrid w:val="0"/>
        <w:spacing w:before="50" w:line="300" w:lineRule="auto"/>
        <w:ind w:firstLine="482" w:firstLineChars="200"/>
        <w:jc w:val="left"/>
        <w:rPr>
          <w:rFonts w:ascii="宋体"/>
          <w:color w:val="auto"/>
          <w:sz w:val="24"/>
          <w:highlight w:val="none"/>
        </w:rPr>
      </w:pPr>
      <w:r>
        <w:rPr>
          <w:rFonts w:ascii="黑体" w:hAnsi="黑体" w:eastAsia="黑体"/>
          <w:b/>
          <w:color w:val="auto"/>
          <w:sz w:val="24"/>
          <w:highlight w:val="none"/>
        </w:rPr>
        <w:t xml:space="preserve">2.1 </w:t>
      </w:r>
      <w:r>
        <w:rPr>
          <w:rFonts w:hint="eastAsia" w:ascii="黑体" w:hAnsi="黑体" w:eastAsia="黑体"/>
          <w:b/>
          <w:color w:val="auto"/>
          <w:sz w:val="24"/>
          <w:highlight w:val="none"/>
        </w:rPr>
        <w:t>符合性审查标准：</w:t>
      </w:r>
      <w:r>
        <w:rPr>
          <w:rFonts w:hint="eastAsia" w:ascii="宋体" w:hAnsi="宋体"/>
          <w:color w:val="auto"/>
          <w:sz w:val="24"/>
          <w:highlight w:val="none"/>
        </w:rPr>
        <w:t>见评标办法前附表</w:t>
      </w:r>
    </w:p>
    <w:p w14:paraId="5FE259D0">
      <w:pPr>
        <w:autoSpaceDE w:val="0"/>
        <w:autoSpaceDN w:val="0"/>
        <w:adjustRightInd w:val="0"/>
        <w:snapToGrid w:val="0"/>
        <w:spacing w:before="50" w:line="300" w:lineRule="auto"/>
        <w:ind w:firstLine="482" w:firstLineChars="200"/>
        <w:jc w:val="left"/>
        <w:rPr>
          <w:rFonts w:ascii="黑体" w:hAnsi="黑体" w:eastAsia="黑体"/>
          <w:b/>
          <w:color w:val="auto"/>
          <w:sz w:val="24"/>
          <w:highlight w:val="none"/>
        </w:rPr>
      </w:pPr>
      <w:r>
        <w:rPr>
          <w:rFonts w:ascii="黑体" w:hAnsi="黑体" w:eastAsia="黑体"/>
          <w:b/>
          <w:color w:val="auto"/>
          <w:sz w:val="24"/>
          <w:highlight w:val="none"/>
        </w:rPr>
        <w:t xml:space="preserve">2.2 </w:t>
      </w:r>
      <w:r>
        <w:rPr>
          <w:rFonts w:hint="eastAsia" w:ascii="黑体" w:hAnsi="黑体" w:eastAsia="黑体"/>
          <w:b/>
          <w:color w:val="auto"/>
          <w:sz w:val="24"/>
          <w:highlight w:val="none"/>
        </w:rPr>
        <w:t>详细评审标准</w:t>
      </w:r>
    </w:p>
    <w:p w14:paraId="751EDF23">
      <w:pPr>
        <w:autoSpaceDE w:val="0"/>
        <w:autoSpaceDN w:val="0"/>
        <w:adjustRightInd w:val="0"/>
        <w:snapToGrid w:val="0"/>
        <w:spacing w:before="50" w:line="300" w:lineRule="auto"/>
        <w:ind w:firstLine="480" w:firstLineChars="200"/>
        <w:jc w:val="left"/>
        <w:rPr>
          <w:rFonts w:ascii="宋体"/>
          <w:color w:val="auto"/>
          <w:sz w:val="24"/>
          <w:highlight w:val="none"/>
        </w:rPr>
      </w:pPr>
      <w:r>
        <w:rPr>
          <w:rFonts w:ascii="宋体" w:hAnsi="宋体"/>
          <w:color w:val="auto"/>
          <w:sz w:val="24"/>
          <w:highlight w:val="none"/>
        </w:rPr>
        <w:t xml:space="preserve">2.2.1 </w:t>
      </w:r>
      <w:r>
        <w:rPr>
          <w:rFonts w:hint="eastAsia" w:ascii="宋体" w:hAnsi="宋体"/>
          <w:color w:val="auto"/>
          <w:sz w:val="24"/>
          <w:highlight w:val="none"/>
        </w:rPr>
        <w:t>分值构成：见评标办法前附表</w:t>
      </w:r>
    </w:p>
    <w:p w14:paraId="3264E9D2">
      <w:pPr>
        <w:autoSpaceDE w:val="0"/>
        <w:autoSpaceDN w:val="0"/>
        <w:adjustRightInd w:val="0"/>
        <w:snapToGrid w:val="0"/>
        <w:spacing w:before="50" w:line="300" w:lineRule="auto"/>
        <w:ind w:firstLine="480" w:firstLineChars="200"/>
        <w:jc w:val="left"/>
        <w:rPr>
          <w:rFonts w:ascii="宋体" w:hAnsi="宋体"/>
          <w:color w:val="auto"/>
          <w:sz w:val="24"/>
          <w:highlight w:val="none"/>
        </w:rPr>
      </w:pPr>
      <w:r>
        <w:rPr>
          <w:rFonts w:ascii="宋体" w:hAnsi="宋体"/>
          <w:color w:val="auto"/>
          <w:sz w:val="24"/>
          <w:highlight w:val="none"/>
        </w:rPr>
        <w:t xml:space="preserve">2.2.2 </w:t>
      </w:r>
      <w:r>
        <w:rPr>
          <w:rFonts w:hint="eastAsia" w:ascii="宋体" w:hAnsi="宋体"/>
          <w:color w:val="auto"/>
          <w:sz w:val="24"/>
          <w:highlight w:val="none"/>
        </w:rPr>
        <w:t>评分标准：见评标办法前附表</w:t>
      </w:r>
    </w:p>
    <w:p w14:paraId="4F6F6135">
      <w:pPr>
        <w:autoSpaceDE w:val="0"/>
        <w:autoSpaceDN w:val="0"/>
        <w:adjustRightInd w:val="0"/>
        <w:snapToGrid w:val="0"/>
        <w:spacing w:before="50" w:line="300" w:lineRule="auto"/>
        <w:ind w:firstLine="480" w:firstLineChars="200"/>
        <w:jc w:val="left"/>
        <w:rPr>
          <w:rFonts w:ascii="宋体"/>
          <w:color w:val="auto"/>
          <w:sz w:val="24"/>
          <w:highlight w:val="none"/>
        </w:rPr>
      </w:pPr>
    </w:p>
    <w:p w14:paraId="0DE0F1C6">
      <w:pPr>
        <w:widowControl w:val="0"/>
        <w:autoSpaceDE w:val="0"/>
        <w:autoSpaceDN w:val="0"/>
        <w:adjustRightInd w:val="0"/>
        <w:snapToGrid w:val="0"/>
        <w:spacing w:before="50" w:line="300" w:lineRule="auto"/>
        <w:ind w:firstLine="562" w:firstLineChars="200"/>
        <w:textAlignment w:val="auto"/>
        <w:outlineLvl w:val="1"/>
        <w:rPr>
          <w:rFonts w:ascii="黑体" w:hAnsi="黑体" w:eastAsia="黑体" w:cs="楷体_GB2312"/>
          <w:b/>
          <w:bCs/>
          <w:color w:val="auto"/>
          <w:sz w:val="28"/>
          <w:szCs w:val="28"/>
          <w:highlight w:val="none"/>
          <w:lang w:val="zh-CN"/>
        </w:rPr>
      </w:pPr>
      <w:bookmarkStart w:id="51" w:name="_Toc6318"/>
      <w:r>
        <w:rPr>
          <w:rFonts w:ascii="黑体" w:hAnsi="黑体" w:eastAsia="黑体" w:cs="楷体_GB2312"/>
          <w:b/>
          <w:bCs/>
          <w:color w:val="auto"/>
          <w:sz w:val="28"/>
          <w:szCs w:val="28"/>
          <w:highlight w:val="none"/>
          <w:lang w:val="zh-CN"/>
        </w:rPr>
        <w:t xml:space="preserve">3. </w:t>
      </w:r>
      <w:r>
        <w:rPr>
          <w:rFonts w:hint="eastAsia" w:ascii="黑体" w:hAnsi="黑体" w:eastAsia="黑体" w:cs="楷体_GB2312"/>
          <w:b/>
          <w:bCs/>
          <w:color w:val="auto"/>
          <w:sz w:val="28"/>
          <w:szCs w:val="28"/>
          <w:highlight w:val="none"/>
          <w:lang w:val="zh-CN"/>
        </w:rPr>
        <w:t>评标程序</w:t>
      </w:r>
      <w:bookmarkEnd w:id="51"/>
    </w:p>
    <w:p w14:paraId="42C9C7DE">
      <w:pPr>
        <w:autoSpaceDE w:val="0"/>
        <w:autoSpaceDN w:val="0"/>
        <w:adjustRightInd w:val="0"/>
        <w:snapToGrid w:val="0"/>
        <w:spacing w:before="156" w:beforeLines="50" w:line="300" w:lineRule="auto"/>
        <w:ind w:firstLine="482" w:firstLineChars="200"/>
        <w:jc w:val="left"/>
        <w:rPr>
          <w:rFonts w:ascii="黑体" w:hAnsi="黑体" w:eastAsia="黑体"/>
          <w:b/>
          <w:color w:val="auto"/>
          <w:sz w:val="24"/>
          <w:szCs w:val="24"/>
          <w:highlight w:val="none"/>
        </w:rPr>
      </w:pPr>
      <w:r>
        <w:rPr>
          <w:rFonts w:hint="eastAsia" w:ascii="黑体" w:hAnsi="黑体" w:eastAsia="黑体"/>
          <w:b/>
          <w:color w:val="auto"/>
          <w:sz w:val="24"/>
          <w:szCs w:val="24"/>
          <w:highlight w:val="none"/>
        </w:rPr>
        <w:t>评标委员会按标段（包）进行评审</w:t>
      </w:r>
    </w:p>
    <w:p w14:paraId="0F003FA0">
      <w:pPr>
        <w:autoSpaceDE w:val="0"/>
        <w:autoSpaceDN w:val="0"/>
        <w:adjustRightInd w:val="0"/>
        <w:snapToGrid w:val="0"/>
        <w:spacing w:before="156" w:beforeLines="50" w:line="300" w:lineRule="auto"/>
        <w:ind w:firstLine="482" w:firstLineChars="200"/>
        <w:jc w:val="left"/>
        <w:rPr>
          <w:rFonts w:ascii="黑体" w:hAnsi="黑体" w:eastAsia="黑体"/>
          <w:b/>
          <w:color w:val="auto"/>
          <w:sz w:val="24"/>
          <w:highlight w:val="none"/>
        </w:rPr>
      </w:pPr>
      <w:r>
        <w:rPr>
          <w:rFonts w:ascii="黑体" w:hAnsi="黑体" w:eastAsia="黑体"/>
          <w:b/>
          <w:color w:val="auto"/>
          <w:sz w:val="24"/>
          <w:highlight w:val="none"/>
        </w:rPr>
        <w:t xml:space="preserve">3.1 </w:t>
      </w:r>
      <w:r>
        <w:rPr>
          <w:rFonts w:hint="eastAsia" w:ascii="黑体" w:hAnsi="黑体" w:eastAsia="黑体"/>
          <w:b/>
          <w:color w:val="auto"/>
          <w:sz w:val="24"/>
          <w:highlight w:val="none"/>
        </w:rPr>
        <w:t>审阅招标文件</w:t>
      </w:r>
    </w:p>
    <w:p w14:paraId="35841663">
      <w:pPr>
        <w:pStyle w:val="58"/>
        <w:snapToGrid w:val="0"/>
        <w:spacing w:before="156" w:beforeLines="50" w:line="300" w:lineRule="auto"/>
        <w:ind w:firstLine="480" w:firstLineChars="200"/>
        <w:jc w:val="both"/>
        <w:rPr>
          <w:rFonts w:hAnsi="宋体"/>
          <w:color w:val="auto"/>
          <w:highlight w:val="none"/>
        </w:rPr>
      </w:pPr>
      <w:r>
        <w:rPr>
          <w:rFonts w:hAnsi="宋体"/>
          <w:color w:val="auto"/>
          <w:highlight w:val="none"/>
        </w:rPr>
        <w:t>3.1.1</w:t>
      </w:r>
      <w:r>
        <w:rPr>
          <w:rFonts w:hint="eastAsia" w:hAnsi="宋体"/>
          <w:color w:val="auto"/>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将修改招标文件，重新组织采购活动。</w:t>
      </w:r>
    </w:p>
    <w:p w14:paraId="267F1629">
      <w:pPr>
        <w:widowControl w:val="0"/>
        <w:autoSpaceDE w:val="0"/>
        <w:autoSpaceDN w:val="0"/>
        <w:adjustRightInd w:val="0"/>
        <w:snapToGrid w:val="0"/>
        <w:spacing w:before="156" w:beforeLines="50" w:line="300" w:lineRule="auto"/>
        <w:ind w:firstLine="480" w:firstLineChars="200"/>
        <w:textAlignment w:val="auto"/>
        <w:rPr>
          <w:rFonts w:ascii="宋体"/>
          <w:color w:val="auto"/>
          <w:sz w:val="24"/>
          <w:highlight w:val="none"/>
        </w:rPr>
      </w:pPr>
      <w:r>
        <w:rPr>
          <w:rFonts w:ascii="宋体" w:hAnsi="宋体"/>
          <w:color w:val="auto"/>
          <w:sz w:val="24"/>
          <w:highlight w:val="none"/>
        </w:rPr>
        <w:t xml:space="preserve">3.1.2  </w:t>
      </w:r>
      <w:r>
        <w:rPr>
          <w:rFonts w:hint="eastAsia" w:ascii="宋体" w:hAnsi="宋体"/>
          <w:color w:val="auto"/>
          <w:sz w:val="24"/>
          <w:highlight w:val="none"/>
        </w:rPr>
        <w:t>评标委员会</w:t>
      </w:r>
      <w:r>
        <w:rPr>
          <w:rFonts w:hint="eastAsia" w:ascii="??" w:hAnsi="??" w:cs="宋体"/>
          <w:color w:val="auto"/>
          <w:sz w:val="24"/>
          <w:szCs w:val="21"/>
          <w:highlight w:val="none"/>
        </w:rPr>
        <w:t>要求解释</w:t>
      </w:r>
      <w:r>
        <w:rPr>
          <w:rFonts w:hint="eastAsia" w:ascii="宋体" w:hAnsi="宋体"/>
          <w:color w:val="auto"/>
          <w:sz w:val="24"/>
          <w:highlight w:val="none"/>
        </w:rPr>
        <w:t>招标文件的，书面提出需解释的相关招标文件的具体内容后、由采购代理机构或者采购人进行书面解释。</w:t>
      </w:r>
    </w:p>
    <w:p w14:paraId="17C15957">
      <w:pPr>
        <w:autoSpaceDE w:val="0"/>
        <w:autoSpaceDN w:val="0"/>
        <w:adjustRightInd w:val="0"/>
        <w:snapToGrid w:val="0"/>
        <w:spacing w:before="50" w:line="300" w:lineRule="auto"/>
        <w:ind w:firstLine="482" w:firstLineChars="200"/>
        <w:jc w:val="left"/>
        <w:rPr>
          <w:rFonts w:ascii="黑体" w:hAnsi="黑体" w:eastAsia="黑体"/>
          <w:b/>
          <w:color w:val="auto"/>
          <w:sz w:val="24"/>
          <w:highlight w:val="none"/>
        </w:rPr>
      </w:pPr>
      <w:r>
        <w:rPr>
          <w:rFonts w:ascii="黑体" w:hAnsi="黑体" w:eastAsia="黑体"/>
          <w:b/>
          <w:color w:val="auto"/>
          <w:sz w:val="24"/>
          <w:highlight w:val="none"/>
        </w:rPr>
        <w:t xml:space="preserve">3.2 </w:t>
      </w:r>
      <w:r>
        <w:rPr>
          <w:rFonts w:hint="eastAsia" w:ascii="黑体" w:hAnsi="黑体" w:eastAsia="黑体"/>
          <w:b/>
          <w:color w:val="auto"/>
          <w:sz w:val="24"/>
          <w:highlight w:val="none"/>
        </w:rPr>
        <w:t>符合性审查</w:t>
      </w:r>
    </w:p>
    <w:p w14:paraId="0230EB0F">
      <w:pPr>
        <w:autoSpaceDE w:val="0"/>
        <w:autoSpaceDN w:val="0"/>
        <w:adjustRightInd w:val="0"/>
        <w:snapToGrid w:val="0"/>
        <w:spacing w:before="50" w:line="300" w:lineRule="auto"/>
        <w:ind w:firstLine="480" w:firstLineChars="200"/>
        <w:jc w:val="left"/>
        <w:rPr>
          <w:rFonts w:ascii="宋体"/>
          <w:color w:val="auto"/>
          <w:sz w:val="24"/>
          <w:highlight w:val="none"/>
        </w:rPr>
      </w:pPr>
      <w:r>
        <w:rPr>
          <w:rFonts w:ascii="宋体" w:hAnsi="宋体"/>
          <w:color w:val="auto"/>
          <w:sz w:val="24"/>
          <w:highlight w:val="none"/>
        </w:rPr>
        <w:t xml:space="preserve">3.2.1 </w:t>
      </w:r>
      <w:r>
        <w:rPr>
          <w:rFonts w:hint="eastAsia" w:ascii="宋体" w:hAnsi="宋体" w:cs="宋体"/>
          <w:color w:val="auto"/>
          <w:sz w:val="24"/>
          <w:highlight w:val="none"/>
        </w:rPr>
        <w:t>评标委员会对符合资格的投标人的投标文件进行符合性审查，以确定其是否满足招标文件的实质性要求。</w:t>
      </w:r>
    </w:p>
    <w:p w14:paraId="6F32176D">
      <w:pPr>
        <w:autoSpaceDE w:val="0"/>
        <w:autoSpaceDN w:val="0"/>
        <w:adjustRightInd w:val="0"/>
        <w:snapToGrid w:val="0"/>
        <w:spacing w:before="50" w:line="300" w:lineRule="auto"/>
        <w:ind w:firstLine="480" w:firstLineChars="200"/>
        <w:jc w:val="left"/>
        <w:rPr>
          <w:rFonts w:ascii="宋体" w:hAnsi="宋体"/>
          <w:color w:val="auto"/>
          <w:sz w:val="24"/>
          <w:highlight w:val="none"/>
        </w:rPr>
      </w:pPr>
      <w:r>
        <w:rPr>
          <w:rFonts w:hint="eastAsia" w:ascii="宋体" w:hAnsi="宋体"/>
          <w:color w:val="auto"/>
          <w:sz w:val="24"/>
          <w:highlight w:val="none"/>
        </w:rPr>
        <w:t>评标委员会依据本章第</w:t>
      </w:r>
      <w:r>
        <w:rPr>
          <w:rFonts w:ascii="宋体" w:hAnsi="宋体"/>
          <w:color w:val="auto"/>
          <w:sz w:val="24"/>
          <w:highlight w:val="none"/>
        </w:rPr>
        <w:t>2.1</w:t>
      </w:r>
      <w:r>
        <w:rPr>
          <w:rFonts w:hint="eastAsia" w:ascii="宋体" w:hAnsi="宋体"/>
          <w:color w:val="auto"/>
          <w:sz w:val="24"/>
          <w:highlight w:val="none"/>
        </w:rPr>
        <w:t>款规定的标准对投标文件进行符合性评审。有一项不符合评审标准的，作无效投标处理。</w:t>
      </w:r>
    </w:p>
    <w:p w14:paraId="469374A9">
      <w:pPr>
        <w:autoSpaceDE w:val="0"/>
        <w:autoSpaceDN w:val="0"/>
        <w:adjustRightInd w:val="0"/>
        <w:snapToGrid w:val="0"/>
        <w:spacing w:before="50" w:line="300" w:lineRule="auto"/>
        <w:ind w:firstLine="480" w:firstLineChars="200"/>
        <w:jc w:val="left"/>
        <w:rPr>
          <w:rFonts w:ascii="宋体"/>
          <w:color w:val="auto"/>
          <w:sz w:val="24"/>
          <w:highlight w:val="none"/>
        </w:rPr>
      </w:pPr>
      <w:r>
        <w:rPr>
          <w:rFonts w:ascii="宋体" w:hAnsi="宋体"/>
          <w:color w:val="auto"/>
          <w:sz w:val="24"/>
          <w:highlight w:val="none"/>
        </w:rPr>
        <w:t xml:space="preserve">3.2.2 </w:t>
      </w:r>
      <w:r>
        <w:rPr>
          <w:rFonts w:hint="eastAsia" w:ascii="宋体" w:hAnsi="宋体"/>
          <w:color w:val="auto"/>
          <w:sz w:val="24"/>
          <w:highlight w:val="none"/>
        </w:rPr>
        <w:t>投标人有以下情形之一的，其投标作无效投标处理：</w:t>
      </w:r>
    </w:p>
    <w:p w14:paraId="445CE989">
      <w:pPr>
        <w:autoSpaceDE w:val="0"/>
        <w:autoSpaceDN w:val="0"/>
        <w:adjustRightInd w:val="0"/>
        <w:snapToGrid w:val="0"/>
        <w:spacing w:line="300" w:lineRule="auto"/>
        <w:ind w:firstLine="480" w:firstLineChars="200"/>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）投标人不符合国家或者招标文件规定的资格条件；</w:t>
      </w:r>
    </w:p>
    <w:p w14:paraId="3CF32AFB">
      <w:pPr>
        <w:autoSpaceDE w:val="0"/>
        <w:autoSpaceDN w:val="0"/>
        <w:adjustRightInd w:val="0"/>
        <w:snapToGrid w:val="0"/>
        <w:spacing w:line="300" w:lineRule="auto"/>
        <w:ind w:firstLine="480" w:firstLineChars="200"/>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）投标人没有按照招标文件要求提供投标承诺函；</w:t>
      </w:r>
    </w:p>
    <w:p w14:paraId="0F0D5D6F">
      <w:pPr>
        <w:autoSpaceDE w:val="0"/>
        <w:autoSpaceDN w:val="0"/>
        <w:adjustRightInd w:val="0"/>
        <w:snapToGrid w:val="0"/>
        <w:spacing w:line="300" w:lineRule="auto"/>
        <w:ind w:firstLine="480" w:firstLineChars="200"/>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）投标联合体不符合招标文件规定；</w:t>
      </w:r>
    </w:p>
    <w:p w14:paraId="3D627256">
      <w:pPr>
        <w:autoSpaceDE w:val="0"/>
        <w:autoSpaceDN w:val="0"/>
        <w:adjustRightInd w:val="0"/>
        <w:snapToGrid w:val="0"/>
        <w:spacing w:line="300" w:lineRule="auto"/>
        <w:ind w:firstLine="480" w:firstLineChars="200"/>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）投标文件的签字盖章不符合招标文件规定；</w:t>
      </w:r>
    </w:p>
    <w:p w14:paraId="434437AB">
      <w:pPr>
        <w:autoSpaceDE w:val="0"/>
        <w:autoSpaceDN w:val="0"/>
        <w:adjustRightInd w:val="0"/>
        <w:snapToGrid w:val="0"/>
        <w:spacing w:line="300" w:lineRule="auto"/>
        <w:ind w:firstLine="480" w:firstLineChars="200"/>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）投标报价超过招标文件中规定的预算金额或者最高限价的；</w:t>
      </w:r>
    </w:p>
    <w:p w14:paraId="674607C1">
      <w:pPr>
        <w:autoSpaceDE w:val="0"/>
        <w:autoSpaceDN w:val="0"/>
        <w:adjustRightInd w:val="0"/>
        <w:snapToGrid w:val="0"/>
        <w:spacing w:line="300" w:lineRule="auto"/>
        <w:ind w:firstLine="480" w:firstLineChars="200"/>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6</w:t>
      </w:r>
      <w:r>
        <w:rPr>
          <w:rFonts w:hint="eastAsia" w:ascii="宋体" w:hAnsi="宋体"/>
          <w:color w:val="auto"/>
          <w:sz w:val="24"/>
          <w:highlight w:val="none"/>
        </w:rPr>
        <w:t>）同一投标人提交两个以上不同的投标文件或者投标报价，投标文件的每种报价有两个报价或其他选择性报价的。</w:t>
      </w:r>
    </w:p>
    <w:p w14:paraId="72312B7D">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7</w:t>
      </w:r>
      <w:r>
        <w:rPr>
          <w:rFonts w:hint="eastAsia" w:ascii="宋体" w:hAnsi="宋体"/>
          <w:color w:val="auto"/>
          <w:sz w:val="24"/>
          <w:highlight w:val="none"/>
        </w:rPr>
        <w:t>）投标文件没有对招标文件的实质性要求和条件作出实质性响应，或不符合招标文件的实质性要求和条件；</w:t>
      </w:r>
    </w:p>
    <w:p w14:paraId="06769FB4">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8</w:t>
      </w:r>
      <w:r>
        <w:rPr>
          <w:rFonts w:hint="eastAsia" w:ascii="宋体" w:hAnsi="宋体"/>
          <w:color w:val="auto"/>
          <w:sz w:val="24"/>
          <w:highlight w:val="none"/>
        </w:rPr>
        <w:t>）投标文件附有招标项目不能接受的条件或不符合国家强制性规定的；</w:t>
      </w:r>
    </w:p>
    <w:p w14:paraId="4C420036">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9</w:t>
      </w:r>
      <w:r>
        <w:rPr>
          <w:rFonts w:hint="eastAsia" w:ascii="宋体" w:hAnsi="宋体"/>
          <w:color w:val="auto"/>
          <w:sz w:val="24"/>
          <w:highlight w:val="none"/>
        </w:rPr>
        <w:t>）单位负责人为同一人或者存在控股、管理关系的不同单位，参加同一项目（标段&lt;包&gt;）投标的；</w:t>
      </w:r>
    </w:p>
    <w:p w14:paraId="00CA9161">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10</w:t>
      </w:r>
      <w:r>
        <w:rPr>
          <w:rFonts w:hint="eastAsia" w:ascii="宋体" w:hAnsi="宋体"/>
          <w:color w:val="auto"/>
          <w:sz w:val="24"/>
          <w:highlight w:val="none"/>
        </w:rPr>
        <w:t>）为招标项目提供整体设计、规范编制或者项目管理、监理、检测等服务的供应商，不得再参加该招标项目的其他采购活动。</w:t>
      </w:r>
    </w:p>
    <w:p w14:paraId="272BEF04">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color w:val="auto"/>
          <w:sz w:val="24"/>
          <w:highlight w:val="none"/>
        </w:rPr>
        <w:t>（11）组成联合体或者接受分包的小微企业与联合体内其他企业、分包企业之间存在直接控股、管理关系的。</w:t>
      </w:r>
    </w:p>
    <w:p w14:paraId="68B50C07">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2）提供虚假材料谋取中标的；</w:t>
      </w:r>
    </w:p>
    <w:p w14:paraId="604FFA15">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3）不确认本章</w:t>
      </w:r>
      <w:r>
        <w:rPr>
          <w:rFonts w:ascii="宋体" w:hAnsi="宋体"/>
          <w:color w:val="auto"/>
          <w:sz w:val="24"/>
          <w:highlight w:val="none"/>
        </w:rPr>
        <w:t>3.4.1</w:t>
      </w:r>
      <w:r>
        <w:rPr>
          <w:rFonts w:hint="eastAsia" w:ascii="宋体" w:hAnsi="宋体"/>
          <w:color w:val="auto"/>
          <w:sz w:val="24"/>
          <w:highlight w:val="none"/>
        </w:rPr>
        <w:t>项对投标报价的算术修正的；</w:t>
      </w:r>
    </w:p>
    <w:p w14:paraId="28BA3E91">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4）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14:paraId="48FBAF19">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5）投标人有串通投标、行贿等违法行为。其中，有下列情形之一的，视为投标人相互串通投标：</w:t>
      </w:r>
    </w:p>
    <w:p w14:paraId="0311A4E2">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◆不同投标人的投标文件由同一单位或者个人编制；</w:t>
      </w:r>
    </w:p>
    <w:p w14:paraId="63FAF43C">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◆不同投标人委托同一单位或者个人办理投标事宜；</w:t>
      </w:r>
    </w:p>
    <w:p w14:paraId="263AE7F4">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◆不同投标人的投标文件载明的项目管理成员为同一人；</w:t>
      </w:r>
    </w:p>
    <w:p w14:paraId="6FF7F703">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◆不同投标人的投标文件异常一致或者投标报价呈规律性差异；</w:t>
      </w:r>
    </w:p>
    <w:p w14:paraId="24C04721">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◆不同投标人的投标文件相互混装；</w:t>
      </w:r>
    </w:p>
    <w:p w14:paraId="411CC0F3">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（16）根据豫财购〔2021〕6号文件，参与同一个标段(包)的供应商存在下列情形之一的，其投标(响应)文件无效：</w:t>
      </w:r>
    </w:p>
    <w:p w14:paraId="07B8D6E5">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◆不同供应商的电子投标(响应)文件上传计算机的网卡MAC地址、CPU序列号和硬盘序列号等硬件信息相同的；</w:t>
      </w:r>
    </w:p>
    <w:p w14:paraId="229CAAD9">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◆不同供应商的投标(响应)文件由同一电子设备编制、打印加密或者上传；</w:t>
      </w:r>
    </w:p>
    <w:p w14:paraId="40B0FAB1">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◆不同供应商的投标(响应)文件由同一电子设备打印、复印；</w:t>
      </w:r>
    </w:p>
    <w:p w14:paraId="6D0F3F06">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◆不同供应商的投标(响应)文件由同一人送达或者分发，或者不同供应商联系人为同一人或不同联系人的联系电话一致的；</w:t>
      </w:r>
    </w:p>
    <w:p w14:paraId="0E4DAC5D">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◆不同供应商的投标(响应)文件的内容存在两处以上细节错误一致；</w:t>
      </w:r>
    </w:p>
    <w:p w14:paraId="6222B1F6">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◆不同供应商的法定代表人、委托代理人、项目经理、项目负责人等由同一个单位缴纳社会保险或者领取报酬的；</w:t>
      </w:r>
    </w:p>
    <w:p w14:paraId="0E6F4006">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◆不同供应商投标(响应)文件中法定代表人或者负责人签字出自同一人之手；</w:t>
      </w:r>
    </w:p>
    <w:p w14:paraId="1499792D">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◆其它涉嫌串通的情形。</w:t>
      </w:r>
    </w:p>
    <w:p w14:paraId="2C508303">
      <w:pPr>
        <w:autoSpaceDE w:val="0"/>
        <w:autoSpaceDN w:val="0"/>
        <w:adjustRightInd w:val="0"/>
        <w:snapToGrid w:val="0"/>
        <w:spacing w:line="300" w:lineRule="auto"/>
        <w:ind w:firstLine="600" w:firstLineChars="250"/>
        <w:jc w:val="left"/>
        <w:rPr>
          <w:rFonts w:ascii="宋体" w:hAnsi="宋体"/>
          <w:color w:val="auto"/>
          <w:sz w:val="24"/>
          <w:highlight w:val="none"/>
        </w:rPr>
      </w:pPr>
      <w:r>
        <w:rPr>
          <w:rFonts w:hint="eastAsia" w:ascii="宋体" w:hAnsi="宋体"/>
          <w:color w:val="auto"/>
          <w:sz w:val="24"/>
          <w:highlight w:val="none"/>
        </w:rPr>
        <w:t>(17)不同投标人上传电子投标(响应)文件的IP地址相同，该供应商投标(响应)文件无效。</w:t>
      </w:r>
    </w:p>
    <w:p w14:paraId="11A405A5">
      <w:pPr>
        <w:autoSpaceDE w:val="0"/>
        <w:autoSpaceDN w:val="0"/>
        <w:adjustRightInd w:val="0"/>
        <w:snapToGrid w:val="0"/>
        <w:spacing w:before="156" w:beforeLines="50" w:line="300" w:lineRule="auto"/>
        <w:ind w:firstLine="539"/>
        <w:rPr>
          <w:rFonts w:ascii="宋体" w:hAnsi="宋体"/>
          <w:color w:val="auto"/>
          <w:sz w:val="24"/>
          <w:highlight w:val="none"/>
        </w:rPr>
      </w:pPr>
      <w:r>
        <w:rPr>
          <w:rFonts w:hint="eastAsia" w:ascii="宋体" w:hAnsi="宋体"/>
          <w:color w:val="auto"/>
          <w:sz w:val="24"/>
          <w:highlight w:val="none"/>
        </w:rPr>
        <w:t>(18)据豫财购〔2021〕6号文件精神，工程领域招标投标行政主管部门对供应商串通投标等予以市场禁入的，在本次政府采购活动中，该供应商投标(响应)文件无效。</w:t>
      </w:r>
    </w:p>
    <w:p w14:paraId="065E6C53">
      <w:pPr>
        <w:autoSpaceDE w:val="0"/>
        <w:autoSpaceDN w:val="0"/>
        <w:adjustRightInd w:val="0"/>
        <w:snapToGrid w:val="0"/>
        <w:spacing w:before="156" w:beforeLines="50" w:line="300" w:lineRule="auto"/>
        <w:ind w:firstLine="539"/>
        <w:rPr>
          <w:rFonts w:ascii="宋体" w:hAnsi="宋体"/>
          <w:color w:val="auto"/>
          <w:sz w:val="24"/>
          <w:highlight w:val="none"/>
        </w:rPr>
      </w:pPr>
      <w:r>
        <w:rPr>
          <w:rFonts w:hint="eastAsia" w:ascii="宋体" w:hAnsi="宋体"/>
          <w:color w:val="auto"/>
          <w:sz w:val="24"/>
          <w:highlight w:val="none"/>
        </w:rPr>
        <w:t>（19）如涉及台式计算机、便携式计算机、一体式计算机、工作站、通用服务器、操作系统、数据库的，不符合第六章12-2附件要求</w:t>
      </w:r>
      <w:r>
        <w:rPr>
          <w:rFonts w:hint="eastAsia" w:ascii="宋体" w:hAnsi="宋体"/>
          <w:color w:val="auto"/>
          <w:sz w:val="24"/>
          <w:szCs w:val="24"/>
          <w:highlight w:val="none"/>
        </w:rPr>
        <w:t>。</w:t>
      </w:r>
    </w:p>
    <w:p w14:paraId="78BA3528">
      <w:pPr>
        <w:autoSpaceDE w:val="0"/>
        <w:autoSpaceDN w:val="0"/>
        <w:adjustRightInd w:val="0"/>
        <w:snapToGrid w:val="0"/>
        <w:spacing w:before="50" w:line="300" w:lineRule="auto"/>
        <w:ind w:firstLine="566" w:firstLineChars="236"/>
        <w:jc w:val="left"/>
        <w:rPr>
          <w:rFonts w:ascii="宋体" w:hAnsi="宋体"/>
          <w:b/>
          <w:color w:val="auto"/>
          <w:sz w:val="24"/>
          <w:highlight w:val="none"/>
        </w:rPr>
      </w:pPr>
      <w:r>
        <w:rPr>
          <w:rFonts w:ascii="宋体" w:hAnsi="宋体"/>
          <w:color w:val="auto"/>
          <w:sz w:val="24"/>
          <w:highlight w:val="none"/>
        </w:rPr>
        <w:t>3.2.3</w:t>
      </w:r>
      <w:r>
        <w:rPr>
          <w:rFonts w:hint="eastAsia" w:ascii="宋体" w:hAnsi="宋体"/>
          <w:color w:val="auto"/>
          <w:sz w:val="24"/>
          <w:highlight w:val="none"/>
        </w:rPr>
        <w:t xml:space="preserve"> </w:t>
      </w:r>
      <w:r>
        <w:rPr>
          <w:rFonts w:hint="eastAsia" w:ascii="宋体" w:hAnsi="宋体"/>
          <w:b/>
          <w:color w:val="auto"/>
          <w:sz w:val="24"/>
          <w:highlight w:val="none"/>
        </w:rPr>
        <w:t>未实质性响应招标文件的投标文件按无效处理，评标委员会应当告知有关供应商。</w:t>
      </w:r>
    </w:p>
    <w:p w14:paraId="64DCB7D2">
      <w:pPr>
        <w:autoSpaceDE w:val="0"/>
        <w:autoSpaceDN w:val="0"/>
        <w:adjustRightInd w:val="0"/>
        <w:snapToGrid w:val="0"/>
        <w:spacing w:before="50" w:line="300" w:lineRule="auto"/>
        <w:ind w:firstLine="566" w:firstLineChars="236"/>
        <w:jc w:val="left"/>
        <w:rPr>
          <w:rFonts w:ascii="宋体"/>
          <w:color w:val="auto"/>
          <w:sz w:val="24"/>
          <w:highlight w:val="none"/>
        </w:rPr>
      </w:pPr>
      <w:r>
        <w:rPr>
          <w:rFonts w:ascii="宋体" w:hAnsi="宋体"/>
          <w:color w:val="auto"/>
          <w:sz w:val="24"/>
          <w:highlight w:val="none"/>
        </w:rPr>
        <w:t xml:space="preserve">3.2.4 </w:t>
      </w:r>
      <w:r>
        <w:rPr>
          <w:rFonts w:hint="eastAsia" w:ascii="宋体" w:hAnsi="宋体"/>
          <w:color w:val="auto"/>
          <w:sz w:val="24"/>
          <w:highlight w:val="none"/>
        </w:rPr>
        <w:t>评标委员会负责审查确定每一投标项目是否对</w:t>
      </w:r>
      <w:r>
        <w:rPr>
          <w:rFonts w:hint="eastAsia"/>
          <w:color w:val="auto"/>
          <w:sz w:val="24"/>
          <w:szCs w:val="24"/>
          <w:highlight w:val="none"/>
        </w:rPr>
        <w:t>招标</w:t>
      </w:r>
      <w:r>
        <w:rPr>
          <w:rFonts w:hint="eastAsia" w:ascii="宋体" w:hAnsi="宋体"/>
          <w:color w:val="auto"/>
          <w:sz w:val="24"/>
          <w:highlight w:val="none"/>
        </w:rPr>
        <w:t>文件的实质性要求作出了实质性的响应，而没有重大偏离和保留。实质性响应的投标是指投标符合</w:t>
      </w:r>
      <w:r>
        <w:rPr>
          <w:rFonts w:hint="eastAsia"/>
          <w:color w:val="auto"/>
          <w:sz w:val="24"/>
          <w:szCs w:val="24"/>
          <w:highlight w:val="none"/>
        </w:rPr>
        <w:t>招标</w:t>
      </w:r>
      <w:r>
        <w:rPr>
          <w:rFonts w:hint="eastAsia" w:ascii="宋体" w:hAnsi="宋体"/>
          <w:color w:val="auto"/>
          <w:sz w:val="24"/>
          <w:highlight w:val="none"/>
        </w:rPr>
        <w:t>文件的所有条款、条件和规定且没有重大偏离和保留（重大偏离和保留是指影响到</w:t>
      </w:r>
      <w:r>
        <w:rPr>
          <w:rFonts w:hint="eastAsia"/>
          <w:color w:val="auto"/>
          <w:sz w:val="24"/>
          <w:szCs w:val="24"/>
          <w:highlight w:val="none"/>
        </w:rPr>
        <w:t>招标</w:t>
      </w:r>
      <w:r>
        <w:rPr>
          <w:rFonts w:hint="eastAsia" w:ascii="宋体" w:hAnsi="宋体"/>
          <w:color w:val="auto"/>
          <w:sz w:val="24"/>
          <w:highlight w:val="none"/>
        </w:rPr>
        <w:t>文件和投标人的义务的规定，而纠正这些偏离将影响到其他提交实质性响应投标人的公平竞争地位）。</w:t>
      </w:r>
    </w:p>
    <w:p w14:paraId="02ECC469">
      <w:pPr>
        <w:autoSpaceDE w:val="0"/>
        <w:autoSpaceDN w:val="0"/>
        <w:adjustRightInd w:val="0"/>
        <w:snapToGrid w:val="0"/>
        <w:spacing w:before="50" w:line="300" w:lineRule="auto"/>
        <w:ind w:firstLine="566" w:firstLineChars="236"/>
        <w:jc w:val="left"/>
        <w:rPr>
          <w:rFonts w:ascii="宋体"/>
          <w:color w:val="auto"/>
          <w:sz w:val="24"/>
          <w:highlight w:val="none"/>
        </w:rPr>
      </w:pPr>
      <w:r>
        <w:rPr>
          <w:rFonts w:ascii="宋体" w:hAnsi="宋体"/>
          <w:color w:val="auto"/>
          <w:sz w:val="24"/>
          <w:highlight w:val="none"/>
        </w:rPr>
        <w:t xml:space="preserve">3.2.5 </w:t>
      </w:r>
      <w:r>
        <w:rPr>
          <w:rFonts w:hint="eastAsia" w:ascii="宋体" w:hAnsi="宋体"/>
          <w:color w:val="auto"/>
          <w:sz w:val="24"/>
          <w:highlight w:val="none"/>
        </w:rPr>
        <w:t>评标委员会判断投标文件的响应性仅基于投标文件本身而不靠外部证据。</w:t>
      </w:r>
    </w:p>
    <w:p w14:paraId="297CBC40">
      <w:pPr>
        <w:autoSpaceDE w:val="0"/>
        <w:autoSpaceDN w:val="0"/>
        <w:adjustRightInd w:val="0"/>
        <w:snapToGrid w:val="0"/>
        <w:spacing w:before="50" w:line="300" w:lineRule="auto"/>
        <w:ind w:firstLine="566" w:firstLineChars="236"/>
        <w:jc w:val="left"/>
        <w:rPr>
          <w:rFonts w:ascii="宋体"/>
          <w:color w:val="auto"/>
          <w:sz w:val="24"/>
          <w:highlight w:val="none"/>
        </w:rPr>
      </w:pPr>
      <w:r>
        <w:rPr>
          <w:rFonts w:ascii="宋体" w:hAnsi="宋体"/>
          <w:color w:val="auto"/>
          <w:sz w:val="24"/>
          <w:highlight w:val="none"/>
        </w:rPr>
        <w:t xml:space="preserve">3.2.6 </w:t>
      </w:r>
      <w:r>
        <w:rPr>
          <w:rFonts w:hint="eastAsia" w:ascii="宋体" w:hAnsi="宋体"/>
          <w:color w:val="auto"/>
          <w:sz w:val="24"/>
          <w:highlight w:val="none"/>
        </w:rPr>
        <w:t>评标委员会拒绝被确定为非实质性响应的投标人，投标人不得通过修正或撤销不符之处而使其投标成为实质性响应的投标。</w:t>
      </w:r>
    </w:p>
    <w:p w14:paraId="691B7C44">
      <w:pPr>
        <w:autoSpaceDE w:val="0"/>
        <w:autoSpaceDN w:val="0"/>
        <w:adjustRightInd w:val="0"/>
        <w:snapToGrid w:val="0"/>
        <w:spacing w:before="50" w:line="300" w:lineRule="auto"/>
        <w:ind w:firstLine="566" w:firstLineChars="236"/>
        <w:jc w:val="left"/>
        <w:rPr>
          <w:rFonts w:ascii="宋体"/>
          <w:color w:val="auto"/>
          <w:sz w:val="24"/>
          <w:highlight w:val="none"/>
        </w:rPr>
      </w:pPr>
      <w:r>
        <w:rPr>
          <w:rFonts w:ascii="宋体" w:hAnsi="宋体"/>
          <w:color w:val="auto"/>
          <w:sz w:val="24"/>
          <w:highlight w:val="none"/>
        </w:rPr>
        <w:t xml:space="preserve">3.2.7 </w:t>
      </w:r>
      <w:r>
        <w:rPr>
          <w:rFonts w:hint="eastAsia" w:ascii="宋体" w:hAnsi="宋体"/>
          <w:color w:val="auto"/>
          <w:sz w:val="24"/>
          <w:highlight w:val="none"/>
        </w:rPr>
        <w:t>允许投标人修改投标中不构成重大偏离的、微小的、非正规、不一致或不规则的地方。</w:t>
      </w:r>
    </w:p>
    <w:p w14:paraId="39E40CEC">
      <w:pPr>
        <w:autoSpaceDE w:val="0"/>
        <w:autoSpaceDN w:val="0"/>
        <w:adjustRightInd w:val="0"/>
        <w:snapToGrid w:val="0"/>
        <w:spacing w:before="156" w:beforeLines="50" w:line="300" w:lineRule="auto"/>
        <w:ind w:firstLine="569" w:firstLineChars="236"/>
        <w:jc w:val="left"/>
        <w:rPr>
          <w:rFonts w:ascii="黑体" w:hAnsi="黑体" w:eastAsia="黑体"/>
          <w:b/>
          <w:color w:val="auto"/>
          <w:sz w:val="24"/>
          <w:highlight w:val="none"/>
        </w:rPr>
      </w:pPr>
      <w:r>
        <w:rPr>
          <w:rFonts w:ascii="黑体" w:hAnsi="黑体" w:eastAsia="黑体"/>
          <w:b/>
          <w:color w:val="auto"/>
          <w:sz w:val="24"/>
          <w:highlight w:val="none"/>
        </w:rPr>
        <w:t xml:space="preserve">3.3 </w:t>
      </w:r>
      <w:r>
        <w:rPr>
          <w:rFonts w:hint="eastAsia" w:ascii="黑体" w:hAnsi="黑体" w:eastAsia="黑体"/>
          <w:b/>
          <w:color w:val="auto"/>
          <w:sz w:val="24"/>
          <w:highlight w:val="none"/>
        </w:rPr>
        <w:t>投标文件的澄清</w:t>
      </w:r>
    </w:p>
    <w:p w14:paraId="5A28CC16">
      <w:pPr>
        <w:autoSpaceDE w:val="0"/>
        <w:autoSpaceDN w:val="0"/>
        <w:adjustRightInd w:val="0"/>
        <w:snapToGrid w:val="0"/>
        <w:spacing w:before="156" w:beforeLines="50" w:line="300" w:lineRule="auto"/>
        <w:ind w:firstLine="569" w:firstLineChars="236"/>
        <w:jc w:val="left"/>
        <w:rPr>
          <w:rFonts w:ascii="宋体" w:hAnsi="宋体"/>
          <w:b/>
          <w:color w:val="auto"/>
          <w:sz w:val="24"/>
          <w:highlight w:val="none"/>
        </w:rPr>
      </w:pPr>
      <w:r>
        <w:rPr>
          <w:rFonts w:hint="eastAsia" w:ascii="宋体" w:hAnsi="宋体"/>
          <w:b/>
          <w:color w:val="auto"/>
          <w:sz w:val="24"/>
          <w:highlight w:val="none"/>
        </w:rPr>
        <w:t>投标文件的澄清在招标</w:t>
      </w:r>
      <w:r>
        <w:rPr>
          <w:rFonts w:ascii="宋体" w:hAnsi="宋体"/>
          <w:b/>
          <w:color w:val="auto"/>
          <w:sz w:val="24"/>
          <w:highlight w:val="none"/>
        </w:rPr>
        <w:t>公告所述</w:t>
      </w:r>
      <w:r>
        <w:rPr>
          <w:rFonts w:hint="eastAsia" w:ascii="宋体" w:hAnsi="宋体"/>
          <w:b/>
          <w:color w:val="auto"/>
          <w:sz w:val="24"/>
          <w:highlight w:val="none"/>
        </w:rPr>
        <w:t>网</w:t>
      </w:r>
      <w:r>
        <w:rPr>
          <w:rFonts w:ascii="宋体" w:hAnsi="宋体"/>
          <w:b/>
          <w:color w:val="auto"/>
          <w:sz w:val="24"/>
          <w:highlight w:val="none"/>
        </w:rPr>
        <w:t>上</w:t>
      </w:r>
      <w:r>
        <w:rPr>
          <w:rFonts w:hint="eastAsia" w:ascii="宋体" w:hAnsi="宋体"/>
          <w:b/>
          <w:color w:val="auto"/>
          <w:sz w:val="24"/>
          <w:highlight w:val="none"/>
        </w:rPr>
        <w:t>电子交易系统</w:t>
      </w:r>
      <w:r>
        <w:rPr>
          <w:rFonts w:ascii="宋体" w:hAnsi="宋体"/>
          <w:b/>
          <w:color w:val="auto"/>
          <w:sz w:val="24"/>
          <w:highlight w:val="none"/>
        </w:rPr>
        <w:t>进行。</w:t>
      </w:r>
    </w:p>
    <w:p w14:paraId="4480CD61">
      <w:pPr>
        <w:autoSpaceDE w:val="0"/>
        <w:autoSpaceDN w:val="0"/>
        <w:adjustRightInd w:val="0"/>
        <w:snapToGrid w:val="0"/>
        <w:spacing w:before="156" w:beforeLines="50" w:line="300" w:lineRule="auto"/>
        <w:ind w:firstLine="569" w:firstLineChars="236"/>
        <w:jc w:val="left"/>
        <w:rPr>
          <w:rFonts w:ascii="宋体" w:hAnsi="宋体"/>
          <w:b/>
          <w:color w:val="auto"/>
          <w:sz w:val="24"/>
          <w:highlight w:val="none"/>
        </w:rPr>
      </w:pPr>
      <w:r>
        <w:rPr>
          <w:rFonts w:ascii="宋体" w:hAnsi="宋体"/>
          <w:b/>
          <w:color w:val="auto"/>
          <w:sz w:val="24"/>
          <w:highlight w:val="none"/>
        </w:rPr>
        <w:t>3.</w:t>
      </w:r>
      <w:r>
        <w:rPr>
          <w:rFonts w:hint="eastAsia" w:ascii="宋体" w:hAnsi="宋体"/>
          <w:b/>
          <w:color w:val="auto"/>
          <w:sz w:val="24"/>
          <w:highlight w:val="none"/>
        </w:rPr>
        <w:t>3</w:t>
      </w:r>
      <w:r>
        <w:rPr>
          <w:rFonts w:ascii="宋体" w:hAnsi="宋体"/>
          <w:b/>
          <w:color w:val="auto"/>
          <w:sz w:val="24"/>
          <w:highlight w:val="none"/>
        </w:rPr>
        <w:t>.1</w:t>
      </w:r>
      <w:r>
        <w:rPr>
          <w:rFonts w:hint="eastAsia" w:ascii="宋体" w:hAnsi="宋体"/>
          <w:b/>
          <w:color w:val="auto"/>
          <w:sz w:val="24"/>
          <w:highlight w:val="none"/>
        </w:rPr>
        <w:t xml:space="preserve"> 评审期间，投标人法定代表人须时刻关注电子开标室并保持通讯畅通。如因通讯不畅导致投标人无法及时澄清而被认定为无效响应等后果的</w:t>
      </w:r>
      <w:r>
        <w:rPr>
          <w:rFonts w:ascii="宋体" w:hAnsi="宋体"/>
          <w:b/>
          <w:color w:val="auto"/>
          <w:sz w:val="24"/>
          <w:highlight w:val="none"/>
        </w:rPr>
        <w:t>，</w:t>
      </w:r>
      <w:r>
        <w:rPr>
          <w:rFonts w:hint="eastAsia" w:ascii="宋体" w:hAnsi="宋体"/>
          <w:b/>
          <w:color w:val="auto"/>
          <w:sz w:val="24"/>
          <w:highlight w:val="none"/>
        </w:rPr>
        <w:t>由投标人自行承担。</w:t>
      </w:r>
    </w:p>
    <w:p w14:paraId="1E0A65B1">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3.3.2</w:t>
      </w:r>
      <w:r>
        <w:rPr>
          <w:rFonts w:hint="eastAsia" w:ascii="宋体" w:hAnsi="宋体"/>
          <w:color w:val="auto"/>
          <w:sz w:val="24"/>
          <w:highlight w:val="none"/>
        </w:rPr>
        <w:t>　为有助于对投标文件进行审查、评估和比较，评标委员会有权个别的向投标人提出质疑，请投标人澄清其投标内容。</w:t>
      </w:r>
    </w:p>
    <w:p w14:paraId="6B986139">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3.3.3</w:t>
      </w:r>
      <w:r>
        <w:rPr>
          <w:rFonts w:hint="eastAsia" w:ascii="宋体" w:hAnsi="宋体"/>
          <w:color w:val="auto"/>
          <w:sz w:val="24"/>
          <w:highlight w:val="none"/>
        </w:rPr>
        <w:t>　评标委员会可以要求投标人对投标文件中含义不明确、同类问题表述不一致或者有明显文字和计算错误的内容等作出必要的澄清、说明或者更正。投标人的澄清、说明或者更正不得超出投标文件的范围或者改变投标文件的实质性内容。</w:t>
      </w:r>
    </w:p>
    <w:p w14:paraId="3D22298F">
      <w:pPr>
        <w:autoSpaceDE w:val="0"/>
        <w:autoSpaceDN w:val="0"/>
        <w:adjustRightInd w:val="0"/>
        <w:snapToGrid w:val="0"/>
        <w:spacing w:before="156" w:beforeLines="50" w:line="300" w:lineRule="auto"/>
        <w:ind w:firstLine="566" w:firstLineChars="236"/>
        <w:jc w:val="left"/>
        <w:rPr>
          <w:rFonts w:ascii="宋体" w:hAnsi="宋体"/>
          <w:b/>
          <w:color w:val="auto"/>
          <w:sz w:val="24"/>
          <w:highlight w:val="none"/>
        </w:rPr>
      </w:pPr>
      <w:r>
        <w:rPr>
          <w:rFonts w:ascii="宋体" w:hAnsi="宋体"/>
          <w:color w:val="auto"/>
          <w:sz w:val="24"/>
          <w:highlight w:val="none"/>
        </w:rPr>
        <w:t>3.3.4</w:t>
      </w:r>
      <w:r>
        <w:rPr>
          <w:rFonts w:hint="eastAsia" w:ascii="宋体" w:hAnsi="宋体"/>
          <w:color w:val="auto"/>
          <w:sz w:val="24"/>
          <w:highlight w:val="none"/>
        </w:rPr>
        <w:t>　</w:t>
      </w:r>
      <w:r>
        <w:rPr>
          <w:rFonts w:hint="eastAsia" w:ascii="宋体" w:hAnsi="宋体"/>
          <w:b/>
          <w:color w:val="auto"/>
          <w:sz w:val="24"/>
          <w:highlight w:val="none"/>
        </w:rPr>
        <w:t>投标人的澄清、说明或者更正应当采用书面形式，应加</w:t>
      </w:r>
      <w:r>
        <w:rPr>
          <w:rFonts w:ascii="宋体" w:hAnsi="宋体"/>
          <w:b/>
          <w:color w:val="auto"/>
          <w:sz w:val="24"/>
          <w:highlight w:val="none"/>
        </w:rPr>
        <w:t>盖</w:t>
      </w:r>
      <w:r>
        <w:rPr>
          <w:rFonts w:hint="eastAsia" w:ascii="宋体" w:hAnsi="宋体"/>
          <w:b/>
          <w:color w:val="auto"/>
          <w:sz w:val="24"/>
          <w:highlight w:val="none"/>
        </w:rPr>
        <w:t>投</w:t>
      </w:r>
      <w:r>
        <w:rPr>
          <w:rFonts w:ascii="宋体" w:hAnsi="宋体"/>
          <w:b/>
          <w:color w:val="auto"/>
          <w:sz w:val="24"/>
          <w:highlight w:val="none"/>
        </w:rPr>
        <w:t>标人</w:t>
      </w:r>
      <w:r>
        <w:rPr>
          <w:rFonts w:hint="eastAsia" w:ascii="宋体" w:hAnsi="宋体"/>
          <w:b/>
          <w:color w:val="auto"/>
          <w:sz w:val="24"/>
          <w:highlight w:val="none"/>
        </w:rPr>
        <w:t>电子签章或其法定代表人电子签名</w:t>
      </w:r>
      <w:r>
        <w:rPr>
          <w:rFonts w:hint="eastAsia" w:ascii="宋体" w:hAnsi="宋体" w:cs="楷体_GB2312"/>
          <w:b/>
          <w:color w:val="auto"/>
          <w:sz w:val="24"/>
          <w:highlight w:val="none"/>
        </w:rPr>
        <w:t>（签章）</w:t>
      </w:r>
      <w:r>
        <w:rPr>
          <w:rFonts w:hint="eastAsia" w:ascii="宋体" w:hAnsi="宋体"/>
          <w:b/>
          <w:color w:val="auto"/>
          <w:sz w:val="24"/>
          <w:highlight w:val="none"/>
        </w:rPr>
        <w:t>，并将澄清等内容作为附件上传至系统中。</w:t>
      </w:r>
    </w:p>
    <w:p w14:paraId="4C7C2731">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3.3.5</w:t>
      </w:r>
      <w:r>
        <w:rPr>
          <w:rFonts w:hint="eastAsia" w:ascii="宋体" w:hAnsi="宋体"/>
          <w:color w:val="auto"/>
          <w:sz w:val="24"/>
          <w:highlight w:val="none"/>
        </w:rPr>
        <w:t>　投标人的澄清文件是投标文件的组成部分，并取代投标文件中被澄清的部分。</w:t>
      </w:r>
    </w:p>
    <w:p w14:paraId="64475DD2">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3.3.6</w:t>
      </w:r>
      <w:r>
        <w:rPr>
          <w:rFonts w:hint="eastAsia" w:ascii="宋体" w:hAnsi="宋体"/>
          <w:color w:val="auto"/>
          <w:sz w:val="24"/>
          <w:highlight w:val="none"/>
        </w:rPr>
        <w:t>　澄清文件应按评标委员会规定的时间提交。</w:t>
      </w:r>
    </w:p>
    <w:p w14:paraId="36F500CD">
      <w:pPr>
        <w:autoSpaceDE w:val="0"/>
        <w:autoSpaceDN w:val="0"/>
        <w:adjustRightInd w:val="0"/>
        <w:snapToGrid w:val="0"/>
        <w:spacing w:before="156" w:beforeLines="50" w:line="300" w:lineRule="auto"/>
        <w:ind w:firstLine="569" w:firstLineChars="236"/>
        <w:jc w:val="left"/>
        <w:rPr>
          <w:rFonts w:ascii="黑体" w:hAnsi="黑体" w:eastAsia="黑体"/>
          <w:b/>
          <w:color w:val="auto"/>
          <w:sz w:val="24"/>
          <w:highlight w:val="none"/>
        </w:rPr>
      </w:pPr>
      <w:r>
        <w:rPr>
          <w:rFonts w:ascii="黑体" w:hAnsi="黑体" w:eastAsia="黑体"/>
          <w:b/>
          <w:color w:val="auto"/>
          <w:sz w:val="24"/>
          <w:highlight w:val="none"/>
        </w:rPr>
        <w:t xml:space="preserve">3.4 </w:t>
      </w:r>
      <w:r>
        <w:rPr>
          <w:rFonts w:hint="eastAsia" w:ascii="黑体" w:hAnsi="黑体" w:eastAsia="黑体"/>
          <w:b/>
          <w:color w:val="auto"/>
          <w:sz w:val="24"/>
          <w:highlight w:val="none"/>
        </w:rPr>
        <w:t>详细评审</w:t>
      </w:r>
    </w:p>
    <w:p w14:paraId="5C19A6DD">
      <w:pPr>
        <w:autoSpaceDE w:val="0"/>
        <w:autoSpaceDN w:val="0"/>
        <w:adjustRightInd w:val="0"/>
        <w:snapToGrid w:val="0"/>
        <w:spacing w:before="156" w:beforeLines="50" w:line="300" w:lineRule="auto"/>
        <w:ind w:firstLine="569" w:firstLineChars="236"/>
        <w:jc w:val="left"/>
        <w:rPr>
          <w:rFonts w:ascii="宋体"/>
          <w:color w:val="auto"/>
          <w:sz w:val="24"/>
          <w:highlight w:val="none"/>
        </w:rPr>
      </w:pPr>
      <w:r>
        <w:rPr>
          <w:rFonts w:ascii="黑体" w:hAnsi="黑体" w:eastAsia="黑体"/>
          <w:b/>
          <w:color w:val="auto"/>
          <w:sz w:val="24"/>
          <w:highlight w:val="none"/>
        </w:rPr>
        <w:t xml:space="preserve">3.4.1  </w:t>
      </w:r>
      <w:r>
        <w:rPr>
          <w:rFonts w:hint="eastAsia" w:ascii="宋体" w:hAnsi="宋体"/>
          <w:color w:val="auto"/>
          <w:sz w:val="24"/>
          <w:highlight w:val="none"/>
        </w:rPr>
        <w:t>投标文件报价出现前后不一致的，按照下列规定修正：</w:t>
      </w:r>
    </w:p>
    <w:p w14:paraId="38D4EC75">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w:t>
      </w:r>
      <w:r>
        <w:rPr>
          <w:rFonts w:hint="eastAsia" w:ascii="宋体" w:hAnsi="宋体"/>
          <w:color w:val="auto"/>
          <w:sz w:val="24"/>
          <w:szCs w:val="24"/>
          <w:highlight w:val="none"/>
        </w:rPr>
        <w:t>安阳市公共资源交易系统</w:t>
      </w:r>
      <w:r>
        <w:rPr>
          <w:rFonts w:hint="eastAsia" w:ascii="宋体" w:hAnsi="宋体"/>
          <w:color w:val="auto"/>
          <w:sz w:val="24"/>
          <w:highlight w:val="none"/>
        </w:rPr>
        <w:t>中报价一览表（即开标一览表）内容与投标文件中相应内容不一致的，以报价一览表（即开标一览表）为准；</w:t>
      </w:r>
    </w:p>
    <w:p w14:paraId="64622B13">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）大写金额和小写金额不一致的，以大写金额为准；</w:t>
      </w:r>
    </w:p>
    <w:p w14:paraId="24C942E3">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）单价金额小数点或者百分比有明显错位的，以报价一览表（即开标一览表）的总价为准，并修改单价；</w:t>
      </w:r>
    </w:p>
    <w:p w14:paraId="77B6C145">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）总价金额与按单价汇总金额不一致的，以单价金额计算结果为准。</w:t>
      </w:r>
    </w:p>
    <w:p w14:paraId="02E9A2D8">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hint="eastAsia" w:ascii="宋体" w:hAnsi="宋体"/>
          <w:color w:val="auto"/>
          <w:sz w:val="24"/>
          <w:highlight w:val="none"/>
        </w:rPr>
        <w:t>同时出现两种以上不一致的，按照前款规定的顺序修正。修正后的报价按照本章</w:t>
      </w:r>
      <w:r>
        <w:rPr>
          <w:rFonts w:ascii="宋体" w:hAnsi="宋体"/>
          <w:color w:val="auto"/>
          <w:sz w:val="24"/>
          <w:highlight w:val="none"/>
        </w:rPr>
        <w:t>3.3.4</w:t>
      </w:r>
      <w:r>
        <w:rPr>
          <w:rFonts w:hint="eastAsia" w:ascii="宋体" w:hAnsi="宋体"/>
          <w:color w:val="auto"/>
          <w:sz w:val="24"/>
          <w:highlight w:val="none"/>
        </w:rPr>
        <w:t>项规定经投标人确认后产生约束力，投标人不确认的，其投标无效。</w:t>
      </w:r>
    </w:p>
    <w:p w14:paraId="09BD4B7B">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 xml:space="preserve">3.4.2 </w:t>
      </w:r>
      <w:r>
        <w:rPr>
          <w:rFonts w:hint="eastAsia" w:ascii="宋体" w:hAnsi="宋体"/>
          <w:color w:val="auto"/>
          <w:sz w:val="24"/>
          <w:highlight w:val="none"/>
        </w:rPr>
        <w:t>按本章第</w:t>
      </w:r>
      <w:r>
        <w:rPr>
          <w:rFonts w:ascii="宋体" w:hAnsi="宋体"/>
          <w:color w:val="auto"/>
          <w:sz w:val="24"/>
          <w:highlight w:val="none"/>
        </w:rPr>
        <w:t xml:space="preserve">4 </w:t>
      </w:r>
      <w:r>
        <w:rPr>
          <w:rFonts w:hint="eastAsia" w:ascii="宋体" w:hAnsi="宋体"/>
          <w:color w:val="auto"/>
          <w:sz w:val="24"/>
          <w:highlight w:val="none"/>
        </w:rPr>
        <w:t>条规定执行促进中小企业发展扶持政策，用扣除后的价格参与评审。</w:t>
      </w:r>
    </w:p>
    <w:p w14:paraId="50102BBC">
      <w:pPr>
        <w:autoSpaceDE w:val="0"/>
        <w:autoSpaceDN w:val="0"/>
        <w:adjustRightInd w:val="0"/>
        <w:snapToGrid w:val="0"/>
        <w:spacing w:before="156" w:beforeLines="50" w:line="300" w:lineRule="auto"/>
        <w:ind w:firstLine="566" w:firstLineChars="236"/>
        <w:jc w:val="left"/>
        <w:rPr>
          <w:rFonts w:ascii="宋体" w:cs="宋体"/>
          <w:color w:val="auto"/>
          <w:sz w:val="24"/>
          <w:highlight w:val="none"/>
        </w:rPr>
      </w:pPr>
      <w:r>
        <w:rPr>
          <w:rFonts w:ascii="宋体" w:hAnsi="宋体"/>
          <w:color w:val="auto"/>
          <w:sz w:val="24"/>
          <w:highlight w:val="none"/>
        </w:rPr>
        <w:t xml:space="preserve">3.4.3 </w:t>
      </w:r>
      <w:r>
        <w:rPr>
          <w:rFonts w:hint="eastAsia" w:ascii="宋体" w:hAnsi="宋体" w:cs="宋体"/>
          <w:color w:val="auto"/>
          <w:sz w:val="24"/>
          <w:highlight w:val="none"/>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675EC01D">
      <w:pPr>
        <w:adjustRightInd w:val="0"/>
        <w:snapToGrid w:val="0"/>
        <w:spacing w:line="300" w:lineRule="auto"/>
        <w:ind w:firstLine="480"/>
        <w:jc w:val="left"/>
        <w:rPr>
          <w:rFonts w:ascii="宋体" w:cs="宋体"/>
          <w:color w:val="auto"/>
          <w:sz w:val="24"/>
          <w:highlight w:val="none"/>
        </w:rPr>
      </w:pPr>
      <w:r>
        <w:rPr>
          <w:rFonts w:hint="eastAsia" w:ascii="宋体" w:hAnsi="宋体" w:cs="宋体"/>
          <w:color w:val="auto"/>
          <w:sz w:val="24"/>
          <w:highlight w:val="none"/>
        </w:rPr>
        <w:t>多家投标人提供的核心产品品牌相同的，按前项规定处理。</w:t>
      </w:r>
    </w:p>
    <w:p w14:paraId="166D70F0">
      <w:pPr>
        <w:autoSpaceDE w:val="0"/>
        <w:autoSpaceDN w:val="0"/>
        <w:adjustRightInd w:val="0"/>
        <w:snapToGrid w:val="0"/>
        <w:spacing w:before="50" w:line="300" w:lineRule="auto"/>
        <w:ind w:firstLine="566" w:firstLineChars="236"/>
        <w:jc w:val="left"/>
        <w:rPr>
          <w:rFonts w:ascii="宋体"/>
          <w:color w:val="auto"/>
          <w:sz w:val="24"/>
          <w:highlight w:val="none"/>
        </w:rPr>
      </w:pPr>
      <w:r>
        <w:rPr>
          <w:rFonts w:ascii="宋体" w:hAnsi="宋体"/>
          <w:color w:val="auto"/>
          <w:sz w:val="24"/>
          <w:highlight w:val="none"/>
        </w:rPr>
        <w:t>3.4.</w:t>
      </w:r>
      <w:r>
        <w:rPr>
          <w:rFonts w:hint="eastAsia" w:ascii="宋体" w:hAnsi="宋体"/>
          <w:color w:val="auto"/>
          <w:sz w:val="24"/>
          <w:highlight w:val="none"/>
        </w:rPr>
        <w:t>4</w:t>
      </w:r>
      <w:r>
        <w:rPr>
          <w:rFonts w:ascii="宋体" w:hAnsi="宋体"/>
          <w:color w:val="auto"/>
          <w:sz w:val="24"/>
          <w:highlight w:val="none"/>
        </w:rPr>
        <w:t xml:space="preserve"> </w:t>
      </w:r>
      <w:r>
        <w:rPr>
          <w:rFonts w:hint="eastAsia" w:ascii="宋体" w:hAnsi="宋体"/>
          <w:color w:val="auto"/>
          <w:sz w:val="24"/>
          <w:highlight w:val="none"/>
        </w:rPr>
        <w:t>评标委员会按本章第</w:t>
      </w:r>
      <w:r>
        <w:rPr>
          <w:rFonts w:ascii="宋体" w:hAnsi="宋体"/>
          <w:color w:val="auto"/>
          <w:sz w:val="24"/>
          <w:highlight w:val="none"/>
        </w:rPr>
        <w:t xml:space="preserve">2.2 </w:t>
      </w:r>
      <w:r>
        <w:rPr>
          <w:rFonts w:hint="eastAsia" w:ascii="宋体" w:hAnsi="宋体"/>
          <w:color w:val="auto"/>
          <w:sz w:val="24"/>
          <w:highlight w:val="none"/>
        </w:rPr>
        <w:t>款规定的量化因素和分值进行打分，并计算出综合评标得分。</w:t>
      </w:r>
    </w:p>
    <w:p w14:paraId="0ED547E1">
      <w:pPr>
        <w:widowControl w:val="0"/>
        <w:adjustRightInd w:val="0"/>
        <w:snapToGrid w:val="0"/>
        <w:spacing w:before="50" w:line="300" w:lineRule="auto"/>
        <w:ind w:firstLine="623"/>
        <w:textAlignment w:val="top"/>
        <w:rPr>
          <w:color w:val="auto"/>
          <w:sz w:val="24"/>
          <w:szCs w:val="24"/>
          <w:highlight w:val="none"/>
        </w:rPr>
      </w:pPr>
      <w:r>
        <w:rPr>
          <w:color w:val="auto"/>
          <w:sz w:val="24"/>
          <w:szCs w:val="24"/>
          <w:highlight w:val="none"/>
        </w:rPr>
        <w:t>3.4.</w:t>
      </w:r>
      <w:r>
        <w:rPr>
          <w:rFonts w:hint="eastAsia"/>
          <w:color w:val="auto"/>
          <w:sz w:val="24"/>
          <w:szCs w:val="24"/>
          <w:highlight w:val="none"/>
        </w:rPr>
        <w:t>5评分计算保留</w:t>
      </w:r>
      <w:r>
        <w:rPr>
          <w:color w:val="auto"/>
          <w:sz w:val="24"/>
          <w:szCs w:val="24"/>
          <w:highlight w:val="none"/>
        </w:rPr>
        <w:t>2</w:t>
      </w:r>
      <w:r>
        <w:rPr>
          <w:rFonts w:hint="eastAsia"/>
          <w:color w:val="auto"/>
          <w:sz w:val="24"/>
          <w:szCs w:val="24"/>
          <w:highlight w:val="none"/>
        </w:rPr>
        <w:t>位小数，第三位小数四舍五入。评分计算中出现中间值时按插入法计算得分。</w:t>
      </w:r>
    </w:p>
    <w:p w14:paraId="7E4146B9">
      <w:pPr>
        <w:autoSpaceDE w:val="0"/>
        <w:autoSpaceDN w:val="0"/>
        <w:adjustRightInd w:val="0"/>
        <w:snapToGrid w:val="0"/>
        <w:spacing w:before="50" w:line="300" w:lineRule="auto"/>
        <w:ind w:firstLine="566" w:firstLineChars="236"/>
        <w:jc w:val="left"/>
        <w:rPr>
          <w:rFonts w:ascii="宋体"/>
          <w:color w:val="auto"/>
          <w:sz w:val="24"/>
          <w:highlight w:val="none"/>
        </w:rPr>
      </w:pPr>
      <w:r>
        <w:rPr>
          <w:rFonts w:ascii="宋体" w:hAnsi="宋体"/>
          <w:color w:val="auto"/>
          <w:sz w:val="24"/>
          <w:highlight w:val="none"/>
        </w:rPr>
        <w:t>3.4.</w:t>
      </w:r>
      <w:r>
        <w:rPr>
          <w:rFonts w:hint="eastAsia" w:ascii="宋体" w:hAnsi="宋体"/>
          <w:color w:val="auto"/>
          <w:sz w:val="24"/>
          <w:highlight w:val="none"/>
        </w:rPr>
        <w:t>6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2214868F">
      <w:pPr>
        <w:autoSpaceDE w:val="0"/>
        <w:autoSpaceDN w:val="0"/>
        <w:adjustRightInd w:val="0"/>
        <w:snapToGrid w:val="0"/>
        <w:spacing w:before="50" w:line="300" w:lineRule="auto"/>
        <w:ind w:firstLine="566" w:firstLineChars="236"/>
        <w:jc w:val="left"/>
        <w:rPr>
          <w:color w:val="auto"/>
          <w:sz w:val="24"/>
          <w:szCs w:val="24"/>
          <w:highlight w:val="none"/>
        </w:rPr>
      </w:pPr>
      <w:r>
        <w:rPr>
          <w:color w:val="auto"/>
          <w:sz w:val="24"/>
          <w:szCs w:val="24"/>
          <w:highlight w:val="none"/>
        </w:rPr>
        <w:t>3.4.</w:t>
      </w:r>
      <w:r>
        <w:rPr>
          <w:rFonts w:hint="eastAsia"/>
          <w:color w:val="auto"/>
          <w:sz w:val="24"/>
          <w:szCs w:val="24"/>
          <w:highlight w:val="none"/>
        </w:rPr>
        <w:t>7　在评标过程中，凡遇到《招标文件》中无界定或界定不清，前后不一致，使评委成员意见有分歧且又难于协商一致的问题，均由评委予以表决。</w:t>
      </w:r>
    </w:p>
    <w:p w14:paraId="118564B5">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3.4.</w:t>
      </w:r>
      <w:r>
        <w:rPr>
          <w:rFonts w:hint="eastAsia" w:ascii="宋体" w:hAnsi="宋体"/>
          <w:color w:val="auto"/>
          <w:sz w:val="24"/>
          <w:highlight w:val="none"/>
        </w:rPr>
        <w:t>8</w:t>
      </w:r>
      <w:r>
        <w:rPr>
          <w:rFonts w:ascii="宋体" w:hAnsi="宋体"/>
          <w:color w:val="auto"/>
          <w:sz w:val="24"/>
          <w:highlight w:val="none"/>
        </w:rPr>
        <w:t xml:space="preserve"> </w:t>
      </w:r>
      <w:r>
        <w:rPr>
          <w:rFonts w:hint="eastAsia" w:ascii="宋体" w:hAnsi="宋体"/>
          <w:color w:val="auto"/>
          <w:sz w:val="24"/>
          <w:highlight w:val="none"/>
        </w:rPr>
        <w:t>除了算术修正和落实政府采购政策需进行的价格扣除外，评标委员会不对投标人的投标价格进行任何调整。</w:t>
      </w:r>
    </w:p>
    <w:p w14:paraId="01D83DC7">
      <w:pPr>
        <w:autoSpaceDE w:val="0"/>
        <w:autoSpaceDN w:val="0"/>
        <w:adjustRightInd w:val="0"/>
        <w:snapToGrid w:val="0"/>
        <w:spacing w:before="50" w:line="300" w:lineRule="auto"/>
        <w:ind w:firstLine="569" w:firstLineChars="236"/>
        <w:jc w:val="left"/>
        <w:rPr>
          <w:rFonts w:ascii="宋体"/>
          <w:color w:val="auto"/>
          <w:sz w:val="24"/>
          <w:highlight w:val="none"/>
        </w:rPr>
      </w:pPr>
      <w:r>
        <w:rPr>
          <w:rFonts w:ascii="黑体" w:hAnsi="黑体" w:eastAsia="黑体"/>
          <w:b/>
          <w:color w:val="auto"/>
          <w:sz w:val="24"/>
          <w:highlight w:val="none"/>
        </w:rPr>
        <w:t xml:space="preserve">3.5 </w:t>
      </w:r>
      <w:r>
        <w:rPr>
          <w:rFonts w:hint="eastAsia" w:ascii="黑体" w:hAnsi="黑体" w:eastAsia="黑体"/>
          <w:b/>
          <w:color w:val="auto"/>
          <w:sz w:val="24"/>
          <w:highlight w:val="none"/>
        </w:rPr>
        <w:t>复核</w:t>
      </w:r>
      <w:r>
        <w:rPr>
          <w:rFonts w:hint="eastAsia" w:ascii="宋体" w:hAnsi="宋体"/>
          <w:color w:val="auto"/>
          <w:sz w:val="24"/>
          <w:highlight w:val="none"/>
        </w:rPr>
        <w:t>：</w:t>
      </w:r>
    </w:p>
    <w:p w14:paraId="32390E93">
      <w:pPr>
        <w:autoSpaceDE w:val="0"/>
        <w:autoSpaceDN w:val="0"/>
        <w:adjustRightInd w:val="0"/>
        <w:snapToGrid w:val="0"/>
        <w:spacing w:before="50" w:line="300" w:lineRule="auto"/>
        <w:ind w:firstLine="566" w:firstLineChars="236"/>
        <w:jc w:val="left"/>
        <w:rPr>
          <w:rFonts w:ascii="宋体"/>
          <w:color w:val="auto"/>
          <w:sz w:val="24"/>
          <w:highlight w:val="none"/>
        </w:rPr>
      </w:pPr>
      <w:r>
        <w:rPr>
          <w:rFonts w:ascii="宋体" w:hAnsi="宋体"/>
          <w:color w:val="auto"/>
          <w:sz w:val="24"/>
          <w:highlight w:val="none"/>
        </w:rPr>
        <w:t xml:space="preserve">3.5.1  </w:t>
      </w:r>
      <w:r>
        <w:rPr>
          <w:rFonts w:hint="eastAsia" w:ascii="宋体" w:hAnsi="宋体"/>
          <w:color w:val="auto"/>
          <w:sz w:val="24"/>
          <w:highlight w:val="none"/>
        </w:rPr>
        <w:t>评标委员会对供应商的价格分等客观评分项的评分应当一致，对其他需要借助专业知识评判的主观评分项，应当严格按照评分细则公正评分，不得超出评分标准范围，对畸高、畸低的重大差异评分书面说明理由。</w:t>
      </w:r>
    </w:p>
    <w:p w14:paraId="450F7E2B">
      <w:pPr>
        <w:autoSpaceDE w:val="0"/>
        <w:autoSpaceDN w:val="0"/>
        <w:adjustRightInd w:val="0"/>
        <w:snapToGrid w:val="0"/>
        <w:spacing w:before="50" w:line="300" w:lineRule="auto"/>
        <w:ind w:firstLine="566" w:firstLineChars="236"/>
        <w:jc w:val="left"/>
        <w:rPr>
          <w:rFonts w:ascii="宋体"/>
          <w:color w:val="auto"/>
          <w:sz w:val="24"/>
          <w:highlight w:val="none"/>
        </w:rPr>
      </w:pPr>
      <w:r>
        <w:rPr>
          <w:rFonts w:ascii="宋体" w:hAnsi="宋体"/>
          <w:color w:val="auto"/>
          <w:sz w:val="24"/>
          <w:highlight w:val="none"/>
        </w:rPr>
        <w:t xml:space="preserve">3.5.2 </w:t>
      </w:r>
      <w:r>
        <w:rPr>
          <w:rFonts w:hint="eastAsia" w:ascii="宋体" w:hAnsi="宋体"/>
          <w:color w:val="auto"/>
          <w:sz w:val="24"/>
          <w:highlight w:val="none"/>
        </w:rPr>
        <w:t>评标委员会要对评分汇总情况进行复核，特别是对排名第一的、报价最低的、投标或相应文件被认定为无效的情形进行重点复核。评标结果汇总完成后评标报告签署前，经评标委员会复核存在分值汇总计算错误的、分项评分超出评分标准范围的、评标委员会成员对客观评审因素评分不一致的、经评标委员会认定评分畸高、畸低的，有前述情形之一的，评标委员会应当当场修改评标结果，并在评标报告中记载。</w:t>
      </w:r>
    </w:p>
    <w:p w14:paraId="2164C953">
      <w:pPr>
        <w:autoSpaceDE w:val="0"/>
        <w:autoSpaceDN w:val="0"/>
        <w:adjustRightInd w:val="0"/>
        <w:snapToGrid w:val="0"/>
        <w:spacing w:before="50" w:line="300" w:lineRule="auto"/>
        <w:ind w:firstLine="569" w:firstLineChars="236"/>
        <w:jc w:val="left"/>
        <w:rPr>
          <w:rFonts w:ascii="黑体" w:hAnsi="黑体" w:eastAsia="黑体"/>
          <w:b/>
          <w:color w:val="auto"/>
          <w:sz w:val="24"/>
          <w:highlight w:val="none"/>
        </w:rPr>
      </w:pPr>
      <w:r>
        <w:rPr>
          <w:rFonts w:ascii="黑体" w:hAnsi="黑体" w:eastAsia="黑体"/>
          <w:b/>
          <w:color w:val="auto"/>
          <w:sz w:val="24"/>
          <w:highlight w:val="none"/>
        </w:rPr>
        <w:t xml:space="preserve">3.6 </w:t>
      </w:r>
      <w:r>
        <w:rPr>
          <w:rFonts w:hint="eastAsia" w:ascii="黑体" w:hAnsi="黑体" w:eastAsia="黑体"/>
          <w:b/>
          <w:color w:val="auto"/>
          <w:sz w:val="24"/>
          <w:highlight w:val="none"/>
        </w:rPr>
        <w:t>评标结果</w:t>
      </w:r>
    </w:p>
    <w:p w14:paraId="2F95CEE9">
      <w:pPr>
        <w:autoSpaceDE w:val="0"/>
        <w:autoSpaceDN w:val="0"/>
        <w:adjustRightInd w:val="0"/>
        <w:snapToGrid w:val="0"/>
        <w:spacing w:before="50" w:line="300" w:lineRule="auto"/>
        <w:ind w:firstLine="616" w:firstLineChars="257"/>
        <w:jc w:val="left"/>
        <w:rPr>
          <w:rFonts w:ascii="宋体" w:hAnsi="宋体"/>
          <w:color w:val="auto"/>
          <w:sz w:val="24"/>
          <w:highlight w:val="none"/>
        </w:rPr>
      </w:pPr>
      <w:r>
        <w:rPr>
          <w:rFonts w:ascii="宋体" w:hAnsi="宋体"/>
          <w:color w:val="auto"/>
          <w:sz w:val="24"/>
          <w:highlight w:val="none"/>
        </w:rPr>
        <w:t xml:space="preserve">3.6.1 </w:t>
      </w:r>
      <w:r>
        <w:rPr>
          <w:rFonts w:hint="eastAsia" w:ascii="宋体" w:hAnsi="宋体"/>
          <w:color w:val="auto"/>
          <w:sz w:val="24"/>
          <w:highlight w:val="none"/>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23F5F4BD">
      <w:pPr>
        <w:autoSpaceDE w:val="0"/>
        <w:autoSpaceDN w:val="0"/>
        <w:adjustRightInd w:val="0"/>
        <w:snapToGrid w:val="0"/>
        <w:spacing w:before="50" w:line="300" w:lineRule="auto"/>
        <w:ind w:firstLine="616" w:firstLineChars="257"/>
        <w:jc w:val="left"/>
        <w:rPr>
          <w:rFonts w:ascii="宋体"/>
          <w:color w:val="auto"/>
          <w:sz w:val="24"/>
          <w:highlight w:val="none"/>
        </w:rPr>
      </w:pPr>
      <w:r>
        <w:rPr>
          <w:rFonts w:ascii="宋体" w:hAnsi="宋体"/>
          <w:color w:val="auto"/>
          <w:sz w:val="24"/>
          <w:highlight w:val="none"/>
        </w:rPr>
        <w:t xml:space="preserve">3.6.2 </w:t>
      </w:r>
      <w:r>
        <w:rPr>
          <w:rFonts w:hint="eastAsia" w:ascii="宋体" w:hAnsi="宋体"/>
          <w:color w:val="auto"/>
          <w:sz w:val="24"/>
          <w:highlight w:val="none"/>
        </w:rPr>
        <w:t>评标委员会按照评审得分由高到低的顺序提出</w:t>
      </w:r>
      <w:r>
        <w:rPr>
          <w:rFonts w:ascii="宋体" w:hAnsi="宋体"/>
          <w:color w:val="auto"/>
          <w:sz w:val="24"/>
          <w:highlight w:val="none"/>
        </w:rPr>
        <w:t>3</w:t>
      </w:r>
      <w:r>
        <w:rPr>
          <w:rFonts w:hint="eastAsia" w:ascii="宋体" w:hAnsi="宋体"/>
          <w:color w:val="auto"/>
          <w:sz w:val="24"/>
          <w:highlight w:val="none"/>
        </w:rPr>
        <w:t>名中标候选人，并编写书面评标报告。</w:t>
      </w:r>
    </w:p>
    <w:p w14:paraId="2672446B">
      <w:pPr>
        <w:autoSpaceDE w:val="0"/>
        <w:autoSpaceDN w:val="0"/>
        <w:adjustRightInd w:val="0"/>
        <w:snapToGrid w:val="0"/>
        <w:spacing w:before="50" w:line="300" w:lineRule="auto"/>
        <w:ind w:firstLine="566" w:firstLineChars="236"/>
        <w:jc w:val="left"/>
        <w:rPr>
          <w:rFonts w:ascii="宋体"/>
          <w:color w:val="auto"/>
          <w:sz w:val="24"/>
          <w:highlight w:val="none"/>
        </w:rPr>
      </w:pPr>
      <w:r>
        <w:rPr>
          <w:rFonts w:ascii="宋体" w:hAnsi="宋体"/>
          <w:color w:val="auto"/>
          <w:sz w:val="24"/>
          <w:highlight w:val="none"/>
        </w:rPr>
        <w:t xml:space="preserve">3.6.3 </w:t>
      </w:r>
      <w:r>
        <w:rPr>
          <w:rFonts w:hint="eastAsia" w:ascii="宋体" w:hAnsi="宋体"/>
          <w:color w:val="auto"/>
          <w:sz w:val="24"/>
          <w:highlight w:val="none"/>
        </w:rPr>
        <w:t>确定中标人：按第三章“投标人须知前附表”8</w:t>
      </w:r>
      <w:r>
        <w:rPr>
          <w:rFonts w:ascii="宋体" w:hAnsi="宋体"/>
          <w:color w:val="auto"/>
          <w:sz w:val="24"/>
          <w:highlight w:val="none"/>
        </w:rPr>
        <w:t>.1</w:t>
      </w:r>
      <w:r>
        <w:rPr>
          <w:rFonts w:hint="eastAsia" w:ascii="宋体" w:hAnsi="宋体"/>
          <w:color w:val="auto"/>
          <w:sz w:val="24"/>
          <w:highlight w:val="none"/>
        </w:rPr>
        <w:t>款规定及本章第</w:t>
      </w:r>
      <w:r>
        <w:rPr>
          <w:rFonts w:ascii="宋体" w:hAnsi="宋体"/>
          <w:color w:val="auto"/>
          <w:sz w:val="24"/>
          <w:highlight w:val="none"/>
        </w:rPr>
        <w:t>1</w:t>
      </w:r>
      <w:r>
        <w:rPr>
          <w:rFonts w:hint="eastAsia" w:ascii="宋体" w:hAnsi="宋体"/>
          <w:color w:val="auto"/>
          <w:sz w:val="24"/>
          <w:highlight w:val="none"/>
        </w:rPr>
        <w:t>条规定。</w:t>
      </w:r>
    </w:p>
    <w:p w14:paraId="3A8096E1">
      <w:pPr>
        <w:autoSpaceDE w:val="0"/>
        <w:autoSpaceDN w:val="0"/>
        <w:adjustRightInd w:val="0"/>
        <w:snapToGrid w:val="0"/>
        <w:spacing w:before="50" w:line="300" w:lineRule="auto"/>
        <w:ind w:firstLine="569" w:firstLineChars="236"/>
        <w:jc w:val="left"/>
        <w:rPr>
          <w:rFonts w:ascii="黑体" w:hAnsi="黑体" w:eastAsia="黑体"/>
          <w:b/>
          <w:color w:val="auto"/>
          <w:sz w:val="24"/>
          <w:highlight w:val="none"/>
        </w:rPr>
      </w:pPr>
      <w:r>
        <w:rPr>
          <w:rFonts w:ascii="黑体" w:hAnsi="黑体" w:eastAsia="黑体"/>
          <w:b/>
          <w:color w:val="auto"/>
          <w:sz w:val="24"/>
          <w:highlight w:val="none"/>
        </w:rPr>
        <w:t xml:space="preserve">3.7 </w:t>
      </w:r>
      <w:r>
        <w:rPr>
          <w:rFonts w:hint="eastAsia" w:ascii="黑体" w:hAnsi="黑体" w:eastAsia="黑体"/>
          <w:b/>
          <w:color w:val="auto"/>
          <w:sz w:val="24"/>
          <w:highlight w:val="none"/>
        </w:rPr>
        <w:t>废标</w:t>
      </w:r>
    </w:p>
    <w:p w14:paraId="0616A167">
      <w:pPr>
        <w:autoSpaceDE w:val="0"/>
        <w:autoSpaceDN w:val="0"/>
        <w:adjustRightInd w:val="0"/>
        <w:snapToGrid w:val="0"/>
        <w:spacing w:before="50" w:line="300" w:lineRule="auto"/>
        <w:ind w:firstLine="566" w:firstLineChars="236"/>
        <w:jc w:val="left"/>
        <w:rPr>
          <w:rFonts w:ascii="宋体"/>
          <w:color w:val="auto"/>
          <w:sz w:val="24"/>
          <w:highlight w:val="none"/>
        </w:rPr>
      </w:pPr>
      <w:r>
        <w:rPr>
          <w:rFonts w:ascii="宋体" w:hAnsi="宋体"/>
          <w:color w:val="auto"/>
          <w:sz w:val="24"/>
          <w:highlight w:val="none"/>
        </w:rPr>
        <w:t xml:space="preserve">3.7.1 </w:t>
      </w:r>
      <w:r>
        <w:rPr>
          <w:rFonts w:hint="eastAsia" w:ascii="宋体" w:hAnsi="宋体"/>
          <w:color w:val="auto"/>
          <w:sz w:val="24"/>
          <w:highlight w:val="none"/>
        </w:rPr>
        <w:t>出现下列情形之一的，应予废标：</w:t>
      </w:r>
    </w:p>
    <w:p w14:paraId="0FCB7073">
      <w:pPr>
        <w:autoSpaceDE w:val="0"/>
        <w:autoSpaceDN w:val="0"/>
        <w:adjustRightInd w:val="0"/>
        <w:snapToGrid w:val="0"/>
        <w:spacing w:before="50" w:line="300" w:lineRule="auto"/>
        <w:ind w:firstLine="566" w:firstLineChars="236"/>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）符合专业条件的供应商或者对招标文件作实质响应的供应商不足三家的；</w:t>
      </w:r>
      <w:r>
        <w:rPr>
          <w:rFonts w:ascii="宋体" w:hAnsi="宋体"/>
          <w:color w:val="auto"/>
          <w:sz w:val="24"/>
          <w:highlight w:val="none"/>
        </w:rPr>
        <w:t xml:space="preserve"> </w:t>
      </w:r>
    </w:p>
    <w:p w14:paraId="05F10263">
      <w:pPr>
        <w:autoSpaceDE w:val="0"/>
        <w:autoSpaceDN w:val="0"/>
        <w:adjustRightInd w:val="0"/>
        <w:snapToGrid w:val="0"/>
        <w:spacing w:before="50" w:line="300" w:lineRule="auto"/>
        <w:ind w:firstLine="566" w:firstLineChars="236"/>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）出现影响采购公正的违法、违规行为的；</w:t>
      </w:r>
      <w:r>
        <w:rPr>
          <w:rFonts w:ascii="宋体" w:hAnsi="宋体"/>
          <w:color w:val="auto"/>
          <w:sz w:val="24"/>
          <w:highlight w:val="none"/>
        </w:rPr>
        <w:t xml:space="preserve"> </w:t>
      </w:r>
    </w:p>
    <w:p w14:paraId="4FA03D76">
      <w:pPr>
        <w:autoSpaceDE w:val="0"/>
        <w:autoSpaceDN w:val="0"/>
        <w:adjustRightInd w:val="0"/>
        <w:snapToGrid w:val="0"/>
        <w:spacing w:before="50" w:line="300" w:lineRule="auto"/>
        <w:ind w:firstLine="566" w:firstLineChars="236"/>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）未超过预算金额的供应商不足</w:t>
      </w:r>
      <w:r>
        <w:rPr>
          <w:rFonts w:ascii="宋体" w:hAnsi="宋体"/>
          <w:color w:val="auto"/>
          <w:sz w:val="24"/>
          <w:highlight w:val="none"/>
        </w:rPr>
        <w:t>3</w:t>
      </w:r>
      <w:r>
        <w:rPr>
          <w:rFonts w:hint="eastAsia" w:ascii="宋体" w:hAnsi="宋体"/>
          <w:color w:val="auto"/>
          <w:sz w:val="24"/>
          <w:highlight w:val="none"/>
        </w:rPr>
        <w:t>家的；</w:t>
      </w:r>
      <w:r>
        <w:rPr>
          <w:rFonts w:ascii="宋体" w:hAnsi="宋体"/>
          <w:color w:val="auto"/>
          <w:sz w:val="24"/>
          <w:highlight w:val="none"/>
        </w:rPr>
        <w:t xml:space="preserve"> </w:t>
      </w:r>
    </w:p>
    <w:p w14:paraId="2D123A37">
      <w:pPr>
        <w:autoSpaceDE w:val="0"/>
        <w:autoSpaceDN w:val="0"/>
        <w:adjustRightInd w:val="0"/>
        <w:snapToGrid w:val="0"/>
        <w:spacing w:before="50" w:line="300" w:lineRule="auto"/>
        <w:ind w:firstLine="566" w:firstLineChars="236"/>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）因重大变故，采购任务取消的。</w:t>
      </w:r>
      <w:r>
        <w:rPr>
          <w:rFonts w:ascii="宋体" w:hAnsi="宋体"/>
          <w:color w:val="auto"/>
          <w:sz w:val="24"/>
          <w:highlight w:val="none"/>
        </w:rPr>
        <w:t xml:space="preserve"> </w:t>
      </w:r>
    </w:p>
    <w:p w14:paraId="336170F5">
      <w:pPr>
        <w:autoSpaceDE w:val="0"/>
        <w:autoSpaceDN w:val="0"/>
        <w:adjustRightInd w:val="0"/>
        <w:snapToGrid w:val="0"/>
        <w:spacing w:before="50" w:line="300" w:lineRule="auto"/>
        <w:ind w:firstLine="566" w:firstLineChars="236"/>
        <w:jc w:val="left"/>
        <w:rPr>
          <w:rFonts w:ascii="宋体"/>
          <w:color w:val="auto"/>
          <w:sz w:val="24"/>
          <w:highlight w:val="none"/>
        </w:rPr>
      </w:pPr>
      <w:r>
        <w:rPr>
          <w:rFonts w:ascii="宋体" w:hAnsi="宋体"/>
          <w:color w:val="auto"/>
          <w:sz w:val="24"/>
          <w:highlight w:val="none"/>
        </w:rPr>
        <w:t xml:space="preserve">3.7.2 </w:t>
      </w:r>
      <w:r>
        <w:rPr>
          <w:rFonts w:hint="eastAsia" w:ascii="宋体" w:hAnsi="宋体"/>
          <w:color w:val="auto"/>
          <w:sz w:val="24"/>
          <w:highlight w:val="none"/>
        </w:rPr>
        <w:t>评标委员会要在废标时，出具招标文件是否存在不合理条款的论证意见，要协助采购人、采购代理机构、财政部门答复质疑或处理投诉事项。　</w:t>
      </w:r>
    </w:p>
    <w:p w14:paraId="315048C8">
      <w:pPr>
        <w:autoSpaceDE w:val="0"/>
        <w:autoSpaceDN w:val="0"/>
        <w:adjustRightInd w:val="0"/>
        <w:snapToGrid w:val="0"/>
        <w:spacing w:before="50" w:line="300" w:lineRule="auto"/>
        <w:ind w:firstLine="566" w:firstLineChars="236"/>
        <w:jc w:val="left"/>
        <w:rPr>
          <w:rFonts w:ascii="宋体"/>
          <w:color w:val="auto"/>
          <w:sz w:val="24"/>
          <w:highlight w:val="none"/>
        </w:rPr>
      </w:pPr>
    </w:p>
    <w:p w14:paraId="510D5FB8">
      <w:pPr>
        <w:widowControl w:val="0"/>
        <w:adjustRightInd w:val="0"/>
        <w:snapToGrid w:val="0"/>
        <w:spacing w:before="156" w:beforeLines="50" w:line="300" w:lineRule="auto"/>
        <w:ind w:left="23" w:firstLine="556"/>
        <w:jc w:val="left"/>
        <w:outlineLvl w:val="1"/>
        <w:rPr>
          <w:rFonts w:ascii="黑体" w:hAnsi="黑体" w:eastAsia="黑体" w:cs="楷体_GB2312"/>
          <w:b/>
          <w:bCs/>
          <w:color w:val="auto"/>
          <w:sz w:val="28"/>
          <w:szCs w:val="28"/>
          <w:highlight w:val="none"/>
          <w:lang w:val="zh-CN"/>
        </w:rPr>
      </w:pPr>
      <w:bookmarkStart w:id="52" w:name="_Toc17795"/>
      <w:r>
        <w:rPr>
          <w:rFonts w:ascii="黑体" w:hAnsi="黑体" w:eastAsia="黑体" w:cs="楷体_GB2312"/>
          <w:b/>
          <w:bCs/>
          <w:color w:val="auto"/>
          <w:sz w:val="28"/>
          <w:szCs w:val="28"/>
          <w:highlight w:val="none"/>
          <w:lang w:val="zh-CN"/>
        </w:rPr>
        <w:t xml:space="preserve">4. </w:t>
      </w:r>
      <w:r>
        <w:rPr>
          <w:rFonts w:hint="eastAsia" w:ascii="黑体" w:hAnsi="黑体" w:eastAsia="黑体" w:cs="楷体_GB2312"/>
          <w:b/>
          <w:bCs/>
          <w:color w:val="auto"/>
          <w:sz w:val="28"/>
          <w:szCs w:val="28"/>
          <w:highlight w:val="none"/>
          <w:lang w:val="zh-CN"/>
        </w:rPr>
        <w:t>政府采购促进中小企业发展扶持政策</w:t>
      </w:r>
      <w:bookmarkEnd w:id="52"/>
    </w:p>
    <w:p w14:paraId="7941DF40">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4.1</w:t>
      </w:r>
      <w:r>
        <w:rPr>
          <w:rFonts w:ascii="宋体" w:hAnsi="宋体"/>
          <w:color w:val="auto"/>
          <w:sz w:val="24"/>
          <w:highlight w:val="none"/>
        </w:rPr>
        <w:t>在政府采购活动中，供应商提供的货物、工程或者服务符合下列情形的， 享受</w:t>
      </w:r>
      <w:r>
        <w:rPr>
          <w:rFonts w:hint="eastAsia" w:ascii="宋体" w:hAnsi="宋体"/>
          <w:color w:val="auto"/>
          <w:sz w:val="24"/>
          <w:highlight w:val="none"/>
        </w:rPr>
        <w:t>《政府采购促进中小企业发展管理办法》</w:t>
      </w:r>
      <w:r>
        <w:rPr>
          <w:rFonts w:ascii="宋体" w:hAnsi="宋体"/>
          <w:color w:val="auto"/>
          <w:sz w:val="24"/>
          <w:highlight w:val="none"/>
        </w:rPr>
        <w:t>规定的中小企业扶持政策：</w:t>
      </w:r>
      <w:r>
        <w:rPr>
          <w:rFonts w:ascii="宋体" w:hAnsi="宋体"/>
          <w:color w:val="auto"/>
          <w:sz w:val="24"/>
          <w:highlight w:val="none"/>
        </w:rPr>
        <w:br w:type="textWrapping"/>
      </w:r>
      <w:r>
        <w:rPr>
          <w:rFonts w:hint="eastAsia" w:ascii="宋体" w:hAnsi="宋体"/>
          <w:color w:val="auto"/>
          <w:sz w:val="24"/>
          <w:highlight w:val="none"/>
        </w:rPr>
        <w:t xml:space="preserve">   </w:t>
      </w:r>
      <w:r>
        <w:rPr>
          <w:rFonts w:ascii="宋体" w:hAnsi="宋体"/>
          <w:color w:val="auto"/>
          <w:sz w:val="24"/>
          <w:highlight w:val="none"/>
        </w:rPr>
        <w:t>（一） 在货物采购项目中，货物由中小企业制造，即货物由中小企业生产且使用该中小企业商号或者注册商标；</w:t>
      </w:r>
      <w:r>
        <w:rPr>
          <w:rFonts w:ascii="宋体" w:hAnsi="宋体"/>
          <w:color w:val="auto"/>
          <w:sz w:val="24"/>
          <w:highlight w:val="none"/>
        </w:rPr>
        <w:br w:type="textWrapping"/>
      </w:r>
      <w:r>
        <w:rPr>
          <w:rFonts w:hint="eastAsia" w:ascii="宋体" w:hAnsi="宋体"/>
          <w:color w:val="auto"/>
          <w:sz w:val="24"/>
          <w:highlight w:val="none"/>
        </w:rPr>
        <w:t xml:space="preserve">   </w:t>
      </w:r>
      <w:r>
        <w:rPr>
          <w:rFonts w:ascii="宋体" w:hAnsi="宋体"/>
          <w:color w:val="auto"/>
          <w:sz w:val="24"/>
          <w:highlight w:val="none"/>
        </w:rPr>
        <w:t>（二） 在工程采购项目中，工程由中小企业承建，即工程施工单位为中小企业；</w:t>
      </w:r>
      <w:r>
        <w:rPr>
          <w:rFonts w:ascii="宋体" w:hAnsi="宋体"/>
          <w:color w:val="auto"/>
          <w:sz w:val="24"/>
          <w:highlight w:val="none"/>
        </w:rPr>
        <w:br w:type="textWrapping"/>
      </w:r>
      <w:r>
        <w:rPr>
          <w:rFonts w:hint="eastAsia" w:ascii="宋体" w:hAnsi="宋体"/>
          <w:color w:val="auto"/>
          <w:sz w:val="24"/>
          <w:highlight w:val="none"/>
        </w:rPr>
        <w:t xml:space="preserve">   </w:t>
      </w:r>
      <w:r>
        <w:rPr>
          <w:rFonts w:ascii="宋体" w:hAnsi="宋体"/>
          <w:color w:val="auto"/>
          <w:sz w:val="24"/>
          <w:highlight w:val="none"/>
        </w:rPr>
        <w:t>（三）在服务采购项目中，服务由中小企业承接，即提供服务的人员为中小企业依照《中华人民共和国劳动合同法》订立劳动合同的从业人员</w:t>
      </w:r>
      <w:r>
        <w:rPr>
          <w:rFonts w:hint="eastAsia" w:ascii="宋体" w:hAnsi="宋体"/>
          <w:color w:val="auto"/>
          <w:sz w:val="24"/>
          <w:highlight w:val="none"/>
        </w:rPr>
        <w:t>。</w:t>
      </w:r>
    </w:p>
    <w:p w14:paraId="3521EC81">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ascii="宋体" w:hAnsi="宋体"/>
          <w:color w:val="auto"/>
          <w:sz w:val="24"/>
          <w:highlight w:val="none"/>
        </w:rPr>
        <w:t>在货物采购项目中，供应商提供的货物既有中小企业制造货物，也有大型企业制造货物的，不享受中小企业扶持政策。</w:t>
      </w:r>
      <w:r>
        <w:rPr>
          <w:rFonts w:ascii="宋体" w:hAnsi="宋体"/>
          <w:color w:val="auto"/>
          <w:sz w:val="24"/>
          <w:highlight w:val="none"/>
        </w:rPr>
        <w:br w:type="textWrapping"/>
      </w:r>
      <w:r>
        <w:rPr>
          <w:rFonts w:hint="eastAsia" w:ascii="宋体" w:hAnsi="宋体"/>
          <w:color w:val="auto"/>
          <w:sz w:val="24"/>
          <w:highlight w:val="none"/>
        </w:rPr>
        <w:t xml:space="preserve">    </w:t>
      </w:r>
      <w:r>
        <w:rPr>
          <w:rFonts w:ascii="宋体" w:hAnsi="宋体"/>
          <w:color w:val="auto"/>
          <w:sz w:val="24"/>
          <w:highlight w:val="none"/>
        </w:rPr>
        <w:t>以联合体形式参加政府采购活动，联合体各方均为中小企业的，联合体视同中小企业。其中，联合体各方均为小微企业的，联合体视同小微企业。</w:t>
      </w:r>
    </w:p>
    <w:p w14:paraId="50CBBBF9">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4.2 符合中小企业划分标准的个体工商户，在政府采购活动中视同中小企业。</w:t>
      </w:r>
    </w:p>
    <w:p w14:paraId="285EEBD2">
      <w:pPr>
        <w:adjustRightInd w:val="0"/>
        <w:snapToGrid w:val="0"/>
        <w:spacing w:before="156" w:beforeLines="50" w:line="300" w:lineRule="auto"/>
        <w:ind w:firstLine="555"/>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3监狱企业、符合法</w:t>
      </w:r>
      <w:r>
        <w:rPr>
          <w:rFonts w:ascii="宋体" w:hAnsi="宋体"/>
          <w:color w:val="auto"/>
          <w:sz w:val="24"/>
          <w:highlight w:val="none"/>
        </w:rPr>
        <w:t>定</w:t>
      </w:r>
      <w:r>
        <w:rPr>
          <w:rFonts w:hint="eastAsia" w:ascii="宋体" w:hAnsi="宋体"/>
          <w:color w:val="auto"/>
          <w:sz w:val="24"/>
          <w:highlight w:val="none"/>
        </w:rPr>
        <w:t>条件的残疾人福利性单位视同小型、微型企业，享受预留份额、评审中价格扣除等政府采购促进中小企业发展的政府采购政策。监狱企业参加政府采购活动时，应当提供由省级以上监狱管理局、戒毒管理局（含新疆生产建设兵团）出具的属于监狱企业的证明文件。符合法定条件的残疾人福利性单位提供财库〔2017〕141号规定的《残疾人福利性单位声明函》，残疾人福利性单位属于小型、微型企业的，不重复享受政策。</w:t>
      </w:r>
    </w:p>
    <w:p w14:paraId="68BDD18F">
      <w:pPr>
        <w:adjustRightInd w:val="0"/>
        <w:snapToGrid w:val="0"/>
        <w:spacing w:before="156" w:beforeLines="50" w:line="300" w:lineRule="auto"/>
        <w:ind w:firstLine="555"/>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3</w:t>
      </w:r>
      <w:r>
        <w:rPr>
          <w:rFonts w:ascii="宋体" w:hAnsi="宋体"/>
          <w:color w:val="auto"/>
          <w:sz w:val="24"/>
          <w:highlight w:val="none"/>
        </w:rPr>
        <w:t>.1</w:t>
      </w:r>
      <w:r>
        <w:rPr>
          <w:rFonts w:hint="eastAsia" w:ascii="宋体" w:hAnsi="宋体"/>
          <w:color w:val="auto"/>
          <w:sz w:val="24"/>
          <w:highlight w:val="none"/>
        </w:rPr>
        <w:t xml:space="preserve"> 享受政府采购支持政策的残疾人福利性单位应当同时满足以下条件：</w:t>
      </w:r>
    </w:p>
    <w:p w14:paraId="0F0F69D4">
      <w:pPr>
        <w:adjustRightInd w:val="0"/>
        <w:snapToGrid w:val="0"/>
        <w:spacing w:before="156" w:beforeLines="50" w:line="300" w:lineRule="auto"/>
        <w:ind w:firstLine="555"/>
        <w:rPr>
          <w:rFonts w:ascii="宋体" w:hAnsi="宋体"/>
          <w:color w:val="auto"/>
          <w:sz w:val="24"/>
          <w:highlight w:val="none"/>
        </w:rPr>
      </w:pPr>
      <w:r>
        <w:rPr>
          <w:rFonts w:hint="eastAsia" w:ascii="宋体" w:hAnsi="宋体"/>
          <w:color w:val="auto"/>
          <w:sz w:val="24"/>
          <w:highlight w:val="none"/>
        </w:rPr>
        <w:t>（1）安置的残疾人占本单位在职职工人数的比例不低于25%（含25%），并且安置的残疾人人数不少于10人（含10人）；</w:t>
      </w:r>
    </w:p>
    <w:p w14:paraId="0E4DF5EC">
      <w:pPr>
        <w:adjustRightInd w:val="0"/>
        <w:snapToGrid w:val="0"/>
        <w:spacing w:before="156" w:beforeLines="50" w:line="300" w:lineRule="auto"/>
        <w:ind w:firstLine="555"/>
        <w:rPr>
          <w:rFonts w:ascii="宋体" w:hAnsi="宋体" w:cs="宋体"/>
          <w:color w:val="auto"/>
          <w:sz w:val="24"/>
          <w:szCs w:val="24"/>
          <w:highlight w:val="none"/>
        </w:rPr>
      </w:pPr>
      <w:r>
        <w:rPr>
          <w:rFonts w:hint="eastAsia" w:ascii="宋体" w:hAnsi="宋体" w:cs="宋体"/>
          <w:color w:val="auto"/>
          <w:sz w:val="24"/>
          <w:szCs w:val="24"/>
          <w:highlight w:val="none"/>
        </w:rPr>
        <w:t>（2）依法与安置的每位残疾人签订了一年以上（含一年）的劳动合同或服务协议；</w:t>
      </w:r>
    </w:p>
    <w:p w14:paraId="785EDE24">
      <w:pPr>
        <w:adjustRightInd w:val="0"/>
        <w:snapToGrid w:val="0"/>
        <w:spacing w:before="156" w:beforeLines="50" w:line="300" w:lineRule="auto"/>
        <w:ind w:firstLine="555"/>
        <w:rPr>
          <w:rFonts w:ascii="宋体" w:hAnsi="宋体" w:cs="宋体"/>
          <w:color w:val="auto"/>
          <w:sz w:val="24"/>
          <w:szCs w:val="24"/>
          <w:highlight w:val="none"/>
        </w:rPr>
      </w:pPr>
      <w:r>
        <w:rPr>
          <w:rFonts w:hint="eastAsia" w:ascii="宋体" w:hAnsi="宋体" w:cs="宋体"/>
          <w:color w:val="auto"/>
          <w:sz w:val="24"/>
          <w:szCs w:val="24"/>
          <w:highlight w:val="none"/>
        </w:rPr>
        <w:t>（3）为安置的每位残疾人按月足额缴纳了基本养老保险、基本医疗保险、失业保险、工伤保险和生育保险等社会保险费；</w:t>
      </w:r>
    </w:p>
    <w:p w14:paraId="68D7251E">
      <w:pPr>
        <w:adjustRightInd w:val="0"/>
        <w:snapToGrid w:val="0"/>
        <w:spacing w:before="156" w:beforeLines="50" w:line="300" w:lineRule="auto"/>
        <w:ind w:firstLine="555"/>
        <w:rPr>
          <w:rFonts w:ascii="宋体" w:hAnsi="宋体" w:cs="宋体"/>
          <w:color w:val="auto"/>
          <w:sz w:val="24"/>
          <w:szCs w:val="24"/>
          <w:highlight w:val="none"/>
        </w:rPr>
      </w:pPr>
      <w:r>
        <w:rPr>
          <w:rFonts w:hint="eastAsia" w:ascii="宋体" w:hAnsi="宋体" w:cs="宋体"/>
          <w:color w:val="auto"/>
          <w:sz w:val="24"/>
          <w:szCs w:val="24"/>
          <w:highlight w:val="none"/>
        </w:rPr>
        <w:t>（4）通过银行等金融机构向安置的每位残疾人，按月支付了不低于单位所在区县适用的经省级人民政府批准的月最低工资标准的工资；</w:t>
      </w:r>
    </w:p>
    <w:p w14:paraId="67F7264E">
      <w:pPr>
        <w:adjustRightInd w:val="0"/>
        <w:snapToGrid w:val="0"/>
        <w:spacing w:before="156" w:beforeLines="50" w:line="300" w:lineRule="auto"/>
        <w:ind w:firstLine="555"/>
        <w:rPr>
          <w:rFonts w:ascii="宋体" w:hAnsi="宋体" w:cs="宋体"/>
          <w:color w:val="auto"/>
          <w:sz w:val="24"/>
          <w:szCs w:val="24"/>
          <w:highlight w:val="none"/>
        </w:rPr>
      </w:pPr>
      <w:r>
        <w:rPr>
          <w:rFonts w:hint="eastAsia" w:ascii="宋体" w:hAnsi="宋体" w:cs="宋体"/>
          <w:color w:val="auto"/>
          <w:sz w:val="24"/>
          <w:szCs w:val="24"/>
          <w:highlight w:val="none"/>
        </w:rPr>
        <w:t>（5）提供本单位制造的货物、承担的工程或者服务（以下简称产品），或者提供其他残疾人福利性单位制造的货物（不包括使用非残疾人福利性单位注册商标的货物）。</w:t>
      </w:r>
    </w:p>
    <w:p w14:paraId="7967C9B9">
      <w:pPr>
        <w:adjustRightInd w:val="0"/>
        <w:snapToGrid w:val="0"/>
        <w:spacing w:before="156" w:beforeLines="50" w:line="300" w:lineRule="auto"/>
        <w:ind w:firstLine="555"/>
        <w:rPr>
          <w:rFonts w:ascii="宋体" w:hAnsi="宋体" w:cs="宋体"/>
          <w:color w:val="auto"/>
          <w:sz w:val="24"/>
          <w:szCs w:val="24"/>
          <w:highlight w:val="none"/>
        </w:rPr>
      </w:pPr>
      <w:r>
        <w:rPr>
          <w:rFonts w:hint="eastAsia" w:ascii="宋体" w:hAnsi="宋体" w:cs="宋体"/>
          <w:color w:val="auto"/>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C113745">
      <w:pPr>
        <w:autoSpaceDE w:val="0"/>
        <w:autoSpaceDN w:val="0"/>
        <w:adjustRightInd w:val="0"/>
        <w:snapToGrid w:val="0"/>
        <w:spacing w:before="156" w:beforeLines="50" w:line="300" w:lineRule="auto"/>
        <w:ind w:firstLine="566" w:firstLineChars="236"/>
        <w:jc w:val="left"/>
        <w:rPr>
          <w:rFonts w:ascii="宋体" w:hAnsi="宋体" w:cstheme="minorBidi"/>
          <w:color w:val="auto"/>
          <w:sz w:val="24"/>
          <w:szCs w:val="22"/>
          <w:highlight w:val="none"/>
        </w:rPr>
      </w:pPr>
      <w:r>
        <w:rPr>
          <w:rFonts w:hint="eastAsia" w:ascii="宋体" w:hAnsi="宋体"/>
          <w:color w:val="auto"/>
          <w:sz w:val="24"/>
          <w:highlight w:val="none"/>
        </w:rPr>
        <w:t xml:space="preserve">4.4 </w:t>
      </w:r>
      <w:r>
        <w:rPr>
          <w:rFonts w:hint="eastAsia"/>
          <w:color w:val="auto"/>
          <w:sz w:val="24"/>
          <w:szCs w:val="24"/>
          <w:highlight w:val="none"/>
        </w:rPr>
        <w:t>参加</w:t>
      </w:r>
      <w:r>
        <w:rPr>
          <w:rFonts w:hint="eastAsia" w:ascii="宋体" w:hAnsi="宋体"/>
          <w:color w:val="auto"/>
          <w:sz w:val="24"/>
          <w:highlight w:val="none"/>
        </w:rPr>
        <w:t>本次政府招标项目的中小企业应按附件格式提供《中小企业声明函》。</w:t>
      </w:r>
      <w:r>
        <w:rPr>
          <w:rFonts w:hint="eastAsia" w:ascii="宋体" w:hAnsi="宋体" w:cs="宋体"/>
          <w:color w:val="auto"/>
          <w:sz w:val="24"/>
          <w:szCs w:val="24"/>
          <w:highlight w:val="none"/>
        </w:rPr>
        <w:t>如招标文件接受以联合体形式参加投标的，联合体各方均应按附件格式提供《中小企业声明函》。</w:t>
      </w:r>
    </w:p>
    <w:p w14:paraId="4A1DCE14">
      <w:pPr>
        <w:autoSpaceDE w:val="0"/>
        <w:autoSpaceDN w:val="0"/>
        <w:adjustRightInd w:val="0"/>
        <w:snapToGrid w:val="0"/>
        <w:spacing w:before="156" w:beforeLines="50" w:line="300" w:lineRule="auto"/>
        <w:ind w:firstLine="684" w:firstLineChars="285"/>
        <w:jc w:val="left"/>
        <w:rPr>
          <w:rFonts w:ascii="宋体" w:hAnsi="宋体"/>
          <w:color w:val="auto"/>
          <w:sz w:val="24"/>
          <w:highlight w:val="none"/>
        </w:rPr>
      </w:pPr>
      <w:r>
        <w:rPr>
          <w:rFonts w:hint="eastAsia" w:ascii="宋体" w:hAnsi="宋体"/>
          <w:color w:val="auto"/>
          <w:sz w:val="24"/>
          <w:highlight w:val="none"/>
        </w:rPr>
        <w:t>供应商按照财库〔2020〕46号规定及招标文件要求提供声明函内容不实的，属于提供虚假材料谋取中标、成交，依照《中华人民共和国政府采购法》等国家有关规定追究相应责任。</w:t>
      </w:r>
    </w:p>
    <w:p w14:paraId="6E6AC3A3">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4.5 《政府采购促进中小企业发展管理办法》各项中小企业扶持政策中，价格扣除扶持政策仅小型、微型企业适用。</w:t>
      </w:r>
    </w:p>
    <w:p w14:paraId="5C8153EB">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4.6 小微企业价格扣除扶持政策：</w:t>
      </w:r>
    </w:p>
    <w:p w14:paraId="21401D79">
      <w:pPr>
        <w:autoSpaceDE w:val="0"/>
        <w:autoSpaceDN w:val="0"/>
        <w:adjustRightInd w:val="0"/>
        <w:snapToGrid w:val="0"/>
        <w:spacing w:before="156" w:beforeLines="50" w:line="300" w:lineRule="auto"/>
        <w:ind w:firstLine="684" w:firstLineChars="285"/>
        <w:jc w:val="left"/>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6.</w:t>
      </w:r>
      <w:r>
        <w:rPr>
          <w:rFonts w:ascii="宋体" w:hAnsi="宋体"/>
          <w:color w:val="auto"/>
          <w:sz w:val="24"/>
          <w:highlight w:val="none"/>
        </w:rPr>
        <w:t xml:space="preserve">1 </w:t>
      </w:r>
      <w:r>
        <w:rPr>
          <w:rFonts w:hint="eastAsia" w:ascii="宋体" w:hAnsi="宋体"/>
          <w:color w:val="auto"/>
          <w:sz w:val="24"/>
          <w:highlight w:val="none"/>
        </w:rPr>
        <w:t>本次政府招标项目对符合《政府采购促进中小企业发展管理办法》小型和微型企业的报价给予20</w:t>
      </w:r>
      <w:r>
        <w:rPr>
          <w:rFonts w:ascii="宋体" w:hAnsi="宋体"/>
          <w:color w:val="auto"/>
          <w:sz w:val="24"/>
          <w:highlight w:val="none"/>
        </w:rPr>
        <w:t>%</w:t>
      </w:r>
      <w:r>
        <w:rPr>
          <w:rFonts w:hint="eastAsia" w:ascii="宋体" w:hAnsi="宋体"/>
          <w:color w:val="auto"/>
          <w:sz w:val="24"/>
          <w:highlight w:val="none"/>
        </w:rPr>
        <w:t>的扣除，用扣除后的价格参与评审。</w:t>
      </w:r>
    </w:p>
    <w:p w14:paraId="0A55509C">
      <w:pPr>
        <w:autoSpaceDE w:val="0"/>
        <w:autoSpaceDN w:val="0"/>
        <w:adjustRightInd w:val="0"/>
        <w:snapToGrid w:val="0"/>
        <w:spacing w:before="156" w:beforeLines="50" w:line="300" w:lineRule="auto"/>
        <w:ind w:firstLine="684" w:firstLineChars="285"/>
        <w:jc w:val="left"/>
        <w:rPr>
          <w:rFonts w:ascii="宋体" w:hAnsi="宋体"/>
          <w:color w:val="auto"/>
          <w:sz w:val="24"/>
          <w:highlight w:val="none"/>
        </w:rPr>
      </w:pPr>
      <w:r>
        <w:rPr>
          <w:rFonts w:hint="eastAsia" w:ascii="宋体" w:hAnsi="宋体"/>
          <w:color w:val="auto"/>
          <w:sz w:val="24"/>
          <w:highlight w:val="none"/>
        </w:rPr>
        <w:t>（1）投标人所投货物均由小型和微型企业制造，享受小微企业价格扣除扶持政策。</w:t>
      </w:r>
    </w:p>
    <w:p w14:paraId="7F423169">
      <w:pPr>
        <w:autoSpaceDE w:val="0"/>
        <w:autoSpaceDN w:val="0"/>
        <w:adjustRightInd w:val="0"/>
        <w:snapToGrid w:val="0"/>
        <w:spacing w:before="156" w:beforeLines="50" w:line="300" w:lineRule="auto"/>
        <w:ind w:firstLine="684" w:firstLineChars="285"/>
        <w:jc w:val="left"/>
        <w:rPr>
          <w:rFonts w:ascii="宋体" w:hAnsi="宋体"/>
          <w:color w:val="auto"/>
          <w:sz w:val="24"/>
          <w:highlight w:val="none"/>
        </w:rPr>
      </w:pPr>
      <w:r>
        <w:rPr>
          <w:rFonts w:hint="eastAsia" w:ascii="宋体" w:hAnsi="宋体"/>
          <w:color w:val="auto"/>
          <w:sz w:val="24"/>
          <w:highlight w:val="none"/>
        </w:rPr>
        <w:t>（2）投标人所投货物既有小型和微型企业制造，也有中型企业制造或大型企业制造的，不享受小微企业价格扣除扶持政策。</w:t>
      </w:r>
    </w:p>
    <w:p w14:paraId="4D2408A6">
      <w:pPr>
        <w:autoSpaceDE w:val="0"/>
        <w:autoSpaceDN w:val="0"/>
        <w:adjustRightInd w:val="0"/>
        <w:snapToGrid w:val="0"/>
        <w:spacing w:before="156" w:beforeLines="50" w:line="300" w:lineRule="auto"/>
        <w:ind w:firstLine="684" w:firstLineChars="285"/>
        <w:jc w:val="left"/>
        <w:rPr>
          <w:rFonts w:ascii="宋体" w:hAnsi="宋体"/>
          <w:color w:val="auto"/>
          <w:sz w:val="24"/>
          <w:highlight w:val="none"/>
        </w:rPr>
      </w:pPr>
      <w:r>
        <w:rPr>
          <w:rFonts w:hint="eastAsia" w:ascii="宋体" w:hAnsi="宋体"/>
          <w:color w:val="auto"/>
          <w:sz w:val="24"/>
          <w:highlight w:val="none"/>
        </w:rPr>
        <w:t>4.6.2 如招标文件接受大中型企业与小微企业组成联合体或者允许大中型企业向一家或者多家小微企业分包时，联合协议或分包意向协议约定小微型企业的合同份额占到合同总金额</w:t>
      </w:r>
      <w:r>
        <w:rPr>
          <w:rFonts w:ascii="宋体" w:hAnsi="宋体"/>
          <w:color w:val="auto"/>
          <w:sz w:val="24"/>
          <w:highlight w:val="none"/>
        </w:rPr>
        <w:t>30%</w:t>
      </w:r>
      <w:r>
        <w:rPr>
          <w:rFonts w:hint="eastAsia" w:ascii="宋体" w:hAnsi="宋体"/>
          <w:color w:val="auto"/>
          <w:sz w:val="24"/>
          <w:highlight w:val="none"/>
        </w:rPr>
        <w:t>以上的，给予联合体或大中型企业6</w:t>
      </w:r>
      <w:r>
        <w:rPr>
          <w:rFonts w:ascii="宋体" w:hAnsi="宋体"/>
          <w:color w:val="auto"/>
          <w:sz w:val="24"/>
          <w:highlight w:val="none"/>
        </w:rPr>
        <w:t>%</w:t>
      </w:r>
      <w:r>
        <w:rPr>
          <w:rFonts w:hint="eastAsia" w:ascii="宋体" w:hAnsi="宋体"/>
          <w:color w:val="auto"/>
          <w:sz w:val="24"/>
          <w:highlight w:val="none"/>
        </w:rPr>
        <w:t>的价格扣除，用扣除后的价格参加评审。</w:t>
      </w:r>
    </w:p>
    <w:p w14:paraId="2D97A5B2">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组成联合体或者接受分包合同的中小企业与联合体内其他企业、分包企业之间不得存在直接控股、管理关系。</w:t>
      </w:r>
    </w:p>
    <w:p w14:paraId="24D4F464">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4.6.3</w:t>
      </w:r>
      <w:r>
        <w:rPr>
          <w:rFonts w:ascii="宋体" w:hAnsi="宋体"/>
          <w:color w:val="auto"/>
          <w:sz w:val="24"/>
          <w:highlight w:val="none"/>
        </w:rPr>
        <w:t xml:space="preserve"> </w:t>
      </w:r>
      <w:r>
        <w:rPr>
          <w:rFonts w:hint="eastAsia" w:ascii="宋体" w:hAnsi="宋体"/>
          <w:color w:val="auto"/>
          <w:sz w:val="24"/>
          <w:highlight w:val="none"/>
        </w:rPr>
        <w:t>价格扣除比例或者价格分加分比例对小型企业和微型企业同等对待，不作区分。</w:t>
      </w:r>
    </w:p>
    <w:p w14:paraId="5BF38458">
      <w:pPr>
        <w:adjustRightInd w:val="0"/>
        <w:snapToGrid w:val="0"/>
        <w:spacing w:before="156" w:beforeLines="50" w:line="300" w:lineRule="auto"/>
        <w:ind w:firstLine="555"/>
        <w:rPr>
          <w:color w:val="auto"/>
          <w:sz w:val="24"/>
          <w:szCs w:val="24"/>
          <w:highlight w:val="none"/>
        </w:rPr>
      </w:pPr>
      <w:r>
        <w:rPr>
          <w:rFonts w:hint="eastAsia" w:ascii="宋体" w:hAnsi="宋体"/>
          <w:color w:val="auto"/>
          <w:sz w:val="24"/>
          <w:highlight w:val="none"/>
        </w:rPr>
        <w:t>4.7</w:t>
      </w:r>
      <w:r>
        <w:rPr>
          <w:rFonts w:hint="eastAsia"/>
          <w:color w:val="auto"/>
          <w:sz w:val="24"/>
          <w:szCs w:val="24"/>
          <w:highlight w:val="none"/>
        </w:rPr>
        <w:t>评标委员会对投标人申报的小型和微型企业价格扣除事项进行评审。鉴于小微企业价格扣除政策与合同执行价格无关，为避免投标人申报价格扣除事项的随意性，故特别规定：</w:t>
      </w:r>
    </w:p>
    <w:p w14:paraId="2509BAEB">
      <w:pPr>
        <w:adjustRightInd w:val="0"/>
        <w:snapToGrid w:val="0"/>
        <w:spacing w:before="156" w:beforeLines="50" w:line="300" w:lineRule="auto"/>
        <w:ind w:firstLine="555"/>
        <w:rPr>
          <w:color w:val="auto"/>
          <w:sz w:val="24"/>
          <w:szCs w:val="24"/>
          <w:highlight w:val="none"/>
        </w:rPr>
      </w:pPr>
      <w:r>
        <w:rPr>
          <w:rFonts w:hint="eastAsia"/>
          <w:color w:val="auto"/>
          <w:sz w:val="24"/>
          <w:szCs w:val="24"/>
          <w:highlight w:val="none"/>
        </w:rPr>
        <w:t>（</w:t>
      </w:r>
      <w:r>
        <w:rPr>
          <w:color w:val="auto"/>
          <w:sz w:val="24"/>
          <w:szCs w:val="24"/>
          <w:highlight w:val="none"/>
        </w:rPr>
        <w:t>1</w:t>
      </w:r>
      <w:r>
        <w:rPr>
          <w:rFonts w:hint="eastAsia"/>
          <w:color w:val="auto"/>
          <w:sz w:val="24"/>
          <w:szCs w:val="24"/>
          <w:highlight w:val="none"/>
        </w:rPr>
        <w:t>）评标委员会对投标人申报的小型和微型企业价格扣除事项的评审结论，分为合格与不合格。</w:t>
      </w:r>
    </w:p>
    <w:p w14:paraId="742B8E53">
      <w:pPr>
        <w:autoSpaceDE w:val="0"/>
        <w:autoSpaceDN w:val="0"/>
        <w:adjustRightInd w:val="0"/>
        <w:snapToGrid w:val="0"/>
        <w:spacing w:before="156" w:beforeLines="50" w:line="300" w:lineRule="auto"/>
        <w:ind w:firstLine="600" w:firstLineChars="250"/>
        <w:jc w:val="left"/>
        <w:rPr>
          <w:rFonts w:ascii="宋体" w:hAnsi="宋体"/>
          <w:color w:val="auto"/>
          <w:sz w:val="24"/>
          <w:highlight w:val="none"/>
        </w:rPr>
      </w:pPr>
      <w:r>
        <w:rPr>
          <w:rFonts w:hint="eastAsia"/>
          <w:color w:val="auto"/>
          <w:sz w:val="24"/>
          <w:szCs w:val="24"/>
          <w:highlight w:val="none"/>
        </w:rPr>
        <w:t xml:space="preserve">（2） </w:t>
      </w:r>
      <w:r>
        <w:rPr>
          <w:rFonts w:hint="eastAsia" w:ascii="宋体" w:hAnsi="宋体"/>
          <w:color w:val="auto"/>
          <w:sz w:val="24"/>
          <w:highlight w:val="none"/>
        </w:rPr>
        <w:t>A.投标人所投货物均由小型和微型企业制造，享受小微企业价格扣除扶持政策。</w:t>
      </w:r>
    </w:p>
    <w:p w14:paraId="36BA0158">
      <w:pPr>
        <w:autoSpaceDE w:val="0"/>
        <w:autoSpaceDN w:val="0"/>
        <w:adjustRightInd w:val="0"/>
        <w:snapToGrid w:val="0"/>
        <w:spacing w:before="156" w:beforeLines="50" w:line="300" w:lineRule="auto"/>
        <w:ind w:firstLine="684" w:firstLineChars="285"/>
        <w:jc w:val="left"/>
        <w:rPr>
          <w:rFonts w:ascii="宋体" w:hAnsi="宋体"/>
          <w:color w:val="auto"/>
          <w:sz w:val="24"/>
          <w:highlight w:val="none"/>
        </w:rPr>
      </w:pPr>
      <w:r>
        <w:rPr>
          <w:rFonts w:hint="eastAsia" w:ascii="宋体" w:hAnsi="宋体"/>
          <w:color w:val="auto"/>
          <w:sz w:val="24"/>
          <w:highlight w:val="none"/>
        </w:rPr>
        <w:t>B.投标人所投货物既有小型和微型企业制造，也有中型企业制造或大型企业制造的，不享受小微企业价格扣除扶持政策。</w:t>
      </w:r>
    </w:p>
    <w:p w14:paraId="5F0AFA82">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3）经评审，申报的小微价格扣除事项缺失中小企业声明函、中小企业声明函含有大型中型企业制造产品、中小企业声明函少列产品、《中小企业声明函》中产品承诺与投标产品不一致、联合协议或分包意向协议不符合中小企业价格扣除规定等任一不符合政策要求及不准确的事项，评标委员会均将评审为不合格，该投标人申报的价格扣除事项不予接受、为</w:t>
      </w:r>
      <w:r>
        <w:rPr>
          <w:rFonts w:ascii="宋体" w:hAnsi="宋体"/>
          <w:color w:val="auto"/>
          <w:sz w:val="24"/>
          <w:highlight w:val="none"/>
        </w:rPr>
        <w:t>0</w:t>
      </w:r>
      <w:r>
        <w:rPr>
          <w:rFonts w:hint="eastAsia" w:ascii="宋体" w:hAnsi="宋体"/>
          <w:color w:val="auto"/>
          <w:sz w:val="24"/>
          <w:highlight w:val="none"/>
        </w:rPr>
        <w:t>；评标委员会应当告知相关投标人。</w:t>
      </w:r>
    </w:p>
    <w:p w14:paraId="5C8CFC22">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提供虚假材料的为无效投标、并承担相应的法律责任。</w:t>
      </w:r>
    </w:p>
    <w:p w14:paraId="0444831A">
      <w:pPr>
        <w:adjustRightInd w:val="0"/>
        <w:snapToGrid w:val="0"/>
        <w:spacing w:before="156" w:beforeLines="50" w:line="300" w:lineRule="auto"/>
        <w:ind w:firstLine="555"/>
        <w:rPr>
          <w:color w:val="auto"/>
          <w:sz w:val="24"/>
          <w:szCs w:val="24"/>
          <w:highlight w:val="none"/>
        </w:rPr>
      </w:pPr>
      <w:r>
        <w:rPr>
          <w:rFonts w:hint="eastAsia"/>
          <w:color w:val="auto"/>
          <w:sz w:val="24"/>
          <w:szCs w:val="24"/>
          <w:highlight w:val="none"/>
        </w:rPr>
        <w:t>（4）评审合格的，接受其申报的小型和微型企业价格扣除，用扣除后的价格参与评审。</w:t>
      </w:r>
    </w:p>
    <w:p w14:paraId="2BE41C54">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（5）评审不合格的，不接受其小微企业价格扣除,但将不作为无效投标。</w:t>
      </w:r>
    </w:p>
    <w:p w14:paraId="74FAA737">
      <w:pPr>
        <w:adjustRightInd w:val="0"/>
        <w:snapToGrid w:val="0"/>
        <w:spacing w:before="156" w:beforeLines="50" w:line="300" w:lineRule="auto"/>
        <w:ind w:firstLine="555"/>
        <w:rPr>
          <w:color w:val="auto"/>
          <w:sz w:val="24"/>
          <w:szCs w:val="24"/>
          <w:highlight w:val="none"/>
        </w:rPr>
      </w:pPr>
      <w:r>
        <w:rPr>
          <w:rFonts w:hint="eastAsia"/>
          <w:color w:val="auto"/>
          <w:sz w:val="24"/>
          <w:szCs w:val="24"/>
          <w:highlight w:val="none"/>
        </w:rPr>
        <w:t>注：小微企业价格扣除，仅作为价格评审的依据，并不影响合同执行价格，合同执行价格为中标人的投标报价。</w:t>
      </w:r>
    </w:p>
    <w:p w14:paraId="550EEB69">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4.8</w:t>
      </w:r>
      <w:r>
        <w:rPr>
          <w:rFonts w:ascii="宋体" w:hAnsi="宋体"/>
          <w:color w:val="auto"/>
          <w:sz w:val="24"/>
          <w:highlight w:val="none"/>
        </w:rPr>
        <w:t xml:space="preserve"> </w:t>
      </w:r>
      <w:r>
        <w:rPr>
          <w:rFonts w:hint="eastAsia" w:ascii="宋体" w:hAnsi="宋体"/>
          <w:color w:val="auto"/>
          <w:sz w:val="24"/>
          <w:highlight w:val="none"/>
        </w:rPr>
        <w:t>根据财政部、工业和信息化部有关负责人就印发《政府采购促进中小企业发展管理办法》答记者问，为方便广大中小企业、政府部门和社会公众识别企业规模类型，工业和信息化部组织开发了中小企业规模类型自测小程序，并于2020年2月27日上线运行，在国务院客户端和工业和信息化部网站上均有链接，广大中小企业和各类社会机构填写企业所属的行业和指标数据自动生成企业规模类型测试结果。</w:t>
      </w:r>
    </w:p>
    <w:p w14:paraId="19F1E9E4">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4.9 中标、成交供应商享受本办法规定的中小企业扶持政策的，中标、成交供应商的《中小企业声明函》将随中标、成交结果公开。</w:t>
      </w:r>
    </w:p>
    <w:p w14:paraId="18480439">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4.10 依法享受扶持政策获得政府采购合同的，小微企业不得将合同分包给大中型企业，中型企业不得将合同分包给大型企业。</w:t>
      </w:r>
    </w:p>
    <w:p w14:paraId="10DBFC56">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4.11 政府采购监督检查、投诉处理及政府采购行政处罚中对中小企业的认定，由货物制造商或者工程、服务供应商注册登记所在地的县级以上人民政府中小企业主管部门负责。</w:t>
      </w:r>
    </w:p>
    <w:p w14:paraId="0B4FA0A4">
      <w:pPr>
        <w:widowControl w:val="0"/>
        <w:snapToGrid w:val="0"/>
        <w:spacing w:line="657" w:lineRule="atLeast"/>
        <w:jc w:val="center"/>
        <w:outlineLvl w:val="0"/>
        <w:rPr>
          <w:rFonts w:ascii="黑体" w:eastAsia="黑体"/>
          <w:b/>
          <w:color w:val="auto"/>
          <w:spacing w:val="20"/>
          <w:sz w:val="36"/>
          <w:szCs w:val="36"/>
          <w:highlight w:val="none"/>
        </w:rPr>
      </w:pPr>
      <w:r>
        <w:rPr>
          <w:rFonts w:ascii="黑体" w:eastAsia="黑体"/>
          <w:b/>
          <w:color w:val="auto"/>
          <w:spacing w:val="20"/>
          <w:sz w:val="36"/>
          <w:szCs w:val="36"/>
          <w:highlight w:val="none"/>
        </w:rPr>
        <w:br w:type="page"/>
      </w:r>
    </w:p>
    <w:p w14:paraId="57CF9674">
      <w:pPr>
        <w:widowControl w:val="0"/>
        <w:snapToGrid w:val="0"/>
        <w:spacing w:line="657" w:lineRule="atLeast"/>
        <w:jc w:val="center"/>
        <w:outlineLvl w:val="0"/>
        <w:rPr>
          <w:rFonts w:ascii="黑体" w:eastAsia="黑体"/>
          <w:b/>
          <w:color w:val="auto"/>
          <w:spacing w:val="20"/>
          <w:sz w:val="36"/>
          <w:szCs w:val="36"/>
          <w:highlight w:val="none"/>
        </w:rPr>
      </w:pPr>
    </w:p>
    <w:p w14:paraId="05F4364F">
      <w:pPr>
        <w:widowControl w:val="0"/>
        <w:snapToGrid w:val="0"/>
        <w:spacing w:line="360" w:lineRule="auto"/>
        <w:ind w:firstLine="567"/>
        <w:jc w:val="center"/>
        <w:outlineLvl w:val="0"/>
        <w:rPr>
          <w:rFonts w:ascii="黑体" w:hAnsi="黑体" w:eastAsia="黑体"/>
          <w:b/>
          <w:color w:val="auto"/>
          <w:sz w:val="36"/>
          <w:szCs w:val="36"/>
          <w:highlight w:val="none"/>
          <w:lang w:val="zh-CN"/>
        </w:rPr>
      </w:pPr>
      <w:bookmarkStart w:id="53" w:name="_Toc6971"/>
      <w:r>
        <w:rPr>
          <w:rFonts w:hint="eastAsia" w:ascii="黑体" w:hAnsi="黑体" w:eastAsia="黑体"/>
          <w:b/>
          <w:color w:val="auto"/>
          <w:sz w:val="36"/>
          <w:szCs w:val="36"/>
          <w:highlight w:val="none"/>
          <w:lang w:val="zh-CN"/>
        </w:rPr>
        <w:t>第四章</w:t>
      </w:r>
      <w:r>
        <w:rPr>
          <w:rFonts w:ascii="黑体" w:hAnsi="黑体" w:eastAsia="黑体"/>
          <w:b/>
          <w:color w:val="auto"/>
          <w:sz w:val="36"/>
          <w:szCs w:val="36"/>
          <w:highlight w:val="none"/>
          <w:lang w:val="zh-CN"/>
        </w:rPr>
        <w:t xml:space="preserve">  </w:t>
      </w:r>
      <w:r>
        <w:rPr>
          <w:rFonts w:hint="eastAsia" w:ascii="黑体" w:hAnsi="黑体" w:eastAsia="黑体"/>
          <w:b/>
          <w:color w:val="auto"/>
          <w:sz w:val="36"/>
          <w:szCs w:val="36"/>
          <w:highlight w:val="none"/>
          <w:lang w:val="zh-CN"/>
        </w:rPr>
        <w:t>包2评标办法（最低评标价法）</w:t>
      </w:r>
      <w:bookmarkEnd w:id="53"/>
    </w:p>
    <w:p w14:paraId="480183B2">
      <w:pPr>
        <w:widowControl w:val="0"/>
        <w:snapToGrid w:val="0"/>
        <w:spacing w:line="360" w:lineRule="auto"/>
        <w:ind w:firstLine="566"/>
        <w:jc w:val="center"/>
        <w:rPr>
          <w:b/>
          <w:color w:val="auto"/>
          <w:sz w:val="24"/>
          <w:szCs w:val="24"/>
          <w:highlight w:val="none"/>
        </w:rPr>
      </w:pPr>
    </w:p>
    <w:p w14:paraId="70608C4D">
      <w:pPr>
        <w:spacing w:line="500" w:lineRule="exact"/>
        <w:jc w:val="left"/>
        <w:outlineLvl w:val="1"/>
        <w:rPr>
          <w:rFonts w:ascii="黑体" w:hAnsi="黑体" w:eastAsia="黑体"/>
          <w:b/>
          <w:color w:val="auto"/>
          <w:sz w:val="28"/>
          <w:szCs w:val="28"/>
          <w:highlight w:val="none"/>
          <w:lang w:val="zh-CN"/>
        </w:rPr>
      </w:pPr>
      <w:bookmarkStart w:id="54" w:name="_Toc539"/>
      <w:r>
        <w:rPr>
          <w:rFonts w:hint="eastAsia" w:ascii="黑体" w:hAnsi="黑体" w:eastAsia="黑体"/>
          <w:b/>
          <w:color w:val="auto"/>
          <w:sz w:val="28"/>
          <w:szCs w:val="28"/>
          <w:highlight w:val="none"/>
        </w:rPr>
        <w:t>评标办法前附表</w:t>
      </w:r>
      <w:bookmarkEnd w:id="54"/>
    </w:p>
    <w:tbl>
      <w:tblPr>
        <w:tblStyle w:val="20"/>
        <w:tblW w:w="10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560"/>
        <w:gridCol w:w="960"/>
        <w:gridCol w:w="2217"/>
        <w:gridCol w:w="5736"/>
      </w:tblGrid>
      <w:tr w14:paraId="35B33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0" w:hRule="atLeast"/>
          <w:jc w:val="center"/>
        </w:trPr>
        <w:tc>
          <w:tcPr>
            <w:tcW w:w="1124" w:type="dxa"/>
            <w:gridSpan w:val="2"/>
            <w:vAlign w:val="center"/>
          </w:tcPr>
          <w:p w14:paraId="6AAFB73E">
            <w:pPr>
              <w:pStyle w:val="58"/>
              <w:jc w:val="center"/>
              <w:rPr>
                <w:rFonts w:hAnsi="宋体"/>
                <w:b/>
                <w:color w:val="auto"/>
                <w:szCs w:val="24"/>
                <w:highlight w:val="none"/>
              </w:rPr>
            </w:pPr>
            <w:r>
              <w:rPr>
                <w:rFonts w:hint="eastAsia" w:hAnsi="宋体"/>
                <w:b/>
                <w:color w:val="auto"/>
                <w:szCs w:val="24"/>
                <w:highlight w:val="none"/>
              </w:rPr>
              <w:t>条款号</w:t>
            </w:r>
          </w:p>
        </w:tc>
        <w:tc>
          <w:tcPr>
            <w:tcW w:w="3177" w:type="dxa"/>
            <w:gridSpan w:val="2"/>
            <w:vAlign w:val="center"/>
          </w:tcPr>
          <w:p w14:paraId="5D55BAFA">
            <w:pPr>
              <w:pStyle w:val="58"/>
              <w:jc w:val="center"/>
              <w:rPr>
                <w:rFonts w:hAnsi="宋体"/>
                <w:b/>
                <w:color w:val="auto"/>
                <w:szCs w:val="24"/>
                <w:highlight w:val="none"/>
              </w:rPr>
            </w:pPr>
            <w:r>
              <w:rPr>
                <w:rFonts w:hint="eastAsia" w:hAnsi="宋体"/>
                <w:b/>
                <w:color w:val="auto"/>
                <w:szCs w:val="24"/>
                <w:highlight w:val="none"/>
              </w:rPr>
              <w:t>评标因素</w:t>
            </w:r>
          </w:p>
        </w:tc>
        <w:tc>
          <w:tcPr>
            <w:tcW w:w="5736" w:type="dxa"/>
            <w:vAlign w:val="center"/>
          </w:tcPr>
          <w:p w14:paraId="1384B67B">
            <w:pPr>
              <w:pStyle w:val="58"/>
              <w:jc w:val="center"/>
              <w:rPr>
                <w:rFonts w:hAnsi="宋体"/>
                <w:b/>
                <w:color w:val="auto"/>
                <w:szCs w:val="24"/>
                <w:highlight w:val="none"/>
              </w:rPr>
            </w:pPr>
            <w:r>
              <w:rPr>
                <w:rFonts w:hint="eastAsia" w:hAnsi="宋体"/>
                <w:b/>
                <w:color w:val="auto"/>
                <w:szCs w:val="24"/>
                <w:highlight w:val="none"/>
              </w:rPr>
              <w:t>评标标准</w:t>
            </w:r>
          </w:p>
        </w:tc>
      </w:tr>
      <w:tr w14:paraId="08F03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564" w:type="dxa"/>
            <w:vMerge w:val="restart"/>
            <w:vAlign w:val="center"/>
          </w:tcPr>
          <w:p w14:paraId="198A140B">
            <w:pPr>
              <w:pStyle w:val="58"/>
              <w:spacing w:line="360" w:lineRule="auto"/>
              <w:ind w:right="-160" w:rightChars="-76"/>
              <w:jc w:val="center"/>
              <w:rPr>
                <w:rFonts w:hAnsi="宋体"/>
                <w:color w:val="auto"/>
                <w:szCs w:val="24"/>
                <w:highlight w:val="none"/>
              </w:rPr>
            </w:pPr>
            <w:r>
              <w:rPr>
                <w:rFonts w:hAnsi="宋体"/>
                <w:color w:val="auto"/>
                <w:szCs w:val="24"/>
                <w:highlight w:val="none"/>
              </w:rPr>
              <w:t>2.1</w:t>
            </w:r>
          </w:p>
        </w:tc>
        <w:tc>
          <w:tcPr>
            <w:tcW w:w="560" w:type="dxa"/>
            <w:vMerge w:val="restart"/>
            <w:vAlign w:val="center"/>
          </w:tcPr>
          <w:p w14:paraId="26E8B100">
            <w:pPr>
              <w:pStyle w:val="58"/>
              <w:spacing w:line="360" w:lineRule="auto"/>
              <w:jc w:val="center"/>
              <w:rPr>
                <w:rFonts w:hAnsi="宋体"/>
                <w:color w:val="auto"/>
                <w:szCs w:val="24"/>
                <w:highlight w:val="none"/>
              </w:rPr>
            </w:pPr>
            <w:r>
              <w:rPr>
                <w:rFonts w:hint="eastAsia" w:hAnsi="宋体"/>
                <w:color w:val="auto"/>
                <w:szCs w:val="24"/>
                <w:highlight w:val="none"/>
              </w:rPr>
              <w:t>符</w:t>
            </w:r>
          </w:p>
          <w:p w14:paraId="4730230F">
            <w:pPr>
              <w:pStyle w:val="58"/>
              <w:spacing w:line="360" w:lineRule="auto"/>
              <w:jc w:val="center"/>
              <w:rPr>
                <w:rFonts w:hAnsi="宋体"/>
                <w:color w:val="auto"/>
                <w:szCs w:val="24"/>
                <w:highlight w:val="none"/>
              </w:rPr>
            </w:pPr>
            <w:r>
              <w:rPr>
                <w:rFonts w:hint="eastAsia" w:hAnsi="宋体"/>
                <w:color w:val="auto"/>
                <w:szCs w:val="24"/>
                <w:highlight w:val="none"/>
              </w:rPr>
              <w:t>合</w:t>
            </w:r>
          </w:p>
          <w:p w14:paraId="52B84CE8">
            <w:pPr>
              <w:pStyle w:val="58"/>
              <w:spacing w:line="360" w:lineRule="auto"/>
              <w:jc w:val="center"/>
              <w:rPr>
                <w:rFonts w:hAnsi="宋体"/>
                <w:color w:val="auto"/>
                <w:szCs w:val="24"/>
                <w:highlight w:val="none"/>
              </w:rPr>
            </w:pPr>
            <w:r>
              <w:rPr>
                <w:rFonts w:hint="eastAsia" w:hAnsi="宋体"/>
                <w:color w:val="auto"/>
                <w:szCs w:val="24"/>
                <w:highlight w:val="none"/>
              </w:rPr>
              <w:t>性</w:t>
            </w:r>
          </w:p>
          <w:p w14:paraId="11E4D0A2">
            <w:pPr>
              <w:pStyle w:val="58"/>
              <w:spacing w:line="360" w:lineRule="auto"/>
              <w:jc w:val="center"/>
              <w:rPr>
                <w:rFonts w:hAnsi="宋体"/>
                <w:color w:val="auto"/>
                <w:szCs w:val="24"/>
                <w:highlight w:val="none"/>
              </w:rPr>
            </w:pPr>
            <w:r>
              <w:rPr>
                <w:rFonts w:hint="eastAsia" w:hAnsi="宋体"/>
                <w:color w:val="auto"/>
                <w:szCs w:val="24"/>
                <w:highlight w:val="none"/>
              </w:rPr>
              <w:t>审</w:t>
            </w:r>
          </w:p>
          <w:p w14:paraId="0AC15F28">
            <w:pPr>
              <w:pStyle w:val="58"/>
              <w:spacing w:line="360" w:lineRule="auto"/>
              <w:jc w:val="center"/>
              <w:rPr>
                <w:rFonts w:hAnsi="宋体"/>
                <w:color w:val="auto"/>
                <w:szCs w:val="24"/>
                <w:highlight w:val="none"/>
              </w:rPr>
            </w:pPr>
            <w:r>
              <w:rPr>
                <w:rFonts w:hint="eastAsia" w:hAnsi="宋体"/>
                <w:color w:val="auto"/>
                <w:szCs w:val="24"/>
                <w:highlight w:val="none"/>
              </w:rPr>
              <w:t>查</w:t>
            </w:r>
          </w:p>
        </w:tc>
        <w:tc>
          <w:tcPr>
            <w:tcW w:w="960" w:type="dxa"/>
            <w:vMerge w:val="restart"/>
            <w:vAlign w:val="center"/>
          </w:tcPr>
          <w:p w14:paraId="77759965">
            <w:pPr>
              <w:pStyle w:val="58"/>
              <w:adjustRightInd/>
              <w:snapToGrid w:val="0"/>
              <w:jc w:val="center"/>
              <w:rPr>
                <w:rFonts w:hAnsi="宋体"/>
                <w:color w:val="auto"/>
                <w:szCs w:val="24"/>
                <w:highlight w:val="none"/>
              </w:rPr>
            </w:pPr>
            <w:r>
              <w:rPr>
                <w:rFonts w:hint="eastAsia" w:hAnsi="宋体"/>
                <w:color w:val="auto"/>
                <w:szCs w:val="24"/>
                <w:highlight w:val="none"/>
              </w:rPr>
              <w:t>有效性</w:t>
            </w:r>
          </w:p>
        </w:tc>
        <w:tc>
          <w:tcPr>
            <w:tcW w:w="2217" w:type="dxa"/>
            <w:vAlign w:val="center"/>
          </w:tcPr>
          <w:p w14:paraId="739F9C40">
            <w:pPr>
              <w:pStyle w:val="58"/>
              <w:adjustRightInd/>
              <w:snapToGrid w:val="0"/>
              <w:jc w:val="center"/>
              <w:rPr>
                <w:rFonts w:hAnsi="宋体"/>
                <w:color w:val="auto"/>
                <w:szCs w:val="24"/>
                <w:highlight w:val="none"/>
              </w:rPr>
            </w:pPr>
            <w:r>
              <w:rPr>
                <w:rFonts w:hint="eastAsia" w:hAnsi="宋体"/>
                <w:color w:val="auto"/>
                <w:szCs w:val="24"/>
                <w:highlight w:val="none"/>
              </w:rPr>
              <w:t>投标人名称</w:t>
            </w:r>
          </w:p>
        </w:tc>
        <w:tc>
          <w:tcPr>
            <w:tcW w:w="5736" w:type="dxa"/>
            <w:vAlign w:val="center"/>
          </w:tcPr>
          <w:p w14:paraId="6AE1B956">
            <w:pPr>
              <w:pStyle w:val="58"/>
              <w:adjustRightInd/>
              <w:snapToGrid w:val="0"/>
              <w:rPr>
                <w:rFonts w:hAnsi="宋体"/>
                <w:color w:val="auto"/>
                <w:szCs w:val="24"/>
                <w:highlight w:val="none"/>
              </w:rPr>
            </w:pPr>
            <w:r>
              <w:rPr>
                <w:rFonts w:hint="eastAsia" w:hAnsi="宋体"/>
                <w:color w:val="auto"/>
                <w:szCs w:val="24"/>
                <w:highlight w:val="none"/>
              </w:rPr>
              <w:t>与营业执照证等证照及签章一致</w:t>
            </w:r>
          </w:p>
        </w:tc>
      </w:tr>
      <w:tr w14:paraId="1ED2E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564" w:type="dxa"/>
            <w:vMerge w:val="continue"/>
            <w:vAlign w:val="center"/>
          </w:tcPr>
          <w:p w14:paraId="70747CB1">
            <w:pPr>
              <w:pStyle w:val="58"/>
              <w:spacing w:line="360" w:lineRule="auto"/>
              <w:jc w:val="center"/>
              <w:rPr>
                <w:rFonts w:hAnsi="宋体"/>
                <w:color w:val="auto"/>
                <w:szCs w:val="24"/>
                <w:highlight w:val="none"/>
              </w:rPr>
            </w:pPr>
          </w:p>
        </w:tc>
        <w:tc>
          <w:tcPr>
            <w:tcW w:w="560" w:type="dxa"/>
            <w:vMerge w:val="continue"/>
            <w:vAlign w:val="center"/>
          </w:tcPr>
          <w:p w14:paraId="28367E4F">
            <w:pPr>
              <w:pStyle w:val="58"/>
              <w:spacing w:line="360" w:lineRule="auto"/>
              <w:jc w:val="center"/>
              <w:rPr>
                <w:rFonts w:hAnsi="宋体"/>
                <w:color w:val="auto"/>
                <w:szCs w:val="24"/>
                <w:highlight w:val="none"/>
              </w:rPr>
            </w:pPr>
          </w:p>
        </w:tc>
        <w:tc>
          <w:tcPr>
            <w:tcW w:w="960" w:type="dxa"/>
            <w:vMerge w:val="continue"/>
            <w:vAlign w:val="center"/>
          </w:tcPr>
          <w:p w14:paraId="27040CF9">
            <w:pPr>
              <w:pStyle w:val="58"/>
              <w:adjustRightInd/>
              <w:snapToGrid w:val="0"/>
              <w:jc w:val="center"/>
              <w:rPr>
                <w:rFonts w:hAnsi="宋体"/>
                <w:color w:val="auto"/>
                <w:szCs w:val="24"/>
                <w:highlight w:val="none"/>
              </w:rPr>
            </w:pPr>
          </w:p>
        </w:tc>
        <w:tc>
          <w:tcPr>
            <w:tcW w:w="2217" w:type="dxa"/>
            <w:vAlign w:val="center"/>
          </w:tcPr>
          <w:p w14:paraId="7EB91367">
            <w:pPr>
              <w:pStyle w:val="58"/>
              <w:adjustRightInd/>
              <w:snapToGrid w:val="0"/>
              <w:jc w:val="center"/>
              <w:rPr>
                <w:rFonts w:hAnsi="宋体"/>
                <w:color w:val="auto"/>
                <w:szCs w:val="24"/>
                <w:highlight w:val="none"/>
              </w:rPr>
            </w:pPr>
            <w:r>
              <w:rPr>
                <w:rFonts w:hint="eastAsia" w:hAnsi="宋体"/>
                <w:color w:val="auto"/>
                <w:szCs w:val="24"/>
                <w:highlight w:val="none"/>
              </w:rPr>
              <w:t>签字或盖章</w:t>
            </w:r>
          </w:p>
        </w:tc>
        <w:tc>
          <w:tcPr>
            <w:tcW w:w="5736" w:type="dxa"/>
            <w:vAlign w:val="center"/>
          </w:tcPr>
          <w:p w14:paraId="223B822A">
            <w:pPr>
              <w:pStyle w:val="58"/>
              <w:adjustRightInd/>
              <w:snapToGrid w:val="0"/>
              <w:rPr>
                <w:rFonts w:hAnsi="宋体"/>
                <w:color w:val="auto"/>
                <w:szCs w:val="24"/>
                <w:highlight w:val="none"/>
              </w:rPr>
            </w:pPr>
            <w:r>
              <w:rPr>
                <w:rFonts w:hint="eastAsia" w:hAnsi="宋体"/>
                <w:color w:val="auto"/>
                <w:szCs w:val="24"/>
                <w:highlight w:val="none"/>
              </w:rPr>
              <w:t>符合第三章“投标人须知”</w:t>
            </w:r>
            <w:r>
              <w:rPr>
                <w:rFonts w:hAnsi="宋体"/>
                <w:color w:val="auto"/>
                <w:szCs w:val="24"/>
                <w:highlight w:val="none"/>
              </w:rPr>
              <w:t>3.7.</w:t>
            </w:r>
            <w:r>
              <w:rPr>
                <w:rFonts w:hint="eastAsia" w:hAnsi="宋体"/>
                <w:color w:val="auto"/>
                <w:szCs w:val="24"/>
                <w:highlight w:val="none"/>
              </w:rPr>
              <w:t>4项规定</w:t>
            </w:r>
          </w:p>
        </w:tc>
      </w:tr>
      <w:tr w14:paraId="29F0D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564" w:type="dxa"/>
            <w:vMerge w:val="continue"/>
            <w:vAlign w:val="center"/>
          </w:tcPr>
          <w:p w14:paraId="6CAFE2C2">
            <w:pPr>
              <w:pStyle w:val="58"/>
              <w:spacing w:line="360" w:lineRule="auto"/>
              <w:jc w:val="center"/>
              <w:rPr>
                <w:rFonts w:hAnsi="宋体"/>
                <w:color w:val="auto"/>
                <w:szCs w:val="24"/>
                <w:highlight w:val="none"/>
              </w:rPr>
            </w:pPr>
          </w:p>
        </w:tc>
        <w:tc>
          <w:tcPr>
            <w:tcW w:w="560" w:type="dxa"/>
            <w:vMerge w:val="continue"/>
            <w:vAlign w:val="center"/>
          </w:tcPr>
          <w:p w14:paraId="0CBEF71F">
            <w:pPr>
              <w:pStyle w:val="58"/>
              <w:spacing w:line="360" w:lineRule="auto"/>
              <w:jc w:val="center"/>
              <w:rPr>
                <w:rFonts w:hAnsi="宋体"/>
                <w:color w:val="auto"/>
                <w:szCs w:val="24"/>
                <w:highlight w:val="none"/>
              </w:rPr>
            </w:pPr>
          </w:p>
        </w:tc>
        <w:tc>
          <w:tcPr>
            <w:tcW w:w="960" w:type="dxa"/>
            <w:vAlign w:val="center"/>
          </w:tcPr>
          <w:p w14:paraId="0FDF0FF7">
            <w:pPr>
              <w:pStyle w:val="58"/>
              <w:adjustRightInd/>
              <w:snapToGrid w:val="0"/>
              <w:jc w:val="center"/>
              <w:rPr>
                <w:rFonts w:hAnsi="宋体"/>
                <w:color w:val="auto"/>
                <w:szCs w:val="24"/>
                <w:highlight w:val="none"/>
              </w:rPr>
            </w:pPr>
            <w:r>
              <w:rPr>
                <w:rFonts w:hint="eastAsia" w:hAnsi="宋体"/>
                <w:color w:val="auto"/>
                <w:szCs w:val="24"/>
                <w:highlight w:val="none"/>
              </w:rPr>
              <w:t>完整性</w:t>
            </w:r>
          </w:p>
        </w:tc>
        <w:tc>
          <w:tcPr>
            <w:tcW w:w="2217" w:type="dxa"/>
            <w:vAlign w:val="center"/>
          </w:tcPr>
          <w:p w14:paraId="2C3529D4">
            <w:pPr>
              <w:pStyle w:val="58"/>
              <w:adjustRightInd/>
              <w:snapToGrid w:val="0"/>
              <w:jc w:val="center"/>
              <w:rPr>
                <w:rFonts w:hAnsi="宋体"/>
                <w:color w:val="auto"/>
                <w:szCs w:val="24"/>
                <w:highlight w:val="none"/>
              </w:rPr>
            </w:pPr>
            <w:r>
              <w:rPr>
                <w:rFonts w:hint="eastAsia" w:hAnsi="宋体"/>
                <w:color w:val="auto"/>
                <w:szCs w:val="24"/>
                <w:highlight w:val="none"/>
              </w:rPr>
              <w:t>投标文件组成</w:t>
            </w:r>
          </w:p>
        </w:tc>
        <w:tc>
          <w:tcPr>
            <w:tcW w:w="5736" w:type="dxa"/>
            <w:vAlign w:val="center"/>
          </w:tcPr>
          <w:p w14:paraId="21FC4C05">
            <w:pPr>
              <w:pStyle w:val="58"/>
              <w:adjustRightInd/>
              <w:snapToGrid w:val="0"/>
              <w:rPr>
                <w:rFonts w:hAnsi="宋体"/>
                <w:color w:val="auto"/>
                <w:szCs w:val="24"/>
                <w:highlight w:val="none"/>
              </w:rPr>
            </w:pPr>
            <w:r>
              <w:rPr>
                <w:rFonts w:hint="eastAsia" w:hAnsi="宋体"/>
                <w:color w:val="auto"/>
                <w:szCs w:val="24"/>
                <w:highlight w:val="none"/>
              </w:rPr>
              <w:t>符合第三章“投标人须知”</w:t>
            </w:r>
            <w:r>
              <w:rPr>
                <w:rFonts w:hAnsi="宋体"/>
                <w:color w:val="auto"/>
                <w:szCs w:val="24"/>
                <w:highlight w:val="none"/>
              </w:rPr>
              <w:t>3.2</w:t>
            </w:r>
            <w:r>
              <w:rPr>
                <w:rFonts w:hint="eastAsia" w:hAnsi="宋体"/>
                <w:color w:val="auto"/>
                <w:szCs w:val="24"/>
                <w:highlight w:val="none"/>
              </w:rPr>
              <w:t>款规定</w:t>
            </w:r>
          </w:p>
        </w:tc>
      </w:tr>
      <w:tr w14:paraId="0932E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564" w:type="dxa"/>
            <w:vMerge w:val="continue"/>
            <w:vAlign w:val="center"/>
          </w:tcPr>
          <w:p w14:paraId="6ADDEA4F">
            <w:pPr>
              <w:pStyle w:val="58"/>
              <w:spacing w:line="360" w:lineRule="auto"/>
              <w:jc w:val="center"/>
              <w:rPr>
                <w:rFonts w:hAnsi="宋体"/>
                <w:color w:val="auto"/>
                <w:szCs w:val="24"/>
                <w:highlight w:val="none"/>
              </w:rPr>
            </w:pPr>
          </w:p>
        </w:tc>
        <w:tc>
          <w:tcPr>
            <w:tcW w:w="560" w:type="dxa"/>
            <w:vMerge w:val="continue"/>
            <w:vAlign w:val="center"/>
          </w:tcPr>
          <w:p w14:paraId="16073B83">
            <w:pPr>
              <w:pStyle w:val="58"/>
              <w:spacing w:line="360" w:lineRule="auto"/>
              <w:jc w:val="center"/>
              <w:rPr>
                <w:rFonts w:hAnsi="宋体"/>
                <w:color w:val="auto"/>
                <w:szCs w:val="24"/>
                <w:highlight w:val="none"/>
              </w:rPr>
            </w:pPr>
          </w:p>
        </w:tc>
        <w:tc>
          <w:tcPr>
            <w:tcW w:w="960" w:type="dxa"/>
            <w:vMerge w:val="restart"/>
            <w:vAlign w:val="center"/>
          </w:tcPr>
          <w:p w14:paraId="2C15D92E">
            <w:pPr>
              <w:pStyle w:val="58"/>
              <w:snapToGrid w:val="0"/>
              <w:jc w:val="center"/>
              <w:rPr>
                <w:rFonts w:hAnsi="宋体"/>
                <w:color w:val="auto"/>
                <w:szCs w:val="24"/>
                <w:highlight w:val="none"/>
              </w:rPr>
            </w:pPr>
            <w:r>
              <w:rPr>
                <w:rFonts w:hint="eastAsia" w:hAnsi="宋体"/>
                <w:color w:val="auto"/>
                <w:szCs w:val="24"/>
                <w:highlight w:val="none"/>
              </w:rPr>
              <w:t>响应程度</w:t>
            </w:r>
          </w:p>
        </w:tc>
        <w:tc>
          <w:tcPr>
            <w:tcW w:w="2217" w:type="dxa"/>
            <w:vAlign w:val="center"/>
          </w:tcPr>
          <w:p w14:paraId="75C837D4">
            <w:pPr>
              <w:pStyle w:val="58"/>
              <w:adjustRightInd/>
              <w:snapToGrid w:val="0"/>
              <w:jc w:val="center"/>
              <w:rPr>
                <w:rFonts w:hAnsi="宋体"/>
                <w:color w:val="auto"/>
                <w:szCs w:val="24"/>
                <w:highlight w:val="none"/>
              </w:rPr>
            </w:pPr>
            <w:r>
              <w:rPr>
                <w:rFonts w:hint="eastAsia" w:hAnsi="宋体"/>
                <w:color w:val="auto"/>
                <w:szCs w:val="24"/>
                <w:highlight w:val="none"/>
              </w:rPr>
              <w:t>投标报价</w:t>
            </w:r>
          </w:p>
        </w:tc>
        <w:tc>
          <w:tcPr>
            <w:tcW w:w="5736" w:type="dxa"/>
            <w:vAlign w:val="center"/>
          </w:tcPr>
          <w:p w14:paraId="5844F508">
            <w:pPr>
              <w:pStyle w:val="58"/>
              <w:adjustRightInd/>
              <w:snapToGrid w:val="0"/>
              <w:rPr>
                <w:rFonts w:hAnsi="宋体"/>
                <w:color w:val="auto"/>
                <w:szCs w:val="24"/>
                <w:highlight w:val="none"/>
              </w:rPr>
            </w:pPr>
            <w:r>
              <w:rPr>
                <w:rFonts w:hint="eastAsia" w:hAnsi="宋体"/>
                <w:color w:val="auto"/>
                <w:szCs w:val="24"/>
                <w:highlight w:val="none"/>
              </w:rPr>
              <w:t>符合第二章“招标项目要求及采购需求”</w:t>
            </w:r>
            <w:r>
              <w:rPr>
                <w:rFonts w:hAnsi="宋体"/>
                <w:color w:val="auto"/>
                <w:szCs w:val="24"/>
                <w:highlight w:val="none"/>
              </w:rPr>
              <w:t>1.3</w:t>
            </w:r>
            <w:r>
              <w:rPr>
                <w:rFonts w:hint="eastAsia" w:hAnsi="宋体"/>
                <w:color w:val="auto"/>
                <w:szCs w:val="24"/>
                <w:highlight w:val="none"/>
              </w:rPr>
              <w:t>款规定</w:t>
            </w:r>
          </w:p>
        </w:tc>
      </w:tr>
      <w:tr w14:paraId="2A6C1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564" w:type="dxa"/>
            <w:vMerge w:val="continue"/>
            <w:vAlign w:val="center"/>
          </w:tcPr>
          <w:p w14:paraId="56EE3A89">
            <w:pPr>
              <w:pStyle w:val="58"/>
              <w:spacing w:line="360" w:lineRule="auto"/>
              <w:jc w:val="center"/>
              <w:rPr>
                <w:rFonts w:hAnsi="宋体"/>
                <w:color w:val="auto"/>
                <w:szCs w:val="24"/>
                <w:highlight w:val="none"/>
              </w:rPr>
            </w:pPr>
          </w:p>
        </w:tc>
        <w:tc>
          <w:tcPr>
            <w:tcW w:w="560" w:type="dxa"/>
            <w:vMerge w:val="continue"/>
            <w:vAlign w:val="center"/>
          </w:tcPr>
          <w:p w14:paraId="7CC40E50">
            <w:pPr>
              <w:pStyle w:val="58"/>
              <w:spacing w:line="360" w:lineRule="auto"/>
              <w:jc w:val="center"/>
              <w:rPr>
                <w:rFonts w:hAnsi="宋体"/>
                <w:color w:val="auto"/>
                <w:szCs w:val="24"/>
                <w:highlight w:val="none"/>
              </w:rPr>
            </w:pPr>
          </w:p>
        </w:tc>
        <w:tc>
          <w:tcPr>
            <w:tcW w:w="960" w:type="dxa"/>
            <w:vMerge w:val="continue"/>
            <w:vAlign w:val="center"/>
          </w:tcPr>
          <w:p w14:paraId="78A2EE3C">
            <w:pPr>
              <w:pStyle w:val="58"/>
              <w:snapToGrid w:val="0"/>
              <w:jc w:val="center"/>
              <w:rPr>
                <w:rFonts w:hAnsi="宋体"/>
                <w:color w:val="auto"/>
                <w:szCs w:val="24"/>
                <w:highlight w:val="none"/>
              </w:rPr>
            </w:pPr>
          </w:p>
        </w:tc>
        <w:tc>
          <w:tcPr>
            <w:tcW w:w="2217" w:type="dxa"/>
            <w:vAlign w:val="center"/>
          </w:tcPr>
          <w:p w14:paraId="26BCD7F1">
            <w:pPr>
              <w:pStyle w:val="58"/>
              <w:adjustRightInd/>
              <w:snapToGrid w:val="0"/>
              <w:jc w:val="center"/>
              <w:rPr>
                <w:rFonts w:hAnsi="宋体"/>
                <w:color w:val="auto"/>
                <w:szCs w:val="24"/>
                <w:highlight w:val="none"/>
              </w:rPr>
            </w:pPr>
            <w:r>
              <w:rPr>
                <w:rFonts w:hint="eastAsia" w:hAnsi="宋体"/>
                <w:color w:val="auto"/>
                <w:szCs w:val="24"/>
                <w:highlight w:val="none"/>
              </w:rPr>
              <w:t>投标内容</w:t>
            </w:r>
          </w:p>
        </w:tc>
        <w:tc>
          <w:tcPr>
            <w:tcW w:w="5736" w:type="dxa"/>
            <w:tcBorders>
              <w:bottom w:val="single" w:color="auto" w:sz="4" w:space="0"/>
            </w:tcBorders>
            <w:vAlign w:val="center"/>
          </w:tcPr>
          <w:p w14:paraId="6DCE56A4">
            <w:pPr>
              <w:pStyle w:val="58"/>
              <w:adjustRightInd/>
              <w:snapToGrid w:val="0"/>
              <w:rPr>
                <w:rFonts w:hAnsi="宋体"/>
                <w:color w:val="auto"/>
                <w:szCs w:val="24"/>
                <w:highlight w:val="none"/>
              </w:rPr>
            </w:pPr>
            <w:r>
              <w:rPr>
                <w:rFonts w:hint="eastAsia" w:hAnsi="宋体"/>
                <w:color w:val="auto"/>
                <w:szCs w:val="24"/>
                <w:highlight w:val="none"/>
              </w:rPr>
              <w:t>符合第二章“招标项目要求及采购需求”第</w:t>
            </w:r>
            <w:r>
              <w:rPr>
                <w:rFonts w:hAnsi="宋体"/>
                <w:color w:val="auto"/>
                <w:szCs w:val="24"/>
                <w:highlight w:val="none"/>
              </w:rPr>
              <w:t>2</w:t>
            </w:r>
            <w:r>
              <w:rPr>
                <w:rFonts w:hint="eastAsia" w:hAnsi="宋体"/>
                <w:color w:val="auto"/>
                <w:szCs w:val="24"/>
                <w:highlight w:val="none"/>
              </w:rPr>
              <w:t>条规定</w:t>
            </w:r>
          </w:p>
        </w:tc>
      </w:tr>
      <w:tr w14:paraId="19B18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564" w:type="dxa"/>
            <w:vMerge w:val="continue"/>
            <w:vAlign w:val="center"/>
          </w:tcPr>
          <w:p w14:paraId="6A8792AF">
            <w:pPr>
              <w:pStyle w:val="58"/>
              <w:spacing w:line="360" w:lineRule="auto"/>
              <w:jc w:val="center"/>
              <w:rPr>
                <w:rFonts w:hAnsi="宋体"/>
                <w:color w:val="auto"/>
                <w:szCs w:val="24"/>
                <w:highlight w:val="none"/>
              </w:rPr>
            </w:pPr>
          </w:p>
        </w:tc>
        <w:tc>
          <w:tcPr>
            <w:tcW w:w="560" w:type="dxa"/>
            <w:vMerge w:val="continue"/>
            <w:vAlign w:val="center"/>
          </w:tcPr>
          <w:p w14:paraId="50D6DC1E">
            <w:pPr>
              <w:pStyle w:val="58"/>
              <w:spacing w:line="360" w:lineRule="auto"/>
              <w:jc w:val="center"/>
              <w:rPr>
                <w:rFonts w:hAnsi="宋体"/>
                <w:color w:val="auto"/>
                <w:szCs w:val="24"/>
                <w:highlight w:val="none"/>
              </w:rPr>
            </w:pPr>
          </w:p>
        </w:tc>
        <w:tc>
          <w:tcPr>
            <w:tcW w:w="960" w:type="dxa"/>
            <w:vMerge w:val="continue"/>
            <w:vAlign w:val="center"/>
          </w:tcPr>
          <w:p w14:paraId="0816B442">
            <w:pPr>
              <w:pStyle w:val="58"/>
              <w:snapToGrid w:val="0"/>
              <w:jc w:val="center"/>
              <w:rPr>
                <w:rFonts w:hAnsi="宋体"/>
                <w:color w:val="auto"/>
                <w:szCs w:val="24"/>
                <w:highlight w:val="none"/>
              </w:rPr>
            </w:pPr>
          </w:p>
        </w:tc>
        <w:tc>
          <w:tcPr>
            <w:tcW w:w="2217" w:type="dxa"/>
            <w:vAlign w:val="center"/>
          </w:tcPr>
          <w:p w14:paraId="2374D81A">
            <w:pPr>
              <w:pStyle w:val="58"/>
              <w:adjustRightInd/>
              <w:snapToGrid w:val="0"/>
              <w:jc w:val="center"/>
              <w:rPr>
                <w:rFonts w:hAnsi="宋体"/>
                <w:color w:val="auto"/>
                <w:szCs w:val="24"/>
                <w:highlight w:val="none"/>
              </w:rPr>
            </w:pPr>
            <w:r>
              <w:rPr>
                <w:rFonts w:hint="eastAsia" w:hAnsi="宋体"/>
                <w:color w:val="auto"/>
                <w:szCs w:val="24"/>
                <w:highlight w:val="none"/>
              </w:rPr>
              <w:t>工期</w:t>
            </w:r>
          </w:p>
        </w:tc>
        <w:tc>
          <w:tcPr>
            <w:tcW w:w="5736" w:type="dxa"/>
            <w:tcBorders>
              <w:bottom w:val="single" w:color="auto" w:sz="4" w:space="0"/>
            </w:tcBorders>
            <w:vAlign w:val="center"/>
          </w:tcPr>
          <w:p w14:paraId="7B222D35">
            <w:pPr>
              <w:pStyle w:val="58"/>
              <w:adjustRightInd/>
              <w:snapToGrid w:val="0"/>
              <w:jc w:val="both"/>
              <w:rPr>
                <w:rFonts w:hAnsi="宋体"/>
                <w:color w:val="auto"/>
                <w:szCs w:val="24"/>
                <w:highlight w:val="none"/>
              </w:rPr>
            </w:pPr>
            <w:r>
              <w:rPr>
                <w:rFonts w:hint="eastAsia" w:hAnsi="宋体"/>
                <w:color w:val="auto"/>
                <w:szCs w:val="24"/>
                <w:highlight w:val="none"/>
              </w:rPr>
              <w:t>符合第二章“招标项目要求及采购需求”</w:t>
            </w:r>
            <w:r>
              <w:rPr>
                <w:rFonts w:hAnsi="宋体"/>
                <w:color w:val="auto"/>
                <w:szCs w:val="24"/>
                <w:highlight w:val="none"/>
              </w:rPr>
              <w:t>1.2</w:t>
            </w:r>
            <w:r>
              <w:rPr>
                <w:rFonts w:hint="eastAsia" w:hAnsi="宋体"/>
                <w:color w:val="auto"/>
                <w:szCs w:val="24"/>
                <w:highlight w:val="none"/>
              </w:rPr>
              <w:t>款规定</w:t>
            </w:r>
          </w:p>
        </w:tc>
      </w:tr>
      <w:tr w14:paraId="15698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564" w:type="dxa"/>
            <w:vMerge w:val="continue"/>
            <w:vAlign w:val="center"/>
          </w:tcPr>
          <w:p w14:paraId="4BCA0031">
            <w:pPr>
              <w:pStyle w:val="58"/>
              <w:spacing w:line="360" w:lineRule="auto"/>
              <w:jc w:val="center"/>
              <w:rPr>
                <w:rFonts w:hAnsi="宋体"/>
                <w:color w:val="auto"/>
                <w:szCs w:val="24"/>
                <w:highlight w:val="none"/>
              </w:rPr>
            </w:pPr>
          </w:p>
        </w:tc>
        <w:tc>
          <w:tcPr>
            <w:tcW w:w="560" w:type="dxa"/>
            <w:vMerge w:val="continue"/>
            <w:vAlign w:val="center"/>
          </w:tcPr>
          <w:p w14:paraId="4E967392">
            <w:pPr>
              <w:pStyle w:val="58"/>
              <w:spacing w:line="360" w:lineRule="auto"/>
              <w:jc w:val="center"/>
              <w:rPr>
                <w:rFonts w:hAnsi="宋体"/>
                <w:color w:val="auto"/>
                <w:szCs w:val="24"/>
                <w:highlight w:val="none"/>
              </w:rPr>
            </w:pPr>
          </w:p>
        </w:tc>
        <w:tc>
          <w:tcPr>
            <w:tcW w:w="960" w:type="dxa"/>
            <w:vMerge w:val="continue"/>
            <w:vAlign w:val="center"/>
          </w:tcPr>
          <w:p w14:paraId="5151050A">
            <w:pPr>
              <w:pStyle w:val="58"/>
              <w:snapToGrid w:val="0"/>
              <w:jc w:val="center"/>
              <w:rPr>
                <w:rFonts w:hAnsi="宋体"/>
                <w:color w:val="auto"/>
                <w:szCs w:val="24"/>
                <w:highlight w:val="none"/>
              </w:rPr>
            </w:pPr>
          </w:p>
        </w:tc>
        <w:tc>
          <w:tcPr>
            <w:tcW w:w="2217" w:type="dxa"/>
            <w:vAlign w:val="center"/>
          </w:tcPr>
          <w:p w14:paraId="6ADC65E2">
            <w:pPr>
              <w:pStyle w:val="58"/>
              <w:adjustRightInd/>
              <w:snapToGrid w:val="0"/>
              <w:jc w:val="center"/>
              <w:rPr>
                <w:rFonts w:hAnsi="宋体"/>
                <w:color w:val="auto"/>
                <w:szCs w:val="24"/>
                <w:highlight w:val="none"/>
              </w:rPr>
            </w:pPr>
            <w:r>
              <w:rPr>
                <w:rFonts w:hint="eastAsia" w:hAnsi="宋体"/>
                <w:color w:val="auto"/>
                <w:szCs w:val="24"/>
                <w:highlight w:val="none"/>
              </w:rPr>
              <w:t>技术要求</w:t>
            </w:r>
          </w:p>
        </w:tc>
        <w:tc>
          <w:tcPr>
            <w:tcW w:w="5736" w:type="dxa"/>
            <w:tcBorders>
              <w:top w:val="single" w:color="auto" w:sz="4" w:space="0"/>
            </w:tcBorders>
            <w:vAlign w:val="center"/>
          </w:tcPr>
          <w:p w14:paraId="7ED5A553">
            <w:pPr>
              <w:pStyle w:val="58"/>
              <w:adjustRightInd/>
              <w:snapToGrid w:val="0"/>
              <w:jc w:val="both"/>
              <w:rPr>
                <w:rFonts w:hAnsi="宋体"/>
                <w:color w:val="auto"/>
                <w:szCs w:val="24"/>
                <w:highlight w:val="none"/>
              </w:rPr>
            </w:pPr>
            <w:r>
              <w:rPr>
                <w:rFonts w:hint="eastAsia" w:hAnsi="宋体"/>
                <w:color w:val="auto"/>
                <w:szCs w:val="24"/>
                <w:highlight w:val="none"/>
              </w:rPr>
              <w:t>符合第二章“招标项目要求及采购需求”第</w:t>
            </w:r>
            <w:r>
              <w:rPr>
                <w:rFonts w:hAnsi="宋体"/>
                <w:color w:val="auto"/>
                <w:szCs w:val="24"/>
                <w:highlight w:val="none"/>
              </w:rPr>
              <w:t>2</w:t>
            </w:r>
            <w:r>
              <w:rPr>
                <w:rFonts w:hint="eastAsia" w:hAnsi="宋体"/>
                <w:color w:val="auto"/>
                <w:szCs w:val="24"/>
                <w:highlight w:val="none"/>
              </w:rPr>
              <w:t>条规定。</w:t>
            </w:r>
          </w:p>
        </w:tc>
      </w:tr>
      <w:tr w14:paraId="3AD15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564" w:type="dxa"/>
            <w:vMerge w:val="continue"/>
            <w:vAlign w:val="center"/>
          </w:tcPr>
          <w:p w14:paraId="443B7086">
            <w:pPr>
              <w:pStyle w:val="58"/>
              <w:spacing w:line="360" w:lineRule="auto"/>
              <w:jc w:val="center"/>
              <w:rPr>
                <w:rFonts w:hAnsi="宋体"/>
                <w:color w:val="auto"/>
                <w:szCs w:val="24"/>
                <w:highlight w:val="none"/>
              </w:rPr>
            </w:pPr>
          </w:p>
        </w:tc>
        <w:tc>
          <w:tcPr>
            <w:tcW w:w="560" w:type="dxa"/>
            <w:vMerge w:val="continue"/>
            <w:vAlign w:val="center"/>
          </w:tcPr>
          <w:p w14:paraId="20265933">
            <w:pPr>
              <w:pStyle w:val="58"/>
              <w:spacing w:line="360" w:lineRule="auto"/>
              <w:jc w:val="center"/>
              <w:rPr>
                <w:rFonts w:hAnsi="宋体"/>
                <w:color w:val="auto"/>
                <w:szCs w:val="24"/>
                <w:highlight w:val="none"/>
              </w:rPr>
            </w:pPr>
          </w:p>
        </w:tc>
        <w:tc>
          <w:tcPr>
            <w:tcW w:w="960" w:type="dxa"/>
            <w:vMerge w:val="continue"/>
            <w:vAlign w:val="center"/>
          </w:tcPr>
          <w:p w14:paraId="5CC39225">
            <w:pPr>
              <w:pStyle w:val="58"/>
              <w:adjustRightInd/>
              <w:snapToGrid w:val="0"/>
              <w:jc w:val="center"/>
              <w:rPr>
                <w:rFonts w:hAnsi="宋体"/>
                <w:color w:val="auto"/>
                <w:szCs w:val="24"/>
                <w:highlight w:val="none"/>
              </w:rPr>
            </w:pPr>
          </w:p>
        </w:tc>
        <w:tc>
          <w:tcPr>
            <w:tcW w:w="2217" w:type="dxa"/>
            <w:vAlign w:val="center"/>
          </w:tcPr>
          <w:p w14:paraId="3BB22F51">
            <w:pPr>
              <w:pStyle w:val="58"/>
              <w:adjustRightInd/>
              <w:snapToGrid w:val="0"/>
              <w:jc w:val="center"/>
              <w:rPr>
                <w:rFonts w:hAnsi="宋体"/>
                <w:color w:val="auto"/>
                <w:szCs w:val="24"/>
                <w:highlight w:val="none"/>
              </w:rPr>
            </w:pPr>
            <w:r>
              <w:rPr>
                <w:rFonts w:hint="eastAsia" w:hAnsi="宋体"/>
                <w:color w:val="auto"/>
                <w:szCs w:val="24"/>
                <w:highlight w:val="none"/>
              </w:rPr>
              <w:t>投标有效期</w:t>
            </w:r>
          </w:p>
        </w:tc>
        <w:tc>
          <w:tcPr>
            <w:tcW w:w="5736" w:type="dxa"/>
            <w:vAlign w:val="center"/>
          </w:tcPr>
          <w:p w14:paraId="7853803F">
            <w:pPr>
              <w:snapToGrid w:val="0"/>
              <w:spacing w:line="240" w:lineRule="auto"/>
              <w:rPr>
                <w:rFonts w:ascii="宋体"/>
                <w:color w:val="auto"/>
                <w:sz w:val="24"/>
                <w:highlight w:val="none"/>
              </w:rPr>
            </w:pPr>
            <w:r>
              <w:rPr>
                <w:rFonts w:hint="eastAsia" w:ascii="宋体" w:hAnsi="宋体"/>
                <w:color w:val="auto"/>
                <w:sz w:val="24"/>
                <w:highlight w:val="none"/>
              </w:rPr>
              <w:t>符合第三章“投标人须知”</w:t>
            </w:r>
            <w:r>
              <w:rPr>
                <w:rFonts w:ascii="宋体" w:hAnsi="宋体"/>
                <w:color w:val="auto"/>
                <w:sz w:val="24"/>
                <w:highlight w:val="none"/>
              </w:rPr>
              <w:t>3.4</w:t>
            </w:r>
            <w:r>
              <w:rPr>
                <w:rFonts w:hint="eastAsia" w:ascii="宋体" w:hAnsi="宋体"/>
                <w:color w:val="auto"/>
                <w:sz w:val="24"/>
                <w:highlight w:val="none"/>
              </w:rPr>
              <w:t>款规定</w:t>
            </w:r>
          </w:p>
        </w:tc>
      </w:tr>
      <w:tr w14:paraId="2D316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564" w:type="dxa"/>
            <w:vMerge w:val="continue"/>
            <w:vAlign w:val="center"/>
          </w:tcPr>
          <w:p w14:paraId="42EE5958">
            <w:pPr>
              <w:pStyle w:val="58"/>
              <w:spacing w:line="360" w:lineRule="auto"/>
              <w:jc w:val="center"/>
              <w:rPr>
                <w:rFonts w:hAnsi="宋体"/>
                <w:color w:val="auto"/>
                <w:szCs w:val="24"/>
                <w:highlight w:val="none"/>
              </w:rPr>
            </w:pPr>
          </w:p>
        </w:tc>
        <w:tc>
          <w:tcPr>
            <w:tcW w:w="560" w:type="dxa"/>
            <w:vMerge w:val="continue"/>
            <w:vAlign w:val="center"/>
          </w:tcPr>
          <w:p w14:paraId="5FE7E46A">
            <w:pPr>
              <w:pStyle w:val="58"/>
              <w:spacing w:line="360" w:lineRule="auto"/>
              <w:jc w:val="center"/>
              <w:rPr>
                <w:rFonts w:hAnsi="宋体"/>
                <w:color w:val="auto"/>
                <w:szCs w:val="24"/>
                <w:highlight w:val="none"/>
              </w:rPr>
            </w:pPr>
          </w:p>
        </w:tc>
        <w:tc>
          <w:tcPr>
            <w:tcW w:w="960" w:type="dxa"/>
            <w:vMerge w:val="continue"/>
            <w:vAlign w:val="center"/>
          </w:tcPr>
          <w:p w14:paraId="64252290">
            <w:pPr>
              <w:pStyle w:val="58"/>
              <w:adjustRightInd/>
              <w:snapToGrid w:val="0"/>
              <w:jc w:val="center"/>
              <w:rPr>
                <w:rFonts w:hAnsi="宋体"/>
                <w:color w:val="auto"/>
                <w:szCs w:val="24"/>
                <w:highlight w:val="none"/>
              </w:rPr>
            </w:pPr>
          </w:p>
        </w:tc>
        <w:tc>
          <w:tcPr>
            <w:tcW w:w="2217" w:type="dxa"/>
            <w:vAlign w:val="center"/>
          </w:tcPr>
          <w:p w14:paraId="50D59FB9">
            <w:pPr>
              <w:pStyle w:val="58"/>
              <w:adjustRightInd/>
              <w:snapToGrid w:val="0"/>
              <w:jc w:val="center"/>
              <w:rPr>
                <w:rFonts w:hAnsi="宋体"/>
                <w:color w:val="auto"/>
                <w:szCs w:val="24"/>
                <w:highlight w:val="none"/>
              </w:rPr>
            </w:pPr>
            <w:r>
              <w:rPr>
                <w:rFonts w:hint="eastAsia" w:hAnsi="宋体"/>
                <w:color w:val="auto"/>
                <w:szCs w:val="24"/>
                <w:highlight w:val="none"/>
              </w:rPr>
              <w:t>投标文件格式</w:t>
            </w:r>
          </w:p>
        </w:tc>
        <w:tc>
          <w:tcPr>
            <w:tcW w:w="5736" w:type="dxa"/>
            <w:vAlign w:val="center"/>
          </w:tcPr>
          <w:p w14:paraId="421FCD23">
            <w:pPr>
              <w:pStyle w:val="58"/>
              <w:adjustRightInd/>
              <w:snapToGrid w:val="0"/>
              <w:rPr>
                <w:rFonts w:hAnsi="宋体"/>
                <w:color w:val="auto"/>
                <w:szCs w:val="24"/>
                <w:highlight w:val="none"/>
              </w:rPr>
            </w:pPr>
            <w:r>
              <w:rPr>
                <w:rFonts w:hint="eastAsia" w:hAnsi="宋体"/>
                <w:color w:val="auto"/>
                <w:szCs w:val="24"/>
                <w:highlight w:val="none"/>
              </w:rPr>
              <w:t>符合第六章“投标文件格式”规定</w:t>
            </w:r>
          </w:p>
        </w:tc>
      </w:tr>
      <w:tr w14:paraId="7161A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64" w:type="dxa"/>
            <w:vMerge w:val="continue"/>
            <w:vAlign w:val="center"/>
          </w:tcPr>
          <w:p w14:paraId="064A9086">
            <w:pPr>
              <w:pStyle w:val="58"/>
              <w:spacing w:line="360" w:lineRule="auto"/>
              <w:jc w:val="center"/>
              <w:rPr>
                <w:rFonts w:hAnsi="宋体"/>
                <w:color w:val="auto"/>
                <w:szCs w:val="24"/>
                <w:highlight w:val="none"/>
              </w:rPr>
            </w:pPr>
          </w:p>
        </w:tc>
        <w:tc>
          <w:tcPr>
            <w:tcW w:w="560" w:type="dxa"/>
            <w:vMerge w:val="continue"/>
            <w:vAlign w:val="center"/>
          </w:tcPr>
          <w:p w14:paraId="211EF2E5">
            <w:pPr>
              <w:pStyle w:val="58"/>
              <w:spacing w:line="360" w:lineRule="auto"/>
              <w:jc w:val="center"/>
              <w:rPr>
                <w:rFonts w:hAnsi="宋体"/>
                <w:color w:val="auto"/>
                <w:szCs w:val="24"/>
                <w:highlight w:val="none"/>
              </w:rPr>
            </w:pPr>
          </w:p>
        </w:tc>
        <w:tc>
          <w:tcPr>
            <w:tcW w:w="960" w:type="dxa"/>
            <w:vMerge w:val="continue"/>
            <w:vAlign w:val="center"/>
          </w:tcPr>
          <w:p w14:paraId="5758C0C6">
            <w:pPr>
              <w:pStyle w:val="58"/>
              <w:adjustRightInd/>
              <w:snapToGrid w:val="0"/>
              <w:jc w:val="center"/>
              <w:rPr>
                <w:rFonts w:hAnsi="宋体"/>
                <w:color w:val="auto"/>
                <w:szCs w:val="24"/>
                <w:highlight w:val="none"/>
              </w:rPr>
            </w:pPr>
          </w:p>
        </w:tc>
        <w:tc>
          <w:tcPr>
            <w:tcW w:w="2217" w:type="dxa"/>
            <w:vAlign w:val="center"/>
          </w:tcPr>
          <w:p w14:paraId="25CF5BAC">
            <w:pPr>
              <w:pStyle w:val="58"/>
              <w:adjustRightInd/>
              <w:snapToGrid w:val="0"/>
              <w:jc w:val="center"/>
              <w:rPr>
                <w:rFonts w:hAnsi="宋体"/>
                <w:color w:val="auto"/>
                <w:szCs w:val="24"/>
                <w:highlight w:val="none"/>
              </w:rPr>
            </w:pPr>
            <w:r>
              <w:rPr>
                <w:rFonts w:hint="eastAsia" w:hAnsi="宋体"/>
                <w:color w:val="auto"/>
                <w:highlight w:val="none"/>
              </w:rPr>
              <w:t>付款</w:t>
            </w:r>
          </w:p>
        </w:tc>
        <w:tc>
          <w:tcPr>
            <w:tcW w:w="5736" w:type="dxa"/>
            <w:vAlign w:val="center"/>
          </w:tcPr>
          <w:p w14:paraId="72970856">
            <w:pPr>
              <w:snapToGrid w:val="0"/>
              <w:spacing w:line="240" w:lineRule="auto"/>
              <w:rPr>
                <w:rFonts w:ascii="宋体"/>
                <w:color w:val="auto"/>
                <w:sz w:val="24"/>
                <w:highlight w:val="none"/>
              </w:rPr>
            </w:pPr>
            <w:r>
              <w:rPr>
                <w:rFonts w:hint="eastAsia" w:ascii="宋体" w:hAnsi="宋体"/>
                <w:color w:val="auto"/>
                <w:sz w:val="24"/>
                <w:highlight w:val="none"/>
              </w:rPr>
              <w:t>符合第三章“投标人须知”第</w:t>
            </w:r>
            <w:r>
              <w:rPr>
                <w:rFonts w:ascii="宋体" w:hAnsi="宋体"/>
                <w:color w:val="auto"/>
                <w:sz w:val="24"/>
                <w:highlight w:val="none"/>
              </w:rPr>
              <w:t>10</w:t>
            </w:r>
            <w:r>
              <w:rPr>
                <w:rFonts w:hint="eastAsia" w:ascii="宋体" w:hAnsi="宋体"/>
                <w:color w:val="auto"/>
                <w:sz w:val="24"/>
                <w:highlight w:val="none"/>
              </w:rPr>
              <w:t>条规定</w:t>
            </w:r>
          </w:p>
        </w:tc>
      </w:tr>
      <w:tr w14:paraId="215CE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64" w:type="dxa"/>
            <w:vMerge w:val="continue"/>
            <w:vAlign w:val="center"/>
          </w:tcPr>
          <w:p w14:paraId="04F6D5BB">
            <w:pPr>
              <w:pStyle w:val="58"/>
              <w:spacing w:line="360" w:lineRule="auto"/>
              <w:jc w:val="center"/>
              <w:rPr>
                <w:rFonts w:hAnsi="宋体"/>
                <w:color w:val="auto"/>
                <w:szCs w:val="24"/>
                <w:highlight w:val="none"/>
              </w:rPr>
            </w:pPr>
          </w:p>
        </w:tc>
        <w:tc>
          <w:tcPr>
            <w:tcW w:w="560" w:type="dxa"/>
            <w:vMerge w:val="continue"/>
            <w:vAlign w:val="center"/>
          </w:tcPr>
          <w:p w14:paraId="41F536DB">
            <w:pPr>
              <w:pStyle w:val="58"/>
              <w:spacing w:line="360" w:lineRule="auto"/>
              <w:jc w:val="center"/>
              <w:rPr>
                <w:rFonts w:hAnsi="宋体"/>
                <w:color w:val="auto"/>
                <w:szCs w:val="24"/>
                <w:highlight w:val="none"/>
              </w:rPr>
            </w:pPr>
          </w:p>
        </w:tc>
        <w:tc>
          <w:tcPr>
            <w:tcW w:w="960" w:type="dxa"/>
            <w:vMerge w:val="continue"/>
            <w:vAlign w:val="center"/>
          </w:tcPr>
          <w:p w14:paraId="31C8F365">
            <w:pPr>
              <w:pStyle w:val="58"/>
              <w:adjustRightInd/>
              <w:snapToGrid w:val="0"/>
              <w:jc w:val="center"/>
              <w:rPr>
                <w:rFonts w:hAnsi="宋体"/>
                <w:color w:val="auto"/>
                <w:szCs w:val="24"/>
                <w:highlight w:val="none"/>
              </w:rPr>
            </w:pPr>
          </w:p>
        </w:tc>
        <w:tc>
          <w:tcPr>
            <w:tcW w:w="2217" w:type="dxa"/>
            <w:vAlign w:val="center"/>
          </w:tcPr>
          <w:p w14:paraId="78770212">
            <w:pPr>
              <w:pStyle w:val="58"/>
              <w:adjustRightInd/>
              <w:snapToGrid w:val="0"/>
              <w:jc w:val="center"/>
              <w:rPr>
                <w:rFonts w:hAnsi="宋体"/>
                <w:color w:val="auto"/>
                <w:highlight w:val="none"/>
              </w:rPr>
            </w:pPr>
            <w:r>
              <w:rPr>
                <w:rFonts w:hint="eastAsia" w:hAnsi="宋体"/>
                <w:color w:val="auto"/>
                <w:highlight w:val="none"/>
              </w:rPr>
              <w:t>偏差描述</w:t>
            </w:r>
          </w:p>
        </w:tc>
        <w:tc>
          <w:tcPr>
            <w:tcW w:w="5736" w:type="dxa"/>
            <w:vAlign w:val="center"/>
          </w:tcPr>
          <w:p w14:paraId="66C5FC2F">
            <w:pPr>
              <w:snapToGrid w:val="0"/>
              <w:spacing w:line="240" w:lineRule="auto"/>
              <w:rPr>
                <w:rFonts w:ascii="宋体"/>
                <w:color w:val="auto"/>
                <w:sz w:val="24"/>
                <w:highlight w:val="none"/>
              </w:rPr>
            </w:pPr>
            <w:r>
              <w:rPr>
                <w:rFonts w:hint="eastAsia" w:ascii="宋体" w:hAnsi="宋体"/>
                <w:color w:val="auto"/>
                <w:sz w:val="24"/>
                <w:highlight w:val="none"/>
              </w:rPr>
              <w:t>符合第三章“投标人须知”</w:t>
            </w:r>
            <w:r>
              <w:rPr>
                <w:rFonts w:ascii="宋体" w:hAnsi="宋体"/>
                <w:color w:val="auto"/>
                <w:sz w:val="24"/>
                <w:highlight w:val="none"/>
              </w:rPr>
              <w:t>3.7.3</w:t>
            </w:r>
            <w:r>
              <w:rPr>
                <w:rFonts w:hint="eastAsia" w:ascii="宋体" w:hAnsi="宋体"/>
                <w:color w:val="auto"/>
                <w:sz w:val="24"/>
                <w:highlight w:val="none"/>
              </w:rPr>
              <w:t>项规定</w:t>
            </w:r>
          </w:p>
        </w:tc>
      </w:tr>
      <w:tr w14:paraId="2BEC3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564" w:type="dxa"/>
            <w:vMerge w:val="continue"/>
            <w:vAlign w:val="center"/>
          </w:tcPr>
          <w:p w14:paraId="70E67EE3">
            <w:pPr>
              <w:pStyle w:val="58"/>
              <w:spacing w:line="360" w:lineRule="auto"/>
              <w:jc w:val="center"/>
              <w:rPr>
                <w:rFonts w:hAnsi="宋体"/>
                <w:color w:val="auto"/>
                <w:szCs w:val="24"/>
                <w:highlight w:val="none"/>
              </w:rPr>
            </w:pPr>
          </w:p>
        </w:tc>
        <w:tc>
          <w:tcPr>
            <w:tcW w:w="560" w:type="dxa"/>
            <w:vMerge w:val="continue"/>
            <w:vAlign w:val="center"/>
          </w:tcPr>
          <w:p w14:paraId="28CBCCD1">
            <w:pPr>
              <w:pStyle w:val="58"/>
              <w:spacing w:line="360" w:lineRule="auto"/>
              <w:jc w:val="center"/>
              <w:rPr>
                <w:rFonts w:hAnsi="宋体"/>
                <w:color w:val="auto"/>
                <w:szCs w:val="24"/>
                <w:highlight w:val="none"/>
              </w:rPr>
            </w:pPr>
          </w:p>
        </w:tc>
        <w:tc>
          <w:tcPr>
            <w:tcW w:w="960" w:type="dxa"/>
            <w:vMerge w:val="continue"/>
            <w:vAlign w:val="center"/>
          </w:tcPr>
          <w:p w14:paraId="166D3BC6">
            <w:pPr>
              <w:pStyle w:val="58"/>
              <w:adjustRightInd/>
              <w:snapToGrid w:val="0"/>
              <w:jc w:val="center"/>
              <w:rPr>
                <w:rFonts w:hAnsi="宋体"/>
                <w:color w:val="auto"/>
                <w:szCs w:val="24"/>
                <w:highlight w:val="none"/>
              </w:rPr>
            </w:pPr>
          </w:p>
        </w:tc>
        <w:tc>
          <w:tcPr>
            <w:tcW w:w="2217" w:type="dxa"/>
            <w:vAlign w:val="center"/>
          </w:tcPr>
          <w:p w14:paraId="132A7FB5">
            <w:pPr>
              <w:snapToGrid w:val="0"/>
              <w:spacing w:line="240" w:lineRule="auto"/>
              <w:jc w:val="center"/>
              <w:rPr>
                <w:rFonts w:ascii="宋体"/>
                <w:color w:val="auto"/>
                <w:sz w:val="24"/>
                <w:highlight w:val="none"/>
              </w:rPr>
            </w:pPr>
            <w:r>
              <w:rPr>
                <w:rFonts w:hint="eastAsia" w:ascii="宋体" w:hAnsi="宋体"/>
                <w:color w:val="auto"/>
                <w:sz w:val="24"/>
                <w:highlight w:val="none"/>
              </w:rPr>
              <w:t>招标文件总体响应</w:t>
            </w:r>
          </w:p>
        </w:tc>
        <w:tc>
          <w:tcPr>
            <w:tcW w:w="5736" w:type="dxa"/>
            <w:vAlign w:val="center"/>
          </w:tcPr>
          <w:p w14:paraId="5C85E9D1">
            <w:pPr>
              <w:autoSpaceDE w:val="0"/>
              <w:autoSpaceDN w:val="0"/>
              <w:snapToGrid w:val="0"/>
              <w:spacing w:line="240" w:lineRule="auto"/>
              <w:rPr>
                <w:rFonts w:ascii="宋体"/>
                <w:color w:val="auto"/>
                <w:sz w:val="24"/>
                <w:highlight w:val="none"/>
              </w:rPr>
            </w:pPr>
            <w:r>
              <w:rPr>
                <w:rFonts w:hint="eastAsia" w:ascii="宋体" w:hAnsi="宋体"/>
                <w:color w:val="auto"/>
                <w:sz w:val="24"/>
                <w:highlight w:val="none"/>
              </w:rPr>
              <w:t>符合第三章“投标人须知”</w:t>
            </w:r>
            <w:r>
              <w:rPr>
                <w:rFonts w:ascii="宋体" w:hAnsi="宋体"/>
                <w:color w:val="auto"/>
                <w:sz w:val="24"/>
                <w:highlight w:val="none"/>
              </w:rPr>
              <w:t>1.3</w:t>
            </w:r>
            <w:r>
              <w:rPr>
                <w:rFonts w:hint="eastAsia" w:ascii="宋体" w:hAnsi="宋体"/>
                <w:color w:val="auto"/>
                <w:sz w:val="24"/>
                <w:highlight w:val="none"/>
              </w:rPr>
              <w:t>项规定</w:t>
            </w:r>
          </w:p>
        </w:tc>
      </w:tr>
      <w:tr w14:paraId="2F3D8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564" w:type="dxa"/>
            <w:vMerge w:val="restart"/>
            <w:vAlign w:val="center"/>
          </w:tcPr>
          <w:p w14:paraId="2A2BC484">
            <w:pPr>
              <w:pStyle w:val="58"/>
              <w:spacing w:line="360" w:lineRule="auto"/>
              <w:ind w:right="-155" w:rightChars="-74"/>
              <w:jc w:val="center"/>
              <w:rPr>
                <w:rFonts w:hAnsi="宋体"/>
                <w:color w:val="auto"/>
                <w:szCs w:val="24"/>
                <w:highlight w:val="none"/>
              </w:rPr>
            </w:pPr>
            <w:r>
              <w:rPr>
                <w:rFonts w:hAnsi="宋体"/>
                <w:color w:val="auto"/>
                <w:szCs w:val="24"/>
                <w:highlight w:val="none"/>
              </w:rPr>
              <w:t>2.2</w:t>
            </w:r>
          </w:p>
        </w:tc>
        <w:tc>
          <w:tcPr>
            <w:tcW w:w="560" w:type="dxa"/>
            <w:vMerge w:val="restart"/>
            <w:vAlign w:val="center"/>
          </w:tcPr>
          <w:p w14:paraId="5D15EAA3">
            <w:pPr>
              <w:pStyle w:val="58"/>
              <w:jc w:val="center"/>
              <w:rPr>
                <w:rFonts w:hAnsi="宋体"/>
                <w:color w:val="auto"/>
                <w:szCs w:val="24"/>
                <w:highlight w:val="none"/>
              </w:rPr>
            </w:pPr>
            <w:r>
              <w:rPr>
                <w:rFonts w:hint="eastAsia" w:hAnsi="宋体"/>
                <w:color w:val="auto"/>
                <w:szCs w:val="24"/>
                <w:highlight w:val="none"/>
              </w:rPr>
              <w:t>详细评审</w:t>
            </w:r>
          </w:p>
        </w:tc>
        <w:tc>
          <w:tcPr>
            <w:tcW w:w="3177" w:type="dxa"/>
            <w:gridSpan w:val="2"/>
            <w:vAlign w:val="center"/>
          </w:tcPr>
          <w:p w14:paraId="34AD05F7">
            <w:pPr>
              <w:pStyle w:val="58"/>
              <w:adjustRightInd/>
              <w:snapToGrid w:val="0"/>
              <w:jc w:val="center"/>
              <w:rPr>
                <w:rFonts w:hAnsi="宋体"/>
                <w:color w:val="auto"/>
                <w:szCs w:val="24"/>
                <w:highlight w:val="none"/>
              </w:rPr>
            </w:pPr>
            <w:r>
              <w:rPr>
                <w:rFonts w:hint="eastAsia" w:hAnsi="宋体"/>
                <w:color w:val="auto"/>
                <w:szCs w:val="24"/>
                <w:highlight w:val="none"/>
              </w:rPr>
              <w:t>投标报价算术修正</w:t>
            </w:r>
          </w:p>
        </w:tc>
        <w:tc>
          <w:tcPr>
            <w:tcW w:w="5736" w:type="dxa"/>
            <w:vAlign w:val="center"/>
          </w:tcPr>
          <w:p w14:paraId="7036AEDC">
            <w:pPr>
              <w:pStyle w:val="58"/>
              <w:adjustRightInd/>
              <w:snapToGrid w:val="0"/>
              <w:jc w:val="both"/>
              <w:rPr>
                <w:rFonts w:hAnsi="宋体"/>
                <w:color w:val="auto"/>
                <w:szCs w:val="24"/>
                <w:highlight w:val="none"/>
              </w:rPr>
            </w:pPr>
            <w:r>
              <w:rPr>
                <w:rFonts w:hint="eastAsia" w:hAnsi="宋体"/>
                <w:color w:val="auto"/>
                <w:szCs w:val="24"/>
                <w:highlight w:val="none"/>
              </w:rPr>
              <w:t>按照第四章“评标办法”第</w:t>
            </w:r>
            <w:r>
              <w:rPr>
                <w:rFonts w:hAnsi="宋体"/>
                <w:color w:val="auto"/>
                <w:szCs w:val="24"/>
                <w:highlight w:val="none"/>
              </w:rPr>
              <w:t>3.4.1</w:t>
            </w:r>
            <w:r>
              <w:rPr>
                <w:rFonts w:hint="eastAsia" w:hAnsi="宋体"/>
                <w:color w:val="auto"/>
                <w:szCs w:val="24"/>
                <w:highlight w:val="none"/>
              </w:rPr>
              <w:t>项规定</w:t>
            </w:r>
          </w:p>
        </w:tc>
      </w:tr>
      <w:tr w14:paraId="0D71F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jc w:val="center"/>
        </w:trPr>
        <w:tc>
          <w:tcPr>
            <w:tcW w:w="564" w:type="dxa"/>
            <w:vMerge w:val="continue"/>
            <w:vAlign w:val="center"/>
          </w:tcPr>
          <w:p w14:paraId="659FE99A">
            <w:pPr>
              <w:pStyle w:val="58"/>
              <w:spacing w:line="360" w:lineRule="auto"/>
              <w:ind w:right="-155" w:rightChars="-74"/>
              <w:jc w:val="center"/>
              <w:rPr>
                <w:rFonts w:hAnsi="宋体"/>
                <w:color w:val="auto"/>
                <w:szCs w:val="24"/>
                <w:highlight w:val="none"/>
              </w:rPr>
            </w:pPr>
          </w:p>
        </w:tc>
        <w:tc>
          <w:tcPr>
            <w:tcW w:w="560" w:type="dxa"/>
            <w:vMerge w:val="continue"/>
            <w:vAlign w:val="center"/>
          </w:tcPr>
          <w:p w14:paraId="2226A839">
            <w:pPr>
              <w:pStyle w:val="58"/>
              <w:jc w:val="center"/>
              <w:rPr>
                <w:rFonts w:hAnsi="宋体"/>
                <w:color w:val="auto"/>
                <w:szCs w:val="24"/>
                <w:highlight w:val="none"/>
              </w:rPr>
            </w:pPr>
          </w:p>
        </w:tc>
        <w:tc>
          <w:tcPr>
            <w:tcW w:w="3177" w:type="dxa"/>
            <w:gridSpan w:val="2"/>
            <w:vAlign w:val="center"/>
          </w:tcPr>
          <w:p w14:paraId="7324E5D8">
            <w:pPr>
              <w:pStyle w:val="58"/>
              <w:adjustRightInd/>
              <w:snapToGrid w:val="0"/>
              <w:jc w:val="center"/>
              <w:rPr>
                <w:rFonts w:hAnsi="宋体"/>
                <w:color w:val="auto"/>
                <w:szCs w:val="24"/>
                <w:highlight w:val="none"/>
              </w:rPr>
            </w:pPr>
            <w:r>
              <w:rPr>
                <w:rFonts w:hint="eastAsia" w:hAnsi="宋体"/>
                <w:color w:val="auto"/>
                <w:szCs w:val="24"/>
                <w:highlight w:val="none"/>
              </w:rPr>
              <w:t>小微企业价格扣除</w:t>
            </w:r>
          </w:p>
        </w:tc>
        <w:tc>
          <w:tcPr>
            <w:tcW w:w="5736" w:type="dxa"/>
            <w:vAlign w:val="center"/>
          </w:tcPr>
          <w:p w14:paraId="73421EE2">
            <w:pPr>
              <w:pStyle w:val="58"/>
              <w:adjustRightInd/>
              <w:snapToGrid w:val="0"/>
              <w:jc w:val="both"/>
              <w:rPr>
                <w:rFonts w:hAnsi="宋体"/>
                <w:color w:val="auto"/>
                <w:szCs w:val="24"/>
                <w:highlight w:val="none"/>
              </w:rPr>
            </w:pPr>
            <w:r>
              <w:rPr>
                <w:rFonts w:hint="eastAsia" w:hAnsi="宋体"/>
                <w:color w:val="auto"/>
                <w:szCs w:val="24"/>
                <w:highlight w:val="none"/>
              </w:rPr>
              <w:t>按照第四章“评标办法”第</w:t>
            </w:r>
            <w:r>
              <w:rPr>
                <w:rFonts w:hAnsi="宋体"/>
                <w:color w:val="auto"/>
                <w:szCs w:val="24"/>
                <w:highlight w:val="none"/>
              </w:rPr>
              <w:t>4</w:t>
            </w:r>
            <w:r>
              <w:rPr>
                <w:rFonts w:hint="eastAsia" w:hAnsi="宋体"/>
                <w:color w:val="auto"/>
                <w:szCs w:val="24"/>
                <w:highlight w:val="none"/>
              </w:rPr>
              <w:t>条规定</w:t>
            </w:r>
          </w:p>
        </w:tc>
      </w:tr>
    </w:tbl>
    <w:p w14:paraId="7D495FA4">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黑体" w:hAnsi="黑体" w:eastAsia="黑体" w:cs="楷体_GB2312"/>
          <w:bCs/>
          <w:color w:val="auto"/>
          <w:sz w:val="24"/>
          <w:szCs w:val="24"/>
          <w:highlight w:val="none"/>
          <w:lang w:val="zh-CN"/>
        </w:rPr>
        <w:t>注：</w:t>
      </w:r>
      <w:r>
        <w:rPr>
          <w:rFonts w:hint="eastAsia" w:ascii="宋体" w:cs="楷体_GB2312"/>
          <w:color w:val="auto"/>
          <w:sz w:val="24"/>
          <w:highlight w:val="none"/>
          <w:lang w:val="zh-CN"/>
        </w:rPr>
        <w:t>1、公开招标采购项目开标结束后、评标工作前，采购人或者采购代理机构将依法对投标人的资格进行审查。资格性审查不合格的、投标无效。合格资格性审查合格投标人不足</w:t>
      </w:r>
      <w:r>
        <w:rPr>
          <w:rFonts w:ascii="宋体" w:cs="楷体_GB2312"/>
          <w:color w:val="auto"/>
          <w:sz w:val="24"/>
          <w:highlight w:val="none"/>
          <w:lang w:val="zh-CN"/>
        </w:rPr>
        <w:t>3</w:t>
      </w:r>
      <w:r>
        <w:rPr>
          <w:rFonts w:hint="eastAsia" w:ascii="宋体" w:cs="楷体_GB2312"/>
          <w:color w:val="auto"/>
          <w:sz w:val="24"/>
          <w:highlight w:val="none"/>
          <w:lang w:val="zh-CN"/>
        </w:rPr>
        <w:t>家的，将不再评标。</w:t>
      </w:r>
    </w:p>
    <w:p w14:paraId="19E15A38">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hint="eastAsia" w:ascii="宋体" w:cs="楷体_GB2312"/>
          <w:color w:val="auto"/>
          <w:sz w:val="24"/>
          <w:highlight w:val="none"/>
          <w:lang w:val="zh-CN"/>
        </w:rPr>
        <w:t>2、评标委员会将依据第六章12-1附件“证明材料查询核验工作的清单及要求”对核验证明材料进行形式要件审核。</w:t>
      </w:r>
    </w:p>
    <w:p w14:paraId="4DE16879">
      <w:pPr>
        <w:autoSpaceDE w:val="0"/>
        <w:autoSpaceDN w:val="0"/>
        <w:adjustRightInd w:val="0"/>
        <w:snapToGrid w:val="0"/>
        <w:spacing w:before="156" w:beforeLines="50" w:line="300" w:lineRule="auto"/>
        <w:ind w:firstLine="539"/>
        <w:rPr>
          <w:rFonts w:ascii="宋体" w:cs="楷体_GB2312"/>
          <w:color w:val="auto"/>
          <w:sz w:val="24"/>
          <w:highlight w:val="none"/>
          <w:lang w:val="zh-CN"/>
        </w:rPr>
      </w:pPr>
    </w:p>
    <w:p w14:paraId="670F294D">
      <w:pPr>
        <w:autoSpaceDE w:val="0"/>
        <w:autoSpaceDN w:val="0"/>
        <w:adjustRightInd w:val="0"/>
        <w:snapToGrid w:val="0"/>
        <w:spacing w:before="156" w:beforeLines="50" w:line="300" w:lineRule="auto"/>
        <w:ind w:firstLine="539"/>
        <w:rPr>
          <w:rFonts w:ascii="宋体" w:cs="楷体_GB2312"/>
          <w:color w:val="auto"/>
          <w:sz w:val="24"/>
          <w:highlight w:val="none"/>
          <w:lang w:val="zh-CN"/>
        </w:rPr>
      </w:pPr>
      <w:r>
        <w:rPr>
          <w:rFonts w:ascii="宋体" w:cs="楷体_GB2312"/>
          <w:color w:val="auto"/>
          <w:sz w:val="24"/>
          <w:highlight w:val="none"/>
          <w:lang w:val="zh-CN"/>
        </w:rPr>
        <w:br w:type="page"/>
      </w:r>
    </w:p>
    <w:p w14:paraId="53145B71">
      <w:pPr>
        <w:autoSpaceDE w:val="0"/>
        <w:autoSpaceDN w:val="0"/>
        <w:adjustRightInd w:val="0"/>
        <w:snapToGrid w:val="0"/>
        <w:spacing w:before="156" w:beforeLines="50" w:line="300" w:lineRule="auto"/>
        <w:ind w:firstLine="539"/>
        <w:rPr>
          <w:rFonts w:ascii="宋体" w:cs="楷体_GB2312"/>
          <w:color w:val="auto"/>
          <w:sz w:val="24"/>
          <w:highlight w:val="none"/>
          <w:lang w:val="zh-CN"/>
        </w:rPr>
      </w:pPr>
    </w:p>
    <w:p w14:paraId="63FE5C2D">
      <w:pPr>
        <w:autoSpaceDE w:val="0"/>
        <w:autoSpaceDN w:val="0"/>
        <w:adjustRightInd w:val="0"/>
        <w:snapToGrid w:val="0"/>
        <w:spacing w:before="156" w:beforeLines="50" w:line="300" w:lineRule="auto"/>
        <w:ind w:firstLine="562" w:firstLineChars="200"/>
        <w:jc w:val="left"/>
        <w:outlineLvl w:val="1"/>
        <w:rPr>
          <w:rFonts w:ascii="黑体" w:hAnsi="黑体" w:eastAsia="黑体" w:cs="楷体_GB2312"/>
          <w:b/>
          <w:bCs/>
          <w:color w:val="auto"/>
          <w:sz w:val="28"/>
          <w:szCs w:val="28"/>
          <w:highlight w:val="none"/>
          <w:lang w:val="zh-CN"/>
        </w:rPr>
      </w:pPr>
      <w:bookmarkStart w:id="55" w:name="_Toc24398"/>
      <w:r>
        <w:rPr>
          <w:rFonts w:ascii="黑体" w:hAnsi="黑体" w:eastAsia="黑体" w:cs="楷体_GB2312"/>
          <w:b/>
          <w:bCs/>
          <w:color w:val="auto"/>
          <w:sz w:val="28"/>
          <w:szCs w:val="28"/>
          <w:highlight w:val="none"/>
          <w:lang w:val="zh-CN"/>
        </w:rPr>
        <w:t xml:space="preserve">1. </w:t>
      </w:r>
      <w:r>
        <w:rPr>
          <w:rFonts w:hint="eastAsia" w:ascii="黑体" w:hAnsi="黑体" w:eastAsia="黑体" w:cs="楷体_GB2312"/>
          <w:b/>
          <w:bCs/>
          <w:color w:val="auto"/>
          <w:sz w:val="28"/>
          <w:szCs w:val="28"/>
          <w:highlight w:val="none"/>
          <w:lang w:val="zh-CN"/>
        </w:rPr>
        <w:t>评标方法</w:t>
      </w:r>
      <w:bookmarkEnd w:id="55"/>
    </w:p>
    <w:p w14:paraId="5888A026">
      <w:pPr>
        <w:autoSpaceDE w:val="0"/>
        <w:autoSpaceDN w:val="0"/>
        <w:adjustRightInd w:val="0"/>
        <w:snapToGrid w:val="0"/>
        <w:spacing w:before="156" w:beforeLines="50" w:line="300" w:lineRule="auto"/>
        <w:ind w:firstLine="619" w:firstLineChars="257"/>
        <w:jc w:val="left"/>
        <w:rPr>
          <w:b/>
          <w:color w:val="auto"/>
          <w:sz w:val="24"/>
          <w:szCs w:val="24"/>
          <w:highlight w:val="none"/>
        </w:rPr>
      </w:pPr>
      <w:r>
        <w:rPr>
          <w:rFonts w:hint="eastAsia"/>
          <w:b/>
          <w:color w:val="auto"/>
          <w:sz w:val="24"/>
          <w:szCs w:val="24"/>
          <w:highlight w:val="none"/>
        </w:rPr>
        <w:t>本次政府招标项目标段</w:t>
      </w:r>
      <w:r>
        <w:rPr>
          <w:rFonts w:hint="eastAsia" w:ascii="宋体" w:hAnsi="宋体" w:cs="楷体_GB2312"/>
          <w:b/>
          <w:color w:val="auto"/>
          <w:sz w:val="24"/>
          <w:highlight w:val="none"/>
          <w:lang w:val="zh-CN"/>
        </w:rPr>
        <w:t>&lt;包&gt;</w:t>
      </w:r>
      <w:r>
        <w:rPr>
          <w:rFonts w:hint="eastAsia"/>
          <w:b/>
          <w:color w:val="auto"/>
          <w:sz w:val="24"/>
          <w:szCs w:val="24"/>
          <w:highlight w:val="none"/>
        </w:rPr>
        <w:t>2按照最低评标价法确定中标人，即按照投标文件满足招标文件全部实质性要求，且投标报价（扣除经评审合格的“价格扣除”，见本章第</w:t>
      </w:r>
      <w:r>
        <w:rPr>
          <w:b/>
          <w:color w:val="auto"/>
          <w:sz w:val="24"/>
          <w:szCs w:val="24"/>
          <w:highlight w:val="none"/>
        </w:rPr>
        <w:t>4</w:t>
      </w:r>
      <w:r>
        <w:rPr>
          <w:rFonts w:hint="eastAsia"/>
          <w:b/>
          <w:color w:val="auto"/>
          <w:sz w:val="24"/>
          <w:szCs w:val="24"/>
          <w:highlight w:val="none"/>
        </w:rPr>
        <w:t>条）最低的原则确定标段（包）2中标人。</w:t>
      </w:r>
    </w:p>
    <w:p w14:paraId="5CF4A6D5">
      <w:pPr>
        <w:autoSpaceDE w:val="0"/>
        <w:autoSpaceDN w:val="0"/>
        <w:adjustRightInd w:val="0"/>
        <w:snapToGrid w:val="0"/>
        <w:spacing w:before="156" w:beforeLines="50" w:line="300" w:lineRule="auto"/>
        <w:ind w:firstLine="616" w:firstLineChars="257"/>
        <w:jc w:val="left"/>
        <w:rPr>
          <w:rFonts w:ascii="宋体"/>
          <w:color w:val="auto"/>
          <w:sz w:val="24"/>
          <w:highlight w:val="none"/>
        </w:rPr>
      </w:pPr>
    </w:p>
    <w:p w14:paraId="1BA82A06">
      <w:pPr>
        <w:pStyle w:val="58"/>
        <w:snapToGrid w:val="0"/>
        <w:spacing w:before="156" w:beforeLines="50" w:line="300" w:lineRule="auto"/>
        <w:ind w:firstLine="422" w:firstLineChars="150"/>
        <w:jc w:val="both"/>
        <w:outlineLvl w:val="1"/>
        <w:rPr>
          <w:rFonts w:ascii="黑体" w:hAnsi="黑体" w:eastAsia="黑体" w:cs="楷体_GB2312"/>
          <w:b/>
          <w:bCs/>
          <w:color w:val="auto"/>
          <w:sz w:val="28"/>
          <w:szCs w:val="28"/>
          <w:highlight w:val="none"/>
          <w:u w:color="000000"/>
          <w:lang w:val="zh-CN"/>
        </w:rPr>
      </w:pPr>
      <w:bookmarkStart w:id="56" w:name="_Toc29804"/>
      <w:r>
        <w:rPr>
          <w:rFonts w:ascii="黑体" w:hAnsi="黑体" w:eastAsia="黑体" w:cs="楷体_GB2312"/>
          <w:b/>
          <w:bCs/>
          <w:color w:val="auto"/>
          <w:sz w:val="28"/>
          <w:szCs w:val="28"/>
          <w:highlight w:val="none"/>
          <w:u w:color="000000"/>
          <w:lang w:val="zh-CN"/>
        </w:rPr>
        <w:t xml:space="preserve">2. </w:t>
      </w:r>
      <w:r>
        <w:rPr>
          <w:rFonts w:hint="eastAsia" w:ascii="黑体" w:hAnsi="黑体" w:eastAsia="黑体" w:cs="楷体_GB2312"/>
          <w:b/>
          <w:bCs/>
          <w:color w:val="auto"/>
          <w:sz w:val="28"/>
          <w:szCs w:val="28"/>
          <w:highlight w:val="none"/>
          <w:u w:color="000000"/>
          <w:lang w:val="zh-CN"/>
        </w:rPr>
        <w:t>评标标准</w:t>
      </w:r>
      <w:bookmarkEnd w:id="56"/>
    </w:p>
    <w:p w14:paraId="0B84330E">
      <w:pPr>
        <w:autoSpaceDE w:val="0"/>
        <w:autoSpaceDN w:val="0"/>
        <w:adjustRightInd w:val="0"/>
        <w:snapToGrid w:val="0"/>
        <w:spacing w:before="50" w:line="300" w:lineRule="auto"/>
        <w:ind w:firstLine="482" w:firstLineChars="200"/>
        <w:jc w:val="left"/>
        <w:rPr>
          <w:rFonts w:ascii="宋体"/>
          <w:color w:val="auto"/>
          <w:sz w:val="24"/>
          <w:highlight w:val="none"/>
        </w:rPr>
      </w:pPr>
      <w:r>
        <w:rPr>
          <w:rFonts w:ascii="黑体" w:hAnsi="黑体" w:eastAsia="黑体"/>
          <w:b/>
          <w:color w:val="auto"/>
          <w:sz w:val="24"/>
          <w:highlight w:val="none"/>
        </w:rPr>
        <w:t xml:space="preserve">2.1 </w:t>
      </w:r>
      <w:r>
        <w:rPr>
          <w:rFonts w:hint="eastAsia" w:ascii="黑体" w:hAnsi="黑体" w:eastAsia="黑体"/>
          <w:b/>
          <w:color w:val="auto"/>
          <w:sz w:val="24"/>
          <w:highlight w:val="none"/>
        </w:rPr>
        <w:t>符合性审查标准：</w:t>
      </w:r>
      <w:r>
        <w:rPr>
          <w:rFonts w:hint="eastAsia" w:ascii="宋体" w:hAnsi="宋体"/>
          <w:color w:val="auto"/>
          <w:sz w:val="24"/>
          <w:highlight w:val="none"/>
        </w:rPr>
        <w:t>见评标办法前附表</w:t>
      </w:r>
    </w:p>
    <w:p w14:paraId="78A1C732">
      <w:pPr>
        <w:autoSpaceDE w:val="0"/>
        <w:autoSpaceDN w:val="0"/>
        <w:adjustRightInd w:val="0"/>
        <w:snapToGrid w:val="0"/>
        <w:spacing w:before="50" w:line="300" w:lineRule="auto"/>
        <w:ind w:firstLine="482" w:firstLineChars="200"/>
        <w:jc w:val="left"/>
        <w:rPr>
          <w:rFonts w:ascii="黑体" w:hAnsi="黑体" w:eastAsia="黑体"/>
          <w:b/>
          <w:color w:val="auto"/>
          <w:sz w:val="24"/>
          <w:highlight w:val="none"/>
        </w:rPr>
      </w:pPr>
      <w:r>
        <w:rPr>
          <w:rFonts w:ascii="黑体" w:hAnsi="黑体" w:eastAsia="黑体"/>
          <w:b/>
          <w:color w:val="auto"/>
          <w:sz w:val="24"/>
          <w:highlight w:val="none"/>
        </w:rPr>
        <w:t xml:space="preserve">2.2 </w:t>
      </w:r>
      <w:r>
        <w:rPr>
          <w:rFonts w:hint="eastAsia" w:ascii="黑体" w:hAnsi="黑体" w:eastAsia="黑体"/>
          <w:b/>
          <w:color w:val="auto"/>
          <w:sz w:val="24"/>
          <w:highlight w:val="none"/>
        </w:rPr>
        <w:t>详细评审标准</w:t>
      </w:r>
      <w:r>
        <w:rPr>
          <w:rFonts w:hint="eastAsia" w:ascii="宋体" w:hAnsi="宋体"/>
          <w:color w:val="auto"/>
          <w:sz w:val="24"/>
          <w:highlight w:val="none"/>
        </w:rPr>
        <w:t>：见评标办法前附表</w:t>
      </w:r>
    </w:p>
    <w:p w14:paraId="08A76CC9">
      <w:pPr>
        <w:autoSpaceDE w:val="0"/>
        <w:autoSpaceDN w:val="0"/>
        <w:adjustRightInd w:val="0"/>
        <w:snapToGrid w:val="0"/>
        <w:spacing w:before="156" w:beforeLines="50" w:line="300" w:lineRule="auto"/>
        <w:ind w:left="540" w:leftChars="257"/>
        <w:jc w:val="left"/>
        <w:rPr>
          <w:rFonts w:ascii="宋体"/>
          <w:color w:val="auto"/>
          <w:sz w:val="24"/>
          <w:highlight w:val="none"/>
        </w:rPr>
      </w:pPr>
    </w:p>
    <w:p w14:paraId="40D0C32F">
      <w:pPr>
        <w:pStyle w:val="58"/>
        <w:snapToGrid w:val="0"/>
        <w:spacing w:before="156" w:beforeLines="50" w:line="300" w:lineRule="auto"/>
        <w:ind w:firstLine="562" w:firstLineChars="200"/>
        <w:jc w:val="both"/>
        <w:outlineLvl w:val="1"/>
        <w:rPr>
          <w:rFonts w:ascii="黑体" w:hAnsi="黑体" w:eastAsia="黑体" w:cs="楷体_GB2312"/>
          <w:b/>
          <w:bCs/>
          <w:color w:val="auto"/>
          <w:sz w:val="28"/>
          <w:szCs w:val="28"/>
          <w:highlight w:val="none"/>
          <w:u w:color="000000"/>
          <w:lang w:val="zh-CN"/>
        </w:rPr>
      </w:pPr>
      <w:bookmarkStart w:id="57" w:name="_Toc18523"/>
      <w:r>
        <w:rPr>
          <w:rFonts w:ascii="黑体" w:hAnsi="黑体" w:eastAsia="黑体" w:cs="楷体_GB2312"/>
          <w:b/>
          <w:bCs/>
          <w:color w:val="auto"/>
          <w:sz w:val="28"/>
          <w:szCs w:val="28"/>
          <w:highlight w:val="none"/>
          <w:u w:color="000000"/>
          <w:lang w:val="zh-CN"/>
        </w:rPr>
        <w:t xml:space="preserve">3. </w:t>
      </w:r>
      <w:r>
        <w:rPr>
          <w:rFonts w:hint="eastAsia" w:ascii="黑体" w:hAnsi="黑体" w:eastAsia="黑体" w:cs="楷体_GB2312"/>
          <w:b/>
          <w:bCs/>
          <w:color w:val="auto"/>
          <w:sz w:val="28"/>
          <w:szCs w:val="28"/>
          <w:highlight w:val="none"/>
          <w:u w:color="000000"/>
          <w:lang w:val="zh-CN"/>
        </w:rPr>
        <w:t>评标程序</w:t>
      </w:r>
      <w:bookmarkEnd w:id="57"/>
    </w:p>
    <w:p w14:paraId="2E1D6C9A">
      <w:pPr>
        <w:autoSpaceDE w:val="0"/>
        <w:autoSpaceDN w:val="0"/>
        <w:adjustRightInd w:val="0"/>
        <w:snapToGrid w:val="0"/>
        <w:spacing w:before="156" w:beforeLines="50" w:line="300" w:lineRule="auto"/>
        <w:ind w:firstLine="482" w:firstLineChars="200"/>
        <w:jc w:val="left"/>
        <w:rPr>
          <w:rFonts w:ascii="黑体" w:hAnsi="黑体" w:eastAsia="黑体"/>
          <w:b/>
          <w:color w:val="auto"/>
          <w:sz w:val="24"/>
          <w:szCs w:val="24"/>
          <w:highlight w:val="none"/>
        </w:rPr>
      </w:pPr>
      <w:r>
        <w:rPr>
          <w:rFonts w:hint="eastAsia" w:ascii="黑体" w:hAnsi="黑体" w:eastAsia="黑体"/>
          <w:b/>
          <w:color w:val="auto"/>
          <w:sz w:val="24"/>
          <w:szCs w:val="24"/>
          <w:highlight w:val="none"/>
        </w:rPr>
        <w:t>评标委员会按标段（包）进行评审</w:t>
      </w:r>
    </w:p>
    <w:p w14:paraId="7B4D8DAA">
      <w:pPr>
        <w:autoSpaceDE w:val="0"/>
        <w:autoSpaceDN w:val="0"/>
        <w:adjustRightInd w:val="0"/>
        <w:snapToGrid w:val="0"/>
        <w:spacing w:before="156" w:beforeLines="50" w:line="300" w:lineRule="auto"/>
        <w:ind w:firstLine="482" w:firstLineChars="200"/>
        <w:jc w:val="left"/>
        <w:rPr>
          <w:rFonts w:ascii="黑体" w:hAnsi="黑体" w:eastAsia="黑体"/>
          <w:b/>
          <w:color w:val="auto"/>
          <w:sz w:val="24"/>
          <w:highlight w:val="none"/>
        </w:rPr>
      </w:pPr>
      <w:r>
        <w:rPr>
          <w:rFonts w:ascii="黑体" w:hAnsi="黑体" w:eastAsia="黑体"/>
          <w:b/>
          <w:color w:val="auto"/>
          <w:sz w:val="24"/>
          <w:highlight w:val="none"/>
        </w:rPr>
        <w:t xml:space="preserve">3.1 </w:t>
      </w:r>
      <w:r>
        <w:rPr>
          <w:rFonts w:hint="eastAsia" w:ascii="黑体" w:hAnsi="黑体" w:eastAsia="黑体"/>
          <w:b/>
          <w:color w:val="auto"/>
          <w:sz w:val="24"/>
          <w:highlight w:val="none"/>
        </w:rPr>
        <w:t>审阅招标文件</w:t>
      </w:r>
    </w:p>
    <w:p w14:paraId="55B81F41">
      <w:pPr>
        <w:pStyle w:val="58"/>
        <w:snapToGrid w:val="0"/>
        <w:spacing w:before="156" w:beforeLines="50" w:line="300" w:lineRule="auto"/>
        <w:ind w:firstLine="480" w:firstLineChars="200"/>
        <w:jc w:val="both"/>
        <w:rPr>
          <w:rFonts w:hAnsi="宋体"/>
          <w:color w:val="auto"/>
          <w:highlight w:val="none"/>
        </w:rPr>
      </w:pPr>
      <w:r>
        <w:rPr>
          <w:rFonts w:hAnsi="宋体"/>
          <w:color w:val="auto"/>
          <w:highlight w:val="none"/>
        </w:rPr>
        <w:t xml:space="preserve">3.1.1 </w:t>
      </w:r>
      <w:r>
        <w:rPr>
          <w:rFonts w:hint="eastAsia" w:hAnsi="宋体"/>
          <w:color w:val="auto"/>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将修改招标文件，重新组织采购活动。</w:t>
      </w:r>
    </w:p>
    <w:p w14:paraId="0E7AB866">
      <w:pPr>
        <w:pStyle w:val="58"/>
        <w:snapToGrid w:val="0"/>
        <w:spacing w:before="156" w:beforeLines="50" w:line="300" w:lineRule="auto"/>
        <w:ind w:firstLine="480" w:firstLineChars="200"/>
        <w:jc w:val="both"/>
        <w:rPr>
          <w:rFonts w:hAnsi="宋体"/>
          <w:color w:val="auto"/>
          <w:highlight w:val="none"/>
        </w:rPr>
      </w:pPr>
      <w:r>
        <w:rPr>
          <w:rFonts w:hAnsi="宋体"/>
          <w:color w:val="auto"/>
          <w:highlight w:val="none"/>
        </w:rPr>
        <w:t xml:space="preserve">3.1.2  </w:t>
      </w:r>
      <w:r>
        <w:rPr>
          <w:rFonts w:hint="eastAsia" w:hAnsi="宋体"/>
          <w:color w:val="auto"/>
          <w:highlight w:val="none"/>
        </w:rPr>
        <w:t>评标委员会</w:t>
      </w:r>
      <w:r>
        <w:rPr>
          <w:rFonts w:hint="eastAsia" w:ascii="??" w:hAnsi="??" w:cs="宋体"/>
          <w:color w:val="auto"/>
          <w:szCs w:val="21"/>
          <w:highlight w:val="none"/>
        </w:rPr>
        <w:t>要求解释</w:t>
      </w:r>
      <w:r>
        <w:rPr>
          <w:rFonts w:hint="eastAsia" w:hAnsi="宋体"/>
          <w:color w:val="auto"/>
          <w:highlight w:val="none"/>
        </w:rPr>
        <w:t>招标文件的，书面提出需解释的相关招标文件的具体内容后、由采购代理机构或者采购人进行书面解释。</w:t>
      </w:r>
    </w:p>
    <w:p w14:paraId="797F5357">
      <w:pPr>
        <w:autoSpaceDE w:val="0"/>
        <w:autoSpaceDN w:val="0"/>
        <w:adjustRightInd w:val="0"/>
        <w:snapToGrid w:val="0"/>
        <w:spacing w:before="156" w:beforeLines="50" w:line="300" w:lineRule="auto"/>
        <w:ind w:firstLine="482" w:firstLineChars="200"/>
        <w:jc w:val="left"/>
        <w:rPr>
          <w:rFonts w:ascii="黑体" w:hAnsi="黑体" w:eastAsia="黑体"/>
          <w:b/>
          <w:color w:val="auto"/>
          <w:sz w:val="24"/>
          <w:highlight w:val="none"/>
        </w:rPr>
      </w:pPr>
      <w:r>
        <w:rPr>
          <w:rFonts w:ascii="黑体" w:hAnsi="黑体" w:eastAsia="黑体"/>
          <w:b/>
          <w:color w:val="auto"/>
          <w:sz w:val="24"/>
          <w:highlight w:val="none"/>
        </w:rPr>
        <w:t xml:space="preserve">3.2 </w:t>
      </w:r>
      <w:r>
        <w:rPr>
          <w:rFonts w:hint="eastAsia" w:ascii="黑体" w:hAnsi="黑体" w:eastAsia="黑体"/>
          <w:b/>
          <w:color w:val="auto"/>
          <w:sz w:val="24"/>
          <w:highlight w:val="none"/>
        </w:rPr>
        <w:t>符合性审查</w:t>
      </w:r>
    </w:p>
    <w:p w14:paraId="723D0326">
      <w:pPr>
        <w:autoSpaceDE w:val="0"/>
        <w:autoSpaceDN w:val="0"/>
        <w:adjustRightInd w:val="0"/>
        <w:snapToGrid w:val="0"/>
        <w:spacing w:before="156" w:beforeLines="50" w:line="300" w:lineRule="auto"/>
        <w:ind w:firstLine="616" w:firstLineChars="257"/>
        <w:jc w:val="left"/>
        <w:rPr>
          <w:rFonts w:ascii="宋体"/>
          <w:color w:val="auto"/>
          <w:sz w:val="24"/>
          <w:highlight w:val="none"/>
        </w:rPr>
      </w:pPr>
      <w:r>
        <w:rPr>
          <w:rFonts w:ascii="宋体" w:hAnsi="宋体"/>
          <w:color w:val="auto"/>
          <w:sz w:val="24"/>
          <w:highlight w:val="none"/>
        </w:rPr>
        <w:t xml:space="preserve">3.2.1 </w:t>
      </w:r>
      <w:r>
        <w:rPr>
          <w:rFonts w:hint="eastAsia" w:ascii="宋体" w:hAnsi="宋体" w:cs="宋体"/>
          <w:color w:val="auto"/>
          <w:sz w:val="24"/>
          <w:highlight w:val="none"/>
        </w:rPr>
        <w:t>评标委员会对符合资格的投标人的投标文件进行符合性审查，以确定其是否满足招标文件的实质性要求。</w:t>
      </w:r>
    </w:p>
    <w:p w14:paraId="572333FD">
      <w:pPr>
        <w:autoSpaceDE w:val="0"/>
        <w:autoSpaceDN w:val="0"/>
        <w:adjustRightInd w:val="0"/>
        <w:snapToGrid w:val="0"/>
        <w:spacing w:before="156" w:beforeLines="50"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评标委员会依据本章第</w:t>
      </w:r>
      <w:r>
        <w:rPr>
          <w:rFonts w:ascii="宋体" w:hAnsi="宋体"/>
          <w:color w:val="auto"/>
          <w:sz w:val="24"/>
          <w:highlight w:val="none"/>
        </w:rPr>
        <w:t>2.1</w:t>
      </w:r>
      <w:r>
        <w:rPr>
          <w:rFonts w:hint="eastAsia" w:ascii="宋体" w:hAnsi="宋体"/>
          <w:color w:val="auto"/>
          <w:sz w:val="24"/>
          <w:highlight w:val="none"/>
        </w:rPr>
        <w:t>款规定的标准对投标文件进行符合性审查。有一项不符合评审标准的，作无效投标处理。</w:t>
      </w:r>
    </w:p>
    <w:p w14:paraId="4D51762C">
      <w:pPr>
        <w:autoSpaceDE w:val="0"/>
        <w:autoSpaceDN w:val="0"/>
        <w:adjustRightInd w:val="0"/>
        <w:snapToGrid w:val="0"/>
        <w:spacing w:before="156" w:beforeLines="50" w:line="300" w:lineRule="auto"/>
        <w:ind w:firstLine="616" w:firstLineChars="257"/>
        <w:jc w:val="left"/>
        <w:rPr>
          <w:rFonts w:ascii="宋体" w:hAnsi="宋体"/>
          <w:color w:val="auto"/>
          <w:sz w:val="24"/>
          <w:highlight w:val="none"/>
        </w:rPr>
      </w:pPr>
      <w:r>
        <w:rPr>
          <w:rFonts w:ascii="宋体" w:hAnsi="宋体"/>
          <w:color w:val="auto"/>
          <w:sz w:val="24"/>
          <w:highlight w:val="none"/>
        </w:rPr>
        <w:t xml:space="preserve">3.2.2 </w:t>
      </w:r>
      <w:r>
        <w:rPr>
          <w:rFonts w:hint="eastAsia" w:ascii="宋体" w:hAnsi="宋体"/>
          <w:color w:val="auto"/>
          <w:sz w:val="24"/>
          <w:highlight w:val="none"/>
        </w:rPr>
        <w:t>投标人有以下情形之一的，其投标作无效投标处理：</w:t>
      </w:r>
    </w:p>
    <w:p w14:paraId="29E2637E">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）投标人不符合国家或者招标文件规定的资格条件；</w:t>
      </w:r>
    </w:p>
    <w:p w14:paraId="63445091">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）投标人没有按照招标文件要求提供投标承诺函；</w:t>
      </w:r>
    </w:p>
    <w:p w14:paraId="71B427E7">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）投标联合体不符合招标文件规定；</w:t>
      </w:r>
    </w:p>
    <w:p w14:paraId="16D25DBC">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）投标文件的签字盖章不符合招标文件规定；</w:t>
      </w:r>
    </w:p>
    <w:p w14:paraId="218CCCFF">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）投标报价超过招标文件中规定的预算金额或者最高限价的；</w:t>
      </w:r>
    </w:p>
    <w:p w14:paraId="3B56BF5D">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6</w:t>
      </w:r>
      <w:r>
        <w:rPr>
          <w:rFonts w:hint="eastAsia" w:ascii="宋体" w:hAnsi="宋体"/>
          <w:color w:val="auto"/>
          <w:sz w:val="24"/>
          <w:highlight w:val="none"/>
        </w:rPr>
        <w:t>）同一投标人提交两个以上不同的投标文件或者投标报价，投标文件的每种报价有两个报价或其他选择性报价的。</w:t>
      </w:r>
    </w:p>
    <w:p w14:paraId="0D15382B">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7</w:t>
      </w:r>
      <w:r>
        <w:rPr>
          <w:rFonts w:hint="eastAsia" w:ascii="宋体" w:hAnsi="宋体"/>
          <w:color w:val="auto"/>
          <w:sz w:val="24"/>
          <w:highlight w:val="none"/>
        </w:rPr>
        <w:t>）投标文件没有对招标文件的实质性要求和条件作出实质性响应，或不符合招标文件的实质性要求和条件；</w:t>
      </w:r>
    </w:p>
    <w:p w14:paraId="5D88F6EC">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8</w:t>
      </w:r>
      <w:r>
        <w:rPr>
          <w:rFonts w:hint="eastAsia" w:ascii="宋体" w:hAnsi="宋体"/>
          <w:color w:val="auto"/>
          <w:sz w:val="24"/>
          <w:highlight w:val="none"/>
        </w:rPr>
        <w:t>）投标文件附有招标项目不能接受的条件或不符合国家强制性规定的；</w:t>
      </w:r>
    </w:p>
    <w:p w14:paraId="0E3EDFFF">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9</w:t>
      </w:r>
      <w:r>
        <w:rPr>
          <w:rFonts w:hint="eastAsia" w:ascii="宋体" w:hAnsi="宋体"/>
          <w:color w:val="auto"/>
          <w:sz w:val="24"/>
          <w:highlight w:val="none"/>
        </w:rPr>
        <w:t>）单位负责人为同一人或者存在控股、管理关系的不同单位，参加同一项目（标段&lt;包&gt;）投标的；</w:t>
      </w:r>
    </w:p>
    <w:p w14:paraId="7610331D">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10</w:t>
      </w:r>
      <w:r>
        <w:rPr>
          <w:rFonts w:hint="eastAsia" w:ascii="宋体" w:hAnsi="宋体"/>
          <w:color w:val="auto"/>
          <w:sz w:val="24"/>
          <w:highlight w:val="none"/>
        </w:rPr>
        <w:t>）为招标项目提供整体设计、规范编制或者项目管理、监理、检测等服务的供应商，不得再参加该招标项目的其他采购活动。</w:t>
      </w:r>
    </w:p>
    <w:p w14:paraId="2B06FAD4">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color w:val="auto"/>
          <w:sz w:val="24"/>
          <w:highlight w:val="none"/>
        </w:rPr>
        <w:t>（11）组成联合体或者接受分包的小微企业与联合体内其他企业、分包企业之间存在直接控股、管理关系的。</w:t>
      </w:r>
    </w:p>
    <w:p w14:paraId="6DF38BD5">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2）提供虚假材料谋取中标的；</w:t>
      </w:r>
    </w:p>
    <w:p w14:paraId="5C924A83">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3）不确认本章</w:t>
      </w:r>
      <w:r>
        <w:rPr>
          <w:rFonts w:ascii="宋体" w:hAnsi="宋体"/>
          <w:color w:val="auto"/>
          <w:sz w:val="24"/>
          <w:highlight w:val="none"/>
        </w:rPr>
        <w:t>3.4.1</w:t>
      </w:r>
      <w:r>
        <w:rPr>
          <w:rFonts w:hint="eastAsia" w:ascii="宋体" w:hAnsi="宋体"/>
          <w:color w:val="auto"/>
          <w:sz w:val="24"/>
          <w:highlight w:val="none"/>
        </w:rPr>
        <w:t>项对投标报价的算术修正的；</w:t>
      </w:r>
    </w:p>
    <w:p w14:paraId="6876ED64">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4）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14:paraId="21679522">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5）投标人有串通投标、行贿等违法行为。其中，有下列情形之一的，视为投标人相互串通投标：</w:t>
      </w:r>
    </w:p>
    <w:p w14:paraId="3B5C2B78">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◆不同投标人的投标文件由同一单位或者个人编制；</w:t>
      </w:r>
    </w:p>
    <w:p w14:paraId="0D4DD1E2">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◆不同投标人委托同一单位或者个人办理投标事宜；</w:t>
      </w:r>
    </w:p>
    <w:p w14:paraId="6F21A7B2">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◆不同投标人的投标文件载明的项目管理成员为同一人；</w:t>
      </w:r>
    </w:p>
    <w:p w14:paraId="1BA3C233">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◆不同投标人的投标文件异常一致或者投标报价呈规律性差异；</w:t>
      </w:r>
    </w:p>
    <w:p w14:paraId="34523525">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◆不同投标人的投标文件相互混装；</w:t>
      </w:r>
    </w:p>
    <w:p w14:paraId="590F2BA7">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（16）根据豫财购〔2021〕6号文件，参与同一个标段(包)的供应商存在下列情形之一的，其投标(响应)文件无效：</w:t>
      </w:r>
    </w:p>
    <w:p w14:paraId="4CC6021C">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◆不同供应商的电子投标(响应)文件上传计算机的网卡MAC地址、CPU序列号和硬盘序列号等硬件信息相同的；</w:t>
      </w:r>
    </w:p>
    <w:p w14:paraId="3FF65C88">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◆不同供应商的投标(响应)文件由同一电子设备编制、打印加密或者上传；</w:t>
      </w:r>
    </w:p>
    <w:p w14:paraId="3C22841A">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◆不同供应商的投标(响应)文件由同一电子设备打印、复印；</w:t>
      </w:r>
    </w:p>
    <w:p w14:paraId="62E65092">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◆不同供应商的投标(响应)文件由同一人送达或者分发，或者不同供应商联系人为同一人或不同联系人的联系电话一致的；</w:t>
      </w:r>
    </w:p>
    <w:p w14:paraId="6AD686F5">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◆不同供应商的投标(响应)文件的内容存在两处以上细节错误一致；</w:t>
      </w:r>
    </w:p>
    <w:p w14:paraId="4F5D2DDF">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◆不同供应商的法定代表人、委托代理人、项目经理、项目负责人等由同一个单位缴纳社会保险或者领取报酬的；</w:t>
      </w:r>
    </w:p>
    <w:p w14:paraId="27301779">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◆不同供应商投标(响应)文件中法定代表人或者负责人签字出自同一人之手；</w:t>
      </w:r>
    </w:p>
    <w:p w14:paraId="4D13B71D">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◆其它涉嫌串通的情形。</w:t>
      </w:r>
    </w:p>
    <w:p w14:paraId="2A44ECF8">
      <w:pPr>
        <w:autoSpaceDE w:val="0"/>
        <w:autoSpaceDN w:val="0"/>
        <w:adjustRightInd w:val="0"/>
        <w:snapToGrid w:val="0"/>
        <w:spacing w:line="300" w:lineRule="auto"/>
        <w:ind w:firstLine="600" w:firstLineChars="250"/>
        <w:jc w:val="left"/>
        <w:rPr>
          <w:rFonts w:ascii="宋体" w:hAnsi="宋体"/>
          <w:color w:val="auto"/>
          <w:sz w:val="24"/>
          <w:highlight w:val="none"/>
        </w:rPr>
      </w:pPr>
      <w:r>
        <w:rPr>
          <w:rFonts w:hint="eastAsia" w:ascii="宋体" w:hAnsi="宋体"/>
          <w:color w:val="auto"/>
          <w:sz w:val="24"/>
          <w:highlight w:val="none"/>
        </w:rPr>
        <w:t>(17)不同投标人上传电子投标(响应)文件的IP地址相同，该供应商投标(响应)文件无效。</w:t>
      </w:r>
    </w:p>
    <w:p w14:paraId="26983B37">
      <w:pPr>
        <w:autoSpaceDE w:val="0"/>
        <w:autoSpaceDN w:val="0"/>
        <w:adjustRightInd w:val="0"/>
        <w:snapToGrid w:val="0"/>
        <w:spacing w:before="156" w:beforeLines="50" w:line="300" w:lineRule="auto"/>
        <w:ind w:firstLine="539"/>
        <w:rPr>
          <w:rFonts w:ascii="宋体" w:hAnsi="宋体"/>
          <w:color w:val="auto"/>
          <w:sz w:val="24"/>
          <w:highlight w:val="none"/>
        </w:rPr>
      </w:pPr>
      <w:r>
        <w:rPr>
          <w:rFonts w:hint="eastAsia" w:ascii="宋体" w:hAnsi="宋体"/>
          <w:color w:val="auto"/>
          <w:sz w:val="24"/>
          <w:highlight w:val="none"/>
        </w:rPr>
        <w:t>(18)据豫财购〔2021〕6号文件精神，工程领域招标投标行政主管部门对供应商串通投标等予以市场禁入的，在本次政府采购活动中，该供应商投标(响应)文件无效。</w:t>
      </w:r>
    </w:p>
    <w:p w14:paraId="0EBFFC2A">
      <w:pPr>
        <w:autoSpaceDE w:val="0"/>
        <w:autoSpaceDN w:val="0"/>
        <w:adjustRightInd w:val="0"/>
        <w:snapToGrid w:val="0"/>
        <w:spacing w:before="156" w:beforeLines="50" w:line="300" w:lineRule="auto"/>
        <w:ind w:firstLine="566" w:firstLineChars="236"/>
        <w:jc w:val="left"/>
        <w:rPr>
          <w:rFonts w:ascii="宋体" w:hAnsi="宋体"/>
          <w:b/>
          <w:color w:val="auto"/>
          <w:sz w:val="24"/>
          <w:highlight w:val="none"/>
        </w:rPr>
      </w:pPr>
      <w:r>
        <w:rPr>
          <w:rFonts w:ascii="宋体" w:hAnsi="宋体"/>
          <w:color w:val="auto"/>
          <w:sz w:val="24"/>
          <w:highlight w:val="none"/>
        </w:rPr>
        <w:t>3.2.3</w:t>
      </w:r>
      <w:r>
        <w:rPr>
          <w:rFonts w:hint="eastAsia" w:ascii="宋体" w:hAnsi="宋体"/>
          <w:color w:val="auto"/>
          <w:sz w:val="24"/>
          <w:highlight w:val="none"/>
        </w:rPr>
        <w:t xml:space="preserve"> </w:t>
      </w:r>
      <w:r>
        <w:rPr>
          <w:rFonts w:hint="eastAsia" w:ascii="宋体" w:hAnsi="宋体"/>
          <w:b/>
          <w:color w:val="auto"/>
          <w:sz w:val="24"/>
          <w:highlight w:val="none"/>
        </w:rPr>
        <w:t>未实质性响应招标文件的投标文件按无效处理，评标委员会应当告知有关供应商。</w:t>
      </w:r>
    </w:p>
    <w:p w14:paraId="56071D77">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 xml:space="preserve">3.2.4 </w:t>
      </w:r>
      <w:r>
        <w:rPr>
          <w:rFonts w:hint="eastAsia" w:ascii="宋体" w:hAnsi="宋体"/>
          <w:color w:val="auto"/>
          <w:sz w:val="24"/>
          <w:highlight w:val="none"/>
        </w:rPr>
        <w:t>评标委员会负责审查确定每一投标项目（标段&lt;包&gt;）是否对招标文件的实质性要求作出了实质性的响应，而没有重大偏离和保留。实质性响应的投标是指投标符合招标文件的所有条款、条件和规定且没有重大偏离和保留（重大偏离和保留是指影响到招标文件和投标人的义务的规定，而纠正这些偏离将影响到其他提交实质性响应投标人的公平竞争地位）。</w:t>
      </w:r>
    </w:p>
    <w:p w14:paraId="385E6CFA">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 xml:space="preserve">3.2.5 </w:t>
      </w:r>
      <w:r>
        <w:rPr>
          <w:rFonts w:hint="eastAsia" w:ascii="宋体" w:hAnsi="宋体"/>
          <w:color w:val="auto"/>
          <w:sz w:val="24"/>
          <w:highlight w:val="none"/>
        </w:rPr>
        <w:t>评标委员会判断投标文件的响应性仅基于投标文件本身而不靠外部证据。</w:t>
      </w:r>
    </w:p>
    <w:p w14:paraId="2499711E">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 xml:space="preserve">3.2.6 </w:t>
      </w:r>
      <w:r>
        <w:rPr>
          <w:rFonts w:hint="eastAsia" w:ascii="宋体" w:hAnsi="宋体"/>
          <w:color w:val="auto"/>
          <w:sz w:val="24"/>
          <w:highlight w:val="none"/>
        </w:rPr>
        <w:t>评标委员会拒绝被确定为非实质性响应的投标人，投标人不得通过修正或撤销不符之处而使其投标成为实质性响应的投标。</w:t>
      </w:r>
    </w:p>
    <w:p w14:paraId="0F0A6B56">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 xml:space="preserve">3.2.7 </w:t>
      </w:r>
      <w:r>
        <w:rPr>
          <w:rFonts w:hint="eastAsia" w:ascii="宋体" w:hAnsi="宋体"/>
          <w:color w:val="auto"/>
          <w:sz w:val="24"/>
          <w:highlight w:val="none"/>
        </w:rPr>
        <w:t>允许投标人修改投标中不构成重大偏离的、微小的、非正规、不一致或不规则的地方。</w:t>
      </w:r>
    </w:p>
    <w:p w14:paraId="180418D4">
      <w:pPr>
        <w:autoSpaceDE w:val="0"/>
        <w:autoSpaceDN w:val="0"/>
        <w:adjustRightInd w:val="0"/>
        <w:snapToGrid w:val="0"/>
        <w:spacing w:before="156" w:beforeLines="50" w:line="300" w:lineRule="auto"/>
        <w:ind w:firstLine="569" w:firstLineChars="236"/>
        <w:jc w:val="left"/>
        <w:rPr>
          <w:rFonts w:ascii="黑体" w:hAnsi="黑体" w:eastAsia="黑体"/>
          <w:b/>
          <w:color w:val="auto"/>
          <w:sz w:val="24"/>
          <w:highlight w:val="none"/>
        </w:rPr>
      </w:pPr>
      <w:r>
        <w:rPr>
          <w:rFonts w:ascii="黑体" w:hAnsi="黑体" w:eastAsia="黑体"/>
          <w:b/>
          <w:color w:val="auto"/>
          <w:sz w:val="24"/>
          <w:highlight w:val="none"/>
        </w:rPr>
        <w:t xml:space="preserve">3.3 </w:t>
      </w:r>
      <w:r>
        <w:rPr>
          <w:rFonts w:hint="eastAsia" w:ascii="黑体" w:hAnsi="黑体" w:eastAsia="黑体"/>
          <w:b/>
          <w:color w:val="auto"/>
          <w:sz w:val="24"/>
          <w:highlight w:val="none"/>
        </w:rPr>
        <w:t>投标文件的澄清</w:t>
      </w:r>
    </w:p>
    <w:p w14:paraId="086F683B">
      <w:pPr>
        <w:autoSpaceDE w:val="0"/>
        <w:autoSpaceDN w:val="0"/>
        <w:adjustRightInd w:val="0"/>
        <w:snapToGrid w:val="0"/>
        <w:spacing w:before="156" w:beforeLines="50" w:line="300" w:lineRule="auto"/>
        <w:ind w:firstLine="569" w:firstLineChars="236"/>
        <w:jc w:val="left"/>
        <w:rPr>
          <w:rFonts w:ascii="宋体" w:hAnsi="宋体"/>
          <w:b/>
          <w:color w:val="auto"/>
          <w:sz w:val="24"/>
          <w:highlight w:val="none"/>
        </w:rPr>
      </w:pPr>
      <w:r>
        <w:rPr>
          <w:rFonts w:hint="eastAsia" w:ascii="宋体" w:hAnsi="宋体"/>
          <w:b/>
          <w:color w:val="auto"/>
          <w:sz w:val="24"/>
          <w:highlight w:val="none"/>
        </w:rPr>
        <w:t>投标文件的澄清在招标</w:t>
      </w:r>
      <w:r>
        <w:rPr>
          <w:rFonts w:ascii="宋体" w:hAnsi="宋体"/>
          <w:b/>
          <w:color w:val="auto"/>
          <w:sz w:val="24"/>
          <w:highlight w:val="none"/>
        </w:rPr>
        <w:t>公告所述</w:t>
      </w:r>
      <w:r>
        <w:rPr>
          <w:rFonts w:hint="eastAsia" w:ascii="宋体" w:hAnsi="宋体"/>
          <w:b/>
          <w:color w:val="auto"/>
          <w:sz w:val="24"/>
          <w:highlight w:val="none"/>
        </w:rPr>
        <w:t>网</w:t>
      </w:r>
      <w:r>
        <w:rPr>
          <w:rFonts w:ascii="宋体" w:hAnsi="宋体"/>
          <w:b/>
          <w:color w:val="auto"/>
          <w:sz w:val="24"/>
          <w:highlight w:val="none"/>
        </w:rPr>
        <w:t>上</w:t>
      </w:r>
      <w:r>
        <w:rPr>
          <w:rFonts w:hint="eastAsia" w:ascii="宋体" w:hAnsi="宋体"/>
          <w:b/>
          <w:color w:val="auto"/>
          <w:sz w:val="24"/>
          <w:highlight w:val="none"/>
        </w:rPr>
        <w:t>电子交易系统</w:t>
      </w:r>
      <w:r>
        <w:rPr>
          <w:rFonts w:ascii="宋体" w:hAnsi="宋体"/>
          <w:b/>
          <w:color w:val="auto"/>
          <w:sz w:val="24"/>
          <w:highlight w:val="none"/>
        </w:rPr>
        <w:t>进行。</w:t>
      </w:r>
    </w:p>
    <w:p w14:paraId="3345E9DC">
      <w:pPr>
        <w:autoSpaceDE w:val="0"/>
        <w:autoSpaceDN w:val="0"/>
        <w:adjustRightInd w:val="0"/>
        <w:snapToGrid w:val="0"/>
        <w:spacing w:before="156" w:beforeLines="50" w:line="300" w:lineRule="auto"/>
        <w:ind w:firstLine="569" w:firstLineChars="236"/>
        <w:jc w:val="left"/>
        <w:rPr>
          <w:rFonts w:ascii="宋体" w:hAnsi="宋体"/>
          <w:b/>
          <w:color w:val="auto"/>
          <w:sz w:val="24"/>
          <w:highlight w:val="none"/>
        </w:rPr>
      </w:pPr>
      <w:r>
        <w:rPr>
          <w:rFonts w:ascii="宋体" w:hAnsi="宋体"/>
          <w:b/>
          <w:color w:val="auto"/>
          <w:sz w:val="24"/>
          <w:highlight w:val="none"/>
        </w:rPr>
        <w:t>3.</w:t>
      </w:r>
      <w:r>
        <w:rPr>
          <w:rFonts w:hint="eastAsia" w:ascii="宋体" w:hAnsi="宋体"/>
          <w:b/>
          <w:color w:val="auto"/>
          <w:sz w:val="24"/>
          <w:highlight w:val="none"/>
        </w:rPr>
        <w:t>3</w:t>
      </w:r>
      <w:r>
        <w:rPr>
          <w:rFonts w:ascii="宋体" w:hAnsi="宋体"/>
          <w:b/>
          <w:color w:val="auto"/>
          <w:sz w:val="24"/>
          <w:highlight w:val="none"/>
        </w:rPr>
        <w:t>.1</w:t>
      </w:r>
      <w:r>
        <w:rPr>
          <w:rFonts w:hint="eastAsia" w:ascii="宋体" w:hAnsi="宋体"/>
          <w:b/>
          <w:color w:val="auto"/>
          <w:sz w:val="24"/>
          <w:highlight w:val="none"/>
        </w:rPr>
        <w:t xml:space="preserve"> 评审期间，投标人法定代表人须时刻关注电子开标室并保持通讯畅通。如因通讯不畅导致投标人无法及时澄清而被认定为无效响应等后果的</w:t>
      </w:r>
      <w:r>
        <w:rPr>
          <w:rFonts w:ascii="宋体" w:hAnsi="宋体"/>
          <w:b/>
          <w:color w:val="auto"/>
          <w:sz w:val="24"/>
          <w:highlight w:val="none"/>
        </w:rPr>
        <w:t>，</w:t>
      </w:r>
      <w:r>
        <w:rPr>
          <w:rFonts w:hint="eastAsia" w:ascii="宋体" w:hAnsi="宋体"/>
          <w:b/>
          <w:color w:val="auto"/>
          <w:sz w:val="24"/>
          <w:highlight w:val="none"/>
        </w:rPr>
        <w:t>由投标人自行承担。</w:t>
      </w:r>
    </w:p>
    <w:p w14:paraId="7D9BAF12">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3.3.2</w:t>
      </w:r>
      <w:r>
        <w:rPr>
          <w:rFonts w:hint="eastAsia" w:ascii="宋体" w:hAnsi="宋体"/>
          <w:color w:val="auto"/>
          <w:sz w:val="24"/>
          <w:highlight w:val="none"/>
        </w:rPr>
        <w:t>　为有助于对投标文件进行审查、评估和比较，评标委员会有权个别的向投标人提出质疑，请投标人澄清其投标内容。</w:t>
      </w:r>
    </w:p>
    <w:p w14:paraId="7DC1AB27">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3.3.3</w:t>
      </w:r>
      <w:r>
        <w:rPr>
          <w:rFonts w:hint="eastAsia" w:ascii="宋体" w:hAnsi="宋体"/>
          <w:color w:val="auto"/>
          <w:sz w:val="24"/>
          <w:highlight w:val="none"/>
        </w:rPr>
        <w:t>　评标委员会可以要求投标人对投标文件中含义不明确、同类问题表述不一致或者有明显文字和计算错误的内容等作出必要的澄清、说明或者更正。投标人的澄清、说明或者更正不得超出投标文件的范围或者改变投标文件的实质性内容。</w:t>
      </w:r>
    </w:p>
    <w:p w14:paraId="79151633">
      <w:pPr>
        <w:autoSpaceDE w:val="0"/>
        <w:autoSpaceDN w:val="0"/>
        <w:adjustRightInd w:val="0"/>
        <w:snapToGrid w:val="0"/>
        <w:spacing w:before="156" w:beforeLines="50" w:line="300" w:lineRule="auto"/>
        <w:ind w:firstLine="566" w:firstLineChars="236"/>
        <w:jc w:val="left"/>
        <w:rPr>
          <w:rFonts w:ascii="宋体" w:hAnsi="宋体"/>
          <w:b/>
          <w:color w:val="auto"/>
          <w:sz w:val="24"/>
          <w:highlight w:val="none"/>
        </w:rPr>
      </w:pPr>
      <w:r>
        <w:rPr>
          <w:rFonts w:ascii="宋体" w:hAnsi="宋体"/>
          <w:color w:val="auto"/>
          <w:sz w:val="24"/>
          <w:highlight w:val="none"/>
        </w:rPr>
        <w:t>3.3.4</w:t>
      </w:r>
      <w:r>
        <w:rPr>
          <w:rFonts w:hint="eastAsia" w:ascii="宋体" w:hAnsi="宋体"/>
          <w:color w:val="auto"/>
          <w:sz w:val="24"/>
          <w:highlight w:val="none"/>
        </w:rPr>
        <w:t>　</w:t>
      </w:r>
      <w:r>
        <w:rPr>
          <w:rFonts w:hint="eastAsia" w:ascii="宋体" w:hAnsi="宋体"/>
          <w:b/>
          <w:color w:val="auto"/>
          <w:sz w:val="24"/>
          <w:highlight w:val="none"/>
        </w:rPr>
        <w:t>投标人的澄清、说明或者更正应当采用书面形式，应加</w:t>
      </w:r>
      <w:r>
        <w:rPr>
          <w:rFonts w:ascii="宋体" w:hAnsi="宋体"/>
          <w:b/>
          <w:color w:val="auto"/>
          <w:sz w:val="24"/>
          <w:highlight w:val="none"/>
        </w:rPr>
        <w:t>盖</w:t>
      </w:r>
      <w:r>
        <w:rPr>
          <w:rFonts w:hint="eastAsia" w:ascii="宋体" w:hAnsi="宋体"/>
          <w:b/>
          <w:color w:val="auto"/>
          <w:sz w:val="24"/>
          <w:highlight w:val="none"/>
        </w:rPr>
        <w:t>投</w:t>
      </w:r>
      <w:r>
        <w:rPr>
          <w:rFonts w:ascii="宋体" w:hAnsi="宋体"/>
          <w:b/>
          <w:color w:val="auto"/>
          <w:sz w:val="24"/>
          <w:highlight w:val="none"/>
        </w:rPr>
        <w:t>标人</w:t>
      </w:r>
      <w:r>
        <w:rPr>
          <w:rFonts w:hint="eastAsia" w:ascii="宋体" w:hAnsi="宋体"/>
          <w:b/>
          <w:color w:val="auto"/>
          <w:sz w:val="24"/>
          <w:highlight w:val="none"/>
        </w:rPr>
        <w:t>电子签章或其法定代表人电子签名</w:t>
      </w:r>
      <w:r>
        <w:rPr>
          <w:rFonts w:hint="eastAsia" w:ascii="宋体" w:hAnsi="宋体" w:cs="楷体_GB2312"/>
          <w:b/>
          <w:color w:val="auto"/>
          <w:sz w:val="24"/>
          <w:highlight w:val="none"/>
        </w:rPr>
        <w:t>（签章）</w:t>
      </w:r>
      <w:r>
        <w:rPr>
          <w:rFonts w:hint="eastAsia" w:ascii="宋体" w:hAnsi="宋体"/>
          <w:b/>
          <w:color w:val="auto"/>
          <w:sz w:val="24"/>
          <w:highlight w:val="none"/>
        </w:rPr>
        <w:t>，并将澄清等内容作为附件上传至系统中。</w:t>
      </w:r>
    </w:p>
    <w:p w14:paraId="0BB7A496">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3.3.5</w:t>
      </w:r>
      <w:r>
        <w:rPr>
          <w:rFonts w:hint="eastAsia" w:ascii="宋体" w:hAnsi="宋体"/>
          <w:color w:val="auto"/>
          <w:sz w:val="24"/>
          <w:highlight w:val="none"/>
        </w:rPr>
        <w:t>　投标人的澄清文件是投标文件的组成部分，并取代投标文件中被澄清的部分。</w:t>
      </w:r>
    </w:p>
    <w:p w14:paraId="22EADF00">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3.3.6</w:t>
      </w:r>
      <w:r>
        <w:rPr>
          <w:rFonts w:hint="eastAsia" w:ascii="宋体" w:hAnsi="宋体"/>
          <w:color w:val="auto"/>
          <w:sz w:val="24"/>
          <w:highlight w:val="none"/>
        </w:rPr>
        <w:t>　澄清文件应按评标委员会规定的时间提交。</w:t>
      </w:r>
    </w:p>
    <w:p w14:paraId="5EAB558C">
      <w:pPr>
        <w:autoSpaceDE w:val="0"/>
        <w:autoSpaceDN w:val="0"/>
        <w:adjustRightInd w:val="0"/>
        <w:snapToGrid w:val="0"/>
        <w:spacing w:before="156" w:beforeLines="50" w:line="300" w:lineRule="auto"/>
        <w:ind w:firstLine="569" w:firstLineChars="236"/>
        <w:jc w:val="left"/>
        <w:rPr>
          <w:rFonts w:ascii="黑体" w:hAnsi="黑体" w:eastAsia="黑体"/>
          <w:b/>
          <w:color w:val="auto"/>
          <w:sz w:val="24"/>
          <w:highlight w:val="none"/>
        </w:rPr>
      </w:pPr>
      <w:r>
        <w:rPr>
          <w:rFonts w:ascii="黑体" w:hAnsi="黑体" w:eastAsia="黑体"/>
          <w:b/>
          <w:color w:val="auto"/>
          <w:sz w:val="24"/>
          <w:highlight w:val="none"/>
        </w:rPr>
        <w:t xml:space="preserve">3.4 </w:t>
      </w:r>
      <w:r>
        <w:rPr>
          <w:rFonts w:hint="eastAsia" w:ascii="黑体" w:hAnsi="黑体" w:eastAsia="黑体"/>
          <w:b/>
          <w:color w:val="auto"/>
          <w:sz w:val="24"/>
          <w:highlight w:val="none"/>
        </w:rPr>
        <w:t>详细评审</w:t>
      </w:r>
    </w:p>
    <w:p w14:paraId="43D2F2EC">
      <w:pPr>
        <w:autoSpaceDE w:val="0"/>
        <w:autoSpaceDN w:val="0"/>
        <w:adjustRightInd w:val="0"/>
        <w:snapToGrid w:val="0"/>
        <w:spacing w:before="156" w:beforeLines="50" w:line="300" w:lineRule="auto"/>
        <w:ind w:firstLine="569" w:firstLineChars="236"/>
        <w:jc w:val="left"/>
        <w:rPr>
          <w:rFonts w:ascii="宋体"/>
          <w:color w:val="auto"/>
          <w:sz w:val="24"/>
          <w:highlight w:val="none"/>
        </w:rPr>
      </w:pPr>
      <w:r>
        <w:rPr>
          <w:rFonts w:ascii="黑体" w:hAnsi="黑体" w:eastAsia="黑体"/>
          <w:b/>
          <w:color w:val="auto"/>
          <w:sz w:val="24"/>
          <w:highlight w:val="none"/>
        </w:rPr>
        <w:t xml:space="preserve">3.4.1  </w:t>
      </w:r>
      <w:r>
        <w:rPr>
          <w:rFonts w:hint="eastAsia" w:ascii="宋体" w:hAnsi="宋体"/>
          <w:color w:val="auto"/>
          <w:sz w:val="24"/>
          <w:highlight w:val="none"/>
        </w:rPr>
        <w:t>投标文件报价出现前后不一致的，按照下列规定修正：</w:t>
      </w:r>
    </w:p>
    <w:p w14:paraId="23A5CF44">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w:t>
      </w:r>
      <w:r>
        <w:rPr>
          <w:rFonts w:hint="eastAsia" w:ascii="宋体" w:hAnsi="宋体"/>
          <w:color w:val="auto"/>
          <w:sz w:val="24"/>
          <w:szCs w:val="24"/>
          <w:highlight w:val="none"/>
        </w:rPr>
        <w:t>安阳市公共资源交易系统</w:t>
      </w:r>
      <w:r>
        <w:rPr>
          <w:rFonts w:hint="eastAsia" w:ascii="宋体" w:hAnsi="宋体"/>
          <w:color w:val="auto"/>
          <w:sz w:val="24"/>
          <w:highlight w:val="none"/>
        </w:rPr>
        <w:t>中报价一览表（即开标一览表）内容与投标文件中相应内容不一致的，以报价一览表（即开标一览表）为准；</w:t>
      </w:r>
    </w:p>
    <w:p w14:paraId="4A918EC7">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）大写金额和小写金额不一致的，以大写金额为准；</w:t>
      </w:r>
    </w:p>
    <w:p w14:paraId="35156862">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）单价金额小数点或者百分比有明显错位的，以报价一览表（即开标一览表）的总价为准，并修改单价；</w:t>
      </w:r>
    </w:p>
    <w:p w14:paraId="13C12717">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）总价金额与按单价汇总金额不一致的，以单价金额计算结果为准。</w:t>
      </w:r>
    </w:p>
    <w:p w14:paraId="7E820CA5">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hint="eastAsia" w:ascii="宋体" w:hAnsi="宋体"/>
          <w:color w:val="auto"/>
          <w:sz w:val="24"/>
          <w:highlight w:val="none"/>
        </w:rPr>
        <w:t>同时出现两种以上不一致的，按照前款规定的顺序修正。修正后的报价按照本章</w:t>
      </w:r>
      <w:r>
        <w:rPr>
          <w:rFonts w:ascii="宋体" w:hAnsi="宋体"/>
          <w:color w:val="auto"/>
          <w:sz w:val="24"/>
          <w:highlight w:val="none"/>
        </w:rPr>
        <w:t>3.3.4</w:t>
      </w:r>
      <w:r>
        <w:rPr>
          <w:rFonts w:hint="eastAsia" w:ascii="宋体" w:hAnsi="宋体"/>
          <w:color w:val="auto"/>
          <w:sz w:val="24"/>
          <w:highlight w:val="none"/>
        </w:rPr>
        <w:t>项规定经投标人确认后产生约束力，投标人不确认的，其投标无效。</w:t>
      </w:r>
    </w:p>
    <w:p w14:paraId="40F23345">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3.4</w:t>
      </w:r>
      <w:r>
        <w:rPr>
          <w:rFonts w:ascii="宋体"/>
          <w:color w:val="auto"/>
          <w:sz w:val="24"/>
          <w:highlight w:val="none"/>
        </w:rPr>
        <w:t>.</w:t>
      </w:r>
      <w:r>
        <w:rPr>
          <w:rFonts w:ascii="宋体" w:hAnsi="宋体"/>
          <w:color w:val="auto"/>
          <w:sz w:val="24"/>
          <w:highlight w:val="none"/>
        </w:rPr>
        <w:t xml:space="preserve">2 </w:t>
      </w:r>
      <w:r>
        <w:rPr>
          <w:rFonts w:hint="eastAsia" w:ascii="宋体" w:hAnsi="宋体"/>
          <w:color w:val="auto"/>
          <w:sz w:val="24"/>
          <w:highlight w:val="none"/>
        </w:rPr>
        <w:t>按本章第</w:t>
      </w:r>
      <w:r>
        <w:rPr>
          <w:rFonts w:ascii="宋体" w:hAnsi="宋体"/>
          <w:color w:val="auto"/>
          <w:sz w:val="24"/>
          <w:highlight w:val="none"/>
        </w:rPr>
        <w:t xml:space="preserve">4 </w:t>
      </w:r>
      <w:r>
        <w:rPr>
          <w:rFonts w:hint="eastAsia" w:ascii="宋体" w:hAnsi="宋体"/>
          <w:color w:val="auto"/>
          <w:sz w:val="24"/>
          <w:highlight w:val="none"/>
        </w:rPr>
        <w:t>条规定执行促进中小企业发展扶持政策，用扣除后的价格参与评审。</w:t>
      </w:r>
    </w:p>
    <w:p w14:paraId="68711505">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3.4</w:t>
      </w:r>
      <w:r>
        <w:rPr>
          <w:rFonts w:ascii="宋体"/>
          <w:color w:val="auto"/>
          <w:sz w:val="24"/>
          <w:highlight w:val="none"/>
        </w:rPr>
        <w:t>.</w:t>
      </w:r>
      <w:r>
        <w:rPr>
          <w:rFonts w:hint="eastAsia" w:ascii="宋体" w:hAnsi="宋体"/>
          <w:color w:val="auto"/>
          <w:sz w:val="24"/>
          <w:highlight w:val="none"/>
        </w:rPr>
        <w:t>3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73E0AB74">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 xml:space="preserve">3.4.5 </w:t>
      </w:r>
      <w:r>
        <w:rPr>
          <w:rFonts w:hint="eastAsia" w:ascii="宋体" w:hAnsi="宋体"/>
          <w:color w:val="auto"/>
          <w:sz w:val="24"/>
          <w:highlight w:val="none"/>
        </w:rPr>
        <w:t>除了算术修正和落实政府采购政策需进行的价格扣除外，评标委员会不对投标人的投标价格进行任何调整。</w:t>
      </w:r>
    </w:p>
    <w:p w14:paraId="5BC03C61">
      <w:pPr>
        <w:autoSpaceDE w:val="0"/>
        <w:autoSpaceDN w:val="0"/>
        <w:adjustRightInd w:val="0"/>
        <w:snapToGrid w:val="0"/>
        <w:spacing w:before="156" w:beforeLines="50" w:line="300" w:lineRule="auto"/>
        <w:ind w:firstLine="569" w:firstLineChars="236"/>
        <w:jc w:val="left"/>
        <w:rPr>
          <w:rFonts w:ascii="宋体"/>
          <w:color w:val="auto"/>
          <w:sz w:val="24"/>
          <w:highlight w:val="none"/>
        </w:rPr>
      </w:pPr>
      <w:r>
        <w:rPr>
          <w:rFonts w:ascii="黑体" w:hAnsi="黑体" w:eastAsia="黑体"/>
          <w:b/>
          <w:color w:val="auto"/>
          <w:sz w:val="24"/>
          <w:highlight w:val="none"/>
        </w:rPr>
        <w:t xml:space="preserve">3.5 </w:t>
      </w:r>
      <w:r>
        <w:rPr>
          <w:rFonts w:hint="eastAsia" w:ascii="黑体" w:hAnsi="黑体" w:eastAsia="黑体"/>
          <w:b/>
          <w:color w:val="auto"/>
          <w:sz w:val="24"/>
          <w:highlight w:val="none"/>
        </w:rPr>
        <w:t>复核</w:t>
      </w:r>
      <w:r>
        <w:rPr>
          <w:rFonts w:hint="eastAsia" w:ascii="宋体" w:hAnsi="宋体"/>
          <w:color w:val="auto"/>
          <w:sz w:val="24"/>
          <w:highlight w:val="none"/>
        </w:rPr>
        <w:t>：评标委员会对报价最低的、投标文件被认定为无效的情形，按招标文件实质性要求进行重点复核。</w:t>
      </w:r>
    </w:p>
    <w:p w14:paraId="11BB5CDC">
      <w:pPr>
        <w:autoSpaceDE w:val="0"/>
        <w:autoSpaceDN w:val="0"/>
        <w:adjustRightInd w:val="0"/>
        <w:snapToGrid w:val="0"/>
        <w:spacing w:before="156" w:beforeLines="50" w:line="300" w:lineRule="auto"/>
        <w:ind w:firstLine="569" w:firstLineChars="236"/>
        <w:jc w:val="left"/>
        <w:rPr>
          <w:rFonts w:ascii="黑体" w:hAnsi="黑体" w:eastAsia="黑体"/>
          <w:b/>
          <w:color w:val="auto"/>
          <w:sz w:val="24"/>
          <w:highlight w:val="none"/>
        </w:rPr>
      </w:pPr>
      <w:r>
        <w:rPr>
          <w:rFonts w:ascii="黑体" w:hAnsi="黑体" w:eastAsia="黑体"/>
          <w:b/>
          <w:color w:val="auto"/>
          <w:sz w:val="24"/>
          <w:highlight w:val="none"/>
        </w:rPr>
        <w:t xml:space="preserve">3.6 </w:t>
      </w:r>
      <w:r>
        <w:rPr>
          <w:rFonts w:hint="eastAsia" w:ascii="黑体" w:hAnsi="黑体" w:eastAsia="黑体"/>
          <w:b/>
          <w:color w:val="auto"/>
          <w:sz w:val="24"/>
          <w:highlight w:val="none"/>
        </w:rPr>
        <w:t>评标结果</w:t>
      </w:r>
    </w:p>
    <w:p w14:paraId="5200A02D">
      <w:pPr>
        <w:autoSpaceDE w:val="0"/>
        <w:autoSpaceDN w:val="0"/>
        <w:adjustRightInd w:val="0"/>
        <w:snapToGrid w:val="0"/>
        <w:spacing w:before="156" w:beforeLines="50" w:line="300" w:lineRule="auto"/>
        <w:ind w:firstLine="616" w:firstLineChars="257"/>
        <w:jc w:val="left"/>
        <w:rPr>
          <w:rFonts w:ascii="宋体" w:hAnsi="宋体"/>
          <w:color w:val="auto"/>
          <w:sz w:val="24"/>
          <w:highlight w:val="none"/>
        </w:rPr>
      </w:pPr>
      <w:r>
        <w:rPr>
          <w:rFonts w:ascii="宋体" w:hAnsi="宋体"/>
          <w:color w:val="auto"/>
          <w:sz w:val="24"/>
          <w:highlight w:val="none"/>
        </w:rPr>
        <w:t xml:space="preserve">3.6.1 </w:t>
      </w:r>
      <w:r>
        <w:rPr>
          <w:rFonts w:hint="eastAsia" w:ascii="宋体" w:hAnsi="宋体"/>
          <w:color w:val="auto"/>
          <w:sz w:val="24"/>
          <w:highlight w:val="none"/>
        </w:rPr>
        <w:t>评标委员会从投标文件满足招标文件全部实质性要求的投标人中，按照报价（扣除经评审合格的“价格扣除”，见本章第</w:t>
      </w:r>
      <w:r>
        <w:rPr>
          <w:rFonts w:ascii="宋体" w:hAnsi="宋体"/>
          <w:color w:val="auto"/>
          <w:sz w:val="24"/>
          <w:highlight w:val="none"/>
        </w:rPr>
        <w:t>4</w:t>
      </w:r>
      <w:r>
        <w:rPr>
          <w:rFonts w:hint="eastAsia" w:ascii="宋体" w:hAnsi="宋体"/>
          <w:color w:val="auto"/>
          <w:sz w:val="24"/>
          <w:highlight w:val="none"/>
        </w:rPr>
        <w:t>条）由低到高的顺序提出</w:t>
      </w:r>
      <w:r>
        <w:rPr>
          <w:rFonts w:ascii="宋体" w:hAnsi="宋体"/>
          <w:color w:val="auto"/>
          <w:sz w:val="24"/>
          <w:highlight w:val="none"/>
        </w:rPr>
        <w:t>3</w:t>
      </w:r>
      <w:r>
        <w:rPr>
          <w:rFonts w:hint="eastAsia" w:ascii="宋体" w:hAnsi="宋体"/>
          <w:color w:val="auto"/>
          <w:sz w:val="24"/>
          <w:highlight w:val="none"/>
        </w:rPr>
        <w:t>名以上中标候选人，并编写书面评标报告。</w:t>
      </w:r>
    </w:p>
    <w:p w14:paraId="0A8A5B78">
      <w:pPr>
        <w:autoSpaceDE w:val="0"/>
        <w:autoSpaceDN w:val="0"/>
        <w:adjustRightInd w:val="0"/>
        <w:snapToGrid w:val="0"/>
        <w:spacing w:before="156" w:beforeLines="50" w:line="300" w:lineRule="auto"/>
        <w:ind w:firstLine="566" w:firstLineChars="236"/>
        <w:jc w:val="left"/>
        <w:rPr>
          <w:rFonts w:ascii="宋体"/>
          <w:color w:val="auto"/>
          <w:sz w:val="24"/>
          <w:highlight w:val="none"/>
        </w:rPr>
      </w:pPr>
      <w:r>
        <w:rPr>
          <w:rFonts w:ascii="宋体" w:hAnsi="宋体"/>
          <w:color w:val="auto"/>
          <w:sz w:val="24"/>
          <w:highlight w:val="none"/>
        </w:rPr>
        <w:t xml:space="preserve">3.6.2 </w:t>
      </w:r>
      <w:r>
        <w:rPr>
          <w:rFonts w:hint="eastAsia" w:ascii="宋体" w:hAnsi="宋体"/>
          <w:color w:val="auto"/>
          <w:sz w:val="24"/>
          <w:highlight w:val="none"/>
        </w:rPr>
        <w:t>确定中标人：按第三章“投标人须知前附表”8</w:t>
      </w:r>
      <w:r>
        <w:rPr>
          <w:rFonts w:ascii="宋体" w:hAnsi="宋体"/>
          <w:color w:val="auto"/>
          <w:sz w:val="24"/>
          <w:highlight w:val="none"/>
        </w:rPr>
        <w:t>.1</w:t>
      </w:r>
      <w:r>
        <w:rPr>
          <w:rFonts w:hint="eastAsia" w:ascii="宋体" w:hAnsi="宋体"/>
          <w:color w:val="auto"/>
          <w:sz w:val="24"/>
          <w:highlight w:val="none"/>
        </w:rPr>
        <w:t>款规定及本章第</w:t>
      </w:r>
      <w:r>
        <w:rPr>
          <w:rFonts w:ascii="宋体" w:hAnsi="宋体"/>
          <w:color w:val="auto"/>
          <w:sz w:val="24"/>
          <w:highlight w:val="none"/>
        </w:rPr>
        <w:t>1</w:t>
      </w:r>
      <w:r>
        <w:rPr>
          <w:rFonts w:hint="eastAsia" w:ascii="宋体" w:hAnsi="宋体"/>
          <w:color w:val="auto"/>
          <w:sz w:val="24"/>
          <w:highlight w:val="none"/>
        </w:rPr>
        <w:t>条规定。</w:t>
      </w:r>
    </w:p>
    <w:p w14:paraId="7E6F7AEF">
      <w:pPr>
        <w:autoSpaceDE w:val="0"/>
        <w:autoSpaceDN w:val="0"/>
        <w:adjustRightInd w:val="0"/>
        <w:snapToGrid w:val="0"/>
        <w:spacing w:before="50" w:line="300" w:lineRule="auto"/>
        <w:ind w:firstLine="569" w:firstLineChars="236"/>
        <w:jc w:val="left"/>
        <w:rPr>
          <w:rFonts w:ascii="黑体" w:hAnsi="黑体" w:eastAsia="黑体"/>
          <w:b/>
          <w:color w:val="auto"/>
          <w:sz w:val="24"/>
          <w:highlight w:val="none"/>
        </w:rPr>
      </w:pPr>
      <w:r>
        <w:rPr>
          <w:rFonts w:ascii="黑体" w:hAnsi="黑体" w:eastAsia="黑体"/>
          <w:b/>
          <w:color w:val="auto"/>
          <w:sz w:val="24"/>
          <w:highlight w:val="none"/>
        </w:rPr>
        <w:t xml:space="preserve">3.7 </w:t>
      </w:r>
      <w:r>
        <w:rPr>
          <w:rFonts w:hint="eastAsia" w:ascii="黑体" w:hAnsi="黑体" w:eastAsia="黑体"/>
          <w:b/>
          <w:color w:val="auto"/>
          <w:sz w:val="24"/>
          <w:highlight w:val="none"/>
        </w:rPr>
        <w:t>废标</w:t>
      </w:r>
    </w:p>
    <w:p w14:paraId="06E86BE5">
      <w:pPr>
        <w:autoSpaceDE w:val="0"/>
        <w:autoSpaceDN w:val="0"/>
        <w:adjustRightInd w:val="0"/>
        <w:snapToGrid w:val="0"/>
        <w:spacing w:before="50" w:line="300" w:lineRule="auto"/>
        <w:ind w:firstLine="566" w:firstLineChars="236"/>
        <w:jc w:val="left"/>
        <w:rPr>
          <w:rFonts w:ascii="宋体"/>
          <w:color w:val="auto"/>
          <w:sz w:val="24"/>
          <w:highlight w:val="none"/>
        </w:rPr>
      </w:pPr>
      <w:r>
        <w:rPr>
          <w:rFonts w:ascii="宋体" w:hAnsi="宋体"/>
          <w:color w:val="auto"/>
          <w:sz w:val="24"/>
          <w:highlight w:val="none"/>
        </w:rPr>
        <w:t xml:space="preserve">3.7.1 </w:t>
      </w:r>
      <w:r>
        <w:rPr>
          <w:rFonts w:hint="eastAsia" w:ascii="宋体" w:hAnsi="宋体"/>
          <w:color w:val="auto"/>
          <w:sz w:val="24"/>
          <w:highlight w:val="none"/>
        </w:rPr>
        <w:t>出现下列情形之一的，应予废标：</w:t>
      </w:r>
    </w:p>
    <w:p w14:paraId="5B490B56">
      <w:pPr>
        <w:autoSpaceDE w:val="0"/>
        <w:autoSpaceDN w:val="0"/>
        <w:adjustRightInd w:val="0"/>
        <w:snapToGrid w:val="0"/>
        <w:spacing w:before="50" w:line="300" w:lineRule="auto"/>
        <w:ind w:firstLine="566" w:firstLineChars="236"/>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）符合专业条件的供应商或者对招标文件作实质响应的供应商不足三家的；</w:t>
      </w:r>
      <w:r>
        <w:rPr>
          <w:rFonts w:ascii="宋体" w:hAnsi="宋体"/>
          <w:color w:val="auto"/>
          <w:sz w:val="24"/>
          <w:highlight w:val="none"/>
        </w:rPr>
        <w:t xml:space="preserve"> </w:t>
      </w:r>
    </w:p>
    <w:p w14:paraId="6DA9B351">
      <w:pPr>
        <w:autoSpaceDE w:val="0"/>
        <w:autoSpaceDN w:val="0"/>
        <w:adjustRightInd w:val="0"/>
        <w:snapToGrid w:val="0"/>
        <w:spacing w:before="50" w:line="300" w:lineRule="auto"/>
        <w:ind w:firstLine="566" w:firstLineChars="236"/>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）出现影响采购公正的违法、违规行为的；</w:t>
      </w:r>
      <w:r>
        <w:rPr>
          <w:rFonts w:ascii="宋体" w:hAnsi="宋体"/>
          <w:color w:val="auto"/>
          <w:sz w:val="24"/>
          <w:highlight w:val="none"/>
        </w:rPr>
        <w:t xml:space="preserve"> </w:t>
      </w:r>
    </w:p>
    <w:p w14:paraId="4A83FFBB">
      <w:pPr>
        <w:autoSpaceDE w:val="0"/>
        <w:autoSpaceDN w:val="0"/>
        <w:adjustRightInd w:val="0"/>
        <w:snapToGrid w:val="0"/>
        <w:spacing w:before="50" w:line="300" w:lineRule="auto"/>
        <w:ind w:firstLine="566" w:firstLineChars="236"/>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）未超过预算金额的供应商不足</w:t>
      </w:r>
      <w:r>
        <w:rPr>
          <w:rFonts w:ascii="宋体" w:hAnsi="宋体"/>
          <w:color w:val="auto"/>
          <w:sz w:val="24"/>
          <w:highlight w:val="none"/>
        </w:rPr>
        <w:t>3</w:t>
      </w:r>
      <w:r>
        <w:rPr>
          <w:rFonts w:hint="eastAsia" w:ascii="宋体" w:hAnsi="宋体"/>
          <w:color w:val="auto"/>
          <w:sz w:val="24"/>
          <w:highlight w:val="none"/>
        </w:rPr>
        <w:t>家的</w:t>
      </w:r>
      <w:r>
        <w:rPr>
          <w:rFonts w:ascii="宋体" w:hAnsi="宋体"/>
          <w:color w:val="auto"/>
          <w:sz w:val="24"/>
          <w:highlight w:val="none"/>
        </w:rPr>
        <w:t xml:space="preserve"> </w:t>
      </w:r>
    </w:p>
    <w:p w14:paraId="42A3F86F">
      <w:pPr>
        <w:autoSpaceDE w:val="0"/>
        <w:autoSpaceDN w:val="0"/>
        <w:adjustRightInd w:val="0"/>
        <w:snapToGrid w:val="0"/>
        <w:spacing w:before="50" w:line="300" w:lineRule="auto"/>
        <w:ind w:firstLine="566" w:firstLineChars="236"/>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）因重大变故，采购任务取消的。</w:t>
      </w:r>
      <w:r>
        <w:rPr>
          <w:rFonts w:ascii="宋体" w:hAnsi="宋体"/>
          <w:color w:val="auto"/>
          <w:sz w:val="24"/>
          <w:highlight w:val="none"/>
        </w:rPr>
        <w:t xml:space="preserve"> </w:t>
      </w:r>
    </w:p>
    <w:p w14:paraId="408388F8">
      <w:pPr>
        <w:autoSpaceDE w:val="0"/>
        <w:autoSpaceDN w:val="0"/>
        <w:adjustRightInd w:val="0"/>
        <w:snapToGrid w:val="0"/>
        <w:spacing w:before="50" w:line="300" w:lineRule="auto"/>
        <w:ind w:firstLine="566" w:firstLineChars="236"/>
        <w:jc w:val="left"/>
        <w:rPr>
          <w:rFonts w:ascii="宋体"/>
          <w:color w:val="auto"/>
          <w:sz w:val="24"/>
          <w:highlight w:val="none"/>
        </w:rPr>
      </w:pPr>
      <w:r>
        <w:rPr>
          <w:rFonts w:ascii="宋体" w:hAnsi="宋体"/>
          <w:color w:val="auto"/>
          <w:sz w:val="24"/>
          <w:highlight w:val="none"/>
        </w:rPr>
        <w:t xml:space="preserve">3.7.2 </w:t>
      </w:r>
      <w:r>
        <w:rPr>
          <w:rFonts w:hint="eastAsia" w:ascii="宋体" w:hAnsi="宋体"/>
          <w:color w:val="auto"/>
          <w:sz w:val="24"/>
          <w:highlight w:val="none"/>
        </w:rPr>
        <w:t>评标委员会要在废标时，出具招标文件是否存在不合理条款的论证意见，要协助采购人、采购代理机构、财政部门答复质疑或处理投诉事项。　</w:t>
      </w:r>
    </w:p>
    <w:p w14:paraId="3DFB89CA">
      <w:pPr>
        <w:autoSpaceDE w:val="0"/>
        <w:autoSpaceDN w:val="0"/>
        <w:adjustRightInd w:val="0"/>
        <w:snapToGrid w:val="0"/>
        <w:spacing w:before="156" w:beforeLines="50" w:line="300" w:lineRule="auto"/>
        <w:ind w:firstLine="566" w:firstLineChars="236"/>
        <w:jc w:val="left"/>
        <w:rPr>
          <w:rFonts w:ascii="宋体"/>
          <w:color w:val="auto"/>
          <w:sz w:val="24"/>
          <w:highlight w:val="none"/>
        </w:rPr>
      </w:pPr>
    </w:p>
    <w:p w14:paraId="36C5485D">
      <w:pPr>
        <w:widowControl w:val="0"/>
        <w:adjustRightInd w:val="0"/>
        <w:snapToGrid w:val="0"/>
        <w:spacing w:before="156" w:beforeLines="50" w:line="300" w:lineRule="auto"/>
        <w:ind w:left="23" w:firstLine="556"/>
        <w:jc w:val="left"/>
        <w:outlineLvl w:val="1"/>
        <w:rPr>
          <w:rFonts w:ascii="黑体" w:hAnsi="黑体" w:eastAsia="黑体" w:cs="楷体_GB2312"/>
          <w:b/>
          <w:bCs/>
          <w:color w:val="auto"/>
          <w:sz w:val="28"/>
          <w:szCs w:val="28"/>
          <w:highlight w:val="none"/>
          <w:lang w:val="zh-CN"/>
        </w:rPr>
      </w:pPr>
      <w:bookmarkStart w:id="58" w:name="_Toc1635"/>
      <w:r>
        <w:rPr>
          <w:rFonts w:ascii="黑体" w:hAnsi="黑体" w:eastAsia="黑体" w:cs="楷体_GB2312"/>
          <w:b/>
          <w:bCs/>
          <w:color w:val="auto"/>
          <w:sz w:val="28"/>
          <w:szCs w:val="28"/>
          <w:highlight w:val="none"/>
          <w:lang w:val="zh-CN"/>
        </w:rPr>
        <w:t xml:space="preserve">4. </w:t>
      </w:r>
      <w:r>
        <w:rPr>
          <w:rFonts w:hint="eastAsia" w:ascii="黑体" w:hAnsi="黑体" w:eastAsia="黑体" w:cs="楷体_GB2312"/>
          <w:b/>
          <w:bCs/>
          <w:color w:val="auto"/>
          <w:sz w:val="28"/>
          <w:szCs w:val="28"/>
          <w:highlight w:val="none"/>
          <w:lang w:val="zh-CN"/>
        </w:rPr>
        <w:t>政府采购促进中小企业发展扶持政策</w:t>
      </w:r>
      <w:bookmarkEnd w:id="58"/>
    </w:p>
    <w:p w14:paraId="728270D0">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4.1</w:t>
      </w:r>
      <w:r>
        <w:rPr>
          <w:rFonts w:ascii="宋体" w:hAnsi="宋体"/>
          <w:color w:val="auto"/>
          <w:sz w:val="24"/>
          <w:highlight w:val="none"/>
        </w:rPr>
        <w:t>在政府采购活动中，供应商提供的货物、工程或者服务符合下列情形的， 享受</w:t>
      </w:r>
      <w:r>
        <w:rPr>
          <w:rFonts w:hint="eastAsia" w:ascii="宋体" w:hAnsi="宋体"/>
          <w:color w:val="auto"/>
          <w:sz w:val="24"/>
          <w:highlight w:val="none"/>
        </w:rPr>
        <w:t>《政府采购促进中小企业发展管理办法》</w:t>
      </w:r>
      <w:r>
        <w:rPr>
          <w:rFonts w:ascii="宋体" w:hAnsi="宋体"/>
          <w:color w:val="auto"/>
          <w:sz w:val="24"/>
          <w:highlight w:val="none"/>
        </w:rPr>
        <w:t>规定的中小企业扶持政策：</w:t>
      </w:r>
      <w:r>
        <w:rPr>
          <w:rFonts w:ascii="宋体" w:hAnsi="宋体"/>
          <w:color w:val="auto"/>
          <w:sz w:val="24"/>
          <w:highlight w:val="none"/>
        </w:rPr>
        <w:br w:type="textWrapping"/>
      </w:r>
      <w:r>
        <w:rPr>
          <w:rFonts w:hint="eastAsia" w:ascii="宋体" w:hAnsi="宋体"/>
          <w:color w:val="auto"/>
          <w:sz w:val="24"/>
          <w:highlight w:val="none"/>
        </w:rPr>
        <w:t xml:space="preserve">   </w:t>
      </w:r>
      <w:r>
        <w:rPr>
          <w:rFonts w:ascii="宋体" w:hAnsi="宋体"/>
          <w:color w:val="auto"/>
          <w:sz w:val="24"/>
          <w:highlight w:val="none"/>
        </w:rPr>
        <w:t>（一） 在货物采购项目中，货物由中小企业制造，即货物由中小企业生产且使用该中小企业商号或者注册商标；</w:t>
      </w:r>
      <w:r>
        <w:rPr>
          <w:rFonts w:ascii="宋体" w:hAnsi="宋体"/>
          <w:color w:val="auto"/>
          <w:sz w:val="24"/>
          <w:highlight w:val="none"/>
        </w:rPr>
        <w:br w:type="textWrapping"/>
      </w:r>
      <w:r>
        <w:rPr>
          <w:rFonts w:hint="eastAsia" w:ascii="宋体" w:hAnsi="宋体"/>
          <w:color w:val="auto"/>
          <w:sz w:val="24"/>
          <w:highlight w:val="none"/>
        </w:rPr>
        <w:t xml:space="preserve">   </w:t>
      </w:r>
      <w:r>
        <w:rPr>
          <w:rFonts w:ascii="宋体" w:hAnsi="宋体"/>
          <w:color w:val="auto"/>
          <w:sz w:val="24"/>
          <w:highlight w:val="none"/>
        </w:rPr>
        <w:t>（二） 在工程采购项目中，工程由中小企业承建，即工程施工单位为中小企业；</w:t>
      </w:r>
      <w:r>
        <w:rPr>
          <w:rFonts w:ascii="宋体" w:hAnsi="宋体"/>
          <w:color w:val="auto"/>
          <w:sz w:val="24"/>
          <w:highlight w:val="none"/>
        </w:rPr>
        <w:br w:type="textWrapping"/>
      </w:r>
      <w:r>
        <w:rPr>
          <w:rFonts w:hint="eastAsia" w:ascii="宋体" w:hAnsi="宋体"/>
          <w:color w:val="auto"/>
          <w:sz w:val="24"/>
          <w:highlight w:val="none"/>
        </w:rPr>
        <w:t xml:space="preserve">   </w:t>
      </w:r>
      <w:r>
        <w:rPr>
          <w:rFonts w:ascii="宋体" w:hAnsi="宋体"/>
          <w:color w:val="auto"/>
          <w:sz w:val="24"/>
          <w:highlight w:val="none"/>
        </w:rPr>
        <w:t>（三）在服务采购项目中，服务由中小企业承接，即提供服务的人员为中小企业依照《中华人民共和国劳动合同法》订立劳动合同的从业人员</w:t>
      </w:r>
      <w:r>
        <w:rPr>
          <w:rFonts w:hint="eastAsia" w:ascii="宋体" w:hAnsi="宋体"/>
          <w:color w:val="auto"/>
          <w:sz w:val="24"/>
          <w:highlight w:val="none"/>
        </w:rPr>
        <w:t>。</w:t>
      </w:r>
    </w:p>
    <w:p w14:paraId="4E14B479">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ascii="宋体" w:hAnsi="宋体"/>
          <w:color w:val="auto"/>
          <w:sz w:val="24"/>
          <w:highlight w:val="none"/>
        </w:rPr>
        <w:t>在货物采购项目中，供应商提供的货物既有中小企业制造货物，也有大型企业制造货物的，不享受中小企业扶持政策。</w:t>
      </w:r>
      <w:r>
        <w:rPr>
          <w:rFonts w:ascii="宋体" w:hAnsi="宋体"/>
          <w:color w:val="auto"/>
          <w:sz w:val="24"/>
          <w:highlight w:val="none"/>
        </w:rPr>
        <w:br w:type="textWrapping"/>
      </w:r>
      <w:r>
        <w:rPr>
          <w:rFonts w:hint="eastAsia" w:ascii="宋体" w:hAnsi="宋体"/>
          <w:color w:val="auto"/>
          <w:sz w:val="24"/>
          <w:highlight w:val="none"/>
        </w:rPr>
        <w:t xml:space="preserve">    </w:t>
      </w:r>
      <w:r>
        <w:rPr>
          <w:rFonts w:ascii="宋体" w:hAnsi="宋体"/>
          <w:color w:val="auto"/>
          <w:sz w:val="24"/>
          <w:highlight w:val="none"/>
        </w:rPr>
        <w:t>以联合体形式参加政府采购活动，联合体各方均为中小企业的，联合体视同中小企业。其中，联合体各方均为小微企业的，联合体视同小微企业。</w:t>
      </w:r>
    </w:p>
    <w:p w14:paraId="30CA500A">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4.2 符合中小企业划分标准的个体工商户，在政府采购活动中视同中小企业。</w:t>
      </w:r>
    </w:p>
    <w:p w14:paraId="67B4041E">
      <w:pPr>
        <w:adjustRightInd w:val="0"/>
        <w:snapToGrid w:val="0"/>
        <w:spacing w:before="156" w:beforeLines="50" w:line="300" w:lineRule="auto"/>
        <w:ind w:firstLine="555"/>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3监狱企业、符合法</w:t>
      </w:r>
      <w:r>
        <w:rPr>
          <w:rFonts w:ascii="宋体" w:hAnsi="宋体"/>
          <w:color w:val="auto"/>
          <w:sz w:val="24"/>
          <w:highlight w:val="none"/>
        </w:rPr>
        <w:t>定</w:t>
      </w:r>
      <w:r>
        <w:rPr>
          <w:rFonts w:hint="eastAsia" w:ascii="宋体" w:hAnsi="宋体"/>
          <w:color w:val="auto"/>
          <w:sz w:val="24"/>
          <w:highlight w:val="none"/>
        </w:rPr>
        <w:t>条件的残疾人福利性单位视同小型、微型企业，享受预留份额、评审中价格扣除等政府采购促进中小企业发展的政府采购政策。监狱企业参加政府采购活动时，应当提供由省级以上监狱管理局、戒毒管理局（含新疆生产建设兵团）出具的属于监狱企业的证明文件。符合法定条件的残疾人福利性单位提供财库〔2017〕141号规定的《残疾人福利性单位声明函》，残疾人福利性单位属于小型、微型企业的，不重复享受政策。</w:t>
      </w:r>
    </w:p>
    <w:p w14:paraId="609130A2">
      <w:pPr>
        <w:adjustRightInd w:val="0"/>
        <w:snapToGrid w:val="0"/>
        <w:spacing w:before="156" w:beforeLines="50" w:line="300" w:lineRule="auto"/>
        <w:ind w:firstLine="555"/>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3</w:t>
      </w:r>
      <w:r>
        <w:rPr>
          <w:rFonts w:ascii="宋体" w:hAnsi="宋体"/>
          <w:color w:val="auto"/>
          <w:sz w:val="24"/>
          <w:highlight w:val="none"/>
        </w:rPr>
        <w:t>.1</w:t>
      </w:r>
      <w:r>
        <w:rPr>
          <w:rFonts w:hint="eastAsia" w:ascii="宋体" w:hAnsi="宋体"/>
          <w:color w:val="auto"/>
          <w:sz w:val="24"/>
          <w:highlight w:val="none"/>
        </w:rPr>
        <w:t xml:space="preserve"> 享受政府采购支持政策的残疾人福利性单位应当同时满足以下条件：</w:t>
      </w:r>
    </w:p>
    <w:p w14:paraId="0310F3CD">
      <w:pPr>
        <w:adjustRightInd w:val="0"/>
        <w:snapToGrid w:val="0"/>
        <w:spacing w:before="156" w:beforeLines="50" w:line="300" w:lineRule="auto"/>
        <w:ind w:firstLine="555"/>
        <w:rPr>
          <w:rFonts w:ascii="宋体" w:hAnsi="宋体"/>
          <w:color w:val="auto"/>
          <w:sz w:val="24"/>
          <w:highlight w:val="none"/>
        </w:rPr>
      </w:pPr>
      <w:r>
        <w:rPr>
          <w:rFonts w:hint="eastAsia" w:ascii="宋体" w:hAnsi="宋体"/>
          <w:color w:val="auto"/>
          <w:sz w:val="24"/>
          <w:highlight w:val="none"/>
        </w:rPr>
        <w:t>（1）安置的残疾人占本单位在职职工人数的比例不低于25%（含25%），并且安置的残疾人人数不少于10人（含10人）；</w:t>
      </w:r>
    </w:p>
    <w:p w14:paraId="498EC7C6">
      <w:pPr>
        <w:adjustRightInd w:val="0"/>
        <w:snapToGrid w:val="0"/>
        <w:spacing w:before="156" w:beforeLines="50" w:line="300" w:lineRule="auto"/>
        <w:ind w:firstLine="555"/>
        <w:rPr>
          <w:rFonts w:ascii="宋体" w:hAnsi="宋体" w:cs="宋体"/>
          <w:color w:val="auto"/>
          <w:sz w:val="24"/>
          <w:szCs w:val="24"/>
          <w:highlight w:val="none"/>
        </w:rPr>
      </w:pPr>
      <w:r>
        <w:rPr>
          <w:rFonts w:hint="eastAsia" w:ascii="宋体" w:hAnsi="宋体" w:cs="宋体"/>
          <w:color w:val="auto"/>
          <w:sz w:val="24"/>
          <w:szCs w:val="24"/>
          <w:highlight w:val="none"/>
        </w:rPr>
        <w:t>（2）依法与安置的每位残疾人签订了一年以上（含一年）的劳动合同或服务协议；</w:t>
      </w:r>
    </w:p>
    <w:p w14:paraId="131273E4">
      <w:pPr>
        <w:adjustRightInd w:val="0"/>
        <w:snapToGrid w:val="0"/>
        <w:spacing w:before="156" w:beforeLines="50" w:line="300" w:lineRule="auto"/>
        <w:ind w:firstLine="555"/>
        <w:rPr>
          <w:rFonts w:ascii="宋体" w:hAnsi="宋体" w:cs="宋体"/>
          <w:color w:val="auto"/>
          <w:sz w:val="24"/>
          <w:szCs w:val="24"/>
          <w:highlight w:val="none"/>
        </w:rPr>
      </w:pPr>
      <w:r>
        <w:rPr>
          <w:rFonts w:hint="eastAsia" w:ascii="宋体" w:hAnsi="宋体" w:cs="宋体"/>
          <w:color w:val="auto"/>
          <w:sz w:val="24"/>
          <w:szCs w:val="24"/>
          <w:highlight w:val="none"/>
        </w:rPr>
        <w:t>（3）为安置的每位残疾人按月足额缴纳了基本养老保险、基本医疗保险、失业保险、工伤保险和生育保险等社会保险费；</w:t>
      </w:r>
    </w:p>
    <w:p w14:paraId="4CBEE2EB">
      <w:pPr>
        <w:adjustRightInd w:val="0"/>
        <w:snapToGrid w:val="0"/>
        <w:spacing w:before="156" w:beforeLines="50" w:line="300" w:lineRule="auto"/>
        <w:ind w:firstLine="555"/>
        <w:rPr>
          <w:rFonts w:ascii="宋体" w:hAnsi="宋体" w:cs="宋体"/>
          <w:color w:val="auto"/>
          <w:sz w:val="24"/>
          <w:szCs w:val="24"/>
          <w:highlight w:val="none"/>
        </w:rPr>
      </w:pPr>
      <w:r>
        <w:rPr>
          <w:rFonts w:hint="eastAsia" w:ascii="宋体" w:hAnsi="宋体" w:cs="宋体"/>
          <w:color w:val="auto"/>
          <w:sz w:val="24"/>
          <w:szCs w:val="24"/>
          <w:highlight w:val="none"/>
        </w:rPr>
        <w:t>（4）通过银行等金融机构向安置的每位残疾人，按月支付了不低于单位所在区县适用的经省级人民政府批准的月最低工资标准的工资；</w:t>
      </w:r>
    </w:p>
    <w:p w14:paraId="13B81ECA">
      <w:pPr>
        <w:adjustRightInd w:val="0"/>
        <w:snapToGrid w:val="0"/>
        <w:spacing w:before="156" w:beforeLines="50" w:line="300" w:lineRule="auto"/>
        <w:ind w:firstLine="555"/>
        <w:rPr>
          <w:rFonts w:ascii="宋体" w:hAnsi="宋体" w:cs="宋体"/>
          <w:color w:val="auto"/>
          <w:sz w:val="24"/>
          <w:szCs w:val="24"/>
          <w:highlight w:val="none"/>
        </w:rPr>
      </w:pPr>
      <w:r>
        <w:rPr>
          <w:rFonts w:hint="eastAsia" w:ascii="宋体" w:hAnsi="宋体" w:cs="宋体"/>
          <w:color w:val="auto"/>
          <w:sz w:val="24"/>
          <w:szCs w:val="24"/>
          <w:highlight w:val="none"/>
        </w:rPr>
        <w:t>（5）提供本单位制造的货物、承担的工程或者服务（以下简称产品），或者提供其他残疾人福利性单位制造的货物（不包括使用非残疾人福利性单位注册商标的货物）。</w:t>
      </w:r>
    </w:p>
    <w:p w14:paraId="3A817088">
      <w:pPr>
        <w:adjustRightInd w:val="0"/>
        <w:snapToGrid w:val="0"/>
        <w:spacing w:before="156" w:beforeLines="50" w:line="300" w:lineRule="auto"/>
        <w:ind w:firstLine="555"/>
        <w:rPr>
          <w:rFonts w:ascii="宋体" w:hAnsi="宋体" w:cs="宋体"/>
          <w:color w:val="auto"/>
          <w:sz w:val="24"/>
          <w:szCs w:val="24"/>
          <w:highlight w:val="none"/>
        </w:rPr>
      </w:pPr>
      <w:r>
        <w:rPr>
          <w:rFonts w:hint="eastAsia" w:ascii="宋体" w:hAnsi="宋体" w:cs="宋体"/>
          <w:color w:val="auto"/>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F022FB6">
      <w:pPr>
        <w:autoSpaceDE w:val="0"/>
        <w:autoSpaceDN w:val="0"/>
        <w:adjustRightInd w:val="0"/>
        <w:snapToGrid w:val="0"/>
        <w:spacing w:before="156" w:beforeLines="50" w:line="300" w:lineRule="auto"/>
        <w:ind w:firstLine="566" w:firstLineChars="236"/>
        <w:jc w:val="left"/>
        <w:rPr>
          <w:rFonts w:ascii="宋体" w:hAnsi="宋体" w:cstheme="minorBidi"/>
          <w:color w:val="auto"/>
          <w:sz w:val="24"/>
          <w:szCs w:val="22"/>
          <w:highlight w:val="none"/>
        </w:rPr>
      </w:pPr>
      <w:r>
        <w:rPr>
          <w:rFonts w:hint="eastAsia" w:ascii="宋体" w:hAnsi="宋体"/>
          <w:color w:val="auto"/>
          <w:sz w:val="24"/>
          <w:highlight w:val="none"/>
        </w:rPr>
        <w:t xml:space="preserve">4.4 </w:t>
      </w:r>
      <w:r>
        <w:rPr>
          <w:rFonts w:hint="eastAsia"/>
          <w:color w:val="auto"/>
          <w:sz w:val="24"/>
          <w:szCs w:val="24"/>
          <w:highlight w:val="none"/>
        </w:rPr>
        <w:t>参加</w:t>
      </w:r>
      <w:r>
        <w:rPr>
          <w:rFonts w:hint="eastAsia" w:ascii="宋体" w:hAnsi="宋体"/>
          <w:color w:val="auto"/>
          <w:sz w:val="24"/>
          <w:highlight w:val="none"/>
        </w:rPr>
        <w:t>本次政府招标项目的中小企业应按附件格式提供《中小企业声明函》。</w:t>
      </w:r>
      <w:r>
        <w:rPr>
          <w:rFonts w:hint="eastAsia" w:ascii="宋体" w:hAnsi="宋体" w:cs="宋体"/>
          <w:color w:val="auto"/>
          <w:sz w:val="24"/>
          <w:szCs w:val="24"/>
          <w:highlight w:val="none"/>
        </w:rPr>
        <w:t>如招标文件接受以联合体形式参加投标的，联合体各方均应按附件格式提供《中小企业声明函》。</w:t>
      </w:r>
    </w:p>
    <w:p w14:paraId="78511CB0">
      <w:pPr>
        <w:autoSpaceDE w:val="0"/>
        <w:autoSpaceDN w:val="0"/>
        <w:adjustRightInd w:val="0"/>
        <w:snapToGrid w:val="0"/>
        <w:spacing w:before="156" w:beforeLines="50" w:line="300" w:lineRule="auto"/>
        <w:ind w:firstLine="684" w:firstLineChars="285"/>
        <w:jc w:val="left"/>
        <w:rPr>
          <w:rFonts w:ascii="宋体" w:hAnsi="宋体"/>
          <w:color w:val="auto"/>
          <w:sz w:val="24"/>
          <w:highlight w:val="none"/>
        </w:rPr>
      </w:pPr>
      <w:r>
        <w:rPr>
          <w:rFonts w:hint="eastAsia" w:ascii="宋体" w:hAnsi="宋体"/>
          <w:color w:val="auto"/>
          <w:sz w:val="24"/>
          <w:highlight w:val="none"/>
        </w:rPr>
        <w:t>供应商按照财库〔2020〕46号规定及招标文件要求提供声明函内容不实的，属于提供虚假材料谋取中标、成交，依照《中华人民共和国政府采购法》等国家有关规定追究相应责任。</w:t>
      </w:r>
    </w:p>
    <w:p w14:paraId="4477B033">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4.5 《政府采购促进中小企业发展管理办法》各项中小企业扶持政策中，价格扣除扶持政策仅小型、微型企业适用。</w:t>
      </w:r>
    </w:p>
    <w:p w14:paraId="387514FF">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4.6 小微企业价格扣除扶持政策：</w:t>
      </w:r>
    </w:p>
    <w:p w14:paraId="0AE625EF">
      <w:pPr>
        <w:autoSpaceDE w:val="0"/>
        <w:autoSpaceDN w:val="0"/>
        <w:adjustRightInd w:val="0"/>
        <w:snapToGrid w:val="0"/>
        <w:spacing w:before="156" w:beforeLines="50" w:line="300" w:lineRule="auto"/>
        <w:ind w:firstLine="684" w:firstLineChars="285"/>
        <w:jc w:val="left"/>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6.</w:t>
      </w:r>
      <w:r>
        <w:rPr>
          <w:rFonts w:ascii="宋体" w:hAnsi="宋体"/>
          <w:color w:val="auto"/>
          <w:sz w:val="24"/>
          <w:highlight w:val="none"/>
        </w:rPr>
        <w:t xml:space="preserve">1 </w:t>
      </w:r>
      <w:r>
        <w:rPr>
          <w:rFonts w:hint="eastAsia" w:ascii="宋体" w:hAnsi="宋体"/>
          <w:color w:val="auto"/>
          <w:sz w:val="24"/>
          <w:highlight w:val="none"/>
        </w:rPr>
        <w:t>本次政府招标项目对符合《政府采购促进中小企业发展管理办法》小型和微型企业的报价给予5</w:t>
      </w:r>
      <w:r>
        <w:rPr>
          <w:rFonts w:ascii="宋体" w:hAnsi="宋体"/>
          <w:color w:val="auto"/>
          <w:sz w:val="24"/>
          <w:highlight w:val="none"/>
        </w:rPr>
        <w:t>%</w:t>
      </w:r>
      <w:r>
        <w:rPr>
          <w:rFonts w:hint="eastAsia" w:ascii="宋体" w:hAnsi="宋体"/>
          <w:color w:val="auto"/>
          <w:sz w:val="24"/>
          <w:highlight w:val="none"/>
        </w:rPr>
        <w:t>的扣除，用扣除后的价格参与评审。</w:t>
      </w:r>
    </w:p>
    <w:p w14:paraId="05C0FB66">
      <w:pPr>
        <w:autoSpaceDE w:val="0"/>
        <w:autoSpaceDN w:val="0"/>
        <w:adjustRightInd w:val="0"/>
        <w:snapToGrid w:val="0"/>
        <w:spacing w:before="156" w:beforeLines="50" w:line="300" w:lineRule="auto"/>
        <w:ind w:firstLine="684" w:firstLineChars="285"/>
        <w:jc w:val="left"/>
        <w:rPr>
          <w:rFonts w:ascii="宋体" w:hAnsi="宋体"/>
          <w:color w:val="auto"/>
          <w:sz w:val="24"/>
          <w:highlight w:val="none"/>
        </w:rPr>
      </w:pPr>
      <w:r>
        <w:rPr>
          <w:rFonts w:hint="eastAsia" w:ascii="宋体" w:hAnsi="宋体"/>
          <w:color w:val="auto"/>
          <w:sz w:val="24"/>
          <w:highlight w:val="none"/>
        </w:rPr>
        <w:t>（1）投标人所投货物均由小型和微型企业制造，享受小微企业价格扣除扶持政策。</w:t>
      </w:r>
    </w:p>
    <w:p w14:paraId="2362DC85">
      <w:pPr>
        <w:autoSpaceDE w:val="0"/>
        <w:autoSpaceDN w:val="0"/>
        <w:adjustRightInd w:val="0"/>
        <w:snapToGrid w:val="0"/>
        <w:spacing w:before="156" w:beforeLines="50" w:line="300" w:lineRule="auto"/>
        <w:ind w:firstLine="684" w:firstLineChars="285"/>
        <w:jc w:val="left"/>
        <w:rPr>
          <w:rFonts w:ascii="宋体" w:hAnsi="宋体"/>
          <w:color w:val="auto"/>
          <w:sz w:val="24"/>
          <w:highlight w:val="none"/>
        </w:rPr>
      </w:pPr>
      <w:r>
        <w:rPr>
          <w:rFonts w:hint="eastAsia" w:ascii="宋体" w:hAnsi="宋体"/>
          <w:color w:val="auto"/>
          <w:sz w:val="24"/>
          <w:highlight w:val="none"/>
        </w:rPr>
        <w:t>（2）投标人所投货物既有小型和微型企业制造，也有中型企业制造或大型企业制造的，不享受小微企业价格扣除扶持政策。</w:t>
      </w:r>
    </w:p>
    <w:p w14:paraId="1D65DAF7">
      <w:pPr>
        <w:autoSpaceDE w:val="0"/>
        <w:autoSpaceDN w:val="0"/>
        <w:adjustRightInd w:val="0"/>
        <w:snapToGrid w:val="0"/>
        <w:spacing w:before="156" w:beforeLines="50" w:line="300" w:lineRule="auto"/>
        <w:ind w:firstLine="684" w:firstLineChars="285"/>
        <w:jc w:val="left"/>
        <w:rPr>
          <w:rFonts w:ascii="宋体" w:hAnsi="宋体"/>
          <w:color w:val="auto"/>
          <w:sz w:val="24"/>
          <w:highlight w:val="none"/>
        </w:rPr>
      </w:pPr>
      <w:r>
        <w:rPr>
          <w:rFonts w:hint="eastAsia" w:ascii="宋体" w:hAnsi="宋体"/>
          <w:color w:val="auto"/>
          <w:sz w:val="24"/>
          <w:highlight w:val="none"/>
        </w:rPr>
        <w:t>4.6.2 如招标文件接受大中型企业与小微企业组成联合体或者允许大中型企业向一家或者多家小微企业分包时，联合协议或分包意向协议约定小微型企业的合同份额占到合同总金额</w:t>
      </w:r>
      <w:r>
        <w:rPr>
          <w:rFonts w:ascii="宋体" w:hAnsi="宋体"/>
          <w:color w:val="auto"/>
          <w:sz w:val="24"/>
          <w:highlight w:val="none"/>
        </w:rPr>
        <w:t>30%</w:t>
      </w:r>
      <w:r>
        <w:rPr>
          <w:rFonts w:hint="eastAsia" w:ascii="宋体" w:hAnsi="宋体"/>
          <w:color w:val="auto"/>
          <w:sz w:val="24"/>
          <w:highlight w:val="none"/>
        </w:rPr>
        <w:t>以上的，给予联合体或大中型企业2</w:t>
      </w:r>
      <w:r>
        <w:rPr>
          <w:rFonts w:ascii="宋体" w:hAnsi="宋体"/>
          <w:color w:val="auto"/>
          <w:sz w:val="24"/>
          <w:highlight w:val="none"/>
        </w:rPr>
        <w:t>%</w:t>
      </w:r>
      <w:r>
        <w:rPr>
          <w:rFonts w:hint="eastAsia" w:ascii="宋体" w:hAnsi="宋体"/>
          <w:color w:val="auto"/>
          <w:sz w:val="24"/>
          <w:highlight w:val="none"/>
        </w:rPr>
        <w:t>的价格扣除，用扣除后的价格参加评审。</w:t>
      </w:r>
    </w:p>
    <w:p w14:paraId="1ECDF98B">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组成联合体或者接受分包合同的中小企业与联合体内其他企业、分包企业之间不得存在直接控股、管理关系。</w:t>
      </w:r>
    </w:p>
    <w:p w14:paraId="13AE820E">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4.6.3</w:t>
      </w:r>
      <w:r>
        <w:rPr>
          <w:rFonts w:ascii="宋体" w:hAnsi="宋体"/>
          <w:color w:val="auto"/>
          <w:sz w:val="24"/>
          <w:highlight w:val="none"/>
        </w:rPr>
        <w:t xml:space="preserve"> </w:t>
      </w:r>
      <w:r>
        <w:rPr>
          <w:rFonts w:hint="eastAsia" w:ascii="宋体" w:hAnsi="宋体"/>
          <w:color w:val="auto"/>
          <w:sz w:val="24"/>
          <w:highlight w:val="none"/>
        </w:rPr>
        <w:t>价格扣除比例或者价格分加分比例对小型企业和微型企业同等对待，不作区分。</w:t>
      </w:r>
    </w:p>
    <w:p w14:paraId="78D90CA4">
      <w:pPr>
        <w:adjustRightInd w:val="0"/>
        <w:snapToGrid w:val="0"/>
        <w:spacing w:before="156" w:beforeLines="50" w:line="300" w:lineRule="auto"/>
        <w:ind w:firstLine="555"/>
        <w:rPr>
          <w:color w:val="auto"/>
          <w:sz w:val="24"/>
          <w:szCs w:val="24"/>
          <w:highlight w:val="none"/>
        </w:rPr>
      </w:pPr>
      <w:r>
        <w:rPr>
          <w:rFonts w:hint="eastAsia" w:ascii="宋体" w:hAnsi="宋体"/>
          <w:color w:val="auto"/>
          <w:sz w:val="24"/>
          <w:highlight w:val="none"/>
        </w:rPr>
        <w:t>4.7</w:t>
      </w:r>
      <w:r>
        <w:rPr>
          <w:rFonts w:hint="eastAsia"/>
          <w:color w:val="auto"/>
          <w:sz w:val="24"/>
          <w:szCs w:val="24"/>
          <w:highlight w:val="none"/>
        </w:rPr>
        <w:t>评标委员会对投标人申报的小型和微型企业价格扣除事项进行评审。鉴于小微企业价格扣除政策与合同执行价格无关，为避免投标人申报价格扣除事项的随意性，故特别规定：</w:t>
      </w:r>
    </w:p>
    <w:p w14:paraId="7C312DD4">
      <w:pPr>
        <w:adjustRightInd w:val="0"/>
        <w:snapToGrid w:val="0"/>
        <w:spacing w:before="156" w:beforeLines="50" w:line="300" w:lineRule="auto"/>
        <w:ind w:firstLine="555"/>
        <w:rPr>
          <w:color w:val="auto"/>
          <w:sz w:val="24"/>
          <w:szCs w:val="24"/>
          <w:highlight w:val="none"/>
        </w:rPr>
      </w:pPr>
      <w:r>
        <w:rPr>
          <w:rFonts w:hint="eastAsia"/>
          <w:color w:val="auto"/>
          <w:sz w:val="24"/>
          <w:szCs w:val="24"/>
          <w:highlight w:val="none"/>
        </w:rPr>
        <w:t>（</w:t>
      </w:r>
      <w:r>
        <w:rPr>
          <w:color w:val="auto"/>
          <w:sz w:val="24"/>
          <w:szCs w:val="24"/>
          <w:highlight w:val="none"/>
        </w:rPr>
        <w:t>1</w:t>
      </w:r>
      <w:r>
        <w:rPr>
          <w:rFonts w:hint="eastAsia"/>
          <w:color w:val="auto"/>
          <w:sz w:val="24"/>
          <w:szCs w:val="24"/>
          <w:highlight w:val="none"/>
        </w:rPr>
        <w:t>）评标委员会对投标人申报的小型和微型企业价格扣除事项的评审结论，分为合格与不合格。</w:t>
      </w:r>
    </w:p>
    <w:p w14:paraId="1D8F858F">
      <w:pPr>
        <w:autoSpaceDE w:val="0"/>
        <w:autoSpaceDN w:val="0"/>
        <w:adjustRightInd w:val="0"/>
        <w:snapToGrid w:val="0"/>
        <w:spacing w:before="156" w:beforeLines="50" w:line="300" w:lineRule="auto"/>
        <w:ind w:firstLine="600" w:firstLineChars="250"/>
        <w:jc w:val="left"/>
        <w:rPr>
          <w:rFonts w:ascii="宋体" w:hAnsi="宋体"/>
          <w:color w:val="auto"/>
          <w:sz w:val="24"/>
          <w:highlight w:val="none"/>
        </w:rPr>
      </w:pPr>
      <w:r>
        <w:rPr>
          <w:rFonts w:hint="eastAsia"/>
          <w:color w:val="auto"/>
          <w:sz w:val="24"/>
          <w:szCs w:val="24"/>
          <w:highlight w:val="none"/>
        </w:rPr>
        <w:t xml:space="preserve">（2） </w:t>
      </w:r>
      <w:r>
        <w:rPr>
          <w:rFonts w:hint="eastAsia" w:ascii="宋体" w:hAnsi="宋体"/>
          <w:color w:val="auto"/>
          <w:sz w:val="24"/>
          <w:highlight w:val="none"/>
        </w:rPr>
        <w:t>A.投标人所投货物均由小型和微型企业制造，享受小微企业价格扣除扶持政策。</w:t>
      </w:r>
    </w:p>
    <w:p w14:paraId="097E6E9E">
      <w:pPr>
        <w:autoSpaceDE w:val="0"/>
        <w:autoSpaceDN w:val="0"/>
        <w:adjustRightInd w:val="0"/>
        <w:snapToGrid w:val="0"/>
        <w:spacing w:before="156" w:beforeLines="50" w:line="300" w:lineRule="auto"/>
        <w:ind w:firstLine="684" w:firstLineChars="285"/>
        <w:jc w:val="left"/>
        <w:rPr>
          <w:rFonts w:ascii="宋体" w:hAnsi="宋体"/>
          <w:color w:val="auto"/>
          <w:sz w:val="24"/>
          <w:highlight w:val="none"/>
        </w:rPr>
      </w:pPr>
      <w:r>
        <w:rPr>
          <w:rFonts w:hint="eastAsia" w:ascii="宋体" w:hAnsi="宋体"/>
          <w:color w:val="auto"/>
          <w:sz w:val="24"/>
          <w:highlight w:val="none"/>
        </w:rPr>
        <w:t>B.投标人所投货物既有小型和微型企业制造，也有中型企业制造或大型企业制造的，不享受小微企业价格扣除扶持政策。</w:t>
      </w:r>
    </w:p>
    <w:p w14:paraId="5CAF691F">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3）经评审，申报的小微价格扣除事项缺失中小企业声明函、联合协议或分包意向协议不符合中小企业价格扣除规定等任一不符合政策要求及不准确的事项，评标委员会均将评审为不合格，该供应商申报的价格扣除事项不予接受、为</w:t>
      </w:r>
      <w:r>
        <w:rPr>
          <w:rFonts w:ascii="宋体" w:hAnsi="宋体"/>
          <w:color w:val="auto"/>
          <w:sz w:val="24"/>
          <w:highlight w:val="none"/>
        </w:rPr>
        <w:t>0</w:t>
      </w:r>
      <w:r>
        <w:rPr>
          <w:rFonts w:hint="eastAsia" w:ascii="宋体" w:hAnsi="宋体"/>
          <w:color w:val="auto"/>
          <w:sz w:val="24"/>
          <w:highlight w:val="none"/>
        </w:rPr>
        <w:t>。</w:t>
      </w:r>
    </w:p>
    <w:p w14:paraId="2021C447">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提供虚假材料的为无效投标、并承担相应的法律责任。</w:t>
      </w:r>
    </w:p>
    <w:p w14:paraId="0560B945">
      <w:pPr>
        <w:adjustRightInd w:val="0"/>
        <w:snapToGrid w:val="0"/>
        <w:spacing w:before="156" w:beforeLines="50" w:line="300" w:lineRule="auto"/>
        <w:ind w:firstLine="555"/>
        <w:rPr>
          <w:color w:val="auto"/>
          <w:sz w:val="24"/>
          <w:szCs w:val="24"/>
          <w:highlight w:val="none"/>
        </w:rPr>
      </w:pPr>
      <w:r>
        <w:rPr>
          <w:rFonts w:hint="eastAsia"/>
          <w:color w:val="auto"/>
          <w:sz w:val="24"/>
          <w:szCs w:val="24"/>
          <w:highlight w:val="none"/>
        </w:rPr>
        <w:t>（4）评审合格的，接受其申报的小型和微型企业价格扣除，用扣除后的价格参与评审。</w:t>
      </w:r>
    </w:p>
    <w:p w14:paraId="2E90E48D">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（5）评审不合格的，不接受其小微企业价格扣除，但将不作为无效投标。</w:t>
      </w:r>
    </w:p>
    <w:p w14:paraId="161DAD35">
      <w:pPr>
        <w:adjustRightInd w:val="0"/>
        <w:snapToGrid w:val="0"/>
        <w:spacing w:before="156" w:beforeLines="50" w:line="300" w:lineRule="auto"/>
        <w:ind w:firstLine="555"/>
        <w:rPr>
          <w:color w:val="auto"/>
          <w:sz w:val="24"/>
          <w:szCs w:val="24"/>
          <w:highlight w:val="none"/>
        </w:rPr>
      </w:pPr>
      <w:r>
        <w:rPr>
          <w:rFonts w:hint="eastAsia"/>
          <w:color w:val="auto"/>
          <w:sz w:val="24"/>
          <w:szCs w:val="24"/>
          <w:highlight w:val="none"/>
        </w:rPr>
        <w:t>注：小微企业价格扣除，仅作为价格评审的依据，并不影响合同执行价格，合同执行价格为中标人的投标报价。</w:t>
      </w:r>
    </w:p>
    <w:p w14:paraId="12830A26">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4.8</w:t>
      </w:r>
      <w:r>
        <w:rPr>
          <w:rFonts w:ascii="宋体" w:hAnsi="宋体"/>
          <w:color w:val="auto"/>
          <w:sz w:val="24"/>
          <w:highlight w:val="none"/>
        </w:rPr>
        <w:t xml:space="preserve"> </w:t>
      </w:r>
      <w:r>
        <w:rPr>
          <w:rFonts w:hint="eastAsia" w:ascii="宋体" w:hAnsi="宋体"/>
          <w:color w:val="auto"/>
          <w:sz w:val="24"/>
          <w:highlight w:val="none"/>
        </w:rPr>
        <w:t>根据财政部、工业和信息化部有关负责人就印发《政府采购促进中小企业发展管理办法》答记者问，为方便广大中小企业、政府部门和社会公众识别企业规模类型，工业和信息化部组织开发了中小企业规模类型自测小程序，并于2020年2月27日上线运行，在国务院客户端和工业和信息化部网站上均有链接，广大中小企业和各类社会机构填写企业所属的行业和指标数据自动生成企业规模类型测试结果。</w:t>
      </w:r>
    </w:p>
    <w:p w14:paraId="071A4FAF">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4.9 中标、成交供应商享受本办法规定的中小企业扶持政策的，中标、成交供应商的《中小企业声明函》将随中标、成交结果公开。</w:t>
      </w:r>
    </w:p>
    <w:p w14:paraId="57670E2C">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4.10 依法享受扶持政策获得政府采购合同的，小微企业不得将合同分包给大中型企业，中型企业不得将合同分包给大型企业。</w:t>
      </w:r>
    </w:p>
    <w:p w14:paraId="60BAA858">
      <w:pPr>
        <w:autoSpaceDE w:val="0"/>
        <w:autoSpaceDN w:val="0"/>
        <w:adjustRightInd w:val="0"/>
        <w:snapToGrid w:val="0"/>
        <w:spacing w:before="156"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4.11 政府采购监督检查、投诉处理及政府采购行政处罚中对中小企业的认定，由货物制造商或者工程、服务供应商注册登记所在地的县级以上人民政府中小企业主管部门负责。</w:t>
      </w:r>
    </w:p>
    <w:p w14:paraId="00BF47E3">
      <w:pPr>
        <w:widowControl w:val="0"/>
        <w:adjustRightInd w:val="0"/>
        <w:snapToGrid w:val="0"/>
        <w:spacing w:before="156" w:beforeLines="50" w:line="300" w:lineRule="auto"/>
        <w:jc w:val="left"/>
        <w:outlineLvl w:val="1"/>
        <w:rPr>
          <w:rFonts w:ascii="黑体" w:hAnsi="黑体" w:eastAsia="黑体" w:cs="楷体_GB2312"/>
          <w:b/>
          <w:bCs/>
          <w:color w:val="auto"/>
          <w:sz w:val="28"/>
          <w:szCs w:val="28"/>
          <w:highlight w:val="none"/>
          <w:lang w:val="zh-CN"/>
        </w:rPr>
      </w:pPr>
      <w:r>
        <w:rPr>
          <w:rFonts w:ascii="黑体" w:hAnsi="黑体" w:eastAsia="黑体" w:cs="楷体_GB2312"/>
          <w:b/>
          <w:bCs/>
          <w:color w:val="auto"/>
          <w:sz w:val="28"/>
          <w:szCs w:val="28"/>
          <w:highlight w:val="none"/>
          <w:lang w:val="zh-CN"/>
        </w:rPr>
        <w:br w:type="page"/>
      </w:r>
    </w:p>
    <w:p w14:paraId="58E3EF8C">
      <w:pPr>
        <w:widowControl w:val="0"/>
        <w:snapToGrid w:val="0"/>
        <w:spacing w:line="657" w:lineRule="atLeast"/>
        <w:jc w:val="center"/>
        <w:outlineLvl w:val="0"/>
        <w:rPr>
          <w:rFonts w:ascii="黑体" w:eastAsia="黑体"/>
          <w:b/>
          <w:color w:val="auto"/>
          <w:spacing w:val="20"/>
          <w:sz w:val="36"/>
          <w:szCs w:val="36"/>
          <w:highlight w:val="none"/>
        </w:rPr>
      </w:pPr>
    </w:p>
    <w:p w14:paraId="7C859D24">
      <w:pPr>
        <w:widowControl w:val="0"/>
        <w:snapToGrid w:val="0"/>
        <w:spacing w:line="657" w:lineRule="atLeast"/>
        <w:jc w:val="center"/>
        <w:outlineLvl w:val="0"/>
        <w:rPr>
          <w:rFonts w:ascii="黑体" w:eastAsia="黑体"/>
          <w:b/>
          <w:color w:val="auto"/>
          <w:sz w:val="36"/>
          <w:szCs w:val="36"/>
          <w:highlight w:val="none"/>
        </w:rPr>
      </w:pPr>
      <w:r>
        <w:rPr>
          <w:rFonts w:ascii="黑体" w:eastAsia="黑体"/>
          <w:b/>
          <w:color w:val="auto"/>
          <w:spacing w:val="20"/>
          <w:sz w:val="36"/>
          <w:szCs w:val="36"/>
          <w:highlight w:val="none"/>
        </w:rPr>
        <w:t xml:space="preserve"> </w:t>
      </w:r>
      <w:bookmarkStart w:id="59" w:name="_Toc960"/>
      <w:r>
        <w:rPr>
          <w:rFonts w:hint="eastAsia" w:ascii="黑体" w:eastAsia="黑体"/>
          <w:b/>
          <w:color w:val="auto"/>
          <w:sz w:val="36"/>
          <w:szCs w:val="36"/>
          <w:highlight w:val="none"/>
        </w:rPr>
        <w:t>第五章</w:t>
      </w:r>
      <w:r>
        <w:rPr>
          <w:rFonts w:ascii="黑体" w:eastAsia="黑体"/>
          <w:b/>
          <w:color w:val="auto"/>
          <w:sz w:val="36"/>
          <w:szCs w:val="36"/>
          <w:highlight w:val="none"/>
        </w:rPr>
        <w:t xml:space="preserve">  </w:t>
      </w:r>
      <w:r>
        <w:rPr>
          <w:rFonts w:hint="eastAsia" w:ascii="黑体" w:eastAsia="黑体"/>
          <w:b/>
          <w:color w:val="auto"/>
          <w:sz w:val="36"/>
          <w:szCs w:val="36"/>
          <w:highlight w:val="none"/>
        </w:rPr>
        <w:t>合同主要条款</w:t>
      </w:r>
      <w:bookmarkEnd w:id="59"/>
    </w:p>
    <w:p w14:paraId="6085B68C">
      <w:pPr>
        <w:widowControl w:val="0"/>
        <w:snapToGrid w:val="0"/>
        <w:spacing w:line="657" w:lineRule="atLeast"/>
        <w:jc w:val="center"/>
        <w:rPr>
          <w:rFonts w:ascii="黑体" w:eastAsia="黑体"/>
          <w:b/>
          <w:color w:val="auto"/>
          <w:spacing w:val="20"/>
          <w:sz w:val="36"/>
          <w:szCs w:val="36"/>
          <w:highlight w:val="none"/>
        </w:rPr>
      </w:pPr>
    </w:p>
    <w:p w14:paraId="6CCE69BA">
      <w:pPr>
        <w:pStyle w:val="6"/>
        <w:spacing w:after="0"/>
        <w:ind w:left="5250"/>
        <w:jc w:val="center"/>
        <w:rPr>
          <w:rFonts w:ascii="宋体" w:hAnsi="宋体" w:cs="宋体"/>
          <w:b/>
          <w:bCs/>
          <w:color w:val="auto"/>
          <w:spacing w:val="-20"/>
          <w:kern w:val="44"/>
          <w:sz w:val="48"/>
          <w:szCs w:val="48"/>
          <w:highlight w:val="none"/>
        </w:rPr>
      </w:pPr>
    </w:p>
    <w:p w14:paraId="7C9071DE">
      <w:pPr>
        <w:pStyle w:val="6"/>
        <w:spacing w:after="0"/>
        <w:jc w:val="center"/>
        <w:rPr>
          <w:rFonts w:ascii="宋体" w:hAnsi="宋体" w:cs="宋体"/>
          <w:b/>
          <w:bCs/>
          <w:color w:val="auto"/>
          <w:spacing w:val="-20"/>
          <w:kern w:val="44"/>
          <w:sz w:val="48"/>
          <w:szCs w:val="48"/>
          <w:highlight w:val="none"/>
        </w:rPr>
      </w:pPr>
      <w:r>
        <w:rPr>
          <w:rFonts w:hint="eastAsia" w:ascii="宋体" w:hAnsi="宋体" w:cs="宋体"/>
          <w:b/>
          <w:bCs/>
          <w:color w:val="auto"/>
          <w:spacing w:val="-20"/>
          <w:kern w:val="44"/>
          <w:sz w:val="48"/>
          <w:szCs w:val="48"/>
          <w:highlight w:val="none"/>
        </w:rPr>
        <w:t>包1：</w:t>
      </w:r>
    </w:p>
    <w:p w14:paraId="3699E6AD">
      <w:pPr>
        <w:pStyle w:val="6"/>
        <w:spacing w:after="0"/>
        <w:ind w:left="5250"/>
        <w:jc w:val="center"/>
        <w:rPr>
          <w:rFonts w:ascii="宋体" w:hAnsi="宋体" w:cs="宋体"/>
          <w:b/>
          <w:bCs/>
          <w:color w:val="auto"/>
          <w:spacing w:val="-20"/>
          <w:kern w:val="44"/>
          <w:sz w:val="48"/>
          <w:szCs w:val="48"/>
          <w:highlight w:val="none"/>
        </w:rPr>
      </w:pPr>
    </w:p>
    <w:p w14:paraId="490E4343">
      <w:pPr>
        <w:pStyle w:val="6"/>
        <w:spacing w:after="0"/>
        <w:jc w:val="center"/>
        <w:rPr>
          <w:rFonts w:ascii="宋体" w:hAnsi="宋体" w:cs="宋体"/>
          <w:b/>
          <w:bCs/>
          <w:color w:val="auto"/>
          <w:spacing w:val="-20"/>
          <w:kern w:val="44"/>
          <w:sz w:val="48"/>
          <w:szCs w:val="48"/>
          <w:highlight w:val="none"/>
        </w:rPr>
      </w:pPr>
      <w:r>
        <w:rPr>
          <w:rFonts w:hint="eastAsia" w:ascii="宋体" w:hAnsi="宋体" w:cs="宋体"/>
          <w:b/>
          <w:bCs/>
          <w:color w:val="auto"/>
          <w:spacing w:val="-20"/>
          <w:kern w:val="44"/>
          <w:sz w:val="48"/>
          <w:szCs w:val="48"/>
          <w:highlight w:val="none"/>
        </w:rPr>
        <w:t>政府采购货物买卖合同</w:t>
      </w:r>
    </w:p>
    <w:p w14:paraId="36BE59FD">
      <w:pPr>
        <w:pStyle w:val="6"/>
        <w:spacing w:after="0"/>
        <w:jc w:val="center"/>
        <w:rPr>
          <w:rFonts w:ascii="宋体" w:hAnsi="宋体" w:cs="宋体"/>
          <w:b/>
          <w:bCs/>
          <w:color w:val="auto"/>
          <w:spacing w:val="-20"/>
          <w:kern w:val="44"/>
          <w:sz w:val="48"/>
          <w:szCs w:val="48"/>
          <w:highlight w:val="none"/>
        </w:rPr>
      </w:pPr>
      <w:r>
        <w:rPr>
          <w:rFonts w:hint="eastAsia" w:ascii="宋体" w:hAnsi="宋体" w:cs="宋体"/>
          <w:b/>
          <w:bCs/>
          <w:color w:val="auto"/>
          <w:spacing w:val="-20"/>
          <w:kern w:val="44"/>
          <w:sz w:val="48"/>
          <w:szCs w:val="48"/>
          <w:highlight w:val="none"/>
        </w:rPr>
        <w:t>（试行）</w:t>
      </w:r>
    </w:p>
    <w:p w14:paraId="008F5CF4">
      <w:pPr>
        <w:rPr>
          <w:rFonts w:ascii="宋体" w:hAnsi="宋体" w:cs="宋体"/>
          <w:b/>
          <w:bCs/>
          <w:color w:val="auto"/>
          <w:spacing w:val="-20"/>
          <w:kern w:val="44"/>
          <w:sz w:val="40"/>
          <w:szCs w:val="40"/>
          <w:highlight w:val="none"/>
        </w:rPr>
      </w:pPr>
    </w:p>
    <w:p w14:paraId="404CCAFE">
      <w:pPr>
        <w:rPr>
          <w:rFonts w:ascii="宋体" w:hAnsi="宋体" w:cs="宋体"/>
          <w:b/>
          <w:bCs/>
          <w:color w:val="auto"/>
          <w:spacing w:val="-20"/>
          <w:kern w:val="44"/>
          <w:sz w:val="40"/>
          <w:szCs w:val="40"/>
          <w:highlight w:val="none"/>
        </w:rPr>
      </w:pPr>
    </w:p>
    <w:p w14:paraId="4F96172F">
      <w:pPr>
        <w:rPr>
          <w:rFonts w:ascii="宋体" w:hAnsi="宋体" w:cs="宋体"/>
          <w:b/>
          <w:bCs/>
          <w:color w:val="auto"/>
          <w:spacing w:val="-20"/>
          <w:kern w:val="44"/>
          <w:sz w:val="40"/>
          <w:szCs w:val="40"/>
          <w:highlight w:val="none"/>
        </w:rPr>
      </w:pPr>
    </w:p>
    <w:p w14:paraId="285D3642">
      <w:pPr>
        <w:spacing w:line="360" w:lineRule="auto"/>
        <w:ind w:left="420" w:leftChars="200"/>
        <w:rPr>
          <w:color w:val="auto"/>
          <w:sz w:val="32"/>
          <w:szCs w:val="32"/>
          <w:highlight w:val="none"/>
        </w:rPr>
      </w:pPr>
      <w:r>
        <w:rPr>
          <w:rFonts w:hint="eastAsia" w:ascii="宋体" w:hAnsi="宋体" w:cs="宋体"/>
          <w:color w:val="auto"/>
          <w:sz w:val="32"/>
          <w:szCs w:val="32"/>
          <w:highlight w:val="none"/>
        </w:rPr>
        <w:t>项目名称：</w:t>
      </w:r>
      <w:r>
        <w:rPr>
          <w:rFonts w:hint="eastAsia"/>
          <w:color w:val="auto"/>
          <w:sz w:val="32"/>
          <w:szCs w:val="32"/>
          <w:highlight w:val="none"/>
          <w:u w:val="single"/>
        </w:rPr>
        <w:t xml:space="preserve">                             </w:t>
      </w:r>
    </w:p>
    <w:p w14:paraId="4AC4DF0B">
      <w:pPr>
        <w:spacing w:line="360" w:lineRule="auto"/>
        <w:ind w:left="420" w:leftChars="200"/>
        <w:rPr>
          <w:color w:val="auto"/>
          <w:sz w:val="32"/>
          <w:szCs w:val="32"/>
          <w:highlight w:val="none"/>
          <w:u w:val="single"/>
        </w:rPr>
      </w:pPr>
      <w:r>
        <w:rPr>
          <w:rFonts w:hint="eastAsia"/>
          <w:color w:val="auto"/>
          <w:sz w:val="32"/>
          <w:szCs w:val="32"/>
          <w:highlight w:val="none"/>
        </w:rPr>
        <w:t>合同编号：</w:t>
      </w:r>
      <w:r>
        <w:rPr>
          <w:rFonts w:hint="eastAsia"/>
          <w:color w:val="auto"/>
          <w:sz w:val="32"/>
          <w:szCs w:val="32"/>
          <w:highlight w:val="none"/>
          <w:u w:val="single"/>
        </w:rPr>
        <w:t xml:space="preserve">                             </w:t>
      </w:r>
    </w:p>
    <w:p w14:paraId="62F24954">
      <w:pPr>
        <w:spacing w:line="360" w:lineRule="auto"/>
        <w:ind w:left="420" w:leftChars="200"/>
        <w:rPr>
          <w:color w:val="auto"/>
          <w:sz w:val="32"/>
          <w:szCs w:val="32"/>
          <w:highlight w:val="none"/>
        </w:rPr>
      </w:pPr>
      <w:r>
        <w:rPr>
          <w:rFonts w:hint="eastAsia"/>
          <w:color w:val="auto"/>
          <w:sz w:val="32"/>
          <w:szCs w:val="32"/>
          <w:highlight w:val="none"/>
        </w:rPr>
        <w:t>甲    方：</w:t>
      </w:r>
      <w:r>
        <w:rPr>
          <w:rFonts w:hint="eastAsia"/>
          <w:color w:val="auto"/>
          <w:sz w:val="32"/>
          <w:szCs w:val="32"/>
          <w:highlight w:val="none"/>
          <w:u w:val="single"/>
        </w:rPr>
        <w:t xml:space="preserve">                             </w:t>
      </w:r>
    </w:p>
    <w:p w14:paraId="5605004D">
      <w:pPr>
        <w:spacing w:line="360" w:lineRule="auto"/>
        <w:ind w:left="420" w:leftChars="200"/>
        <w:rPr>
          <w:color w:val="auto"/>
          <w:sz w:val="32"/>
          <w:szCs w:val="32"/>
          <w:highlight w:val="none"/>
          <w:u w:val="single"/>
        </w:rPr>
      </w:pPr>
      <w:r>
        <w:rPr>
          <w:rFonts w:hint="eastAsia"/>
          <w:color w:val="auto"/>
          <w:sz w:val="32"/>
          <w:szCs w:val="32"/>
          <w:highlight w:val="none"/>
        </w:rPr>
        <w:t>乙    方：</w:t>
      </w:r>
      <w:r>
        <w:rPr>
          <w:rFonts w:hint="eastAsia"/>
          <w:color w:val="auto"/>
          <w:sz w:val="32"/>
          <w:szCs w:val="32"/>
          <w:highlight w:val="none"/>
          <w:u w:val="single"/>
        </w:rPr>
        <w:t xml:space="preserve">                             </w:t>
      </w:r>
    </w:p>
    <w:p w14:paraId="4053ED4E">
      <w:pPr>
        <w:spacing w:line="360" w:lineRule="auto"/>
        <w:ind w:left="420" w:leftChars="200"/>
        <w:rPr>
          <w:color w:val="auto"/>
          <w:sz w:val="32"/>
          <w:szCs w:val="32"/>
          <w:highlight w:val="none"/>
        </w:rPr>
      </w:pPr>
      <w:r>
        <w:rPr>
          <w:rFonts w:hint="eastAsia"/>
          <w:color w:val="auto"/>
          <w:sz w:val="32"/>
          <w:szCs w:val="32"/>
          <w:highlight w:val="none"/>
        </w:rPr>
        <w:t>签订时间：</w:t>
      </w:r>
      <w:r>
        <w:rPr>
          <w:rFonts w:hint="eastAsia"/>
          <w:color w:val="auto"/>
          <w:sz w:val="32"/>
          <w:szCs w:val="32"/>
          <w:highlight w:val="none"/>
          <w:u w:val="single"/>
        </w:rPr>
        <w:t xml:space="preserve">      </w:t>
      </w:r>
      <w:r>
        <w:rPr>
          <w:color w:val="auto"/>
          <w:sz w:val="32"/>
          <w:szCs w:val="32"/>
          <w:highlight w:val="none"/>
          <w:u w:val="single"/>
        </w:rPr>
        <w:t xml:space="preserve">           </w:t>
      </w:r>
      <w:r>
        <w:rPr>
          <w:rFonts w:hint="eastAsia"/>
          <w:color w:val="auto"/>
          <w:sz w:val="32"/>
          <w:szCs w:val="32"/>
          <w:highlight w:val="none"/>
          <w:u w:val="single"/>
        </w:rPr>
        <w:t xml:space="preserve">            </w:t>
      </w:r>
    </w:p>
    <w:p w14:paraId="1BFF9A45">
      <w:pPr>
        <w:rPr>
          <w:color w:val="auto"/>
          <w:highlight w:val="none"/>
        </w:rPr>
      </w:pPr>
    </w:p>
    <w:p w14:paraId="28731633">
      <w:pPr>
        <w:rPr>
          <w:rFonts w:eastAsia="黑体"/>
          <w:color w:val="auto"/>
          <w:sz w:val="44"/>
          <w:szCs w:val="44"/>
          <w:highlight w:val="none"/>
        </w:rPr>
      </w:pPr>
      <w:r>
        <w:rPr>
          <w:rFonts w:eastAsia="黑体"/>
          <w:color w:val="auto"/>
          <w:sz w:val="44"/>
          <w:szCs w:val="44"/>
          <w:highlight w:val="none"/>
        </w:rPr>
        <w:br w:type="page"/>
      </w:r>
    </w:p>
    <w:p w14:paraId="5E7C8B61">
      <w:pPr>
        <w:rPr>
          <w:rFonts w:eastAsia="黑体"/>
          <w:color w:val="auto"/>
          <w:sz w:val="44"/>
          <w:szCs w:val="44"/>
          <w:highlight w:val="none"/>
        </w:rPr>
      </w:pPr>
    </w:p>
    <w:p w14:paraId="106AAAE9">
      <w:pPr>
        <w:rPr>
          <w:rFonts w:eastAsia="黑体"/>
          <w:color w:val="auto"/>
          <w:sz w:val="44"/>
          <w:szCs w:val="44"/>
          <w:highlight w:val="none"/>
        </w:rPr>
      </w:pPr>
    </w:p>
    <w:p w14:paraId="3367A366">
      <w:pPr>
        <w:jc w:val="center"/>
        <w:rPr>
          <w:rFonts w:eastAsia="黑体"/>
          <w:color w:val="auto"/>
          <w:sz w:val="44"/>
          <w:szCs w:val="44"/>
          <w:highlight w:val="none"/>
        </w:rPr>
      </w:pPr>
      <w:r>
        <w:rPr>
          <w:rFonts w:hint="eastAsia" w:eastAsia="黑体"/>
          <w:color w:val="auto"/>
          <w:sz w:val="44"/>
          <w:szCs w:val="44"/>
          <w:highlight w:val="none"/>
        </w:rPr>
        <w:t>使 用 说 明</w:t>
      </w:r>
    </w:p>
    <w:p w14:paraId="51A2A297">
      <w:pPr>
        <w:ind w:firstLine="640" w:firstLineChars="200"/>
        <w:rPr>
          <w:rFonts w:ascii="仿宋_GB2312" w:hAnsi="仿宋_GB2312" w:eastAsia="仿宋_GB2312" w:cs="仿宋_GB2312"/>
          <w:color w:val="auto"/>
          <w:sz w:val="32"/>
          <w:szCs w:val="32"/>
          <w:highlight w:val="none"/>
        </w:rPr>
      </w:pPr>
    </w:p>
    <w:p w14:paraId="30C1B1D0">
      <w:pPr>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1.本合同标准文本适用于购买现成货物的采购项目，不包括需要供应商定制开发、创新研发的货物采购项目。</w:t>
      </w:r>
    </w:p>
    <w:p w14:paraId="0B78C5C9">
      <w:pPr>
        <w:rPr>
          <w:rFonts w:eastAsia="黑体"/>
          <w:color w:val="auto"/>
          <w:sz w:val="44"/>
          <w:szCs w:val="44"/>
          <w:highlight w:val="none"/>
        </w:rPr>
      </w:pPr>
      <w:r>
        <w:rPr>
          <w:rFonts w:hint="eastAsia" w:eastAsia="黑体"/>
          <w:color w:val="auto"/>
          <w:sz w:val="44"/>
          <w:szCs w:val="44"/>
          <w:highlight w:val="none"/>
        </w:rPr>
        <w:t xml:space="preserve">   </w:t>
      </w:r>
      <w:r>
        <w:rPr>
          <w:rFonts w:hint="eastAsia" w:ascii="仿宋_GB2312" w:hAnsi="仿宋_GB2312" w:eastAsia="仿宋_GB2312" w:cs="仿宋_GB2312"/>
          <w:color w:val="auto"/>
          <w:sz w:val="32"/>
          <w:szCs w:val="32"/>
          <w:highlight w:val="none"/>
        </w:rPr>
        <w:t>2.本合同标准文本为政府采购货物买卖合同编制提供参考，可以结合采购项目具体情况，对文本作必要的调整修订后使用。</w:t>
      </w:r>
    </w:p>
    <w:p w14:paraId="398CFC86">
      <w:pPr>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3.本合同标准文本各条款中，如涉及填写多家供应商、制造商，多种采购标的、分包主要内容等信息的，可根据采购项目具体情况添加信息项。</w:t>
      </w:r>
    </w:p>
    <w:p w14:paraId="74747D92">
      <w:pPr>
        <w:ind w:firstLine="560" w:firstLineChars="200"/>
        <w:rPr>
          <w:rFonts w:ascii="仿宋_GB2312" w:hAnsi="仿宋_GB2312" w:eastAsia="仿宋_GB2312" w:cs="仿宋_GB2312"/>
          <w:color w:val="auto"/>
          <w:sz w:val="28"/>
          <w:szCs w:val="28"/>
          <w:highlight w:val="none"/>
        </w:rPr>
        <w:sectPr>
          <w:pgSz w:w="11906" w:h="16838"/>
          <w:pgMar w:top="1440" w:right="1558" w:bottom="1440" w:left="1560" w:header="851" w:footer="992" w:gutter="0"/>
          <w:cols w:space="425" w:num="1"/>
          <w:docGrid w:type="lines" w:linePitch="312" w:charSpace="0"/>
        </w:sectPr>
      </w:pPr>
      <w:r>
        <w:rPr>
          <w:rFonts w:hint="eastAsia" w:ascii="仿宋_GB2312" w:hAnsi="仿宋_GB2312" w:eastAsia="仿宋_GB2312" w:cs="仿宋_GB2312"/>
          <w:color w:val="auto"/>
          <w:sz w:val="28"/>
          <w:szCs w:val="28"/>
          <w:highlight w:val="none"/>
        </w:rPr>
        <w:t>据中标文件、采购文件填列修订。</w:t>
      </w:r>
    </w:p>
    <w:p w14:paraId="6E4EFF67">
      <w:pPr>
        <w:pStyle w:val="3"/>
        <w:adjustRightInd w:val="0"/>
        <w:snapToGrid w:val="0"/>
        <w:spacing w:line="400" w:lineRule="exact"/>
        <w:jc w:val="center"/>
        <w:rPr>
          <w:rFonts w:ascii="黑体" w:hAnsi="黑体" w:eastAsia="黑体"/>
          <w:color w:val="auto"/>
          <w:sz w:val="28"/>
          <w:szCs w:val="28"/>
          <w:highlight w:val="none"/>
        </w:rPr>
      </w:pPr>
      <w:bookmarkStart w:id="60" w:name="_Toc22209"/>
    </w:p>
    <w:p w14:paraId="53B2C225">
      <w:pPr>
        <w:pStyle w:val="3"/>
        <w:adjustRightInd w:val="0"/>
        <w:snapToGrid w:val="0"/>
        <w:spacing w:line="400" w:lineRule="exact"/>
        <w:jc w:val="center"/>
        <w:rPr>
          <w:rFonts w:ascii="黑体" w:hAnsi="华文中宋" w:eastAsia="黑体"/>
          <w:b w:val="0"/>
          <w:bCs w:val="0"/>
          <w:color w:val="auto"/>
          <w:sz w:val="28"/>
          <w:szCs w:val="28"/>
          <w:highlight w:val="none"/>
        </w:rPr>
      </w:pPr>
      <w:bookmarkStart w:id="61" w:name="_Toc30338"/>
      <w:r>
        <w:rPr>
          <w:rFonts w:hint="eastAsia" w:ascii="黑体" w:hAnsi="黑体" w:eastAsia="黑体"/>
          <w:b w:val="0"/>
          <w:bCs w:val="0"/>
          <w:color w:val="auto"/>
          <w:sz w:val="28"/>
          <w:szCs w:val="28"/>
          <w:highlight w:val="none"/>
        </w:rPr>
        <w:t xml:space="preserve">第一节 </w:t>
      </w:r>
      <w:r>
        <w:rPr>
          <w:rFonts w:hint="eastAsia" w:ascii="黑体" w:hAnsi="华文中宋" w:eastAsia="黑体"/>
          <w:b w:val="0"/>
          <w:bCs w:val="0"/>
          <w:color w:val="auto"/>
          <w:sz w:val="28"/>
          <w:szCs w:val="28"/>
          <w:highlight w:val="none"/>
        </w:rPr>
        <w:t>政府采购合同协议书</w:t>
      </w:r>
      <w:bookmarkEnd w:id="60"/>
      <w:bookmarkEnd w:id="61"/>
    </w:p>
    <w:p w14:paraId="3FAA7B72">
      <w:pPr>
        <w:pStyle w:val="3"/>
        <w:adjustRightInd w:val="0"/>
        <w:snapToGrid w:val="0"/>
        <w:spacing w:line="400" w:lineRule="exact"/>
        <w:jc w:val="center"/>
        <w:rPr>
          <w:rFonts w:ascii="黑体" w:hAnsi="华文中宋" w:eastAsia="黑体"/>
          <w:b w:val="0"/>
          <w:bCs w:val="0"/>
          <w:color w:val="auto"/>
          <w:sz w:val="28"/>
          <w:szCs w:val="28"/>
          <w:highlight w:val="none"/>
        </w:rPr>
      </w:pPr>
    </w:p>
    <w:p w14:paraId="1BC9B93A">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甲方（全称）：</w:t>
      </w:r>
      <w:r>
        <w:rPr>
          <w:rFonts w:hint="eastAsia" w:ascii="宋体" w:hAnsi="宋体"/>
          <w:color w:val="auto"/>
          <w:szCs w:val="21"/>
          <w:highlight w:val="none"/>
          <w:u w:val="single"/>
        </w:rPr>
        <w:t xml:space="preserve">                        </w:t>
      </w:r>
      <w:r>
        <w:rPr>
          <w:rFonts w:hint="eastAsia" w:ascii="宋体" w:hAnsi="宋体"/>
          <w:color w:val="auto"/>
          <w:szCs w:val="21"/>
          <w:highlight w:val="none"/>
        </w:rPr>
        <w:t>（采购人、受采购人委托签订合同的单位或采购</w:t>
      </w:r>
      <w:r>
        <w:rPr>
          <w:rFonts w:hint="eastAsia" w:ascii="宋体" w:hAnsi="宋体"/>
          <w:color w:val="auto"/>
          <w:szCs w:val="21"/>
          <w:highlight w:val="none"/>
        </w:rPr>
        <w:tab/>
      </w:r>
      <w:r>
        <w:rPr>
          <w:rFonts w:hint="eastAsia" w:ascii="宋体" w:hAnsi="宋体"/>
          <w:color w:val="auto"/>
          <w:szCs w:val="21"/>
          <w:highlight w:val="none"/>
        </w:rPr>
        <w:t xml:space="preserve">                                   文件约定的合同甲方）</w:t>
      </w:r>
    </w:p>
    <w:p w14:paraId="1D4CB259">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乙方1（全称）：</w:t>
      </w:r>
      <w:r>
        <w:rPr>
          <w:rFonts w:hint="eastAsia" w:ascii="宋体" w:hAnsi="宋体"/>
          <w:color w:val="auto"/>
          <w:szCs w:val="21"/>
          <w:highlight w:val="none"/>
          <w:u w:val="single"/>
        </w:rPr>
        <w:t xml:space="preserve">                       </w:t>
      </w:r>
      <w:r>
        <w:rPr>
          <w:rFonts w:hint="eastAsia" w:ascii="宋体" w:hAnsi="宋体"/>
          <w:color w:val="auto"/>
          <w:szCs w:val="21"/>
          <w:highlight w:val="none"/>
        </w:rPr>
        <w:t>（供应商）</w:t>
      </w:r>
    </w:p>
    <w:p w14:paraId="375DD7AE">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乙方2（全称）：</w:t>
      </w:r>
      <w:r>
        <w:rPr>
          <w:rFonts w:hint="eastAsia" w:ascii="宋体" w:hAnsi="宋体"/>
          <w:color w:val="auto"/>
          <w:szCs w:val="21"/>
          <w:highlight w:val="none"/>
          <w:u w:val="single"/>
        </w:rPr>
        <w:t xml:space="preserve">                        </w:t>
      </w:r>
      <w:r>
        <w:rPr>
          <w:rFonts w:hint="eastAsia" w:ascii="宋体" w:hAnsi="宋体"/>
          <w:color w:val="auto"/>
          <w:szCs w:val="21"/>
          <w:highlight w:val="none"/>
        </w:rPr>
        <w:t>（联合体成员供应商或其他合同主体）（如有）</w:t>
      </w:r>
    </w:p>
    <w:p w14:paraId="34DD0F34">
      <w:pPr>
        <w:adjustRightInd w:val="0"/>
        <w:snapToGrid w:val="0"/>
        <w:spacing w:line="400" w:lineRule="exact"/>
        <w:rPr>
          <w:rFonts w:ascii="宋体" w:hAnsi="宋体"/>
          <w:color w:val="auto"/>
          <w:szCs w:val="21"/>
          <w:highlight w:val="none"/>
        </w:rPr>
      </w:pPr>
      <w:r>
        <w:rPr>
          <w:rFonts w:hint="eastAsia"/>
          <w:color w:val="auto"/>
          <w:highlight w:val="none"/>
        </w:rPr>
        <w:t>乙方</w:t>
      </w:r>
      <w:r>
        <w:rPr>
          <w:rFonts w:hint="eastAsia" w:ascii="宋体" w:hAnsi="宋体"/>
          <w:color w:val="auto"/>
          <w:szCs w:val="21"/>
          <w:highlight w:val="none"/>
        </w:rPr>
        <w:t>3</w:t>
      </w:r>
      <w:r>
        <w:rPr>
          <w:rFonts w:hint="eastAsia"/>
          <w:color w:val="auto"/>
          <w:highlight w:val="none"/>
        </w:rPr>
        <w:t>（全称）</w:t>
      </w:r>
      <w:r>
        <w:rPr>
          <w:rFonts w:hint="eastAsia" w:ascii="宋体" w:hAnsi="宋体"/>
          <w:color w:val="auto"/>
          <w:szCs w:val="21"/>
          <w:highlight w:val="none"/>
          <w:u w:val="single"/>
        </w:rPr>
        <w:t xml:space="preserve">                          </w:t>
      </w:r>
      <w:r>
        <w:rPr>
          <w:rFonts w:hint="eastAsia" w:ascii="宋体" w:hAnsi="宋体"/>
          <w:color w:val="auto"/>
          <w:szCs w:val="21"/>
          <w:highlight w:val="none"/>
        </w:rPr>
        <w:t>（联合体成员供应商或其他合同主体）（如有）</w:t>
      </w:r>
    </w:p>
    <w:p w14:paraId="1620B896">
      <w:pPr>
        <w:spacing w:line="400" w:lineRule="exact"/>
        <w:rPr>
          <w:color w:val="auto"/>
          <w:highlight w:val="none"/>
        </w:rPr>
      </w:pPr>
    </w:p>
    <w:p w14:paraId="28FCC4CE">
      <w:pPr>
        <w:pStyle w:val="7"/>
        <w:adjustRightInd w:val="0"/>
        <w:spacing w:line="40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413F35FF">
      <w:pPr>
        <w:widowControl w:val="0"/>
        <w:numPr>
          <w:ilvl w:val="0"/>
          <w:numId w:val="1"/>
        </w:numPr>
        <w:adjustRightInd w:val="0"/>
        <w:snapToGrid w:val="0"/>
        <w:spacing w:line="400" w:lineRule="exact"/>
        <w:ind w:firstLine="422" w:firstLineChars="200"/>
        <w:textAlignment w:val="auto"/>
        <w:rPr>
          <w:rFonts w:ascii="宋体" w:hAnsi="宋体"/>
          <w:b/>
          <w:color w:val="auto"/>
          <w:szCs w:val="21"/>
          <w:highlight w:val="none"/>
        </w:rPr>
      </w:pPr>
      <w:r>
        <w:rPr>
          <w:rFonts w:hint="eastAsia" w:ascii="宋体" w:hAnsi="宋体"/>
          <w:b/>
          <w:color w:val="auto"/>
          <w:szCs w:val="21"/>
          <w:highlight w:val="none"/>
        </w:rPr>
        <w:t>项目信息</w:t>
      </w:r>
    </w:p>
    <w:p w14:paraId="7C20D875">
      <w:pPr>
        <w:pStyle w:val="7"/>
        <w:numPr>
          <w:ilvl w:val="0"/>
          <w:numId w:val="2"/>
        </w:numPr>
        <w:adjustRightInd w:val="0"/>
        <w:spacing w:before="0" w:line="400" w:lineRule="exact"/>
        <w:ind w:firstLine="400" w:firstLineChars="200"/>
        <w:textAlignment w:val="auto"/>
        <w:rPr>
          <w:rFonts w:ascii="宋体" w:hAnsi="宋体"/>
          <w:color w:val="auto"/>
          <w:szCs w:val="21"/>
          <w:highlight w:val="none"/>
          <w:u w:val="single"/>
        </w:rPr>
      </w:pPr>
      <w:r>
        <w:rPr>
          <w:rFonts w:hint="eastAsia" w:ascii="宋体" w:hAnsi="宋体"/>
          <w:color w:val="auto"/>
          <w:szCs w:val="21"/>
          <w:highlight w:val="none"/>
        </w:rPr>
        <w:t>采购项目名称：</w:t>
      </w:r>
      <w:r>
        <w:rPr>
          <w:rFonts w:ascii="宋体" w:hAnsi="宋体"/>
          <w:color w:val="auto"/>
          <w:szCs w:val="21"/>
          <w:highlight w:val="none"/>
          <w:u w:val="single"/>
        </w:rPr>
        <w:t xml:space="preserve">                                          </w:t>
      </w:r>
    </w:p>
    <w:p w14:paraId="12927083">
      <w:pPr>
        <w:pStyle w:val="7"/>
        <w:numPr>
          <w:ilvl w:val="255"/>
          <w:numId w:val="0"/>
        </w:numPr>
        <w:tabs>
          <w:tab w:val="left" w:pos="999"/>
        </w:tabs>
        <w:adjustRightInd w:val="0"/>
        <w:spacing w:line="400" w:lineRule="exact"/>
        <w:rPr>
          <w:rFonts w:ascii="宋体" w:hAnsi="宋体"/>
          <w:color w:val="auto"/>
          <w:szCs w:val="21"/>
          <w:highlight w:val="none"/>
        </w:rPr>
      </w:pPr>
      <w:r>
        <w:rPr>
          <w:rFonts w:hint="eastAsia" w:ascii="宋体" w:hAnsi="宋体"/>
          <w:color w:val="auto"/>
          <w:szCs w:val="21"/>
          <w:highlight w:val="none"/>
        </w:rPr>
        <w:t xml:space="preserve">         采购项目编号：</w:t>
      </w:r>
      <w:r>
        <w:rPr>
          <w:rFonts w:ascii="宋体" w:hAnsi="宋体"/>
          <w:color w:val="auto"/>
          <w:szCs w:val="21"/>
          <w:highlight w:val="none"/>
          <w:u w:val="single"/>
        </w:rPr>
        <w:t xml:space="preserve">                                          </w:t>
      </w:r>
    </w:p>
    <w:p w14:paraId="54294BBC">
      <w:pPr>
        <w:pStyle w:val="7"/>
        <w:adjustRightInd w:val="0"/>
        <w:spacing w:line="400" w:lineRule="exact"/>
        <w:ind w:firstLine="400" w:firstLineChars="200"/>
        <w:rPr>
          <w:rFonts w:ascii="宋体" w:hAnsi="宋体"/>
          <w:color w:val="auto"/>
          <w:szCs w:val="21"/>
          <w:highlight w:val="none"/>
        </w:rPr>
      </w:pPr>
      <w:r>
        <w:rPr>
          <w:rFonts w:hint="eastAsia" w:ascii="宋体" w:hAnsi="宋体"/>
          <w:color w:val="auto"/>
          <w:szCs w:val="21"/>
          <w:highlight w:val="none"/>
        </w:rPr>
        <w:t>（2）采购计划编号：</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p>
    <w:p w14:paraId="6A9A5568">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（3）项目内容：</w:t>
      </w:r>
    </w:p>
    <w:p w14:paraId="6569E71F">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     采购标的及数量（台/套</w:t>
      </w:r>
      <w:r>
        <w:rPr>
          <w:rFonts w:ascii="宋体" w:hAnsi="宋体"/>
          <w:color w:val="auto"/>
          <w:szCs w:val="21"/>
          <w:highlight w:val="none"/>
          <w:lang w:val="en"/>
        </w:rPr>
        <w:t>/</w:t>
      </w:r>
      <w:r>
        <w:rPr>
          <w:rFonts w:hint="eastAsia" w:ascii="宋体" w:hAnsi="宋体"/>
          <w:color w:val="auto"/>
          <w:szCs w:val="21"/>
          <w:highlight w:val="none"/>
          <w:lang w:val="en"/>
        </w:rPr>
        <w:t>个</w:t>
      </w:r>
      <w:r>
        <w:rPr>
          <w:rFonts w:ascii="宋体" w:hAnsi="宋体"/>
          <w:color w:val="auto"/>
          <w:szCs w:val="21"/>
          <w:highlight w:val="none"/>
          <w:lang w:val="en"/>
        </w:rPr>
        <w:t>/</w:t>
      </w:r>
      <w:r>
        <w:rPr>
          <w:rFonts w:hint="eastAsia" w:ascii="宋体" w:hAnsi="宋体"/>
          <w:color w:val="auto"/>
          <w:szCs w:val="21"/>
          <w:highlight w:val="none"/>
          <w:lang w:val="en"/>
        </w:rPr>
        <w:t>架</w:t>
      </w:r>
      <w:r>
        <w:rPr>
          <w:rFonts w:ascii="宋体" w:hAnsi="宋体"/>
          <w:color w:val="auto"/>
          <w:szCs w:val="21"/>
          <w:highlight w:val="none"/>
          <w:lang w:val="en"/>
        </w:rPr>
        <w:t>/</w:t>
      </w:r>
      <w:r>
        <w:rPr>
          <w:rFonts w:hint="eastAsia" w:ascii="宋体" w:hAnsi="宋体"/>
          <w:color w:val="auto"/>
          <w:szCs w:val="21"/>
          <w:highlight w:val="none"/>
          <w:lang w:val="en"/>
        </w:rPr>
        <w:t>组等</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588A9882">
      <w:pPr>
        <w:numPr>
          <w:ilvl w:val="255"/>
          <w:numId w:val="0"/>
        </w:numPr>
        <w:adjustRightInd w:val="0"/>
        <w:snapToGrid w:val="0"/>
        <w:spacing w:line="400" w:lineRule="exact"/>
        <w:ind w:firstLine="420" w:firstLineChars="200"/>
        <w:rPr>
          <w:rFonts w:ascii="宋体" w:hAnsi="宋体" w:cs="宋体"/>
          <w:color w:val="auto"/>
          <w:szCs w:val="21"/>
          <w:highlight w:val="none"/>
          <w:lang w:val="en"/>
        </w:rPr>
      </w:pPr>
      <w:r>
        <w:rPr>
          <w:rFonts w:hint="eastAsia" w:ascii="宋体" w:hAnsi="宋体"/>
          <w:color w:val="auto"/>
          <w:szCs w:val="21"/>
          <w:highlight w:val="none"/>
        </w:rPr>
        <w:t xml:space="preserve">     </w:t>
      </w:r>
      <w:r>
        <w:rPr>
          <w:rFonts w:hint="eastAsia" w:ascii="宋体" w:hAnsi="宋体" w:cs="宋体"/>
          <w:color w:val="auto"/>
          <w:szCs w:val="21"/>
          <w:highlight w:val="none"/>
        </w:rPr>
        <w:t>品牌：</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lang w:val="en"/>
        </w:rPr>
        <w:t xml:space="preserve">     </w:t>
      </w:r>
      <w:r>
        <w:rPr>
          <w:rFonts w:hint="eastAsia" w:ascii="宋体" w:hAnsi="宋体" w:cs="宋体"/>
          <w:color w:val="auto"/>
          <w:szCs w:val="21"/>
          <w:highlight w:val="none"/>
        </w:rPr>
        <w:t>规格型号：</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p>
    <w:p w14:paraId="6CD60A24">
      <w:pPr>
        <w:adjustRightInd w:val="0"/>
        <w:snapToGrid w:val="0"/>
        <w:spacing w:line="400" w:lineRule="exact"/>
        <w:ind w:firstLine="945" w:firstLineChars="450"/>
        <w:rPr>
          <w:rFonts w:ascii="宋体" w:hAnsi="宋体"/>
          <w:color w:val="auto"/>
          <w:szCs w:val="21"/>
          <w:highlight w:val="none"/>
          <w:u w:val="single"/>
        </w:rPr>
      </w:pPr>
      <w:r>
        <w:rPr>
          <w:rFonts w:hint="eastAsia" w:ascii="宋体" w:hAnsi="宋体"/>
          <w:color w:val="auto"/>
          <w:szCs w:val="21"/>
          <w:highlight w:val="none"/>
        </w:rPr>
        <w:t>采购标的的技术要求、商务要求具体见附件。</w:t>
      </w:r>
    </w:p>
    <w:p w14:paraId="58ECA7C4">
      <w:pPr>
        <w:numPr>
          <w:ilvl w:val="255"/>
          <w:numId w:val="0"/>
        </w:numPr>
        <w:adjustRightInd w:val="0"/>
        <w:snapToGrid w:val="0"/>
        <w:spacing w:line="400" w:lineRule="exact"/>
        <w:ind w:firstLine="945" w:firstLineChars="450"/>
        <w:rPr>
          <w:rFonts w:ascii="宋体" w:hAnsi="宋体" w:cs="宋体"/>
          <w:color w:val="auto"/>
          <w:szCs w:val="21"/>
          <w:highlight w:val="none"/>
        </w:rPr>
      </w:pPr>
      <w:r>
        <w:rPr>
          <w:rFonts w:hint="eastAsia" w:ascii="汉仪书宋二S" w:hAnsi="汉仪书宋二S" w:eastAsia="汉仪书宋二S" w:cs="汉仪书宋二S"/>
          <w:color w:val="auto"/>
          <w:szCs w:val="21"/>
          <w:highlight w:val="none"/>
        </w:rPr>
        <w:t>①</w:t>
      </w:r>
      <w:r>
        <w:rPr>
          <w:rFonts w:hint="eastAsia" w:ascii="宋体" w:hAnsi="宋体" w:cs="宋体"/>
          <w:color w:val="auto"/>
          <w:szCs w:val="21"/>
          <w:highlight w:val="none"/>
        </w:rPr>
        <w:t>涉及信息类产品，请填写该产品关键部件的品牌、型号：</w:t>
      </w:r>
    </w:p>
    <w:p w14:paraId="7EEC0C22">
      <w:pPr>
        <w:numPr>
          <w:ilvl w:val="255"/>
          <w:numId w:val="0"/>
        </w:numPr>
        <w:adjustRightInd w:val="0"/>
        <w:snapToGrid w:val="0"/>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 xml:space="preserve">     标的名称：</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p>
    <w:p w14:paraId="218B4ACC">
      <w:pPr>
        <w:numPr>
          <w:ilvl w:val="255"/>
          <w:numId w:val="0"/>
        </w:num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关键部件：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品牌：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型号：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311D41CF">
      <w:pPr>
        <w:pStyle w:val="77"/>
        <w:ind w:firstLine="420"/>
        <w:rPr>
          <w:rFonts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kern w:val="2"/>
          <w:sz w:val="21"/>
          <w:highlight w:val="none"/>
        </w:rPr>
        <w:t>关键部件</w:t>
      </w:r>
      <w:r>
        <w:rPr>
          <w:rFonts w:hint="eastAsia" w:ascii="宋体" w:hAnsi="宋体" w:eastAsia="宋体" w:cs="宋体"/>
          <w:color w:val="auto"/>
          <w:sz w:val="21"/>
          <w:highlight w:val="none"/>
        </w:rPr>
        <w:t>：</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品牌：</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型号：</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w:t>
      </w:r>
    </w:p>
    <w:p w14:paraId="5EE150BA">
      <w:pPr>
        <w:pStyle w:val="77"/>
        <w:ind w:firstLine="420"/>
        <w:rPr>
          <w:rFonts w:ascii="宋体" w:hAnsi="宋体" w:eastAsia="宋体" w:cs="宋体"/>
          <w:color w:val="auto"/>
          <w:sz w:val="21"/>
          <w:highlight w:val="none"/>
        </w:rPr>
      </w:pPr>
      <w:r>
        <w:rPr>
          <w:rFonts w:hint="eastAsia" w:ascii="宋体" w:hAnsi="宋体" w:eastAsia="宋体" w:cs="宋体"/>
          <w:color w:val="auto"/>
          <w:sz w:val="21"/>
          <w:highlight w:val="none"/>
        </w:rPr>
        <w:t xml:space="preserve">     关键部件：</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品牌：</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型号：</w:t>
      </w:r>
      <w:r>
        <w:rPr>
          <w:rFonts w:hint="eastAsia" w:ascii="宋体" w:hAnsi="宋体" w:eastAsia="宋体" w:cs="宋体"/>
          <w:color w:val="auto"/>
          <w:sz w:val="21"/>
          <w:highlight w:val="none"/>
          <w:u w:val="single"/>
        </w:rPr>
        <w:t xml:space="preserve">       </w:t>
      </w:r>
    </w:p>
    <w:p w14:paraId="4DDCBAB3">
      <w:pPr>
        <w:pStyle w:val="77"/>
        <w:numPr>
          <w:ilvl w:val="255"/>
          <w:numId w:val="0"/>
        </w:numPr>
        <w:snapToGrid w:val="0"/>
        <w:rPr>
          <w:rFonts w:ascii="宋体" w:hAnsi="宋体" w:eastAsia="宋体" w:cs="宋体"/>
          <w:color w:val="auto"/>
          <w:sz w:val="21"/>
          <w:highlight w:val="none"/>
        </w:rPr>
      </w:pPr>
      <w:r>
        <w:rPr>
          <w:rFonts w:hint="eastAsia" w:ascii="宋体" w:hAnsi="宋体" w:eastAsia="宋体" w:cs="宋体"/>
          <w:color w:val="auto"/>
          <w:sz w:val="21"/>
          <w:highlight w:val="none"/>
        </w:rPr>
        <w:t xml:space="preserve">   （注：关键部件是指财政部会同有关部门发布的政府采购需求标准规定的需要通过国家有关部门指定的测评机构开展的安全可靠测评的软硬件，如CPU芯片、操作系统、数据库等。）</w:t>
      </w:r>
    </w:p>
    <w:p w14:paraId="592E430D">
      <w:pPr>
        <w:pStyle w:val="77"/>
        <w:numPr>
          <w:ilvl w:val="255"/>
          <w:numId w:val="0"/>
        </w:numPr>
        <w:snapToGrid w:val="0"/>
        <w:rPr>
          <w:rFonts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汉仪书宋二S" w:hAnsi="汉仪书宋二S" w:eastAsia="汉仪书宋二S" w:cs="汉仪书宋二S"/>
          <w:color w:val="auto"/>
          <w:sz w:val="21"/>
          <w:highlight w:val="none"/>
        </w:rPr>
        <w:t>②</w:t>
      </w:r>
      <w:r>
        <w:rPr>
          <w:rFonts w:hint="eastAsia" w:ascii="宋体" w:hAnsi="宋体" w:eastAsia="宋体" w:cs="宋体"/>
          <w:color w:val="auto"/>
          <w:sz w:val="21"/>
          <w:highlight w:val="none"/>
        </w:rPr>
        <w:t>涉及车辆采购，请填写是否属于新能源汽车：</w:t>
      </w:r>
    </w:p>
    <w:p w14:paraId="30E169AA">
      <w:pPr>
        <w:pStyle w:val="77"/>
        <w:numPr>
          <w:ilvl w:val="255"/>
          <w:numId w:val="0"/>
        </w:numPr>
        <w:snapToGrid w:val="0"/>
        <w:rPr>
          <w:rFonts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是，《政府采购品目分类目录》底级品目名称：</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数量：</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金额：</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w:t>
      </w:r>
    </w:p>
    <w:p w14:paraId="2051C217">
      <w:pPr>
        <w:pStyle w:val="77"/>
        <w:numPr>
          <w:ilvl w:val="255"/>
          <w:numId w:val="0"/>
        </w:numPr>
        <w:snapToGrid w:val="0"/>
        <w:rPr>
          <w:rFonts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否</w:t>
      </w:r>
    </w:p>
    <w:p w14:paraId="6FA32E07">
      <w:pPr>
        <w:pStyle w:val="77"/>
        <w:numPr>
          <w:ilvl w:val="255"/>
          <w:numId w:val="0"/>
        </w:numPr>
        <w:snapToGrid w:val="0"/>
        <w:rPr>
          <w:rFonts w:ascii="宋体" w:hAnsi="宋体" w:eastAsia="宋体" w:cs="宋体"/>
          <w:color w:val="auto"/>
          <w:sz w:val="21"/>
          <w:highlight w:val="none"/>
        </w:rPr>
      </w:pPr>
      <w:r>
        <w:rPr>
          <w:rFonts w:hint="eastAsia" w:ascii="宋体" w:hAnsi="宋体" w:eastAsia="宋体" w:cs="宋体"/>
          <w:color w:val="auto"/>
          <w:sz w:val="21"/>
          <w:highlight w:val="none"/>
        </w:rPr>
        <w:t xml:space="preserve">    （</w:t>
      </w:r>
      <w:r>
        <w:rPr>
          <w:rFonts w:ascii="宋体" w:hAnsi="宋体" w:eastAsia="宋体" w:cs="宋体"/>
          <w:color w:val="auto"/>
          <w:sz w:val="21"/>
          <w:highlight w:val="none"/>
          <w:lang w:val="en"/>
        </w:rPr>
        <w:t>4</w:t>
      </w:r>
      <w:r>
        <w:rPr>
          <w:rFonts w:hint="eastAsia" w:ascii="宋体" w:hAnsi="宋体" w:eastAsia="宋体" w:cs="宋体"/>
          <w:color w:val="auto"/>
          <w:sz w:val="21"/>
          <w:highlight w:val="none"/>
        </w:rPr>
        <w:t>）政府采购组织形式：</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政府集中采购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部门集中采购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分散采购</w:t>
      </w:r>
    </w:p>
    <w:p w14:paraId="6A9B0016">
      <w:pPr>
        <w:pStyle w:val="77"/>
        <w:numPr>
          <w:ilvl w:val="255"/>
          <w:numId w:val="0"/>
        </w:numPr>
        <w:snapToGrid w:val="0"/>
        <w:ind w:firstLine="420"/>
        <w:rPr>
          <w:rFonts w:ascii="宋体" w:hAnsi="宋体" w:eastAsia="宋体" w:cs="宋体"/>
          <w:color w:val="auto"/>
          <w:sz w:val="21"/>
          <w:highlight w:val="none"/>
        </w:rPr>
      </w:pPr>
      <w:r>
        <w:rPr>
          <w:rFonts w:hint="eastAsia" w:ascii="宋体" w:hAnsi="宋体" w:eastAsia="宋体" w:cs="宋体"/>
          <w:color w:val="auto"/>
          <w:sz w:val="21"/>
          <w:highlight w:val="none"/>
        </w:rPr>
        <w:t>（</w:t>
      </w:r>
      <w:r>
        <w:rPr>
          <w:rFonts w:ascii="宋体" w:hAnsi="宋体" w:eastAsia="宋体" w:cs="宋体"/>
          <w:color w:val="auto"/>
          <w:sz w:val="21"/>
          <w:highlight w:val="none"/>
          <w:lang w:val="en"/>
        </w:rPr>
        <w:t>5</w:t>
      </w:r>
      <w:r>
        <w:rPr>
          <w:rFonts w:hint="eastAsia" w:ascii="宋体" w:hAnsi="宋体" w:eastAsia="宋体" w:cs="宋体"/>
          <w:color w:val="auto"/>
          <w:sz w:val="21"/>
          <w:highlight w:val="none"/>
        </w:rPr>
        <w:t>）政府采购方式：</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公开招标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邀请招标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竞争性谈判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竞争性磋商</w:t>
      </w:r>
    </w:p>
    <w:p w14:paraId="52EBE2F7">
      <w:pPr>
        <w:pStyle w:val="77"/>
        <w:numPr>
          <w:ilvl w:val="255"/>
          <w:numId w:val="0"/>
        </w:numPr>
        <w:snapToGrid w:val="0"/>
        <w:ind w:firstLine="420"/>
        <w:rPr>
          <w:rFonts w:ascii="宋体" w:hAnsi="宋体" w:eastAsia="宋体" w:cs="宋体"/>
          <w:color w:val="auto"/>
          <w:sz w:val="21"/>
          <w:highlight w:val="none"/>
          <w:u w:val="single"/>
        </w:rPr>
      </w:pPr>
      <w:r>
        <w:rPr>
          <w:rFonts w:hint="eastAsia" w:ascii="宋体" w:hAnsi="宋体" w:cs="宋体"/>
          <w:color w:val="auto"/>
          <w:highlight w:val="none"/>
        </w:rPr>
        <w:t xml:space="preserve">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询价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单一来源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 xml:space="preserve">框架协议 </w:t>
      </w:r>
      <w:r>
        <w:rPr>
          <w:rFonts w:hint="eastAsia" w:ascii="宋体" w:hAnsi="宋体" w:eastAsia="宋体" w:cs="宋体"/>
          <w:color w:val="auto"/>
          <w:sz w:val="21"/>
          <w:highlight w:val="none"/>
        </w:rPr>
        <w:sym w:font="Wingdings" w:char="00A8"/>
      </w:r>
      <w:r>
        <w:rPr>
          <w:rFonts w:hint="eastAsia" w:ascii="宋体" w:hAnsi="宋体" w:eastAsia="宋体" w:cs="宋体"/>
          <w:color w:val="auto"/>
          <w:sz w:val="21"/>
          <w:highlight w:val="none"/>
        </w:rPr>
        <w:t>其他：</w:t>
      </w:r>
      <w:r>
        <w:rPr>
          <w:rFonts w:hint="eastAsia" w:ascii="宋体" w:hAnsi="宋体" w:eastAsia="宋体" w:cs="宋体"/>
          <w:color w:val="auto"/>
          <w:sz w:val="21"/>
          <w:highlight w:val="none"/>
          <w:u w:val="single"/>
        </w:rPr>
        <w:t xml:space="preserve">          </w:t>
      </w:r>
    </w:p>
    <w:p w14:paraId="4662F17A">
      <w:pPr>
        <w:pStyle w:val="77"/>
        <w:numPr>
          <w:ilvl w:val="255"/>
          <w:numId w:val="0"/>
        </w:numPr>
        <w:snapToGrid w:val="0"/>
        <w:ind w:firstLine="420"/>
        <w:rPr>
          <w:rFonts w:ascii="宋体" w:hAnsi="宋体" w:eastAsia="宋体" w:cs="宋体"/>
          <w:color w:val="auto"/>
          <w:sz w:val="21"/>
          <w:highlight w:val="none"/>
        </w:rPr>
      </w:pPr>
      <w:r>
        <w:rPr>
          <w:rFonts w:hint="eastAsia" w:ascii="宋体" w:hAnsi="宋体" w:eastAsia="宋体" w:cs="宋体"/>
          <w:color w:val="auto"/>
          <w:sz w:val="21"/>
          <w:highlight w:val="none"/>
        </w:rPr>
        <w:t>（注：在框架协议采购的第二阶段，可选择使用该合同文本）</w:t>
      </w:r>
    </w:p>
    <w:p w14:paraId="0388ECF3">
      <w:pPr>
        <w:pStyle w:val="77"/>
        <w:numPr>
          <w:ilvl w:val="255"/>
          <w:numId w:val="0"/>
        </w:numPr>
        <w:snapToGrid w:val="0"/>
        <w:ind w:firstLine="220" w:firstLineChars="100"/>
        <w:rPr>
          <w:rFonts w:ascii="宋体" w:hAnsi="宋体" w:eastAsia="宋体" w:cs="Times New Roman"/>
          <w:color w:val="auto"/>
          <w:kern w:val="2"/>
          <w:sz w:val="21"/>
          <w:highlight w:val="none"/>
        </w:rPr>
      </w:pPr>
      <w:r>
        <w:rPr>
          <w:rFonts w:hint="eastAsia" w:ascii="宋体" w:hAnsi="宋体"/>
          <w:color w:val="auto"/>
          <w:highlight w:val="none"/>
        </w:rPr>
        <w:t xml:space="preserve"> （</w:t>
      </w:r>
      <w:r>
        <w:rPr>
          <w:rFonts w:ascii="宋体" w:hAnsi="宋体"/>
          <w:color w:val="auto"/>
          <w:highlight w:val="none"/>
          <w:lang w:val="en"/>
        </w:rPr>
        <w:t>6</w:t>
      </w:r>
      <w:r>
        <w:rPr>
          <w:rFonts w:hint="eastAsia" w:ascii="宋体" w:hAnsi="宋体"/>
          <w:color w:val="auto"/>
          <w:highlight w:val="none"/>
        </w:rPr>
        <w:t>）</w:t>
      </w:r>
      <w:r>
        <w:rPr>
          <w:rFonts w:hint="eastAsia" w:ascii="宋体" w:hAnsi="宋体" w:eastAsia="宋体" w:cs="Times New Roman"/>
          <w:color w:val="auto"/>
          <w:kern w:val="2"/>
          <w:sz w:val="21"/>
          <w:highlight w:val="none"/>
        </w:rPr>
        <w:t>中标（成交）采购标的制造商是否为中小企业：</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 xml:space="preserve">是      </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否</w:t>
      </w:r>
    </w:p>
    <w:p w14:paraId="6380D05C">
      <w:pPr>
        <w:numPr>
          <w:ilvl w:val="255"/>
          <w:numId w:val="0"/>
        </w:numPr>
        <w:adjustRightInd w:val="0"/>
        <w:snapToGrid w:val="0"/>
        <w:spacing w:line="400" w:lineRule="exact"/>
        <w:rPr>
          <w:rFonts w:ascii="宋体" w:hAnsi="宋体"/>
          <w:iCs/>
          <w:color w:val="auto"/>
          <w:szCs w:val="21"/>
          <w:highlight w:val="none"/>
        </w:rPr>
      </w:pPr>
      <w:r>
        <w:rPr>
          <w:rFonts w:hint="eastAsia" w:ascii="宋体" w:hAnsi="宋体"/>
          <w:color w:val="auto"/>
          <w:szCs w:val="21"/>
          <w:highlight w:val="none"/>
        </w:rPr>
        <w:t xml:space="preserve">         本合同是否为专门面向中小企业的采购合同（中小企业预留合同）：</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2748AEA6">
      <w:pPr>
        <w:numPr>
          <w:ilvl w:val="255"/>
          <w:numId w:val="0"/>
        </w:numPr>
        <w:adjustRightInd w:val="0"/>
        <w:snapToGrid w:val="0"/>
        <w:spacing w:line="400" w:lineRule="exact"/>
        <w:rPr>
          <w:rFonts w:ascii="宋体" w:hAnsi="宋体"/>
          <w:iCs/>
          <w:color w:val="auto"/>
          <w:szCs w:val="21"/>
          <w:highlight w:val="none"/>
        </w:rPr>
      </w:pPr>
      <w:r>
        <w:rPr>
          <w:rFonts w:hint="eastAsia"/>
          <w:color w:val="auto"/>
          <w:highlight w:val="none"/>
        </w:rPr>
        <w:t xml:space="preserve">         若本项目不专门面向中小企业采购，是否给予小微企业评审优惠：</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3218AD08">
      <w:pPr>
        <w:numPr>
          <w:ilvl w:val="255"/>
          <w:numId w:val="0"/>
        </w:numPr>
        <w:adjustRightInd w:val="0"/>
        <w:snapToGrid w:val="0"/>
        <w:spacing w:line="400" w:lineRule="exact"/>
        <w:rPr>
          <w:rFonts w:ascii="宋体" w:hAnsi="宋体"/>
          <w:iCs/>
          <w:color w:val="auto"/>
          <w:szCs w:val="21"/>
          <w:highlight w:val="none"/>
        </w:rPr>
      </w:pPr>
      <w:r>
        <w:rPr>
          <w:rFonts w:hint="eastAsia"/>
          <w:color w:val="auto"/>
          <w:highlight w:val="none"/>
        </w:rPr>
        <w:t xml:space="preserve">         中标（成交）采购标的制造商是否为残疾人福利性单位：</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3A8B65D1">
      <w:pPr>
        <w:snapToGrid w:val="0"/>
        <w:spacing w:line="400" w:lineRule="exact"/>
        <w:rPr>
          <w:color w:val="auto"/>
          <w:highlight w:val="none"/>
        </w:rPr>
      </w:pPr>
      <w:r>
        <w:rPr>
          <w:rFonts w:hint="eastAsia"/>
          <w:color w:val="auto"/>
          <w:highlight w:val="none"/>
        </w:rPr>
        <w:t xml:space="preserve">         中标（成交）采购标的制造商是否为监狱企业：</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5A06817A">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lang w:val="en"/>
        </w:rPr>
        <w:t>7</w:t>
      </w:r>
      <w:r>
        <w:rPr>
          <w:rFonts w:hint="eastAsia" w:ascii="宋体" w:hAnsi="宋体"/>
          <w:color w:val="auto"/>
          <w:szCs w:val="21"/>
          <w:highlight w:val="none"/>
        </w:rPr>
        <w:t>）合同是否分包：</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34E92EC3">
      <w:pPr>
        <w:adjustRightInd w:val="0"/>
        <w:snapToGrid w:val="0"/>
        <w:spacing w:line="400" w:lineRule="exact"/>
        <w:ind w:firstLine="840" w:firstLineChars="400"/>
        <w:rPr>
          <w:rFonts w:ascii="宋体" w:hAnsi="宋体"/>
          <w:color w:val="auto"/>
          <w:szCs w:val="21"/>
          <w:highlight w:val="none"/>
          <w:u w:val="single"/>
        </w:rPr>
      </w:pPr>
      <w:r>
        <w:rPr>
          <w:rFonts w:hint="eastAsia" w:ascii="宋体" w:hAnsi="宋体"/>
          <w:color w:val="auto"/>
          <w:szCs w:val="21"/>
          <w:highlight w:val="none"/>
        </w:rPr>
        <w:t xml:space="preserve"> 分包主要内容：</w:t>
      </w:r>
      <w:r>
        <w:rPr>
          <w:rFonts w:hint="eastAsia" w:ascii="宋体" w:hAnsi="宋体"/>
          <w:color w:val="auto"/>
          <w:szCs w:val="21"/>
          <w:highlight w:val="none"/>
          <w:u w:val="single"/>
        </w:rPr>
        <w:t xml:space="preserve">                                            </w:t>
      </w:r>
    </w:p>
    <w:p w14:paraId="5B7DA3EC">
      <w:pPr>
        <w:adjustRightInd w:val="0"/>
        <w:snapToGrid w:val="0"/>
        <w:spacing w:line="400" w:lineRule="exact"/>
        <w:ind w:firstLine="840" w:firstLineChars="400"/>
        <w:rPr>
          <w:rFonts w:ascii="宋体" w:hAnsi="宋体"/>
          <w:color w:val="auto"/>
          <w:szCs w:val="21"/>
          <w:highlight w:val="none"/>
        </w:rPr>
      </w:pPr>
      <w:r>
        <w:rPr>
          <w:rFonts w:hint="eastAsia" w:ascii="宋体" w:hAnsi="宋体"/>
          <w:color w:val="auto"/>
          <w:szCs w:val="21"/>
          <w:highlight w:val="none"/>
        </w:rPr>
        <w:t xml:space="preserve"> 分包供应商/制造商名称（如供应商和制造商不同，请分别填写）：</w:t>
      </w:r>
    </w:p>
    <w:p w14:paraId="598656E9">
      <w:pPr>
        <w:adjustRightInd w:val="0"/>
        <w:snapToGrid w:val="0"/>
        <w:spacing w:line="400" w:lineRule="exact"/>
        <w:ind w:firstLine="840" w:firstLineChars="400"/>
        <w:rPr>
          <w:rFonts w:ascii="宋体" w:hAnsi="宋体"/>
          <w:color w:val="auto"/>
          <w:szCs w:val="21"/>
          <w:highlight w:val="none"/>
          <w:u w:val="singl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p>
    <w:p w14:paraId="13DB1649">
      <w:pPr>
        <w:adjustRightInd w:val="0"/>
        <w:snapToGrid w:val="0"/>
        <w:spacing w:line="400" w:lineRule="exact"/>
        <w:ind w:firstLine="840" w:firstLineChars="400"/>
        <w:rPr>
          <w:rFonts w:ascii="宋体" w:hAnsi="宋体"/>
          <w:color w:val="auto"/>
          <w:szCs w:val="21"/>
          <w:highlight w:val="none"/>
        </w:rPr>
      </w:pPr>
      <w:r>
        <w:rPr>
          <w:rFonts w:hint="eastAsia" w:ascii="宋体" w:hAnsi="宋体"/>
          <w:color w:val="auto"/>
          <w:szCs w:val="21"/>
          <w:highlight w:val="none"/>
        </w:rPr>
        <w:t xml:space="preserve"> 分包供应商/制造商类型（如果供应商和制造商不同，只填写制造商类型）：</w:t>
      </w:r>
    </w:p>
    <w:p w14:paraId="55C53461">
      <w:pPr>
        <w:adjustRightInd w:val="0"/>
        <w:snapToGrid w:val="0"/>
        <w:spacing w:line="400" w:lineRule="exact"/>
        <w:ind w:firstLine="840" w:firstLineChars="400"/>
        <w:rPr>
          <w:rFonts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大型企业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中型企业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小微型企业  </w:t>
      </w:r>
    </w:p>
    <w:p w14:paraId="49B36403">
      <w:pPr>
        <w:adjustRightInd w:val="0"/>
        <w:snapToGrid w:val="0"/>
        <w:spacing w:line="400" w:lineRule="exact"/>
        <w:ind w:firstLine="840" w:firstLineChars="400"/>
        <w:rPr>
          <w:rFonts w:eastAsia="华文楷体"/>
          <w:color w:val="auto"/>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残疾人福利性单位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监狱企业 </w:t>
      </w:r>
      <w:r>
        <w:rPr>
          <w:rFonts w:hint="eastAsia" w:ascii="宋体" w:hAnsi="宋体"/>
          <w:iCs/>
          <w:color w:val="auto"/>
          <w:szCs w:val="21"/>
          <w:highlight w:val="none"/>
        </w:rPr>
        <w:sym w:font="Wingdings" w:char="00A8"/>
      </w:r>
      <w:r>
        <w:rPr>
          <w:rFonts w:hint="eastAsia" w:ascii="宋体" w:hAnsi="宋体"/>
          <w:iCs/>
          <w:color w:val="auto"/>
          <w:szCs w:val="21"/>
          <w:highlight w:val="none"/>
        </w:rPr>
        <w:t>其他</w:t>
      </w:r>
    </w:p>
    <w:p w14:paraId="5B29B5CE">
      <w:pPr>
        <w:numPr>
          <w:ilvl w:val="255"/>
          <w:numId w:val="0"/>
        </w:numPr>
        <w:adjustRightInd w:val="0"/>
        <w:snapToGrid w:val="0"/>
        <w:spacing w:line="400" w:lineRule="exact"/>
        <w:rPr>
          <w:rFonts w:ascii="宋体" w:hAnsi="宋体" w:cs="宋体"/>
          <w:iCs/>
          <w:color w:val="auto"/>
          <w:szCs w:val="21"/>
          <w:highlight w:val="none"/>
        </w:rPr>
      </w:pPr>
      <w:r>
        <w:rPr>
          <w:rFonts w:hint="eastAsia" w:ascii="宋体" w:hAnsi="宋体"/>
          <w:color w:val="auto"/>
          <w:szCs w:val="21"/>
          <w:highlight w:val="none"/>
        </w:rPr>
        <w:t xml:space="preserve">    </w:t>
      </w:r>
      <w:r>
        <w:rPr>
          <w:rFonts w:hint="eastAsia" w:ascii="宋体" w:hAnsi="宋体" w:cs="宋体"/>
          <w:color w:val="auto"/>
          <w:szCs w:val="21"/>
          <w:highlight w:val="none"/>
        </w:rPr>
        <w:t>（</w:t>
      </w:r>
      <w:r>
        <w:rPr>
          <w:rFonts w:ascii="宋体" w:hAnsi="宋体" w:cs="宋体"/>
          <w:color w:val="auto"/>
          <w:szCs w:val="21"/>
          <w:highlight w:val="none"/>
          <w:lang w:val="en"/>
        </w:rPr>
        <w:t>8</w:t>
      </w:r>
      <w:r>
        <w:rPr>
          <w:rFonts w:hint="eastAsia" w:ascii="宋体" w:hAnsi="宋体" w:cs="宋体"/>
          <w:color w:val="auto"/>
          <w:szCs w:val="21"/>
          <w:highlight w:val="none"/>
        </w:rPr>
        <w:t>）中标（成交）供应商是否为外商投资企业：</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6FF49915">
      <w:pPr>
        <w:pStyle w:val="77"/>
        <w:tabs>
          <w:tab w:val="left" w:pos="1340"/>
        </w:tabs>
        <w:ind w:firstLine="420"/>
        <w:rPr>
          <w:rFonts w:ascii="宋体" w:hAnsi="宋体" w:eastAsia="宋体" w:cs="宋体"/>
          <w:color w:val="auto"/>
          <w:sz w:val="21"/>
          <w:highlight w:val="none"/>
          <w:u w:val="single"/>
        </w:rPr>
      </w:pPr>
      <w:r>
        <w:rPr>
          <w:rFonts w:hint="eastAsia" w:ascii="宋体" w:hAnsi="宋体" w:eastAsia="宋体" w:cs="宋体"/>
          <w:color w:val="auto"/>
          <w:sz w:val="21"/>
          <w:highlight w:val="none"/>
        </w:rPr>
        <w:t xml:space="preserve">     外商投资企业类型：</w:t>
      </w:r>
      <w:r>
        <w:rPr>
          <w:rFonts w:hint="eastAsia" w:ascii="宋体" w:hAnsi="宋体" w:eastAsia="宋体" w:cs="宋体"/>
          <w:iCs/>
          <w:color w:val="auto"/>
          <w:sz w:val="21"/>
          <w:highlight w:val="none"/>
        </w:rPr>
        <w:sym w:font="Wingdings" w:char="00A8"/>
      </w:r>
      <w:r>
        <w:rPr>
          <w:rFonts w:hint="eastAsia" w:ascii="宋体" w:hAnsi="宋体" w:eastAsia="宋体" w:cs="宋体"/>
          <w:color w:val="auto"/>
          <w:sz w:val="21"/>
          <w:highlight w:val="none"/>
        </w:rPr>
        <w:t xml:space="preserve">全部由外国投资者投资  </w:t>
      </w:r>
      <w:r>
        <w:rPr>
          <w:rFonts w:hint="eastAsia" w:ascii="宋体" w:hAnsi="宋体" w:eastAsia="宋体" w:cs="宋体"/>
          <w:iCs/>
          <w:color w:val="auto"/>
          <w:sz w:val="21"/>
          <w:highlight w:val="none"/>
        </w:rPr>
        <w:sym w:font="Wingdings" w:char="00A8"/>
      </w:r>
      <w:r>
        <w:rPr>
          <w:rFonts w:hint="eastAsia" w:ascii="宋体" w:hAnsi="宋体" w:eastAsia="宋体" w:cs="宋体"/>
          <w:iCs/>
          <w:color w:val="auto"/>
          <w:sz w:val="21"/>
          <w:highlight w:val="none"/>
        </w:rPr>
        <w:t>部分由外国投资者投资</w:t>
      </w:r>
    </w:p>
    <w:p w14:paraId="5B75966A">
      <w:pPr>
        <w:numPr>
          <w:ilvl w:val="255"/>
          <w:numId w:val="0"/>
        </w:num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lang w:val="en"/>
        </w:rPr>
        <w:t>9</w:t>
      </w:r>
      <w:r>
        <w:rPr>
          <w:rFonts w:hint="eastAsia" w:ascii="宋体" w:hAnsi="宋体" w:cs="宋体"/>
          <w:color w:val="auto"/>
          <w:szCs w:val="21"/>
          <w:highlight w:val="none"/>
        </w:rPr>
        <w:t>）是否涉及进口产品：</w:t>
      </w:r>
    </w:p>
    <w:p w14:paraId="36BDA49A">
      <w:pPr>
        <w:numPr>
          <w:ilvl w:val="255"/>
          <w:numId w:val="0"/>
        </w:numPr>
        <w:adjustRightInd w:val="0"/>
        <w:snapToGrid w:val="0"/>
        <w:spacing w:line="400" w:lineRule="exact"/>
        <w:ind w:firstLine="840" w:firstLineChars="400"/>
        <w:rPr>
          <w:rFonts w:ascii="宋体" w:hAnsi="宋体" w:cs="宋体"/>
          <w:color w:val="auto"/>
          <w:szCs w:val="21"/>
          <w:highlight w:val="none"/>
          <w:u w:val="single"/>
        </w:rPr>
      </w:pPr>
      <w:r>
        <w:rPr>
          <w:rFonts w:hint="eastAsia" w:ascii="宋体" w:hAnsi="宋体" w:cs="宋体"/>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是，《政府采购品目分类目录》底级品目名称：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金额：</w:t>
      </w:r>
      <w:r>
        <w:rPr>
          <w:rFonts w:hint="eastAsia" w:ascii="宋体" w:hAnsi="宋体" w:cs="宋体"/>
          <w:color w:val="auto"/>
          <w:szCs w:val="21"/>
          <w:highlight w:val="none"/>
          <w:u w:val="single"/>
        </w:rPr>
        <w:t xml:space="preserve">        </w:t>
      </w:r>
    </w:p>
    <w:p w14:paraId="74D5C1F4">
      <w:pPr>
        <w:numPr>
          <w:ilvl w:val="255"/>
          <w:numId w:val="0"/>
        </w:numPr>
        <w:adjustRightInd w:val="0"/>
        <w:snapToGrid w:val="0"/>
        <w:spacing w:line="400" w:lineRule="exact"/>
        <w:ind w:firstLine="840" w:firstLineChars="400"/>
        <w:rPr>
          <w:rFonts w:ascii="宋体" w:hAnsi="宋体"/>
          <w:color w:val="auto"/>
          <w:szCs w:val="21"/>
          <w:highlight w:val="none"/>
        </w:rPr>
      </w:pPr>
      <w:r>
        <w:rPr>
          <w:rFonts w:hint="eastAsia" w:ascii="宋体" w:hAnsi="宋体" w:cs="宋体"/>
          <w:color w:val="auto"/>
          <w:szCs w:val="21"/>
          <w:highlight w:val="none"/>
        </w:rPr>
        <w:t xml:space="preserve">        国别：</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品牌：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规格型号：</w:t>
      </w:r>
      <w:r>
        <w:rPr>
          <w:rFonts w:hint="eastAsia" w:ascii="宋体" w:hAnsi="宋体" w:cs="宋体"/>
          <w:color w:val="auto"/>
          <w:szCs w:val="21"/>
          <w:highlight w:val="none"/>
          <w:u w:val="single"/>
        </w:rPr>
        <w:t xml:space="preserve">        </w:t>
      </w:r>
      <w:r>
        <w:rPr>
          <w:rFonts w:hint="eastAsia" w:ascii="宋体" w:hAnsi="宋体"/>
          <w:color w:val="auto"/>
          <w:szCs w:val="21"/>
          <w:highlight w:val="none"/>
        </w:rPr>
        <w:t xml:space="preserve">      </w:t>
      </w:r>
    </w:p>
    <w:p w14:paraId="1CE05C10">
      <w:pPr>
        <w:adjustRightInd w:val="0"/>
        <w:snapToGrid w:val="0"/>
        <w:spacing w:line="400" w:lineRule="exact"/>
        <w:ind w:firstLine="840" w:firstLineChars="400"/>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否</w:t>
      </w:r>
    </w:p>
    <w:p w14:paraId="0DB72656">
      <w:pPr>
        <w:numPr>
          <w:ilvl w:val="255"/>
          <w:numId w:val="0"/>
        </w:numPr>
        <w:tabs>
          <w:tab w:val="left" w:pos="740"/>
        </w:tabs>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（1</w:t>
      </w:r>
      <w:r>
        <w:rPr>
          <w:rFonts w:ascii="宋体" w:hAnsi="宋体"/>
          <w:color w:val="auto"/>
          <w:szCs w:val="21"/>
          <w:highlight w:val="none"/>
          <w:lang w:val="en"/>
        </w:rPr>
        <w:t>0</w:t>
      </w:r>
      <w:r>
        <w:rPr>
          <w:rFonts w:hint="eastAsia" w:ascii="宋体" w:hAnsi="宋体"/>
          <w:color w:val="auto"/>
          <w:szCs w:val="21"/>
          <w:highlight w:val="none"/>
        </w:rPr>
        <w:t>）是否涉及节能产品：</w:t>
      </w:r>
    </w:p>
    <w:p w14:paraId="501D5A18">
      <w:pPr>
        <w:numPr>
          <w:ilvl w:val="255"/>
          <w:numId w:val="0"/>
        </w:numPr>
        <w:tabs>
          <w:tab w:val="left" w:pos="740"/>
        </w:tabs>
        <w:adjustRightInd w:val="0"/>
        <w:snapToGrid w:val="0"/>
        <w:spacing w:line="400" w:lineRule="exact"/>
        <w:rPr>
          <w:rFonts w:ascii="宋体" w:hAnsi="宋体"/>
          <w:iCs/>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是，《节能产品政府采购品目清单》的底级品目名称：</w:t>
      </w:r>
      <w:r>
        <w:rPr>
          <w:rFonts w:hint="eastAsia" w:ascii="宋体" w:hAnsi="宋体"/>
          <w:color w:val="auto"/>
          <w:szCs w:val="21"/>
          <w:highlight w:val="none"/>
          <w:u w:val="single"/>
        </w:rPr>
        <w:t xml:space="preserve">         </w:t>
      </w:r>
      <w:r>
        <w:rPr>
          <w:rFonts w:hint="eastAsia" w:ascii="宋体" w:hAnsi="宋体"/>
          <w:iCs/>
          <w:color w:val="auto"/>
          <w:szCs w:val="21"/>
          <w:highlight w:val="none"/>
        </w:rPr>
        <w:t xml:space="preserve">     </w:t>
      </w:r>
    </w:p>
    <w:p w14:paraId="54A5F2C5">
      <w:pPr>
        <w:numPr>
          <w:ilvl w:val="255"/>
          <w:numId w:val="0"/>
        </w:numPr>
        <w:tabs>
          <w:tab w:val="left" w:pos="740"/>
        </w:tabs>
        <w:adjustRightInd w:val="0"/>
        <w:snapToGrid w:val="0"/>
        <w:spacing w:line="400" w:lineRule="exact"/>
        <w:rPr>
          <w:rFonts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强制采购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优先采购    </w:t>
      </w:r>
    </w:p>
    <w:p w14:paraId="3F4466A9">
      <w:pPr>
        <w:numPr>
          <w:ilvl w:val="255"/>
          <w:numId w:val="0"/>
        </w:numPr>
        <w:tabs>
          <w:tab w:val="left" w:pos="740"/>
        </w:tabs>
        <w:adjustRightInd w:val="0"/>
        <w:snapToGrid w:val="0"/>
        <w:spacing w:line="400" w:lineRule="exact"/>
        <w:rPr>
          <w:rFonts w:ascii="宋体" w:hAnsi="宋体"/>
          <w:color w:val="auto"/>
          <w:szCs w:val="21"/>
          <w:highlight w:val="none"/>
        </w:rPr>
      </w:pPr>
      <w:r>
        <w:rPr>
          <w:rFonts w:hint="eastAsia" w:ascii="宋体" w:hAnsi="宋体"/>
          <w:iCs/>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否</w:t>
      </w:r>
    </w:p>
    <w:p w14:paraId="335C9978">
      <w:pPr>
        <w:numPr>
          <w:ilvl w:val="255"/>
          <w:numId w:val="0"/>
        </w:numPr>
        <w:tabs>
          <w:tab w:val="left" w:pos="740"/>
        </w:tabs>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是否涉及环境标志产品：</w:t>
      </w:r>
    </w:p>
    <w:p w14:paraId="571AD9E8">
      <w:pPr>
        <w:numPr>
          <w:ilvl w:val="255"/>
          <w:numId w:val="0"/>
        </w:numPr>
        <w:tabs>
          <w:tab w:val="left" w:pos="740"/>
        </w:tabs>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是，《环境标志产品政府采购品目清单》的底级品目名称：</w:t>
      </w:r>
      <w:r>
        <w:rPr>
          <w:rFonts w:hint="eastAsia" w:ascii="宋体" w:hAnsi="宋体"/>
          <w:color w:val="auto"/>
          <w:szCs w:val="21"/>
          <w:highlight w:val="none"/>
          <w:u w:val="single"/>
        </w:rPr>
        <w:t xml:space="preserve">         </w:t>
      </w:r>
      <w:r>
        <w:rPr>
          <w:rFonts w:hint="eastAsia" w:ascii="宋体" w:hAnsi="宋体"/>
          <w:iCs/>
          <w:color w:val="auto"/>
          <w:szCs w:val="21"/>
          <w:highlight w:val="none"/>
        </w:rPr>
        <w:t xml:space="preserve"> </w:t>
      </w:r>
    </w:p>
    <w:p w14:paraId="31396AB7">
      <w:pPr>
        <w:numPr>
          <w:ilvl w:val="255"/>
          <w:numId w:val="0"/>
        </w:numPr>
        <w:tabs>
          <w:tab w:val="left" w:pos="740"/>
        </w:tabs>
        <w:adjustRightInd w:val="0"/>
        <w:snapToGrid w:val="0"/>
        <w:spacing w:line="400" w:lineRule="exact"/>
        <w:rPr>
          <w:rFonts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强制采购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优先采购    </w:t>
      </w:r>
    </w:p>
    <w:p w14:paraId="08C75B49">
      <w:pPr>
        <w:numPr>
          <w:ilvl w:val="255"/>
          <w:numId w:val="0"/>
        </w:numPr>
        <w:tabs>
          <w:tab w:val="left" w:pos="740"/>
        </w:tabs>
        <w:adjustRightInd w:val="0"/>
        <w:snapToGrid w:val="0"/>
        <w:spacing w:line="400" w:lineRule="exact"/>
        <w:rPr>
          <w:rFonts w:ascii="宋体" w:hAnsi="宋体"/>
          <w:color w:val="auto"/>
          <w:szCs w:val="21"/>
          <w:highlight w:val="none"/>
        </w:rPr>
      </w:pPr>
      <w:r>
        <w:rPr>
          <w:rFonts w:hint="eastAsia" w:ascii="宋体" w:hAnsi="宋体"/>
          <w:iCs/>
          <w:color w:val="auto"/>
          <w:szCs w:val="21"/>
          <w:highlight w:val="none"/>
        </w:rPr>
        <w:t xml:space="preserve">         </w:t>
      </w:r>
      <w:r>
        <w:rPr>
          <w:rFonts w:hint="eastAsia" w:ascii="宋体" w:hAnsi="宋体"/>
          <w:color w:val="auto"/>
          <w:szCs w:val="21"/>
          <w:highlight w:val="none"/>
        </w:rPr>
        <w:sym w:font="Wingdings" w:char="00A8"/>
      </w:r>
      <w:r>
        <w:rPr>
          <w:rFonts w:hint="eastAsia" w:ascii="宋体" w:hAnsi="宋体"/>
          <w:color w:val="auto"/>
          <w:szCs w:val="21"/>
          <w:highlight w:val="none"/>
        </w:rPr>
        <w:t>否</w:t>
      </w:r>
    </w:p>
    <w:p w14:paraId="28C29197">
      <w:pPr>
        <w:pStyle w:val="77"/>
        <w:numPr>
          <w:ilvl w:val="255"/>
          <w:numId w:val="0"/>
        </w:numPr>
        <w:snapToGrid w:val="0"/>
        <w:rPr>
          <w:rFonts w:ascii="宋体" w:hAnsi="宋体" w:eastAsia="宋体" w:cs="Times New Roman"/>
          <w:color w:val="auto"/>
          <w:kern w:val="2"/>
          <w:sz w:val="21"/>
          <w:highlight w:val="none"/>
        </w:rPr>
      </w:pPr>
      <w:r>
        <w:rPr>
          <w:rFonts w:hint="eastAsia" w:ascii="宋体" w:hAnsi="宋体"/>
          <w:color w:val="auto"/>
          <w:sz w:val="21"/>
          <w:highlight w:val="none"/>
        </w:rPr>
        <w:t xml:space="preserve">          </w:t>
      </w:r>
      <w:r>
        <w:rPr>
          <w:rFonts w:hint="eastAsia" w:ascii="宋体" w:hAnsi="宋体" w:eastAsia="宋体" w:cs="Times New Roman"/>
          <w:color w:val="auto"/>
          <w:kern w:val="2"/>
          <w:sz w:val="21"/>
          <w:highlight w:val="none"/>
        </w:rPr>
        <w:t xml:space="preserve">是否涉及绿色产品： </w:t>
      </w:r>
    </w:p>
    <w:p w14:paraId="4C4971FE">
      <w:pPr>
        <w:pStyle w:val="77"/>
        <w:ind w:firstLine="420" w:firstLineChars="0"/>
        <w:rPr>
          <w:rFonts w:ascii="宋体" w:hAnsi="宋体" w:eastAsia="宋体"/>
          <w:color w:val="auto"/>
          <w:highlight w:val="none"/>
          <w:u w:val="single"/>
        </w:rPr>
      </w:pPr>
      <w:r>
        <w:rPr>
          <w:rFonts w:hint="eastAsia" w:ascii="宋体" w:hAnsi="宋体" w:eastAsia="宋体" w:cs="Times New Roman"/>
          <w:color w:val="auto"/>
          <w:kern w:val="2"/>
          <w:sz w:val="21"/>
          <w:highlight w:val="none"/>
        </w:rPr>
        <w:t xml:space="preserve">     </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是，绿色产品政府采购相关政策确定的底级品目名称：</w:t>
      </w:r>
      <w:r>
        <w:rPr>
          <w:rFonts w:hint="eastAsia" w:ascii="宋体" w:hAnsi="宋体" w:eastAsia="宋体"/>
          <w:color w:val="auto"/>
          <w:highlight w:val="none"/>
          <w:u w:val="single"/>
        </w:rPr>
        <w:t xml:space="preserve">         </w:t>
      </w:r>
    </w:p>
    <w:p w14:paraId="700B597F">
      <w:pPr>
        <w:numPr>
          <w:ilvl w:val="255"/>
          <w:numId w:val="0"/>
        </w:numPr>
        <w:tabs>
          <w:tab w:val="left" w:pos="740"/>
        </w:tabs>
        <w:adjustRightInd w:val="0"/>
        <w:snapToGrid w:val="0"/>
        <w:spacing w:line="400" w:lineRule="exact"/>
        <w:rPr>
          <w:rFonts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强制采购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优先采购    </w:t>
      </w:r>
    </w:p>
    <w:p w14:paraId="5178D236">
      <w:pPr>
        <w:pStyle w:val="77"/>
        <w:ind w:firstLine="420" w:firstLineChars="0"/>
        <w:rPr>
          <w:rFonts w:ascii="宋体" w:hAnsi="宋体"/>
          <w:color w:val="auto"/>
          <w:sz w:val="21"/>
          <w:highlight w:val="none"/>
        </w:rPr>
      </w:pPr>
      <w:r>
        <w:rPr>
          <w:rFonts w:hint="eastAsia" w:ascii="宋体" w:hAnsi="宋体" w:eastAsia="宋体" w:cs="Times New Roman"/>
          <w:color w:val="auto"/>
          <w:kern w:val="2"/>
          <w:sz w:val="21"/>
          <w:highlight w:val="none"/>
        </w:rPr>
        <w:t xml:space="preserve">     </w:t>
      </w:r>
      <w:r>
        <w:rPr>
          <w:rFonts w:hint="eastAsia" w:ascii="宋体" w:hAnsi="宋体" w:eastAsia="宋体" w:cs="Times New Roman"/>
          <w:color w:val="auto"/>
          <w:kern w:val="2"/>
          <w:sz w:val="21"/>
          <w:highlight w:val="none"/>
        </w:rPr>
        <w:sym w:font="Wingdings" w:char="00A8"/>
      </w:r>
      <w:r>
        <w:rPr>
          <w:rFonts w:hint="eastAsia" w:ascii="宋体" w:hAnsi="宋体" w:eastAsia="宋体" w:cs="Times New Roman"/>
          <w:color w:val="auto"/>
          <w:kern w:val="2"/>
          <w:sz w:val="21"/>
          <w:highlight w:val="none"/>
        </w:rPr>
        <w:t>否</w:t>
      </w:r>
    </w:p>
    <w:p w14:paraId="4FB3BA08">
      <w:pPr>
        <w:numPr>
          <w:ilvl w:val="255"/>
          <w:numId w:val="0"/>
        </w:num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（1</w:t>
      </w:r>
      <w:r>
        <w:rPr>
          <w:rFonts w:ascii="宋体" w:hAnsi="宋体"/>
          <w:color w:val="auto"/>
          <w:szCs w:val="21"/>
          <w:highlight w:val="none"/>
          <w:lang w:val="en"/>
        </w:rPr>
        <w:t>1</w:t>
      </w:r>
      <w:r>
        <w:rPr>
          <w:rFonts w:hint="eastAsia" w:ascii="宋体" w:hAnsi="宋体"/>
          <w:color w:val="auto"/>
          <w:szCs w:val="21"/>
          <w:highlight w:val="none"/>
        </w:rPr>
        <w:t>）涉及商品包装和快递包装的，是否参考《商品包装政府采购需求标准（试行）》、《快递包装政府采购需求标准（试行）》明确产品及相关快递服务的具体包装要求：</w:t>
      </w:r>
    </w:p>
    <w:p w14:paraId="31F4434F">
      <w:pPr>
        <w:numPr>
          <w:ilvl w:val="255"/>
          <w:numId w:val="0"/>
        </w:numPr>
        <w:adjustRightInd w:val="0"/>
        <w:snapToGrid w:val="0"/>
        <w:spacing w:line="400" w:lineRule="exact"/>
        <w:ind w:firstLine="840" w:firstLineChars="400"/>
        <w:rPr>
          <w:rFonts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 xml:space="preserve">是       </w:t>
      </w:r>
      <w:r>
        <w:rPr>
          <w:rFonts w:hint="eastAsia" w:ascii="宋体" w:hAnsi="宋体"/>
          <w:color w:val="auto"/>
          <w:szCs w:val="21"/>
          <w:highlight w:val="none"/>
        </w:rPr>
        <w:sym w:font="Wingdings" w:char="00A8"/>
      </w:r>
      <w:r>
        <w:rPr>
          <w:rFonts w:hint="eastAsia" w:ascii="宋体" w:hAnsi="宋体"/>
          <w:color w:val="auto"/>
          <w:szCs w:val="21"/>
          <w:highlight w:val="none"/>
        </w:rPr>
        <w:t xml:space="preserve">否      </w:t>
      </w:r>
      <w:r>
        <w:rPr>
          <w:rFonts w:hint="eastAsia" w:ascii="宋体" w:hAnsi="宋体"/>
          <w:color w:val="auto"/>
          <w:szCs w:val="21"/>
          <w:highlight w:val="none"/>
        </w:rPr>
        <w:sym w:font="Wingdings" w:char="00A8"/>
      </w:r>
      <w:r>
        <w:rPr>
          <w:rFonts w:hint="eastAsia" w:ascii="宋体" w:hAnsi="宋体"/>
          <w:color w:val="auto"/>
          <w:szCs w:val="21"/>
          <w:highlight w:val="none"/>
        </w:rPr>
        <w:t>不涉及</w:t>
      </w:r>
    </w:p>
    <w:p w14:paraId="09545C1C">
      <w:pPr>
        <w:widowControl w:val="0"/>
        <w:numPr>
          <w:ilvl w:val="0"/>
          <w:numId w:val="1"/>
        </w:numPr>
        <w:adjustRightInd w:val="0"/>
        <w:snapToGrid w:val="0"/>
        <w:spacing w:line="400" w:lineRule="exact"/>
        <w:ind w:firstLine="422" w:firstLineChars="200"/>
        <w:textAlignment w:val="auto"/>
        <w:rPr>
          <w:rFonts w:ascii="宋体" w:hAnsi="宋体"/>
          <w:b/>
          <w:color w:val="auto"/>
          <w:szCs w:val="21"/>
          <w:highlight w:val="none"/>
        </w:rPr>
      </w:pPr>
      <w:r>
        <w:rPr>
          <w:rFonts w:hint="eastAsia" w:ascii="宋体" w:hAnsi="宋体"/>
          <w:b/>
          <w:color w:val="auto"/>
          <w:szCs w:val="21"/>
          <w:highlight w:val="none"/>
        </w:rPr>
        <w:t>合同金额</w:t>
      </w:r>
    </w:p>
    <w:p w14:paraId="51036F70">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（1）合同金额小写：</w:t>
      </w:r>
      <w:r>
        <w:rPr>
          <w:rFonts w:hint="eastAsia" w:ascii="宋体" w:hAnsi="宋体"/>
          <w:color w:val="auto"/>
          <w:szCs w:val="21"/>
          <w:highlight w:val="none"/>
          <w:u w:val="single"/>
        </w:rPr>
        <w:t xml:space="preserve">                           </w:t>
      </w:r>
    </w:p>
    <w:p w14:paraId="680D8BAD">
      <w:pPr>
        <w:adjustRightInd w:val="0"/>
        <w:snapToGrid w:val="0"/>
        <w:spacing w:line="400" w:lineRule="exact"/>
        <w:rPr>
          <w:rFonts w:ascii="宋体" w:hAnsi="宋体"/>
          <w:color w:val="auto"/>
          <w:szCs w:val="21"/>
          <w:highlight w:val="none"/>
          <w:u w:val="single"/>
        </w:rPr>
      </w:pPr>
      <w:r>
        <w:rPr>
          <w:rFonts w:hint="eastAsia" w:ascii="宋体" w:hAnsi="宋体"/>
          <w:color w:val="auto"/>
          <w:szCs w:val="21"/>
          <w:highlight w:val="none"/>
        </w:rPr>
        <w:t xml:space="preserve">                 大写：</w:t>
      </w:r>
      <w:r>
        <w:rPr>
          <w:rFonts w:hint="eastAsia" w:ascii="宋体" w:hAnsi="宋体"/>
          <w:color w:val="auto"/>
          <w:szCs w:val="21"/>
          <w:highlight w:val="none"/>
          <w:u w:val="single"/>
        </w:rPr>
        <w:t xml:space="preserve">                           </w:t>
      </w:r>
    </w:p>
    <w:p w14:paraId="1473C2A7">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分包金额（如有）小写：</w:t>
      </w:r>
      <w:r>
        <w:rPr>
          <w:rFonts w:hint="eastAsia" w:ascii="宋体" w:hAnsi="宋体"/>
          <w:color w:val="auto"/>
          <w:szCs w:val="21"/>
          <w:highlight w:val="none"/>
          <w:u w:val="single"/>
        </w:rPr>
        <w:t xml:space="preserve">                   </w:t>
      </w:r>
    </w:p>
    <w:p w14:paraId="452EB19B">
      <w:pPr>
        <w:adjustRightInd w:val="0"/>
        <w:snapToGrid w:val="0"/>
        <w:spacing w:line="400" w:lineRule="exact"/>
        <w:rPr>
          <w:rFonts w:ascii="宋体" w:hAnsi="宋体"/>
          <w:color w:val="auto"/>
          <w:szCs w:val="21"/>
          <w:highlight w:val="none"/>
          <w:u w:val="single"/>
        </w:rPr>
      </w:pPr>
      <w:r>
        <w:rPr>
          <w:rFonts w:hint="eastAsia" w:ascii="宋体" w:hAnsi="宋体"/>
          <w:color w:val="auto"/>
          <w:szCs w:val="21"/>
          <w:highlight w:val="none"/>
        </w:rPr>
        <w:t xml:space="preserve">                     大写：</w:t>
      </w:r>
      <w:r>
        <w:rPr>
          <w:rFonts w:hint="eastAsia" w:ascii="宋体" w:hAnsi="宋体"/>
          <w:color w:val="auto"/>
          <w:szCs w:val="21"/>
          <w:highlight w:val="none"/>
          <w:u w:val="single"/>
        </w:rPr>
        <w:t xml:space="preserve">                       </w:t>
      </w:r>
    </w:p>
    <w:p w14:paraId="19DD5758">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（注：固定单价合同应填写单价和最高限价）</w:t>
      </w:r>
    </w:p>
    <w:p w14:paraId="6969562D">
      <w:pPr>
        <w:numPr>
          <w:ilvl w:val="255"/>
          <w:numId w:val="0"/>
        </w:num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（2）合同定价方式（采用组合定价方式的，可以勾选多项）：</w:t>
      </w:r>
    </w:p>
    <w:p w14:paraId="616CEB16">
      <w:pPr>
        <w:adjustRightInd w:val="0"/>
        <w:snapToGrid w:val="0"/>
        <w:spacing w:line="400" w:lineRule="exact"/>
        <w:ind w:firstLine="420" w:firstLineChars="200"/>
        <w:rPr>
          <w:rFonts w:ascii="宋体" w:hAnsi="宋体"/>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固定总价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固定单价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固定费率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成本补偿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绩效激励 </w:t>
      </w:r>
      <w:r>
        <w:rPr>
          <w:rFonts w:hint="eastAsia" w:ascii="宋体" w:hAnsi="宋体"/>
          <w:iCs/>
          <w:color w:val="auto"/>
          <w:szCs w:val="21"/>
          <w:highlight w:val="none"/>
        </w:rPr>
        <w:sym w:font="Wingdings" w:char="00A8"/>
      </w:r>
      <w:r>
        <w:rPr>
          <w:rFonts w:hint="eastAsia" w:ascii="宋体" w:hAnsi="宋体"/>
          <w:iCs/>
          <w:color w:val="auto"/>
          <w:szCs w:val="21"/>
          <w:highlight w:val="none"/>
        </w:rPr>
        <w:t>其他</w:t>
      </w:r>
      <w:r>
        <w:rPr>
          <w:rFonts w:hint="eastAsia" w:ascii="宋体" w:hAnsi="宋体"/>
          <w:color w:val="auto"/>
          <w:szCs w:val="21"/>
          <w:highlight w:val="none"/>
          <w:u w:val="single"/>
        </w:rPr>
        <w:t xml:space="preserve">       </w:t>
      </w:r>
    </w:p>
    <w:p w14:paraId="7F96F91D">
      <w:pPr>
        <w:pStyle w:val="78"/>
        <w:spacing w:line="400" w:lineRule="exact"/>
        <w:rPr>
          <w:color w:val="auto"/>
          <w:highlight w:val="none"/>
        </w:rPr>
      </w:pPr>
      <w:r>
        <w:rPr>
          <w:rFonts w:hint="eastAsia" w:ascii="宋体" w:hAnsi="宋体"/>
          <w:color w:val="auto"/>
          <w:highlight w:val="none"/>
        </w:rPr>
        <w:t>（3）付款方式（按项目实际勾选填写）：</w:t>
      </w:r>
    </w:p>
    <w:p w14:paraId="272B39BD">
      <w:pPr>
        <w:adjustRightInd w:val="0"/>
        <w:snapToGrid w:val="0"/>
        <w:spacing w:line="400" w:lineRule="exact"/>
        <w:ind w:firstLine="630"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全额付款：</w:t>
      </w:r>
      <w:r>
        <w:rPr>
          <w:rFonts w:hint="eastAsia" w:ascii="宋体" w:hAnsi="宋体"/>
          <w:color w:val="auto"/>
          <w:szCs w:val="21"/>
          <w:highlight w:val="none"/>
          <w:u w:val="single"/>
        </w:rPr>
        <w:t xml:space="preserve">     （应明确一次性支付合同款项的条件）                    </w:t>
      </w:r>
    </w:p>
    <w:p w14:paraId="5C01B09C">
      <w:pPr>
        <w:snapToGrid w:val="0"/>
        <w:spacing w:line="400" w:lineRule="exact"/>
        <w:ind w:firstLine="630" w:firstLineChars="300"/>
        <w:rPr>
          <w:color w:val="auto"/>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分期付款：</w:t>
      </w:r>
      <w:r>
        <w:rPr>
          <w:rFonts w:hint="eastAsia" w:ascii="宋体" w:hAnsi="宋体"/>
          <w:color w:val="auto"/>
          <w:szCs w:val="21"/>
          <w:highlight w:val="none"/>
          <w:u w:val="single"/>
        </w:rPr>
        <w:t xml:space="preserve">  （应明确分期支付合同款项的各期比例和支付条件，各期支付条件应与分期履约验收情况挂钩） </w:t>
      </w:r>
      <w:r>
        <w:rPr>
          <w:rFonts w:hint="eastAsia" w:ascii="宋体" w:hAnsi="宋体"/>
          <w:color w:val="auto"/>
          <w:szCs w:val="21"/>
          <w:highlight w:val="none"/>
        </w:rPr>
        <w:t>，其中涉及预付款的：</w:t>
      </w:r>
      <w:r>
        <w:rPr>
          <w:rFonts w:hint="eastAsia" w:ascii="宋体" w:hAnsi="宋体"/>
          <w:color w:val="auto"/>
          <w:szCs w:val="21"/>
          <w:highlight w:val="none"/>
          <w:u w:val="single"/>
        </w:rPr>
        <w:t xml:space="preserve"> （应明确预付款的支付比例和支付条件） </w:t>
      </w:r>
    </w:p>
    <w:p w14:paraId="4CABB122">
      <w:pPr>
        <w:adjustRightInd w:val="0"/>
        <w:snapToGrid w:val="0"/>
        <w:spacing w:line="400" w:lineRule="exact"/>
        <w:ind w:firstLine="630"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成本补偿：</w:t>
      </w:r>
      <w:r>
        <w:rPr>
          <w:rFonts w:hint="eastAsia" w:ascii="宋体" w:hAnsi="宋体"/>
          <w:color w:val="auto"/>
          <w:szCs w:val="21"/>
          <w:highlight w:val="none"/>
          <w:u w:val="single"/>
        </w:rPr>
        <w:t xml:space="preserve">      （应明确按照成本补偿方式的支付方式和支付条件）   </w:t>
      </w:r>
    </w:p>
    <w:p w14:paraId="50B571B5">
      <w:pPr>
        <w:adjustRightInd w:val="0"/>
        <w:snapToGrid w:val="0"/>
        <w:spacing w:line="400" w:lineRule="exact"/>
        <w:ind w:firstLine="630" w:firstLineChars="300"/>
        <w:rPr>
          <w:rFonts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绩效激励：</w:t>
      </w:r>
      <w:r>
        <w:rPr>
          <w:rFonts w:hint="eastAsia" w:ascii="宋体" w:hAnsi="宋体"/>
          <w:color w:val="auto"/>
          <w:szCs w:val="21"/>
          <w:highlight w:val="none"/>
          <w:u w:val="single"/>
        </w:rPr>
        <w:t xml:space="preserve">      （应明确按照绩效激励方式的支付方式和支付条件）   </w:t>
      </w:r>
    </w:p>
    <w:p w14:paraId="4B13440A">
      <w:pPr>
        <w:widowControl w:val="0"/>
        <w:numPr>
          <w:ilvl w:val="0"/>
          <w:numId w:val="1"/>
        </w:numPr>
        <w:adjustRightInd w:val="0"/>
        <w:snapToGrid w:val="0"/>
        <w:spacing w:line="400" w:lineRule="exact"/>
        <w:ind w:firstLine="422" w:firstLineChars="200"/>
        <w:textAlignment w:val="auto"/>
        <w:rPr>
          <w:rFonts w:ascii="宋体" w:hAnsi="宋体"/>
          <w:b/>
          <w:color w:val="auto"/>
          <w:szCs w:val="21"/>
          <w:highlight w:val="none"/>
          <w:u w:val="single"/>
        </w:rPr>
      </w:pPr>
      <w:r>
        <w:rPr>
          <w:rFonts w:hint="eastAsia" w:ascii="宋体" w:hAnsi="宋体"/>
          <w:b/>
          <w:color w:val="auto"/>
          <w:szCs w:val="21"/>
          <w:highlight w:val="none"/>
        </w:rPr>
        <w:t>合同履行</w:t>
      </w:r>
    </w:p>
    <w:p w14:paraId="3C5C8CC7">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（1）起始日期：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日，完成日期：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2D25B5E2">
      <w:pPr>
        <w:adjustRightInd w:val="0"/>
        <w:snapToGrid w:val="0"/>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（2）履约地点</w:t>
      </w:r>
      <w:r>
        <w:rPr>
          <w:rFonts w:hint="eastAsia" w:ascii="宋体" w:hAnsi="宋体" w:cs="宋体"/>
          <w:bCs/>
          <w:color w:val="auto"/>
          <w:szCs w:val="21"/>
          <w:highlight w:val="none"/>
        </w:rPr>
        <w:t>：</w:t>
      </w:r>
      <w:r>
        <w:rPr>
          <w:rFonts w:hint="eastAsia" w:ascii="宋体" w:hAnsi="宋体" w:cs="宋体"/>
          <w:color w:val="auto"/>
          <w:szCs w:val="21"/>
          <w:highlight w:val="none"/>
          <w:u w:val="single"/>
        </w:rPr>
        <w:t xml:space="preserve">                             </w:t>
      </w:r>
    </w:p>
    <w:p w14:paraId="01AA8ADD">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bCs/>
          <w:color w:val="auto"/>
          <w:szCs w:val="21"/>
          <w:highlight w:val="none"/>
        </w:rPr>
        <w:t>（3）履约担保：</w:t>
      </w:r>
      <w:r>
        <w:rPr>
          <w:rFonts w:hint="eastAsia" w:ascii="宋体" w:hAnsi="宋体" w:cs="宋体"/>
          <w:color w:val="auto"/>
          <w:highlight w:val="none"/>
        </w:rPr>
        <w:t>是否收取履约保证金：</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否</w:t>
      </w:r>
    </w:p>
    <w:p w14:paraId="7060B1D8">
      <w:pPr>
        <w:pStyle w:val="77"/>
        <w:rPr>
          <w:rFonts w:ascii="宋体" w:hAnsi="宋体" w:eastAsia="宋体" w:cs="宋体"/>
          <w:color w:val="auto"/>
          <w:sz w:val="21"/>
          <w:highlight w:val="none"/>
        </w:rPr>
      </w:pPr>
      <w:r>
        <w:rPr>
          <w:rFonts w:hint="eastAsia" w:ascii="宋体" w:hAnsi="宋体" w:cs="宋体"/>
          <w:bCs/>
          <w:color w:val="auto"/>
          <w:highlight w:val="none"/>
        </w:rPr>
        <w:t xml:space="preserve">  </w:t>
      </w:r>
      <w:r>
        <w:rPr>
          <w:rFonts w:hint="eastAsia" w:ascii="宋体" w:hAnsi="宋体" w:eastAsia="宋体" w:cs="宋体"/>
          <w:color w:val="auto"/>
          <w:sz w:val="21"/>
          <w:highlight w:val="none"/>
        </w:rPr>
        <w:t xml:space="preserve">  收取履约保证金形式：</w:t>
      </w:r>
      <w:r>
        <w:rPr>
          <w:rFonts w:hint="eastAsia" w:ascii="宋体" w:hAnsi="宋体" w:eastAsia="宋体" w:cs="宋体"/>
          <w:bCs/>
          <w:color w:val="auto"/>
          <w:sz w:val="21"/>
          <w:highlight w:val="none"/>
          <w:u w:val="single"/>
        </w:rPr>
        <w:t xml:space="preserve">                            </w:t>
      </w:r>
    </w:p>
    <w:p w14:paraId="64624B50">
      <w:pPr>
        <w:pStyle w:val="77"/>
        <w:ind w:firstLine="420"/>
        <w:rPr>
          <w:rFonts w:ascii="宋体" w:hAnsi="宋体" w:eastAsia="宋体" w:cs="宋体"/>
          <w:color w:val="auto"/>
          <w:sz w:val="21"/>
          <w:highlight w:val="none"/>
        </w:rPr>
      </w:pPr>
      <w:r>
        <w:rPr>
          <w:rFonts w:hint="eastAsia" w:ascii="宋体" w:hAnsi="宋体" w:eastAsia="宋体" w:cs="宋体"/>
          <w:color w:val="auto"/>
          <w:sz w:val="21"/>
          <w:highlight w:val="none"/>
        </w:rPr>
        <w:t xml:space="preserve">    收取履约保证金金额：</w:t>
      </w:r>
      <w:r>
        <w:rPr>
          <w:rFonts w:hint="eastAsia" w:ascii="宋体" w:hAnsi="宋体" w:eastAsia="宋体" w:cs="宋体"/>
          <w:bCs/>
          <w:color w:val="auto"/>
          <w:sz w:val="21"/>
          <w:highlight w:val="none"/>
          <w:u w:val="single"/>
        </w:rPr>
        <w:t xml:space="preserve">                            </w:t>
      </w:r>
    </w:p>
    <w:p w14:paraId="67AE9737">
      <w:pPr>
        <w:snapToGrid w:val="0"/>
        <w:spacing w:line="400" w:lineRule="exact"/>
        <w:ind w:firstLine="420" w:firstLineChars="200"/>
        <w:rPr>
          <w:rFonts w:ascii="宋体" w:hAnsi="宋体" w:cs="宋体"/>
          <w:color w:val="auto"/>
          <w:highlight w:val="none"/>
        </w:rPr>
      </w:pPr>
      <w:r>
        <w:rPr>
          <w:rFonts w:hint="eastAsia" w:ascii="宋体" w:hAnsi="宋体" w:cs="宋体"/>
          <w:bCs/>
          <w:color w:val="auto"/>
          <w:szCs w:val="21"/>
          <w:highlight w:val="none"/>
        </w:rPr>
        <w:t xml:space="preserve">    履约担保期限：</w:t>
      </w:r>
      <w:r>
        <w:rPr>
          <w:rFonts w:hint="eastAsia" w:ascii="宋体" w:hAnsi="宋体" w:cs="宋体"/>
          <w:bCs/>
          <w:color w:val="auto"/>
          <w:szCs w:val="21"/>
          <w:highlight w:val="none"/>
          <w:u w:val="single"/>
        </w:rPr>
        <w:t xml:space="preserve">                                  </w:t>
      </w:r>
    </w:p>
    <w:p w14:paraId="4078DFB4">
      <w:pPr>
        <w:adjustRightInd w:val="0"/>
        <w:snapToGrid w:val="0"/>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（4）分期履行要求：</w:t>
      </w:r>
      <w:r>
        <w:rPr>
          <w:rFonts w:hint="eastAsia" w:ascii="宋体" w:hAnsi="宋体" w:cs="宋体"/>
          <w:bCs/>
          <w:color w:val="auto"/>
          <w:szCs w:val="21"/>
          <w:highlight w:val="none"/>
          <w:u w:val="single"/>
        </w:rPr>
        <w:t xml:space="preserve">                                                        </w:t>
      </w:r>
    </w:p>
    <w:p w14:paraId="43E8762E">
      <w:pPr>
        <w:adjustRightInd w:val="0"/>
        <w:snapToGrid w:val="0"/>
        <w:spacing w:line="400" w:lineRule="exact"/>
        <w:ind w:firstLine="420" w:firstLineChars="200"/>
        <w:rPr>
          <w:rFonts w:ascii="宋体" w:hAnsi="宋体" w:cs="宋体"/>
          <w:color w:val="auto"/>
          <w:szCs w:val="21"/>
          <w:highlight w:val="none"/>
          <w:u w:val="single"/>
        </w:rPr>
      </w:pPr>
      <w:r>
        <w:rPr>
          <w:rFonts w:hint="eastAsia" w:ascii="宋体" w:hAnsi="宋体" w:cs="宋体"/>
          <w:bCs/>
          <w:color w:val="auto"/>
          <w:szCs w:val="21"/>
          <w:highlight w:val="none"/>
        </w:rPr>
        <w:t>（5）风险处置措施和替代方案：</w:t>
      </w:r>
      <w:r>
        <w:rPr>
          <w:rFonts w:hint="eastAsia" w:ascii="宋体" w:hAnsi="宋体" w:cs="宋体"/>
          <w:color w:val="auto"/>
          <w:szCs w:val="21"/>
          <w:highlight w:val="none"/>
          <w:u w:val="single"/>
        </w:rPr>
        <w:t xml:space="preserve">                                                               </w:t>
      </w:r>
    </w:p>
    <w:p w14:paraId="168F4CE8">
      <w:pPr>
        <w:widowControl w:val="0"/>
        <w:numPr>
          <w:ilvl w:val="0"/>
          <w:numId w:val="1"/>
        </w:numPr>
        <w:adjustRightInd w:val="0"/>
        <w:snapToGrid w:val="0"/>
        <w:spacing w:line="400" w:lineRule="exact"/>
        <w:ind w:firstLine="422" w:firstLineChars="200"/>
        <w:textAlignment w:val="auto"/>
        <w:rPr>
          <w:rFonts w:ascii="宋体" w:hAnsi="宋体"/>
          <w:b/>
          <w:color w:val="auto"/>
          <w:szCs w:val="21"/>
          <w:highlight w:val="none"/>
        </w:rPr>
      </w:pPr>
      <w:r>
        <w:rPr>
          <w:rFonts w:hint="eastAsia" w:ascii="宋体" w:hAnsi="宋体"/>
          <w:b/>
          <w:color w:val="auto"/>
          <w:szCs w:val="21"/>
          <w:highlight w:val="none"/>
        </w:rPr>
        <w:t>合同验收</w:t>
      </w:r>
    </w:p>
    <w:p w14:paraId="1AAD3915">
      <w:pPr>
        <w:widowControl w:val="0"/>
        <w:numPr>
          <w:ilvl w:val="0"/>
          <w:numId w:val="3"/>
        </w:numPr>
        <w:adjustRightInd w:val="0"/>
        <w:snapToGrid w:val="0"/>
        <w:spacing w:line="400" w:lineRule="exact"/>
        <w:ind w:firstLine="420" w:firstLineChars="200"/>
        <w:textAlignment w:val="auto"/>
        <w:rPr>
          <w:rFonts w:ascii="宋体" w:hAnsi="宋体"/>
          <w:bCs/>
          <w:color w:val="auto"/>
          <w:szCs w:val="21"/>
          <w:highlight w:val="none"/>
        </w:rPr>
      </w:pPr>
      <w:r>
        <w:rPr>
          <w:rFonts w:hint="eastAsia" w:ascii="宋体" w:hAnsi="宋体"/>
          <w:bCs/>
          <w:color w:val="auto"/>
          <w:szCs w:val="21"/>
          <w:highlight w:val="none"/>
        </w:rPr>
        <w:t>验收组织方式：</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自行组织 </w:t>
      </w:r>
      <w:r>
        <w:rPr>
          <w:rFonts w:hint="eastAsia" w:ascii="宋体" w:hAnsi="宋体" w:cs="宋体"/>
          <w:color w:val="auto"/>
          <w:szCs w:val="21"/>
          <w:highlight w:val="none"/>
        </w:rPr>
        <w:sym w:font="Wingdings" w:char="00A8"/>
      </w:r>
      <w:r>
        <w:rPr>
          <w:rFonts w:hint="eastAsia" w:ascii="宋体" w:hAnsi="宋体"/>
          <w:bCs/>
          <w:color w:val="auto"/>
          <w:szCs w:val="21"/>
          <w:highlight w:val="none"/>
        </w:rPr>
        <w:t>委托第三方组织</w:t>
      </w:r>
    </w:p>
    <w:p w14:paraId="6CFA776A">
      <w:pPr>
        <w:adjustRightInd w:val="0"/>
        <w:snapToGrid w:val="0"/>
        <w:spacing w:line="400" w:lineRule="exact"/>
        <w:rPr>
          <w:rFonts w:ascii="宋体" w:hAnsi="宋体"/>
          <w:bCs/>
          <w:color w:val="auto"/>
          <w:szCs w:val="21"/>
          <w:highlight w:val="none"/>
        </w:rPr>
      </w:pPr>
      <w:r>
        <w:rPr>
          <w:rFonts w:hint="eastAsia" w:ascii="宋体" w:hAnsi="宋体"/>
          <w:bCs/>
          <w:color w:val="auto"/>
          <w:szCs w:val="21"/>
          <w:highlight w:val="none"/>
        </w:rPr>
        <w:t xml:space="preserve">         验收主体：</w:t>
      </w:r>
      <w:r>
        <w:rPr>
          <w:rFonts w:hint="eastAsia" w:ascii="宋体" w:hAnsi="宋体"/>
          <w:bCs/>
          <w:color w:val="auto"/>
          <w:szCs w:val="21"/>
          <w:highlight w:val="none"/>
          <w:u w:val="single"/>
        </w:rPr>
        <w:t xml:space="preserve">                  </w:t>
      </w:r>
    </w:p>
    <w:p w14:paraId="1C25BE38">
      <w:pPr>
        <w:adjustRightInd w:val="0"/>
        <w:snapToGrid w:val="0"/>
        <w:spacing w:line="400" w:lineRule="exact"/>
        <w:rPr>
          <w:rFonts w:ascii="宋体" w:hAnsi="宋体"/>
          <w:bCs/>
          <w:color w:val="auto"/>
          <w:szCs w:val="21"/>
          <w:highlight w:val="none"/>
        </w:rPr>
      </w:pPr>
      <w:r>
        <w:rPr>
          <w:rFonts w:hint="eastAsia" w:ascii="宋体" w:hAnsi="宋体"/>
          <w:bCs/>
          <w:color w:val="auto"/>
          <w:szCs w:val="21"/>
          <w:highlight w:val="none"/>
        </w:rPr>
        <w:t xml:space="preserve">        是否邀请本项目的其他供应商参加验收：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7C285398">
      <w:pPr>
        <w:adjustRightInd w:val="0"/>
        <w:snapToGrid w:val="0"/>
        <w:spacing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是否邀请专家参加验收：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08A6B28F">
      <w:pPr>
        <w:adjustRightInd w:val="0"/>
        <w:snapToGrid w:val="0"/>
        <w:spacing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是否邀请服务对象参加验收：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13E555FF">
      <w:pPr>
        <w:adjustRightInd w:val="0"/>
        <w:snapToGrid w:val="0"/>
        <w:spacing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是否邀请第三方检测机构参加验收：</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4362360E">
      <w:pPr>
        <w:adjustRightInd w:val="0"/>
        <w:snapToGrid w:val="0"/>
        <w:spacing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是否进行抽查检测：</w:t>
      </w:r>
      <w:r>
        <w:rPr>
          <w:rFonts w:hint="eastAsia" w:ascii="宋体" w:hAnsi="宋体" w:cs="宋体"/>
          <w:color w:val="auto"/>
          <w:szCs w:val="21"/>
          <w:highlight w:val="none"/>
        </w:rPr>
        <w:sym w:font="Wingdings" w:char="00A8"/>
      </w:r>
      <w:r>
        <w:rPr>
          <w:rFonts w:hint="eastAsia" w:ascii="宋体" w:hAnsi="宋体"/>
          <w:bCs/>
          <w:color w:val="auto"/>
          <w:szCs w:val="21"/>
          <w:highlight w:val="none"/>
        </w:rPr>
        <w:t>是，抽查比例：</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63F8A007">
      <w:pPr>
        <w:adjustRightInd w:val="0"/>
        <w:snapToGrid w:val="0"/>
        <w:spacing w:line="400" w:lineRule="exact"/>
        <w:ind w:firstLine="840" w:firstLineChars="400"/>
        <w:rPr>
          <w:rFonts w:ascii="宋体" w:hAnsi="宋体"/>
          <w:bCs/>
          <w:color w:val="auto"/>
          <w:szCs w:val="21"/>
          <w:highlight w:val="none"/>
          <w:u w:val="single"/>
        </w:rPr>
      </w:pPr>
      <w:r>
        <w:rPr>
          <w:rFonts w:hint="eastAsia" w:ascii="宋体" w:hAnsi="宋体"/>
          <w:bCs/>
          <w:color w:val="auto"/>
          <w:szCs w:val="21"/>
          <w:highlight w:val="none"/>
        </w:rPr>
        <w:t>是否存在破坏性检测：</w:t>
      </w:r>
      <w:r>
        <w:rPr>
          <w:rFonts w:hint="eastAsia" w:ascii="宋体" w:hAnsi="宋体" w:cs="宋体"/>
          <w:color w:val="auto"/>
          <w:szCs w:val="21"/>
          <w:highlight w:val="none"/>
        </w:rPr>
        <w:sym w:font="Wingdings" w:char="00A8"/>
      </w:r>
      <w:r>
        <w:rPr>
          <w:rFonts w:hint="eastAsia" w:ascii="宋体" w:hAnsi="宋体"/>
          <w:bCs/>
          <w:color w:val="auto"/>
          <w:szCs w:val="21"/>
          <w:highlight w:val="none"/>
        </w:rPr>
        <w:t>是，</w:t>
      </w:r>
      <w:r>
        <w:rPr>
          <w:rFonts w:hint="eastAsia" w:ascii="宋体" w:hAnsi="宋体"/>
          <w:bCs/>
          <w:color w:val="auto"/>
          <w:szCs w:val="21"/>
          <w:highlight w:val="none"/>
          <w:u w:val="single"/>
        </w:rPr>
        <w:t>（应明确对被破坏的检测产品的处理方式）</w:t>
      </w:r>
    </w:p>
    <w:p w14:paraId="53F1CBC0">
      <w:pPr>
        <w:adjustRightInd w:val="0"/>
        <w:snapToGrid w:val="0"/>
        <w:spacing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0AB31FAC">
      <w:pPr>
        <w:adjustRightInd w:val="0"/>
        <w:snapToGrid w:val="0"/>
        <w:spacing w:line="400" w:lineRule="exact"/>
        <w:ind w:firstLine="840" w:firstLineChars="400"/>
        <w:rPr>
          <w:rFonts w:ascii="宋体" w:hAnsi="宋体"/>
          <w:bCs/>
          <w:color w:val="auto"/>
          <w:szCs w:val="21"/>
          <w:highlight w:val="none"/>
          <w:u w:val="single"/>
        </w:rPr>
      </w:pPr>
      <w:r>
        <w:rPr>
          <w:rFonts w:hint="eastAsia" w:ascii="宋体" w:hAnsi="宋体"/>
          <w:bCs/>
          <w:color w:val="auto"/>
          <w:szCs w:val="21"/>
          <w:highlight w:val="none"/>
        </w:rPr>
        <w:t>验收组织的其他事项：</w:t>
      </w:r>
      <w:r>
        <w:rPr>
          <w:rFonts w:hint="eastAsia" w:ascii="宋体" w:hAnsi="宋体"/>
          <w:bCs/>
          <w:color w:val="auto"/>
          <w:szCs w:val="21"/>
          <w:highlight w:val="none"/>
          <w:u w:val="single"/>
        </w:rPr>
        <w:t xml:space="preserve">                </w:t>
      </w:r>
    </w:p>
    <w:p w14:paraId="20A0D1B0">
      <w:pPr>
        <w:adjustRightInd w:val="0"/>
        <w:snapToGrid w:val="0"/>
        <w:spacing w:line="40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rPr>
        <w:t>（2）履约验收时间：</w:t>
      </w:r>
      <w:r>
        <w:rPr>
          <w:rFonts w:hint="eastAsia" w:ascii="宋体" w:hAnsi="宋体"/>
          <w:bCs/>
          <w:color w:val="auto"/>
          <w:szCs w:val="21"/>
          <w:highlight w:val="none"/>
          <w:u w:val="single"/>
        </w:rPr>
        <w:t xml:space="preserve">（计划于何时验收/供应商提出验收申请之日起   日内组织验收） </w:t>
      </w:r>
    </w:p>
    <w:p w14:paraId="0841E89D">
      <w:pPr>
        <w:adjustRightInd w:val="0"/>
        <w:snapToGrid w:val="0"/>
        <w:spacing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（3）履约验收方式：</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一次性验收         </w:t>
      </w:r>
    </w:p>
    <w:p w14:paraId="6AD33F4D">
      <w:pPr>
        <w:adjustRightInd w:val="0"/>
        <w:snapToGrid w:val="0"/>
        <w:spacing w:line="400" w:lineRule="exact"/>
        <w:rPr>
          <w:rFonts w:ascii="宋体" w:hAnsi="宋体"/>
          <w:bCs/>
          <w:color w:val="auto"/>
          <w:szCs w:val="21"/>
          <w:highlight w:val="none"/>
        </w:rPr>
      </w:pPr>
      <w:r>
        <w:rPr>
          <w:rFonts w:hint="eastAsia" w:ascii="宋体" w:hAnsi="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bCs/>
          <w:color w:val="auto"/>
          <w:szCs w:val="21"/>
          <w:highlight w:val="none"/>
        </w:rPr>
        <w:t>分期/分项验收：</w:t>
      </w:r>
      <w:r>
        <w:rPr>
          <w:rFonts w:hint="eastAsia" w:ascii="宋体" w:hAnsi="宋体"/>
          <w:bCs/>
          <w:color w:val="auto"/>
          <w:szCs w:val="21"/>
          <w:highlight w:val="none"/>
          <w:u w:val="single"/>
        </w:rPr>
        <w:t xml:space="preserve"> （应明确分期</w:t>
      </w:r>
      <w:r>
        <w:rPr>
          <w:rFonts w:ascii="宋体" w:hAnsi="宋体"/>
          <w:bCs/>
          <w:color w:val="auto"/>
          <w:szCs w:val="21"/>
          <w:highlight w:val="none"/>
          <w:u w:val="single"/>
          <w:lang w:val="en"/>
        </w:rPr>
        <w:t>/</w:t>
      </w:r>
      <w:r>
        <w:rPr>
          <w:rFonts w:hint="eastAsia" w:ascii="宋体" w:hAnsi="宋体"/>
          <w:bCs/>
          <w:color w:val="auto"/>
          <w:szCs w:val="21"/>
          <w:highlight w:val="none"/>
          <w:u w:val="single"/>
          <w:lang w:val="en"/>
        </w:rPr>
        <w:t>分项验收的工作安排</w:t>
      </w:r>
      <w:r>
        <w:rPr>
          <w:rFonts w:hint="eastAsia" w:ascii="宋体" w:hAnsi="宋体"/>
          <w:bCs/>
          <w:color w:val="auto"/>
          <w:szCs w:val="21"/>
          <w:highlight w:val="none"/>
          <w:u w:val="single"/>
        </w:rPr>
        <w:t xml:space="preserve">）  </w:t>
      </w:r>
    </w:p>
    <w:p w14:paraId="3E861F8A">
      <w:pPr>
        <w:adjustRightInd w:val="0"/>
        <w:snapToGrid w:val="0"/>
        <w:spacing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（4）履约验收程序：</w:t>
      </w:r>
      <w:r>
        <w:rPr>
          <w:rFonts w:hint="eastAsia" w:ascii="宋体" w:hAnsi="宋体"/>
          <w:bCs/>
          <w:color w:val="auto"/>
          <w:szCs w:val="21"/>
          <w:highlight w:val="none"/>
          <w:u w:val="single"/>
        </w:rPr>
        <w:t xml:space="preserve">                                         </w:t>
      </w:r>
    </w:p>
    <w:p w14:paraId="0BC898C8">
      <w:pPr>
        <w:adjustRightInd w:val="0"/>
        <w:snapToGrid w:val="0"/>
        <w:spacing w:line="40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rPr>
        <w:t>（5）履约验收的内容：</w:t>
      </w:r>
      <w:r>
        <w:rPr>
          <w:rFonts w:hint="eastAsia" w:ascii="宋体" w:hAnsi="宋体"/>
          <w:bCs/>
          <w:color w:val="auto"/>
          <w:szCs w:val="21"/>
          <w:highlight w:val="none"/>
          <w:u w:val="single"/>
        </w:rPr>
        <w:t xml:space="preserve"> （应当包括每一项技术和商务要求的履约情况，特别是落实政府采购扶持中小企业，支持绿色发展和乡村振兴等政策情况）                                      </w:t>
      </w:r>
    </w:p>
    <w:p w14:paraId="6C70666A">
      <w:pPr>
        <w:adjustRightInd w:val="0"/>
        <w:snapToGrid w:val="0"/>
        <w:spacing w:line="40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rPr>
        <w:t>（6）履约验收标准：</w:t>
      </w:r>
      <w:r>
        <w:rPr>
          <w:rFonts w:hint="eastAsia" w:ascii="宋体" w:hAnsi="宋体"/>
          <w:bCs/>
          <w:color w:val="auto"/>
          <w:szCs w:val="21"/>
          <w:highlight w:val="none"/>
          <w:u w:val="single"/>
        </w:rPr>
        <w:t xml:space="preserve">                                         </w:t>
      </w:r>
    </w:p>
    <w:p w14:paraId="3BA5165A">
      <w:pPr>
        <w:pStyle w:val="77"/>
        <w:ind w:firstLine="420"/>
        <w:rPr>
          <w:rFonts w:ascii="宋体" w:hAnsi="宋体" w:eastAsia="宋体" w:cs="宋体"/>
          <w:color w:val="auto"/>
          <w:sz w:val="21"/>
          <w:highlight w:val="none"/>
        </w:rPr>
      </w:pPr>
      <w:r>
        <w:rPr>
          <w:rFonts w:hint="eastAsia" w:ascii="宋体" w:hAnsi="宋体" w:eastAsia="宋体" w:cs="宋体"/>
          <w:bCs/>
          <w:color w:val="auto"/>
          <w:sz w:val="21"/>
          <w:highlight w:val="none"/>
        </w:rPr>
        <w:t>（7）是否以采购活动中供应商提供的样品作为参考：</w:t>
      </w:r>
      <w:r>
        <w:rPr>
          <w:rFonts w:hint="eastAsia" w:ascii="宋体" w:hAnsi="宋体" w:eastAsia="宋体" w:cs="宋体"/>
          <w:color w:val="auto"/>
          <w:sz w:val="21"/>
          <w:highlight w:val="none"/>
        </w:rPr>
        <w:sym w:font="Wingdings" w:char="00A8"/>
      </w:r>
      <w:r>
        <w:rPr>
          <w:rFonts w:hint="eastAsia" w:ascii="宋体" w:hAnsi="宋体" w:eastAsia="宋体" w:cs="宋体"/>
          <w:bCs/>
          <w:color w:val="auto"/>
          <w:sz w:val="21"/>
          <w:highlight w:val="none"/>
        </w:rPr>
        <w:t xml:space="preserve">是  </w:t>
      </w:r>
      <w:r>
        <w:rPr>
          <w:rFonts w:hint="eastAsia" w:ascii="宋体" w:hAnsi="宋体" w:eastAsia="宋体" w:cs="宋体"/>
          <w:color w:val="auto"/>
          <w:sz w:val="21"/>
          <w:highlight w:val="none"/>
        </w:rPr>
        <w:sym w:font="Wingdings" w:char="00A8"/>
      </w:r>
      <w:r>
        <w:rPr>
          <w:rFonts w:hint="eastAsia" w:ascii="宋体" w:hAnsi="宋体" w:eastAsia="宋体" w:cs="宋体"/>
          <w:bCs/>
          <w:color w:val="auto"/>
          <w:sz w:val="21"/>
          <w:highlight w:val="none"/>
        </w:rPr>
        <w:t>否</w:t>
      </w:r>
    </w:p>
    <w:p w14:paraId="3874AC73">
      <w:pPr>
        <w:adjustRightInd w:val="0"/>
        <w:snapToGrid w:val="0"/>
        <w:spacing w:line="400" w:lineRule="exact"/>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rPr>
        <w:t>（8）履约验收其他事项：</w:t>
      </w:r>
      <w:r>
        <w:rPr>
          <w:rFonts w:hint="eastAsia" w:ascii="宋体" w:hAnsi="宋体" w:cs="宋体"/>
          <w:bCs/>
          <w:color w:val="auto"/>
          <w:szCs w:val="21"/>
          <w:highlight w:val="none"/>
          <w:u w:val="single"/>
        </w:rPr>
        <w:t xml:space="preserve">      （产权过户登记等）          </w:t>
      </w:r>
    </w:p>
    <w:p w14:paraId="7C490BD3">
      <w:pPr>
        <w:widowControl w:val="0"/>
        <w:numPr>
          <w:ilvl w:val="0"/>
          <w:numId w:val="1"/>
        </w:numPr>
        <w:adjustRightInd w:val="0"/>
        <w:snapToGrid w:val="0"/>
        <w:spacing w:line="400" w:lineRule="exact"/>
        <w:ind w:firstLine="422" w:firstLineChars="200"/>
        <w:textAlignment w:val="auto"/>
        <w:rPr>
          <w:rFonts w:ascii="宋体" w:hAnsi="宋体"/>
          <w:b/>
          <w:color w:val="auto"/>
          <w:szCs w:val="21"/>
          <w:highlight w:val="none"/>
        </w:rPr>
      </w:pPr>
      <w:r>
        <w:rPr>
          <w:rFonts w:hint="eastAsia" w:ascii="宋体" w:hAnsi="宋体"/>
          <w:b/>
          <w:color w:val="auto"/>
          <w:szCs w:val="21"/>
          <w:highlight w:val="none"/>
        </w:rPr>
        <w:t>组成合同的文件</w:t>
      </w:r>
    </w:p>
    <w:p w14:paraId="3E3A7AA7">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本协议书与下列文件一起构成合同文件，如下述文件之间有任何抵触、矛盾或歧义，应按以下顺序解释：</w:t>
      </w:r>
    </w:p>
    <w:p w14:paraId="4F653A4B">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（1）政府采购合同协议书及其变更、补充协议</w:t>
      </w:r>
    </w:p>
    <w:p w14:paraId="5FFC2340">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（2）政府采购合同专用条款</w:t>
      </w:r>
    </w:p>
    <w:p w14:paraId="17719E55">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（3）政府采购合同通用条款</w:t>
      </w:r>
    </w:p>
    <w:p w14:paraId="372CBA17">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（4）中标（成交）通知书</w:t>
      </w:r>
    </w:p>
    <w:p w14:paraId="42769ADB">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（5）投标（响应）文件</w:t>
      </w:r>
    </w:p>
    <w:p w14:paraId="7C2AE57B">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（6）采购文件</w:t>
      </w:r>
    </w:p>
    <w:p w14:paraId="1E935D78">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（7）有关技术文件，图纸</w:t>
      </w:r>
    </w:p>
    <w:p w14:paraId="25C25B2F">
      <w:pPr>
        <w:pStyle w:val="77"/>
        <w:ind w:firstLine="420"/>
        <w:rPr>
          <w:rFonts w:ascii="宋体" w:hAnsi="宋体" w:eastAsia="宋体" w:cs="宋体"/>
          <w:color w:val="auto"/>
          <w:kern w:val="2"/>
          <w:sz w:val="21"/>
          <w:highlight w:val="none"/>
        </w:rPr>
      </w:pPr>
      <w:r>
        <w:rPr>
          <w:rFonts w:hint="eastAsia" w:ascii="宋体" w:hAnsi="宋体" w:eastAsia="宋体" w:cs="宋体"/>
          <w:color w:val="auto"/>
          <w:sz w:val="21"/>
          <w:highlight w:val="none"/>
        </w:rPr>
        <w:t>（8）</w:t>
      </w:r>
      <w:r>
        <w:rPr>
          <w:rFonts w:hint="eastAsia" w:ascii="宋体" w:hAnsi="宋体" w:eastAsia="宋体" w:cs="宋体"/>
          <w:color w:val="auto"/>
          <w:kern w:val="2"/>
          <w:sz w:val="21"/>
          <w:highlight w:val="none"/>
        </w:rPr>
        <w:t>国家法律、行政法规和规章制度规定或合同约定的作为合同组成部分的其他文件</w:t>
      </w:r>
    </w:p>
    <w:p w14:paraId="73F95633">
      <w:pPr>
        <w:widowControl w:val="0"/>
        <w:numPr>
          <w:ilvl w:val="0"/>
          <w:numId w:val="1"/>
        </w:numPr>
        <w:adjustRightInd w:val="0"/>
        <w:snapToGrid w:val="0"/>
        <w:spacing w:line="400" w:lineRule="exact"/>
        <w:ind w:firstLine="422" w:firstLineChars="200"/>
        <w:textAlignment w:val="auto"/>
        <w:rPr>
          <w:rFonts w:ascii="宋体" w:hAnsi="宋体"/>
          <w:b/>
          <w:color w:val="auto"/>
          <w:szCs w:val="21"/>
          <w:highlight w:val="none"/>
        </w:rPr>
      </w:pPr>
      <w:r>
        <w:rPr>
          <w:rFonts w:hint="eastAsia" w:ascii="宋体" w:hAnsi="宋体"/>
          <w:b/>
          <w:color w:val="auto"/>
          <w:szCs w:val="21"/>
          <w:highlight w:val="none"/>
        </w:rPr>
        <w:t>合同生效</w:t>
      </w:r>
    </w:p>
    <w:p w14:paraId="03316A73">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本合同自</w:t>
      </w:r>
      <w:r>
        <w:rPr>
          <w:rFonts w:hint="eastAsia" w:ascii="宋体" w:hAnsi="宋体"/>
          <w:color w:val="auto"/>
          <w:szCs w:val="21"/>
          <w:highlight w:val="none"/>
          <w:u w:val="single"/>
        </w:rPr>
        <w:t xml:space="preserve">                             </w:t>
      </w:r>
      <w:r>
        <w:rPr>
          <w:rFonts w:hint="eastAsia" w:ascii="宋体" w:hAnsi="宋体"/>
          <w:color w:val="auto"/>
          <w:szCs w:val="21"/>
          <w:highlight w:val="none"/>
        </w:rPr>
        <w:t>生效。</w:t>
      </w:r>
    </w:p>
    <w:p w14:paraId="39082E59">
      <w:pPr>
        <w:widowControl w:val="0"/>
        <w:numPr>
          <w:ilvl w:val="0"/>
          <w:numId w:val="1"/>
        </w:numPr>
        <w:adjustRightInd w:val="0"/>
        <w:snapToGrid w:val="0"/>
        <w:spacing w:line="400" w:lineRule="exact"/>
        <w:ind w:firstLine="422" w:firstLineChars="200"/>
        <w:textAlignment w:val="auto"/>
        <w:rPr>
          <w:rFonts w:ascii="宋体" w:hAnsi="宋体"/>
          <w:b/>
          <w:color w:val="auto"/>
          <w:szCs w:val="21"/>
          <w:highlight w:val="none"/>
        </w:rPr>
      </w:pPr>
      <w:r>
        <w:rPr>
          <w:rFonts w:hint="eastAsia" w:ascii="宋体" w:hAnsi="宋体"/>
          <w:b/>
          <w:color w:val="auto"/>
          <w:szCs w:val="21"/>
          <w:highlight w:val="none"/>
        </w:rPr>
        <w:t>合同份数</w:t>
      </w:r>
    </w:p>
    <w:p w14:paraId="42E79D79">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本合同一式</w:t>
      </w:r>
      <w:r>
        <w:rPr>
          <w:rFonts w:hint="eastAsia" w:ascii="宋体" w:hAnsi="宋体"/>
          <w:color w:val="auto"/>
          <w:szCs w:val="21"/>
          <w:highlight w:val="none"/>
          <w:u w:val="single"/>
        </w:rPr>
        <w:t xml:space="preserve">    </w:t>
      </w:r>
      <w:r>
        <w:rPr>
          <w:rFonts w:hint="eastAsia" w:ascii="宋体" w:hAnsi="宋体"/>
          <w:color w:val="auto"/>
          <w:szCs w:val="21"/>
          <w:highlight w:val="none"/>
        </w:rPr>
        <w:t>份，甲方执</w:t>
      </w:r>
      <w:r>
        <w:rPr>
          <w:rFonts w:hint="eastAsia" w:ascii="宋体" w:hAnsi="宋体"/>
          <w:color w:val="auto"/>
          <w:szCs w:val="21"/>
          <w:highlight w:val="none"/>
          <w:u w:val="single"/>
        </w:rPr>
        <w:t xml:space="preserve">    </w:t>
      </w:r>
      <w:r>
        <w:rPr>
          <w:rFonts w:hint="eastAsia" w:ascii="宋体" w:hAnsi="宋体"/>
          <w:color w:val="auto"/>
          <w:szCs w:val="21"/>
          <w:highlight w:val="none"/>
        </w:rPr>
        <w:t>份，乙方执</w:t>
      </w:r>
      <w:r>
        <w:rPr>
          <w:rFonts w:hint="eastAsia" w:ascii="宋体" w:hAnsi="宋体"/>
          <w:color w:val="auto"/>
          <w:szCs w:val="21"/>
          <w:highlight w:val="none"/>
          <w:u w:val="single"/>
        </w:rPr>
        <w:t xml:space="preserve">    </w:t>
      </w:r>
      <w:r>
        <w:rPr>
          <w:rFonts w:hint="eastAsia" w:ascii="宋体" w:hAnsi="宋体"/>
          <w:color w:val="auto"/>
          <w:szCs w:val="21"/>
          <w:highlight w:val="none"/>
        </w:rPr>
        <w:t>份，均具有同等法律效力。</w:t>
      </w:r>
    </w:p>
    <w:p w14:paraId="1CE0F496">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合同订立时间：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3236FCCE">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合同订立地点：</w:t>
      </w:r>
      <w:r>
        <w:rPr>
          <w:rFonts w:hint="eastAsia" w:ascii="宋体" w:hAnsi="宋体"/>
          <w:color w:val="auto"/>
          <w:szCs w:val="21"/>
          <w:highlight w:val="none"/>
          <w:u w:val="single"/>
        </w:rPr>
        <w:t xml:space="preserve">                           </w:t>
      </w:r>
    </w:p>
    <w:p w14:paraId="3BEBA58A">
      <w:pPr>
        <w:adjustRightInd w:val="0"/>
        <w:snapToGrid w:val="0"/>
        <w:spacing w:line="400" w:lineRule="exact"/>
        <w:ind w:firstLine="420" w:firstLineChars="200"/>
        <w:rPr>
          <w:color w:val="auto"/>
          <w:highlight w:val="none"/>
        </w:rPr>
      </w:pPr>
      <w:r>
        <w:rPr>
          <w:rFonts w:hint="eastAsia" w:ascii="宋体" w:hAnsi="宋体"/>
          <w:color w:val="auto"/>
          <w:szCs w:val="21"/>
          <w:highlight w:val="none"/>
        </w:rPr>
        <w:t>附件：具体标的及其技术要求和商务要求、联合协议、分包意向协议等。</w:t>
      </w:r>
    </w:p>
    <w:p w14:paraId="6560B0E4">
      <w:pPr>
        <w:pStyle w:val="78"/>
        <w:spacing w:line="400" w:lineRule="exact"/>
        <w:rPr>
          <w:color w:val="auto"/>
          <w:highlight w:val="none"/>
        </w:rPr>
      </w:pPr>
    </w:p>
    <w:p w14:paraId="424C99FB">
      <w:pPr>
        <w:pStyle w:val="3"/>
        <w:spacing w:line="400" w:lineRule="exact"/>
        <w:rPr>
          <w:rFonts w:ascii="宋体" w:hAnsi="宋体"/>
          <w:b w:val="0"/>
          <w:bCs w:val="0"/>
          <w:color w:val="auto"/>
          <w:sz w:val="21"/>
          <w:szCs w:val="21"/>
          <w:highlight w:val="none"/>
        </w:rPr>
      </w:pPr>
      <w:r>
        <w:rPr>
          <w:color w:val="auto"/>
          <w:highlight w:val="none"/>
          <w:lang w:val="en"/>
        </w:rPr>
        <w:t xml:space="preserve">   </w:t>
      </w:r>
    </w:p>
    <w:p w14:paraId="5BCF79AD">
      <w:pPr>
        <w:rPr>
          <w:color w:val="auto"/>
          <w:highlight w:val="none"/>
        </w:rPr>
      </w:pPr>
      <w:r>
        <w:rPr>
          <w:rFonts w:hint="eastAsia"/>
          <w:color w:val="auto"/>
          <w:highlight w:val="none"/>
        </w:rPr>
        <w:br w:type="page"/>
      </w:r>
    </w:p>
    <w:p w14:paraId="7DDD7A0F">
      <w:pPr>
        <w:pStyle w:val="78"/>
        <w:rPr>
          <w:color w:val="auto"/>
          <w:highlight w:val="none"/>
        </w:rPr>
      </w:pPr>
    </w:p>
    <w:tbl>
      <w:tblPr>
        <w:tblStyle w:val="20"/>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30"/>
        <w:gridCol w:w="2716"/>
        <w:gridCol w:w="2228"/>
        <w:gridCol w:w="2383"/>
      </w:tblGrid>
      <w:tr w14:paraId="2CA83F4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7C323423">
            <w:pPr>
              <w:adjustRightInd w:val="0"/>
              <w:snapToGrid w:val="0"/>
              <w:spacing w:line="300" w:lineRule="exact"/>
              <w:jc w:val="center"/>
              <w:rPr>
                <w:color w:val="auto"/>
                <w:highlight w:val="none"/>
              </w:rPr>
            </w:pPr>
            <w:r>
              <w:rPr>
                <w:color w:val="auto"/>
                <w:szCs w:val="21"/>
                <w:highlight w:val="none"/>
              </w:rPr>
              <w:t>甲方</w:t>
            </w:r>
            <w:r>
              <w:rPr>
                <w:rFonts w:hint="eastAsia"/>
                <w:color w:val="auto"/>
                <w:szCs w:val="21"/>
                <w:highlight w:val="none"/>
              </w:rPr>
              <w:t>（采购人</w:t>
            </w:r>
            <w:r>
              <w:rPr>
                <w:rFonts w:hint="eastAsia" w:ascii="宋体" w:hAnsi="宋体"/>
                <w:color w:val="auto"/>
                <w:szCs w:val="21"/>
                <w:highlight w:val="none"/>
              </w:rPr>
              <w:t>、受采购人委托签订合同的单位或</w:t>
            </w:r>
            <w:r>
              <w:rPr>
                <w:rFonts w:hint="eastAsia"/>
                <w:color w:val="auto"/>
                <w:szCs w:val="21"/>
                <w:highlight w:val="none"/>
              </w:rPr>
              <w:t>采购文件约定的合同甲方）</w:t>
            </w:r>
          </w:p>
        </w:tc>
        <w:tc>
          <w:tcPr>
            <w:tcW w:w="2437" w:type="pct"/>
            <w:gridSpan w:val="2"/>
            <w:tcBorders>
              <w:left w:val="single" w:color="auto" w:sz="2" w:space="0"/>
              <w:bottom w:val="single" w:color="auto" w:sz="2" w:space="0"/>
            </w:tcBorders>
            <w:vAlign w:val="center"/>
          </w:tcPr>
          <w:p w14:paraId="195BF5EA">
            <w:pPr>
              <w:adjustRightInd w:val="0"/>
              <w:snapToGrid w:val="0"/>
              <w:spacing w:line="300" w:lineRule="exact"/>
              <w:jc w:val="center"/>
              <w:rPr>
                <w:color w:val="auto"/>
                <w:highlight w:val="none"/>
              </w:rPr>
            </w:pPr>
            <w:r>
              <w:rPr>
                <w:color w:val="auto"/>
                <w:szCs w:val="21"/>
                <w:highlight w:val="none"/>
              </w:rPr>
              <w:t>乙方</w:t>
            </w:r>
            <w:r>
              <w:rPr>
                <w:rFonts w:hint="eastAsia"/>
                <w:color w:val="auto"/>
                <w:szCs w:val="21"/>
                <w:highlight w:val="none"/>
              </w:rPr>
              <w:t>（供应商）</w:t>
            </w:r>
          </w:p>
        </w:tc>
      </w:tr>
      <w:tr w14:paraId="573F2DC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03096CD5">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6CFCEE56">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03D51B3">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（公章或合同章）</w:t>
            </w:r>
          </w:p>
        </w:tc>
        <w:tc>
          <w:tcPr>
            <w:tcW w:w="1259" w:type="pct"/>
            <w:tcBorders>
              <w:top w:val="single" w:color="auto" w:sz="2" w:space="0"/>
              <w:left w:val="single" w:color="auto" w:sz="2" w:space="0"/>
              <w:bottom w:val="single" w:color="auto" w:sz="2" w:space="0"/>
            </w:tcBorders>
            <w:vAlign w:val="center"/>
          </w:tcPr>
          <w:p w14:paraId="5B62FF07">
            <w:pPr>
              <w:adjustRightInd w:val="0"/>
              <w:snapToGrid w:val="0"/>
              <w:spacing w:line="300" w:lineRule="exact"/>
              <w:jc w:val="center"/>
              <w:rPr>
                <w:color w:val="auto"/>
                <w:spacing w:val="20"/>
                <w:szCs w:val="21"/>
                <w:highlight w:val="none"/>
              </w:rPr>
            </w:pPr>
          </w:p>
        </w:tc>
      </w:tr>
      <w:tr w14:paraId="0E6EC39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74C9B1D2">
            <w:pPr>
              <w:adjustRightInd w:val="0"/>
              <w:snapToGrid w:val="0"/>
              <w:spacing w:line="300" w:lineRule="exact"/>
              <w:jc w:val="center"/>
              <w:rPr>
                <w:color w:val="auto"/>
                <w:szCs w:val="21"/>
                <w:highlight w:val="none"/>
              </w:rPr>
            </w:pPr>
            <w:r>
              <w:rPr>
                <w:color w:val="auto"/>
                <w:szCs w:val="21"/>
                <w:highlight w:val="none"/>
              </w:rPr>
              <w:t>法定代表人</w:t>
            </w:r>
          </w:p>
          <w:p w14:paraId="6735C4D5">
            <w:pPr>
              <w:adjustRightInd w:val="0"/>
              <w:snapToGrid w:val="0"/>
              <w:spacing w:line="300" w:lineRule="exact"/>
              <w:ind w:firstLine="100" w:firstLineChars="48"/>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1436" w:type="pct"/>
            <w:vMerge w:val="restart"/>
            <w:tcBorders>
              <w:top w:val="single" w:color="auto" w:sz="2" w:space="0"/>
              <w:left w:val="single" w:color="auto" w:sz="2" w:space="0"/>
              <w:right w:val="single" w:color="auto" w:sz="2" w:space="0"/>
            </w:tcBorders>
            <w:vAlign w:val="center"/>
          </w:tcPr>
          <w:p w14:paraId="40593BCE">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right w:val="single" w:color="auto" w:sz="2" w:space="0"/>
            </w:tcBorders>
            <w:vAlign w:val="center"/>
          </w:tcPr>
          <w:p w14:paraId="283ED1DF">
            <w:pPr>
              <w:adjustRightInd w:val="0"/>
              <w:snapToGrid w:val="0"/>
              <w:spacing w:line="300" w:lineRule="exact"/>
              <w:jc w:val="center"/>
              <w:rPr>
                <w:color w:val="auto"/>
                <w:szCs w:val="21"/>
                <w:highlight w:val="none"/>
              </w:rPr>
            </w:pPr>
            <w:r>
              <w:rPr>
                <w:color w:val="auto"/>
                <w:szCs w:val="21"/>
                <w:highlight w:val="none"/>
              </w:rPr>
              <w:t>法定代表人</w:t>
            </w:r>
          </w:p>
          <w:p w14:paraId="3A464F7B">
            <w:pPr>
              <w:adjustRightInd w:val="0"/>
              <w:snapToGrid w:val="0"/>
              <w:spacing w:line="300" w:lineRule="exact"/>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1259" w:type="pct"/>
            <w:tcBorders>
              <w:top w:val="single" w:color="auto" w:sz="2" w:space="0"/>
              <w:left w:val="single" w:color="auto" w:sz="2" w:space="0"/>
              <w:bottom w:val="single" w:color="auto" w:sz="2" w:space="0"/>
            </w:tcBorders>
            <w:vAlign w:val="center"/>
          </w:tcPr>
          <w:p w14:paraId="456F15A4">
            <w:pPr>
              <w:adjustRightInd w:val="0"/>
              <w:snapToGrid w:val="0"/>
              <w:spacing w:line="300" w:lineRule="exact"/>
              <w:jc w:val="center"/>
              <w:rPr>
                <w:color w:val="auto"/>
                <w:szCs w:val="21"/>
                <w:highlight w:val="none"/>
              </w:rPr>
            </w:pPr>
          </w:p>
        </w:tc>
      </w:tr>
      <w:tr w14:paraId="6F32BAF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35B0D34B">
            <w:pPr>
              <w:adjustRightInd w:val="0"/>
              <w:snapToGrid w:val="0"/>
              <w:spacing w:line="300" w:lineRule="exact"/>
              <w:jc w:val="center"/>
              <w:rPr>
                <w:color w:val="auto"/>
                <w:szCs w:val="21"/>
                <w:highlight w:val="none"/>
              </w:rPr>
            </w:pPr>
          </w:p>
        </w:tc>
        <w:tc>
          <w:tcPr>
            <w:tcW w:w="1436" w:type="pct"/>
            <w:vMerge w:val="continue"/>
            <w:tcBorders>
              <w:left w:val="single" w:color="auto" w:sz="2" w:space="0"/>
              <w:bottom w:val="single" w:color="auto" w:sz="2" w:space="0"/>
              <w:right w:val="single" w:color="auto" w:sz="2" w:space="0"/>
            </w:tcBorders>
            <w:vAlign w:val="center"/>
          </w:tcPr>
          <w:p w14:paraId="3FAB9971">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3F0D2BD">
            <w:pPr>
              <w:adjustRightInd w:val="0"/>
              <w:snapToGrid w:val="0"/>
              <w:spacing w:line="300" w:lineRule="exact"/>
              <w:jc w:val="center"/>
              <w:rPr>
                <w:color w:val="auto"/>
                <w:szCs w:val="21"/>
                <w:highlight w:val="none"/>
              </w:rPr>
            </w:pPr>
            <w:r>
              <w:rPr>
                <w:rFonts w:hint="eastAsia"/>
                <w:color w:val="auto"/>
                <w:szCs w:val="21"/>
                <w:highlight w:val="none"/>
              </w:rPr>
              <w:t>拥有者性别</w:t>
            </w:r>
          </w:p>
        </w:tc>
        <w:tc>
          <w:tcPr>
            <w:tcW w:w="1259" w:type="pct"/>
            <w:tcBorders>
              <w:top w:val="single" w:color="auto" w:sz="2" w:space="0"/>
              <w:left w:val="single" w:color="auto" w:sz="2" w:space="0"/>
              <w:bottom w:val="single" w:color="auto" w:sz="2" w:space="0"/>
            </w:tcBorders>
            <w:vAlign w:val="center"/>
          </w:tcPr>
          <w:p w14:paraId="6A099A2A">
            <w:pPr>
              <w:adjustRightInd w:val="0"/>
              <w:snapToGrid w:val="0"/>
              <w:spacing w:line="300" w:lineRule="exact"/>
              <w:jc w:val="center"/>
              <w:rPr>
                <w:color w:val="auto"/>
                <w:spacing w:val="20"/>
                <w:szCs w:val="21"/>
                <w:highlight w:val="none"/>
              </w:rPr>
            </w:pPr>
          </w:p>
        </w:tc>
      </w:tr>
      <w:tr w14:paraId="69DBA6A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54FC8A2">
            <w:pPr>
              <w:adjustRightInd w:val="0"/>
              <w:snapToGrid w:val="0"/>
              <w:spacing w:line="300" w:lineRule="exact"/>
              <w:jc w:val="center"/>
              <w:rPr>
                <w:color w:val="auto"/>
                <w:szCs w:val="21"/>
                <w:highlight w:val="none"/>
              </w:rPr>
            </w:pPr>
            <w:r>
              <w:rPr>
                <w:rFonts w:hint="eastAsia"/>
                <w:color w:val="auto"/>
                <w:szCs w:val="21"/>
                <w:highlight w:val="none"/>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7E73DC71">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A381049">
            <w:pPr>
              <w:adjustRightInd w:val="0"/>
              <w:snapToGrid w:val="0"/>
              <w:spacing w:line="300" w:lineRule="exact"/>
              <w:jc w:val="center"/>
              <w:rPr>
                <w:color w:val="auto"/>
                <w:szCs w:val="21"/>
                <w:highlight w:val="none"/>
              </w:rPr>
            </w:pPr>
            <w:r>
              <w:rPr>
                <w:rFonts w:hint="eastAsia"/>
                <w:color w:val="auto"/>
                <w:szCs w:val="21"/>
                <w:highlight w:val="none"/>
              </w:rPr>
              <w:t>住  所</w:t>
            </w:r>
          </w:p>
        </w:tc>
        <w:tc>
          <w:tcPr>
            <w:tcW w:w="1259" w:type="pct"/>
            <w:tcBorders>
              <w:top w:val="single" w:color="auto" w:sz="2" w:space="0"/>
              <w:left w:val="single" w:color="auto" w:sz="2" w:space="0"/>
              <w:bottom w:val="single" w:color="auto" w:sz="2" w:space="0"/>
            </w:tcBorders>
            <w:vAlign w:val="center"/>
          </w:tcPr>
          <w:p w14:paraId="3156DC39">
            <w:pPr>
              <w:adjustRightInd w:val="0"/>
              <w:snapToGrid w:val="0"/>
              <w:spacing w:line="300" w:lineRule="exact"/>
              <w:jc w:val="center"/>
              <w:rPr>
                <w:color w:val="auto"/>
                <w:spacing w:val="20"/>
                <w:szCs w:val="21"/>
                <w:highlight w:val="none"/>
              </w:rPr>
            </w:pPr>
          </w:p>
        </w:tc>
      </w:tr>
      <w:tr w14:paraId="7587F91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A890DF5">
            <w:pPr>
              <w:adjustRightInd w:val="0"/>
              <w:snapToGrid w:val="0"/>
              <w:spacing w:line="300" w:lineRule="exact"/>
              <w:jc w:val="center"/>
              <w:rPr>
                <w:color w:val="auto"/>
                <w:szCs w:val="21"/>
                <w:highlight w:val="none"/>
              </w:rPr>
            </w:pPr>
            <w:r>
              <w:rPr>
                <w:color w:val="auto"/>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1E085F52">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8531060">
            <w:pPr>
              <w:adjustRightInd w:val="0"/>
              <w:snapToGrid w:val="0"/>
              <w:spacing w:line="300" w:lineRule="exact"/>
              <w:jc w:val="center"/>
              <w:rPr>
                <w:color w:val="auto"/>
                <w:szCs w:val="21"/>
                <w:highlight w:val="none"/>
              </w:rPr>
            </w:pPr>
            <w:r>
              <w:rPr>
                <w:color w:val="auto"/>
                <w:szCs w:val="21"/>
                <w:highlight w:val="none"/>
              </w:rPr>
              <w:t>联 系 人</w:t>
            </w:r>
          </w:p>
        </w:tc>
        <w:tc>
          <w:tcPr>
            <w:tcW w:w="1259" w:type="pct"/>
            <w:tcBorders>
              <w:top w:val="single" w:color="auto" w:sz="2" w:space="0"/>
              <w:left w:val="single" w:color="auto" w:sz="2" w:space="0"/>
              <w:bottom w:val="single" w:color="auto" w:sz="2" w:space="0"/>
            </w:tcBorders>
            <w:vAlign w:val="center"/>
          </w:tcPr>
          <w:p w14:paraId="6E89FDA2">
            <w:pPr>
              <w:adjustRightInd w:val="0"/>
              <w:snapToGrid w:val="0"/>
              <w:spacing w:line="300" w:lineRule="exact"/>
              <w:jc w:val="center"/>
              <w:rPr>
                <w:color w:val="auto"/>
                <w:spacing w:val="20"/>
                <w:szCs w:val="21"/>
                <w:highlight w:val="none"/>
              </w:rPr>
            </w:pPr>
          </w:p>
        </w:tc>
      </w:tr>
      <w:tr w14:paraId="0AD7BD1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EBC1315">
            <w:pPr>
              <w:adjustRightInd w:val="0"/>
              <w:snapToGrid w:val="0"/>
              <w:spacing w:line="300" w:lineRule="exact"/>
              <w:jc w:val="center"/>
              <w:rPr>
                <w:color w:val="auto"/>
                <w:szCs w:val="21"/>
                <w:highlight w:val="none"/>
              </w:rPr>
            </w:pPr>
            <w:r>
              <w:rPr>
                <w:color w:val="auto"/>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1E46E193">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78E2687">
            <w:pPr>
              <w:adjustRightInd w:val="0"/>
              <w:snapToGrid w:val="0"/>
              <w:spacing w:line="300" w:lineRule="exact"/>
              <w:jc w:val="center"/>
              <w:rPr>
                <w:color w:val="auto"/>
                <w:szCs w:val="21"/>
                <w:highlight w:val="none"/>
              </w:rPr>
            </w:pPr>
            <w:r>
              <w:rPr>
                <w:color w:val="auto"/>
                <w:szCs w:val="21"/>
                <w:highlight w:val="none"/>
              </w:rPr>
              <w:t>联系电话</w:t>
            </w:r>
          </w:p>
        </w:tc>
        <w:tc>
          <w:tcPr>
            <w:tcW w:w="1259" w:type="pct"/>
            <w:tcBorders>
              <w:top w:val="single" w:color="auto" w:sz="2" w:space="0"/>
              <w:left w:val="single" w:color="auto" w:sz="2" w:space="0"/>
              <w:bottom w:val="single" w:color="auto" w:sz="2" w:space="0"/>
            </w:tcBorders>
            <w:vAlign w:val="center"/>
          </w:tcPr>
          <w:p w14:paraId="2CED0DF4">
            <w:pPr>
              <w:adjustRightInd w:val="0"/>
              <w:snapToGrid w:val="0"/>
              <w:spacing w:line="300" w:lineRule="exact"/>
              <w:jc w:val="center"/>
              <w:rPr>
                <w:color w:val="auto"/>
                <w:spacing w:val="20"/>
                <w:szCs w:val="21"/>
                <w:highlight w:val="none"/>
              </w:rPr>
            </w:pPr>
          </w:p>
        </w:tc>
      </w:tr>
      <w:tr w14:paraId="2D9C601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36F09BD">
            <w:pPr>
              <w:adjustRightInd w:val="0"/>
              <w:snapToGrid w:val="0"/>
              <w:spacing w:line="300" w:lineRule="exact"/>
              <w:jc w:val="center"/>
              <w:rPr>
                <w:color w:val="auto"/>
                <w:szCs w:val="21"/>
                <w:highlight w:val="none"/>
              </w:rPr>
            </w:pPr>
            <w:r>
              <w:rPr>
                <w:rFonts w:hint="eastAsia"/>
                <w:color w:val="auto"/>
                <w:szCs w:val="21"/>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0DC2EC1C">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16AEF29">
            <w:pPr>
              <w:adjustRightInd w:val="0"/>
              <w:snapToGrid w:val="0"/>
              <w:spacing w:line="300" w:lineRule="exact"/>
              <w:jc w:val="center"/>
              <w:rPr>
                <w:color w:val="auto"/>
                <w:szCs w:val="21"/>
                <w:highlight w:val="none"/>
              </w:rPr>
            </w:pPr>
            <w:r>
              <w:rPr>
                <w:rFonts w:hint="eastAsia"/>
                <w:color w:val="auto"/>
                <w:szCs w:val="21"/>
                <w:highlight w:val="none"/>
              </w:rPr>
              <w:t>通信地址</w:t>
            </w:r>
          </w:p>
        </w:tc>
        <w:tc>
          <w:tcPr>
            <w:tcW w:w="1259" w:type="pct"/>
            <w:tcBorders>
              <w:top w:val="single" w:color="auto" w:sz="2" w:space="0"/>
              <w:left w:val="single" w:color="auto" w:sz="2" w:space="0"/>
              <w:bottom w:val="single" w:color="auto" w:sz="2" w:space="0"/>
            </w:tcBorders>
            <w:vAlign w:val="center"/>
          </w:tcPr>
          <w:p w14:paraId="6F996C0B">
            <w:pPr>
              <w:adjustRightInd w:val="0"/>
              <w:snapToGrid w:val="0"/>
              <w:spacing w:line="300" w:lineRule="exact"/>
              <w:jc w:val="center"/>
              <w:rPr>
                <w:color w:val="auto"/>
                <w:spacing w:val="20"/>
                <w:szCs w:val="21"/>
                <w:highlight w:val="none"/>
              </w:rPr>
            </w:pPr>
          </w:p>
        </w:tc>
      </w:tr>
      <w:tr w14:paraId="0560C58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ED0DA99">
            <w:pPr>
              <w:adjustRightInd w:val="0"/>
              <w:snapToGrid w:val="0"/>
              <w:spacing w:line="300" w:lineRule="exact"/>
              <w:jc w:val="center"/>
              <w:rPr>
                <w:color w:val="auto"/>
                <w:szCs w:val="21"/>
                <w:highlight w:val="none"/>
              </w:rPr>
            </w:pPr>
            <w:r>
              <w:rPr>
                <w:color w:val="auto"/>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37FD9BF5">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02C0813">
            <w:pPr>
              <w:adjustRightInd w:val="0"/>
              <w:snapToGrid w:val="0"/>
              <w:spacing w:line="300" w:lineRule="exact"/>
              <w:jc w:val="center"/>
              <w:rPr>
                <w:color w:val="auto"/>
                <w:szCs w:val="21"/>
                <w:highlight w:val="none"/>
              </w:rPr>
            </w:pPr>
            <w:r>
              <w:rPr>
                <w:color w:val="auto"/>
                <w:szCs w:val="21"/>
                <w:highlight w:val="none"/>
              </w:rPr>
              <w:t>邮政编码</w:t>
            </w:r>
          </w:p>
        </w:tc>
        <w:tc>
          <w:tcPr>
            <w:tcW w:w="1259" w:type="pct"/>
            <w:tcBorders>
              <w:top w:val="single" w:color="auto" w:sz="2" w:space="0"/>
              <w:left w:val="single" w:color="auto" w:sz="2" w:space="0"/>
              <w:bottom w:val="single" w:color="auto" w:sz="2" w:space="0"/>
            </w:tcBorders>
            <w:vAlign w:val="center"/>
          </w:tcPr>
          <w:p w14:paraId="52CF57B6">
            <w:pPr>
              <w:adjustRightInd w:val="0"/>
              <w:snapToGrid w:val="0"/>
              <w:spacing w:line="300" w:lineRule="exact"/>
              <w:jc w:val="center"/>
              <w:rPr>
                <w:color w:val="auto"/>
                <w:spacing w:val="20"/>
                <w:szCs w:val="21"/>
                <w:highlight w:val="none"/>
              </w:rPr>
            </w:pPr>
          </w:p>
        </w:tc>
      </w:tr>
      <w:tr w14:paraId="1A9D392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14DEFE6">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019601D8">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FC1FB93">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1259" w:type="pct"/>
            <w:tcBorders>
              <w:top w:val="single" w:color="auto" w:sz="2" w:space="0"/>
              <w:left w:val="single" w:color="auto" w:sz="2" w:space="0"/>
              <w:bottom w:val="single" w:color="auto" w:sz="2" w:space="0"/>
            </w:tcBorders>
            <w:vAlign w:val="center"/>
          </w:tcPr>
          <w:p w14:paraId="7169E56E">
            <w:pPr>
              <w:adjustRightInd w:val="0"/>
              <w:snapToGrid w:val="0"/>
              <w:spacing w:line="300" w:lineRule="exact"/>
              <w:jc w:val="center"/>
              <w:rPr>
                <w:color w:val="auto"/>
                <w:spacing w:val="20"/>
                <w:szCs w:val="21"/>
                <w:highlight w:val="none"/>
              </w:rPr>
            </w:pPr>
          </w:p>
        </w:tc>
      </w:tr>
      <w:tr w14:paraId="33FEFDE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80B1024">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7EB7B7B0">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939360C">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1259" w:type="pct"/>
            <w:tcBorders>
              <w:top w:val="single" w:color="auto" w:sz="2" w:space="0"/>
              <w:left w:val="single" w:color="auto" w:sz="2" w:space="0"/>
              <w:bottom w:val="single" w:color="auto" w:sz="2" w:space="0"/>
            </w:tcBorders>
            <w:vAlign w:val="center"/>
          </w:tcPr>
          <w:p w14:paraId="03F492D1">
            <w:pPr>
              <w:adjustRightInd w:val="0"/>
              <w:snapToGrid w:val="0"/>
              <w:spacing w:line="300" w:lineRule="exact"/>
              <w:jc w:val="center"/>
              <w:rPr>
                <w:color w:val="auto"/>
                <w:spacing w:val="20"/>
                <w:szCs w:val="21"/>
                <w:highlight w:val="none"/>
              </w:rPr>
            </w:pPr>
          </w:p>
        </w:tc>
      </w:tr>
      <w:tr w14:paraId="527FDD2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D6455D9">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04165C0B">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00BC58D">
            <w:pPr>
              <w:adjustRightInd w:val="0"/>
              <w:snapToGrid w:val="0"/>
              <w:spacing w:line="300" w:lineRule="exact"/>
              <w:jc w:val="center"/>
              <w:rPr>
                <w:color w:val="auto"/>
                <w:szCs w:val="21"/>
                <w:highlight w:val="none"/>
              </w:rPr>
            </w:pPr>
            <w:r>
              <w:rPr>
                <w:color w:val="auto"/>
                <w:szCs w:val="21"/>
                <w:highlight w:val="none"/>
              </w:rPr>
              <w:t>开户名称</w:t>
            </w:r>
          </w:p>
        </w:tc>
        <w:tc>
          <w:tcPr>
            <w:tcW w:w="1259" w:type="pct"/>
            <w:tcBorders>
              <w:top w:val="single" w:color="auto" w:sz="2" w:space="0"/>
              <w:left w:val="single" w:color="auto" w:sz="2" w:space="0"/>
              <w:bottom w:val="single" w:color="auto" w:sz="2" w:space="0"/>
            </w:tcBorders>
            <w:vAlign w:val="center"/>
          </w:tcPr>
          <w:p w14:paraId="7E52D610">
            <w:pPr>
              <w:adjustRightInd w:val="0"/>
              <w:snapToGrid w:val="0"/>
              <w:spacing w:line="300" w:lineRule="exact"/>
              <w:jc w:val="center"/>
              <w:rPr>
                <w:color w:val="auto"/>
                <w:spacing w:val="20"/>
                <w:szCs w:val="21"/>
                <w:highlight w:val="none"/>
              </w:rPr>
            </w:pPr>
          </w:p>
        </w:tc>
      </w:tr>
      <w:tr w14:paraId="6AF9F77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18FFB5E">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1A249CCA">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249997F">
            <w:pPr>
              <w:adjustRightInd w:val="0"/>
              <w:snapToGrid w:val="0"/>
              <w:spacing w:line="300" w:lineRule="exact"/>
              <w:jc w:val="center"/>
              <w:rPr>
                <w:color w:val="auto"/>
                <w:szCs w:val="21"/>
                <w:highlight w:val="none"/>
              </w:rPr>
            </w:pPr>
            <w:r>
              <w:rPr>
                <w:color w:val="auto"/>
                <w:szCs w:val="21"/>
                <w:highlight w:val="none"/>
              </w:rPr>
              <w:t>开户银行</w:t>
            </w:r>
          </w:p>
        </w:tc>
        <w:tc>
          <w:tcPr>
            <w:tcW w:w="1259" w:type="pct"/>
            <w:tcBorders>
              <w:top w:val="single" w:color="auto" w:sz="2" w:space="0"/>
              <w:left w:val="single" w:color="auto" w:sz="2" w:space="0"/>
              <w:bottom w:val="single" w:color="auto" w:sz="2" w:space="0"/>
            </w:tcBorders>
            <w:vAlign w:val="center"/>
          </w:tcPr>
          <w:p w14:paraId="1AF57FFC">
            <w:pPr>
              <w:adjustRightInd w:val="0"/>
              <w:snapToGrid w:val="0"/>
              <w:spacing w:line="300" w:lineRule="exact"/>
              <w:jc w:val="center"/>
              <w:rPr>
                <w:color w:val="auto"/>
                <w:spacing w:val="20"/>
                <w:szCs w:val="21"/>
                <w:highlight w:val="none"/>
              </w:rPr>
            </w:pPr>
          </w:p>
        </w:tc>
      </w:tr>
      <w:tr w14:paraId="3CE1FCE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EE7E3F0">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61186FA7">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18E7AD3">
            <w:pPr>
              <w:adjustRightInd w:val="0"/>
              <w:snapToGrid w:val="0"/>
              <w:spacing w:line="300" w:lineRule="exact"/>
              <w:jc w:val="center"/>
              <w:rPr>
                <w:color w:val="auto"/>
                <w:szCs w:val="21"/>
                <w:highlight w:val="none"/>
              </w:rPr>
            </w:pPr>
            <w:r>
              <w:rPr>
                <w:color w:val="auto"/>
                <w:szCs w:val="21"/>
                <w:highlight w:val="none"/>
              </w:rPr>
              <w:t>银行账号</w:t>
            </w:r>
          </w:p>
        </w:tc>
        <w:tc>
          <w:tcPr>
            <w:tcW w:w="1259" w:type="pct"/>
            <w:tcBorders>
              <w:top w:val="single" w:color="auto" w:sz="2" w:space="0"/>
              <w:left w:val="single" w:color="auto" w:sz="2" w:space="0"/>
              <w:bottom w:val="single" w:color="auto" w:sz="2" w:space="0"/>
            </w:tcBorders>
            <w:vAlign w:val="center"/>
          </w:tcPr>
          <w:p w14:paraId="24B565BE">
            <w:pPr>
              <w:adjustRightInd w:val="0"/>
              <w:snapToGrid w:val="0"/>
              <w:spacing w:line="300" w:lineRule="exact"/>
              <w:jc w:val="center"/>
              <w:rPr>
                <w:color w:val="auto"/>
                <w:spacing w:val="20"/>
                <w:szCs w:val="21"/>
                <w:highlight w:val="none"/>
              </w:rPr>
            </w:pPr>
          </w:p>
        </w:tc>
      </w:tr>
      <w:tr w14:paraId="03BE915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5BCE45EF">
            <w:pPr>
              <w:pStyle w:val="7"/>
              <w:adjustRightInd w:val="0"/>
              <w:spacing w:before="156" w:beforeLines="50" w:line="360" w:lineRule="auto"/>
              <w:jc w:val="left"/>
              <w:rPr>
                <w:color w:val="auto"/>
                <w:spacing w:val="20"/>
                <w:sz w:val="21"/>
                <w:szCs w:val="21"/>
                <w:highlight w:val="none"/>
              </w:rPr>
            </w:pPr>
            <w:r>
              <w:rPr>
                <w:rFonts w:hint="eastAsia" w:ascii="宋体" w:hAnsi="宋体"/>
                <w:color w:val="auto"/>
                <w:sz w:val="21"/>
                <w:szCs w:val="21"/>
                <w:highlight w:val="none"/>
              </w:rPr>
              <w:t>注：涉及联合体或其他合同主体的信息应按上表格式加列。</w:t>
            </w:r>
          </w:p>
        </w:tc>
      </w:tr>
    </w:tbl>
    <w:p w14:paraId="6C842E4D">
      <w:pPr>
        <w:pStyle w:val="3"/>
        <w:adjustRightInd w:val="0"/>
        <w:snapToGrid w:val="0"/>
        <w:spacing w:before="156" w:beforeLines="50"/>
        <w:jc w:val="center"/>
        <w:rPr>
          <w:rFonts w:ascii="黑体" w:hAnsi="黑体" w:eastAsia="黑体"/>
          <w:color w:val="auto"/>
          <w:sz w:val="28"/>
          <w:szCs w:val="28"/>
          <w:highlight w:val="none"/>
        </w:rPr>
      </w:pPr>
      <w:r>
        <w:rPr>
          <w:rFonts w:ascii="宋体" w:hAnsi="宋体"/>
          <w:color w:val="auto"/>
          <w:sz w:val="21"/>
          <w:szCs w:val="21"/>
          <w:highlight w:val="none"/>
          <w:u w:val="single"/>
        </w:rPr>
        <w:br w:type="page"/>
      </w:r>
      <w:bookmarkStart w:id="62" w:name="_Toc27624"/>
      <w:bookmarkStart w:id="63" w:name="_Toc27170"/>
      <w:r>
        <w:rPr>
          <w:rFonts w:hint="eastAsia" w:ascii="黑体" w:hAnsi="黑体" w:eastAsia="黑体"/>
          <w:b w:val="0"/>
          <w:bCs w:val="0"/>
          <w:color w:val="auto"/>
          <w:sz w:val="28"/>
          <w:szCs w:val="28"/>
          <w:highlight w:val="none"/>
        </w:rPr>
        <w:t>第二节 政府采购合同通用条款</w:t>
      </w:r>
      <w:bookmarkEnd w:id="62"/>
      <w:bookmarkEnd w:id="63"/>
    </w:p>
    <w:p w14:paraId="0FA04434">
      <w:pPr>
        <w:tabs>
          <w:tab w:val="left" w:pos="8820"/>
          <w:tab w:val="left" w:pos="9345"/>
          <w:tab w:val="left" w:pos="9765"/>
        </w:tabs>
        <w:adjustRightInd w:val="0"/>
        <w:snapToGrid w:val="0"/>
        <w:spacing w:line="400" w:lineRule="exact"/>
        <w:jc w:val="left"/>
        <w:rPr>
          <w:rFonts w:ascii="宋体" w:hAnsi="宋体"/>
          <w:b/>
          <w:bCs/>
          <w:color w:val="auto"/>
          <w:sz w:val="24"/>
          <w:highlight w:val="none"/>
        </w:rPr>
      </w:pPr>
      <w:r>
        <w:rPr>
          <w:rFonts w:hint="eastAsia" w:ascii="宋体" w:hAnsi="宋体"/>
          <w:b/>
          <w:color w:val="auto"/>
          <w:sz w:val="24"/>
          <w:highlight w:val="none"/>
        </w:rPr>
        <w:t xml:space="preserve">1. </w:t>
      </w:r>
      <w:r>
        <w:rPr>
          <w:rFonts w:hint="eastAsia" w:ascii="宋体" w:hAnsi="宋体"/>
          <w:b/>
          <w:bCs/>
          <w:color w:val="auto"/>
          <w:sz w:val="24"/>
          <w:highlight w:val="none"/>
        </w:rPr>
        <w:t>定义</w:t>
      </w:r>
    </w:p>
    <w:p w14:paraId="6B6F953C">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1.1合同当事人</w:t>
      </w:r>
    </w:p>
    <w:p w14:paraId="4BF220FB">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（1）采购人（以下称甲方）是指使用财政性资金，通过政府采购方式向供应商购买货物及其相关服务的国家机关、事业单位、团体组织。</w:t>
      </w:r>
    </w:p>
    <w:p w14:paraId="33C048F7">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（2）供应商（以下称乙方）是指参加政府采购活动并且中标（成交），向采购人提供合同约定的货物及其相关服务的法人、非法人组织或者自然人。</w:t>
      </w:r>
    </w:p>
    <w:p w14:paraId="1847180E">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cs="宋体"/>
          <w:bCs/>
          <w:color w:val="auto"/>
          <w:szCs w:val="21"/>
          <w:highlight w:val="none"/>
        </w:rPr>
        <w:t>依法参与合同缔结或履行，享有权利、承担义务的合同当事人</w:t>
      </w:r>
      <w:r>
        <w:rPr>
          <w:rFonts w:hint="eastAsia" w:ascii="宋体" w:hAnsi="宋体"/>
          <w:color w:val="auto"/>
          <w:szCs w:val="21"/>
          <w:highlight w:val="none"/>
        </w:rPr>
        <w:t>。</w:t>
      </w:r>
    </w:p>
    <w:p w14:paraId="0BD599F2">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5FBBB576">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cs="宋体"/>
          <w:bCs/>
          <w:color w:val="auto"/>
          <w:szCs w:val="21"/>
          <w:highlight w:val="none"/>
        </w:rPr>
        <w:t>合同当事人意思表示达成一致的任何协议，包括签署的</w:t>
      </w:r>
      <w:r>
        <w:rPr>
          <w:rFonts w:hint="eastAsia" w:ascii="宋体" w:hAnsi="宋体"/>
          <w:color w:val="auto"/>
          <w:szCs w:val="21"/>
          <w:highlight w:val="none"/>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auto"/>
          <w:szCs w:val="21"/>
          <w:highlight w:val="none"/>
        </w:rPr>
        <w:t>国家法律、行政法规和规章制度规定或合同约定的作为合同组成部分的其他文件</w:t>
      </w:r>
      <w:r>
        <w:rPr>
          <w:rFonts w:hint="eastAsia" w:ascii="宋体" w:hAnsi="宋体"/>
          <w:color w:val="auto"/>
          <w:szCs w:val="21"/>
          <w:highlight w:val="none"/>
        </w:rPr>
        <w:t>。</w:t>
      </w:r>
    </w:p>
    <w:p w14:paraId="7A1D215C">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（2）“合同价款”系指根据本合同规定乙方在全面履行合同义务后甲方应支付给乙方的价款。</w:t>
      </w:r>
    </w:p>
    <w:p w14:paraId="4EA07252">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（3）“货物”系指乙方根据本合同规定须向甲方提供的各种形态和种类的物品，包括原材料、设备、产品（包括软件）及相关的其备品备件、工具、手册及</w:t>
      </w:r>
      <w:r>
        <w:rPr>
          <w:rFonts w:ascii="宋体" w:hAnsi="宋体"/>
          <w:color w:val="auto"/>
          <w:szCs w:val="21"/>
          <w:highlight w:val="none"/>
          <w:lang w:val="en"/>
        </w:rPr>
        <w:t>其他</w:t>
      </w:r>
      <w:r>
        <w:rPr>
          <w:rFonts w:hint="eastAsia" w:ascii="宋体" w:hAnsi="宋体"/>
          <w:color w:val="auto"/>
          <w:szCs w:val="21"/>
          <w:highlight w:val="none"/>
        </w:rPr>
        <w:t>技术资料和材料等。</w:t>
      </w:r>
    </w:p>
    <w:p w14:paraId="29F8F0B9">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（4）“相关服务”系指根据合同规定，乙方应提供的与货物有关的技术、管理和</w:t>
      </w:r>
      <w:r>
        <w:rPr>
          <w:rFonts w:ascii="宋体" w:hAnsi="宋体"/>
          <w:color w:val="auto"/>
          <w:szCs w:val="21"/>
          <w:highlight w:val="none"/>
          <w:lang w:val="en"/>
        </w:rPr>
        <w:t>其他</w:t>
      </w:r>
      <w:r>
        <w:rPr>
          <w:rFonts w:hint="eastAsia" w:ascii="宋体" w:hAnsi="宋体"/>
          <w:color w:val="auto"/>
          <w:szCs w:val="21"/>
          <w:highlight w:val="none"/>
        </w:rPr>
        <w:t>服务，包括但不限于：管理和质量保证、运输、保险、检验、现场准备、安装、集成、调试、培训、维修、废弃处置、技术支持等以及合同中规定乙方应承担的</w:t>
      </w:r>
      <w:r>
        <w:rPr>
          <w:rFonts w:ascii="宋体" w:hAnsi="宋体"/>
          <w:color w:val="auto"/>
          <w:szCs w:val="21"/>
          <w:highlight w:val="none"/>
          <w:lang w:val="en"/>
        </w:rPr>
        <w:t>其他</w:t>
      </w:r>
      <w:r>
        <w:rPr>
          <w:rFonts w:hint="eastAsia" w:ascii="宋体" w:hAnsi="宋体"/>
          <w:color w:val="auto"/>
          <w:szCs w:val="21"/>
          <w:highlight w:val="none"/>
        </w:rPr>
        <w:t>义务。</w:t>
      </w:r>
    </w:p>
    <w:p w14:paraId="2E132300">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（5）“分包”系指中标（成交）供应商按采购文件、投标（响应）文件的规定，根据分包意向协议，将中标（成交）项目中的部分履约内容，分给具有相应资质条件的供应商履行合同的行为。</w:t>
      </w:r>
    </w:p>
    <w:p w14:paraId="513648D3">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2BA1DE54">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（7）其他术语解释，见【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0D0096E9">
      <w:pPr>
        <w:widowControl w:val="0"/>
        <w:numPr>
          <w:ilvl w:val="0"/>
          <w:numId w:val="4"/>
        </w:numPr>
        <w:autoSpaceDE w:val="0"/>
        <w:autoSpaceDN w:val="0"/>
        <w:adjustRightInd w:val="0"/>
        <w:snapToGrid w:val="0"/>
        <w:spacing w:line="400" w:lineRule="exact"/>
        <w:jc w:val="left"/>
        <w:textAlignment w:val="auto"/>
        <w:rPr>
          <w:rFonts w:ascii="宋体" w:hAnsi="宋体"/>
          <w:b/>
          <w:bCs/>
          <w:color w:val="auto"/>
          <w:sz w:val="24"/>
          <w:highlight w:val="none"/>
        </w:rPr>
      </w:pPr>
      <w:r>
        <w:rPr>
          <w:rFonts w:hint="eastAsia" w:ascii="宋体" w:hAnsi="宋体"/>
          <w:b/>
          <w:color w:val="auto"/>
          <w:sz w:val="24"/>
          <w:highlight w:val="none"/>
        </w:rPr>
        <w:t>合同标的及金额</w:t>
      </w:r>
    </w:p>
    <w:p w14:paraId="68333573">
      <w:pPr>
        <w:autoSpaceDE w:val="0"/>
        <w:autoSpaceDN w:val="0"/>
        <w:adjustRightInd w:val="0"/>
        <w:snapToGrid w:val="0"/>
        <w:spacing w:line="400" w:lineRule="exact"/>
        <w:ind w:firstLine="420" w:firstLineChars="200"/>
        <w:jc w:val="left"/>
        <w:rPr>
          <w:rFonts w:ascii="宋体" w:hAnsi="宋体"/>
          <w:b/>
          <w:bCs/>
          <w:i/>
          <w:iCs/>
          <w:color w:val="auto"/>
          <w:szCs w:val="21"/>
          <w:highlight w:val="none"/>
        </w:rPr>
      </w:pPr>
      <w:r>
        <w:rPr>
          <w:rFonts w:hint="eastAsia" w:ascii="宋体" w:hAnsi="宋体"/>
          <w:color w:val="auto"/>
          <w:szCs w:val="21"/>
          <w:highlight w:val="none"/>
        </w:rPr>
        <w:t>2.1 合同标的及金额应与中标（成交）结果一致。乙方为履行本合同而发生的所有费用均应包含在合同价款中，甲方不再另行支付</w:t>
      </w:r>
      <w:r>
        <w:rPr>
          <w:rFonts w:ascii="宋体" w:hAnsi="宋体"/>
          <w:color w:val="auto"/>
          <w:szCs w:val="21"/>
          <w:highlight w:val="none"/>
          <w:lang w:val="en"/>
        </w:rPr>
        <w:t>其他</w:t>
      </w:r>
      <w:r>
        <w:rPr>
          <w:rFonts w:hint="eastAsia" w:ascii="宋体" w:hAnsi="宋体"/>
          <w:color w:val="auto"/>
          <w:szCs w:val="21"/>
          <w:highlight w:val="none"/>
        </w:rPr>
        <w:t>任何费用。</w:t>
      </w:r>
    </w:p>
    <w:p w14:paraId="6FDF2F7B">
      <w:pPr>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3. 履行合同的时间、地点和方式</w:t>
      </w:r>
    </w:p>
    <w:p w14:paraId="0C76F392">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3.1 </w:t>
      </w:r>
      <w:r>
        <w:rPr>
          <w:rFonts w:hint="eastAsia" w:ascii="宋体" w:hAnsi="宋体" w:cs="宋体"/>
          <w:color w:val="auto"/>
          <w:szCs w:val="21"/>
          <w:highlight w:val="none"/>
        </w:rPr>
        <w:t>乙方应当在约定的时间、地点，按照约定方式履行合同。</w:t>
      </w:r>
    </w:p>
    <w:p w14:paraId="717C620A">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4. 甲方的权利和义务</w:t>
      </w:r>
    </w:p>
    <w:p w14:paraId="326F6D6D">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4.1</w:t>
      </w:r>
      <w:r>
        <w:rPr>
          <w:rFonts w:ascii="宋体" w:hAnsi="宋体"/>
          <w:color w:val="auto"/>
          <w:szCs w:val="21"/>
          <w:highlight w:val="none"/>
        </w:rPr>
        <w:t xml:space="preserve"> 签署合同后，甲方</w:t>
      </w:r>
      <w:r>
        <w:rPr>
          <w:rFonts w:hint="eastAsia" w:ascii="宋体" w:hAnsi="宋体"/>
          <w:color w:val="auto"/>
          <w:szCs w:val="21"/>
          <w:highlight w:val="none"/>
        </w:rPr>
        <w:t>应</w:t>
      </w:r>
      <w:r>
        <w:rPr>
          <w:rFonts w:ascii="宋体" w:hAnsi="宋体"/>
          <w:color w:val="auto"/>
          <w:szCs w:val="21"/>
          <w:highlight w:val="none"/>
        </w:rPr>
        <w:t>确定</w:t>
      </w:r>
      <w:r>
        <w:rPr>
          <w:rFonts w:hint="eastAsia" w:ascii="宋体" w:hAnsi="宋体"/>
          <w:color w:val="auto"/>
          <w:szCs w:val="21"/>
          <w:highlight w:val="none"/>
        </w:rPr>
        <w:t>项目负责人（或项目联系人）</w:t>
      </w:r>
      <w:r>
        <w:rPr>
          <w:rFonts w:ascii="宋体" w:hAnsi="宋体"/>
          <w:color w:val="auto"/>
          <w:szCs w:val="21"/>
          <w:highlight w:val="none"/>
        </w:rPr>
        <w:t>，负责与本合同有关的事务。</w:t>
      </w:r>
      <w:r>
        <w:rPr>
          <w:rFonts w:hint="eastAsia" w:ascii="宋体" w:hAnsi="宋体"/>
          <w:color w:val="auto"/>
          <w:szCs w:val="21"/>
          <w:highlight w:val="none"/>
        </w:rPr>
        <w:t>甲方有权对乙方的履约行为进行检查，并</w:t>
      </w:r>
      <w:r>
        <w:rPr>
          <w:rFonts w:ascii="宋体" w:hAnsi="宋体"/>
          <w:color w:val="auto"/>
          <w:szCs w:val="21"/>
          <w:highlight w:val="none"/>
        </w:rPr>
        <w:t>及时确认乙方提交的事项</w:t>
      </w:r>
      <w:r>
        <w:rPr>
          <w:rFonts w:hint="eastAsia" w:ascii="宋体" w:hAnsi="宋体"/>
          <w:color w:val="auto"/>
          <w:szCs w:val="21"/>
          <w:highlight w:val="none"/>
        </w:rPr>
        <w:t>。甲方应当</w:t>
      </w:r>
      <w:r>
        <w:rPr>
          <w:rFonts w:ascii="宋体" w:hAnsi="宋体"/>
          <w:color w:val="auto"/>
          <w:szCs w:val="21"/>
          <w:highlight w:val="none"/>
        </w:rPr>
        <w:t>配合乙方完成</w:t>
      </w:r>
      <w:r>
        <w:rPr>
          <w:rFonts w:hint="eastAsia" w:ascii="宋体" w:hAnsi="宋体"/>
          <w:color w:val="auto"/>
          <w:szCs w:val="21"/>
          <w:highlight w:val="none"/>
        </w:rPr>
        <w:t>相关项目</w:t>
      </w:r>
      <w:r>
        <w:rPr>
          <w:rFonts w:ascii="宋体" w:hAnsi="宋体"/>
          <w:color w:val="auto"/>
          <w:szCs w:val="21"/>
          <w:highlight w:val="none"/>
        </w:rPr>
        <w:t>实施工作。</w:t>
      </w:r>
    </w:p>
    <w:p w14:paraId="775DE42D">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4.2 </w:t>
      </w:r>
      <w:r>
        <w:rPr>
          <w:rFonts w:ascii="宋体" w:hAnsi="宋体"/>
          <w:color w:val="auto"/>
          <w:szCs w:val="21"/>
          <w:highlight w:val="none"/>
        </w:rPr>
        <w:t>甲方有权要求乙方按时提交各阶段有关</w:t>
      </w:r>
      <w:r>
        <w:rPr>
          <w:rFonts w:hint="eastAsia" w:ascii="宋体" w:hAnsi="宋体"/>
          <w:color w:val="auto"/>
          <w:szCs w:val="21"/>
          <w:highlight w:val="none"/>
        </w:rPr>
        <w:t>安排计划</w:t>
      </w:r>
      <w:r>
        <w:rPr>
          <w:rFonts w:ascii="宋体" w:hAnsi="宋体"/>
          <w:color w:val="auto"/>
          <w:szCs w:val="21"/>
          <w:highlight w:val="none"/>
        </w:rPr>
        <w:t>，并有权</w:t>
      </w:r>
      <w:r>
        <w:rPr>
          <w:rFonts w:hint="eastAsia" w:ascii="宋体" w:hAnsi="宋体"/>
          <w:color w:val="auto"/>
          <w:szCs w:val="21"/>
          <w:highlight w:val="none"/>
        </w:rPr>
        <w:t>定期核对乙方提供货物数量、规格、质量等内容。甲方</w:t>
      </w:r>
      <w:r>
        <w:rPr>
          <w:rFonts w:ascii="宋体" w:hAnsi="宋体"/>
          <w:color w:val="auto"/>
          <w:szCs w:val="21"/>
          <w:highlight w:val="none"/>
        </w:rPr>
        <w:t>有权督促乙方工作并要求乙方</w:t>
      </w:r>
      <w:r>
        <w:rPr>
          <w:rFonts w:hint="eastAsia" w:ascii="宋体" w:hAnsi="宋体"/>
          <w:color w:val="auto"/>
          <w:szCs w:val="21"/>
          <w:highlight w:val="none"/>
        </w:rPr>
        <w:t>更</w:t>
      </w:r>
      <w:r>
        <w:rPr>
          <w:rFonts w:ascii="宋体" w:hAnsi="宋体"/>
          <w:color w:val="auto"/>
          <w:szCs w:val="21"/>
          <w:highlight w:val="none"/>
        </w:rPr>
        <w:t>换不符合要求的</w:t>
      </w:r>
      <w:r>
        <w:rPr>
          <w:rFonts w:hint="eastAsia" w:ascii="宋体" w:hAnsi="宋体"/>
          <w:color w:val="auto"/>
          <w:szCs w:val="21"/>
          <w:highlight w:val="none"/>
        </w:rPr>
        <w:t>货物</w:t>
      </w:r>
      <w:r>
        <w:rPr>
          <w:rFonts w:ascii="宋体" w:hAnsi="宋体"/>
          <w:color w:val="auto"/>
          <w:szCs w:val="21"/>
          <w:highlight w:val="none"/>
        </w:rPr>
        <w:t>。</w:t>
      </w:r>
    </w:p>
    <w:p w14:paraId="15386008">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3</w:t>
      </w:r>
      <w:r>
        <w:rPr>
          <w:rFonts w:hint="eastAsia" w:ascii="宋体" w:hAnsi="宋体"/>
          <w:color w:val="auto"/>
          <w:szCs w:val="21"/>
          <w:highlight w:val="none"/>
        </w:rPr>
        <w:t xml:space="preserve"> </w:t>
      </w:r>
      <w:r>
        <w:rPr>
          <w:rFonts w:ascii="宋体" w:hAnsi="宋体"/>
          <w:color w:val="auto"/>
          <w:szCs w:val="21"/>
          <w:highlight w:val="none"/>
        </w:rPr>
        <w:t>甲方</w:t>
      </w:r>
      <w:r>
        <w:rPr>
          <w:rFonts w:hint="eastAsia" w:ascii="宋体" w:hAnsi="宋体"/>
          <w:color w:val="auto"/>
          <w:szCs w:val="21"/>
          <w:highlight w:val="none"/>
        </w:rPr>
        <w:t>有权要求乙方对缺陷部分予以修复，并按合同约定享有货物保修及其他合同约定的权利。</w:t>
      </w:r>
    </w:p>
    <w:p w14:paraId="28AE9357">
      <w:pPr>
        <w:snapToGrid w:val="0"/>
        <w:spacing w:line="400" w:lineRule="exact"/>
        <w:ind w:firstLine="420" w:firstLineChars="200"/>
        <w:rPr>
          <w:rFonts w:eastAsia="华文楷体"/>
          <w:color w:val="auto"/>
          <w:highlight w:val="none"/>
        </w:rPr>
      </w:pPr>
      <w:r>
        <w:rPr>
          <w:rFonts w:ascii="宋体" w:hAnsi="宋体"/>
          <w:color w:val="auto"/>
          <w:szCs w:val="21"/>
          <w:highlight w:val="none"/>
        </w:rPr>
        <w:t>4.4 甲方应当按照合同约定及时对交付的货物进行验收</w:t>
      </w:r>
      <w:r>
        <w:rPr>
          <w:rFonts w:hint="eastAsia" w:ascii="宋体" w:hAnsi="宋体"/>
          <w:color w:val="auto"/>
          <w:szCs w:val="21"/>
          <w:highlight w:val="none"/>
        </w:rPr>
        <w:t>，</w:t>
      </w:r>
      <w:r>
        <w:rPr>
          <w:rFonts w:hint="eastAsia" w:ascii="宋体" w:hAnsi="宋体" w:cs="宋体"/>
          <w:color w:val="auto"/>
          <w:szCs w:val="21"/>
          <w:highlight w:val="none"/>
        </w:rPr>
        <w:t>未</w:t>
      </w:r>
      <w:r>
        <w:rPr>
          <w:rFonts w:hint="eastAsia" w:ascii="宋体" w:hAnsi="宋体"/>
          <w:color w:val="auto"/>
          <w:szCs w:val="21"/>
          <w:highlight w:val="none"/>
        </w:rPr>
        <w:t>在</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约定的期限内对乙方履约提出任何异议或者向乙方作出任何说明的，</w:t>
      </w:r>
      <w:r>
        <w:rPr>
          <w:rFonts w:hint="eastAsia" w:ascii="宋体" w:hAnsi="宋体"/>
          <w:color w:val="auto"/>
          <w:szCs w:val="21"/>
          <w:highlight w:val="none"/>
        </w:rPr>
        <w:t>视为验收通过。</w:t>
      </w:r>
    </w:p>
    <w:p w14:paraId="2183849A">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w:t>
      </w:r>
      <w:r>
        <w:rPr>
          <w:rFonts w:ascii="宋体" w:hAnsi="宋体"/>
          <w:color w:val="auto"/>
          <w:szCs w:val="21"/>
          <w:highlight w:val="none"/>
        </w:rPr>
        <w:t xml:space="preserve">5 </w:t>
      </w:r>
      <w:r>
        <w:rPr>
          <w:rFonts w:hint="eastAsia" w:ascii="宋体" w:hAnsi="宋体"/>
          <w:color w:val="auto"/>
          <w:szCs w:val="21"/>
          <w:highlight w:val="none"/>
        </w:rPr>
        <w:t>甲方应当根据合同约定及时向乙方支付合同价款</w:t>
      </w:r>
      <w:r>
        <w:rPr>
          <w:rFonts w:ascii="宋体" w:hAnsi="宋体"/>
          <w:color w:val="auto"/>
          <w:szCs w:val="21"/>
          <w:highlight w:val="none"/>
        </w:rPr>
        <w:t>，不得以内部人员变更、履行内部付款流程等为由，拒绝或迟延支付。</w:t>
      </w:r>
    </w:p>
    <w:p w14:paraId="16052D00">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4.6</w:t>
      </w:r>
      <w:r>
        <w:rPr>
          <w:rFonts w:ascii="宋体" w:hAnsi="宋体"/>
          <w:color w:val="auto"/>
          <w:szCs w:val="21"/>
          <w:highlight w:val="none"/>
        </w:rPr>
        <w:t xml:space="preserve"> </w:t>
      </w:r>
      <w:r>
        <w:rPr>
          <w:rFonts w:hint="eastAsia" w:ascii="宋体" w:hAnsi="宋体"/>
          <w:color w:val="auto"/>
          <w:szCs w:val="21"/>
          <w:highlight w:val="none"/>
        </w:rPr>
        <w:t>国家法律法规规定及</w:t>
      </w:r>
      <w:r>
        <w:rPr>
          <w:rFonts w:hint="eastAsia" w:ascii="宋体" w:hAnsi="宋体" w:cs="宋体"/>
          <w:b/>
          <w:bCs/>
          <w:color w:val="auto"/>
          <w:szCs w:val="21"/>
          <w:highlight w:val="none"/>
        </w:rPr>
        <w:t>【政府采购合同专用条款】</w:t>
      </w:r>
      <w:r>
        <w:rPr>
          <w:rFonts w:hint="eastAsia" w:ascii="宋体" w:hAnsi="宋体"/>
          <w:color w:val="auto"/>
          <w:szCs w:val="21"/>
          <w:highlight w:val="none"/>
        </w:rPr>
        <w:t>约定应由甲方承担的其他义务和责任。</w:t>
      </w:r>
    </w:p>
    <w:p w14:paraId="58E1ED62">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5. 乙方的权利和义务</w:t>
      </w:r>
    </w:p>
    <w:p w14:paraId="5C40AFE7">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5.1 </w:t>
      </w:r>
      <w:r>
        <w:rPr>
          <w:rFonts w:ascii="宋体" w:hAnsi="宋体"/>
          <w:color w:val="auto"/>
          <w:szCs w:val="21"/>
          <w:highlight w:val="none"/>
        </w:rPr>
        <w:t>签署合同后，乙方</w:t>
      </w:r>
      <w:r>
        <w:rPr>
          <w:rFonts w:hint="eastAsia" w:ascii="宋体" w:hAnsi="宋体"/>
          <w:color w:val="auto"/>
          <w:szCs w:val="21"/>
          <w:highlight w:val="none"/>
        </w:rPr>
        <w:t>应</w:t>
      </w:r>
      <w:r>
        <w:rPr>
          <w:rFonts w:ascii="宋体" w:hAnsi="宋体"/>
          <w:color w:val="auto"/>
          <w:szCs w:val="21"/>
          <w:highlight w:val="none"/>
        </w:rPr>
        <w:t>确定</w:t>
      </w:r>
      <w:r>
        <w:rPr>
          <w:rFonts w:hint="eastAsia" w:ascii="宋体" w:hAnsi="宋体"/>
          <w:color w:val="auto"/>
          <w:szCs w:val="21"/>
          <w:highlight w:val="none"/>
        </w:rPr>
        <w:t>项目负责人（或项目联系人）</w:t>
      </w:r>
      <w:r>
        <w:rPr>
          <w:rFonts w:ascii="宋体" w:hAnsi="宋体"/>
          <w:color w:val="auto"/>
          <w:szCs w:val="21"/>
          <w:highlight w:val="none"/>
        </w:rPr>
        <w:t>，负责与本合同有关的事务。</w:t>
      </w:r>
    </w:p>
    <w:p w14:paraId="46297284">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2 乙方应按照合同要求</w:t>
      </w:r>
      <w:r>
        <w:rPr>
          <w:rFonts w:hint="eastAsia" w:ascii="宋体" w:hAnsi="宋体"/>
          <w:color w:val="auto"/>
          <w:szCs w:val="21"/>
          <w:highlight w:val="none"/>
        </w:rPr>
        <w:t>履约</w:t>
      </w:r>
      <w:r>
        <w:rPr>
          <w:rFonts w:ascii="宋体" w:hAnsi="宋体"/>
          <w:color w:val="auto"/>
          <w:szCs w:val="21"/>
          <w:highlight w:val="none"/>
        </w:rPr>
        <w:t>，充分合理安排，确保</w:t>
      </w:r>
      <w:r>
        <w:rPr>
          <w:rFonts w:hint="eastAsia" w:ascii="宋体" w:hAnsi="宋体"/>
          <w:color w:val="auto"/>
          <w:szCs w:val="21"/>
          <w:highlight w:val="none"/>
        </w:rPr>
        <w:t>提供的货物及相关服务符合合同有关</w:t>
      </w:r>
      <w:r>
        <w:rPr>
          <w:rFonts w:ascii="宋体" w:hAnsi="宋体"/>
          <w:color w:val="auto"/>
          <w:szCs w:val="21"/>
          <w:highlight w:val="none"/>
        </w:rPr>
        <w:t>要求</w:t>
      </w:r>
      <w:r>
        <w:rPr>
          <w:rFonts w:hint="eastAsia" w:ascii="宋体" w:hAnsi="宋体"/>
          <w:color w:val="auto"/>
          <w:szCs w:val="21"/>
          <w:highlight w:val="none"/>
        </w:rPr>
        <w:t>。接受项目行业管理部门及政府有关部门的指导，配合甲方的履约检查及验收，并</w:t>
      </w:r>
      <w:r>
        <w:rPr>
          <w:rFonts w:ascii="宋体" w:hAnsi="宋体"/>
          <w:color w:val="auto"/>
          <w:szCs w:val="21"/>
          <w:highlight w:val="none"/>
        </w:rPr>
        <w:t>负责项目实施过程中的所有协调工作。</w:t>
      </w:r>
    </w:p>
    <w:p w14:paraId="08909308">
      <w:pPr>
        <w:pStyle w:val="6"/>
        <w:spacing w:after="0" w:line="400" w:lineRule="exact"/>
        <w:ind w:firstLine="315" w:firstLineChars="150"/>
        <w:rPr>
          <w:rFonts w:ascii="宋体" w:hAnsi="宋体" w:cs="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3</w:t>
      </w:r>
      <w:r>
        <w:rPr>
          <w:rFonts w:hint="eastAsia" w:ascii="宋体" w:hAnsi="宋体"/>
          <w:color w:val="auto"/>
          <w:szCs w:val="21"/>
          <w:highlight w:val="none"/>
        </w:rPr>
        <w:t>乙方有权</w:t>
      </w:r>
      <w:r>
        <w:rPr>
          <w:rFonts w:hint="eastAsia" w:ascii="宋体" w:hAnsi="宋体" w:cs="宋体"/>
          <w:color w:val="auto"/>
          <w:szCs w:val="21"/>
          <w:highlight w:val="none"/>
        </w:rPr>
        <w:t>根据合同约定向甲方收取合同价款。</w:t>
      </w:r>
    </w:p>
    <w:p w14:paraId="6D596F5C">
      <w:pPr>
        <w:pStyle w:val="6"/>
        <w:spacing w:after="0" w:line="400" w:lineRule="exact"/>
        <w:ind w:firstLine="210" w:firstLineChars="100"/>
        <w:rPr>
          <w:rFonts w:ascii="宋体" w:hAnsi="宋体" w:cs="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4</w:t>
      </w:r>
      <w:r>
        <w:rPr>
          <w:rFonts w:hint="eastAsia" w:ascii="宋体" w:hAnsi="宋体" w:cs="宋体"/>
          <w:color w:val="auto"/>
          <w:szCs w:val="21"/>
          <w:highlight w:val="none"/>
        </w:rPr>
        <w:t>国家法律法规规定</w:t>
      </w:r>
      <w:r>
        <w:rPr>
          <w:rFonts w:hint="eastAsia" w:ascii="宋体" w:hAnsi="宋体"/>
          <w:color w:val="auto"/>
          <w:szCs w:val="21"/>
          <w:highlight w:val="none"/>
        </w:rPr>
        <w:t>及</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约定应由乙方承担的其他义务和责任。</w:t>
      </w:r>
    </w:p>
    <w:p w14:paraId="1305055C">
      <w:pPr>
        <w:widowControl w:val="0"/>
        <w:numPr>
          <w:ilvl w:val="0"/>
          <w:numId w:val="5"/>
        </w:numPr>
        <w:autoSpaceDE w:val="0"/>
        <w:autoSpaceDN w:val="0"/>
        <w:adjustRightInd w:val="0"/>
        <w:snapToGrid w:val="0"/>
        <w:spacing w:line="400" w:lineRule="exact"/>
        <w:jc w:val="left"/>
        <w:textAlignment w:val="auto"/>
        <w:rPr>
          <w:rFonts w:ascii="宋体" w:hAnsi="宋体"/>
          <w:b/>
          <w:bCs/>
          <w:color w:val="auto"/>
          <w:sz w:val="24"/>
          <w:highlight w:val="none"/>
        </w:rPr>
      </w:pPr>
      <w:r>
        <w:rPr>
          <w:rFonts w:hint="eastAsia" w:ascii="宋体" w:hAnsi="宋体"/>
          <w:b/>
          <w:bCs/>
          <w:color w:val="auto"/>
          <w:sz w:val="24"/>
          <w:highlight w:val="none"/>
        </w:rPr>
        <w:t>合同履行</w:t>
      </w:r>
    </w:p>
    <w:p w14:paraId="6A0115E6">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6.1 甲乙双方应当按照</w:t>
      </w:r>
      <w:r>
        <w:rPr>
          <w:rFonts w:hint="eastAsia" w:ascii="宋体" w:hAnsi="宋体" w:cs="宋体"/>
          <w:b/>
          <w:bCs/>
          <w:color w:val="auto"/>
          <w:szCs w:val="21"/>
          <w:highlight w:val="none"/>
        </w:rPr>
        <w:t>【政府采购合同专用条款】</w:t>
      </w:r>
      <w:r>
        <w:rPr>
          <w:rFonts w:hint="eastAsia" w:ascii="宋体" w:hAnsi="宋体"/>
          <w:color w:val="auto"/>
          <w:szCs w:val="21"/>
          <w:highlight w:val="none"/>
        </w:rPr>
        <w:t>约定顺序履行合同义务；如果没有先后顺序的，应当同时履行。</w:t>
      </w:r>
    </w:p>
    <w:p w14:paraId="06341E15">
      <w:pPr>
        <w:autoSpaceDE w:val="0"/>
        <w:autoSpaceDN w:val="0"/>
        <w:adjustRightInd w:val="0"/>
        <w:snapToGrid w:val="0"/>
        <w:spacing w:line="400" w:lineRule="exact"/>
        <w:ind w:firstLine="420" w:firstLineChars="200"/>
        <w:jc w:val="left"/>
        <w:rPr>
          <w:color w:val="auto"/>
          <w:highlight w:val="none"/>
        </w:rPr>
      </w:pPr>
      <w:r>
        <w:rPr>
          <w:rFonts w:hint="eastAsia" w:ascii="宋体" w:hAnsi="宋体"/>
          <w:color w:val="auto"/>
          <w:szCs w:val="21"/>
          <w:highlight w:val="none"/>
        </w:rPr>
        <w:t>6.2 甲乙双方按照合同约定顺序履行合同义务时，应当先履行一方未履行的，后履行一方有权拒绝其履行请求。先履行一方履行不符合约定的，后履行一方有权拒绝其相应的履行请求。</w:t>
      </w:r>
    </w:p>
    <w:p w14:paraId="271F5106">
      <w:p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7. 货物包装、运输、保险和交付要求</w:t>
      </w:r>
    </w:p>
    <w:p w14:paraId="48753E37">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7.1 本合同</w:t>
      </w:r>
      <w:r>
        <w:rPr>
          <w:rFonts w:hint="eastAsia" w:ascii="宋体" w:hAnsi="宋体"/>
          <w:bCs/>
          <w:color w:val="auto"/>
          <w:szCs w:val="21"/>
          <w:highlight w:val="none"/>
        </w:rPr>
        <w:t>涉及商品包装、快递包装的，</w:t>
      </w:r>
      <w:r>
        <w:rPr>
          <w:rFonts w:hint="eastAsia" w:ascii="宋体" w:hAnsi="宋体"/>
          <w:color w:val="auto"/>
          <w:szCs w:val="21"/>
          <w:highlight w:val="none"/>
        </w:rPr>
        <w:t>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另有约定外，</w:t>
      </w:r>
      <w:r>
        <w:rPr>
          <w:rFonts w:hint="eastAsia" w:ascii="宋体" w:hAnsi="宋体"/>
          <w:color w:val="auto"/>
          <w:szCs w:val="21"/>
          <w:highlight w:val="none"/>
        </w:rPr>
        <w:t>包装应适应远距离运输、防潮、防震、防锈和防野蛮装卸等要求，确保货物安全无损地运抵</w:t>
      </w:r>
      <w:r>
        <w:rPr>
          <w:rFonts w:hint="eastAsia" w:ascii="宋体" w:hAnsi="宋体"/>
          <w:b/>
          <w:color w:val="auto"/>
          <w:szCs w:val="21"/>
          <w:highlight w:val="none"/>
        </w:rPr>
        <w:t>【政府采购合同专用条款】</w:t>
      </w:r>
      <w:r>
        <w:rPr>
          <w:rFonts w:hint="eastAsia" w:ascii="宋体" w:hAnsi="宋体"/>
          <w:bCs/>
          <w:color w:val="auto"/>
          <w:szCs w:val="21"/>
          <w:highlight w:val="none"/>
        </w:rPr>
        <w:t>约定的</w:t>
      </w:r>
      <w:r>
        <w:rPr>
          <w:rFonts w:hint="eastAsia" w:ascii="宋体" w:hAnsi="宋体"/>
          <w:color w:val="auto"/>
          <w:szCs w:val="21"/>
          <w:highlight w:val="none"/>
        </w:rPr>
        <w:t>指定现场。</w:t>
      </w:r>
    </w:p>
    <w:p w14:paraId="6E3AFA0E">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7.2 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另有约定外，</w:t>
      </w:r>
      <w:r>
        <w:rPr>
          <w:rFonts w:hint="eastAsia" w:ascii="宋体" w:hAnsi="宋体"/>
          <w:color w:val="auto"/>
          <w:szCs w:val="21"/>
          <w:highlight w:val="none"/>
        </w:rPr>
        <w:t>乙方负责办理将货物运抵本合同规定的交货地点，并装卸、交付至甲方的一切运输事项，相关费用应包含在合同价款中。</w:t>
      </w:r>
    </w:p>
    <w:p w14:paraId="5E243376">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7.3 货物保险要求按</w:t>
      </w:r>
      <w:r>
        <w:rPr>
          <w:rFonts w:hint="eastAsia" w:ascii="宋体" w:hAnsi="宋体"/>
          <w:b/>
          <w:color w:val="auto"/>
          <w:szCs w:val="21"/>
          <w:highlight w:val="none"/>
        </w:rPr>
        <w:t>【政府采购合同专用条款】</w:t>
      </w:r>
      <w:r>
        <w:rPr>
          <w:rFonts w:hint="eastAsia" w:ascii="宋体" w:hAnsi="宋体"/>
          <w:bCs/>
          <w:color w:val="auto"/>
          <w:szCs w:val="21"/>
          <w:highlight w:val="none"/>
        </w:rPr>
        <w:t>规定执行</w:t>
      </w:r>
      <w:r>
        <w:rPr>
          <w:rFonts w:hint="eastAsia" w:ascii="宋体" w:hAnsi="宋体"/>
          <w:color w:val="auto"/>
          <w:szCs w:val="21"/>
          <w:highlight w:val="none"/>
        </w:rPr>
        <w:t>。</w:t>
      </w:r>
    </w:p>
    <w:p w14:paraId="17541079">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1E3193E7">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7.5 </w:t>
      </w:r>
      <w:r>
        <w:rPr>
          <w:rFonts w:hint="eastAsia" w:ascii="宋体" w:hAnsi="宋体" w:cs="宋体"/>
          <w:color w:val="auto"/>
          <w:szCs w:val="21"/>
          <w:highlight w:val="none"/>
        </w:rPr>
        <w:t>乙方在运输到达之前应提前通知甲方，并提示货物运输装卸的注意事项，甲方配合乙方做好货物的接收工作。</w:t>
      </w:r>
    </w:p>
    <w:p w14:paraId="69160F25">
      <w:pPr>
        <w:pStyle w:val="77"/>
        <w:ind w:firstLine="420"/>
        <w:rPr>
          <w:color w:val="auto"/>
          <w:sz w:val="21"/>
          <w:highlight w:val="none"/>
        </w:rPr>
      </w:pPr>
      <w:r>
        <w:rPr>
          <w:rFonts w:hint="eastAsia" w:ascii="宋体" w:hAnsi="宋体" w:eastAsia="宋体" w:cs="Times New Roman"/>
          <w:color w:val="auto"/>
          <w:kern w:val="2"/>
          <w:sz w:val="21"/>
          <w:highlight w:val="none"/>
        </w:rPr>
        <w:t>7.6 如因包装、运输问题导致货物损毁、丢失或者品质下降，甲方有权要求降价、换货、拒收部分或整批货物，由此产生的费用和损失，均由乙方承担。</w:t>
      </w:r>
    </w:p>
    <w:p w14:paraId="0DD21F3B">
      <w:pPr>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8. 质量标准和保证</w:t>
      </w:r>
    </w:p>
    <w:p w14:paraId="30988ADE">
      <w:pPr>
        <w:pStyle w:val="8"/>
        <w:adjustRightInd w:val="0"/>
        <w:snapToGrid w:val="0"/>
        <w:spacing w:line="400" w:lineRule="exact"/>
        <w:jc w:val="left"/>
        <w:rPr>
          <w:rFonts w:hAnsi="宋体"/>
          <w:b/>
          <w:color w:val="auto"/>
          <w:highlight w:val="none"/>
        </w:rPr>
      </w:pPr>
      <w:r>
        <w:rPr>
          <w:rFonts w:hint="eastAsia" w:hAnsi="宋体"/>
          <w:color w:val="auto"/>
          <w:highlight w:val="none"/>
        </w:rPr>
        <w:t>8.1 质量标准</w:t>
      </w:r>
    </w:p>
    <w:p w14:paraId="3F6D1860">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（1）本合同下提供的货物应符合合同</w:t>
      </w:r>
      <w:r>
        <w:rPr>
          <w:rFonts w:hint="eastAsia" w:ascii="宋体" w:hAnsi="宋体" w:cs="宋体"/>
          <w:color w:val="auto"/>
          <w:szCs w:val="21"/>
          <w:highlight w:val="none"/>
        </w:rPr>
        <w:t>约定的品牌、规格型号、技术性能、配置、质量、数量等要求。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39F2B7E9">
      <w:pPr>
        <w:pStyle w:val="8"/>
        <w:adjustRightInd w:val="0"/>
        <w:snapToGrid w:val="0"/>
        <w:spacing w:line="400" w:lineRule="exact"/>
        <w:ind w:left="5250" w:firstLine="420" w:firstLineChars="200"/>
        <w:jc w:val="left"/>
        <w:rPr>
          <w:rFonts w:hAnsi="宋体"/>
          <w:color w:val="auto"/>
          <w:highlight w:val="none"/>
        </w:rPr>
      </w:pPr>
      <w:r>
        <w:rPr>
          <w:rFonts w:hint="eastAsia" w:hAnsi="宋体"/>
          <w:color w:val="auto"/>
          <w:highlight w:val="none"/>
        </w:rPr>
        <w:t>（2）采用中华人民共和国法定计量单位。</w:t>
      </w:r>
    </w:p>
    <w:p w14:paraId="113D0030">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（3）乙方所提供的货物应符合国家有关安全、环保、卫生的规定。</w:t>
      </w:r>
    </w:p>
    <w:p w14:paraId="5BA3F04E">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（4）乙方应向甲方提交所提供货物的技术文件，包括相应的中文技术文件，如：产品目录、图纸、操作手册、使用说明、维护手册或服务指南等。上述文件应包装好随货物一同发运。</w:t>
      </w:r>
    </w:p>
    <w:p w14:paraId="44D134B9">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8.2 保证</w:t>
      </w:r>
    </w:p>
    <w:p w14:paraId="543C97DA">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（1）乙方应保证提供的货物完全符合合同规定的质量、规格和性能要求。乙方应保证货物在正确安装、正常使用和保养条件下，</w:t>
      </w:r>
      <w:r>
        <w:rPr>
          <w:rFonts w:hint="eastAsia" w:ascii="宋体" w:hAnsi="宋体" w:cs="宋体"/>
          <w:color w:val="auto"/>
          <w:szCs w:val="21"/>
          <w:highlight w:val="none"/>
        </w:rPr>
        <w:t>在其使用寿命期内具备合同约定的性能</w:t>
      </w:r>
      <w:r>
        <w:rPr>
          <w:rFonts w:hint="eastAsia" w:ascii="宋体" w:hAnsi="宋体"/>
          <w:color w:val="auto"/>
          <w:szCs w:val="21"/>
          <w:highlight w:val="none"/>
        </w:rPr>
        <w:t>。存在质量保证期的，货物最终交付验收合格后在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规定或乙方书面承诺（两者以较长的为准）的质量保证期内，本保证保持有效。</w:t>
      </w:r>
    </w:p>
    <w:p w14:paraId="5F305152">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4A7D860D">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0CC29AD7">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14ACB083">
      <w:pPr>
        <w:adjustRightInd w:val="0"/>
        <w:snapToGrid w:val="0"/>
        <w:spacing w:line="400" w:lineRule="exact"/>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（5）乙方在约定的时间内未能弥补缺陷，甲方可采取必要的补救措施，但其风险和费用将由乙方承担，甲方根据合同约定对乙方行使的其他权利不受影响。</w:t>
      </w:r>
    </w:p>
    <w:p w14:paraId="35F692B6">
      <w:p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9. 权利瑕疵担保</w:t>
      </w:r>
    </w:p>
    <w:p w14:paraId="52645975">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9.1 乙方保证对其出售的货物享有合法的权利。</w:t>
      </w:r>
    </w:p>
    <w:p w14:paraId="4F3606C6">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9.2 </w:t>
      </w:r>
      <w:r>
        <w:rPr>
          <w:rFonts w:hint="eastAsia" w:ascii="宋体" w:hAnsi="宋体" w:cs="宋体"/>
          <w:color w:val="auto"/>
          <w:szCs w:val="15"/>
          <w:highlight w:val="none"/>
        </w:rPr>
        <w:t>乙方保证在交付的货物上不存在抵押权等担保物权。</w:t>
      </w:r>
    </w:p>
    <w:p w14:paraId="34012F90">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9.3 如甲方使用上述货物构成对第三人侵权的，则由乙方承担全部责任。</w:t>
      </w:r>
    </w:p>
    <w:p w14:paraId="638AAF98">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10. 知识产权保护</w:t>
      </w:r>
    </w:p>
    <w:p w14:paraId="6DB39988">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10.1 乙方对其所销售的货物应当享有知识产权或经权利人合法授权，保证没有侵犯任何第三人的知识产权等权利。</w:t>
      </w:r>
      <w:bookmarkStart w:id="64" w:name="_Hlk163047038"/>
      <w:r>
        <w:rPr>
          <w:rFonts w:hint="eastAsia" w:ascii="宋体" w:hAnsi="宋体" w:cs="宋体"/>
          <w:color w:val="auto"/>
          <w:szCs w:val="15"/>
          <w:highlight w:val="none"/>
        </w:rPr>
        <w:t>因违反前述约定对第三人构成侵权的，应当由乙方向第三人承担法律责任；甲方依法向第三人赔偿后，有权向乙方追偿。甲方有其他损失的，乙方应当赔偿</w:t>
      </w:r>
      <w:bookmarkEnd w:id="64"/>
      <w:r>
        <w:rPr>
          <w:rFonts w:hint="eastAsia" w:ascii="宋体" w:hAnsi="宋体"/>
          <w:color w:val="auto"/>
          <w:szCs w:val="21"/>
          <w:highlight w:val="none"/>
        </w:rPr>
        <w:t>。</w:t>
      </w:r>
    </w:p>
    <w:p w14:paraId="43B0D0F7">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11. 保密义务</w:t>
      </w:r>
    </w:p>
    <w:p w14:paraId="1E9F478C">
      <w:pPr>
        <w:autoSpaceDE w:val="0"/>
        <w:autoSpaceDN w:val="0"/>
        <w:adjustRightInd w:val="0"/>
        <w:snapToGrid w:val="0"/>
        <w:spacing w:line="400" w:lineRule="exact"/>
        <w:ind w:firstLine="420" w:firstLineChars="200"/>
        <w:jc w:val="left"/>
        <w:rPr>
          <w:rFonts w:ascii="宋体" w:hAnsi="宋体" w:cs="宋体"/>
          <w:color w:val="auto"/>
          <w:szCs w:val="15"/>
          <w:highlight w:val="none"/>
        </w:rPr>
      </w:pPr>
      <w:r>
        <w:rPr>
          <w:rFonts w:hint="eastAsia" w:ascii="宋体" w:hAnsi="宋体" w:cs="宋体"/>
          <w:color w:val="auto"/>
          <w:szCs w:val="15"/>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中约定。</w:t>
      </w:r>
    </w:p>
    <w:p w14:paraId="376F3903">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12. 合同价款支付</w:t>
      </w:r>
    </w:p>
    <w:p w14:paraId="55470D69">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12.1 合同价款支付按照国库集中支付制度及财政管理相关规定执行。</w:t>
      </w:r>
    </w:p>
    <w:p w14:paraId="23C34142">
      <w:pPr>
        <w:pStyle w:val="3"/>
        <w:spacing w:line="400" w:lineRule="exact"/>
        <w:ind w:firstLine="420" w:firstLineChars="200"/>
        <w:rPr>
          <w:color w:val="auto"/>
          <w:highlight w:val="none"/>
        </w:rPr>
      </w:pPr>
      <w:bookmarkStart w:id="65" w:name="_Toc17979"/>
      <w:r>
        <w:rPr>
          <w:rFonts w:hint="eastAsia" w:ascii="宋体" w:hAnsi="宋体"/>
          <w:b w:val="0"/>
          <w:bCs w:val="0"/>
          <w:color w:val="auto"/>
          <w:sz w:val="21"/>
          <w:szCs w:val="21"/>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color w:val="auto"/>
          <w:sz w:val="21"/>
          <w:szCs w:val="21"/>
          <w:highlight w:val="none"/>
        </w:rPr>
        <w:t>政府采购合同专用条款</w:t>
      </w:r>
      <w:r>
        <w:rPr>
          <w:rFonts w:hint="eastAsia" w:ascii="宋体" w:hAnsi="宋体"/>
          <w:b w:val="0"/>
          <w:bCs w:val="0"/>
          <w:color w:val="auto"/>
          <w:sz w:val="21"/>
          <w:szCs w:val="21"/>
          <w:highlight w:val="none"/>
        </w:rPr>
        <w:t>】中约定。</w:t>
      </w:r>
      <w:bookmarkEnd w:id="65"/>
    </w:p>
    <w:p w14:paraId="407C4E0C">
      <w:pPr>
        <w:pStyle w:val="6"/>
        <w:spacing w:after="0" w:line="400" w:lineRule="exact"/>
        <w:rPr>
          <w:rFonts w:ascii="宋体" w:hAnsi="宋体"/>
          <w:b/>
          <w:bCs/>
          <w:color w:val="auto"/>
          <w:sz w:val="24"/>
          <w:szCs w:val="24"/>
          <w:highlight w:val="none"/>
        </w:rPr>
      </w:pPr>
      <w:r>
        <w:rPr>
          <w:rFonts w:hint="eastAsia" w:ascii="宋体" w:hAnsi="宋体"/>
          <w:b/>
          <w:bCs/>
          <w:color w:val="auto"/>
          <w:sz w:val="24"/>
          <w:szCs w:val="24"/>
          <w:highlight w:val="none"/>
        </w:rPr>
        <w:t>13. 履约保证金</w:t>
      </w:r>
    </w:p>
    <w:p w14:paraId="2B52BCC1">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13.1 </w:t>
      </w:r>
      <w:r>
        <w:rPr>
          <w:rFonts w:hint="eastAsia" w:ascii="宋体" w:hAnsi="宋体" w:cs="宋体"/>
          <w:color w:val="auto"/>
          <w:szCs w:val="15"/>
          <w:highlight w:val="none"/>
        </w:rPr>
        <w:t>乙方应当以支票、汇票、本票或者金融机构、担保机构出具的保函等非现金形式提交。</w:t>
      </w:r>
    </w:p>
    <w:p w14:paraId="55A7C3F5">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13.2 如果乙方出现</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约定情形的</w:t>
      </w:r>
      <w:r>
        <w:rPr>
          <w:rFonts w:hint="eastAsia" w:ascii="宋体" w:hAnsi="宋体"/>
          <w:color w:val="auto"/>
          <w:szCs w:val="21"/>
          <w:highlight w:val="none"/>
        </w:rPr>
        <w:t>，履约保证金不予退还；如果乙方未能按合同约定全面履行义务，甲方有权从履约保证金中取得补偿或赔偿，且不影响甲方要求乙方承担合同约定的超过履约保证金的违约责任的权利。</w:t>
      </w:r>
    </w:p>
    <w:p w14:paraId="2B4C4742">
      <w:pPr>
        <w:spacing w:line="400" w:lineRule="exact"/>
        <w:ind w:firstLine="420"/>
        <w:rPr>
          <w:color w:val="auto"/>
          <w:highlight w:val="none"/>
        </w:rPr>
      </w:pPr>
      <w:r>
        <w:rPr>
          <w:rFonts w:hint="eastAsia" w:ascii="宋体" w:hAnsi="宋体"/>
          <w:color w:val="auto"/>
          <w:szCs w:val="21"/>
          <w:highlight w:val="none"/>
        </w:rPr>
        <w:t>13.3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43B2DD6C">
      <w:p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bCs/>
          <w:color w:val="auto"/>
          <w:sz w:val="24"/>
          <w:highlight w:val="none"/>
        </w:rPr>
        <w:t xml:space="preserve">14. </w:t>
      </w:r>
      <w:r>
        <w:rPr>
          <w:rFonts w:hint="eastAsia"/>
          <w:b/>
          <w:color w:val="auto"/>
          <w:sz w:val="24"/>
          <w:highlight w:val="none"/>
        </w:rPr>
        <w:t>售后</w:t>
      </w:r>
      <w:r>
        <w:rPr>
          <w:rFonts w:hint="eastAsia" w:ascii="宋体" w:hAnsi="宋体"/>
          <w:b/>
          <w:color w:val="auto"/>
          <w:sz w:val="24"/>
          <w:highlight w:val="none"/>
        </w:rPr>
        <w:t>服务</w:t>
      </w:r>
    </w:p>
    <w:p w14:paraId="7B1398A3">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14.1 除项目不涉及或采购活动中明确约定无须承担外，乙方还应提供下列服务：</w:t>
      </w:r>
    </w:p>
    <w:p w14:paraId="47DF321E">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59826E6E">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19DBB0A2">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cs="宋体"/>
          <w:b/>
          <w:bCs/>
          <w:color w:val="auto"/>
          <w:szCs w:val="15"/>
          <w:highlight w:val="none"/>
        </w:rPr>
        <w:t>【政府采购合同专用条款】</w:t>
      </w:r>
      <w:r>
        <w:rPr>
          <w:rFonts w:hint="eastAsia" w:ascii="宋体" w:hAnsi="宋体"/>
          <w:color w:val="auto"/>
          <w:szCs w:val="21"/>
          <w:highlight w:val="none"/>
        </w:rPr>
        <w:t>约定的期限内对所有的货物实施运行监督、维修，但前提条件是该服务并不能免除乙方在质量保证期内所承担的义务；</w:t>
      </w:r>
    </w:p>
    <w:p w14:paraId="678F86C7">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（4）在制造商所在地或指定现场就货物的安装、启动、运营、维护、废弃处置等对甲方操作人员进行培训</w:t>
      </w:r>
      <w:r>
        <w:rPr>
          <w:rFonts w:hint="eastAsia" w:ascii="宋体" w:hAnsi="宋体" w:cs="宋体"/>
          <w:color w:val="auto"/>
          <w:szCs w:val="15"/>
          <w:highlight w:val="none"/>
        </w:rPr>
        <w:t>；</w:t>
      </w:r>
    </w:p>
    <w:p w14:paraId="599BA961">
      <w:pPr>
        <w:pStyle w:val="77"/>
        <w:ind w:firstLine="420"/>
        <w:rPr>
          <w:rFonts w:ascii="宋体" w:hAnsi="宋体" w:eastAsia="宋体" w:cs="宋体"/>
          <w:color w:val="auto"/>
          <w:sz w:val="21"/>
          <w:highlight w:val="none"/>
        </w:rPr>
      </w:pPr>
      <w:r>
        <w:rPr>
          <w:rFonts w:hint="eastAsia" w:ascii="宋体" w:hAnsi="宋体" w:eastAsia="宋体" w:cs="宋体"/>
          <w:color w:val="auto"/>
          <w:sz w:val="21"/>
          <w:highlight w:val="none"/>
        </w:rPr>
        <w:t>（5）依照法律、行政法规的规定或者按照</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约定，货物在有效使用年限届满后应予回收的，乙方负有自行或者委托第三人对货物予以回收的义务；</w:t>
      </w:r>
    </w:p>
    <w:p w14:paraId="137917B4">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（6）</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2A8ECAAC">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14.2 乙方提供的售后服务的费用已包含在合同价款中，甲方不再另行支付。</w:t>
      </w:r>
    </w:p>
    <w:p w14:paraId="7991A655">
      <w:p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15. 违约责任</w:t>
      </w:r>
    </w:p>
    <w:p w14:paraId="281C5974">
      <w:pPr>
        <w:adjustRightInd w:val="0"/>
        <w:snapToGrid w:val="0"/>
        <w:spacing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15.1质量瑕疵的违约责任</w:t>
      </w:r>
    </w:p>
    <w:p w14:paraId="16487071">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乙方提供的产品不符合合同约定的质量标准或存在产品质量缺陷，甲方有权要求乙方根据</w:t>
      </w:r>
      <w:r>
        <w:rPr>
          <w:rFonts w:hint="eastAsia" w:ascii="宋体" w:hAnsi="宋体"/>
          <w:b/>
          <w:color w:val="auto"/>
          <w:szCs w:val="21"/>
          <w:highlight w:val="none"/>
        </w:rPr>
        <w:t>【政府采购合同专用条款】</w:t>
      </w:r>
      <w:r>
        <w:rPr>
          <w:rFonts w:hint="eastAsia" w:ascii="宋体" w:hAnsi="宋体"/>
          <w:bCs/>
          <w:color w:val="auto"/>
          <w:szCs w:val="21"/>
          <w:highlight w:val="none"/>
        </w:rPr>
        <w:t>要求</w:t>
      </w:r>
      <w:r>
        <w:rPr>
          <w:rFonts w:hint="eastAsia" w:ascii="宋体" w:hAnsi="宋体"/>
          <w:color w:val="auto"/>
          <w:szCs w:val="21"/>
          <w:highlight w:val="none"/>
        </w:rPr>
        <w:t>及时修理、重作、更换，并承担由此给甲方造成的损失。</w:t>
      </w:r>
    </w:p>
    <w:p w14:paraId="1DD87171">
      <w:pPr>
        <w:autoSpaceDE w:val="0"/>
        <w:autoSpaceDN w:val="0"/>
        <w:adjustRightInd w:val="0"/>
        <w:snapToGrid w:val="0"/>
        <w:spacing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15.2 迟延交货的违约责任</w:t>
      </w:r>
    </w:p>
    <w:p w14:paraId="6CBAE6B9">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65FDA02C">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（2）如果乙方没有按照合同规定的时间交货和提供相关服务，甲方有权从货款中扣除误期赔偿费而不影响合同项下的其他补救方法，赔偿费按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规定执行。如果涉及公共利益，且赔偿金额无法弥补公共利益损失，甲方可要求继续履行或者采取其他补救措施。</w:t>
      </w:r>
    </w:p>
    <w:p w14:paraId="717D61E7">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15.3 迟延支付的违约责任</w:t>
      </w:r>
    </w:p>
    <w:p w14:paraId="0B200906">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3EF50011">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bCs/>
          <w:color w:val="auto"/>
          <w:szCs w:val="21"/>
          <w:highlight w:val="none"/>
        </w:rPr>
        <w:t>15.4其他违约责任根据项目实际需要按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4EE882B2">
      <w:pPr>
        <w:widowControl w:val="0"/>
        <w:numPr>
          <w:ilvl w:val="0"/>
          <w:numId w:val="6"/>
        </w:numPr>
        <w:autoSpaceDE w:val="0"/>
        <w:autoSpaceDN w:val="0"/>
        <w:adjustRightInd w:val="0"/>
        <w:snapToGrid w:val="0"/>
        <w:spacing w:line="400" w:lineRule="exact"/>
        <w:jc w:val="left"/>
        <w:textAlignment w:val="auto"/>
        <w:rPr>
          <w:rFonts w:ascii="宋体" w:hAnsi="宋体"/>
          <w:b/>
          <w:color w:val="auto"/>
          <w:sz w:val="24"/>
          <w:highlight w:val="none"/>
        </w:rPr>
      </w:pPr>
      <w:r>
        <w:rPr>
          <w:rFonts w:hint="eastAsia" w:ascii="宋体" w:hAnsi="宋体"/>
          <w:b/>
          <w:color w:val="auto"/>
          <w:sz w:val="24"/>
          <w:highlight w:val="none"/>
        </w:rPr>
        <w:t>合同变更、中止与终止</w:t>
      </w:r>
    </w:p>
    <w:p w14:paraId="14FD5D22">
      <w:pPr>
        <w:adjustRightInd w:val="0"/>
        <w:snapToGrid w:val="0"/>
        <w:spacing w:line="400" w:lineRule="exact"/>
        <w:jc w:val="left"/>
        <w:rPr>
          <w:rFonts w:ascii="宋体" w:hAnsi="宋体"/>
          <w:color w:val="auto"/>
          <w:szCs w:val="21"/>
          <w:highlight w:val="none"/>
        </w:rPr>
      </w:pPr>
      <w:r>
        <w:rPr>
          <w:rFonts w:hint="eastAsia" w:ascii="宋体" w:hAnsi="宋体"/>
          <w:color w:val="auto"/>
          <w:szCs w:val="21"/>
          <w:highlight w:val="none"/>
        </w:rPr>
        <w:t xml:space="preserve">    16.1合同的变更</w:t>
      </w:r>
    </w:p>
    <w:p w14:paraId="2E8C1C89">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政府采购合同履行中，在不改变合同其他条款的前提下，甲方可以在合同价款10%的范围内追加与合同标的相同的货物，并就此与乙方协商一致后签订补充协议。</w:t>
      </w:r>
    </w:p>
    <w:p w14:paraId="24A8B611">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16.2合同的中止</w:t>
      </w:r>
    </w:p>
    <w:p w14:paraId="7B2A214E">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（1）合同履行过程中因供应商就采购文件、采购过程或结果提起投诉的，甲方认为有必要的，可以中止合同的履行。</w:t>
      </w:r>
    </w:p>
    <w:p w14:paraId="629CBD4B">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1AE73712">
      <w:pPr>
        <w:pStyle w:val="77"/>
        <w:ind w:firstLine="420"/>
        <w:jc w:val="both"/>
        <w:rPr>
          <w:color w:val="auto"/>
          <w:sz w:val="21"/>
          <w:highlight w:val="none"/>
        </w:rPr>
      </w:pPr>
      <w:r>
        <w:rPr>
          <w:rFonts w:hint="eastAsia" w:ascii="宋体" w:hAnsi="宋体" w:eastAsia="宋体" w:cs="宋体"/>
          <w:color w:val="auto"/>
          <w:sz w:val="21"/>
          <w:highlight w:val="none"/>
        </w:rPr>
        <w:t>（3）乙方分立、合并或者变更住所的，应当及时以书面形式告知甲方。乙方没有及时告知甲方，致使合同履行发生困难的，甲方可以中止合同履行并要求乙方承担由此给甲方造成的损失。</w:t>
      </w:r>
    </w:p>
    <w:p w14:paraId="578880DD">
      <w:pPr>
        <w:snapToGrid w:val="0"/>
        <w:spacing w:line="400" w:lineRule="exact"/>
        <w:ind w:firstLine="420" w:firstLineChars="200"/>
        <w:jc w:val="left"/>
        <w:rPr>
          <w:color w:val="auto"/>
          <w:highlight w:val="none"/>
        </w:rPr>
      </w:pPr>
      <w:r>
        <w:rPr>
          <w:rFonts w:hint="eastAsia" w:ascii="宋体" w:hAnsi="宋体"/>
          <w:color w:val="auto"/>
          <w:szCs w:val="21"/>
          <w:highlight w:val="none"/>
        </w:rPr>
        <w:t>（4）甲方不得以行政区划调整、政府换届、机构或者职能调整以及相关责任人更替为由中止合同。</w:t>
      </w:r>
    </w:p>
    <w:p w14:paraId="129968A0">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16.3合同的终止</w:t>
      </w:r>
    </w:p>
    <w:p w14:paraId="1177B802">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7F65805D">
      <w:pPr>
        <w:snapToGrid w:val="0"/>
        <w:spacing w:line="400" w:lineRule="exact"/>
        <w:ind w:firstLine="420" w:firstLineChars="200"/>
        <w:rPr>
          <w:rFonts w:ascii="宋体" w:hAnsi="宋体" w:cs="宋体"/>
          <w:color w:val="auto"/>
          <w:szCs w:val="21"/>
          <w:highlight w:val="none"/>
        </w:rPr>
      </w:pPr>
      <w:r>
        <w:rPr>
          <w:rFonts w:hint="eastAsia" w:ascii="宋体" w:hAnsi="宋体"/>
          <w:color w:val="auto"/>
          <w:szCs w:val="21"/>
          <w:highlight w:val="none"/>
        </w:rPr>
        <w:t>（2）乙方未按合同约定履行，构成根本性违约的，甲方有权终止合同，</w:t>
      </w:r>
      <w:r>
        <w:rPr>
          <w:rFonts w:hint="eastAsia" w:ascii="宋体" w:hAnsi="宋体" w:cs="宋体"/>
          <w:color w:val="auto"/>
          <w:szCs w:val="21"/>
          <w:highlight w:val="none"/>
        </w:rPr>
        <w:t>并追究乙方的违约责任</w:t>
      </w:r>
      <w:r>
        <w:rPr>
          <w:rFonts w:hint="eastAsia" w:ascii="宋体" w:hAnsi="宋体"/>
          <w:color w:val="auto"/>
          <w:szCs w:val="21"/>
          <w:highlight w:val="none"/>
        </w:rPr>
        <w:t>。</w:t>
      </w:r>
    </w:p>
    <w:p w14:paraId="460C09A7">
      <w:pPr>
        <w:pStyle w:val="77"/>
        <w:rPr>
          <w:rFonts w:ascii="宋体" w:hAnsi="宋体"/>
          <w:color w:val="auto"/>
          <w:highlight w:val="none"/>
        </w:rPr>
      </w:pPr>
      <w:r>
        <w:rPr>
          <w:rFonts w:hint="eastAsia" w:ascii="宋体" w:hAnsi="宋体"/>
          <w:color w:val="auto"/>
          <w:highlight w:val="none"/>
        </w:rPr>
        <w:t xml:space="preserve">16.4 </w:t>
      </w:r>
      <w:r>
        <w:rPr>
          <w:rFonts w:hint="eastAsia" w:ascii="宋体" w:hAnsi="宋体" w:eastAsia="宋体" w:cs="Times New Roman"/>
          <w:color w:val="auto"/>
          <w:kern w:val="2"/>
          <w:sz w:val="21"/>
          <w:highlight w:val="none"/>
        </w:rPr>
        <w:t>涉及国家利益、社会公共利益的情形</w:t>
      </w:r>
    </w:p>
    <w:p w14:paraId="2D24C68B">
      <w:pPr>
        <w:pStyle w:val="77"/>
        <w:ind w:firstLine="420"/>
        <w:jc w:val="both"/>
        <w:rPr>
          <w:color w:val="auto"/>
          <w:sz w:val="21"/>
          <w:highlight w:val="none"/>
        </w:rPr>
      </w:pPr>
      <w:r>
        <w:rPr>
          <w:rFonts w:hint="eastAsia" w:ascii="宋体" w:hAnsi="宋体" w:eastAsia="宋体" w:cs="宋体"/>
          <w:color w:val="auto"/>
          <w:sz w:val="21"/>
          <w:highlight w:val="none"/>
        </w:rPr>
        <w:t>政府采购合同继续履行将损害国家利益和社会公共利益的，双方当事人应当变更、中止或者终止合同。有过错的一方应当承担赔偿责任，双方都有过错的，各自承担相应的责任。</w:t>
      </w:r>
    </w:p>
    <w:p w14:paraId="73190A4B">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17. 合同分包</w:t>
      </w:r>
    </w:p>
    <w:p w14:paraId="285A70CB">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17.1 乙方不得将合同转包给其他供应商。涉及合同分包的，乙方应根据采购文件和投标（响应）文件规定进行合同分包。</w:t>
      </w:r>
    </w:p>
    <w:p w14:paraId="33E71B95">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17.2 乙方执行政府采购政策向中小企业依法分包的，乙方应当按采购文件和投标（响应）文件签订分包意向协议，分包意向协议属于本合同组成部分。</w:t>
      </w:r>
    </w:p>
    <w:p w14:paraId="1F4C4DB6">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18. 不可抗力</w:t>
      </w:r>
    </w:p>
    <w:p w14:paraId="7E23B4C6">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18.1 不可抗力是指合同双方不能预见、不能避免且不能克服的客观情况。</w:t>
      </w:r>
    </w:p>
    <w:p w14:paraId="68DE8489">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18.2 任何一方对由于不可抗力造成的部分或全部不能履行合同不承担违约责任。但迟延履行后发生不可抗力的，不能免除责任。</w:t>
      </w:r>
    </w:p>
    <w:p w14:paraId="1715C4F9">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662D63BD">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19. 解决争议的方法</w:t>
      </w:r>
    </w:p>
    <w:p w14:paraId="555F3239">
      <w:pPr>
        <w:pStyle w:val="77"/>
        <w:ind w:firstLine="420"/>
        <w:jc w:val="both"/>
        <w:rPr>
          <w:rFonts w:ascii="宋体" w:hAnsi="宋体" w:eastAsia="宋体" w:cs="宋体"/>
          <w:color w:val="auto"/>
          <w:sz w:val="21"/>
          <w:highlight w:val="none"/>
        </w:rPr>
      </w:pPr>
      <w:r>
        <w:rPr>
          <w:rFonts w:hint="eastAsia" w:ascii="宋体" w:hAnsi="宋体" w:eastAsia="宋体" w:cs="宋体"/>
          <w:color w:val="auto"/>
          <w:sz w:val="21"/>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2B7C6B50">
      <w:pPr>
        <w:pStyle w:val="77"/>
        <w:ind w:firstLine="420"/>
        <w:jc w:val="both"/>
        <w:rPr>
          <w:rFonts w:ascii="宋体" w:hAnsi="宋体" w:eastAsia="宋体" w:cs="宋体"/>
          <w:color w:val="auto"/>
          <w:sz w:val="21"/>
          <w:highlight w:val="none"/>
        </w:rPr>
      </w:pPr>
      <w:r>
        <w:rPr>
          <w:rFonts w:hint="eastAsia" w:ascii="宋体" w:hAnsi="宋体" w:eastAsia="宋体" w:cs="宋体"/>
          <w:color w:val="auto"/>
          <w:sz w:val="21"/>
          <w:highlight w:val="none"/>
        </w:rPr>
        <w:t>19.2 选择仲裁的，应在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中明确仲裁机构及仲裁地；通过诉讼方式解决的，可以在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中进一步约定选择与争议有实际联系的地点的人民法院管辖，但管辖法院的约定不得违反级别管辖和专属管辖的规定。</w:t>
      </w:r>
    </w:p>
    <w:p w14:paraId="50BE369B">
      <w:pPr>
        <w:pStyle w:val="77"/>
        <w:ind w:firstLine="420"/>
        <w:jc w:val="both"/>
        <w:rPr>
          <w:rFonts w:ascii="宋体" w:hAnsi="宋体" w:eastAsia="宋体" w:cs="宋体"/>
          <w:color w:val="auto"/>
          <w:sz w:val="21"/>
          <w:highlight w:val="none"/>
        </w:rPr>
      </w:pPr>
      <w:r>
        <w:rPr>
          <w:rFonts w:hint="eastAsia" w:ascii="宋体" w:hAnsi="宋体" w:eastAsia="宋体" w:cs="宋体"/>
          <w:color w:val="auto"/>
          <w:sz w:val="21"/>
          <w:highlight w:val="none"/>
        </w:rPr>
        <w:t>19.3 如甲乙双方有争议的事项不影响合同其他部分的履行，在争议解决期间，合同其他部分应当继续履行。</w:t>
      </w:r>
    </w:p>
    <w:p w14:paraId="26F54E72">
      <w:pPr>
        <w:autoSpaceDE w:val="0"/>
        <w:autoSpaceDN w:val="0"/>
        <w:adjustRightInd w:val="0"/>
        <w:snapToGrid w:val="0"/>
        <w:spacing w:line="400" w:lineRule="exact"/>
        <w:jc w:val="left"/>
        <w:rPr>
          <w:rFonts w:ascii="宋体" w:hAnsi="宋体"/>
          <w:color w:val="auto"/>
          <w:sz w:val="24"/>
          <w:highlight w:val="none"/>
        </w:rPr>
      </w:pPr>
      <w:r>
        <w:rPr>
          <w:rFonts w:hint="eastAsia" w:ascii="宋体" w:hAnsi="宋体"/>
          <w:b/>
          <w:color w:val="auto"/>
          <w:sz w:val="24"/>
          <w:highlight w:val="none"/>
        </w:rPr>
        <w:t>20. 政府采购政策</w:t>
      </w:r>
    </w:p>
    <w:p w14:paraId="22B4CCCF">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20.1 </w:t>
      </w:r>
      <w:r>
        <w:rPr>
          <w:rFonts w:hint="eastAsia" w:ascii="宋体" w:hAnsi="宋体" w:cs="宋体"/>
          <w:color w:val="auto"/>
          <w:highlight w:val="none"/>
          <w:lang w:val="en-GB"/>
        </w:rPr>
        <w:t>本合同应当按照规定执行政府采购政策。</w:t>
      </w:r>
    </w:p>
    <w:p w14:paraId="1E606EA5">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0.2 本合同依法执行政府采购政策的方式和内容，属于合同履约验收的范围。</w:t>
      </w:r>
      <w:r>
        <w:rPr>
          <w:rFonts w:hint="eastAsia" w:ascii="宋体" w:hAnsi="宋体" w:cs="宋体"/>
          <w:color w:val="auto"/>
          <w:highlight w:val="none"/>
        </w:rPr>
        <w:t>甲乙双方</w:t>
      </w:r>
      <w:r>
        <w:rPr>
          <w:rFonts w:hint="eastAsia" w:ascii="宋体" w:hAnsi="宋体" w:cs="宋体"/>
          <w:color w:val="auto"/>
          <w:highlight w:val="none"/>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47C8AB25">
      <w:pPr>
        <w:pStyle w:val="6"/>
        <w:spacing w:after="0" w:line="400" w:lineRule="exact"/>
        <w:ind w:firstLine="420" w:firstLineChars="200"/>
        <w:rPr>
          <w:color w:val="auto"/>
          <w:highlight w:val="none"/>
        </w:rPr>
      </w:pPr>
      <w:r>
        <w:rPr>
          <w:rFonts w:ascii="宋体" w:hAnsi="宋体"/>
          <w:color w:val="auto"/>
          <w:szCs w:val="21"/>
          <w:highlight w:val="none"/>
        </w:rPr>
        <w:t>2</w:t>
      </w:r>
      <w:r>
        <w:rPr>
          <w:rFonts w:hint="eastAsia" w:ascii="宋体" w:hAnsi="宋体"/>
          <w:color w:val="auto"/>
          <w:szCs w:val="21"/>
          <w:highlight w:val="none"/>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056C670">
      <w:p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21. 法律适用</w:t>
      </w:r>
    </w:p>
    <w:p w14:paraId="6AA987EB">
      <w:pPr>
        <w:pStyle w:val="77"/>
        <w:ind w:firstLine="420"/>
        <w:jc w:val="both"/>
        <w:rPr>
          <w:rFonts w:ascii="宋体" w:hAnsi="宋体" w:eastAsia="宋体" w:cs="宋体"/>
          <w:color w:val="auto"/>
          <w:sz w:val="21"/>
          <w:highlight w:val="none"/>
        </w:rPr>
      </w:pPr>
      <w:r>
        <w:rPr>
          <w:rFonts w:hint="eastAsia" w:ascii="宋体" w:hAnsi="宋体" w:eastAsia="宋体" w:cs="宋体"/>
          <w:color w:val="auto"/>
          <w:sz w:val="21"/>
          <w:highlight w:val="none"/>
        </w:rPr>
        <w:t>21.1 本合同的订立、生效、解释、履行及与本合同有关的争议解决，均适用法律、行政法规。</w:t>
      </w:r>
    </w:p>
    <w:p w14:paraId="2485A03F">
      <w:pPr>
        <w:pStyle w:val="77"/>
        <w:ind w:firstLine="420"/>
        <w:jc w:val="both"/>
        <w:rPr>
          <w:rFonts w:ascii="宋体" w:hAnsi="宋体" w:eastAsia="宋体" w:cs="宋体"/>
          <w:color w:val="auto"/>
          <w:sz w:val="21"/>
          <w:highlight w:val="none"/>
        </w:rPr>
      </w:pPr>
      <w:r>
        <w:rPr>
          <w:rFonts w:hint="eastAsia" w:ascii="宋体" w:hAnsi="宋体" w:eastAsia="宋体" w:cs="宋体"/>
          <w:color w:val="auto"/>
          <w:sz w:val="21"/>
          <w:highlight w:val="none"/>
        </w:rPr>
        <w:t>21.2 本合同条款与法律、行政法规的强制性规定不一致的，双方当事人应按照法律、行政法规的强制性规定修改本合同的相关条款。</w:t>
      </w:r>
    </w:p>
    <w:p w14:paraId="19D7F073">
      <w:pPr>
        <w:numPr>
          <w:ilvl w:val="255"/>
          <w:numId w:val="0"/>
        </w:num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22. 通知</w:t>
      </w:r>
    </w:p>
    <w:p w14:paraId="441AD5DF">
      <w:pPr>
        <w:pStyle w:val="77"/>
        <w:ind w:firstLine="420"/>
        <w:jc w:val="both"/>
        <w:rPr>
          <w:rFonts w:ascii="宋体" w:hAnsi="宋体" w:eastAsia="宋体" w:cs="宋体"/>
          <w:color w:val="auto"/>
          <w:sz w:val="21"/>
          <w:highlight w:val="none"/>
        </w:rPr>
      </w:pPr>
      <w:r>
        <w:rPr>
          <w:rFonts w:hint="eastAsia" w:ascii="宋体" w:hAnsi="宋体" w:eastAsia="宋体" w:cs="宋体"/>
          <w:color w:val="auto"/>
          <w:sz w:val="21"/>
          <w:highlight w:val="none"/>
        </w:rPr>
        <w:t>22.1 本合同任何一方向对方发出的通知、信件、数据电文等，应当发送至本合同第一部分《政府采购合同协议书》所约定的通讯地址、联系人、联系电话或电子邮箱。</w:t>
      </w:r>
    </w:p>
    <w:p w14:paraId="68EA1EE1">
      <w:pPr>
        <w:pStyle w:val="77"/>
        <w:ind w:firstLine="0" w:firstLineChars="0"/>
        <w:jc w:val="both"/>
        <w:rPr>
          <w:color w:val="auto"/>
          <w:sz w:val="21"/>
          <w:highlight w:val="none"/>
        </w:rPr>
      </w:pPr>
      <w:r>
        <w:rPr>
          <w:rFonts w:hint="eastAsia" w:ascii="宋体" w:hAnsi="宋体" w:eastAsia="宋体" w:cs="宋体"/>
          <w:color w:val="auto"/>
          <w:sz w:val="21"/>
          <w:highlight w:val="none"/>
        </w:rPr>
        <w:t xml:space="preserve">    22.2 一方当事人变更名称、住所、联系人、联系电话或电子邮箱等信息的，应当在变更后3日内及时书面通知对方，对方实际收到变更通知前的送达仍为有效送达。</w:t>
      </w:r>
    </w:p>
    <w:p w14:paraId="2F6B785F">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22.3本合同一方给另一方的通知均应采用书面形式，传真或快递送到本合同中规定的对方的地址和办理签收手续。</w:t>
      </w:r>
    </w:p>
    <w:p w14:paraId="12CCEA5C">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22.4通知以送达之日或通知书中规定的生效之日起生效，两者中以较迟之日为准。</w:t>
      </w:r>
    </w:p>
    <w:p w14:paraId="3C20D20F">
      <w:pPr>
        <w:widowControl w:val="0"/>
        <w:numPr>
          <w:ilvl w:val="0"/>
          <w:numId w:val="7"/>
        </w:numPr>
        <w:adjustRightInd w:val="0"/>
        <w:snapToGrid w:val="0"/>
        <w:spacing w:line="400" w:lineRule="exact"/>
        <w:jc w:val="left"/>
        <w:textAlignment w:val="auto"/>
        <w:rPr>
          <w:rFonts w:ascii="宋体" w:hAnsi="宋体"/>
          <w:b/>
          <w:bCs/>
          <w:color w:val="auto"/>
          <w:sz w:val="24"/>
          <w:highlight w:val="none"/>
        </w:rPr>
      </w:pPr>
      <w:r>
        <w:rPr>
          <w:rFonts w:hint="eastAsia" w:ascii="宋体" w:hAnsi="宋体"/>
          <w:b/>
          <w:bCs/>
          <w:color w:val="auto"/>
          <w:sz w:val="24"/>
          <w:highlight w:val="none"/>
        </w:rPr>
        <w:t>合同未尽事项</w:t>
      </w:r>
    </w:p>
    <w:p w14:paraId="7FE6777C">
      <w:pPr>
        <w:adjustRightInd w:val="0"/>
        <w:snapToGrid w:val="0"/>
        <w:spacing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23.1合同未尽事项见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544E98B2">
      <w:pPr>
        <w:adjustRightInd w:val="0"/>
        <w:snapToGrid w:val="0"/>
        <w:spacing w:line="400" w:lineRule="exact"/>
        <w:jc w:val="left"/>
        <w:rPr>
          <w:rFonts w:ascii="黑体" w:hAnsi="华文中宋" w:eastAsia="黑体"/>
          <w:color w:val="auto"/>
          <w:sz w:val="28"/>
          <w:szCs w:val="28"/>
          <w:highlight w:val="none"/>
        </w:rPr>
      </w:pPr>
      <w:r>
        <w:rPr>
          <w:rFonts w:hint="eastAsia" w:ascii="宋体" w:hAnsi="宋体"/>
          <w:bCs/>
          <w:color w:val="auto"/>
          <w:szCs w:val="21"/>
          <w:highlight w:val="none"/>
        </w:rPr>
        <w:t xml:space="preserve">    23.2 合同附件与合同正文具有同等的法律效力。</w:t>
      </w:r>
      <w:bookmarkStart w:id="66" w:name="_Toc20313"/>
    </w:p>
    <w:p w14:paraId="6D025DD0">
      <w:pPr>
        <w:adjustRightInd w:val="0"/>
        <w:snapToGrid w:val="0"/>
        <w:jc w:val="center"/>
        <w:rPr>
          <w:rFonts w:ascii="黑体" w:hAnsi="华文中宋" w:eastAsia="黑体"/>
          <w:color w:val="auto"/>
          <w:sz w:val="28"/>
          <w:szCs w:val="28"/>
          <w:highlight w:val="none"/>
        </w:rPr>
      </w:pPr>
      <w:r>
        <w:rPr>
          <w:rFonts w:hint="eastAsia" w:ascii="黑体" w:hAnsi="华文中宋" w:eastAsia="黑体"/>
          <w:color w:val="auto"/>
          <w:sz w:val="28"/>
          <w:szCs w:val="28"/>
          <w:highlight w:val="none"/>
        </w:rPr>
        <w:br w:type="page"/>
      </w:r>
    </w:p>
    <w:p w14:paraId="03FBE3AC">
      <w:pPr>
        <w:pStyle w:val="3"/>
        <w:adjustRightInd w:val="0"/>
        <w:snapToGrid w:val="0"/>
        <w:jc w:val="center"/>
        <w:rPr>
          <w:rFonts w:ascii="黑体" w:hAnsi="华文中宋" w:eastAsia="黑体"/>
          <w:b w:val="0"/>
          <w:bCs w:val="0"/>
          <w:color w:val="auto"/>
          <w:sz w:val="28"/>
          <w:szCs w:val="28"/>
          <w:highlight w:val="none"/>
        </w:rPr>
      </w:pPr>
      <w:bookmarkStart w:id="67" w:name="_Toc31982"/>
      <w:r>
        <w:rPr>
          <w:rFonts w:hint="eastAsia" w:ascii="黑体" w:hAnsi="华文中宋" w:eastAsia="黑体"/>
          <w:b w:val="0"/>
          <w:bCs w:val="0"/>
          <w:color w:val="auto"/>
          <w:sz w:val="28"/>
          <w:szCs w:val="28"/>
          <w:highlight w:val="none"/>
        </w:rPr>
        <w:t>第三节 政府采购合同专用条款</w:t>
      </w:r>
      <w:bookmarkEnd w:id="66"/>
      <w:bookmarkEnd w:id="67"/>
    </w:p>
    <w:tbl>
      <w:tblPr>
        <w:tblStyle w:val="20"/>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6DD69B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917E38F">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43ED2E4">
            <w:pPr>
              <w:adjustRightInd w:val="0"/>
              <w:snapToGrid w:val="0"/>
              <w:jc w:val="center"/>
              <w:rPr>
                <w:rFonts w:ascii="宋体" w:hAnsi="宋体"/>
                <w:color w:val="auto"/>
                <w:szCs w:val="21"/>
                <w:highlight w:val="none"/>
              </w:rPr>
            </w:pPr>
            <w:r>
              <w:rPr>
                <w:rFonts w:hint="eastAsia" w:ascii="宋体" w:hAnsi="宋体"/>
                <w:color w:val="auto"/>
                <w:szCs w:val="21"/>
                <w:highlight w:val="none"/>
              </w:rPr>
              <w:t>第1.2（6）项</w:t>
            </w:r>
          </w:p>
        </w:tc>
        <w:tc>
          <w:tcPr>
            <w:tcW w:w="1742" w:type="dxa"/>
            <w:vAlign w:val="center"/>
          </w:tcPr>
          <w:p w14:paraId="16420686">
            <w:pPr>
              <w:adjustRightInd w:val="0"/>
              <w:snapToGrid w:val="0"/>
              <w:jc w:val="left"/>
              <w:rPr>
                <w:rFonts w:ascii="宋体" w:hAnsi="宋体"/>
                <w:color w:val="auto"/>
                <w:szCs w:val="21"/>
                <w:highlight w:val="none"/>
              </w:rPr>
            </w:pPr>
            <w:r>
              <w:rPr>
                <w:rFonts w:hint="eastAsia" w:ascii="宋体" w:hAnsi="宋体"/>
                <w:color w:val="auto"/>
                <w:szCs w:val="21"/>
                <w:highlight w:val="none"/>
              </w:rPr>
              <w:t>联合体具体要求</w:t>
            </w:r>
          </w:p>
        </w:tc>
        <w:tc>
          <w:tcPr>
            <w:tcW w:w="5170" w:type="dxa"/>
            <w:vAlign w:val="center"/>
          </w:tcPr>
          <w:p w14:paraId="4B93C4D1">
            <w:pPr>
              <w:adjustRightInd w:val="0"/>
              <w:snapToGrid w:val="0"/>
              <w:jc w:val="left"/>
              <w:rPr>
                <w:rFonts w:ascii="宋体" w:hAnsi="宋体"/>
                <w:color w:val="auto"/>
                <w:szCs w:val="21"/>
                <w:highlight w:val="none"/>
              </w:rPr>
            </w:pPr>
          </w:p>
        </w:tc>
      </w:tr>
      <w:tr w14:paraId="637865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631D9CC8">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08F1907">
            <w:pPr>
              <w:adjustRightInd w:val="0"/>
              <w:snapToGrid w:val="0"/>
              <w:jc w:val="center"/>
              <w:rPr>
                <w:rFonts w:ascii="宋体" w:hAnsi="宋体"/>
                <w:color w:val="auto"/>
                <w:szCs w:val="21"/>
                <w:highlight w:val="none"/>
              </w:rPr>
            </w:pPr>
            <w:r>
              <w:rPr>
                <w:rFonts w:hint="eastAsia" w:ascii="宋体" w:hAnsi="宋体"/>
                <w:color w:val="auto"/>
                <w:szCs w:val="21"/>
                <w:highlight w:val="none"/>
              </w:rPr>
              <w:t>第1.2（7）项</w:t>
            </w:r>
          </w:p>
        </w:tc>
        <w:tc>
          <w:tcPr>
            <w:tcW w:w="1742" w:type="dxa"/>
            <w:vAlign w:val="center"/>
          </w:tcPr>
          <w:p w14:paraId="4B59A0EA">
            <w:pPr>
              <w:adjustRightInd w:val="0"/>
              <w:snapToGrid w:val="0"/>
              <w:jc w:val="left"/>
              <w:rPr>
                <w:rFonts w:ascii="宋体" w:hAnsi="宋体"/>
                <w:color w:val="auto"/>
                <w:szCs w:val="21"/>
                <w:highlight w:val="none"/>
              </w:rPr>
            </w:pPr>
            <w:r>
              <w:rPr>
                <w:rFonts w:hint="eastAsia" w:ascii="宋体" w:hAnsi="宋体"/>
                <w:color w:val="auto"/>
                <w:szCs w:val="21"/>
                <w:highlight w:val="none"/>
              </w:rPr>
              <w:t>其他术语解释</w:t>
            </w:r>
          </w:p>
        </w:tc>
        <w:tc>
          <w:tcPr>
            <w:tcW w:w="5170" w:type="dxa"/>
            <w:vAlign w:val="center"/>
          </w:tcPr>
          <w:p w14:paraId="1A56D3DE">
            <w:pPr>
              <w:adjustRightInd w:val="0"/>
              <w:snapToGrid w:val="0"/>
              <w:jc w:val="left"/>
              <w:rPr>
                <w:rFonts w:ascii="宋体" w:hAnsi="宋体"/>
                <w:color w:val="auto"/>
                <w:szCs w:val="21"/>
                <w:highlight w:val="none"/>
              </w:rPr>
            </w:pPr>
          </w:p>
        </w:tc>
      </w:tr>
      <w:tr w14:paraId="0BC42F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A2A9852">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1C75557">
            <w:pPr>
              <w:adjustRightInd w:val="0"/>
              <w:snapToGrid w:val="0"/>
              <w:jc w:val="center"/>
              <w:rPr>
                <w:rFonts w:ascii="宋体" w:hAnsi="宋体"/>
                <w:color w:val="auto"/>
                <w:szCs w:val="21"/>
                <w:highlight w:val="none"/>
              </w:rPr>
            </w:pPr>
            <w:r>
              <w:rPr>
                <w:rFonts w:hint="eastAsia" w:ascii="宋体" w:hAnsi="宋体"/>
                <w:color w:val="auto"/>
                <w:szCs w:val="21"/>
                <w:highlight w:val="none"/>
              </w:rPr>
              <w:t>第4.4款</w:t>
            </w:r>
          </w:p>
        </w:tc>
        <w:tc>
          <w:tcPr>
            <w:tcW w:w="1742" w:type="dxa"/>
            <w:vAlign w:val="center"/>
          </w:tcPr>
          <w:p w14:paraId="23C85812">
            <w:pPr>
              <w:adjustRightInd w:val="0"/>
              <w:snapToGrid w:val="0"/>
              <w:jc w:val="left"/>
              <w:rPr>
                <w:rFonts w:ascii="宋体" w:hAnsi="宋体"/>
                <w:color w:val="auto"/>
                <w:szCs w:val="21"/>
                <w:highlight w:val="none"/>
              </w:rPr>
            </w:pPr>
            <w:r>
              <w:rPr>
                <w:rFonts w:hint="eastAsia" w:ascii="宋体" w:hAnsi="宋体"/>
                <w:color w:val="auto"/>
                <w:szCs w:val="21"/>
                <w:highlight w:val="none"/>
              </w:rPr>
              <w:t>履约验收中甲方提出异议或作出说明的期限</w:t>
            </w:r>
          </w:p>
        </w:tc>
        <w:tc>
          <w:tcPr>
            <w:tcW w:w="5170" w:type="dxa"/>
            <w:vAlign w:val="center"/>
          </w:tcPr>
          <w:p w14:paraId="4B7572B6">
            <w:pPr>
              <w:adjustRightInd w:val="0"/>
              <w:snapToGrid w:val="0"/>
              <w:jc w:val="left"/>
              <w:rPr>
                <w:rFonts w:ascii="宋体" w:hAnsi="宋体"/>
                <w:color w:val="auto"/>
                <w:szCs w:val="21"/>
                <w:highlight w:val="none"/>
              </w:rPr>
            </w:pPr>
          </w:p>
        </w:tc>
      </w:tr>
      <w:tr w14:paraId="6ECA5D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77A1BEB">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C10BEDB">
            <w:pPr>
              <w:adjustRightInd w:val="0"/>
              <w:snapToGrid w:val="0"/>
              <w:jc w:val="center"/>
              <w:rPr>
                <w:rFonts w:ascii="宋体" w:hAnsi="宋体"/>
                <w:color w:val="auto"/>
                <w:szCs w:val="21"/>
                <w:highlight w:val="none"/>
              </w:rPr>
            </w:pPr>
            <w:r>
              <w:rPr>
                <w:rFonts w:hint="eastAsia" w:ascii="宋体" w:hAnsi="宋体"/>
                <w:color w:val="auto"/>
                <w:szCs w:val="21"/>
                <w:highlight w:val="none"/>
              </w:rPr>
              <w:t>第4.6款</w:t>
            </w:r>
          </w:p>
        </w:tc>
        <w:tc>
          <w:tcPr>
            <w:tcW w:w="1742" w:type="dxa"/>
            <w:vAlign w:val="center"/>
          </w:tcPr>
          <w:p w14:paraId="7FE1BC95">
            <w:pPr>
              <w:adjustRightInd w:val="0"/>
              <w:snapToGrid w:val="0"/>
              <w:jc w:val="left"/>
              <w:rPr>
                <w:rFonts w:ascii="宋体" w:hAnsi="宋体"/>
                <w:color w:val="auto"/>
                <w:szCs w:val="21"/>
                <w:highlight w:val="none"/>
              </w:rPr>
            </w:pPr>
            <w:r>
              <w:rPr>
                <w:rFonts w:hint="eastAsia" w:ascii="宋体" w:hAnsi="宋体"/>
                <w:color w:val="auto"/>
                <w:szCs w:val="21"/>
                <w:highlight w:val="none"/>
              </w:rPr>
              <w:t>约定甲方承担的其他义务和责任</w:t>
            </w:r>
          </w:p>
        </w:tc>
        <w:tc>
          <w:tcPr>
            <w:tcW w:w="5170" w:type="dxa"/>
            <w:vAlign w:val="center"/>
          </w:tcPr>
          <w:p w14:paraId="51F82C70">
            <w:pPr>
              <w:adjustRightInd w:val="0"/>
              <w:snapToGrid w:val="0"/>
              <w:jc w:val="left"/>
              <w:rPr>
                <w:rFonts w:ascii="宋体" w:hAnsi="宋体"/>
                <w:color w:val="auto"/>
                <w:szCs w:val="21"/>
                <w:highlight w:val="none"/>
              </w:rPr>
            </w:pPr>
          </w:p>
        </w:tc>
      </w:tr>
      <w:tr w14:paraId="00E0EF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1BC43C6">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625E212">
            <w:pPr>
              <w:snapToGrid w:val="0"/>
              <w:jc w:val="center"/>
              <w:rPr>
                <w:color w:val="auto"/>
                <w:highlight w:val="none"/>
              </w:rPr>
            </w:pPr>
            <w:r>
              <w:rPr>
                <w:rFonts w:hint="eastAsia" w:ascii="宋体" w:hAnsi="宋体"/>
                <w:color w:val="auto"/>
                <w:szCs w:val="21"/>
                <w:highlight w:val="none"/>
              </w:rPr>
              <w:t>第5.4款</w:t>
            </w:r>
          </w:p>
        </w:tc>
        <w:tc>
          <w:tcPr>
            <w:tcW w:w="1742" w:type="dxa"/>
            <w:vAlign w:val="center"/>
          </w:tcPr>
          <w:p w14:paraId="30D7F76D">
            <w:pPr>
              <w:adjustRightInd w:val="0"/>
              <w:snapToGrid w:val="0"/>
              <w:jc w:val="left"/>
              <w:rPr>
                <w:rFonts w:ascii="宋体" w:hAnsi="宋体"/>
                <w:color w:val="auto"/>
                <w:szCs w:val="21"/>
                <w:highlight w:val="none"/>
              </w:rPr>
            </w:pPr>
            <w:r>
              <w:rPr>
                <w:rFonts w:hint="eastAsia" w:ascii="宋体" w:hAnsi="宋体"/>
                <w:color w:val="auto"/>
                <w:szCs w:val="21"/>
                <w:highlight w:val="none"/>
              </w:rPr>
              <w:t>约定乙方承担的其他义务和责任</w:t>
            </w:r>
          </w:p>
        </w:tc>
        <w:tc>
          <w:tcPr>
            <w:tcW w:w="5170" w:type="dxa"/>
            <w:vAlign w:val="center"/>
          </w:tcPr>
          <w:p w14:paraId="4B26F389">
            <w:pPr>
              <w:adjustRightInd w:val="0"/>
              <w:snapToGrid w:val="0"/>
              <w:jc w:val="left"/>
              <w:rPr>
                <w:rFonts w:ascii="宋体" w:hAnsi="宋体"/>
                <w:color w:val="auto"/>
                <w:szCs w:val="21"/>
                <w:highlight w:val="none"/>
              </w:rPr>
            </w:pPr>
          </w:p>
        </w:tc>
      </w:tr>
      <w:tr w14:paraId="2BBA8D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1D64FA5">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7B5D031">
            <w:pPr>
              <w:snapToGrid w:val="0"/>
              <w:jc w:val="center"/>
              <w:rPr>
                <w:rFonts w:ascii="宋体" w:hAnsi="宋体"/>
                <w:color w:val="auto"/>
                <w:szCs w:val="21"/>
                <w:highlight w:val="none"/>
              </w:rPr>
            </w:pPr>
            <w:r>
              <w:rPr>
                <w:rFonts w:hint="eastAsia" w:ascii="宋体" w:hAnsi="宋体"/>
                <w:color w:val="auto"/>
                <w:szCs w:val="21"/>
                <w:highlight w:val="none"/>
              </w:rPr>
              <w:t>第6.1款</w:t>
            </w:r>
          </w:p>
        </w:tc>
        <w:tc>
          <w:tcPr>
            <w:tcW w:w="1742" w:type="dxa"/>
            <w:vAlign w:val="center"/>
          </w:tcPr>
          <w:p w14:paraId="580236DB">
            <w:pPr>
              <w:adjustRightInd w:val="0"/>
              <w:snapToGrid w:val="0"/>
              <w:jc w:val="left"/>
              <w:rPr>
                <w:rFonts w:ascii="宋体" w:hAnsi="宋体"/>
                <w:color w:val="auto"/>
                <w:szCs w:val="21"/>
                <w:highlight w:val="none"/>
              </w:rPr>
            </w:pPr>
            <w:r>
              <w:rPr>
                <w:rFonts w:hint="eastAsia" w:ascii="宋体" w:hAnsi="宋体"/>
                <w:color w:val="auto"/>
                <w:szCs w:val="21"/>
                <w:highlight w:val="none"/>
              </w:rPr>
              <w:t>履行合同义务的顺序</w:t>
            </w:r>
          </w:p>
        </w:tc>
        <w:tc>
          <w:tcPr>
            <w:tcW w:w="5170" w:type="dxa"/>
            <w:vAlign w:val="center"/>
          </w:tcPr>
          <w:p w14:paraId="3E2EE5D4">
            <w:pPr>
              <w:adjustRightInd w:val="0"/>
              <w:snapToGrid w:val="0"/>
              <w:jc w:val="left"/>
              <w:rPr>
                <w:rFonts w:ascii="宋体" w:hAnsi="宋体"/>
                <w:color w:val="auto"/>
                <w:szCs w:val="21"/>
                <w:highlight w:val="none"/>
              </w:rPr>
            </w:pPr>
          </w:p>
        </w:tc>
      </w:tr>
      <w:tr w14:paraId="754AAB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7817F1B8">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36D04ACE">
            <w:pPr>
              <w:adjustRightInd w:val="0"/>
              <w:snapToGrid w:val="0"/>
              <w:jc w:val="center"/>
              <w:rPr>
                <w:rFonts w:ascii="宋体" w:hAnsi="宋体"/>
                <w:color w:val="auto"/>
                <w:szCs w:val="21"/>
                <w:highlight w:val="none"/>
              </w:rPr>
            </w:pPr>
            <w:r>
              <w:rPr>
                <w:rFonts w:hint="eastAsia" w:ascii="宋体" w:hAnsi="宋体"/>
                <w:color w:val="auto"/>
                <w:szCs w:val="21"/>
                <w:highlight w:val="none"/>
              </w:rPr>
              <w:t>第7.1款</w:t>
            </w:r>
          </w:p>
        </w:tc>
        <w:tc>
          <w:tcPr>
            <w:tcW w:w="1742" w:type="dxa"/>
            <w:vAlign w:val="center"/>
          </w:tcPr>
          <w:p w14:paraId="6270D802">
            <w:pPr>
              <w:adjustRightInd w:val="0"/>
              <w:snapToGrid w:val="0"/>
              <w:jc w:val="left"/>
              <w:rPr>
                <w:rFonts w:ascii="宋体" w:hAnsi="宋体"/>
                <w:color w:val="auto"/>
                <w:szCs w:val="21"/>
                <w:highlight w:val="none"/>
              </w:rPr>
            </w:pPr>
            <w:r>
              <w:rPr>
                <w:rFonts w:hint="eastAsia" w:ascii="宋体" w:hAnsi="宋体"/>
                <w:color w:val="auto"/>
                <w:szCs w:val="21"/>
                <w:highlight w:val="none"/>
              </w:rPr>
              <w:t>包装特殊要求</w:t>
            </w:r>
          </w:p>
        </w:tc>
        <w:tc>
          <w:tcPr>
            <w:tcW w:w="5170" w:type="dxa"/>
            <w:vAlign w:val="center"/>
          </w:tcPr>
          <w:p w14:paraId="12B7A160">
            <w:pPr>
              <w:rPr>
                <w:color w:val="auto"/>
                <w:highlight w:val="none"/>
              </w:rPr>
            </w:pPr>
          </w:p>
        </w:tc>
      </w:tr>
      <w:tr w14:paraId="107684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248B09EB">
            <w:pPr>
              <w:adjustRightInd w:val="0"/>
              <w:snapToGrid w:val="0"/>
              <w:jc w:val="center"/>
              <w:rPr>
                <w:rFonts w:ascii="宋体" w:hAnsi="宋体"/>
                <w:color w:val="auto"/>
                <w:szCs w:val="21"/>
                <w:highlight w:val="none"/>
              </w:rPr>
            </w:pPr>
          </w:p>
        </w:tc>
        <w:tc>
          <w:tcPr>
            <w:tcW w:w="1742" w:type="dxa"/>
            <w:vAlign w:val="center"/>
          </w:tcPr>
          <w:p w14:paraId="59E30555">
            <w:pPr>
              <w:adjustRightInd w:val="0"/>
              <w:snapToGrid w:val="0"/>
              <w:jc w:val="left"/>
              <w:rPr>
                <w:rFonts w:ascii="宋体" w:hAnsi="宋体"/>
                <w:color w:val="auto"/>
                <w:szCs w:val="21"/>
                <w:highlight w:val="none"/>
              </w:rPr>
            </w:pPr>
            <w:r>
              <w:rPr>
                <w:rFonts w:hint="eastAsia" w:ascii="宋体" w:hAnsi="宋体"/>
                <w:color w:val="auto"/>
                <w:szCs w:val="21"/>
                <w:highlight w:val="none"/>
              </w:rPr>
              <w:t>指定现场</w:t>
            </w:r>
          </w:p>
        </w:tc>
        <w:tc>
          <w:tcPr>
            <w:tcW w:w="5170" w:type="dxa"/>
            <w:vAlign w:val="center"/>
          </w:tcPr>
          <w:p w14:paraId="05140DB4">
            <w:pPr>
              <w:rPr>
                <w:color w:val="auto"/>
                <w:highlight w:val="none"/>
              </w:rPr>
            </w:pPr>
          </w:p>
        </w:tc>
      </w:tr>
      <w:tr w14:paraId="134F7A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27410360">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1FCD114">
            <w:pPr>
              <w:adjustRightInd w:val="0"/>
              <w:snapToGrid w:val="0"/>
              <w:jc w:val="center"/>
              <w:rPr>
                <w:rFonts w:ascii="宋体" w:hAnsi="宋体"/>
                <w:color w:val="auto"/>
                <w:szCs w:val="21"/>
                <w:highlight w:val="none"/>
              </w:rPr>
            </w:pPr>
            <w:r>
              <w:rPr>
                <w:rFonts w:hint="eastAsia" w:ascii="宋体" w:hAnsi="宋体"/>
                <w:color w:val="auto"/>
                <w:szCs w:val="21"/>
                <w:highlight w:val="none"/>
              </w:rPr>
              <w:t>第7.2款</w:t>
            </w:r>
          </w:p>
        </w:tc>
        <w:tc>
          <w:tcPr>
            <w:tcW w:w="1742" w:type="dxa"/>
            <w:vAlign w:val="center"/>
          </w:tcPr>
          <w:p w14:paraId="34A0AD7E">
            <w:pPr>
              <w:adjustRightInd w:val="0"/>
              <w:snapToGrid w:val="0"/>
              <w:jc w:val="left"/>
              <w:rPr>
                <w:rFonts w:ascii="宋体" w:hAnsi="宋体"/>
                <w:color w:val="auto"/>
                <w:szCs w:val="21"/>
                <w:highlight w:val="none"/>
              </w:rPr>
            </w:pPr>
            <w:r>
              <w:rPr>
                <w:rFonts w:hint="eastAsia" w:ascii="宋体" w:hAnsi="宋体"/>
                <w:color w:val="auto"/>
                <w:szCs w:val="21"/>
                <w:highlight w:val="none"/>
              </w:rPr>
              <w:t>运输特殊要求</w:t>
            </w:r>
          </w:p>
        </w:tc>
        <w:tc>
          <w:tcPr>
            <w:tcW w:w="5170" w:type="dxa"/>
            <w:vAlign w:val="center"/>
          </w:tcPr>
          <w:p w14:paraId="21FC5827">
            <w:pPr>
              <w:rPr>
                <w:color w:val="auto"/>
                <w:highlight w:val="none"/>
              </w:rPr>
            </w:pPr>
          </w:p>
        </w:tc>
      </w:tr>
      <w:tr w14:paraId="06FA7C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364602C2">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3B2C93E">
            <w:pPr>
              <w:adjustRightInd w:val="0"/>
              <w:snapToGrid w:val="0"/>
              <w:jc w:val="center"/>
              <w:rPr>
                <w:rFonts w:ascii="宋体" w:hAnsi="宋体"/>
                <w:color w:val="auto"/>
                <w:szCs w:val="21"/>
                <w:highlight w:val="none"/>
              </w:rPr>
            </w:pPr>
            <w:r>
              <w:rPr>
                <w:rFonts w:hint="eastAsia" w:ascii="宋体" w:hAnsi="宋体"/>
                <w:color w:val="auto"/>
                <w:szCs w:val="21"/>
                <w:highlight w:val="none"/>
              </w:rPr>
              <w:t>第7.3款</w:t>
            </w:r>
          </w:p>
        </w:tc>
        <w:tc>
          <w:tcPr>
            <w:tcW w:w="1742" w:type="dxa"/>
            <w:vAlign w:val="center"/>
          </w:tcPr>
          <w:p w14:paraId="06D010F7">
            <w:pPr>
              <w:adjustRightInd w:val="0"/>
              <w:snapToGrid w:val="0"/>
              <w:jc w:val="left"/>
              <w:rPr>
                <w:rFonts w:ascii="宋体" w:hAnsi="宋体"/>
                <w:color w:val="auto"/>
                <w:szCs w:val="21"/>
                <w:highlight w:val="none"/>
              </w:rPr>
            </w:pPr>
            <w:r>
              <w:rPr>
                <w:rFonts w:hint="eastAsia" w:ascii="宋体" w:hAnsi="宋体"/>
                <w:color w:val="auto"/>
                <w:szCs w:val="21"/>
                <w:highlight w:val="none"/>
              </w:rPr>
              <w:t>保险要求</w:t>
            </w:r>
          </w:p>
        </w:tc>
        <w:tc>
          <w:tcPr>
            <w:tcW w:w="5170" w:type="dxa"/>
            <w:vAlign w:val="center"/>
          </w:tcPr>
          <w:p w14:paraId="677A9D0A">
            <w:pPr>
              <w:rPr>
                <w:color w:val="auto"/>
                <w:highlight w:val="none"/>
              </w:rPr>
            </w:pPr>
          </w:p>
        </w:tc>
      </w:tr>
      <w:tr w14:paraId="19CA85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8D34D26">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25EAB9C">
            <w:pPr>
              <w:adjustRightInd w:val="0"/>
              <w:snapToGrid w:val="0"/>
              <w:jc w:val="center"/>
              <w:rPr>
                <w:rFonts w:ascii="宋体" w:hAnsi="宋体"/>
                <w:color w:val="auto"/>
                <w:szCs w:val="21"/>
                <w:highlight w:val="none"/>
              </w:rPr>
            </w:pPr>
            <w:r>
              <w:rPr>
                <w:rFonts w:hint="eastAsia" w:ascii="宋体" w:hAnsi="宋体"/>
                <w:color w:val="auto"/>
                <w:szCs w:val="21"/>
                <w:highlight w:val="none"/>
              </w:rPr>
              <w:t>第8.2（1）项</w:t>
            </w:r>
          </w:p>
        </w:tc>
        <w:tc>
          <w:tcPr>
            <w:tcW w:w="1742" w:type="dxa"/>
            <w:vAlign w:val="center"/>
          </w:tcPr>
          <w:p w14:paraId="70F79D03">
            <w:pPr>
              <w:adjustRightInd w:val="0"/>
              <w:snapToGrid w:val="0"/>
              <w:jc w:val="left"/>
              <w:rPr>
                <w:rFonts w:ascii="宋体" w:hAnsi="宋体"/>
                <w:color w:val="auto"/>
                <w:szCs w:val="21"/>
                <w:highlight w:val="none"/>
              </w:rPr>
            </w:pPr>
            <w:r>
              <w:rPr>
                <w:rFonts w:hint="eastAsia" w:ascii="宋体" w:hAnsi="宋体"/>
                <w:color w:val="auto"/>
                <w:szCs w:val="21"/>
                <w:highlight w:val="none"/>
              </w:rPr>
              <w:t>质量保证期</w:t>
            </w:r>
          </w:p>
        </w:tc>
        <w:tc>
          <w:tcPr>
            <w:tcW w:w="5170" w:type="dxa"/>
            <w:vAlign w:val="center"/>
          </w:tcPr>
          <w:p w14:paraId="2410D9F2">
            <w:pPr>
              <w:autoSpaceDE w:val="0"/>
              <w:autoSpaceDN w:val="0"/>
              <w:adjustRightInd w:val="0"/>
              <w:snapToGrid w:val="0"/>
              <w:ind w:firstLine="420" w:firstLineChars="200"/>
              <w:jc w:val="left"/>
              <w:rPr>
                <w:rFonts w:ascii="宋体" w:hAnsi="宋体"/>
                <w:color w:val="auto"/>
                <w:szCs w:val="21"/>
                <w:highlight w:val="none"/>
              </w:rPr>
            </w:pPr>
          </w:p>
        </w:tc>
      </w:tr>
      <w:tr w14:paraId="4A2673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A6FF4EA">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0B7C5F5">
            <w:pPr>
              <w:adjustRightInd w:val="0"/>
              <w:snapToGrid w:val="0"/>
              <w:jc w:val="center"/>
              <w:rPr>
                <w:rFonts w:ascii="宋体" w:hAnsi="宋体"/>
                <w:color w:val="auto"/>
                <w:szCs w:val="21"/>
                <w:highlight w:val="none"/>
              </w:rPr>
            </w:pPr>
            <w:r>
              <w:rPr>
                <w:rFonts w:hint="eastAsia" w:ascii="宋体" w:hAnsi="宋体"/>
                <w:color w:val="auto"/>
                <w:szCs w:val="21"/>
                <w:highlight w:val="none"/>
              </w:rPr>
              <w:t>第8.2（3）项</w:t>
            </w:r>
          </w:p>
        </w:tc>
        <w:tc>
          <w:tcPr>
            <w:tcW w:w="1742" w:type="dxa"/>
            <w:vAlign w:val="center"/>
          </w:tcPr>
          <w:p w14:paraId="0546C8ED">
            <w:pPr>
              <w:adjustRightInd w:val="0"/>
              <w:snapToGrid w:val="0"/>
              <w:jc w:val="left"/>
              <w:rPr>
                <w:rFonts w:ascii="宋体" w:hAnsi="宋体"/>
                <w:color w:val="auto"/>
                <w:szCs w:val="21"/>
                <w:highlight w:val="none"/>
              </w:rPr>
            </w:pPr>
            <w:r>
              <w:rPr>
                <w:rFonts w:hint="eastAsia" w:ascii="宋体" w:hAnsi="宋体"/>
                <w:color w:val="auto"/>
                <w:szCs w:val="21"/>
                <w:highlight w:val="none"/>
              </w:rPr>
              <w:t>货物质量缺陷</w:t>
            </w:r>
          </w:p>
          <w:p w14:paraId="2FD0A9C9">
            <w:pPr>
              <w:adjustRightInd w:val="0"/>
              <w:snapToGrid w:val="0"/>
              <w:jc w:val="left"/>
              <w:rPr>
                <w:rFonts w:ascii="宋体" w:hAnsi="宋体"/>
                <w:color w:val="auto"/>
                <w:szCs w:val="21"/>
                <w:highlight w:val="none"/>
              </w:rPr>
            </w:pPr>
            <w:r>
              <w:rPr>
                <w:rFonts w:hint="eastAsia" w:ascii="宋体" w:hAnsi="宋体"/>
                <w:color w:val="auto"/>
                <w:szCs w:val="21"/>
                <w:highlight w:val="none"/>
              </w:rPr>
              <w:t>响应时间</w:t>
            </w:r>
          </w:p>
        </w:tc>
        <w:tc>
          <w:tcPr>
            <w:tcW w:w="5170" w:type="dxa"/>
            <w:vAlign w:val="center"/>
          </w:tcPr>
          <w:p w14:paraId="32ECDCD2">
            <w:pPr>
              <w:adjustRightInd w:val="0"/>
              <w:snapToGrid w:val="0"/>
              <w:jc w:val="left"/>
              <w:rPr>
                <w:rFonts w:ascii="宋体" w:hAnsi="宋体"/>
                <w:color w:val="auto"/>
                <w:szCs w:val="21"/>
                <w:highlight w:val="none"/>
              </w:rPr>
            </w:pPr>
          </w:p>
        </w:tc>
      </w:tr>
      <w:tr w14:paraId="324493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2E82783">
            <w:pPr>
              <w:snapToGrid w:val="0"/>
              <w:jc w:val="center"/>
              <w:rPr>
                <w:rFonts w:ascii="宋体" w:hAnsi="宋体" w:cs="宋体"/>
                <w:color w:val="auto"/>
                <w:szCs w:val="21"/>
                <w:highlight w:val="none"/>
              </w:rPr>
            </w:pPr>
            <w:r>
              <w:rPr>
                <w:rFonts w:hint="eastAsia" w:ascii="宋体" w:hAnsi="宋体" w:cs="宋体"/>
                <w:color w:val="auto"/>
                <w:szCs w:val="21"/>
                <w:highlight w:val="none"/>
              </w:rPr>
              <w:t>第二节</w:t>
            </w:r>
          </w:p>
          <w:p w14:paraId="0F7B42C3">
            <w:pPr>
              <w:pStyle w:val="77"/>
              <w:ind w:firstLine="0" w:firstLineChars="0"/>
              <w:jc w:val="center"/>
              <w:rPr>
                <w:color w:val="auto"/>
                <w:highlight w:val="none"/>
              </w:rPr>
            </w:pPr>
            <w:r>
              <w:rPr>
                <w:rFonts w:hint="eastAsia" w:ascii="宋体" w:hAnsi="宋体" w:eastAsia="宋体" w:cs="宋体"/>
                <w:color w:val="auto"/>
                <w:highlight w:val="none"/>
              </w:rPr>
              <w:t>第11.1款</w:t>
            </w:r>
          </w:p>
        </w:tc>
        <w:tc>
          <w:tcPr>
            <w:tcW w:w="1742" w:type="dxa"/>
            <w:vAlign w:val="center"/>
          </w:tcPr>
          <w:p w14:paraId="45B8C979">
            <w:pPr>
              <w:adjustRightInd w:val="0"/>
              <w:snapToGrid w:val="0"/>
              <w:rPr>
                <w:rFonts w:ascii="宋体" w:hAnsi="宋体"/>
                <w:color w:val="auto"/>
                <w:szCs w:val="21"/>
                <w:highlight w:val="none"/>
              </w:rPr>
            </w:pPr>
            <w:r>
              <w:rPr>
                <w:rFonts w:hint="eastAsia" w:ascii="宋体" w:hAnsi="宋体"/>
                <w:color w:val="auto"/>
                <w:szCs w:val="21"/>
                <w:highlight w:val="none"/>
              </w:rPr>
              <w:t>其他应当保密的信息</w:t>
            </w:r>
          </w:p>
        </w:tc>
        <w:tc>
          <w:tcPr>
            <w:tcW w:w="5170" w:type="dxa"/>
            <w:vAlign w:val="center"/>
          </w:tcPr>
          <w:p w14:paraId="0398B88C">
            <w:pPr>
              <w:adjustRightInd w:val="0"/>
              <w:snapToGrid w:val="0"/>
              <w:jc w:val="left"/>
              <w:rPr>
                <w:rFonts w:ascii="宋体" w:hAnsi="宋体"/>
                <w:color w:val="auto"/>
                <w:szCs w:val="21"/>
                <w:highlight w:val="none"/>
              </w:rPr>
            </w:pPr>
          </w:p>
        </w:tc>
      </w:tr>
      <w:tr w14:paraId="185FAE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F5A459D">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4D2B3E2">
            <w:pPr>
              <w:adjustRightInd w:val="0"/>
              <w:snapToGrid w:val="0"/>
              <w:jc w:val="center"/>
              <w:rPr>
                <w:rFonts w:ascii="宋体" w:hAnsi="宋体"/>
                <w:color w:val="auto"/>
                <w:szCs w:val="21"/>
                <w:highlight w:val="none"/>
              </w:rPr>
            </w:pPr>
            <w:r>
              <w:rPr>
                <w:rFonts w:hint="eastAsia" w:ascii="宋体" w:hAnsi="宋体"/>
                <w:color w:val="auto"/>
                <w:szCs w:val="21"/>
                <w:highlight w:val="none"/>
              </w:rPr>
              <w:t>第12.2款</w:t>
            </w:r>
          </w:p>
        </w:tc>
        <w:tc>
          <w:tcPr>
            <w:tcW w:w="1742" w:type="dxa"/>
            <w:vAlign w:val="center"/>
          </w:tcPr>
          <w:p w14:paraId="3391D59C">
            <w:pPr>
              <w:adjustRightInd w:val="0"/>
              <w:snapToGrid w:val="0"/>
              <w:jc w:val="left"/>
              <w:rPr>
                <w:rFonts w:ascii="宋体" w:hAnsi="宋体"/>
                <w:color w:val="auto"/>
                <w:szCs w:val="21"/>
                <w:highlight w:val="none"/>
              </w:rPr>
            </w:pPr>
            <w:r>
              <w:rPr>
                <w:rFonts w:hint="eastAsia" w:ascii="宋体" w:hAnsi="宋体"/>
                <w:color w:val="auto"/>
                <w:szCs w:val="21"/>
                <w:highlight w:val="none"/>
              </w:rPr>
              <w:t>合同价款支付时间</w:t>
            </w:r>
          </w:p>
        </w:tc>
        <w:tc>
          <w:tcPr>
            <w:tcW w:w="5170" w:type="dxa"/>
            <w:vAlign w:val="center"/>
          </w:tcPr>
          <w:p w14:paraId="11CA0963">
            <w:pPr>
              <w:adjustRightInd w:val="0"/>
              <w:snapToGrid w:val="0"/>
              <w:jc w:val="left"/>
              <w:rPr>
                <w:rFonts w:ascii="宋体" w:hAnsi="宋体"/>
                <w:color w:val="auto"/>
                <w:szCs w:val="21"/>
                <w:highlight w:val="none"/>
              </w:rPr>
            </w:pPr>
          </w:p>
        </w:tc>
      </w:tr>
      <w:tr w14:paraId="0E8DD7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7C48C04E">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7005869">
            <w:pPr>
              <w:adjustRightInd w:val="0"/>
              <w:snapToGrid w:val="0"/>
              <w:jc w:val="center"/>
              <w:rPr>
                <w:rFonts w:ascii="宋体" w:hAnsi="宋体"/>
                <w:color w:val="auto"/>
                <w:szCs w:val="21"/>
                <w:highlight w:val="none"/>
              </w:rPr>
            </w:pPr>
            <w:r>
              <w:rPr>
                <w:rFonts w:hint="eastAsia" w:ascii="宋体" w:hAnsi="宋体"/>
                <w:color w:val="auto"/>
                <w:szCs w:val="21"/>
                <w:highlight w:val="none"/>
              </w:rPr>
              <w:t>第13.2款</w:t>
            </w:r>
          </w:p>
        </w:tc>
        <w:tc>
          <w:tcPr>
            <w:tcW w:w="1742" w:type="dxa"/>
            <w:vAlign w:val="center"/>
          </w:tcPr>
          <w:p w14:paraId="41A38AD7">
            <w:pPr>
              <w:adjustRightInd w:val="0"/>
              <w:snapToGrid w:val="0"/>
              <w:jc w:val="left"/>
              <w:rPr>
                <w:rFonts w:ascii="宋体" w:hAnsi="宋体"/>
                <w:color w:val="auto"/>
                <w:szCs w:val="21"/>
                <w:highlight w:val="none"/>
              </w:rPr>
            </w:pPr>
            <w:r>
              <w:rPr>
                <w:rFonts w:hint="eastAsia" w:ascii="宋体" w:hAnsi="宋体"/>
                <w:color w:val="auto"/>
                <w:szCs w:val="21"/>
                <w:highlight w:val="none"/>
              </w:rPr>
              <w:t>履约保证金不予退还的情形</w:t>
            </w:r>
          </w:p>
        </w:tc>
        <w:tc>
          <w:tcPr>
            <w:tcW w:w="5170" w:type="dxa"/>
            <w:vAlign w:val="center"/>
          </w:tcPr>
          <w:p w14:paraId="56127793">
            <w:pPr>
              <w:adjustRightInd w:val="0"/>
              <w:snapToGrid w:val="0"/>
              <w:jc w:val="left"/>
              <w:rPr>
                <w:rFonts w:ascii="宋体" w:hAnsi="宋体"/>
                <w:color w:val="auto"/>
                <w:szCs w:val="21"/>
                <w:highlight w:val="none"/>
              </w:rPr>
            </w:pPr>
          </w:p>
        </w:tc>
      </w:tr>
      <w:tr w14:paraId="3F4BA3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7DE6828">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73EBBCA">
            <w:pPr>
              <w:adjustRightInd w:val="0"/>
              <w:snapToGrid w:val="0"/>
              <w:jc w:val="center"/>
              <w:rPr>
                <w:rFonts w:ascii="宋体" w:hAnsi="宋体"/>
                <w:color w:val="auto"/>
                <w:szCs w:val="21"/>
                <w:highlight w:val="none"/>
              </w:rPr>
            </w:pPr>
            <w:r>
              <w:rPr>
                <w:rFonts w:hint="eastAsia" w:ascii="宋体" w:hAnsi="宋体"/>
                <w:color w:val="auto"/>
                <w:szCs w:val="21"/>
                <w:highlight w:val="none"/>
              </w:rPr>
              <w:t>第13.3款</w:t>
            </w:r>
          </w:p>
        </w:tc>
        <w:tc>
          <w:tcPr>
            <w:tcW w:w="1742" w:type="dxa"/>
            <w:vAlign w:val="center"/>
          </w:tcPr>
          <w:p w14:paraId="1D56F8B5">
            <w:pPr>
              <w:adjustRightInd w:val="0"/>
              <w:snapToGrid w:val="0"/>
              <w:jc w:val="left"/>
              <w:rPr>
                <w:rFonts w:ascii="宋体" w:hAnsi="宋体"/>
                <w:color w:val="auto"/>
                <w:szCs w:val="21"/>
                <w:highlight w:val="none"/>
              </w:rPr>
            </w:pPr>
            <w:r>
              <w:rPr>
                <w:rFonts w:hint="eastAsia" w:ascii="宋体" w:hAnsi="宋体"/>
                <w:color w:val="auto"/>
                <w:szCs w:val="21"/>
                <w:highlight w:val="none"/>
              </w:rPr>
              <w:t>履约保证金退还时间及逾期退还的违约金</w:t>
            </w:r>
          </w:p>
        </w:tc>
        <w:tc>
          <w:tcPr>
            <w:tcW w:w="5170" w:type="dxa"/>
            <w:vAlign w:val="center"/>
          </w:tcPr>
          <w:p w14:paraId="1186A493">
            <w:pPr>
              <w:adjustRightInd w:val="0"/>
              <w:snapToGrid w:val="0"/>
              <w:jc w:val="left"/>
              <w:rPr>
                <w:rFonts w:ascii="宋体" w:hAnsi="宋体"/>
                <w:color w:val="auto"/>
                <w:szCs w:val="21"/>
                <w:highlight w:val="none"/>
              </w:rPr>
            </w:pPr>
          </w:p>
        </w:tc>
      </w:tr>
      <w:tr w14:paraId="068509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4658774B">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8CBEB28">
            <w:pPr>
              <w:adjustRightInd w:val="0"/>
              <w:snapToGrid w:val="0"/>
              <w:jc w:val="center"/>
              <w:rPr>
                <w:rFonts w:ascii="宋体" w:hAnsi="宋体"/>
                <w:color w:val="auto"/>
                <w:szCs w:val="21"/>
                <w:highlight w:val="none"/>
              </w:rPr>
            </w:pPr>
            <w:r>
              <w:rPr>
                <w:rFonts w:hint="eastAsia" w:ascii="宋体" w:hAnsi="宋体"/>
                <w:color w:val="auto"/>
                <w:szCs w:val="21"/>
                <w:highlight w:val="none"/>
              </w:rPr>
              <w:t>第14.1（3）项</w:t>
            </w:r>
          </w:p>
        </w:tc>
        <w:tc>
          <w:tcPr>
            <w:tcW w:w="1742" w:type="dxa"/>
            <w:vAlign w:val="center"/>
          </w:tcPr>
          <w:p w14:paraId="7C9098DF">
            <w:pPr>
              <w:adjustRightInd w:val="0"/>
              <w:snapToGrid w:val="0"/>
              <w:jc w:val="left"/>
              <w:rPr>
                <w:rFonts w:ascii="宋体" w:hAnsi="宋体"/>
                <w:color w:val="auto"/>
                <w:szCs w:val="21"/>
                <w:highlight w:val="none"/>
              </w:rPr>
            </w:pPr>
            <w:r>
              <w:rPr>
                <w:rFonts w:hint="eastAsia" w:ascii="宋体" w:hAnsi="宋体"/>
                <w:color w:val="auto"/>
                <w:szCs w:val="21"/>
                <w:highlight w:val="none"/>
              </w:rPr>
              <w:t>运行监督、维修期限</w:t>
            </w:r>
          </w:p>
        </w:tc>
        <w:tc>
          <w:tcPr>
            <w:tcW w:w="5170" w:type="dxa"/>
            <w:vAlign w:val="center"/>
          </w:tcPr>
          <w:p w14:paraId="245B15BE">
            <w:pPr>
              <w:adjustRightInd w:val="0"/>
              <w:snapToGrid w:val="0"/>
              <w:jc w:val="left"/>
              <w:rPr>
                <w:rFonts w:ascii="宋体" w:hAnsi="宋体"/>
                <w:color w:val="auto"/>
                <w:szCs w:val="21"/>
                <w:highlight w:val="none"/>
              </w:rPr>
            </w:pPr>
          </w:p>
        </w:tc>
      </w:tr>
      <w:tr w14:paraId="2313F8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50D38CB9">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C413697">
            <w:pPr>
              <w:adjustRightInd w:val="0"/>
              <w:snapToGrid w:val="0"/>
              <w:jc w:val="center"/>
              <w:rPr>
                <w:rFonts w:ascii="宋体" w:hAnsi="宋体"/>
                <w:color w:val="auto"/>
                <w:szCs w:val="21"/>
                <w:highlight w:val="none"/>
              </w:rPr>
            </w:pPr>
            <w:r>
              <w:rPr>
                <w:rFonts w:hint="eastAsia" w:ascii="宋体" w:hAnsi="宋体"/>
                <w:color w:val="auto"/>
                <w:szCs w:val="21"/>
                <w:highlight w:val="none"/>
              </w:rPr>
              <w:t>第14.1（5）项</w:t>
            </w:r>
          </w:p>
        </w:tc>
        <w:tc>
          <w:tcPr>
            <w:tcW w:w="1742" w:type="dxa"/>
            <w:vAlign w:val="center"/>
          </w:tcPr>
          <w:p w14:paraId="704D7B4F">
            <w:pPr>
              <w:adjustRightInd w:val="0"/>
              <w:snapToGrid w:val="0"/>
              <w:jc w:val="left"/>
              <w:rPr>
                <w:rFonts w:ascii="宋体" w:hAnsi="宋体"/>
                <w:color w:val="auto"/>
                <w:szCs w:val="21"/>
                <w:highlight w:val="none"/>
              </w:rPr>
            </w:pPr>
            <w:r>
              <w:rPr>
                <w:rFonts w:hint="eastAsia" w:ascii="宋体" w:hAnsi="宋体"/>
                <w:color w:val="auto"/>
                <w:szCs w:val="21"/>
                <w:highlight w:val="none"/>
              </w:rPr>
              <w:t>货物回收的约定</w:t>
            </w:r>
          </w:p>
        </w:tc>
        <w:tc>
          <w:tcPr>
            <w:tcW w:w="5170" w:type="dxa"/>
            <w:vAlign w:val="center"/>
          </w:tcPr>
          <w:p w14:paraId="33B17B4A">
            <w:pPr>
              <w:adjustRightInd w:val="0"/>
              <w:snapToGrid w:val="0"/>
              <w:jc w:val="left"/>
              <w:rPr>
                <w:rFonts w:ascii="宋体" w:hAnsi="宋体"/>
                <w:color w:val="auto"/>
                <w:szCs w:val="21"/>
                <w:highlight w:val="none"/>
              </w:rPr>
            </w:pPr>
          </w:p>
        </w:tc>
      </w:tr>
      <w:tr w14:paraId="400E01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580C6CE">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261F609">
            <w:pPr>
              <w:adjustRightInd w:val="0"/>
              <w:snapToGrid w:val="0"/>
              <w:jc w:val="center"/>
              <w:rPr>
                <w:rFonts w:ascii="宋体" w:hAnsi="宋体"/>
                <w:color w:val="auto"/>
                <w:szCs w:val="21"/>
                <w:highlight w:val="none"/>
              </w:rPr>
            </w:pPr>
            <w:r>
              <w:rPr>
                <w:rFonts w:hint="eastAsia" w:ascii="宋体" w:hAnsi="宋体"/>
                <w:color w:val="auto"/>
                <w:szCs w:val="21"/>
                <w:highlight w:val="none"/>
              </w:rPr>
              <w:t>第14.1（6）项</w:t>
            </w:r>
          </w:p>
        </w:tc>
        <w:tc>
          <w:tcPr>
            <w:tcW w:w="1742" w:type="dxa"/>
            <w:vAlign w:val="center"/>
          </w:tcPr>
          <w:p w14:paraId="6A0E540B">
            <w:pPr>
              <w:adjustRightInd w:val="0"/>
              <w:snapToGrid w:val="0"/>
              <w:jc w:val="left"/>
              <w:rPr>
                <w:rFonts w:ascii="宋体" w:hAnsi="宋体"/>
                <w:color w:val="auto"/>
                <w:szCs w:val="21"/>
                <w:highlight w:val="none"/>
              </w:rPr>
            </w:pPr>
            <w:r>
              <w:rPr>
                <w:rFonts w:hint="eastAsia" w:ascii="宋体" w:hAnsi="宋体"/>
                <w:color w:val="auto"/>
                <w:szCs w:val="21"/>
                <w:highlight w:val="none"/>
              </w:rPr>
              <w:t>乙方提供的其他服务</w:t>
            </w:r>
          </w:p>
        </w:tc>
        <w:tc>
          <w:tcPr>
            <w:tcW w:w="5170" w:type="dxa"/>
            <w:vAlign w:val="center"/>
          </w:tcPr>
          <w:p w14:paraId="58741A8C">
            <w:pPr>
              <w:adjustRightInd w:val="0"/>
              <w:snapToGrid w:val="0"/>
              <w:jc w:val="left"/>
              <w:rPr>
                <w:rFonts w:ascii="宋体" w:hAnsi="宋体"/>
                <w:color w:val="auto"/>
                <w:szCs w:val="21"/>
                <w:highlight w:val="none"/>
              </w:rPr>
            </w:pPr>
          </w:p>
        </w:tc>
      </w:tr>
      <w:tr w14:paraId="070A03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C9CADA1">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500797D1">
            <w:pPr>
              <w:adjustRightInd w:val="0"/>
              <w:snapToGrid w:val="0"/>
              <w:jc w:val="center"/>
              <w:rPr>
                <w:rFonts w:ascii="宋体" w:hAnsi="宋体"/>
                <w:color w:val="auto"/>
                <w:szCs w:val="21"/>
                <w:highlight w:val="none"/>
              </w:rPr>
            </w:pPr>
            <w:r>
              <w:rPr>
                <w:rFonts w:hint="eastAsia" w:ascii="宋体" w:hAnsi="宋体"/>
                <w:color w:val="auto"/>
                <w:szCs w:val="21"/>
                <w:highlight w:val="none"/>
              </w:rPr>
              <w:t>第15.1款</w:t>
            </w:r>
          </w:p>
        </w:tc>
        <w:tc>
          <w:tcPr>
            <w:tcW w:w="1742" w:type="dxa"/>
            <w:vAlign w:val="center"/>
          </w:tcPr>
          <w:p w14:paraId="3315691E">
            <w:pPr>
              <w:adjustRightInd w:val="0"/>
              <w:snapToGrid w:val="0"/>
              <w:jc w:val="left"/>
              <w:rPr>
                <w:rFonts w:ascii="宋体" w:hAnsi="宋体"/>
                <w:color w:val="auto"/>
                <w:szCs w:val="21"/>
                <w:highlight w:val="none"/>
              </w:rPr>
            </w:pPr>
            <w:r>
              <w:rPr>
                <w:rFonts w:hint="eastAsia" w:ascii="宋体" w:hAnsi="宋体"/>
                <w:color w:val="auto"/>
                <w:szCs w:val="21"/>
                <w:highlight w:val="none"/>
              </w:rPr>
              <w:t>修理、重作、更换相关具体规定</w:t>
            </w:r>
          </w:p>
        </w:tc>
        <w:tc>
          <w:tcPr>
            <w:tcW w:w="5170" w:type="dxa"/>
            <w:vAlign w:val="center"/>
          </w:tcPr>
          <w:p w14:paraId="252AC998">
            <w:pPr>
              <w:adjustRightInd w:val="0"/>
              <w:snapToGrid w:val="0"/>
              <w:jc w:val="left"/>
              <w:rPr>
                <w:rFonts w:ascii="宋体" w:hAnsi="宋体"/>
                <w:color w:val="auto"/>
                <w:szCs w:val="21"/>
                <w:highlight w:val="none"/>
              </w:rPr>
            </w:pPr>
          </w:p>
        </w:tc>
      </w:tr>
      <w:tr w14:paraId="25D4AD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59252D9">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5033B78D">
            <w:pPr>
              <w:adjustRightInd w:val="0"/>
              <w:snapToGrid w:val="0"/>
              <w:jc w:val="center"/>
              <w:rPr>
                <w:rFonts w:ascii="宋体" w:hAnsi="宋体"/>
                <w:color w:val="auto"/>
                <w:szCs w:val="21"/>
                <w:highlight w:val="none"/>
              </w:rPr>
            </w:pPr>
            <w:r>
              <w:rPr>
                <w:rFonts w:hint="eastAsia" w:ascii="宋体" w:hAnsi="宋体"/>
                <w:color w:val="auto"/>
                <w:szCs w:val="21"/>
                <w:highlight w:val="none"/>
              </w:rPr>
              <w:t>第15.2（2）项</w:t>
            </w:r>
          </w:p>
        </w:tc>
        <w:tc>
          <w:tcPr>
            <w:tcW w:w="1742" w:type="dxa"/>
            <w:vAlign w:val="center"/>
          </w:tcPr>
          <w:p w14:paraId="4E08C4A3">
            <w:pPr>
              <w:adjustRightInd w:val="0"/>
              <w:snapToGrid w:val="0"/>
              <w:jc w:val="left"/>
              <w:rPr>
                <w:rFonts w:ascii="宋体" w:hAnsi="宋体"/>
                <w:color w:val="auto"/>
                <w:szCs w:val="21"/>
                <w:highlight w:val="none"/>
              </w:rPr>
            </w:pPr>
            <w:r>
              <w:rPr>
                <w:rFonts w:hint="eastAsia" w:ascii="宋体" w:hAnsi="宋体"/>
                <w:color w:val="auto"/>
                <w:szCs w:val="21"/>
                <w:highlight w:val="none"/>
              </w:rPr>
              <w:t>迟延交货赔偿费</w:t>
            </w:r>
          </w:p>
        </w:tc>
        <w:tc>
          <w:tcPr>
            <w:tcW w:w="5170" w:type="dxa"/>
            <w:vAlign w:val="center"/>
          </w:tcPr>
          <w:p w14:paraId="4B24292D">
            <w:pPr>
              <w:adjustRightInd w:val="0"/>
              <w:snapToGrid w:val="0"/>
              <w:jc w:val="left"/>
              <w:rPr>
                <w:rFonts w:ascii="宋体" w:hAnsi="宋体"/>
                <w:color w:val="auto"/>
                <w:szCs w:val="21"/>
                <w:highlight w:val="none"/>
                <w:u w:val="single"/>
              </w:rPr>
            </w:pPr>
          </w:p>
        </w:tc>
      </w:tr>
      <w:tr w14:paraId="066746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F5388BF">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46458A5">
            <w:pPr>
              <w:adjustRightInd w:val="0"/>
              <w:snapToGrid w:val="0"/>
              <w:jc w:val="center"/>
              <w:rPr>
                <w:rFonts w:ascii="宋体" w:hAnsi="宋体"/>
                <w:color w:val="auto"/>
                <w:szCs w:val="21"/>
                <w:highlight w:val="none"/>
              </w:rPr>
            </w:pPr>
            <w:r>
              <w:rPr>
                <w:rFonts w:hint="eastAsia" w:ascii="宋体" w:hAnsi="宋体"/>
                <w:color w:val="auto"/>
                <w:szCs w:val="21"/>
                <w:highlight w:val="none"/>
              </w:rPr>
              <w:t>第15.3款</w:t>
            </w:r>
          </w:p>
        </w:tc>
        <w:tc>
          <w:tcPr>
            <w:tcW w:w="1742" w:type="dxa"/>
            <w:vAlign w:val="center"/>
          </w:tcPr>
          <w:p w14:paraId="1CEEF99E">
            <w:pPr>
              <w:adjustRightInd w:val="0"/>
              <w:snapToGrid w:val="0"/>
              <w:jc w:val="left"/>
              <w:rPr>
                <w:rFonts w:ascii="宋体" w:hAnsi="宋体"/>
                <w:color w:val="auto"/>
                <w:szCs w:val="21"/>
                <w:highlight w:val="none"/>
              </w:rPr>
            </w:pPr>
            <w:r>
              <w:rPr>
                <w:rFonts w:hint="eastAsia" w:ascii="宋体" w:hAnsi="宋体"/>
                <w:color w:val="auto"/>
                <w:szCs w:val="21"/>
                <w:highlight w:val="none"/>
              </w:rPr>
              <w:t>逾期付款利息</w:t>
            </w:r>
          </w:p>
        </w:tc>
        <w:tc>
          <w:tcPr>
            <w:tcW w:w="5170" w:type="dxa"/>
            <w:vAlign w:val="center"/>
          </w:tcPr>
          <w:p w14:paraId="3CA7C17B">
            <w:pPr>
              <w:adjustRightInd w:val="0"/>
              <w:snapToGrid w:val="0"/>
              <w:jc w:val="left"/>
              <w:rPr>
                <w:rFonts w:ascii="宋体" w:hAnsi="宋体"/>
                <w:color w:val="auto"/>
                <w:szCs w:val="21"/>
                <w:highlight w:val="none"/>
                <w:u w:val="single"/>
              </w:rPr>
            </w:pPr>
          </w:p>
        </w:tc>
      </w:tr>
      <w:tr w14:paraId="78B226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7E8AF126">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E326E34">
            <w:pPr>
              <w:adjustRightInd w:val="0"/>
              <w:snapToGrid w:val="0"/>
              <w:jc w:val="center"/>
              <w:rPr>
                <w:rFonts w:ascii="宋体" w:hAnsi="宋体"/>
                <w:color w:val="auto"/>
                <w:szCs w:val="21"/>
                <w:highlight w:val="none"/>
              </w:rPr>
            </w:pPr>
            <w:r>
              <w:rPr>
                <w:rFonts w:hint="eastAsia" w:ascii="宋体" w:hAnsi="宋体"/>
                <w:color w:val="auto"/>
                <w:szCs w:val="21"/>
                <w:highlight w:val="none"/>
              </w:rPr>
              <w:t>第15.4款</w:t>
            </w:r>
          </w:p>
        </w:tc>
        <w:tc>
          <w:tcPr>
            <w:tcW w:w="1742" w:type="dxa"/>
            <w:tcBorders>
              <w:left w:val="single" w:color="auto" w:sz="2" w:space="0"/>
              <w:bottom w:val="single" w:color="auto" w:sz="2" w:space="0"/>
              <w:right w:val="single" w:color="auto" w:sz="2" w:space="0"/>
            </w:tcBorders>
            <w:vAlign w:val="center"/>
          </w:tcPr>
          <w:p w14:paraId="7DBB4CF7">
            <w:pPr>
              <w:adjustRightInd w:val="0"/>
              <w:snapToGrid w:val="0"/>
              <w:jc w:val="left"/>
              <w:rPr>
                <w:rFonts w:ascii="宋体" w:hAnsi="宋体"/>
                <w:color w:val="auto"/>
                <w:szCs w:val="21"/>
                <w:highlight w:val="none"/>
              </w:rPr>
            </w:pPr>
            <w:r>
              <w:rPr>
                <w:rFonts w:hint="eastAsia" w:ascii="宋体" w:hAnsi="宋体"/>
                <w:color w:val="auto"/>
                <w:szCs w:val="21"/>
                <w:highlight w:val="none"/>
              </w:rPr>
              <w:t>其他违约责任</w:t>
            </w:r>
          </w:p>
        </w:tc>
        <w:tc>
          <w:tcPr>
            <w:tcW w:w="5170" w:type="dxa"/>
            <w:tcBorders>
              <w:left w:val="single" w:color="auto" w:sz="2" w:space="0"/>
              <w:bottom w:val="single" w:color="auto" w:sz="2" w:space="0"/>
            </w:tcBorders>
            <w:vAlign w:val="center"/>
          </w:tcPr>
          <w:p w14:paraId="12D04126">
            <w:pPr>
              <w:adjustRightInd w:val="0"/>
              <w:snapToGrid w:val="0"/>
              <w:jc w:val="left"/>
              <w:rPr>
                <w:rFonts w:ascii="宋体" w:hAnsi="宋体"/>
                <w:color w:val="auto"/>
                <w:szCs w:val="21"/>
                <w:highlight w:val="none"/>
                <w:u w:val="single"/>
              </w:rPr>
            </w:pPr>
          </w:p>
        </w:tc>
      </w:tr>
      <w:tr w14:paraId="43D7D5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3A2EBC7C">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F514584">
            <w:pPr>
              <w:adjustRightInd w:val="0"/>
              <w:snapToGrid w:val="0"/>
              <w:jc w:val="center"/>
              <w:rPr>
                <w:rFonts w:ascii="宋体" w:hAnsi="宋体"/>
                <w:color w:val="auto"/>
                <w:szCs w:val="21"/>
                <w:highlight w:val="none"/>
              </w:rPr>
            </w:pPr>
            <w:r>
              <w:rPr>
                <w:rFonts w:hint="eastAsia" w:ascii="宋体" w:hAnsi="宋体"/>
                <w:color w:val="auto"/>
                <w:szCs w:val="21"/>
                <w:highlight w:val="none"/>
              </w:rPr>
              <w:t>第19.2款</w:t>
            </w:r>
          </w:p>
        </w:tc>
        <w:tc>
          <w:tcPr>
            <w:tcW w:w="1742" w:type="dxa"/>
            <w:tcBorders>
              <w:top w:val="single" w:color="auto" w:sz="2" w:space="0"/>
              <w:left w:val="single" w:color="auto" w:sz="2" w:space="0"/>
              <w:right w:val="single" w:color="auto" w:sz="2" w:space="0"/>
            </w:tcBorders>
            <w:vAlign w:val="center"/>
          </w:tcPr>
          <w:p w14:paraId="0808D847">
            <w:pPr>
              <w:adjustRightInd w:val="0"/>
              <w:snapToGrid w:val="0"/>
              <w:jc w:val="left"/>
              <w:rPr>
                <w:rFonts w:ascii="宋体" w:hAnsi="宋体"/>
                <w:color w:val="auto"/>
                <w:szCs w:val="21"/>
                <w:highlight w:val="none"/>
              </w:rPr>
            </w:pPr>
            <w:r>
              <w:rPr>
                <w:rFonts w:hint="eastAsia" w:ascii="宋体" w:hAnsi="宋体"/>
                <w:color w:val="auto"/>
                <w:szCs w:val="21"/>
                <w:highlight w:val="none"/>
              </w:rPr>
              <w:t>解决争议的方法</w:t>
            </w:r>
          </w:p>
        </w:tc>
        <w:tc>
          <w:tcPr>
            <w:tcW w:w="5170" w:type="dxa"/>
            <w:tcBorders>
              <w:top w:val="single" w:color="auto" w:sz="2" w:space="0"/>
              <w:left w:val="single" w:color="auto" w:sz="2" w:space="0"/>
            </w:tcBorders>
            <w:vAlign w:val="center"/>
          </w:tcPr>
          <w:p w14:paraId="3948D43B">
            <w:pPr>
              <w:autoSpaceDE w:val="0"/>
              <w:autoSpaceDN w:val="0"/>
              <w:adjustRightInd w:val="0"/>
              <w:snapToGrid w:val="0"/>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因本合同及合同有关事项发生的争议，按下列第</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种方式解决：</w:t>
            </w:r>
          </w:p>
          <w:p w14:paraId="4C5FA8E8">
            <w:pPr>
              <w:autoSpaceDE w:val="0"/>
              <w:autoSpaceDN w:val="0"/>
              <w:adjustRightInd w:val="0"/>
              <w:snapToGrid w:val="0"/>
              <w:spacing w:line="400" w:lineRule="exact"/>
              <w:jc w:val="left"/>
              <w:rPr>
                <w:rFonts w:ascii="宋体" w:hAnsi="宋体" w:cs="宋体"/>
                <w:iCs/>
                <w:color w:val="auto"/>
                <w:szCs w:val="21"/>
                <w:highlight w:val="none"/>
              </w:rPr>
            </w:pPr>
            <w:r>
              <w:rPr>
                <w:rFonts w:hint="eastAsia" w:ascii="宋体" w:hAnsi="宋体" w:cs="宋体"/>
                <w:iCs/>
                <w:color w:val="auto"/>
                <w:szCs w:val="21"/>
                <w:highlight w:val="none"/>
              </w:rPr>
              <w:t>（1）向</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仲裁委员会申请仲裁，仲裁地点为</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w:t>
            </w:r>
          </w:p>
          <w:p w14:paraId="3F773ABD">
            <w:pPr>
              <w:adjustRightInd w:val="0"/>
              <w:snapToGrid w:val="0"/>
              <w:jc w:val="left"/>
              <w:rPr>
                <w:rFonts w:ascii="宋体" w:hAnsi="宋体"/>
                <w:color w:val="auto"/>
                <w:szCs w:val="21"/>
                <w:highlight w:val="none"/>
                <w:u w:val="single"/>
              </w:rPr>
            </w:pPr>
            <w:r>
              <w:rPr>
                <w:rFonts w:hint="eastAsia" w:ascii="宋体" w:hAnsi="宋体" w:cs="宋体"/>
                <w:iCs/>
                <w:color w:val="auto"/>
                <w:szCs w:val="21"/>
                <w:highlight w:val="none"/>
              </w:rPr>
              <w:t>（2）向</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人民法院起诉。</w:t>
            </w:r>
          </w:p>
        </w:tc>
      </w:tr>
      <w:tr w14:paraId="40EEB8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47E45AD2">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5E6DFA50">
            <w:pPr>
              <w:adjustRightInd w:val="0"/>
              <w:snapToGrid w:val="0"/>
              <w:jc w:val="center"/>
              <w:rPr>
                <w:rFonts w:ascii="宋体" w:hAnsi="宋体"/>
                <w:color w:val="auto"/>
                <w:szCs w:val="21"/>
                <w:highlight w:val="none"/>
              </w:rPr>
            </w:pPr>
            <w:r>
              <w:rPr>
                <w:rFonts w:hint="eastAsia" w:ascii="宋体" w:hAnsi="宋体"/>
                <w:color w:val="auto"/>
                <w:szCs w:val="21"/>
                <w:highlight w:val="none"/>
              </w:rPr>
              <w:t>第23.1款</w:t>
            </w:r>
          </w:p>
        </w:tc>
        <w:tc>
          <w:tcPr>
            <w:tcW w:w="1742" w:type="dxa"/>
            <w:vAlign w:val="center"/>
          </w:tcPr>
          <w:p w14:paraId="7575F9C5">
            <w:pPr>
              <w:adjustRightInd w:val="0"/>
              <w:snapToGrid w:val="0"/>
              <w:jc w:val="left"/>
              <w:rPr>
                <w:rFonts w:ascii="宋体" w:hAnsi="宋体"/>
                <w:color w:val="auto"/>
                <w:szCs w:val="21"/>
                <w:highlight w:val="none"/>
              </w:rPr>
            </w:pPr>
            <w:r>
              <w:rPr>
                <w:rFonts w:hint="eastAsia" w:ascii="宋体" w:hAnsi="宋体"/>
                <w:bCs/>
                <w:color w:val="auto"/>
                <w:szCs w:val="21"/>
                <w:highlight w:val="none"/>
              </w:rPr>
              <w:t>其他专用条款</w:t>
            </w:r>
          </w:p>
        </w:tc>
        <w:tc>
          <w:tcPr>
            <w:tcW w:w="5170" w:type="dxa"/>
            <w:vAlign w:val="center"/>
          </w:tcPr>
          <w:p w14:paraId="4835C1E0">
            <w:pPr>
              <w:adjustRightInd w:val="0"/>
              <w:snapToGrid w:val="0"/>
              <w:jc w:val="left"/>
              <w:rPr>
                <w:rFonts w:ascii="宋体" w:hAnsi="宋体"/>
                <w:color w:val="auto"/>
                <w:szCs w:val="21"/>
                <w:highlight w:val="none"/>
              </w:rPr>
            </w:pPr>
          </w:p>
        </w:tc>
      </w:tr>
    </w:tbl>
    <w:p w14:paraId="457BBB7A">
      <w:pPr>
        <w:rPr>
          <w:color w:val="auto"/>
          <w:highlight w:val="none"/>
        </w:rPr>
      </w:pPr>
    </w:p>
    <w:p w14:paraId="48DD4F8F">
      <w:pPr>
        <w:rPr>
          <w:color w:val="auto"/>
          <w:highlight w:val="none"/>
        </w:rPr>
      </w:pPr>
    </w:p>
    <w:p w14:paraId="4994269B">
      <w:pPr>
        <w:widowControl w:val="0"/>
        <w:snapToGrid w:val="0"/>
        <w:spacing w:line="540" w:lineRule="exact"/>
        <w:ind w:right="476"/>
        <w:rPr>
          <w:color w:val="auto"/>
          <w:sz w:val="24"/>
          <w:szCs w:val="24"/>
          <w:highlight w:val="none"/>
        </w:rPr>
      </w:pPr>
    </w:p>
    <w:p w14:paraId="539EE71D">
      <w:pPr>
        <w:widowControl w:val="0"/>
        <w:snapToGrid w:val="0"/>
        <w:spacing w:line="360" w:lineRule="auto"/>
        <w:rPr>
          <w:color w:val="auto"/>
          <w:sz w:val="24"/>
          <w:szCs w:val="24"/>
          <w:highlight w:val="none"/>
        </w:rPr>
      </w:pPr>
      <w:r>
        <w:rPr>
          <w:color w:val="auto"/>
          <w:sz w:val="24"/>
          <w:szCs w:val="24"/>
          <w:highlight w:val="none"/>
        </w:rPr>
        <w:br w:type="page"/>
      </w:r>
    </w:p>
    <w:p w14:paraId="4EE42447">
      <w:pPr>
        <w:widowControl w:val="0"/>
        <w:snapToGrid w:val="0"/>
        <w:spacing w:line="360" w:lineRule="auto"/>
        <w:rPr>
          <w:color w:val="auto"/>
          <w:sz w:val="24"/>
          <w:szCs w:val="24"/>
          <w:highlight w:val="none"/>
        </w:rPr>
      </w:pPr>
    </w:p>
    <w:p w14:paraId="27F54DA0">
      <w:pPr>
        <w:widowControl w:val="0"/>
        <w:snapToGrid w:val="0"/>
        <w:spacing w:line="657" w:lineRule="atLeast"/>
        <w:jc w:val="center"/>
        <w:outlineLvl w:val="0"/>
        <w:rPr>
          <w:rFonts w:ascii="黑体" w:eastAsia="黑体"/>
          <w:b/>
          <w:color w:val="auto"/>
          <w:sz w:val="36"/>
          <w:szCs w:val="36"/>
          <w:highlight w:val="none"/>
        </w:rPr>
      </w:pPr>
      <w:bookmarkStart w:id="68" w:name="_Toc26635"/>
      <w:r>
        <w:rPr>
          <w:rFonts w:hint="eastAsia" w:ascii="宋体"/>
          <w:b/>
          <w:color w:val="auto"/>
          <w:sz w:val="36"/>
          <w:szCs w:val="36"/>
          <w:highlight w:val="none"/>
          <w:lang w:val="zh-CN"/>
        </w:rPr>
        <w:t>包2：</w:t>
      </w:r>
      <w:r>
        <w:rPr>
          <w:rFonts w:hint="eastAsia" w:ascii="黑体" w:eastAsia="黑体"/>
          <w:b/>
          <w:color w:val="auto"/>
          <w:sz w:val="36"/>
          <w:szCs w:val="36"/>
          <w:highlight w:val="none"/>
        </w:rPr>
        <w:t>合同主要条款</w:t>
      </w:r>
      <w:bookmarkEnd w:id="68"/>
    </w:p>
    <w:p w14:paraId="4D3FF524">
      <w:pPr>
        <w:widowControl w:val="0"/>
        <w:snapToGrid w:val="0"/>
        <w:spacing w:line="657" w:lineRule="atLeast"/>
        <w:jc w:val="center"/>
        <w:rPr>
          <w:rFonts w:ascii="黑体" w:eastAsia="黑体"/>
          <w:b/>
          <w:color w:val="auto"/>
          <w:spacing w:val="20"/>
          <w:sz w:val="36"/>
          <w:szCs w:val="36"/>
          <w:highlight w:val="none"/>
        </w:rPr>
      </w:pPr>
    </w:p>
    <w:p w14:paraId="21217B4F">
      <w:pPr>
        <w:widowControl w:val="0"/>
        <w:tabs>
          <w:tab w:val="left" w:pos="4678"/>
        </w:tabs>
        <w:snapToGrid w:val="0"/>
        <w:spacing w:before="56" w:after="56" w:line="360" w:lineRule="auto"/>
        <w:ind w:right="85" w:firstLine="555"/>
        <w:jc w:val="center"/>
        <w:rPr>
          <w:rFonts w:ascii="宋体"/>
          <w:color w:val="auto"/>
          <w:sz w:val="24"/>
          <w:szCs w:val="24"/>
          <w:highlight w:val="none"/>
        </w:rPr>
      </w:pPr>
      <w:r>
        <w:rPr>
          <w:rFonts w:hint="eastAsia" w:ascii="宋体" w:hAnsi="宋体"/>
          <w:color w:val="auto"/>
          <w:sz w:val="24"/>
          <w:szCs w:val="24"/>
          <w:highlight w:val="none"/>
        </w:rPr>
        <w:t>一、通用条款</w:t>
      </w:r>
    </w:p>
    <w:p w14:paraId="02B65034">
      <w:pPr>
        <w:widowControl w:val="0"/>
        <w:tabs>
          <w:tab w:val="left" w:pos="4678"/>
        </w:tabs>
        <w:snapToGrid w:val="0"/>
        <w:spacing w:before="56" w:after="56" w:line="360" w:lineRule="auto"/>
        <w:ind w:right="85" w:firstLine="555"/>
        <w:rPr>
          <w:rFonts w:ascii="宋体"/>
          <w:color w:val="auto"/>
          <w:sz w:val="24"/>
          <w:szCs w:val="24"/>
          <w:highlight w:val="none"/>
        </w:rPr>
      </w:pPr>
      <w:r>
        <w:rPr>
          <w:rFonts w:hint="eastAsia" w:ascii="宋体" w:hAnsi="宋体"/>
          <w:color w:val="auto"/>
          <w:sz w:val="24"/>
          <w:szCs w:val="24"/>
          <w:highlight w:val="none"/>
        </w:rPr>
        <w:t>通用条款采用国家工商行政管理局和建设部颁发的《建设工程施工合同》（按最新版执行）的通用条款。</w:t>
      </w:r>
    </w:p>
    <w:p w14:paraId="0F3B7D2D">
      <w:pPr>
        <w:widowControl w:val="0"/>
        <w:tabs>
          <w:tab w:val="left" w:pos="4678"/>
        </w:tabs>
        <w:snapToGrid w:val="0"/>
        <w:spacing w:before="56" w:after="56" w:line="360" w:lineRule="auto"/>
        <w:ind w:right="85" w:firstLine="555"/>
        <w:rPr>
          <w:rFonts w:ascii="宋体"/>
          <w:color w:val="auto"/>
          <w:sz w:val="24"/>
          <w:szCs w:val="24"/>
          <w:highlight w:val="none"/>
        </w:rPr>
      </w:pPr>
    </w:p>
    <w:p w14:paraId="235DFEC2">
      <w:pPr>
        <w:widowControl w:val="0"/>
        <w:tabs>
          <w:tab w:val="left" w:pos="4678"/>
        </w:tabs>
        <w:snapToGrid w:val="0"/>
        <w:spacing w:before="56" w:after="56" w:line="360" w:lineRule="auto"/>
        <w:ind w:right="85" w:firstLine="555"/>
        <w:jc w:val="center"/>
        <w:rPr>
          <w:rFonts w:ascii="宋体"/>
          <w:color w:val="auto"/>
          <w:sz w:val="24"/>
          <w:szCs w:val="24"/>
          <w:highlight w:val="none"/>
        </w:rPr>
      </w:pPr>
      <w:r>
        <w:rPr>
          <w:rFonts w:hint="eastAsia" w:ascii="宋体" w:hAnsi="宋体"/>
          <w:color w:val="auto"/>
          <w:sz w:val="24"/>
          <w:szCs w:val="24"/>
          <w:highlight w:val="none"/>
        </w:rPr>
        <w:t>二、专用条款</w:t>
      </w:r>
    </w:p>
    <w:p w14:paraId="116D89CC">
      <w:pPr>
        <w:widowControl w:val="0"/>
        <w:tabs>
          <w:tab w:val="left" w:pos="4678"/>
        </w:tabs>
        <w:snapToGrid w:val="0"/>
        <w:spacing w:before="56" w:after="56" w:line="360" w:lineRule="auto"/>
        <w:ind w:right="85" w:firstLine="555"/>
        <w:rPr>
          <w:rFonts w:ascii="宋体"/>
          <w:color w:val="auto"/>
          <w:sz w:val="24"/>
          <w:szCs w:val="24"/>
          <w:highlight w:val="none"/>
        </w:rPr>
      </w:pPr>
      <w:r>
        <w:rPr>
          <w:rFonts w:hint="eastAsia" w:ascii="宋体" w:hAnsi="宋体"/>
          <w:color w:val="auto"/>
          <w:sz w:val="24"/>
          <w:szCs w:val="24"/>
          <w:highlight w:val="none"/>
        </w:rPr>
        <w:t>合同专用条款是合同通用条款的补充和修改。如果两者之间有抵触，应以专用条款为准。按合同通用条款号有下列各项调整：</w:t>
      </w:r>
    </w:p>
    <w:p w14:paraId="214DACD2">
      <w:pPr>
        <w:widowControl w:val="0"/>
        <w:tabs>
          <w:tab w:val="left" w:pos="4678"/>
        </w:tabs>
        <w:snapToGrid w:val="0"/>
        <w:spacing w:before="56" w:after="56" w:line="360" w:lineRule="auto"/>
        <w:ind w:right="85" w:firstLine="555"/>
        <w:rPr>
          <w:rFonts w:ascii="宋体"/>
          <w:color w:val="auto"/>
          <w:sz w:val="24"/>
          <w:szCs w:val="24"/>
          <w:highlight w:val="none"/>
        </w:rPr>
      </w:pPr>
      <w:r>
        <w:rPr>
          <w:rFonts w:ascii="宋体" w:hAnsi="宋体"/>
          <w:color w:val="auto"/>
          <w:sz w:val="24"/>
          <w:szCs w:val="24"/>
          <w:highlight w:val="none"/>
        </w:rPr>
        <w:t>26.</w:t>
      </w:r>
      <w:r>
        <w:rPr>
          <w:rFonts w:hint="eastAsia" w:ascii="宋体" w:hAnsi="宋体"/>
          <w:color w:val="auto"/>
          <w:sz w:val="24"/>
          <w:szCs w:val="24"/>
          <w:highlight w:val="none"/>
        </w:rPr>
        <w:t>资金支付</w:t>
      </w:r>
    </w:p>
    <w:p w14:paraId="528D6B14">
      <w:pPr>
        <w:widowControl w:val="0"/>
        <w:tabs>
          <w:tab w:val="left" w:pos="4678"/>
        </w:tabs>
        <w:snapToGrid w:val="0"/>
        <w:spacing w:before="56" w:after="56" w:line="360" w:lineRule="auto"/>
        <w:ind w:right="85" w:firstLine="555"/>
        <w:rPr>
          <w:rFonts w:ascii="宋体"/>
          <w:color w:val="auto"/>
          <w:sz w:val="24"/>
          <w:szCs w:val="24"/>
          <w:highlight w:val="none"/>
        </w:rPr>
      </w:pPr>
      <w:r>
        <w:rPr>
          <w:rFonts w:ascii="宋体" w:hAnsi="宋体"/>
          <w:color w:val="auto"/>
          <w:sz w:val="24"/>
          <w:szCs w:val="24"/>
          <w:highlight w:val="none"/>
        </w:rPr>
        <w:t>26.1</w:t>
      </w:r>
      <w:r>
        <w:rPr>
          <w:rFonts w:hint="eastAsia" w:ascii="宋体" w:hAnsi="宋体"/>
          <w:color w:val="auto"/>
          <w:sz w:val="24"/>
          <w:szCs w:val="24"/>
          <w:highlight w:val="none"/>
        </w:rPr>
        <w:t>验收程序和要求</w:t>
      </w:r>
    </w:p>
    <w:p w14:paraId="1C613F3E">
      <w:pPr>
        <w:widowControl w:val="0"/>
        <w:adjustRightInd w:val="0"/>
        <w:snapToGrid w:val="0"/>
        <w:spacing w:before="156" w:beforeLines="50" w:line="300" w:lineRule="auto"/>
        <w:ind w:firstLine="561"/>
        <w:rPr>
          <w:rFonts w:ascii="宋体" w:cs="楷体_GB2312"/>
          <w:color w:val="auto"/>
          <w:sz w:val="24"/>
          <w:highlight w:val="none"/>
          <w:lang w:val="zh-CN"/>
        </w:rPr>
      </w:pPr>
      <w:r>
        <w:rPr>
          <w:rFonts w:ascii="宋体" w:hAnsi="宋体" w:cs="楷体_GB2312"/>
          <w:color w:val="auto"/>
          <w:sz w:val="24"/>
          <w:highlight w:val="none"/>
          <w:lang w:val="zh-CN"/>
        </w:rPr>
        <w:t>1</w:t>
      </w:r>
      <w:r>
        <w:rPr>
          <w:rFonts w:hint="eastAsia" w:ascii="宋体" w:hAnsi="宋体" w:cs="楷体_GB2312"/>
          <w:color w:val="auto"/>
          <w:sz w:val="24"/>
          <w:highlight w:val="none"/>
          <w:lang w:val="zh-CN"/>
        </w:rPr>
        <w:t>、验收时间：项目完工达到验收条件时，由采购</w:t>
      </w:r>
      <w:r>
        <w:rPr>
          <w:rFonts w:hint="eastAsia" w:ascii="宋体" w:hAnsi="宋体" w:cs="楷体_GB2312"/>
          <w:color w:val="auto"/>
          <w:sz w:val="24"/>
          <w:highlight w:val="none"/>
        </w:rPr>
        <w:t>人</w:t>
      </w:r>
      <w:r>
        <w:rPr>
          <w:rFonts w:hint="eastAsia" w:ascii="宋体" w:hAnsi="宋体" w:cs="楷体_GB2312"/>
          <w:color w:val="auto"/>
          <w:sz w:val="24"/>
          <w:highlight w:val="none"/>
          <w:lang w:val="zh-CN"/>
        </w:rPr>
        <w:t>成立验收工作组负责验收。</w:t>
      </w:r>
      <w:r>
        <w:rPr>
          <w:rFonts w:hint="eastAsia" w:ascii="宋体" w:hAnsi="宋体" w:cs="楷体_GB2312"/>
          <w:color w:val="auto"/>
          <w:sz w:val="24"/>
          <w:highlight w:val="none"/>
        </w:rPr>
        <w:t>技术复杂、社会影响较大的货物类项目，可以根据需要设置出厂检验、到货检验、安装调试检验、配套服务检验等多重验收环节；服务类项目，可根据项目特点对服务期内的服务实施情况进行分期考核，结合考核情况和服务效果进行验收。</w:t>
      </w:r>
    </w:p>
    <w:p w14:paraId="6FC66E7A">
      <w:pPr>
        <w:widowControl w:val="0"/>
        <w:adjustRightInd w:val="0"/>
        <w:snapToGrid w:val="0"/>
        <w:spacing w:before="156" w:beforeLines="50" w:line="300" w:lineRule="auto"/>
        <w:ind w:firstLine="561"/>
        <w:rPr>
          <w:rFonts w:ascii="宋体" w:hAnsi="宋体" w:cs="楷体_GB2312"/>
          <w:color w:val="auto"/>
          <w:sz w:val="24"/>
          <w:highlight w:val="none"/>
          <w:lang w:val="zh-CN"/>
        </w:rPr>
      </w:pPr>
      <w:r>
        <w:rPr>
          <w:rFonts w:ascii="宋体" w:hAnsi="宋体" w:cs="楷体_GB2312"/>
          <w:color w:val="auto"/>
          <w:sz w:val="24"/>
          <w:highlight w:val="none"/>
          <w:lang w:val="zh-CN"/>
        </w:rPr>
        <w:t>2</w:t>
      </w:r>
      <w:r>
        <w:rPr>
          <w:rFonts w:hint="eastAsia" w:ascii="宋体" w:hAnsi="宋体" w:cs="楷体_GB2312"/>
          <w:color w:val="auto"/>
          <w:sz w:val="24"/>
          <w:highlight w:val="none"/>
          <w:lang w:val="zh-CN"/>
        </w:rPr>
        <w:t>、验收工作组：合同履约验收工作应成立验收工作组专门负责。</w:t>
      </w:r>
    </w:p>
    <w:p w14:paraId="2CF6146D">
      <w:pPr>
        <w:widowControl w:val="0"/>
        <w:adjustRightInd w:val="0"/>
        <w:snapToGrid w:val="0"/>
        <w:spacing w:before="156" w:beforeLines="50" w:line="300" w:lineRule="auto"/>
        <w:ind w:firstLine="561"/>
        <w:rPr>
          <w:rFonts w:ascii="宋体" w:hAnsi="宋体" w:cs="楷体_GB2312"/>
          <w:color w:val="auto"/>
          <w:sz w:val="24"/>
          <w:highlight w:val="none"/>
          <w:lang w:val="zh-CN"/>
        </w:rPr>
      </w:pPr>
      <w:r>
        <w:rPr>
          <w:rFonts w:hint="eastAsia" w:ascii="宋体" w:hAnsi="宋体" w:cs="楷体_GB2312"/>
          <w:color w:val="auto"/>
          <w:sz w:val="24"/>
          <w:highlight w:val="none"/>
          <w:lang w:val="zh-CN"/>
        </w:rPr>
        <w:t>直接参与该项目政府采购活动的主要负责人不得作为验收工作的主要负责人。</w:t>
      </w:r>
      <w:r>
        <w:rPr>
          <w:rFonts w:hint="eastAsia" w:ascii="宋体" w:hAnsi="宋体" w:cs="楷体_GB2312"/>
          <w:color w:val="auto"/>
          <w:sz w:val="24"/>
          <w:highlight w:val="none"/>
        </w:rPr>
        <w:t>对于采购人和使用人分离的采购项目，应当邀请实际使用人参与验收；政府向社会公众提供的公共服务项目，验收时应当邀请服务对象参与并出具意见，验收结果应当向社会公告。</w:t>
      </w:r>
    </w:p>
    <w:p w14:paraId="55CD5013">
      <w:pPr>
        <w:widowControl w:val="0"/>
        <w:adjustRightInd w:val="0"/>
        <w:snapToGrid w:val="0"/>
        <w:spacing w:before="156" w:beforeLines="50" w:line="300" w:lineRule="auto"/>
        <w:ind w:firstLine="561"/>
        <w:rPr>
          <w:rFonts w:ascii="宋体" w:hAnsi="宋体" w:cs="楷体_GB2312"/>
          <w:color w:val="auto"/>
          <w:sz w:val="24"/>
          <w:highlight w:val="none"/>
        </w:rPr>
      </w:pPr>
      <w:r>
        <w:rPr>
          <w:rFonts w:hint="eastAsia" w:ascii="宋体" w:hAnsi="宋体" w:cs="楷体_GB2312"/>
          <w:color w:val="auto"/>
          <w:sz w:val="24"/>
          <w:highlight w:val="none"/>
        </w:rPr>
        <w:t>2.1、</w:t>
      </w:r>
      <w:r>
        <w:rPr>
          <w:rFonts w:hint="eastAsia" w:ascii="宋体" w:hAnsi="宋体" w:cs="楷体_GB2312"/>
          <w:color w:val="auto"/>
          <w:sz w:val="24"/>
          <w:highlight w:val="none"/>
          <w:lang w:val="zh-CN"/>
        </w:rPr>
        <w:t>政府采购合同金额</w:t>
      </w:r>
      <w:r>
        <w:rPr>
          <w:rFonts w:hint="eastAsia" w:ascii="宋体" w:hAnsi="宋体" w:cs="楷体_GB2312"/>
          <w:color w:val="auto"/>
          <w:sz w:val="24"/>
          <w:highlight w:val="none"/>
        </w:rPr>
        <w:t>在</w:t>
      </w:r>
      <w:r>
        <w:rPr>
          <w:rFonts w:hint="eastAsia" w:ascii="宋体" w:hAnsi="宋体" w:cs="楷体_GB2312"/>
          <w:color w:val="auto"/>
          <w:sz w:val="24"/>
          <w:highlight w:val="none"/>
          <w:lang w:val="zh-CN"/>
        </w:rPr>
        <w:t>10万元以下（</w:t>
      </w:r>
      <w:r>
        <w:rPr>
          <w:rFonts w:hint="eastAsia" w:ascii="宋体" w:hAnsi="宋体" w:cs="楷体_GB2312"/>
          <w:color w:val="auto"/>
          <w:sz w:val="24"/>
          <w:highlight w:val="none"/>
        </w:rPr>
        <w:t>含10万元</w:t>
      </w:r>
      <w:r>
        <w:rPr>
          <w:rFonts w:hint="eastAsia" w:ascii="宋体" w:hAnsi="宋体" w:cs="楷体_GB2312"/>
          <w:color w:val="auto"/>
          <w:sz w:val="24"/>
          <w:highlight w:val="none"/>
          <w:lang w:val="zh-CN"/>
        </w:rPr>
        <w:t>）的项目，原则上可以不邀请评审专家参加，组织方成立验收小组自行验收。</w:t>
      </w:r>
      <w:r>
        <w:rPr>
          <w:rFonts w:hint="eastAsia" w:ascii="宋体" w:hAnsi="宋体" w:cs="楷体_GB2312"/>
          <w:color w:val="auto"/>
          <w:sz w:val="24"/>
          <w:highlight w:val="none"/>
        </w:rPr>
        <w:t>自行验收时，验收小组应仔细对照采购文件及合同，对标的物的数量、质量、规格、型号等参数逐一核对，并编制验收报告。组织方认为不能独立完成验收任务的，可以邀请评审专家参与验收。</w:t>
      </w:r>
    </w:p>
    <w:p w14:paraId="053DF378">
      <w:pPr>
        <w:widowControl w:val="0"/>
        <w:adjustRightInd w:val="0"/>
        <w:snapToGrid w:val="0"/>
        <w:spacing w:before="156" w:beforeLines="50" w:line="300" w:lineRule="auto"/>
        <w:ind w:firstLine="561"/>
        <w:rPr>
          <w:rFonts w:ascii="宋体" w:hAnsi="宋体" w:cs="楷体_GB2312"/>
          <w:color w:val="auto"/>
          <w:sz w:val="24"/>
          <w:highlight w:val="none"/>
        </w:rPr>
      </w:pPr>
      <w:r>
        <w:rPr>
          <w:rFonts w:hint="eastAsia" w:ascii="宋体" w:hAnsi="宋体" w:cs="楷体_GB2312"/>
          <w:color w:val="auto"/>
          <w:sz w:val="24"/>
          <w:highlight w:val="none"/>
        </w:rPr>
        <w:t>2.2、</w:t>
      </w:r>
      <w:r>
        <w:rPr>
          <w:rFonts w:hint="eastAsia" w:ascii="宋体" w:hAnsi="宋体" w:cs="楷体_GB2312"/>
          <w:color w:val="auto"/>
          <w:sz w:val="24"/>
          <w:highlight w:val="none"/>
          <w:lang w:val="zh-CN"/>
        </w:rPr>
        <w:t>政府采购合同金额50万元以下的（含50万元）的项目，验收工作组应不少于三人；政府采购合同金额50万元以上的项目，验收工作组应由</w:t>
      </w:r>
      <w:r>
        <w:rPr>
          <w:rFonts w:hint="eastAsia" w:ascii="宋体" w:hAnsi="宋体" w:cs="楷体_GB2312"/>
          <w:color w:val="auto"/>
          <w:sz w:val="24"/>
          <w:highlight w:val="none"/>
        </w:rPr>
        <w:t>采购人</w:t>
      </w:r>
      <w:r>
        <w:rPr>
          <w:rFonts w:hint="eastAsia" w:ascii="宋体" w:hAnsi="宋体" w:cs="楷体_GB2312"/>
          <w:color w:val="auto"/>
          <w:sz w:val="24"/>
          <w:highlight w:val="none"/>
          <w:lang w:val="zh-CN"/>
        </w:rPr>
        <w:t>领导牵头，财务、审计、监察、资产管理、技术等部门人员参与，成员不少于五人。验收工作</w:t>
      </w:r>
      <w:r>
        <w:rPr>
          <w:rFonts w:hint="eastAsia" w:ascii="宋体" w:hAnsi="宋体" w:cs="楷体_GB2312"/>
          <w:color w:val="auto"/>
          <w:sz w:val="24"/>
          <w:highlight w:val="none"/>
        </w:rPr>
        <w:t>原则上</w:t>
      </w:r>
      <w:r>
        <w:rPr>
          <w:rFonts w:hint="eastAsia" w:ascii="宋体" w:hAnsi="宋体" w:cs="楷体_GB2312"/>
          <w:color w:val="auto"/>
          <w:sz w:val="24"/>
          <w:highlight w:val="none"/>
          <w:lang w:val="zh-CN"/>
        </w:rPr>
        <w:t>应当邀请采购评审专家参加验收；大型、复杂或者技术性很强的政府采购项目，应当邀请国家认可的质量检测机构参加验收工作；国家规定强制性检测的采购项目，</w:t>
      </w:r>
      <w:r>
        <w:rPr>
          <w:rFonts w:hint="eastAsia" w:ascii="宋体" w:hAnsi="宋体" w:cs="楷体_GB2312"/>
          <w:color w:val="auto"/>
          <w:sz w:val="24"/>
          <w:highlight w:val="none"/>
        </w:rPr>
        <w:t>采购人</w:t>
      </w:r>
      <w:r>
        <w:rPr>
          <w:rFonts w:hint="eastAsia" w:ascii="宋体" w:hAnsi="宋体" w:cs="楷体_GB2312"/>
          <w:color w:val="auto"/>
          <w:sz w:val="24"/>
          <w:highlight w:val="none"/>
          <w:lang w:val="zh-CN"/>
        </w:rPr>
        <w:t>必须委托国家认可专业检测机构进行验收。</w:t>
      </w:r>
    </w:p>
    <w:p w14:paraId="0CD8404F">
      <w:pPr>
        <w:widowControl w:val="0"/>
        <w:adjustRightInd w:val="0"/>
        <w:snapToGrid w:val="0"/>
        <w:spacing w:before="156" w:beforeLines="50" w:line="300" w:lineRule="auto"/>
        <w:ind w:firstLine="561"/>
        <w:rPr>
          <w:rFonts w:ascii="宋体" w:hAnsi="宋体" w:cs="楷体_GB2312"/>
          <w:color w:val="auto"/>
          <w:sz w:val="24"/>
          <w:highlight w:val="none"/>
          <w:lang w:val="zh-CN"/>
        </w:rPr>
      </w:pPr>
      <w:r>
        <w:rPr>
          <w:rFonts w:hint="eastAsia" w:ascii="宋体" w:hAnsi="宋体" w:cs="楷体_GB2312"/>
          <w:color w:val="auto"/>
          <w:sz w:val="24"/>
          <w:highlight w:val="none"/>
        </w:rPr>
        <w:t>3、验收时，验收小组按照采购合同的约定对每一项技术、服务、安全标准的履约情况进行确认。</w:t>
      </w:r>
      <w:r>
        <w:rPr>
          <w:rFonts w:hint="eastAsia" w:ascii="宋体" w:hAnsi="宋体" w:cs="楷体_GB2312"/>
          <w:color w:val="auto"/>
          <w:sz w:val="24"/>
          <w:highlight w:val="none"/>
          <w:lang w:val="zh-CN"/>
        </w:rPr>
        <w:t>验收时需要进行破坏性试验的，供应商应进行充分的配合并提供备品备件。</w:t>
      </w:r>
    </w:p>
    <w:p w14:paraId="0A651931">
      <w:pPr>
        <w:widowControl w:val="0"/>
        <w:adjustRightInd w:val="0"/>
        <w:snapToGrid w:val="0"/>
        <w:spacing w:before="156" w:beforeLines="50" w:line="300" w:lineRule="auto"/>
        <w:ind w:firstLine="561"/>
        <w:rPr>
          <w:rFonts w:ascii="宋体" w:hAnsi="宋体" w:cs="楷体_GB2312"/>
          <w:color w:val="auto"/>
          <w:sz w:val="24"/>
          <w:highlight w:val="none"/>
        </w:rPr>
      </w:pPr>
      <w:r>
        <w:rPr>
          <w:rFonts w:hint="eastAsia" w:ascii="宋体" w:hAnsi="宋体" w:cs="楷体_GB2312"/>
          <w:color w:val="auto"/>
          <w:sz w:val="24"/>
          <w:highlight w:val="none"/>
        </w:rPr>
        <w:t>工程质量必须达到对应专业现行的国家（行业）的技术标准、规范且符合相关环保要求。</w:t>
      </w:r>
    </w:p>
    <w:p w14:paraId="51BA7842">
      <w:pPr>
        <w:widowControl w:val="0"/>
        <w:adjustRightInd w:val="0"/>
        <w:snapToGrid w:val="0"/>
        <w:spacing w:before="156" w:beforeLines="50" w:line="300" w:lineRule="auto"/>
        <w:ind w:firstLine="561"/>
        <w:rPr>
          <w:rFonts w:ascii="宋体" w:hAnsi="宋体" w:cs="楷体_GB2312"/>
          <w:color w:val="auto"/>
          <w:sz w:val="24"/>
          <w:highlight w:val="none"/>
        </w:rPr>
      </w:pPr>
      <w:r>
        <w:rPr>
          <w:rFonts w:hint="eastAsia" w:ascii="宋体" w:hAnsi="宋体" w:cs="楷体_GB2312"/>
          <w:color w:val="auto"/>
          <w:sz w:val="24"/>
          <w:highlight w:val="none"/>
        </w:rPr>
        <w:t>4</w:t>
      </w:r>
      <w:r>
        <w:rPr>
          <w:rFonts w:hint="eastAsia" w:ascii="宋体" w:hAnsi="宋体" w:cs="楷体_GB2312"/>
          <w:color w:val="auto"/>
          <w:sz w:val="24"/>
          <w:highlight w:val="none"/>
          <w:lang w:val="zh-CN"/>
        </w:rPr>
        <w:t>、验收报告：验收后，由采购</w:t>
      </w:r>
      <w:r>
        <w:rPr>
          <w:rFonts w:hint="eastAsia" w:ascii="宋体" w:hAnsi="宋体" w:cs="楷体_GB2312"/>
          <w:color w:val="auto"/>
          <w:sz w:val="24"/>
          <w:highlight w:val="none"/>
        </w:rPr>
        <w:t>人</w:t>
      </w:r>
      <w:r>
        <w:rPr>
          <w:rFonts w:hint="eastAsia" w:ascii="宋体" w:hAnsi="宋体" w:cs="楷体_GB2312"/>
          <w:color w:val="auto"/>
          <w:sz w:val="24"/>
          <w:highlight w:val="none"/>
          <w:lang w:val="zh-CN"/>
        </w:rPr>
        <w:t>及专家等出具验收报告（</w:t>
      </w:r>
      <w:r>
        <w:rPr>
          <w:rFonts w:hint="eastAsia" w:ascii="宋体" w:hAnsi="宋体" w:cs="楷体_GB2312"/>
          <w:color w:val="auto"/>
          <w:sz w:val="24"/>
          <w:highlight w:val="none"/>
        </w:rPr>
        <w:t>自行验收的，由采购人出具</w:t>
      </w:r>
      <w:r>
        <w:rPr>
          <w:rFonts w:hint="eastAsia" w:ascii="宋体" w:hAnsi="宋体" w:cs="楷体_GB2312"/>
          <w:color w:val="auto"/>
          <w:sz w:val="24"/>
          <w:highlight w:val="none"/>
          <w:lang w:val="zh-CN"/>
        </w:rPr>
        <w:t>），国家规定强制性检测的采购项目应附国家认可的专业检测机构出具的验收报告。</w:t>
      </w:r>
    </w:p>
    <w:p w14:paraId="735836D5">
      <w:pPr>
        <w:widowControl w:val="0"/>
        <w:tabs>
          <w:tab w:val="left" w:pos="4678"/>
        </w:tabs>
        <w:snapToGrid w:val="0"/>
        <w:spacing w:before="56" w:after="56" w:line="360" w:lineRule="auto"/>
        <w:ind w:right="85" w:firstLine="555"/>
        <w:rPr>
          <w:rFonts w:ascii="宋体"/>
          <w:color w:val="auto"/>
          <w:sz w:val="24"/>
          <w:szCs w:val="24"/>
          <w:highlight w:val="none"/>
        </w:rPr>
      </w:pPr>
      <w:r>
        <w:rPr>
          <w:rFonts w:hint="eastAsia" w:ascii="宋体" w:hAnsi="宋体" w:cs="楷体_GB2312"/>
          <w:color w:val="auto"/>
          <w:sz w:val="24"/>
          <w:highlight w:val="none"/>
        </w:rPr>
        <w:t>5、</w:t>
      </w:r>
      <w:r>
        <w:rPr>
          <w:rFonts w:hint="eastAsia" w:ascii="宋体" w:hAnsi="宋体" w:cs="楷体_GB2312"/>
          <w:color w:val="auto"/>
          <w:sz w:val="24"/>
          <w:highlight w:val="none"/>
          <w:lang w:val="zh-CN"/>
        </w:rPr>
        <w:t>验收中发现成交供应商未按合同约定的时间、地点或方式履约，提供的货物或服务的数量、质量、性能、功能达不到合同约定的，或者提供假冒伪劣产品等违反合同约定的，验收人员应在验收报告中注明违约情形和事项，并应及时通知财政部门。属假冒伪劣产品的，同时向工商管理、质量监督等行政执法部门举报。</w:t>
      </w:r>
    </w:p>
    <w:p w14:paraId="5E807E27">
      <w:pPr>
        <w:widowControl w:val="0"/>
        <w:tabs>
          <w:tab w:val="left" w:pos="4678"/>
        </w:tabs>
        <w:snapToGrid w:val="0"/>
        <w:spacing w:before="56" w:after="56" w:line="360" w:lineRule="auto"/>
        <w:ind w:right="85" w:firstLine="555"/>
        <w:rPr>
          <w:rFonts w:ascii="宋体"/>
          <w:color w:val="auto"/>
          <w:sz w:val="24"/>
          <w:szCs w:val="24"/>
          <w:highlight w:val="none"/>
        </w:rPr>
      </w:pPr>
      <w:r>
        <w:rPr>
          <w:rFonts w:ascii="宋体" w:hAnsi="宋体"/>
          <w:color w:val="auto"/>
          <w:sz w:val="24"/>
          <w:szCs w:val="24"/>
          <w:highlight w:val="none"/>
        </w:rPr>
        <w:t>26.2</w:t>
      </w:r>
      <w:r>
        <w:rPr>
          <w:rFonts w:hint="eastAsia" w:ascii="宋体" w:hAnsi="宋体"/>
          <w:color w:val="auto"/>
          <w:sz w:val="24"/>
          <w:szCs w:val="24"/>
          <w:highlight w:val="none"/>
        </w:rPr>
        <w:t>付款程序：按供应商须知相关条款编列。</w:t>
      </w:r>
    </w:p>
    <w:p w14:paraId="27383602">
      <w:pPr>
        <w:widowControl w:val="0"/>
        <w:snapToGrid w:val="0"/>
        <w:spacing w:before="56" w:after="56" w:line="360" w:lineRule="auto"/>
        <w:ind w:right="85" w:firstLine="555"/>
        <w:rPr>
          <w:color w:val="auto"/>
          <w:sz w:val="24"/>
          <w:szCs w:val="24"/>
          <w:highlight w:val="none"/>
        </w:rPr>
      </w:pPr>
      <w:r>
        <w:rPr>
          <w:rFonts w:hint="eastAsia" w:ascii="宋体" w:hAnsi="宋体"/>
          <w:color w:val="auto"/>
          <w:sz w:val="24"/>
          <w:szCs w:val="24"/>
          <w:highlight w:val="none"/>
        </w:rPr>
        <w:t>26.3合同遵行《保障中小企业款项支付条例》。</w:t>
      </w:r>
    </w:p>
    <w:p w14:paraId="340D01E8">
      <w:pPr>
        <w:widowControl w:val="0"/>
        <w:adjustRightInd w:val="0"/>
        <w:snapToGrid w:val="0"/>
        <w:spacing w:before="156" w:beforeLines="50" w:line="300" w:lineRule="auto"/>
        <w:ind w:firstLine="566"/>
        <w:rPr>
          <w:rFonts w:ascii="宋体" w:hAnsi="宋体"/>
          <w:color w:val="auto"/>
          <w:sz w:val="24"/>
          <w:szCs w:val="24"/>
          <w:highlight w:val="none"/>
        </w:rPr>
      </w:pPr>
      <w:r>
        <w:rPr>
          <w:rFonts w:hint="eastAsia" w:ascii="宋体"/>
          <w:color w:val="auto"/>
          <w:sz w:val="24"/>
          <w:szCs w:val="24"/>
          <w:highlight w:val="none"/>
        </w:rPr>
        <w:t>26.4</w:t>
      </w:r>
      <w:r>
        <w:rPr>
          <w:rFonts w:hint="eastAsia" w:ascii="宋体" w:hAnsi="宋体"/>
          <w:color w:val="auto"/>
          <w:sz w:val="24"/>
          <w:szCs w:val="24"/>
          <w:highlight w:val="none"/>
        </w:rPr>
        <w:t>甲方要在合同签订后1个工作日内登陆安阳市政府采购网进行备案并公告。</w:t>
      </w:r>
    </w:p>
    <w:p w14:paraId="3D6EC8D5">
      <w:pPr>
        <w:widowControl w:val="0"/>
        <w:adjustRightInd w:val="0"/>
        <w:snapToGrid w:val="0"/>
        <w:spacing w:before="156" w:beforeLines="50" w:line="300" w:lineRule="auto"/>
        <w:ind w:firstLine="566"/>
        <w:rPr>
          <w:rFonts w:ascii="宋体"/>
          <w:color w:val="auto"/>
          <w:sz w:val="24"/>
          <w:szCs w:val="24"/>
          <w:highlight w:val="none"/>
        </w:rPr>
      </w:pPr>
    </w:p>
    <w:p w14:paraId="123C9D1E">
      <w:pPr>
        <w:widowControl w:val="0"/>
        <w:tabs>
          <w:tab w:val="left" w:pos="4678"/>
        </w:tabs>
        <w:snapToGrid w:val="0"/>
        <w:spacing w:before="56" w:after="56" w:line="360" w:lineRule="auto"/>
        <w:ind w:right="85" w:firstLine="555"/>
        <w:rPr>
          <w:color w:val="auto"/>
          <w:sz w:val="24"/>
          <w:szCs w:val="24"/>
          <w:highlight w:val="none"/>
        </w:rPr>
      </w:pPr>
      <w:r>
        <w:rPr>
          <w:rFonts w:hint="eastAsia" w:ascii="宋体" w:hAnsi="宋体"/>
          <w:color w:val="auto"/>
          <w:sz w:val="24"/>
          <w:szCs w:val="24"/>
          <w:highlight w:val="none"/>
        </w:rPr>
        <w:t>注：本合同仅供参考，以双方实际签订合同为准。</w:t>
      </w:r>
    </w:p>
    <w:p w14:paraId="6551CC59">
      <w:pPr>
        <w:autoSpaceDE w:val="0"/>
        <w:autoSpaceDN w:val="0"/>
        <w:adjustRightInd w:val="0"/>
        <w:spacing w:line="360" w:lineRule="auto"/>
        <w:jc w:val="center"/>
        <w:outlineLvl w:val="0"/>
        <w:rPr>
          <w:rFonts w:ascii="宋体"/>
          <w:b/>
          <w:color w:val="auto"/>
          <w:sz w:val="36"/>
          <w:szCs w:val="36"/>
          <w:highlight w:val="none"/>
        </w:rPr>
      </w:pPr>
    </w:p>
    <w:p w14:paraId="38B98A07">
      <w:pPr>
        <w:autoSpaceDE w:val="0"/>
        <w:autoSpaceDN w:val="0"/>
        <w:adjustRightInd w:val="0"/>
        <w:spacing w:line="360" w:lineRule="auto"/>
        <w:outlineLvl w:val="0"/>
        <w:rPr>
          <w:rFonts w:ascii="宋体"/>
          <w:b/>
          <w:color w:val="auto"/>
          <w:sz w:val="36"/>
          <w:szCs w:val="36"/>
          <w:highlight w:val="none"/>
          <w:lang w:val="zh-CN"/>
        </w:rPr>
      </w:pPr>
      <w:r>
        <w:rPr>
          <w:rFonts w:ascii="宋体"/>
          <w:b/>
          <w:color w:val="auto"/>
          <w:sz w:val="36"/>
          <w:szCs w:val="36"/>
          <w:highlight w:val="none"/>
          <w:lang w:val="zh-CN"/>
        </w:rPr>
        <w:br w:type="page"/>
      </w:r>
    </w:p>
    <w:p w14:paraId="0130590D">
      <w:pPr>
        <w:autoSpaceDE w:val="0"/>
        <w:autoSpaceDN w:val="0"/>
        <w:adjustRightInd w:val="0"/>
        <w:spacing w:line="360" w:lineRule="auto"/>
        <w:outlineLvl w:val="0"/>
        <w:rPr>
          <w:rFonts w:ascii="宋体"/>
          <w:b/>
          <w:color w:val="auto"/>
          <w:sz w:val="36"/>
          <w:szCs w:val="36"/>
          <w:highlight w:val="none"/>
          <w:lang w:val="zh-CN"/>
        </w:rPr>
      </w:pPr>
    </w:p>
    <w:p w14:paraId="45C16E46">
      <w:pPr>
        <w:autoSpaceDE w:val="0"/>
        <w:autoSpaceDN w:val="0"/>
        <w:adjustRightInd w:val="0"/>
        <w:spacing w:line="360" w:lineRule="auto"/>
        <w:jc w:val="center"/>
        <w:outlineLvl w:val="0"/>
        <w:rPr>
          <w:rFonts w:ascii="黑体" w:hAnsi="黑体" w:eastAsia="黑体"/>
          <w:b/>
          <w:color w:val="auto"/>
          <w:sz w:val="36"/>
          <w:szCs w:val="36"/>
          <w:highlight w:val="none"/>
          <w:lang w:val="zh-CN"/>
        </w:rPr>
      </w:pPr>
      <w:bookmarkStart w:id="69" w:name="_Toc26757"/>
      <w:r>
        <w:rPr>
          <w:rFonts w:hint="eastAsia" w:ascii="黑体" w:hAnsi="黑体" w:eastAsia="黑体"/>
          <w:b/>
          <w:color w:val="auto"/>
          <w:sz w:val="36"/>
          <w:szCs w:val="36"/>
          <w:highlight w:val="none"/>
          <w:lang w:val="zh-CN"/>
        </w:rPr>
        <w:t>第六章</w:t>
      </w:r>
      <w:r>
        <w:rPr>
          <w:rFonts w:ascii="黑体" w:hAnsi="黑体" w:eastAsia="黑体"/>
          <w:b/>
          <w:color w:val="auto"/>
          <w:sz w:val="36"/>
          <w:szCs w:val="36"/>
          <w:highlight w:val="none"/>
          <w:lang w:val="zh-CN"/>
        </w:rPr>
        <w:t xml:space="preserve">  </w:t>
      </w:r>
      <w:r>
        <w:rPr>
          <w:rFonts w:hint="eastAsia" w:ascii="黑体" w:hAnsi="黑体" w:eastAsia="黑体"/>
          <w:b/>
          <w:color w:val="auto"/>
          <w:sz w:val="36"/>
          <w:szCs w:val="36"/>
          <w:highlight w:val="none"/>
          <w:lang w:val="zh-CN"/>
        </w:rPr>
        <w:t>投标文件格式</w:t>
      </w:r>
      <w:bookmarkEnd w:id="69"/>
    </w:p>
    <w:p w14:paraId="444A6477">
      <w:pPr>
        <w:autoSpaceDE w:val="0"/>
        <w:autoSpaceDN w:val="0"/>
        <w:adjustRightInd w:val="0"/>
        <w:spacing w:line="276" w:lineRule="auto"/>
        <w:ind w:firstLine="514" w:firstLineChars="245"/>
        <w:jc w:val="left"/>
        <w:rPr>
          <w:rFonts w:ascii="宋体"/>
          <w:color w:val="auto"/>
          <w:sz w:val="36"/>
          <w:szCs w:val="36"/>
          <w:highlight w:val="none"/>
          <w:lang w:val="zh-CN"/>
        </w:rPr>
      </w:pPr>
      <w:r>
        <w:rPr>
          <w:rFonts w:hint="eastAsia" w:ascii="宋体" w:hAnsi="宋体"/>
          <w:color w:val="auto"/>
          <w:szCs w:val="21"/>
          <w:highlight w:val="none"/>
          <w:lang w:val="zh-CN"/>
        </w:rPr>
        <w:t>投标人应按“投标人须知</w:t>
      </w:r>
      <w:r>
        <w:rPr>
          <w:rFonts w:ascii="宋体"/>
          <w:color w:val="auto"/>
          <w:szCs w:val="21"/>
          <w:highlight w:val="none"/>
          <w:lang w:val="zh-CN"/>
        </w:rPr>
        <w:t>--</w:t>
      </w:r>
      <w:r>
        <w:rPr>
          <w:rFonts w:hint="eastAsia" w:ascii="宋体" w:hAnsi="宋体"/>
          <w:color w:val="auto"/>
          <w:szCs w:val="21"/>
          <w:highlight w:val="none"/>
          <w:lang w:val="zh-CN"/>
        </w:rPr>
        <w:t>投标文件的组成”列示内容编制投标文件，本章“投标文件格式”仅为对投标文件部分内容的格式化规范，并非投标文件所应具备的全部内容</w:t>
      </w:r>
      <w:r>
        <w:rPr>
          <w:rFonts w:hint="eastAsia" w:ascii="宋体" w:hAnsi="宋体"/>
          <w:color w:val="auto"/>
          <w:sz w:val="36"/>
          <w:szCs w:val="36"/>
          <w:highlight w:val="none"/>
          <w:lang w:val="zh-CN"/>
        </w:rPr>
        <w:t>。</w:t>
      </w:r>
    </w:p>
    <w:p w14:paraId="2AF60E01">
      <w:pPr>
        <w:spacing w:before="936" w:beforeLines="300" w:after="312" w:afterLines="100" w:line="360" w:lineRule="auto"/>
        <w:jc w:val="center"/>
        <w:rPr>
          <w:rFonts w:ascii="宋体" w:hAnsi="宋体"/>
          <w:b/>
          <w:bCs/>
          <w:color w:val="auto"/>
          <w:spacing w:val="100"/>
          <w:sz w:val="72"/>
          <w:szCs w:val="72"/>
          <w:highlight w:val="none"/>
        </w:rPr>
      </w:pPr>
      <w:r>
        <w:rPr>
          <w:rFonts w:hint="eastAsia" w:ascii="宋体" w:hAnsi="宋体"/>
          <w:b/>
          <w:bCs/>
          <w:color w:val="auto"/>
          <w:spacing w:val="100"/>
          <w:sz w:val="36"/>
          <w:szCs w:val="36"/>
          <w:highlight w:val="none"/>
          <w:u w:val="single"/>
        </w:rPr>
        <w:t xml:space="preserve">             </w:t>
      </w:r>
      <w:r>
        <w:rPr>
          <w:rFonts w:ascii="宋体" w:hAnsi="宋体"/>
          <w:b/>
          <w:bCs/>
          <w:color w:val="auto"/>
          <w:spacing w:val="100"/>
          <w:sz w:val="36"/>
          <w:szCs w:val="36"/>
          <w:highlight w:val="none"/>
          <w:u w:val="single"/>
        </w:rPr>
        <w:t xml:space="preserve">   </w:t>
      </w:r>
      <w:r>
        <w:rPr>
          <w:rFonts w:hint="eastAsia" w:ascii="宋体" w:hAnsi="宋体"/>
          <w:b/>
          <w:bCs/>
          <w:color w:val="auto"/>
          <w:spacing w:val="100"/>
          <w:sz w:val="36"/>
          <w:szCs w:val="36"/>
          <w:highlight w:val="none"/>
          <w:u w:val="single"/>
        </w:rPr>
        <w:t xml:space="preserve"> </w:t>
      </w:r>
      <w:r>
        <w:rPr>
          <w:rFonts w:hint="eastAsia" w:ascii="黑体" w:hAnsi="黑体" w:eastAsia="黑体"/>
          <w:b/>
          <w:color w:val="auto"/>
          <w:spacing w:val="60"/>
          <w:sz w:val="72"/>
          <w:szCs w:val="72"/>
          <w:highlight w:val="none"/>
        </w:rPr>
        <w:t>项目</w:t>
      </w:r>
    </w:p>
    <w:p w14:paraId="0210E3C9">
      <w:pPr>
        <w:spacing w:before="936" w:beforeLines="300" w:after="312" w:afterLines="100" w:line="360" w:lineRule="auto"/>
        <w:ind w:firstLine="3339" w:firstLineChars="396"/>
        <w:rPr>
          <w:rFonts w:ascii="宋体" w:hAnsi="宋体"/>
          <w:b/>
          <w:bCs/>
          <w:color w:val="auto"/>
          <w:spacing w:val="100"/>
          <w:sz w:val="36"/>
          <w:szCs w:val="36"/>
          <w:highlight w:val="none"/>
        </w:rPr>
      </w:pPr>
      <w:r>
        <w:rPr>
          <w:rFonts w:hint="eastAsia" w:ascii="黑体" w:hAnsi="黑体" w:eastAsia="黑体"/>
          <w:b/>
          <w:color w:val="auto"/>
          <w:sz w:val="84"/>
          <w:szCs w:val="84"/>
          <w:highlight w:val="none"/>
        </w:rPr>
        <w:t>包</w:t>
      </w:r>
      <w:r>
        <w:rPr>
          <w:rFonts w:hint="eastAsia" w:ascii="黑体" w:hAnsi="黑体" w:eastAsia="黑体"/>
          <w:b/>
          <w:color w:val="auto"/>
          <w:sz w:val="84"/>
          <w:szCs w:val="84"/>
          <w:highlight w:val="none"/>
          <w:u w:val="single"/>
        </w:rPr>
        <w:t xml:space="preserve"> 1 </w:t>
      </w:r>
      <w:r>
        <w:rPr>
          <w:rFonts w:hint="eastAsia" w:ascii="黑体" w:hAnsi="黑体" w:eastAsia="黑体"/>
          <w:b/>
          <w:color w:val="auto"/>
          <w:sz w:val="84"/>
          <w:szCs w:val="84"/>
          <w:highlight w:val="none"/>
        </w:rPr>
        <w:t xml:space="preserve"> </w:t>
      </w:r>
    </w:p>
    <w:p w14:paraId="4D853130">
      <w:pPr>
        <w:spacing w:after="624" w:afterLines="200" w:line="360" w:lineRule="auto"/>
        <w:ind w:left="3996" w:leftChars="299" w:hanging="3368" w:hangingChars="466"/>
        <w:jc w:val="center"/>
        <w:rPr>
          <w:rFonts w:ascii="黑体" w:hAnsi="黑体" w:eastAsia="黑体"/>
          <w:b/>
          <w:color w:val="auto"/>
          <w:spacing w:val="60"/>
          <w:sz w:val="96"/>
          <w:szCs w:val="96"/>
          <w:highlight w:val="none"/>
        </w:rPr>
      </w:pPr>
      <w:r>
        <w:rPr>
          <w:rFonts w:hint="eastAsia" w:ascii="黑体" w:hAnsi="黑体" w:eastAsia="黑体"/>
          <w:b/>
          <w:color w:val="auto"/>
          <w:sz w:val="72"/>
          <w:szCs w:val="72"/>
          <w:highlight w:val="none"/>
          <w:lang w:val="zh-CN"/>
        </w:rPr>
        <w:t>投标文件—符合性响应文件</w:t>
      </w:r>
    </w:p>
    <w:p w14:paraId="66571ABA">
      <w:pPr>
        <w:spacing w:before="156" w:beforeLines="50" w:after="156" w:afterLines="50" w:line="360" w:lineRule="auto"/>
        <w:ind w:firstLine="1744" w:firstLineChars="545"/>
        <w:rPr>
          <w:rFonts w:ascii="宋体" w:hAnsi="宋体"/>
          <w:b/>
          <w:color w:val="auto"/>
          <w:sz w:val="36"/>
          <w:szCs w:val="36"/>
          <w:highlight w:val="none"/>
        </w:rPr>
      </w:pPr>
      <w:r>
        <w:rPr>
          <w:rFonts w:hint="eastAsia" w:ascii="宋体" w:hAnsi="宋体"/>
          <w:color w:val="auto"/>
          <w:sz w:val="32"/>
          <w:szCs w:val="32"/>
          <w:highlight w:val="none"/>
        </w:rPr>
        <w:t>项目编号：</w:t>
      </w:r>
      <w:r>
        <w:rPr>
          <w:rFonts w:hint="eastAsia" w:ascii="宋体" w:hAnsi="宋体"/>
          <w:b/>
          <w:color w:val="auto"/>
          <w:sz w:val="36"/>
          <w:szCs w:val="36"/>
          <w:highlight w:val="none"/>
          <w:u w:val="single"/>
        </w:rPr>
        <w:t xml:space="preserve">                      </w:t>
      </w:r>
    </w:p>
    <w:p w14:paraId="78A737FF">
      <w:pPr>
        <w:spacing w:line="360" w:lineRule="auto"/>
        <w:rPr>
          <w:rFonts w:ascii="宋体" w:hAnsi="宋体"/>
          <w:b/>
          <w:color w:val="auto"/>
          <w:sz w:val="36"/>
          <w:szCs w:val="36"/>
          <w:highlight w:val="none"/>
        </w:rPr>
      </w:pPr>
    </w:p>
    <w:p w14:paraId="32444276">
      <w:pPr>
        <w:spacing w:line="360" w:lineRule="auto"/>
        <w:rPr>
          <w:rFonts w:ascii="宋体" w:hAnsi="宋体"/>
          <w:b/>
          <w:color w:val="auto"/>
          <w:sz w:val="36"/>
          <w:szCs w:val="36"/>
          <w:highlight w:val="none"/>
        </w:rPr>
      </w:pPr>
    </w:p>
    <w:p w14:paraId="41F4B4F4">
      <w:pPr>
        <w:pStyle w:val="58"/>
        <w:spacing w:before="468" w:beforeLines="150" w:after="468" w:afterLines="150" w:line="360" w:lineRule="auto"/>
        <w:jc w:val="both"/>
        <w:rPr>
          <w:rFonts w:hAnsi="宋体"/>
          <w:color w:val="auto"/>
          <w:sz w:val="28"/>
          <w:szCs w:val="28"/>
          <w:highlight w:val="none"/>
        </w:rPr>
      </w:pPr>
      <w:r>
        <w:rPr>
          <w:rFonts w:hint="eastAsia" w:hAnsi="宋体"/>
          <w:color w:val="auto"/>
          <w:sz w:val="28"/>
          <w:szCs w:val="28"/>
          <w:highlight w:val="none"/>
        </w:rPr>
        <w:t>投标人：</w:t>
      </w:r>
      <w:r>
        <w:rPr>
          <w:rFonts w:hint="eastAsia" w:hAnsi="宋体"/>
          <w:color w:val="auto"/>
          <w:sz w:val="28"/>
          <w:szCs w:val="28"/>
          <w:highlight w:val="none"/>
          <w:u w:val="single"/>
        </w:rPr>
        <w:t xml:space="preserve">                                    </w:t>
      </w:r>
      <w:r>
        <w:rPr>
          <w:rFonts w:hint="eastAsia" w:hAnsi="宋体"/>
          <w:color w:val="auto"/>
          <w:sz w:val="28"/>
          <w:szCs w:val="28"/>
          <w:highlight w:val="none"/>
        </w:rPr>
        <w:t>（加盖电子签章）</w:t>
      </w:r>
    </w:p>
    <w:p w14:paraId="78A3EAD6">
      <w:pPr>
        <w:pStyle w:val="58"/>
        <w:spacing w:before="468" w:beforeLines="150" w:after="468" w:afterLines="150" w:line="360" w:lineRule="auto"/>
        <w:jc w:val="both"/>
        <w:rPr>
          <w:rFonts w:hAnsi="宋体"/>
          <w:color w:val="auto"/>
          <w:sz w:val="28"/>
          <w:szCs w:val="28"/>
          <w:highlight w:val="none"/>
          <w:u w:val="single"/>
        </w:rPr>
      </w:pPr>
      <w:r>
        <w:rPr>
          <w:rFonts w:hint="eastAsia" w:hAnsi="宋体"/>
          <w:color w:val="auto"/>
          <w:sz w:val="28"/>
          <w:szCs w:val="28"/>
          <w:highlight w:val="none"/>
        </w:rPr>
        <w:t>法定代表人：</w:t>
      </w:r>
      <w:r>
        <w:rPr>
          <w:rFonts w:hAnsi="宋体"/>
          <w:color w:val="auto"/>
          <w:sz w:val="28"/>
          <w:szCs w:val="28"/>
          <w:highlight w:val="none"/>
          <w:u w:val="single"/>
        </w:rPr>
        <w:t xml:space="preserve">                       </w:t>
      </w:r>
      <w:r>
        <w:rPr>
          <w:rFonts w:hint="eastAsia" w:hAnsi="宋体"/>
          <w:color w:val="auto"/>
          <w:sz w:val="28"/>
          <w:szCs w:val="28"/>
          <w:highlight w:val="none"/>
          <w:u w:val="single"/>
        </w:rPr>
        <w:t xml:space="preserve">      </w:t>
      </w:r>
      <w:r>
        <w:rPr>
          <w:rFonts w:hAnsi="宋体"/>
          <w:color w:val="auto"/>
          <w:sz w:val="28"/>
          <w:szCs w:val="28"/>
          <w:highlight w:val="none"/>
          <w:u w:val="single"/>
        </w:rPr>
        <w:t xml:space="preserve">   </w:t>
      </w:r>
      <w:r>
        <w:rPr>
          <w:rFonts w:hint="eastAsia" w:hAnsi="宋体"/>
          <w:color w:val="auto"/>
          <w:sz w:val="28"/>
          <w:szCs w:val="28"/>
          <w:highlight w:val="none"/>
        </w:rPr>
        <w:t>（加盖电子签名或签章）</w:t>
      </w:r>
    </w:p>
    <w:p w14:paraId="1F43E512">
      <w:pPr>
        <w:spacing w:before="468" w:beforeLines="150" w:after="468" w:afterLines="150" w:line="586" w:lineRule="atLeast"/>
        <w:rPr>
          <w:rFonts w:ascii="宋体" w:hAnsi="宋体"/>
          <w:color w:val="auto"/>
          <w:sz w:val="28"/>
          <w:szCs w:val="28"/>
          <w:highlight w:val="none"/>
        </w:rPr>
      </w:pPr>
      <w:r>
        <w:rPr>
          <w:rFonts w:hint="eastAsia" w:ascii="宋体" w:hAnsi="宋体"/>
          <w:color w:val="auto"/>
          <w:sz w:val="28"/>
          <w:szCs w:val="28"/>
          <w:highlight w:val="none"/>
        </w:rPr>
        <w:t>投标日期：</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年</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月</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日</w:t>
      </w:r>
    </w:p>
    <w:p w14:paraId="3D785EA7">
      <w:pPr>
        <w:widowControl w:val="0"/>
        <w:snapToGrid w:val="0"/>
        <w:spacing w:line="560" w:lineRule="exact"/>
        <w:rPr>
          <w:rFonts w:eastAsia="方正黑体简体"/>
          <w:b/>
          <w:color w:val="auto"/>
          <w:sz w:val="30"/>
          <w:szCs w:val="30"/>
          <w:highlight w:val="none"/>
        </w:rPr>
      </w:pPr>
    </w:p>
    <w:p w14:paraId="62000621">
      <w:pPr>
        <w:spacing w:line="351" w:lineRule="atLeast"/>
        <w:ind w:left="419"/>
        <w:jc w:val="center"/>
        <w:rPr>
          <w:rFonts w:ascii="黑体" w:eastAsia="黑体"/>
          <w:b/>
          <w:color w:val="auto"/>
          <w:spacing w:val="60"/>
          <w:sz w:val="36"/>
          <w:szCs w:val="36"/>
          <w:highlight w:val="none"/>
        </w:rPr>
      </w:pPr>
      <w:r>
        <w:rPr>
          <w:rFonts w:hint="eastAsia" w:ascii="黑体" w:eastAsia="黑体"/>
          <w:b/>
          <w:color w:val="auto"/>
          <w:spacing w:val="60"/>
          <w:sz w:val="36"/>
          <w:szCs w:val="36"/>
          <w:highlight w:val="none"/>
        </w:rPr>
        <w:t>目录</w:t>
      </w:r>
    </w:p>
    <w:p w14:paraId="037DE02F">
      <w:pPr>
        <w:snapToGrid w:val="0"/>
        <w:spacing w:line="560" w:lineRule="atLeast"/>
        <w:textAlignment w:val="top"/>
        <w:rPr>
          <w:rFonts w:ascii="宋体" w:hAnsi="宋体"/>
          <w:color w:val="auto"/>
          <w:sz w:val="24"/>
          <w:szCs w:val="24"/>
          <w:highlight w:val="none"/>
        </w:rPr>
      </w:pPr>
      <w:r>
        <w:rPr>
          <w:rFonts w:hint="eastAsia" w:ascii="宋体" w:hAnsi="宋体"/>
          <w:color w:val="auto"/>
          <w:sz w:val="24"/>
          <w:szCs w:val="24"/>
          <w:highlight w:val="none"/>
        </w:rPr>
        <w:t>1.投标书</w:t>
      </w:r>
    </w:p>
    <w:p w14:paraId="48CA746F">
      <w:pPr>
        <w:snapToGrid w:val="0"/>
        <w:spacing w:line="560" w:lineRule="atLeast"/>
        <w:textAlignment w:val="top"/>
        <w:rPr>
          <w:rFonts w:ascii="宋体" w:hAnsi="宋体"/>
          <w:color w:val="auto"/>
          <w:sz w:val="24"/>
          <w:szCs w:val="24"/>
          <w:highlight w:val="none"/>
        </w:rPr>
      </w:pPr>
      <w:r>
        <w:rPr>
          <w:rFonts w:hint="eastAsia" w:ascii="宋体" w:hAnsi="宋体"/>
          <w:color w:val="auto"/>
          <w:sz w:val="24"/>
          <w:szCs w:val="24"/>
          <w:highlight w:val="none"/>
        </w:rPr>
        <w:t>2. 开标一览表（即交易系统中报价一览表）</w:t>
      </w:r>
    </w:p>
    <w:p w14:paraId="57A88C4F">
      <w:pPr>
        <w:snapToGrid w:val="0"/>
        <w:spacing w:line="560" w:lineRule="atLeast"/>
        <w:textAlignment w:val="top"/>
        <w:rPr>
          <w:rFonts w:ascii="宋体" w:hAnsi="宋体"/>
          <w:color w:val="auto"/>
          <w:sz w:val="24"/>
          <w:szCs w:val="24"/>
          <w:highlight w:val="none"/>
        </w:rPr>
      </w:pPr>
      <w:r>
        <w:rPr>
          <w:rFonts w:hint="eastAsia" w:ascii="宋体" w:hAnsi="宋体"/>
          <w:color w:val="auto"/>
          <w:sz w:val="24"/>
          <w:szCs w:val="24"/>
          <w:highlight w:val="none"/>
        </w:rPr>
        <w:t>3.</w:t>
      </w:r>
      <w:r>
        <w:rPr>
          <w:rFonts w:hint="eastAsia"/>
          <w:color w:val="auto"/>
          <w:sz w:val="24"/>
          <w:highlight w:val="none"/>
        </w:rPr>
        <w:t>投标报价明细表</w:t>
      </w:r>
    </w:p>
    <w:p w14:paraId="24389B4C">
      <w:pPr>
        <w:snapToGrid w:val="0"/>
        <w:spacing w:line="560" w:lineRule="atLeast"/>
        <w:textAlignment w:val="top"/>
        <w:rPr>
          <w:rFonts w:ascii="宋体" w:hAnsi="宋体"/>
          <w:color w:val="auto"/>
          <w:sz w:val="24"/>
          <w:szCs w:val="24"/>
          <w:highlight w:val="none"/>
        </w:rPr>
      </w:pPr>
      <w:r>
        <w:rPr>
          <w:rFonts w:hint="eastAsia" w:ascii="宋体" w:hAnsi="宋体"/>
          <w:color w:val="auto"/>
          <w:sz w:val="24"/>
          <w:szCs w:val="24"/>
          <w:highlight w:val="none"/>
        </w:rPr>
        <w:t>4.投标产品清单及其技术参数，安装调试方案</w:t>
      </w:r>
    </w:p>
    <w:p w14:paraId="116203E8">
      <w:pPr>
        <w:snapToGrid w:val="0"/>
        <w:spacing w:line="560" w:lineRule="atLeast"/>
        <w:textAlignment w:val="top"/>
        <w:rPr>
          <w:color w:val="auto"/>
          <w:sz w:val="24"/>
          <w:highlight w:val="none"/>
        </w:rPr>
      </w:pPr>
      <w:r>
        <w:rPr>
          <w:rFonts w:hint="eastAsia" w:ascii="宋体" w:hAnsi="宋体"/>
          <w:color w:val="auto"/>
          <w:sz w:val="24"/>
          <w:szCs w:val="24"/>
          <w:highlight w:val="none"/>
        </w:rPr>
        <w:t>5. 技术偏差表</w:t>
      </w:r>
    </w:p>
    <w:p w14:paraId="45B4CEE9">
      <w:pPr>
        <w:snapToGrid w:val="0"/>
        <w:spacing w:line="560" w:lineRule="atLeast"/>
        <w:textAlignment w:val="top"/>
        <w:rPr>
          <w:rFonts w:ascii="宋体" w:hAnsi="宋体"/>
          <w:color w:val="auto"/>
          <w:sz w:val="24"/>
          <w:szCs w:val="24"/>
          <w:highlight w:val="none"/>
        </w:rPr>
      </w:pPr>
      <w:r>
        <w:rPr>
          <w:rFonts w:hint="eastAsia" w:ascii="宋体" w:hAnsi="宋体"/>
          <w:color w:val="auto"/>
          <w:sz w:val="24"/>
          <w:szCs w:val="24"/>
          <w:highlight w:val="none"/>
        </w:rPr>
        <w:t>6.其他偏差表（除技术偏差外）</w:t>
      </w:r>
    </w:p>
    <w:p w14:paraId="5DE3A951">
      <w:pPr>
        <w:snapToGrid w:val="0"/>
        <w:spacing w:line="560" w:lineRule="atLeast"/>
        <w:textAlignment w:val="top"/>
        <w:rPr>
          <w:rFonts w:ascii="宋体" w:hAnsi="宋体"/>
          <w:color w:val="auto"/>
          <w:sz w:val="24"/>
          <w:szCs w:val="24"/>
          <w:highlight w:val="none"/>
        </w:rPr>
      </w:pPr>
      <w:r>
        <w:rPr>
          <w:rFonts w:hint="eastAsia" w:ascii="宋体" w:hAnsi="宋体"/>
          <w:color w:val="auto"/>
          <w:sz w:val="24"/>
          <w:szCs w:val="24"/>
          <w:highlight w:val="none"/>
        </w:rPr>
        <w:t>7.</w:t>
      </w:r>
      <w:r>
        <w:rPr>
          <w:rFonts w:hint="eastAsia"/>
          <w:color w:val="auto"/>
          <w:sz w:val="24"/>
          <w:szCs w:val="24"/>
          <w:highlight w:val="none"/>
        </w:rPr>
        <w:t xml:space="preserve"> </w:t>
      </w:r>
      <w:r>
        <w:rPr>
          <w:rFonts w:hint="eastAsia" w:ascii="宋体" w:hAnsi="宋体"/>
          <w:color w:val="auto"/>
          <w:sz w:val="24"/>
          <w:szCs w:val="24"/>
          <w:highlight w:val="none"/>
        </w:rPr>
        <w:t>售后服务计划</w:t>
      </w:r>
    </w:p>
    <w:p w14:paraId="2DE0A432">
      <w:pPr>
        <w:snapToGrid w:val="0"/>
        <w:spacing w:line="560" w:lineRule="atLeast"/>
        <w:textAlignment w:val="top"/>
        <w:rPr>
          <w:color w:val="auto"/>
          <w:sz w:val="24"/>
          <w:highlight w:val="none"/>
        </w:rPr>
      </w:pPr>
      <w:r>
        <w:rPr>
          <w:rFonts w:ascii="宋体" w:hAnsi="宋体" w:cs="楷体_GB2312"/>
          <w:color w:val="auto"/>
          <w:sz w:val="24"/>
          <w:highlight w:val="none"/>
          <w:lang w:val="zh-CN"/>
        </w:rPr>
        <w:t>8</w:t>
      </w:r>
      <w:r>
        <w:rPr>
          <w:rFonts w:hint="eastAsia" w:ascii="宋体" w:hAnsi="宋体" w:cs="楷体_GB2312"/>
          <w:color w:val="auto"/>
          <w:sz w:val="24"/>
          <w:highlight w:val="none"/>
          <w:lang w:val="zh-CN"/>
        </w:rPr>
        <w:t>．</w:t>
      </w:r>
      <w:r>
        <w:rPr>
          <w:rFonts w:hint="eastAsia"/>
          <w:color w:val="auto"/>
          <w:sz w:val="24"/>
          <w:highlight w:val="none"/>
        </w:rPr>
        <w:t>反商业贿赂承诺书</w:t>
      </w:r>
    </w:p>
    <w:p w14:paraId="704131AF">
      <w:pPr>
        <w:snapToGrid w:val="0"/>
        <w:spacing w:line="560" w:lineRule="atLeast"/>
        <w:textAlignment w:val="top"/>
        <w:rPr>
          <w:rFonts w:ascii="宋体" w:hAnsi="宋体"/>
          <w:color w:val="auto"/>
          <w:sz w:val="24"/>
          <w:szCs w:val="24"/>
          <w:highlight w:val="none"/>
        </w:rPr>
      </w:pPr>
      <w:r>
        <w:rPr>
          <w:rFonts w:hint="eastAsia" w:ascii="宋体" w:hAnsi="宋体"/>
          <w:color w:val="auto"/>
          <w:sz w:val="24"/>
          <w:szCs w:val="24"/>
          <w:highlight w:val="none"/>
        </w:rPr>
        <w:t>9.</w:t>
      </w:r>
      <w:r>
        <w:rPr>
          <w:rFonts w:hint="eastAsia"/>
          <w:color w:val="auto"/>
          <w:sz w:val="24"/>
          <w:szCs w:val="24"/>
          <w:highlight w:val="none"/>
        </w:rPr>
        <w:t xml:space="preserve"> </w:t>
      </w:r>
      <w:r>
        <w:rPr>
          <w:rFonts w:hint="eastAsia" w:ascii="宋体" w:hAnsi="宋体"/>
          <w:color w:val="auto"/>
          <w:sz w:val="24"/>
          <w:szCs w:val="24"/>
          <w:highlight w:val="none"/>
        </w:rPr>
        <w:t>履约承诺书</w:t>
      </w:r>
    </w:p>
    <w:p w14:paraId="48161561">
      <w:pPr>
        <w:snapToGrid w:val="0"/>
        <w:spacing w:line="560" w:lineRule="atLeast"/>
        <w:textAlignment w:val="top"/>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0</w:t>
      </w:r>
      <w:r>
        <w:rPr>
          <w:rFonts w:hint="eastAsia" w:ascii="宋体" w:hAnsi="宋体"/>
          <w:color w:val="auto"/>
          <w:sz w:val="24"/>
          <w:szCs w:val="24"/>
          <w:highlight w:val="none"/>
        </w:rPr>
        <w:t xml:space="preserve">. </w:t>
      </w:r>
      <w:r>
        <w:rPr>
          <w:rFonts w:hint="eastAsia"/>
          <w:color w:val="auto"/>
          <w:sz w:val="24"/>
          <w:highlight w:val="none"/>
        </w:rPr>
        <w:t>招标项目要求及采购需求</w:t>
      </w:r>
      <w:r>
        <w:rPr>
          <w:rFonts w:hint="eastAsia" w:ascii="宋体" w:hAnsi="宋体"/>
          <w:color w:val="auto"/>
          <w:sz w:val="24"/>
          <w:szCs w:val="24"/>
          <w:highlight w:val="none"/>
        </w:rPr>
        <w:t>所需的其他材料</w:t>
      </w:r>
    </w:p>
    <w:p w14:paraId="086E8E5F">
      <w:pPr>
        <w:snapToGrid w:val="0"/>
        <w:spacing w:line="560" w:lineRule="atLeast"/>
        <w:textAlignment w:val="top"/>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1</w:t>
      </w:r>
      <w:r>
        <w:rPr>
          <w:rFonts w:hint="eastAsia" w:ascii="宋体" w:hAnsi="宋体"/>
          <w:color w:val="auto"/>
          <w:sz w:val="24"/>
          <w:szCs w:val="24"/>
          <w:highlight w:val="none"/>
        </w:rPr>
        <w:t>.投标人须知所需的其他材料</w:t>
      </w:r>
    </w:p>
    <w:p w14:paraId="300E09C7">
      <w:pPr>
        <w:snapToGrid w:val="0"/>
        <w:spacing w:line="560" w:lineRule="atLeast"/>
        <w:textAlignment w:val="top"/>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2</w:t>
      </w:r>
      <w:r>
        <w:rPr>
          <w:rFonts w:hint="eastAsia" w:ascii="宋体" w:hAnsi="宋体"/>
          <w:color w:val="auto"/>
          <w:sz w:val="24"/>
          <w:szCs w:val="24"/>
          <w:highlight w:val="none"/>
        </w:rPr>
        <w:t>.评标办法所需的其他材料</w:t>
      </w:r>
    </w:p>
    <w:p w14:paraId="0E98EF56">
      <w:pPr>
        <w:snapToGrid w:val="0"/>
        <w:spacing w:line="560" w:lineRule="atLeast"/>
        <w:textAlignment w:val="top"/>
        <w:rPr>
          <w:rFonts w:ascii="宋体" w:hAnsi="宋体"/>
          <w:color w:val="auto"/>
          <w:sz w:val="24"/>
          <w:szCs w:val="24"/>
          <w:highlight w:val="none"/>
        </w:rPr>
      </w:pPr>
      <w:r>
        <w:rPr>
          <w:rFonts w:hint="eastAsia" w:ascii="宋体" w:hAnsi="宋体"/>
          <w:color w:val="auto"/>
          <w:sz w:val="24"/>
          <w:szCs w:val="24"/>
          <w:highlight w:val="none"/>
        </w:rPr>
        <w:t>12-1. 其它材料</w:t>
      </w:r>
    </w:p>
    <w:p w14:paraId="02FEB519">
      <w:pPr>
        <w:snapToGrid w:val="0"/>
        <w:spacing w:line="560" w:lineRule="atLeast"/>
        <w:textAlignment w:val="top"/>
        <w:rPr>
          <w:rFonts w:ascii="宋体" w:hAnsi="宋体"/>
          <w:color w:val="auto"/>
          <w:sz w:val="24"/>
          <w:szCs w:val="24"/>
          <w:highlight w:val="none"/>
        </w:rPr>
      </w:pPr>
      <w:r>
        <w:rPr>
          <w:rFonts w:hint="eastAsia" w:ascii="宋体" w:hAnsi="宋体"/>
          <w:color w:val="auto"/>
          <w:sz w:val="24"/>
          <w:szCs w:val="24"/>
          <w:highlight w:val="none"/>
        </w:rPr>
        <w:t>12-2.附件（如需）：关于台式计算机、便携式计算机、一体式计算机、工作站、通用服务器、操作系统、数据库的投标要求、评审注意事项、承诺函。</w:t>
      </w:r>
    </w:p>
    <w:p w14:paraId="63A5928E">
      <w:pPr>
        <w:snapToGrid w:val="0"/>
        <w:spacing w:line="560" w:lineRule="atLeast"/>
        <w:textAlignment w:val="top"/>
        <w:rPr>
          <w:rFonts w:ascii="宋体" w:hAnsi="宋体"/>
          <w:color w:val="auto"/>
          <w:sz w:val="24"/>
          <w:szCs w:val="24"/>
          <w:highlight w:val="none"/>
        </w:rPr>
      </w:pPr>
      <w:r>
        <w:rPr>
          <w:rFonts w:hint="eastAsia" w:ascii="宋体" w:hAnsi="宋体"/>
          <w:color w:val="auto"/>
          <w:sz w:val="24"/>
          <w:szCs w:val="24"/>
          <w:highlight w:val="none"/>
        </w:rPr>
        <w:t>12-3附件：</w:t>
      </w:r>
      <w:r>
        <w:rPr>
          <w:rFonts w:hint="eastAsia" w:asciiTheme="minorEastAsia" w:hAnsiTheme="minorEastAsia" w:eastAsiaTheme="minorEastAsia" w:cstheme="minorEastAsia"/>
          <w:color w:val="auto"/>
          <w:sz w:val="24"/>
          <w:szCs w:val="24"/>
          <w:highlight w:val="none"/>
        </w:rPr>
        <w:t>证明材料查询核验工作的清单及要求</w:t>
      </w:r>
    </w:p>
    <w:p w14:paraId="16FD5D62">
      <w:pPr>
        <w:snapToGrid w:val="0"/>
        <w:spacing w:line="560" w:lineRule="atLeast"/>
        <w:textAlignment w:val="top"/>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3</w:t>
      </w:r>
      <w:r>
        <w:rPr>
          <w:rFonts w:hint="eastAsia" w:ascii="宋体" w:hAnsi="宋体"/>
          <w:color w:val="auto"/>
          <w:sz w:val="24"/>
          <w:szCs w:val="24"/>
          <w:highlight w:val="none"/>
        </w:rPr>
        <w:t>.投标人认为有必要提交的其它材料</w:t>
      </w:r>
    </w:p>
    <w:p w14:paraId="1CF543D9">
      <w:pPr>
        <w:snapToGrid w:val="0"/>
        <w:spacing w:line="560" w:lineRule="atLeast"/>
        <w:textAlignment w:val="top"/>
        <w:rPr>
          <w:rFonts w:ascii="宋体" w:hAnsi="宋体"/>
          <w:color w:val="auto"/>
          <w:sz w:val="24"/>
          <w:szCs w:val="24"/>
          <w:highlight w:val="none"/>
        </w:rPr>
      </w:pPr>
      <w:r>
        <w:rPr>
          <w:rFonts w:hint="eastAsia" w:ascii="宋体" w:hAnsi="宋体"/>
          <w:color w:val="auto"/>
          <w:sz w:val="24"/>
          <w:szCs w:val="24"/>
          <w:highlight w:val="none"/>
        </w:rPr>
        <w:t>13</w:t>
      </w:r>
      <w:r>
        <w:rPr>
          <w:rFonts w:hint="eastAsia" w:asciiTheme="minorEastAsia" w:hAnsiTheme="minorEastAsia" w:eastAsiaTheme="minorEastAsia"/>
          <w:color w:val="auto"/>
          <w:sz w:val="24"/>
          <w:szCs w:val="24"/>
          <w:highlight w:val="none"/>
        </w:rPr>
        <w:t>-</w:t>
      </w:r>
      <w:r>
        <w:rPr>
          <w:rFonts w:hint="eastAsia" w:ascii="宋体" w:hAnsi="宋体"/>
          <w:color w:val="auto"/>
          <w:sz w:val="24"/>
          <w:szCs w:val="24"/>
          <w:highlight w:val="none"/>
        </w:rPr>
        <w:t>1.中小企业声明函(如有)、残疾人福利性单位声明函（如符合条件时填写*）</w:t>
      </w:r>
    </w:p>
    <w:p w14:paraId="59692D81">
      <w:pPr>
        <w:widowControl w:val="0"/>
        <w:snapToGrid w:val="0"/>
        <w:spacing w:line="560" w:lineRule="exact"/>
        <w:rPr>
          <w:rFonts w:ascii="宋体" w:hAnsi="宋体"/>
          <w:color w:val="auto"/>
          <w:sz w:val="24"/>
          <w:szCs w:val="24"/>
          <w:highlight w:val="none"/>
        </w:rPr>
      </w:pPr>
      <w:r>
        <w:rPr>
          <w:rFonts w:hint="eastAsia" w:ascii="宋体" w:hAnsi="宋体"/>
          <w:color w:val="auto"/>
          <w:sz w:val="24"/>
          <w:szCs w:val="24"/>
          <w:highlight w:val="none"/>
        </w:rPr>
        <w:t>13</w:t>
      </w:r>
      <w:r>
        <w:rPr>
          <w:rFonts w:hint="eastAsia" w:asciiTheme="minorEastAsia" w:hAnsiTheme="minorEastAsia" w:eastAsiaTheme="minorEastAsia"/>
          <w:color w:val="auto"/>
          <w:sz w:val="24"/>
          <w:szCs w:val="24"/>
          <w:highlight w:val="none"/>
        </w:rPr>
        <w:t>-</w:t>
      </w:r>
      <w:r>
        <w:rPr>
          <w:rFonts w:hint="eastAsia" w:ascii="宋体" w:hAnsi="宋体"/>
          <w:color w:val="auto"/>
          <w:sz w:val="24"/>
          <w:szCs w:val="24"/>
          <w:highlight w:val="none"/>
        </w:rPr>
        <w:t>2.其它材料</w:t>
      </w:r>
    </w:p>
    <w:p w14:paraId="3407E8D8">
      <w:pPr>
        <w:snapToGrid w:val="0"/>
        <w:spacing w:line="560" w:lineRule="atLeast"/>
        <w:textAlignment w:val="top"/>
        <w:rPr>
          <w:rFonts w:ascii="仿宋_GB2312" w:eastAsia="仿宋_GB2312"/>
          <w:color w:val="auto"/>
          <w:sz w:val="32"/>
          <w:szCs w:val="32"/>
          <w:highlight w:val="none"/>
        </w:rPr>
      </w:pPr>
    </w:p>
    <w:p w14:paraId="4D2116AC">
      <w:pPr>
        <w:spacing w:line="351" w:lineRule="atLeast"/>
        <w:ind w:left="419"/>
        <w:jc w:val="center"/>
        <w:rPr>
          <w:rFonts w:ascii="黑体" w:eastAsia="黑体"/>
          <w:b/>
          <w:color w:val="auto"/>
          <w:spacing w:val="60"/>
          <w:sz w:val="36"/>
          <w:szCs w:val="36"/>
          <w:highlight w:val="none"/>
        </w:rPr>
      </w:pPr>
      <w:r>
        <w:rPr>
          <w:rFonts w:ascii="黑体" w:eastAsia="黑体"/>
          <w:b/>
          <w:color w:val="auto"/>
          <w:spacing w:val="60"/>
          <w:sz w:val="36"/>
          <w:szCs w:val="36"/>
          <w:highlight w:val="none"/>
        </w:rPr>
        <w:br w:type="page"/>
      </w:r>
    </w:p>
    <w:p w14:paraId="29CF55EE">
      <w:pPr>
        <w:spacing w:line="351" w:lineRule="atLeast"/>
        <w:ind w:left="419"/>
        <w:jc w:val="center"/>
        <w:rPr>
          <w:rFonts w:ascii="黑体" w:eastAsia="黑体"/>
          <w:b/>
          <w:color w:val="auto"/>
          <w:spacing w:val="60"/>
          <w:sz w:val="36"/>
          <w:szCs w:val="36"/>
          <w:highlight w:val="none"/>
        </w:rPr>
      </w:pPr>
    </w:p>
    <w:p w14:paraId="34117DBE">
      <w:pPr>
        <w:spacing w:line="351" w:lineRule="atLeast"/>
        <w:ind w:left="419"/>
        <w:jc w:val="center"/>
        <w:rPr>
          <w:rFonts w:ascii="黑体" w:eastAsia="黑体"/>
          <w:b/>
          <w:color w:val="auto"/>
          <w:spacing w:val="60"/>
          <w:sz w:val="36"/>
          <w:szCs w:val="36"/>
          <w:highlight w:val="none"/>
        </w:rPr>
      </w:pPr>
      <w:r>
        <w:rPr>
          <w:rFonts w:hint="eastAsia" w:ascii="黑体" w:eastAsia="黑体"/>
          <w:b/>
          <w:color w:val="auto"/>
          <w:spacing w:val="60"/>
          <w:sz w:val="36"/>
          <w:szCs w:val="36"/>
          <w:highlight w:val="none"/>
        </w:rPr>
        <w:t>1、投标书</w:t>
      </w:r>
    </w:p>
    <w:p w14:paraId="582B5F84">
      <w:pPr>
        <w:widowControl w:val="0"/>
        <w:snapToGrid w:val="0"/>
        <w:spacing w:line="560" w:lineRule="exact"/>
        <w:rPr>
          <w:color w:val="auto"/>
          <w:sz w:val="28"/>
          <w:highlight w:val="none"/>
        </w:rPr>
      </w:pPr>
    </w:p>
    <w:p w14:paraId="1A90A4E6">
      <w:pPr>
        <w:widowControl w:val="0"/>
        <w:snapToGrid w:val="0"/>
        <w:spacing w:line="360" w:lineRule="auto"/>
        <w:rPr>
          <w:color w:val="auto"/>
          <w:sz w:val="24"/>
          <w:szCs w:val="24"/>
          <w:highlight w:val="none"/>
        </w:rPr>
      </w:pPr>
      <w:r>
        <w:rPr>
          <w:rFonts w:hint="eastAsia"/>
          <w:color w:val="auto"/>
          <w:sz w:val="24"/>
          <w:szCs w:val="24"/>
          <w:highlight w:val="none"/>
        </w:rPr>
        <w:t>致：安阳市方正招标采购服务有限责任公司</w:t>
      </w:r>
    </w:p>
    <w:p w14:paraId="3F5EC56D">
      <w:pPr>
        <w:widowControl w:val="0"/>
        <w:snapToGrid w:val="0"/>
        <w:spacing w:line="360" w:lineRule="auto"/>
        <w:ind w:firstLine="578"/>
        <w:textAlignment w:val="top"/>
        <w:rPr>
          <w:color w:val="auto"/>
          <w:sz w:val="24"/>
          <w:szCs w:val="24"/>
          <w:highlight w:val="none"/>
        </w:rPr>
      </w:pPr>
      <w:r>
        <w:rPr>
          <w:rFonts w:hint="eastAsia"/>
          <w:color w:val="auto"/>
          <w:sz w:val="24"/>
          <w:szCs w:val="24"/>
          <w:highlight w:val="none"/>
        </w:rPr>
        <w:t>根据贵方公开招标</w:t>
      </w:r>
      <w:r>
        <w:rPr>
          <w:rFonts w:hint="eastAsia"/>
          <w:color w:val="auto"/>
          <w:sz w:val="18"/>
          <w:szCs w:val="18"/>
          <w:highlight w:val="none"/>
          <w:u w:val="single"/>
        </w:rPr>
        <w:t>（项目名称）</w:t>
      </w:r>
      <w:r>
        <w:rPr>
          <w:color w:val="auto"/>
          <w:sz w:val="18"/>
          <w:szCs w:val="18"/>
          <w:highlight w:val="none"/>
          <w:u w:val="single"/>
        </w:rPr>
        <w:t xml:space="preserve">               </w:t>
      </w:r>
      <w:r>
        <w:rPr>
          <w:rFonts w:hint="eastAsia"/>
          <w:color w:val="auto"/>
          <w:sz w:val="24"/>
          <w:szCs w:val="24"/>
          <w:highlight w:val="none"/>
        </w:rPr>
        <w:t>的招标文件（项目编号：</w:t>
      </w:r>
      <w:r>
        <w:rPr>
          <w:color w:val="auto"/>
          <w:sz w:val="24"/>
          <w:szCs w:val="24"/>
          <w:highlight w:val="none"/>
          <w:u w:val="single"/>
        </w:rPr>
        <w:t xml:space="preserve">         </w:t>
      </w:r>
      <w:r>
        <w:rPr>
          <w:rFonts w:hint="eastAsia"/>
          <w:color w:val="auto"/>
          <w:sz w:val="24"/>
          <w:szCs w:val="24"/>
          <w:highlight w:val="none"/>
        </w:rPr>
        <w:t>），经详细研究，我们决定参加该项目的采购活动并按要求提交投标文件。我们郑重声明对我单位提交的所有投标资料的真实准确完整承担完全责任、并对之负法律责任。</w:t>
      </w:r>
    </w:p>
    <w:p w14:paraId="49C4B4F8">
      <w:pPr>
        <w:adjustRightInd w:val="0"/>
        <w:snapToGrid w:val="0"/>
        <w:spacing w:before="156" w:beforeLines="50" w:line="300" w:lineRule="auto"/>
        <w:ind w:firstLine="539"/>
        <w:textAlignment w:val="top"/>
        <w:rPr>
          <w:rFonts w:ascii="黑体" w:hAnsi="黑体" w:eastAsia="黑体"/>
          <w:b/>
          <w:color w:val="auto"/>
          <w:highlight w:val="none"/>
        </w:rPr>
      </w:pPr>
      <w:r>
        <w:rPr>
          <w:rFonts w:hint="eastAsia" w:ascii="黑体" w:hAnsi="黑体" w:eastAsia="黑体" w:cs="楷体_GB2312"/>
          <w:b/>
          <w:color w:val="auto"/>
          <w:sz w:val="24"/>
          <w:highlight w:val="none"/>
          <w:lang w:val="zh-CN"/>
        </w:rPr>
        <w:t>符</w:t>
      </w:r>
      <w:r>
        <w:rPr>
          <w:rFonts w:ascii="黑体" w:hAnsi="黑体" w:eastAsia="黑体" w:cs="楷体_GB2312"/>
          <w:b/>
          <w:color w:val="auto"/>
          <w:sz w:val="24"/>
          <w:highlight w:val="none"/>
          <w:lang w:val="zh-CN"/>
        </w:rPr>
        <w:t>合性</w:t>
      </w:r>
      <w:r>
        <w:rPr>
          <w:rFonts w:hint="eastAsia" w:ascii="黑体" w:hAnsi="黑体" w:eastAsia="黑体" w:cs="楷体_GB2312"/>
          <w:b/>
          <w:color w:val="auto"/>
          <w:sz w:val="24"/>
          <w:highlight w:val="none"/>
          <w:lang w:val="zh-CN"/>
        </w:rPr>
        <w:t>响应</w:t>
      </w:r>
      <w:r>
        <w:rPr>
          <w:rFonts w:ascii="黑体" w:hAnsi="黑体" w:eastAsia="黑体" w:cs="楷体_GB2312"/>
          <w:b/>
          <w:color w:val="auto"/>
          <w:sz w:val="24"/>
          <w:highlight w:val="none"/>
          <w:lang w:val="zh-CN"/>
        </w:rPr>
        <w:t>文件</w:t>
      </w:r>
    </w:p>
    <w:p w14:paraId="6066B79E">
      <w:pPr>
        <w:adjustRightInd w:val="0"/>
        <w:snapToGrid w:val="0"/>
        <w:spacing w:line="300" w:lineRule="auto"/>
        <w:ind w:firstLine="539"/>
        <w:textAlignment w:val="top"/>
        <w:rPr>
          <w:color w:val="auto"/>
          <w:sz w:val="24"/>
          <w:highlight w:val="none"/>
        </w:rPr>
      </w:pPr>
      <w:r>
        <w:rPr>
          <w:rFonts w:hint="eastAsia"/>
          <w:color w:val="auto"/>
          <w:sz w:val="24"/>
          <w:highlight w:val="none"/>
        </w:rPr>
        <w:t>（</w:t>
      </w:r>
      <w:r>
        <w:rPr>
          <w:color w:val="auto"/>
          <w:sz w:val="24"/>
          <w:highlight w:val="none"/>
        </w:rPr>
        <w:t>1</w:t>
      </w:r>
      <w:r>
        <w:rPr>
          <w:rFonts w:hint="eastAsia"/>
          <w:color w:val="auto"/>
          <w:sz w:val="24"/>
          <w:highlight w:val="none"/>
        </w:rPr>
        <w:t>）投标书。</w:t>
      </w:r>
    </w:p>
    <w:p w14:paraId="6519BEDC">
      <w:pPr>
        <w:adjustRightInd w:val="0"/>
        <w:snapToGrid w:val="0"/>
        <w:spacing w:line="300" w:lineRule="auto"/>
        <w:ind w:firstLine="539"/>
        <w:textAlignment w:val="top"/>
        <w:rPr>
          <w:rFonts w:ascii="宋体" w:hAnsi="宋体"/>
          <w:color w:val="auto"/>
          <w:sz w:val="24"/>
          <w:szCs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2</w:t>
      </w:r>
      <w:r>
        <w:rPr>
          <w:rFonts w:hint="eastAsia" w:ascii="宋体" w:hAnsi="宋体" w:cs="楷体_GB2312"/>
          <w:color w:val="auto"/>
          <w:sz w:val="24"/>
          <w:highlight w:val="none"/>
          <w:lang w:val="zh-CN"/>
        </w:rPr>
        <w:t>）</w:t>
      </w:r>
      <w:r>
        <w:rPr>
          <w:rFonts w:hint="eastAsia" w:ascii="宋体" w:hAnsi="宋体"/>
          <w:color w:val="auto"/>
          <w:sz w:val="24"/>
          <w:szCs w:val="24"/>
          <w:highlight w:val="none"/>
        </w:rPr>
        <w:t>开标一览表（即交易系统中报价一览表）</w:t>
      </w:r>
    </w:p>
    <w:p w14:paraId="51769420">
      <w:pPr>
        <w:adjustRightInd w:val="0"/>
        <w:snapToGrid w:val="0"/>
        <w:spacing w:line="300" w:lineRule="auto"/>
        <w:ind w:firstLine="539"/>
        <w:textAlignment w:val="top"/>
        <w:rPr>
          <w:rFonts w:ascii="宋体" w:hAnsi="宋体"/>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3</w:t>
      </w:r>
      <w:r>
        <w:rPr>
          <w:rFonts w:hint="eastAsia" w:ascii="宋体" w:hAnsi="宋体" w:cs="楷体_GB2312"/>
          <w:color w:val="auto"/>
          <w:sz w:val="24"/>
          <w:highlight w:val="none"/>
          <w:lang w:val="zh-CN"/>
        </w:rPr>
        <w:t>）</w:t>
      </w:r>
      <w:r>
        <w:rPr>
          <w:rFonts w:hint="eastAsia"/>
          <w:color w:val="auto"/>
          <w:sz w:val="24"/>
          <w:highlight w:val="none"/>
        </w:rPr>
        <w:t>投标报价明细表</w:t>
      </w:r>
    </w:p>
    <w:p w14:paraId="5184AA2D">
      <w:pPr>
        <w:adjustRightInd w:val="0"/>
        <w:snapToGrid w:val="0"/>
        <w:spacing w:line="300" w:lineRule="auto"/>
        <w:ind w:firstLine="539"/>
        <w:textAlignment w:val="top"/>
        <w:rPr>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4</w:t>
      </w:r>
      <w:r>
        <w:rPr>
          <w:rFonts w:hint="eastAsia" w:ascii="宋体" w:hAnsi="宋体" w:cs="楷体_GB2312"/>
          <w:color w:val="auto"/>
          <w:sz w:val="24"/>
          <w:highlight w:val="none"/>
          <w:lang w:val="zh-CN"/>
        </w:rPr>
        <w:t>）</w:t>
      </w:r>
      <w:r>
        <w:rPr>
          <w:rFonts w:hint="eastAsia"/>
          <w:color w:val="auto"/>
          <w:sz w:val="24"/>
          <w:highlight w:val="none"/>
        </w:rPr>
        <w:t>投标产品清单及其技术参数，安装调试方案</w:t>
      </w:r>
    </w:p>
    <w:p w14:paraId="6DA264A2">
      <w:pPr>
        <w:adjustRightInd w:val="0"/>
        <w:snapToGrid w:val="0"/>
        <w:spacing w:line="300" w:lineRule="auto"/>
        <w:ind w:firstLine="539"/>
        <w:textAlignment w:val="top"/>
        <w:rPr>
          <w:color w:val="auto"/>
          <w:sz w:val="24"/>
          <w:highlight w:val="none"/>
        </w:rPr>
      </w:pPr>
      <w:r>
        <w:rPr>
          <w:rFonts w:hint="eastAsia"/>
          <w:color w:val="auto"/>
          <w:sz w:val="24"/>
          <w:highlight w:val="none"/>
        </w:rPr>
        <w:t>（</w:t>
      </w:r>
      <w:r>
        <w:rPr>
          <w:color w:val="auto"/>
          <w:sz w:val="24"/>
          <w:highlight w:val="none"/>
        </w:rPr>
        <w:t>5</w:t>
      </w:r>
      <w:r>
        <w:rPr>
          <w:rFonts w:hint="eastAsia"/>
          <w:color w:val="auto"/>
          <w:sz w:val="24"/>
          <w:highlight w:val="none"/>
        </w:rPr>
        <w:t>）技术偏差表。</w:t>
      </w:r>
    </w:p>
    <w:p w14:paraId="4B128C61">
      <w:pPr>
        <w:adjustRightInd w:val="0"/>
        <w:snapToGrid w:val="0"/>
        <w:spacing w:line="300" w:lineRule="auto"/>
        <w:ind w:firstLine="539"/>
        <w:rPr>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6</w:t>
      </w:r>
      <w:r>
        <w:rPr>
          <w:rFonts w:hint="eastAsia" w:ascii="宋体" w:hAnsi="宋体" w:cs="楷体_GB2312"/>
          <w:color w:val="auto"/>
          <w:sz w:val="24"/>
          <w:highlight w:val="none"/>
          <w:lang w:val="zh-CN"/>
        </w:rPr>
        <w:t>）</w:t>
      </w:r>
      <w:r>
        <w:rPr>
          <w:rFonts w:hint="eastAsia"/>
          <w:color w:val="auto"/>
          <w:sz w:val="24"/>
          <w:highlight w:val="none"/>
        </w:rPr>
        <w:t>其他偏差表</w:t>
      </w:r>
    </w:p>
    <w:p w14:paraId="485F0194">
      <w:pPr>
        <w:adjustRightInd w:val="0"/>
        <w:snapToGrid w:val="0"/>
        <w:spacing w:line="300" w:lineRule="auto"/>
        <w:ind w:firstLine="539"/>
        <w:textAlignment w:val="top"/>
        <w:rPr>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7</w:t>
      </w:r>
      <w:r>
        <w:rPr>
          <w:rFonts w:hint="eastAsia" w:ascii="宋体" w:hAnsi="宋体" w:cs="楷体_GB2312"/>
          <w:color w:val="auto"/>
          <w:sz w:val="24"/>
          <w:highlight w:val="none"/>
          <w:lang w:val="zh-CN"/>
        </w:rPr>
        <w:t>）</w:t>
      </w:r>
      <w:r>
        <w:rPr>
          <w:rFonts w:hint="eastAsia"/>
          <w:color w:val="auto"/>
          <w:sz w:val="24"/>
          <w:highlight w:val="none"/>
        </w:rPr>
        <w:t>售后服务计划</w:t>
      </w:r>
    </w:p>
    <w:p w14:paraId="33DE6A7A">
      <w:pPr>
        <w:adjustRightInd w:val="0"/>
        <w:snapToGrid w:val="0"/>
        <w:spacing w:line="300" w:lineRule="auto"/>
        <w:ind w:firstLine="539"/>
        <w:rPr>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8</w:t>
      </w:r>
      <w:r>
        <w:rPr>
          <w:rFonts w:hint="eastAsia" w:ascii="宋体" w:hAnsi="宋体" w:cs="楷体_GB2312"/>
          <w:color w:val="auto"/>
          <w:sz w:val="24"/>
          <w:highlight w:val="none"/>
          <w:lang w:val="zh-CN"/>
        </w:rPr>
        <w:t>）</w:t>
      </w:r>
      <w:r>
        <w:rPr>
          <w:rFonts w:hint="eastAsia"/>
          <w:color w:val="auto"/>
          <w:sz w:val="24"/>
          <w:highlight w:val="none"/>
        </w:rPr>
        <w:t>反商业贿赂承诺书。</w:t>
      </w:r>
    </w:p>
    <w:p w14:paraId="2F138F24">
      <w:pPr>
        <w:adjustRightInd w:val="0"/>
        <w:snapToGrid w:val="0"/>
        <w:spacing w:line="300" w:lineRule="auto"/>
        <w:ind w:firstLine="539"/>
        <w:rPr>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9</w:t>
      </w:r>
      <w:r>
        <w:rPr>
          <w:rFonts w:hint="eastAsia" w:ascii="宋体" w:hAnsi="宋体" w:cs="楷体_GB2312"/>
          <w:color w:val="auto"/>
          <w:sz w:val="24"/>
          <w:highlight w:val="none"/>
          <w:lang w:val="zh-CN"/>
        </w:rPr>
        <w:t>）</w:t>
      </w:r>
      <w:r>
        <w:rPr>
          <w:rFonts w:hint="eastAsia"/>
          <w:color w:val="auto"/>
          <w:sz w:val="24"/>
          <w:highlight w:val="none"/>
        </w:rPr>
        <w:t>履约承诺书。</w:t>
      </w:r>
    </w:p>
    <w:p w14:paraId="1757164D">
      <w:pPr>
        <w:widowControl w:val="0"/>
        <w:adjustRightInd w:val="0"/>
        <w:snapToGrid w:val="0"/>
        <w:spacing w:line="300" w:lineRule="auto"/>
        <w:ind w:firstLine="539"/>
        <w:textAlignment w:val="top"/>
        <w:rPr>
          <w:color w:val="auto"/>
          <w:sz w:val="24"/>
          <w:highlight w:val="none"/>
        </w:rPr>
      </w:pPr>
      <w:r>
        <w:rPr>
          <w:rFonts w:hint="eastAsia"/>
          <w:color w:val="auto"/>
          <w:sz w:val="24"/>
          <w:highlight w:val="none"/>
        </w:rPr>
        <w:t>（</w:t>
      </w:r>
      <w:r>
        <w:rPr>
          <w:color w:val="auto"/>
          <w:sz w:val="24"/>
          <w:highlight w:val="none"/>
        </w:rPr>
        <w:t>10</w:t>
      </w:r>
      <w:r>
        <w:rPr>
          <w:rFonts w:hint="eastAsia"/>
          <w:color w:val="auto"/>
          <w:sz w:val="24"/>
          <w:highlight w:val="none"/>
        </w:rPr>
        <w:t>）招标项目要求及采购需求所需的其他材料（按条款需要）</w:t>
      </w:r>
    </w:p>
    <w:p w14:paraId="610422EE">
      <w:pPr>
        <w:widowControl w:val="0"/>
        <w:adjustRightInd w:val="0"/>
        <w:snapToGrid w:val="0"/>
        <w:spacing w:line="300" w:lineRule="auto"/>
        <w:ind w:firstLine="539"/>
        <w:textAlignment w:val="top"/>
        <w:rPr>
          <w:color w:val="auto"/>
          <w:sz w:val="24"/>
          <w:highlight w:val="none"/>
        </w:rPr>
      </w:pPr>
      <w:r>
        <w:rPr>
          <w:rFonts w:hint="eastAsia"/>
          <w:color w:val="auto"/>
          <w:sz w:val="24"/>
          <w:highlight w:val="none"/>
        </w:rPr>
        <w:t>（</w:t>
      </w:r>
      <w:r>
        <w:rPr>
          <w:color w:val="auto"/>
          <w:sz w:val="24"/>
          <w:highlight w:val="none"/>
        </w:rPr>
        <w:t>11</w:t>
      </w:r>
      <w:r>
        <w:rPr>
          <w:rFonts w:hint="eastAsia"/>
          <w:color w:val="auto"/>
          <w:sz w:val="24"/>
          <w:highlight w:val="none"/>
        </w:rPr>
        <w:t>）投标人须知所需的其他材料（按条款需要）</w:t>
      </w:r>
    </w:p>
    <w:p w14:paraId="536F59D3">
      <w:pPr>
        <w:widowControl w:val="0"/>
        <w:adjustRightInd w:val="0"/>
        <w:snapToGrid w:val="0"/>
        <w:spacing w:line="300" w:lineRule="auto"/>
        <w:ind w:firstLine="539"/>
        <w:textAlignment w:val="top"/>
        <w:rPr>
          <w:color w:val="auto"/>
          <w:sz w:val="24"/>
          <w:highlight w:val="none"/>
        </w:rPr>
      </w:pPr>
      <w:r>
        <w:rPr>
          <w:rFonts w:hint="eastAsia"/>
          <w:color w:val="auto"/>
          <w:sz w:val="24"/>
          <w:highlight w:val="none"/>
        </w:rPr>
        <w:t>（</w:t>
      </w:r>
      <w:r>
        <w:rPr>
          <w:color w:val="auto"/>
          <w:sz w:val="24"/>
          <w:highlight w:val="none"/>
        </w:rPr>
        <w:t>12</w:t>
      </w:r>
      <w:r>
        <w:rPr>
          <w:rFonts w:hint="eastAsia"/>
          <w:color w:val="auto"/>
          <w:sz w:val="24"/>
          <w:highlight w:val="none"/>
        </w:rPr>
        <w:t>）评标办法所需的其他材料（按条款需要）</w:t>
      </w:r>
    </w:p>
    <w:p w14:paraId="085E61BF">
      <w:pPr>
        <w:autoSpaceDE w:val="0"/>
        <w:autoSpaceDN w:val="0"/>
        <w:adjustRightInd w:val="0"/>
        <w:snapToGrid w:val="0"/>
        <w:spacing w:line="300" w:lineRule="auto"/>
        <w:ind w:firstLine="520" w:firstLineChars="217"/>
        <w:rPr>
          <w:rFonts w:ascii="宋体" w:hAnsi="宋体"/>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13</w:t>
      </w:r>
      <w:r>
        <w:rPr>
          <w:rFonts w:hint="eastAsia" w:ascii="宋体" w:hAnsi="宋体" w:cs="楷体_GB2312"/>
          <w:color w:val="auto"/>
          <w:sz w:val="24"/>
          <w:highlight w:val="none"/>
          <w:lang w:val="zh-CN"/>
        </w:rPr>
        <w:t>）</w:t>
      </w:r>
      <w:r>
        <w:rPr>
          <w:rFonts w:hint="eastAsia" w:ascii="宋体" w:hAnsi="宋体"/>
          <w:color w:val="auto"/>
          <w:sz w:val="24"/>
          <w:highlight w:val="none"/>
        </w:rPr>
        <w:t>投标人认为有必要提交的其它材料</w:t>
      </w:r>
    </w:p>
    <w:p w14:paraId="54C6F9CB">
      <w:pPr>
        <w:autoSpaceDE w:val="0"/>
        <w:autoSpaceDN w:val="0"/>
        <w:adjustRightInd w:val="0"/>
        <w:snapToGrid w:val="0"/>
        <w:spacing w:line="300" w:lineRule="auto"/>
        <w:ind w:firstLine="520" w:firstLineChars="217"/>
        <w:rPr>
          <w:rFonts w:ascii="宋体" w:hAnsi="宋体"/>
          <w:color w:val="auto"/>
          <w:sz w:val="24"/>
          <w:highlight w:val="none"/>
        </w:rPr>
      </w:pPr>
    </w:p>
    <w:p w14:paraId="0DB3AC14">
      <w:pPr>
        <w:adjustRightInd w:val="0"/>
        <w:snapToGrid w:val="0"/>
        <w:spacing w:before="156" w:beforeLines="50" w:line="300" w:lineRule="auto"/>
        <w:ind w:firstLine="539"/>
        <w:textAlignment w:val="top"/>
        <w:rPr>
          <w:rFonts w:ascii="黑体" w:hAnsi="黑体" w:eastAsia="黑体" w:cs="楷体_GB2312"/>
          <w:b/>
          <w:color w:val="auto"/>
          <w:sz w:val="24"/>
          <w:highlight w:val="none"/>
          <w:lang w:val="zh-CN"/>
        </w:rPr>
      </w:pPr>
      <w:r>
        <w:rPr>
          <w:rFonts w:hint="eastAsia" w:ascii="黑体" w:hAnsi="黑体" w:eastAsia="黑体" w:cs="楷体_GB2312"/>
          <w:b/>
          <w:color w:val="auto"/>
          <w:sz w:val="24"/>
          <w:highlight w:val="none"/>
          <w:lang w:val="zh-CN"/>
        </w:rPr>
        <w:t>资</w:t>
      </w:r>
      <w:r>
        <w:rPr>
          <w:rFonts w:ascii="黑体" w:hAnsi="黑体" w:eastAsia="黑体" w:cs="楷体_GB2312"/>
          <w:b/>
          <w:color w:val="auto"/>
          <w:sz w:val="24"/>
          <w:highlight w:val="none"/>
          <w:lang w:val="zh-CN"/>
        </w:rPr>
        <w:t>格性</w:t>
      </w:r>
      <w:r>
        <w:rPr>
          <w:rFonts w:hint="eastAsia" w:ascii="黑体" w:hAnsi="黑体" w:eastAsia="黑体" w:cs="楷体_GB2312"/>
          <w:b/>
          <w:color w:val="auto"/>
          <w:sz w:val="24"/>
          <w:highlight w:val="none"/>
          <w:lang w:val="zh-CN"/>
        </w:rPr>
        <w:t>证明文件</w:t>
      </w:r>
    </w:p>
    <w:p w14:paraId="5019AB56">
      <w:pPr>
        <w:adjustRightInd w:val="0"/>
        <w:snapToGrid w:val="0"/>
        <w:spacing w:line="300" w:lineRule="auto"/>
        <w:ind w:firstLine="539"/>
        <w:textAlignment w:val="top"/>
        <w:rPr>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14</w:t>
      </w:r>
      <w:r>
        <w:rPr>
          <w:rFonts w:hint="eastAsia" w:ascii="宋体" w:hAnsi="宋体" w:cs="楷体_GB2312"/>
          <w:color w:val="auto"/>
          <w:sz w:val="24"/>
          <w:highlight w:val="none"/>
          <w:lang w:val="zh-CN"/>
        </w:rPr>
        <w:t>）</w:t>
      </w:r>
      <w:r>
        <w:rPr>
          <w:rFonts w:hint="eastAsia"/>
          <w:color w:val="auto"/>
          <w:sz w:val="24"/>
          <w:highlight w:val="none"/>
        </w:rPr>
        <w:t>关于资格的声明函</w:t>
      </w:r>
    </w:p>
    <w:p w14:paraId="14F9B60B">
      <w:pPr>
        <w:autoSpaceDE w:val="0"/>
        <w:autoSpaceDN w:val="0"/>
        <w:adjustRightInd w:val="0"/>
        <w:snapToGrid w:val="0"/>
        <w:spacing w:line="300" w:lineRule="auto"/>
        <w:ind w:firstLine="520" w:firstLineChars="217"/>
        <w:rPr>
          <w:rFonts w:ascii="宋体" w:cs="楷体_GB2312"/>
          <w:color w:val="auto"/>
          <w:sz w:val="24"/>
          <w:highlight w:val="none"/>
          <w:lang w:val="zh-CN"/>
        </w:rPr>
      </w:pPr>
      <w:r>
        <w:rPr>
          <w:rFonts w:hint="eastAsia"/>
          <w:color w:val="auto"/>
          <w:sz w:val="24"/>
          <w:highlight w:val="none"/>
        </w:rPr>
        <w:t>（</w:t>
      </w:r>
      <w:r>
        <w:rPr>
          <w:color w:val="auto"/>
          <w:sz w:val="24"/>
          <w:highlight w:val="none"/>
        </w:rPr>
        <w:t>15</w:t>
      </w:r>
      <w:r>
        <w:rPr>
          <w:rFonts w:hint="eastAsia"/>
          <w:color w:val="auto"/>
          <w:sz w:val="24"/>
          <w:highlight w:val="none"/>
        </w:rPr>
        <w:t>）资格要求相关证明材料（文件）</w:t>
      </w:r>
    </w:p>
    <w:p w14:paraId="112201AA">
      <w:pPr>
        <w:widowControl w:val="0"/>
        <w:snapToGrid w:val="0"/>
        <w:spacing w:line="360" w:lineRule="auto"/>
        <w:ind w:firstLine="578"/>
        <w:textAlignment w:val="top"/>
        <w:rPr>
          <w:color w:val="auto"/>
          <w:sz w:val="24"/>
          <w:szCs w:val="24"/>
          <w:highlight w:val="none"/>
        </w:rPr>
      </w:pPr>
    </w:p>
    <w:p w14:paraId="5744006D">
      <w:pPr>
        <w:widowControl w:val="0"/>
        <w:numPr>
          <w:ilvl w:val="0"/>
          <w:numId w:val="8"/>
        </w:numPr>
        <w:snapToGrid w:val="0"/>
        <w:spacing w:line="360" w:lineRule="auto"/>
        <w:textAlignment w:val="top"/>
        <w:rPr>
          <w:color w:val="auto"/>
          <w:sz w:val="24"/>
          <w:szCs w:val="24"/>
          <w:highlight w:val="none"/>
        </w:rPr>
      </w:pPr>
      <w:r>
        <w:rPr>
          <w:rFonts w:hint="eastAsia"/>
          <w:color w:val="auto"/>
          <w:sz w:val="24"/>
          <w:szCs w:val="24"/>
          <w:highlight w:val="none"/>
        </w:rPr>
        <w:t>愿按照招标文件中规定的条款和要求，提供完成招标文件规定的全部工作，</w:t>
      </w:r>
    </w:p>
    <w:p w14:paraId="628E2AFD">
      <w:pPr>
        <w:widowControl w:val="0"/>
        <w:snapToGrid w:val="0"/>
        <w:spacing w:line="360" w:lineRule="auto"/>
        <w:ind w:left="578"/>
        <w:textAlignment w:val="top"/>
        <w:rPr>
          <w:color w:val="auto"/>
          <w:sz w:val="24"/>
          <w:szCs w:val="24"/>
          <w:highlight w:val="none"/>
        </w:rPr>
      </w:pPr>
      <w:r>
        <w:rPr>
          <w:rFonts w:hint="eastAsia"/>
          <w:color w:val="auto"/>
          <w:sz w:val="24"/>
          <w:szCs w:val="24"/>
          <w:highlight w:val="none"/>
        </w:rPr>
        <w:t>包</w:t>
      </w:r>
      <w:r>
        <w:rPr>
          <w:rFonts w:hint="eastAsia"/>
          <w:color w:val="auto"/>
          <w:sz w:val="24"/>
          <w:szCs w:val="24"/>
          <w:highlight w:val="none"/>
          <w:u w:val="single"/>
        </w:rPr>
        <w:t>1</w:t>
      </w:r>
      <w:r>
        <w:rPr>
          <w:rFonts w:hint="eastAsia"/>
          <w:color w:val="auto"/>
          <w:sz w:val="24"/>
          <w:szCs w:val="24"/>
          <w:highlight w:val="none"/>
        </w:rPr>
        <w:t>投标总价为人民币（大写）</w:t>
      </w:r>
      <w:r>
        <w:rPr>
          <w:rFonts w:hint="eastAsia"/>
          <w:color w:val="auto"/>
          <w:sz w:val="24"/>
          <w:szCs w:val="24"/>
          <w:highlight w:val="none"/>
        </w:rPr>
        <w:tab/>
      </w:r>
      <w:r>
        <w:rPr>
          <w:rFonts w:hint="eastAsia"/>
          <w:color w:val="auto"/>
          <w:sz w:val="24"/>
          <w:szCs w:val="24"/>
          <w:highlight w:val="none"/>
        </w:rPr>
        <w:t xml:space="preserve">            ，（ RMB¥：       元 ），</w:t>
      </w:r>
    </w:p>
    <w:p w14:paraId="125A41C4">
      <w:pPr>
        <w:widowControl w:val="0"/>
        <w:snapToGrid w:val="0"/>
        <w:spacing w:line="360" w:lineRule="auto"/>
        <w:ind w:left="578"/>
        <w:textAlignment w:val="top"/>
        <w:rPr>
          <w:color w:val="auto"/>
          <w:sz w:val="24"/>
          <w:szCs w:val="24"/>
          <w:highlight w:val="none"/>
        </w:rPr>
      </w:pPr>
      <w:r>
        <w:rPr>
          <w:rFonts w:hint="eastAsia"/>
          <w:color w:val="auto"/>
          <w:sz w:val="24"/>
          <w:szCs w:val="24"/>
          <w:highlight w:val="none"/>
        </w:rPr>
        <w:t>交付（实施）期：</w:t>
      </w:r>
      <w:r>
        <w:rPr>
          <w:rFonts w:hint="eastAsia"/>
          <w:color w:val="auto"/>
          <w:sz w:val="24"/>
          <w:szCs w:val="24"/>
          <w:highlight w:val="none"/>
          <w:u w:val="single"/>
        </w:rPr>
        <w:t xml:space="preserve">             </w:t>
      </w:r>
      <w:r>
        <w:rPr>
          <w:rFonts w:hint="eastAsia"/>
          <w:color w:val="auto"/>
          <w:sz w:val="24"/>
          <w:szCs w:val="24"/>
          <w:highlight w:val="none"/>
        </w:rPr>
        <w:t>，交付（实施）地点：</w:t>
      </w:r>
      <w:r>
        <w:rPr>
          <w:rFonts w:hint="eastAsia"/>
          <w:color w:val="auto"/>
          <w:sz w:val="24"/>
          <w:szCs w:val="24"/>
          <w:highlight w:val="none"/>
          <w:u w:val="single"/>
        </w:rPr>
        <w:t xml:space="preserve">               </w:t>
      </w:r>
      <w:r>
        <w:rPr>
          <w:rFonts w:hint="eastAsia"/>
          <w:color w:val="auto"/>
          <w:sz w:val="24"/>
          <w:szCs w:val="24"/>
          <w:highlight w:val="none"/>
        </w:rPr>
        <w:t>。</w:t>
      </w:r>
    </w:p>
    <w:p w14:paraId="567B36C0">
      <w:pPr>
        <w:widowControl w:val="0"/>
        <w:snapToGrid w:val="0"/>
        <w:spacing w:line="360" w:lineRule="auto"/>
        <w:ind w:firstLine="578"/>
        <w:textAlignment w:val="top"/>
        <w:rPr>
          <w:color w:val="auto"/>
          <w:sz w:val="24"/>
          <w:szCs w:val="24"/>
          <w:highlight w:val="none"/>
        </w:rPr>
      </w:pPr>
      <w:r>
        <w:rPr>
          <w:rFonts w:hint="eastAsia"/>
          <w:color w:val="auto"/>
          <w:sz w:val="24"/>
          <w:szCs w:val="24"/>
          <w:highlight w:val="none"/>
        </w:rPr>
        <w:t>2.如果我们的投标文件被接受，我们将履行招标文件中规定的每一项要求，按期、按质、按量履行合同。</w:t>
      </w:r>
    </w:p>
    <w:p w14:paraId="525B2FA5">
      <w:pPr>
        <w:widowControl w:val="0"/>
        <w:snapToGrid w:val="0"/>
        <w:spacing w:line="360" w:lineRule="auto"/>
        <w:ind w:firstLine="578"/>
        <w:textAlignment w:val="top"/>
        <w:rPr>
          <w:color w:val="auto"/>
          <w:sz w:val="24"/>
          <w:szCs w:val="24"/>
          <w:highlight w:val="none"/>
        </w:rPr>
      </w:pPr>
      <w:r>
        <w:rPr>
          <w:rFonts w:hint="eastAsia"/>
          <w:color w:val="auto"/>
          <w:sz w:val="24"/>
          <w:szCs w:val="24"/>
          <w:highlight w:val="none"/>
        </w:rPr>
        <w:t>3.我们已详细阅读全部招标文件，包括修改文件以及全部参考资料和有关附件。我们完全理解并同意放弃对这方面有不明及误解的权力。</w:t>
      </w:r>
    </w:p>
    <w:p w14:paraId="4ABDECD3">
      <w:pPr>
        <w:widowControl w:val="0"/>
        <w:snapToGrid w:val="0"/>
        <w:spacing w:line="360" w:lineRule="auto"/>
        <w:ind w:firstLine="578"/>
        <w:textAlignment w:val="top"/>
        <w:rPr>
          <w:color w:val="auto"/>
          <w:sz w:val="24"/>
          <w:szCs w:val="24"/>
          <w:highlight w:val="none"/>
        </w:rPr>
      </w:pPr>
      <w:r>
        <w:rPr>
          <w:rFonts w:hint="eastAsia"/>
          <w:color w:val="auto"/>
          <w:sz w:val="24"/>
          <w:szCs w:val="24"/>
          <w:highlight w:val="none"/>
        </w:rPr>
        <w:t>4.我们同意提供按照贵方可能要求的与其投标有关的一切数据或资料，理解贵方不一定要接受最低价的投标或收到的任何投标。</w:t>
      </w:r>
    </w:p>
    <w:p w14:paraId="758A0AB0">
      <w:pPr>
        <w:widowControl w:val="0"/>
        <w:snapToGrid w:val="0"/>
        <w:spacing w:line="360" w:lineRule="auto"/>
        <w:ind w:firstLine="578"/>
        <w:textAlignment w:val="top"/>
        <w:rPr>
          <w:color w:val="auto"/>
          <w:sz w:val="24"/>
          <w:szCs w:val="24"/>
          <w:highlight w:val="none"/>
        </w:rPr>
      </w:pPr>
      <w:r>
        <w:rPr>
          <w:rFonts w:hint="eastAsia"/>
          <w:color w:val="auto"/>
          <w:sz w:val="24"/>
          <w:szCs w:val="24"/>
          <w:highlight w:val="none"/>
        </w:rPr>
        <w:t>5.本投标自开标日起有效期为90日历天。</w:t>
      </w:r>
    </w:p>
    <w:p w14:paraId="5552B367">
      <w:pPr>
        <w:widowControl w:val="0"/>
        <w:snapToGrid w:val="0"/>
        <w:spacing w:line="360" w:lineRule="auto"/>
        <w:ind w:firstLine="578"/>
        <w:textAlignment w:val="top"/>
        <w:rPr>
          <w:color w:val="auto"/>
          <w:sz w:val="24"/>
          <w:szCs w:val="24"/>
          <w:highlight w:val="none"/>
        </w:rPr>
      </w:pPr>
      <w:r>
        <w:rPr>
          <w:rFonts w:hint="eastAsia"/>
          <w:color w:val="auto"/>
          <w:sz w:val="24"/>
          <w:szCs w:val="24"/>
          <w:highlight w:val="none"/>
        </w:rPr>
        <w:t>6.我们愿按《中华人民共和国民法典》履行其的全部责任。</w:t>
      </w:r>
    </w:p>
    <w:p w14:paraId="43A4B2EC">
      <w:pPr>
        <w:widowControl w:val="0"/>
        <w:snapToGrid w:val="0"/>
        <w:spacing w:line="360" w:lineRule="auto"/>
        <w:ind w:firstLine="578"/>
        <w:textAlignment w:val="top"/>
        <w:rPr>
          <w:color w:val="auto"/>
          <w:sz w:val="24"/>
          <w:szCs w:val="24"/>
          <w:highlight w:val="none"/>
        </w:rPr>
      </w:pPr>
      <w:r>
        <w:rPr>
          <w:rFonts w:hint="eastAsia"/>
          <w:color w:val="auto"/>
          <w:sz w:val="24"/>
          <w:szCs w:val="24"/>
          <w:highlight w:val="none"/>
        </w:rPr>
        <w:t>7.</w:t>
      </w:r>
      <w:r>
        <w:rPr>
          <w:rFonts w:hint="eastAsia"/>
          <w:color w:val="auto"/>
          <w:highlight w:val="none"/>
        </w:rPr>
        <w:t xml:space="preserve"> </w:t>
      </w:r>
      <w:r>
        <w:rPr>
          <w:rFonts w:hint="eastAsia"/>
          <w:color w:val="auto"/>
          <w:sz w:val="24"/>
          <w:szCs w:val="24"/>
          <w:highlight w:val="none"/>
        </w:rPr>
        <w:t>我们承诺按照《招标文件》规定的付款方式执行。</w:t>
      </w:r>
    </w:p>
    <w:p w14:paraId="1AFAAA89">
      <w:pPr>
        <w:widowControl w:val="0"/>
        <w:snapToGrid w:val="0"/>
        <w:spacing w:line="360" w:lineRule="auto"/>
        <w:ind w:firstLine="578"/>
        <w:textAlignment w:val="top"/>
        <w:rPr>
          <w:color w:val="auto"/>
          <w:sz w:val="24"/>
          <w:szCs w:val="24"/>
          <w:highlight w:val="none"/>
        </w:rPr>
      </w:pPr>
      <w:r>
        <w:rPr>
          <w:rFonts w:hint="eastAsia"/>
          <w:color w:val="auto"/>
          <w:sz w:val="24"/>
          <w:szCs w:val="24"/>
          <w:highlight w:val="none"/>
        </w:rPr>
        <w:t>8.如果在规定的开标时间后，我单位在投标有效期内撤回投标的，依据招标文件“第三章3.5.5 违背承诺的责任追究措施”，我单位承担相应法律责任及违约责任。</w:t>
      </w:r>
    </w:p>
    <w:p w14:paraId="7BABF852">
      <w:pPr>
        <w:widowControl w:val="0"/>
        <w:snapToGrid w:val="0"/>
        <w:spacing w:line="360" w:lineRule="auto"/>
        <w:ind w:firstLine="578"/>
        <w:textAlignment w:val="top"/>
        <w:rPr>
          <w:color w:val="auto"/>
          <w:sz w:val="24"/>
          <w:szCs w:val="24"/>
          <w:highlight w:val="none"/>
        </w:rPr>
      </w:pPr>
      <w:r>
        <w:rPr>
          <w:rFonts w:hint="eastAsia"/>
          <w:color w:val="auto"/>
          <w:sz w:val="24"/>
          <w:szCs w:val="24"/>
          <w:highlight w:val="none"/>
        </w:rPr>
        <w:t>9.与本投标有关的一切正式往来请寄：</w:t>
      </w:r>
    </w:p>
    <w:p w14:paraId="25963AFF">
      <w:pPr>
        <w:widowControl w:val="0"/>
        <w:snapToGrid w:val="0"/>
        <w:spacing w:line="360" w:lineRule="auto"/>
        <w:ind w:firstLine="578"/>
        <w:textAlignment w:val="top"/>
        <w:rPr>
          <w:color w:val="auto"/>
          <w:sz w:val="24"/>
          <w:szCs w:val="24"/>
          <w:highlight w:val="none"/>
        </w:rPr>
      </w:pPr>
    </w:p>
    <w:p w14:paraId="1C9C5CC8">
      <w:pPr>
        <w:widowControl w:val="0"/>
        <w:snapToGrid w:val="0"/>
        <w:spacing w:line="360" w:lineRule="auto"/>
        <w:ind w:firstLine="578"/>
        <w:textAlignment w:val="top"/>
        <w:rPr>
          <w:color w:val="auto"/>
          <w:sz w:val="24"/>
          <w:szCs w:val="24"/>
          <w:highlight w:val="none"/>
        </w:rPr>
      </w:pPr>
      <w:r>
        <w:rPr>
          <w:rFonts w:hint="eastAsia"/>
          <w:color w:val="auto"/>
          <w:sz w:val="24"/>
          <w:szCs w:val="24"/>
          <w:highlight w:val="none"/>
        </w:rPr>
        <w:t>地址：</w:t>
      </w:r>
      <w:r>
        <w:rPr>
          <w:rFonts w:hint="eastAsia"/>
          <w:color w:val="auto"/>
          <w:sz w:val="24"/>
          <w:szCs w:val="24"/>
          <w:highlight w:val="none"/>
        </w:rPr>
        <w:tab/>
      </w:r>
      <w:r>
        <w:rPr>
          <w:rFonts w:hint="eastAsia"/>
          <w:color w:val="auto"/>
          <w:sz w:val="24"/>
          <w:szCs w:val="24"/>
          <w:highlight w:val="none"/>
        </w:rPr>
        <w:tab/>
      </w:r>
      <w:r>
        <w:rPr>
          <w:rFonts w:hint="eastAsia"/>
          <w:color w:val="auto"/>
          <w:sz w:val="24"/>
          <w:szCs w:val="24"/>
          <w:highlight w:val="none"/>
        </w:rPr>
        <w:t xml:space="preserve">                       邮政编码：       </w:t>
      </w:r>
    </w:p>
    <w:p w14:paraId="1C83D273">
      <w:pPr>
        <w:widowControl w:val="0"/>
        <w:snapToGrid w:val="0"/>
        <w:spacing w:line="360" w:lineRule="auto"/>
        <w:ind w:firstLine="578"/>
        <w:textAlignment w:val="top"/>
        <w:rPr>
          <w:color w:val="auto"/>
          <w:sz w:val="24"/>
          <w:szCs w:val="24"/>
          <w:highlight w:val="none"/>
        </w:rPr>
      </w:pPr>
      <w:r>
        <w:rPr>
          <w:rFonts w:hint="eastAsia"/>
          <w:color w:val="auto"/>
          <w:sz w:val="24"/>
          <w:szCs w:val="24"/>
          <w:highlight w:val="none"/>
        </w:rPr>
        <w:t>电话：</w:t>
      </w:r>
      <w:r>
        <w:rPr>
          <w:rFonts w:hint="eastAsia"/>
          <w:color w:val="auto"/>
          <w:sz w:val="24"/>
          <w:szCs w:val="24"/>
          <w:highlight w:val="none"/>
        </w:rPr>
        <w:tab/>
      </w:r>
      <w:r>
        <w:rPr>
          <w:rFonts w:hint="eastAsia"/>
          <w:color w:val="auto"/>
          <w:sz w:val="24"/>
          <w:szCs w:val="24"/>
          <w:highlight w:val="none"/>
        </w:rPr>
        <w:tab/>
      </w:r>
      <w:r>
        <w:rPr>
          <w:rFonts w:hint="eastAsia"/>
          <w:color w:val="auto"/>
          <w:sz w:val="24"/>
          <w:szCs w:val="24"/>
          <w:highlight w:val="none"/>
        </w:rPr>
        <w:t xml:space="preserve">                       传真：</w:t>
      </w:r>
    </w:p>
    <w:p w14:paraId="297FA56F">
      <w:pPr>
        <w:widowControl w:val="0"/>
        <w:snapToGrid w:val="0"/>
        <w:spacing w:line="360" w:lineRule="auto"/>
        <w:ind w:firstLine="578"/>
        <w:textAlignment w:val="top"/>
        <w:rPr>
          <w:color w:val="auto"/>
          <w:sz w:val="24"/>
          <w:szCs w:val="24"/>
          <w:highlight w:val="none"/>
        </w:rPr>
      </w:pPr>
      <w:r>
        <w:rPr>
          <w:rFonts w:hint="eastAsia"/>
          <w:color w:val="auto"/>
          <w:sz w:val="24"/>
          <w:szCs w:val="24"/>
          <w:highlight w:val="none"/>
        </w:rPr>
        <w:t>日期：</w:t>
      </w:r>
    </w:p>
    <w:p w14:paraId="6B276DC2">
      <w:pPr>
        <w:widowControl w:val="0"/>
        <w:snapToGrid w:val="0"/>
        <w:spacing w:line="360" w:lineRule="auto"/>
        <w:textAlignment w:val="top"/>
        <w:rPr>
          <w:color w:val="auto"/>
          <w:sz w:val="24"/>
          <w:szCs w:val="24"/>
          <w:highlight w:val="none"/>
        </w:rPr>
      </w:pPr>
    </w:p>
    <w:p w14:paraId="16206B47">
      <w:pPr>
        <w:widowControl w:val="0"/>
        <w:snapToGrid w:val="0"/>
        <w:spacing w:line="360" w:lineRule="auto"/>
        <w:textAlignment w:val="top"/>
        <w:rPr>
          <w:color w:val="auto"/>
          <w:sz w:val="24"/>
          <w:szCs w:val="24"/>
          <w:highlight w:val="none"/>
        </w:rPr>
      </w:pPr>
      <w:r>
        <w:rPr>
          <w:rFonts w:hint="eastAsia"/>
          <w:color w:val="auto"/>
          <w:sz w:val="24"/>
          <w:szCs w:val="24"/>
          <w:highlight w:val="none"/>
        </w:rPr>
        <w:t>投标人（电子签章）：</w:t>
      </w:r>
    </w:p>
    <w:p w14:paraId="3CF1F502">
      <w:pPr>
        <w:widowControl w:val="0"/>
        <w:snapToGrid w:val="0"/>
        <w:spacing w:line="360" w:lineRule="auto"/>
        <w:textAlignment w:val="top"/>
        <w:rPr>
          <w:color w:val="auto"/>
          <w:sz w:val="24"/>
          <w:szCs w:val="24"/>
          <w:highlight w:val="none"/>
        </w:rPr>
      </w:pPr>
      <w:r>
        <w:rPr>
          <w:rFonts w:hint="eastAsia"/>
          <w:color w:val="auto"/>
          <w:sz w:val="24"/>
          <w:szCs w:val="24"/>
          <w:highlight w:val="none"/>
        </w:rPr>
        <w:t>法定代表人（电子签名或签章）：</w:t>
      </w:r>
    </w:p>
    <w:p w14:paraId="60E997BA">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日期：</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14:paraId="5D1D1FD9">
      <w:pPr>
        <w:widowControl w:val="0"/>
        <w:snapToGrid w:val="0"/>
        <w:spacing w:line="360" w:lineRule="auto"/>
        <w:textAlignment w:val="top"/>
        <w:rPr>
          <w:color w:val="auto"/>
          <w:sz w:val="24"/>
          <w:szCs w:val="24"/>
          <w:highlight w:val="none"/>
        </w:rPr>
      </w:pPr>
    </w:p>
    <w:p w14:paraId="33412EA5">
      <w:pPr>
        <w:widowControl w:val="0"/>
        <w:snapToGrid w:val="0"/>
        <w:spacing w:line="560" w:lineRule="exact"/>
        <w:jc w:val="center"/>
        <w:rPr>
          <w:rFonts w:eastAsia="方正黑体简体"/>
          <w:b/>
          <w:color w:val="auto"/>
          <w:sz w:val="30"/>
          <w:szCs w:val="30"/>
          <w:highlight w:val="none"/>
        </w:rPr>
      </w:pPr>
      <w:r>
        <w:rPr>
          <w:rFonts w:eastAsia="方正黑体简体"/>
          <w:b/>
          <w:color w:val="auto"/>
          <w:sz w:val="30"/>
          <w:szCs w:val="30"/>
          <w:highlight w:val="none"/>
        </w:rPr>
        <w:br w:type="page"/>
      </w:r>
    </w:p>
    <w:p w14:paraId="578FB9CD">
      <w:pPr>
        <w:widowControl w:val="0"/>
        <w:snapToGrid w:val="0"/>
        <w:spacing w:line="560" w:lineRule="exact"/>
        <w:jc w:val="center"/>
        <w:rPr>
          <w:rFonts w:eastAsia="方正黑体简体"/>
          <w:b/>
          <w:color w:val="auto"/>
          <w:sz w:val="30"/>
          <w:szCs w:val="30"/>
          <w:highlight w:val="none"/>
        </w:rPr>
      </w:pPr>
      <w:r>
        <w:rPr>
          <w:rFonts w:hint="eastAsia" w:eastAsia="方正黑体简体"/>
          <w:b/>
          <w:color w:val="auto"/>
          <w:sz w:val="30"/>
          <w:szCs w:val="30"/>
          <w:highlight w:val="none"/>
        </w:rPr>
        <w:t>2、开标一览表</w:t>
      </w:r>
      <w:r>
        <w:rPr>
          <w:rFonts w:hint="eastAsia" w:ascii="宋体" w:hAnsi="宋体"/>
          <w:b/>
          <w:color w:val="auto"/>
          <w:sz w:val="24"/>
          <w:szCs w:val="24"/>
          <w:highlight w:val="none"/>
        </w:rPr>
        <w:t>（即交易系统中报价一览表）</w:t>
      </w:r>
    </w:p>
    <w:p w14:paraId="61793904">
      <w:pPr>
        <w:pStyle w:val="17"/>
        <w:adjustRightInd w:val="0"/>
        <w:snapToGrid w:val="0"/>
        <w:spacing w:before="0" w:beforeAutospacing="0" w:after="0" w:afterAutospacing="0"/>
        <w:rPr>
          <w:color w:val="auto"/>
          <w:highlight w:val="none"/>
        </w:rPr>
      </w:pPr>
    </w:p>
    <w:p w14:paraId="39938559">
      <w:pPr>
        <w:widowControl w:val="0"/>
        <w:snapToGrid w:val="0"/>
        <w:spacing w:before="156" w:beforeLines="50" w:line="240" w:lineRule="auto"/>
        <w:ind w:firstLine="542"/>
        <w:rPr>
          <w:b/>
          <w:color w:val="auto"/>
          <w:sz w:val="24"/>
          <w:szCs w:val="24"/>
          <w:highlight w:val="none"/>
        </w:rPr>
      </w:pPr>
      <w:r>
        <w:rPr>
          <w:rFonts w:hint="eastAsia"/>
          <w:b/>
          <w:color w:val="auto"/>
          <w:sz w:val="24"/>
          <w:szCs w:val="24"/>
          <w:highlight w:val="none"/>
        </w:rPr>
        <w:t>注：</w:t>
      </w:r>
      <w:r>
        <w:rPr>
          <w:b/>
          <w:color w:val="auto"/>
          <w:sz w:val="24"/>
          <w:szCs w:val="24"/>
          <w:highlight w:val="none"/>
        </w:rPr>
        <w:t>1</w:t>
      </w:r>
      <w:r>
        <w:rPr>
          <w:rFonts w:hint="eastAsia"/>
          <w:b/>
          <w:color w:val="auto"/>
          <w:sz w:val="24"/>
          <w:szCs w:val="24"/>
          <w:highlight w:val="none"/>
        </w:rPr>
        <w:t>、投标人需在安阳市公共资源电子交易平台投标文件制作工具中、按系统要求填列报价一览表（即开标一览表），系统中填列的报价一览表（即开标一览表）为投标人《投标文件》的一部分。</w:t>
      </w:r>
    </w:p>
    <w:p w14:paraId="7D280596">
      <w:pPr>
        <w:widowControl w:val="0"/>
        <w:snapToGrid w:val="0"/>
        <w:spacing w:before="156" w:beforeLines="50" w:line="240" w:lineRule="auto"/>
        <w:ind w:firstLine="540"/>
        <w:rPr>
          <w:color w:val="auto"/>
          <w:sz w:val="24"/>
          <w:szCs w:val="24"/>
          <w:highlight w:val="none"/>
        </w:rPr>
      </w:pPr>
      <w:r>
        <w:rPr>
          <w:color w:val="auto"/>
          <w:sz w:val="24"/>
          <w:szCs w:val="24"/>
          <w:highlight w:val="none"/>
        </w:rPr>
        <w:t>2</w:t>
      </w:r>
      <w:r>
        <w:rPr>
          <w:rFonts w:hint="eastAsia"/>
          <w:color w:val="auto"/>
          <w:sz w:val="24"/>
          <w:szCs w:val="24"/>
          <w:highlight w:val="none"/>
        </w:rPr>
        <w:t>、投标人的投标报价（价格构成）应包括招标文件所述投标报价的所有内容。</w:t>
      </w:r>
    </w:p>
    <w:p w14:paraId="3BC1DB2B">
      <w:pPr>
        <w:widowControl w:val="0"/>
        <w:snapToGrid w:val="0"/>
        <w:spacing w:before="156" w:beforeLines="50" w:line="240" w:lineRule="auto"/>
        <w:ind w:firstLine="540"/>
        <w:jc w:val="left"/>
        <w:rPr>
          <w:color w:val="auto"/>
          <w:sz w:val="24"/>
          <w:szCs w:val="24"/>
          <w:highlight w:val="none"/>
        </w:rPr>
      </w:pPr>
      <w:r>
        <w:rPr>
          <w:color w:val="auto"/>
          <w:sz w:val="24"/>
          <w:szCs w:val="24"/>
          <w:highlight w:val="none"/>
        </w:rPr>
        <w:t>3</w:t>
      </w:r>
      <w:r>
        <w:rPr>
          <w:rFonts w:hint="eastAsia"/>
          <w:color w:val="auto"/>
          <w:sz w:val="24"/>
          <w:szCs w:val="24"/>
          <w:highlight w:val="none"/>
        </w:rPr>
        <w:t>、投标人可对招标文件中所列的所有标段（包）进行分别投标，也可选择其中一个标段（包）或几个标段（包）投标，但不得将招标文件规定的同一标段（包）的内容拆开投标，否则将按无效投标处理。</w:t>
      </w:r>
    </w:p>
    <w:p w14:paraId="0B46945C">
      <w:pPr>
        <w:widowControl w:val="0"/>
        <w:snapToGrid w:val="0"/>
        <w:spacing w:before="156" w:beforeLines="50" w:line="240" w:lineRule="auto"/>
        <w:ind w:firstLine="540"/>
        <w:jc w:val="left"/>
        <w:rPr>
          <w:color w:val="auto"/>
          <w:sz w:val="24"/>
          <w:szCs w:val="24"/>
          <w:highlight w:val="none"/>
        </w:rPr>
      </w:pPr>
      <w:r>
        <w:rPr>
          <w:color w:val="auto"/>
          <w:sz w:val="24"/>
          <w:szCs w:val="24"/>
          <w:highlight w:val="none"/>
        </w:rPr>
        <w:t>4</w:t>
      </w:r>
      <w:r>
        <w:rPr>
          <w:rFonts w:hint="eastAsia"/>
          <w:color w:val="auto"/>
          <w:sz w:val="24"/>
          <w:szCs w:val="24"/>
          <w:highlight w:val="none"/>
        </w:rPr>
        <w:t>、开标一览表与报价明细表有差别时，以开标一览表为准；大写文字表示的数据与小写数字表示的有差别时，以大写文字表示的数据为准。</w:t>
      </w:r>
    </w:p>
    <w:p w14:paraId="4A1C7C58">
      <w:pPr>
        <w:widowControl w:val="0"/>
        <w:snapToGrid w:val="0"/>
        <w:spacing w:line="360" w:lineRule="auto"/>
        <w:textAlignment w:val="top"/>
        <w:rPr>
          <w:b/>
          <w:color w:val="auto"/>
          <w:sz w:val="24"/>
          <w:szCs w:val="24"/>
          <w:highlight w:val="none"/>
        </w:rPr>
      </w:pPr>
    </w:p>
    <w:p w14:paraId="19F65A67">
      <w:pPr>
        <w:widowControl w:val="0"/>
        <w:snapToGrid w:val="0"/>
        <w:spacing w:line="360" w:lineRule="auto"/>
        <w:textAlignment w:val="top"/>
        <w:rPr>
          <w:b/>
          <w:color w:val="auto"/>
          <w:sz w:val="24"/>
          <w:szCs w:val="24"/>
          <w:highlight w:val="none"/>
        </w:rPr>
      </w:pPr>
    </w:p>
    <w:p w14:paraId="0B2626A8">
      <w:pPr>
        <w:widowControl w:val="0"/>
        <w:snapToGrid w:val="0"/>
        <w:spacing w:line="360" w:lineRule="auto"/>
        <w:textAlignment w:val="top"/>
        <w:rPr>
          <w:b/>
          <w:color w:val="auto"/>
          <w:sz w:val="24"/>
          <w:szCs w:val="24"/>
          <w:highlight w:val="none"/>
        </w:rPr>
      </w:pPr>
    </w:p>
    <w:p w14:paraId="2A26F9EC">
      <w:pPr>
        <w:widowControl w:val="0"/>
        <w:snapToGrid w:val="0"/>
        <w:spacing w:line="360" w:lineRule="auto"/>
        <w:textAlignment w:val="top"/>
        <w:rPr>
          <w:b/>
          <w:color w:val="auto"/>
          <w:sz w:val="24"/>
          <w:szCs w:val="24"/>
          <w:highlight w:val="none"/>
        </w:rPr>
      </w:pPr>
    </w:p>
    <w:p w14:paraId="1B57A332">
      <w:pPr>
        <w:widowControl w:val="0"/>
        <w:snapToGrid w:val="0"/>
        <w:spacing w:line="360" w:lineRule="auto"/>
        <w:textAlignment w:val="top"/>
        <w:rPr>
          <w:color w:val="auto"/>
          <w:sz w:val="24"/>
          <w:szCs w:val="24"/>
          <w:highlight w:val="none"/>
        </w:rPr>
      </w:pPr>
      <w:r>
        <w:rPr>
          <w:rFonts w:hint="eastAsia"/>
          <w:color w:val="auto"/>
          <w:sz w:val="24"/>
          <w:szCs w:val="24"/>
          <w:highlight w:val="none"/>
        </w:rPr>
        <w:t>投标人（电子签章）：</w:t>
      </w:r>
    </w:p>
    <w:p w14:paraId="3F159BB5">
      <w:pPr>
        <w:widowControl w:val="0"/>
        <w:snapToGrid w:val="0"/>
        <w:spacing w:line="360" w:lineRule="auto"/>
        <w:textAlignment w:val="top"/>
        <w:rPr>
          <w:color w:val="auto"/>
          <w:sz w:val="24"/>
          <w:szCs w:val="24"/>
          <w:highlight w:val="none"/>
        </w:rPr>
      </w:pPr>
      <w:r>
        <w:rPr>
          <w:rFonts w:hint="eastAsia"/>
          <w:color w:val="auto"/>
          <w:sz w:val="24"/>
          <w:szCs w:val="24"/>
          <w:highlight w:val="none"/>
        </w:rPr>
        <w:t>法定代表人（电子签名或签章）：</w:t>
      </w:r>
    </w:p>
    <w:p w14:paraId="460B8F8A">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日期：</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14:paraId="1133A37D">
      <w:pPr>
        <w:widowControl w:val="0"/>
        <w:snapToGrid w:val="0"/>
        <w:spacing w:line="560" w:lineRule="exact"/>
        <w:ind w:firstLine="482" w:firstLineChars="200"/>
        <w:jc w:val="left"/>
        <w:rPr>
          <w:b/>
          <w:color w:val="auto"/>
          <w:sz w:val="24"/>
          <w:szCs w:val="24"/>
          <w:highlight w:val="none"/>
        </w:rPr>
      </w:pPr>
      <w:r>
        <w:rPr>
          <w:b/>
          <w:color w:val="auto"/>
          <w:sz w:val="24"/>
          <w:szCs w:val="24"/>
          <w:highlight w:val="none"/>
        </w:rPr>
        <w:br w:type="page"/>
      </w:r>
    </w:p>
    <w:p w14:paraId="6C3D5103">
      <w:pPr>
        <w:widowControl w:val="0"/>
        <w:snapToGrid w:val="0"/>
        <w:spacing w:line="560" w:lineRule="exact"/>
        <w:jc w:val="center"/>
        <w:rPr>
          <w:b/>
          <w:color w:val="auto"/>
          <w:sz w:val="24"/>
          <w:szCs w:val="24"/>
          <w:highlight w:val="none"/>
        </w:rPr>
      </w:pPr>
      <w:r>
        <w:rPr>
          <w:rFonts w:hint="eastAsia" w:ascii="黑体" w:hAnsi="黑体" w:eastAsia="黑体"/>
          <w:b/>
          <w:color w:val="auto"/>
          <w:sz w:val="30"/>
          <w:szCs w:val="30"/>
          <w:highlight w:val="none"/>
        </w:rPr>
        <w:t>3、投标报价明细表</w:t>
      </w:r>
    </w:p>
    <w:p w14:paraId="5FB5936A">
      <w:pPr>
        <w:pStyle w:val="17"/>
        <w:adjustRightInd w:val="0"/>
        <w:snapToGrid w:val="0"/>
        <w:spacing w:before="156" w:beforeLines="50" w:beforeAutospacing="0" w:after="0" w:afterAutospacing="0"/>
        <w:rPr>
          <w:color w:val="auto"/>
          <w:highlight w:val="none"/>
        </w:rPr>
      </w:pPr>
    </w:p>
    <w:p w14:paraId="14CA8C80">
      <w:pPr>
        <w:pStyle w:val="17"/>
        <w:adjustRightInd w:val="0"/>
        <w:snapToGrid w:val="0"/>
        <w:spacing w:before="0" w:beforeAutospacing="0" w:after="0" w:afterAutospacing="0"/>
        <w:rPr>
          <w:color w:val="auto"/>
          <w:highlight w:val="none"/>
          <w:u w:val="single"/>
        </w:rPr>
      </w:pPr>
      <w:r>
        <w:rPr>
          <w:rFonts w:hint="eastAsia"/>
          <w:color w:val="auto"/>
          <w:highlight w:val="none"/>
        </w:rPr>
        <w:t>项目名称：</w:t>
      </w:r>
      <w:r>
        <w:rPr>
          <w:color w:val="auto"/>
          <w:highlight w:val="none"/>
          <w:u w:val="single"/>
        </w:rPr>
        <w:t xml:space="preserve">                             </w:t>
      </w:r>
    </w:p>
    <w:p w14:paraId="35E07065">
      <w:pPr>
        <w:pStyle w:val="17"/>
        <w:adjustRightInd w:val="0"/>
        <w:snapToGrid w:val="0"/>
        <w:spacing w:before="0" w:beforeAutospacing="0" w:after="0" w:afterAutospacing="0"/>
        <w:rPr>
          <w:color w:val="auto"/>
          <w:highlight w:val="none"/>
        </w:rPr>
      </w:pPr>
      <w:r>
        <w:rPr>
          <w:rFonts w:hint="eastAsia"/>
          <w:color w:val="auto"/>
          <w:highlight w:val="none"/>
        </w:rPr>
        <w:t>项目编号：</w:t>
      </w:r>
      <w:r>
        <w:rPr>
          <w:color w:val="auto"/>
          <w:highlight w:val="none"/>
          <w:u w:val="single"/>
        </w:rPr>
        <w:t xml:space="preserve">                             </w:t>
      </w:r>
    </w:p>
    <w:tbl>
      <w:tblPr>
        <w:tblStyle w:val="20"/>
        <w:tblW w:w="9243"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65"/>
        <w:gridCol w:w="1910"/>
        <w:gridCol w:w="2977"/>
        <w:gridCol w:w="851"/>
        <w:gridCol w:w="850"/>
        <w:gridCol w:w="1190"/>
        <w:gridCol w:w="1000"/>
      </w:tblGrid>
      <w:tr w14:paraId="1EBFD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7" w:hRule="atLeast"/>
        </w:trPr>
        <w:tc>
          <w:tcPr>
            <w:tcW w:w="465" w:type="dxa"/>
            <w:tcBorders>
              <w:top w:val="single" w:color="000000" w:sz="8" w:space="0"/>
              <w:left w:val="single" w:color="000000" w:sz="8" w:space="0"/>
              <w:bottom w:val="single" w:color="000000" w:sz="4" w:space="0"/>
              <w:right w:val="single" w:color="000000" w:sz="4" w:space="0"/>
            </w:tcBorders>
            <w:vAlign w:val="center"/>
          </w:tcPr>
          <w:p w14:paraId="6CE76DBF">
            <w:pPr>
              <w:spacing w:line="560" w:lineRule="exact"/>
              <w:jc w:val="center"/>
              <w:rPr>
                <w:color w:val="auto"/>
                <w:sz w:val="28"/>
                <w:highlight w:val="none"/>
              </w:rPr>
            </w:pPr>
            <w:r>
              <w:rPr>
                <w:rFonts w:hint="eastAsia"/>
                <w:color w:val="auto"/>
                <w:highlight w:val="none"/>
              </w:rPr>
              <w:t>序号</w:t>
            </w:r>
          </w:p>
        </w:tc>
        <w:tc>
          <w:tcPr>
            <w:tcW w:w="1910" w:type="dxa"/>
            <w:tcBorders>
              <w:top w:val="single" w:color="000000" w:sz="8" w:space="0"/>
              <w:bottom w:val="single" w:color="000000" w:sz="4" w:space="0"/>
              <w:right w:val="single" w:color="000000" w:sz="4" w:space="0"/>
            </w:tcBorders>
            <w:vAlign w:val="center"/>
          </w:tcPr>
          <w:p w14:paraId="148169A5">
            <w:pPr>
              <w:spacing w:line="560" w:lineRule="exact"/>
              <w:jc w:val="center"/>
              <w:rPr>
                <w:color w:val="auto"/>
                <w:sz w:val="28"/>
                <w:highlight w:val="none"/>
              </w:rPr>
            </w:pPr>
            <w:r>
              <w:rPr>
                <w:rFonts w:hint="eastAsia"/>
                <w:color w:val="auto"/>
                <w:highlight w:val="none"/>
              </w:rPr>
              <w:t>产品名称</w:t>
            </w:r>
          </w:p>
        </w:tc>
        <w:tc>
          <w:tcPr>
            <w:tcW w:w="2977" w:type="dxa"/>
            <w:tcBorders>
              <w:top w:val="single" w:color="000000" w:sz="8" w:space="0"/>
              <w:bottom w:val="single" w:color="000000" w:sz="4" w:space="0"/>
              <w:right w:val="single" w:color="000000" w:sz="4" w:space="0"/>
            </w:tcBorders>
            <w:vAlign w:val="center"/>
          </w:tcPr>
          <w:p w14:paraId="270BEDB7">
            <w:pPr>
              <w:spacing w:line="300" w:lineRule="exact"/>
              <w:jc w:val="center"/>
              <w:rPr>
                <w:color w:val="auto"/>
                <w:szCs w:val="21"/>
                <w:highlight w:val="none"/>
              </w:rPr>
            </w:pPr>
            <w:r>
              <w:rPr>
                <w:rFonts w:hint="eastAsia"/>
                <w:color w:val="auto"/>
                <w:highlight w:val="none"/>
              </w:rPr>
              <w:t>品牌型号规格</w:t>
            </w:r>
          </w:p>
        </w:tc>
        <w:tc>
          <w:tcPr>
            <w:tcW w:w="851" w:type="dxa"/>
            <w:tcBorders>
              <w:top w:val="single" w:color="000000" w:sz="8" w:space="0"/>
              <w:bottom w:val="single" w:color="000000" w:sz="4" w:space="0"/>
              <w:right w:val="single" w:color="000000" w:sz="4" w:space="0"/>
            </w:tcBorders>
            <w:vAlign w:val="center"/>
          </w:tcPr>
          <w:p w14:paraId="0C1CB60C">
            <w:pPr>
              <w:spacing w:line="560" w:lineRule="exact"/>
              <w:jc w:val="center"/>
              <w:rPr>
                <w:color w:val="auto"/>
                <w:sz w:val="28"/>
                <w:highlight w:val="none"/>
              </w:rPr>
            </w:pPr>
            <w:r>
              <w:rPr>
                <w:rFonts w:hint="eastAsia"/>
                <w:color w:val="auto"/>
                <w:highlight w:val="none"/>
              </w:rPr>
              <w:t>单位</w:t>
            </w:r>
          </w:p>
        </w:tc>
        <w:tc>
          <w:tcPr>
            <w:tcW w:w="850" w:type="dxa"/>
            <w:tcBorders>
              <w:top w:val="single" w:color="000000" w:sz="8" w:space="0"/>
              <w:bottom w:val="single" w:color="000000" w:sz="4" w:space="0"/>
              <w:right w:val="single" w:color="000000" w:sz="4" w:space="0"/>
            </w:tcBorders>
            <w:vAlign w:val="center"/>
          </w:tcPr>
          <w:p w14:paraId="6BD2B5BD">
            <w:pPr>
              <w:spacing w:line="560" w:lineRule="exact"/>
              <w:jc w:val="center"/>
              <w:rPr>
                <w:color w:val="auto"/>
                <w:sz w:val="28"/>
                <w:highlight w:val="none"/>
              </w:rPr>
            </w:pPr>
            <w:r>
              <w:rPr>
                <w:rFonts w:hint="eastAsia"/>
                <w:color w:val="auto"/>
                <w:highlight w:val="none"/>
              </w:rPr>
              <w:t>数量</w:t>
            </w:r>
          </w:p>
        </w:tc>
        <w:tc>
          <w:tcPr>
            <w:tcW w:w="1190" w:type="dxa"/>
            <w:tcBorders>
              <w:top w:val="single" w:color="000000" w:sz="8" w:space="0"/>
              <w:bottom w:val="single" w:color="000000" w:sz="4" w:space="0"/>
              <w:right w:val="single" w:color="000000" w:sz="4" w:space="0"/>
            </w:tcBorders>
            <w:vAlign w:val="center"/>
          </w:tcPr>
          <w:p w14:paraId="67F5F33B">
            <w:pPr>
              <w:spacing w:line="560" w:lineRule="exact"/>
              <w:jc w:val="center"/>
              <w:rPr>
                <w:color w:val="auto"/>
                <w:sz w:val="28"/>
                <w:highlight w:val="none"/>
              </w:rPr>
            </w:pPr>
            <w:r>
              <w:rPr>
                <w:rFonts w:hint="eastAsia"/>
                <w:color w:val="auto"/>
                <w:highlight w:val="none"/>
              </w:rPr>
              <w:t>单价</w:t>
            </w:r>
          </w:p>
        </w:tc>
        <w:tc>
          <w:tcPr>
            <w:tcW w:w="1000" w:type="dxa"/>
            <w:tcBorders>
              <w:top w:val="single" w:color="000000" w:sz="8" w:space="0"/>
              <w:bottom w:val="single" w:color="000000" w:sz="4" w:space="0"/>
              <w:right w:val="single" w:color="000000" w:sz="8" w:space="0"/>
            </w:tcBorders>
            <w:vAlign w:val="center"/>
          </w:tcPr>
          <w:p w14:paraId="32894249">
            <w:pPr>
              <w:spacing w:line="560" w:lineRule="exact"/>
              <w:jc w:val="center"/>
              <w:rPr>
                <w:color w:val="auto"/>
                <w:sz w:val="28"/>
                <w:highlight w:val="none"/>
              </w:rPr>
            </w:pPr>
            <w:r>
              <w:rPr>
                <w:rFonts w:hint="eastAsia"/>
                <w:color w:val="auto"/>
                <w:highlight w:val="none"/>
              </w:rPr>
              <w:t>小计</w:t>
            </w:r>
          </w:p>
        </w:tc>
      </w:tr>
      <w:tr w14:paraId="7AE10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trPr>
        <w:tc>
          <w:tcPr>
            <w:tcW w:w="465" w:type="dxa"/>
            <w:tcBorders>
              <w:left w:val="single" w:color="000000" w:sz="8" w:space="0"/>
              <w:bottom w:val="single" w:color="000000" w:sz="4" w:space="0"/>
              <w:right w:val="single" w:color="000000" w:sz="4" w:space="0"/>
            </w:tcBorders>
            <w:vAlign w:val="center"/>
          </w:tcPr>
          <w:p w14:paraId="51D93E13">
            <w:pPr>
              <w:spacing w:line="560" w:lineRule="exact"/>
              <w:jc w:val="center"/>
              <w:rPr>
                <w:color w:val="auto"/>
                <w:sz w:val="28"/>
                <w:highlight w:val="none"/>
              </w:rPr>
            </w:pPr>
            <w:r>
              <w:rPr>
                <w:color w:val="auto"/>
                <w:highlight w:val="none"/>
              </w:rPr>
              <w:t>1</w:t>
            </w:r>
          </w:p>
        </w:tc>
        <w:tc>
          <w:tcPr>
            <w:tcW w:w="1910" w:type="dxa"/>
            <w:tcBorders>
              <w:bottom w:val="single" w:color="000000" w:sz="4" w:space="0"/>
              <w:right w:val="single" w:color="000000" w:sz="4" w:space="0"/>
            </w:tcBorders>
            <w:vAlign w:val="center"/>
          </w:tcPr>
          <w:p w14:paraId="7C014F3D">
            <w:pPr>
              <w:spacing w:line="560" w:lineRule="exact"/>
              <w:jc w:val="center"/>
              <w:rPr>
                <w:color w:val="auto"/>
                <w:sz w:val="28"/>
                <w:highlight w:val="none"/>
              </w:rPr>
            </w:pPr>
          </w:p>
        </w:tc>
        <w:tc>
          <w:tcPr>
            <w:tcW w:w="2977" w:type="dxa"/>
            <w:tcBorders>
              <w:bottom w:val="single" w:color="000000" w:sz="4" w:space="0"/>
              <w:right w:val="single" w:color="000000" w:sz="4" w:space="0"/>
            </w:tcBorders>
            <w:vAlign w:val="center"/>
          </w:tcPr>
          <w:p w14:paraId="30BEC8AB">
            <w:pPr>
              <w:spacing w:line="560" w:lineRule="exact"/>
              <w:jc w:val="left"/>
              <w:rPr>
                <w:color w:val="auto"/>
                <w:sz w:val="28"/>
                <w:highlight w:val="none"/>
              </w:rPr>
            </w:pPr>
          </w:p>
        </w:tc>
        <w:tc>
          <w:tcPr>
            <w:tcW w:w="851" w:type="dxa"/>
            <w:tcBorders>
              <w:bottom w:val="single" w:color="000000" w:sz="4" w:space="0"/>
              <w:right w:val="single" w:color="000000" w:sz="4" w:space="0"/>
            </w:tcBorders>
            <w:vAlign w:val="center"/>
          </w:tcPr>
          <w:p w14:paraId="780A7362">
            <w:pPr>
              <w:spacing w:line="560" w:lineRule="exact"/>
              <w:jc w:val="center"/>
              <w:rPr>
                <w:color w:val="auto"/>
                <w:sz w:val="28"/>
                <w:highlight w:val="none"/>
              </w:rPr>
            </w:pPr>
          </w:p>
        </w:tc>
        <w:tc>
          <w:tcPr>
            <w:tcW w:w="850" w:type="dxa"/>
            <w:tcBorders>
              <w:bottom w:val="single" w:color="000000" w:sz="4" w:space="0"/>
              <w:right w:val="single" w:color="000000" w:sz="4" w:space="0"/>
            </w:tcBorders>
            <w:vAlign w:val="center"/>
          </w:tcPr>
          <w:p w14:paraId="47A90EF7">
            <w:pPr>
              <w:spacing w:line="560" w:lineRule="exact"/>
              <w:jc w:val="center"/>
              <w:rPr>
                <w:color w:val="auto"/>
                <w:sz w:val="28"/>
                <w:highlight w:val="none"/>
              </w:rPr>
            </w:pPr>
          </w:p>
        </w:tc>
        <w:tc>
          <w:tcPr>
            <w:tcW w:w="1190" w:type="dxa"/>
            <w:tcBorders>
              <w:bottom w:val="single" w:color="000000" w:sz="4" w:space="0"/>
              <w:right w:val="single" w:color="000000" w:sz="4" w:space="0"/>
            </w:tcBorders>
            <w:vAlign w:val="center"/>
          </w:tcPr>
          <w:p w14:paraId="181D9D51">
            <w:pPr>
              <w:spacing w:line="560" w:lineRule="exact"/>
              <w:jc w:val="center"/>
              <w:rPr>
                <w:color w:val="auto"/>
                <w:sz w:val="28"/>
                <w:highlight w:val="none"/>
              </w:rPr>
            </w:pPr>
          </w:p>
        </w:tc>
        <w:tc>
          <w:tcPr>
            <w:tcW w:w="1000" w:type="dxa"/>
            <w:tcBorders>
              <w:bottom w:val="single" w:color="000000" w:sz="4" w:space="0"/>
              <w:right w:val="single" w:color="000000" w:sz="8" w:space="0"/>
            </w:tcBorders>
            <w:vAlign w:val="center"/>
          </w:tcPr>
          <w:p w14:paraId="5AA1C7A7">
            <w:pPr>
              <w:spacing w:line="560" w:lineRule="exact"/>
              <w:jc w:val="center"/>
              <w:rPr>
                <w:color w:val="auto"/>
                <w:sz w:val="28"/>
                <w:highlight w:val="none"/>
              </w:rPr>
            </w:pPr>
          </w:p>
        </w:tc>
      </w:tr>
      <w:tr w14:paraId="26183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trPr>
        <w:tc>
          <w:tcPr>
            <w:tcW w:w="465" w:type="dxa"/>
            <w:tcBorders>
              <w:left w:val="single" w:color="000000" w:sz="8" w:space="0"/>
              <w:bottom w:val="single" w:color="000000" w:sz="4" w:space="0"/>
              <w:right w:val="single" w:color="000000" w:sz="4" w:space="0"/>
            </w:tcBorders>
            <w:vAlign w:val="center"/>
          </w:tcPr>
          <w:p w14:paraId="44CF601C">
            <w:pPr>
              <w:spacing w:line="560" w:lineRule="exact"/>
              <w:jc w:val="center"/>
              <w:rPr>
                <w:color w:val="auto"/>
                <w:sz w:val="28"/>
                <w:highlight w:val="none"/>
              </w:rPr>
            </w:pPr>
            <w:r>
              <w:rPr>
                <w:color w:val="auto"/>
                <w:highlight w:val="none"/>
              </w:rPr>
              <w:t>2</w:t>
            </w:r>
          </w:p>
        </w:tc>
        <w:tc>
          <w:tcPr>
            <w:tcW w:w="1910" w:type="dxa"/>
            <w:tcBorders>
              <w:bottom w:val="single" w:color="000000" w:sz="4" w:space="0"/>
              <w:right w:val="single" w:color="000000" w:sz="4" w:space="0"/>
            </w:tcBorders>
            <w:vAlign w:val="center"/>
          </w:tcPr>
          <w:p w14:paraId="4A78C2C2">
            <w:pPr>
              <w:spacing w:line="560" w:lineRule="exact"/>
              <w:jc w:val="center"/>
              <w:rPr>
                <w:color w:val="auto"/>
                <w:sz w:val="28"/>
                <w:highlight w:val="none"/>
              </w:rPr>
            </w:pPr>
          </w:p>
        </w:tc>
        <w:tc>
          <w:tcPr>
            <w:tcW w:w="2977" w:type="dxa"/>
            <w:tcBorders>
              <w:bottom w:val="single" w:color="000000" w:sz="4" w:space="0"/>
              <w:right w:val="single" w:color="000000" w:sz="4" w:space="0"/>
            </w:tcBorders>
            <w:vAlign w:val="center"/>
          </w:tcPr>
          <w:p w14:paraId="6F2165D3">
            <w:pPr>
              <w:spacing w:line="560" w:lineRule="exact"/>
              <w:jc w:val="left"/>
              <w:rPr>
                <w:color w:val="auto"/>
                <w:sz w:val="28"/>
                <w:highlight w:val="none"/>
              </w:rPr>
            </w:pPr>
          </w:p>
        </w:tc>
        <w:tc>
          <w:tcPr>
            <w:tcW w:w="851" w:type="dxa"/>
            <w:tcBorders>
              <w:bottom w:val="single" w:color="000000" w:sz="4" w:space="0"/>
              <w:right w:val="single" w:color="000000" w:sz="4" w:space="0"/>
            </w:tcBorders>
            <w:vAlign w:val="center"/>
          </w:tcPr>
          <w:p w14:paraId="41ABD0CB">
            <w:pPr>
              <w:spacing w:line="560" w:lineRule="exact"/>
              <w:jc w:val="center"/>
              <w:rPr>
                <w:color w:val="auto"/>
                <w:sz w:val="28"/>
                <w:highlight w:val="none"/>
              </w:rPr>
            </w:pPr>
          </w:p>
        </w:tc>
        <w:tc>
          <w:tcPr>
            <w:tcW w:w="850" w:type="dxa"/>
            <w:tcBorders>
              <w:bottom w:val="single" w:color="000000" w:sz="4" w:space="0"/>
              <w:right w:val="single" w:color="000000" w:sz="4" w:space="0"/>
            </w:tcBorders>
            <w:vAlign w:val="center"/>
          </w:tcPr>
          <w:p w14:paraId="5B3CFC97">
            <w:pPr>
              <w:spacing w:line="560" w:lineRule="exact"/>
              <w:jc w:val="center"/>
              <w:rPr>
                <w:color w:val="auto"/>
                <w:sz w:val="28"/>
                <w:highlight w:val="none"/>
              </w:rPr>
            </w:pPr>
          </w:p>
        </w:tc>
        <w:tc>
          <w:tcPr>
            <w:tcW w:w="1190" w:type="dxa"/>
            <w:tcBorders>
              <w:bottom w:val="single" w:color="000000" w:sz="4" w:space="0"/>
              <w:right w:val="single" w:color="000000" w:sz="4" w:space="0"/>
            </w:tcBorders>
            <w:vAlign w:val="center"/>
          </w:tcPr>
          <w:p w14:paraId="74DE8D30">
            <w:pPr>
              <w:spacing w:line="560" w:lineRule="exact"/>
              <w:jc w:val="center"/>
              <w:rPr>
                <w:color w:val="auto"/>
                <w:sz w:val="28"/>
                <w:highlight w:val="none"/>
              </w:rPr>
            </w:pPr>
          </w:p>
        </w:tc>
        <w:tc>
          <w:tcPr>
            <w:tcW w:w="1000" w:type="dxa"/>
            <w:tcBorders>
              <w:bottom w:val="single" w:color="000000" w:sz="4" w:space="0"/>
              <w:right w:val="single" w:color="000000" w:sz="8" w:space="0"/>
            </w:tcBorders>
            <w:vAlign w:val="center"/>
          </w:tcPr>
          <w:p w14:paraId="1ED873F6">
            <w:pPr>
              <w:spacing w:line="560" w:lineRule="exact"/>
              <w:jc w:val="center"/>
              <w:rPr>
                <w:color w:val="auto"/>
                <w:sz w:val="28"/>
                <w:highlight w:val="none"/>
              </w:rPr>
            </w:pPr>
          </w:p>
        </w:tc>
      </w:tr>
      <w:tr w14:paraId="5B59D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465" w:type="dxa"/>
            <w:tcBorders>
              <w:left w:val="single" w:color="000000" w:sz="8" w:space="0"/>
              <w:bottom w:val="single" w:color="000000" w:sz="4" w:space="0"/>
              <w:right w:val="single" w:color="000000" w:sz="4" w:space="0"/>
            </w:tcBorders>
            <w:vAlign w:val="center"/>
          </w:tcPr>
          <w:p w14:paraId="754A01F7">
            <w:pPr>
              <w:spacing w:line="560" w:lineRule="exact"/>
              <w:jc w:val="center"/>
              <w:rPr>
                <w:color w:val="auto"/>
                <w:sz w:val="28"/>
                <w:highlight w:val="none"/>
              </w:rPr>
            </w:pPr>
            <w:r>
              <w:rPr>
                <w:color w:val="auto"/>
                <w:highlight w:val="none"/>
              </w:rPr>
              <w:t>3</w:t>
            </w:r>
          </w:p>
        </w:tc>
        <w:tc>
          <w:tcPr>
            <w:tcW w:w="1910" w:type="dxa"/>
            <w:tcBorders>
              <w:bottom w:val="single" w:color="000000" w:sz="4" w:space="0"/>
              <w:right w:val="single" w:color="000000" w:sz="4" w:space="0"/>
            </w:tcBorders>
            <w:vAlign w:val="center"/>
          </w:tcPr>
          <w:p w14:paraId="39A34032">
            <w:pPr>
              <w:spacing w:line="560" w:lineRule="exact"/>
              <w:jc w:val="center"/>
              <w:rPr>
                <w:color w:val="auto"/>
                <w:sz w:val="28"/>
                <w:highlight w:val="none"/>
              </w:rPr>
            </w:pPr>
          </w:p>
        </w:tc>
        <w:tc>
          <w:tcPr>
            <w:tcW w:w="2977" w:type="dxa"/>
            <w:tcBorders>
              <w:bottom w:val="single" w:color="000000" w:sz="4" w:space="0"/>
              <w:right w:val="single" w:color="000000" w:sz="4" w:space="0"/>
            </w:tcBorders>
            <w:vAlign w:val="center"/>
          </w:tcPr>
          <w:p w14:paraId="54C38271">
            <w:pPr>
              <w:spacing w:line="560" w:lineRule="exact"/>
              <w:jc w:val="left"/>
              <w:rPr>
                <w:color w:val="auto"/>
                <w:sz w:val="28"/>
                <w:highlight w:val="none"/>
              </w:rPr>
            </w:pPr>
          </w:p>
        </w:tc>
        <w:tc>
          <w:tcPr>
            <w:tcW w:w="851" w:type="dxa"/>
            <w:tcBorders>
              <w:bottom w:val="single" w:color="000000" w:sz="4" w:space="0"/>
              <w:right w:val="single" w:color="000000" w:sz="4" w:space="0"/>
            </w:tcBorders>
            <w:vAlign w:val="center"/>
          </w:tcPr>
          <w:p w14:paraId="055952B0">
            <w:pPr>
              <w:spacing w:line="560" w:lineRule="exact"/>
              <w:jc w:val="center"/>
              <w:rPr>
                <w:color w:val="auto"/>
                <w:sz w:val="28"/>
                <w:highlight w:val="none"/>
              </w:rPr>
            </w:pPr>
          </w:p>
        </w:tc>
        <w:tc>
          <w:tcPr>
            <w:tcW w:w="850" w:type="dxa"/>
            <w:tcBorders>
              <w:bottom w:val="single" w:color="000000" w:sz="4" w:space="0"/>
              <w:right w:val="single" w:color="000000" w:sz="4" w:space="0"/>
            </w:tcBorders>
            <w:vAlign w:val="center"/>
          </w:tcPr>
          <w:p w14:paraId="21E8D069">
            <w:pPr>
              <w:spacing w:line="560" w:lineRule="exact"/>
              <w:jc w:val="center"/>
              <w:rPr>
                <w:color w:val="auto"/>
                <w:sz w:val="28"/>
                <w:highlight w:val="none"/>
              </w:rPr>
            </w:pPr>
          </w:p>
        </w:tc>
        <w:tc>
          <w:tcPr>
            <w:tcW w:w="1190" w:type="dxa"/>
            <w:tcBorders>
              <w:bottom w:val="single" w:color="000000" w:sz="4" w:space="0"/>
              <w:right w:val="single" w:color="000000" w:sz="4" w:space="0"/>
            </w:tcBorders>
            <w:vAlign w:val="center"/>
          </w:tcPr>
          <w:p w14:paraId="3B398F9A">
            <w:pPr>
              <w:spacing w:line="560" w:lineRule="exact"/>
              <w:jc w:val="center"/>
              <w:rPr>
                <w:color w:val="auto"/>
                <w:sz w:val="28"/>
                <w:highlight w:val="none"/>
              </w:rPr>
            </w:pPr>
          </w:p>
        </w:tc>
        <w:tc>
          <w:tcPr>
            <w:tcW w:w="1000" w:type="dxa"/>
            <w:tcBorders>
              <w:bottom w:val="single" w:color="000000" w:sz="4" w:space="0"/>
              <w:right w:val="single" w:color="000000" w:sz="8" w:space="0"/>
            </w:tcBorders>
            <w:vAlign w:val="center"/>
          </w:tcPr>
          <w:p w14:paraId="763DC9DE">
            <w:pPr>
              <w:spacing w:line="560" w:lineRule="exact"/>
              <w:jc w:val="center"/>
              <w:rPr>
                <w:color w:val="auto"/>
                <w:sz w:val="28"/>
                <w:highlight w:val="none"/>
              </w:rPr>
            </w:pPr>
          </w:p>
        </w:tc>
      </w:tr>
      <w:tr w14:paraId="59E7E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465" w:type="dxa"/>
            <w:tcBorders>
              <w:left w:val="single" w:color="000000" w:sz="8" w:space="0"/>
              <w:bottom w:val="single" w:color="000000" w:sz="4" w:space="0"/>
              <w:right w:val="single" w:color="000000" w:sz="4" w:space="0"/>
            </w:tcBorders>
            <w:vAlign w:val="center"/>
          </w:tcPr>
          <w:p w14:paraId="5939C152">
            <w:pPr>
              <w:spacing w:line="560" w:lineRule="exact"/>
              <w:jc w:val="center"/>
              <w:rPr>
                <w:color w:val="auto"/>
                <w:sz w:val="28"/>
                <w:highlight w:val="none"/>
              </w:rPr>
            </w:pPr>
            <w:r>
              <w:rPr>
                <w:color w:val="auto"/>
                <w:highlight w:val="none"/>
              </w:rPr>
              <w:t>4</w:t>
            </w:r>
          </w:p>
        </w:tc>
        <w:tc>
          <w:tcPr>
            <w:tcW w:w="1910" w:type="dxa"/>
            <w:tcBorders>
              <w:bottom w:val="single" w:color="000000" w:sz="4" w:space="0"/>
              <w:right w:val="single" w:color="000000" w:sz="4" w:space="0"/>
            </w:tcBorders>
            <w:vAlign w:val="center"/>
          </w:tcPr>
          <w:p w14:paraId="01FE5A14">
            <w:pPr>
              <w:spacing w:line="560" w:lineRule="exact"/>
              <w:jc w:val="center"/>
              <w:rPr>
                <w:color w:val="auto"/>
                <w:sz w:val="28"/>
                <w:highlight w:val="none"/>
              </w:rPr>
            </w:pPr>
          </w:p>
        </w:tc>
        <w:tc>
          <w:tcPr>
            <w:tcW w:w="2977" w:type="dxa"/>
            <w:tcBorders>
              <w:bottom w:val="single" w:color="000000" w:sz="4" w:space="0"/>
              <w:right w:val="single" w:color="000000" w:sz="4" w:space="0"/>
            </w:tcBorders>
            <w:vAlign w:val="center"/>
          </w:tcPr>
          <w:p w14:paraId="688D406F">
            <w:pPr>
              <w:spacing w:line="560" w:lineRule="exact"/>
              <w:jc w:val="center"/>
              <w:rPr>
                <w:color w:val="auto"/>
                <w:sz w:val="28"/>
                <w:highlight w:val="none"/>
              </w:rPr>
            </w:pPr>
          </w:p>
        </w:tc>
        <w:tc>
          <w:tcPr>
            <w:tcW w:w="851" w:type="dxa"/>
            <w:tcBorders>
              <w:bottom w:val="single" w:color="000000" w:sz="4" w:space="0"/>
              <w:right w:val="single" w:color="000000" w:sz="4" w:space="0"/>
            </w:tcBorders>
            <w:vAlign w:val="center"/>
          </w:tcPr>
          <w:p w14:paraId="3F15F4A9">
            <w:pPr>
              <w:spacing w:line="560" w:lineRule="exact"/>
              <w:jc w:val="center"/>
              <w:rPr>
                <w:color w:val="auto"/>
                <w:sz w:val="28"/>
                <w:highlight w:val="none"/>
              </w:rPr>
            </w:pPr>
          </w:p>
        </w:tc>
        <w:tc>
          <w:tcPr>
            <w:tcW w:w="850" w:type="dxa"/>
            <w:tcBorders>
              <w:bottom w:val="single" w:color="000000" w:sz="4" w:space="0"/>
              <w:right w:val="single" w:color="000000" w:sz="4" w:space="0"/>
            </w:tcBorders>
            <w:vAlign w:val="center"/>
          </w:tcPr>
          <w:p w14:paraId="7DAD2C40">
            <w:pPr>
              <w:spacing w:line="560" w:lineRule="exact"/>
              <w:jc w:val="center"/>
              <w:rPr>
                <w:color w:val="auto"/>
                <w:sz w:val="28"/>
                <w:highlight w:val="none"/>
              </w:rPr>
            </w:pPr>
          </w:p>
        </w:tc>
        <w:tc>
          <w:tcPr>
            <w:tcW w:w="1190" w:type="dxa"/>
            <w:tcBorders>
              <w:bottom w:val="single" w:color="000000" w:sz="4" w:space="0"/>
              <w:right w:val="single" w:color="000000" w:sz="4" w:space="0"/>
            </w:tcBorders>
            <w:vAlign w:val="center"/>
          </w:tcPr>
          <w:p w14:paraId="68348B15">
            <w:pPr>
              <w:spacing w:line="560" w:lineRule="exact"/>
              <w:jc w:val="center"/>
              <w:rPr>
                <w:color w:val="auto"/>
                <w:sz w:val="28"/>
                <w:highlight w:val="none"/>
              </w:rPr>
            </w:pPr>
          </w:p>
        </w:tc>
        <w:tc>
          <w:tcPr>
            <w:tcW w:w="1000" w:type="dxa"/>
            <w:tcBorders>
              <w:bottom w:val="single" w:color="000000" w:sz="4" w:space="0"/>
              <w:right w:val="single" w:color="000000" w:sz="8" w:space="0"/>
            </w:tcBorders>
            <w:vAlign w:val="center"/>
          </w:tcPr>
          <w:p w14:paraId="16357B9F">
            <w:pPr>
              <w:spacing w:line="560" w:lineRule="exact"/>
              <w:jc w:val="center"/>
              <w:rPr>
                <w:color w:val="auto"/>
                <w:sz w:val="28"/>
                <w:highlight w:val="none"/>
              </w:rPr>
            </w:pPr>
          </w:p>
        </w:tc>
      </w:tr>
      <w:tr w14:paraId="49486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465" w:type="dxa"/>
            <w:tcBorders>
              <w:left w:val="single" w:color="000000" w:sz="8" w:space="0"/>
              <w:bottom w:val="single" w:color="000000" w:sz="4" w:space="0"/>
              <w:right w:val="single" w:color="000000" w:sz="4" w:space="0"/>
            </w:tcBorders>
            <w:vAlign w:val="center"/>
          </w:tcPr>
          <w:p w14:paraId="4638B611">
            <w:pPr>
              <w:spacing w:line="560" w:lineRule="exact"/>
              <w:jc w:val="center"/>
              <w:rPr>
                <w:color w:val="auto"/>
                <w:sz w:val="28"/>
                <w:highlight w:val="none"/>
              </w:rPr>
            </w:pPr>
            <w:r>
              <w:rPr>
                <w:color w:val="auto"/>
                <w:highlight w:val="none"/>
              </w:rPr>
              <w:t>5</w:t>
            </w:r>
          </w:p>
        </w:tc>
        <w:tc>
          <w:tcPr>
            <w:tcW w:w="1910" w:type="dxa"/>
            <w:tcBorders>
              <w:bottom w:val="single" w:color="000000" w:sz="4" w:space="0"/>
              <w:right w:val="single" w:color="000000" w:sz="4" w:space="0"/>
            </w:tcBorders>
            <w:vAlign w:val="center"/>
          </w:tcPr>
          <w:p w14:paraId="2A0D7040">
            <w:pPr>
              <w:spacing w:line="560" w:lineRule="exact"/>
              <w:jc w:val="center"/>
              <w:rPr>
                <w:color w:val="auto"/>
                <w:sz w:val="28"/>
                <w:highlight w:val="none"/>
              </w:rPr>
            </w:pPr>
          </w:p>
        </w:tc>
        <w:tc>
          <w:tcPr>
            <w:tcW w:w="2977" w:type="dxa"/>
            <w:tcBorders>
              <w:bottom w:val="single" w:color="000000" w:sz="4" w:space="0"/>
              <w:right w:val="single" w:color="000000" w:sz="4" w:space="0"/>
            </w:tcBorders>
            <w:vAlign w:val="center"/>
          </w:tcPr>
          <w:p w14:paraId="27DE78FD">
            <w:pPr>
              <w:spacing w:line="560" w:lineRule="exact"/>
              <w:jc w:val="center"/>
              <w:rPr>
                <w:color w:val="auto"/>
                <w:sz w:val="28"/>
                <w:highlight w:val="none"/>
              </w:rPr>
            </w:pPr>
          </w:p>
        </w:tc>
        <w:tc>
          <w:tcPr>
            <w:tcW w:w="851" w:type="dxa"/>
            <w:tcBorders>
              <w:bottom w:val="single" w:color="000000" w:sz="4" w:space="0"/>
              <w:right w:val="single" w:color="000000" w:sz="4" w:space="0"/>
            </w:tcBorders>
            <w:vAlign w:val="center"/>
          </w:tcPr>
          <w:p w14:paraId="21375341">
            <w:pPr>
              <w:spacing w:line="560" w:lineRule="exact"/>
              <w:jc w:val="center"/>
              <w:rPr>
                <w:color w:val="auto"/>
                <w:sz w:val="28"/>
                <w:highlight w:val="none"/>
              </w:rPr>
            </w:pPr>
          </w:p>
        </w:tc>
        <w:tc>
          <w:tcPr>
            <w:tcW w:w="850" w:type="dxa"/>
            <w:tcBorders>
              <w:bottom w:val="single" w:color="000000" w:sz="4" w:space="0"/>
              <w:right w:val="single" w:color="000000" w:sz="4" w:space="0"/>
            </w:tcBorders>
            <w:vAlign w:val="center"/>
          </w:tcPr>
          <w:p w14:paraId="362236D5">
            <w:pPr>
              <w:spacing w:line="560" w:lineRule="exact"/>
              <w:jc w:val="center"/>
              <w:rPr>
                <w:color w:val="auto"/>
                <w:sz w:val="28"/>
                <w:highlight w:val="none"/>
              </w:rPr>
            </w:pPr>
          </w:p>
        </w:tc>
        <w:tc>
          <w:tcPr>
            <w:tcW w:w="1190" w:type="dxa"/>
            <w:tcBorders>
              <w:bottom w:val="single" w:color="000000" w:sz="4" w:space="0"/>
              <w:right w:val="single" w:color="000000" w:sz="4" w:space="0"/>
            </w:tcBorders>
            <w:vAlign w:val="center"/>
          </w:tcPr>
          <w:p w14:paraId="4A520644">
            <w:pPr>
              <w:spacing w:line="560" w:lineRule="exact"/>
              <w:jc w:val="center"/>
              <w:rPr>
                <w:color w:val="auto"/>
                <w:sz w:val="28"/>
                <w:highlight w:val="none"/>
              </w:rPr>
            </w:pPr>
          </w:p>
        </w:tc>
        <w:tc>
          <w:tcPr>
            <w:tcW w:w="1000" w:type="dxa"/>
            <w:tcBorders>
              <w:bottom w:val="single" w:color="000000" w:sz="4" w:space="0"/>
              <w:right w:val="single" w:color="000000" w:sz="8" w:space="0"/>
            </w:tcBorders>
            <w:vAlign w:val="center"/>
          </w:tcPr>
          <w:p w14:paraId="57BC3BDC">
            <w:pPr>
              <w:spacing w:line="560" w:lineRule="exact"/>
              <w:jc w:val="center"/>
              <w:rPr>
                <w:color w:val="auto"/>
                <w:sz w:val="28"/>
                <w:highlight w:val="none"/>
              </w:rPr>
            </w:pPr>
          </w:p>
        </w:tc>
      </w:tr>
      <w:tr w14:paraId="6156C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trPr>
        <w:tc>
          <w:tcPr>
            <w:tcW w:w="465" w:type="dxa"/>
            <w:tcBorders>
              <w:left w:val="single" w:color="000000" w:sz="8" w:space="0"/>
              <w:bottom w:val="single" w:color="000000" w:sz="4" w:space="0"/>
              <w:right w:val="single" w:color="000000" w:sz="4" w:space="0"/>
            </w:tcBorders>
            <w:vAlign w:val="center"/>
          </w:tcPr>
          <w:p w14:paraId="66842CDE">
            <w:pPr>
              <w:spacing w:line="560" w:lineRule="exact"/>
              <w:jc w:val="center"/>
              <w:rPr>
                <w:color w:val="auto"/>
                <w:sz w:val="28"/>
                <w:highlight w:val="none"/>
              </w:rPr>
            </w:pPr>
            <w:r>
              <w:rPr>
                <w:color w:val="auto"/>
                <w:highlight w:val="none"/>
              </w:rPr>
              <w:t>6</w:t>
            </w:r>
          </w:p>
        </w:tc>
        <w:tc>
          <w:tcPr>
            <w:tcW w:w="1910" w:type="dxa"/>
            <w:tcBorders>
              <w:bottom w:val="single" w:color="000000" w:sz="4" w:space="0"/>
              <w:right w:val="single" w:color="000000" w:sz="4" w:space="0"/>
            </w:tcBorders>
            <w:vAlign w:val="center"/>
          </w:tcPr>
          <w:p w14:paraId="3DC4C15D">
            <w:pPr>
              <w:spacing w:line="560" w:lineRule="exact"/>
              <w:jc w:val="center"/>
              <w:rPr>
                <w:color w:val="auto"/>
                <w:sz w:val="28"/>
                <w:highlight w:val="none"/>
              </w:rPr>
            </w:pPr>
          </w:p>
        </w:tc>
        <w:tc>
          <w:tcPr>
            <w:tcW w:w="2977" w:type="dxa"/>
            <w:tcBorders>
              <w:bottom w:val="single" w:color="000000" w:sz="4" w:space="0"/>
              <w:right w:val="single" w:color="000000" w:sz="4" w:space="0"/>
            </w:tcBorders>
            <w:vAlign w:val="center"/>
          </w:tcPr>
          <w:p w14:paraId="53E8502C">
            <w:pPr>
              <w:spacing w:line="560" w:lineRule="exact"/>
              <w:jc w:val="center"/>
              <w:rPr>
                <w:color w:val="auto"/>
                <w:sz w:val="28"/>
                <w:highlight w:val="none"/>
              </w:rPr>
            </w:pPr>
          </w:p>
        </w:tc>
        <w:tc>
          <w:tcPr>
            <w:tcW w:w="851" w:type="dxa"/>
            <w:tcBorders>
              <w:bottom w:val="single" w:color="000000" w:sz="4" w:space="0"/>
              <w:right w:val="single" w:color="000000" w:sz="4" w:space="0"/>
            </w:tcBorders>
            <w:vAlign w:val="center"/>
          </w:tcPr>
          <w:p w14:paraId="39FF1ACE">
            <w:pPr>
              <w:spacing w:line="560" w:lineRule="exact"/>
              <w:jc w:val="center"/>
              <w:rPr>
                <w:color w:val="auto"/>
                <w:sz w:val="28"/>
                <w:highlight w:val="none"/>
              </w:rPr>
            </w:pPr>
          </w:p>
        </w:tc>
        <w:tc>
          <w:tcPr>
            <w:tcW w:w="850" w:type="dxa"/>
            <w:tcBorders>
              <w:bottom w:val="single" w:color="000000" w:sz="4" w:space="0"/>
              <w:right w:val="single" w:color="000000" w:sz="4" w:space="0"/>
            </w:tcBorders>
            <w:vAlign w:val="center"/>
          </w:tcPr>
          <w:p w14:paraId="7AC8975E">
            <w:pPr>
              <w:spacing w:line="560" w:lineRule="exact"/>
              <w:jc w:val="center"/>
              <w:rPr>
                <w:color w:val="auto"/>
                <w:sz w:val="28"/>
                <w:highlight w:val="none"/>
              </w:rPr>
            </w:pPr>
          </w:p>
        </w:tc>
        <w:tc>
          <w:tcPr>
            <w:tcW w:w="1190" w:type="dxa"/>
            <w:tcBorders>
              <w:bottom w:val="single" w:color="000000" w:sz="4" w:space="0"/>
              <w:right w:val="single" w:color="000000" w:sz="4" w:space="0"/>
            </w:tcBorders>
            <w:vAlign w:val="center"/>
          </w:tcPr>
          <w:p w14:paraId="3D964684">
            <w:pPr>
              <w:spacing w:line="560" w:lineRule="exact"/>
              <w:jc w:val="center"/>
              <w:rPr>
                <w:color w:val="auto"/>
                <w:sz w:val="28"/>
                <w:highlight w:val="none"/>
              </w:rPr>
            </w:pPr>
          </w:p>
        </w:tc>
        <w:tc>
          <w:tcPr>
            <w:tcW w:w="1000" w:type="dxa"/>
            <w:tcBorders>
              <w:bottom w:val="single" w:color="000000" w:sz="4" w:space="0"/>
              <w:right w:val="single" w:color="000000" w:sz="8" w:space="0"/>
            </w:tcBorders>
            <w:vAlign w:val="center"/>
          </w:tcPr>
          <w:p w14:paraId="71103180">
            <w:pPr>
              <w:spacing w:line="560" w:lineRule="exact"/>
              <w:jc w:val="center"/>
              <w:rPr>
                <w:color w:val="auto"/>
                <w:sz w:val="28"/>
                <w:highlight w:val="none"/>
              </w:rPr>
            </w:pPr>
          </w:p>
        </w:tc>
      </w:tr>
      <w:tr w14:paraId="5DE3E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trPr>
        <w:tc>
          <w:tcPr>
            <w:tcW w:w="465" w:type="dxa"/>
            <w:tcBorders>
              <w:left w:val="single" w:color="000000" w:sz="8" w:space="0"/>
              <w:bottom w:val="single" w:color="000000" w:sz="4" w:space="0"/>
              <w:right w:val="single" w:color="000000" w:sz="4" w:space="0"/>
            </w:tcBorders>
            <w:vAlign w:val="center"/>
          </w:tcPr>
          <w:p w14:paraId="45AA010D">
            <w:pPr>
              <w:spacing w:line="560" w:lineRule="exact"/>
              <w:jc w:val="center"/>
              <w:rPr>
                <w:color w:val="auto"/>
                <w:sz w:val="28"/>
                <w:highlight w:val="none"/>
              </w:rPr>
            </w:pPr>
            <w:r>
              <w:rPr>
                <w:color w:val="auto"/>
                <w:highlight w:val="none"/>
              </w:rPr>
              <w:t>7</w:t>
            </w:r>
          </w:p>
        </w:tc>
        <w:tc>
          <w:tcPr>
            <w:tcW w:w="1910" w:type="dxa"/>
            <w:tcBorders>
              <w:bottom w:val="single" w:color="000000" w:sz="4" w:space="0"/>
              <w:right w:val="single" w:color="000000" w:sz="4" w:space="0"/>
            </w:tcBorders>
            <w:vAlign w:val="center"/>
          </w:tcPr>
          <w:p w14:paraId="0CE425E7">
            <w:pPr>
              <w:spacing w:line="560" w:lineRule="exact"/>
              <w:jc w:val="center"/>
              <w:rPr>
                <w:color w:val="auto"/>
                <w:sz w:val="28"/>
                <w:highlight w:val="none"/>
              </w:rPr>
            </w:pPr>
          </w:p>
        </w:tc>
        <w:tc>
          <w:tcPr>
            <w:tcW w:w="2977" w:type="dxa"/>
            <w:tcBorders>
              <w:bottom w:val="single" w:color="000000" w:sz="4" w:space="0"/>
              <w:right w:val="single" w:color="000000" w:sz="4" w:space="0"/>
            </w:tcBorders>
            <w:vAlign w:val="center"/>
          </w:tcPr>
          <w:p w14:paraId="1E17BC9A">
            <w:pPr>
              <w:spacing w:line="560" w:lineRule="exact"/>
              <w:jc w:val="center"/>
              <w:rPr>
                <w:color w:val="auto"/>
                <w:sz w:val="28"/>
                <w:highlight w:val="none"/>
              </w:rPr>
            </w:pPr>
          </w:p>
        </w:tc>
        <w:tc>
          <w:tcPr>
            <w:tcW w:w="851" w:type="dxa"/>
            <w:tcBorders>
              <w:bottom w:val="single" w:color="000000" w:sz="4" w:space="0"/>
              <w:right w:val="single" w:color="000000" w:sz="4" w:space="0"/>
            </w:tcBorders>
            <w:vAlign w:val="center"/>
          </w:tcPr>
          <w:p w14:paraId="44383CC6">
            <w:pPr>
              <w:spacing w:line="560" w:lineRule="exact"/>
              <w:jc w:val="center"/>
              <w:rPr>
                <w:color w:val="auto"/>
                <w:sz w:val="28"/>
                <w:highlight w:val="none"/>
              </w:rPr>
            </w:pPr>
          </w:p>
        </w:tc>
        <w:tc>
          <w:tcPr>
            <w:tcW w:w="850" w:type="dxa"/>
            <w:tcBorders>
              <w:bottom w:val="single" w:color="000000" w:sz="4" w:space="0"/>
              <w:right w:val="single" w:color="000000" w:sz="4" w:space="0"/>
            </w:tcBorders>
            <w:vAlign w:val="center"/>
          </w:tcPr>
          <w:p w14:paraId="3113280F">
            <w:pPr>
              <w:spacing w:line="560" w:lineRule="exact"/>
              <w:jc w:val="center"/>
              <w:rPr>
                <w:color w:val="auto"/>
                <w:sz w:val="28"/>
                <w:highlight w:val="none"/>
              </w:rPr>
            </w:pPr>
          </w:p>
        </w:tc>
        <w:tc>
          <w:tcPr>
            <w:tcW w:w="1190" w:type="dxa"/>
            <w:tcBorders>
              <w:bottom w:val="single" w:color="000000" w:sz="4" w:space="0"/>
              <w:right w:val="single" w:color="000000" w:sz="4" w:space="0"/>
            </w:tcBorders>
            <w:vAlign w:val="center"/>
          </w:tcPr>
          <w:p w14:paraId="7718F270">
            <w:pPr>
              <w:spacing w:line="560" w:lineRule="exact"/>
              <w:jc w:val="center"/>
              <w:rPr>
                <w:color w:val="auto"/>
                <w:sz w:val="28"/>
                <w:highlight w:val="none"/>
              </w:rPr>
            </w:pPr>
          </w:p>
        </w:tc>
        <w:tc>
          <w:tcPr>
            <w:tcW w:w="1000" w:type="dxa"/>
            <w:tcBorders>
              <w:bottom w:val="single" w:color="000000" w:sz="4" w:space="0"/>
              <w:right w:val="single" w:color="000000" w:sz="8" w:space="0"/>
            </w:tcBorders>
            <w:vAlign w:val="center"/>
          </w:tcPr>
          <w:p w14:paraId="5EB325BF">
            <w:pPr>
              <w:spacing w:line="560" w:lineRule="exact"/>
              <w:jc w:val="center"/>
              <w:rPr>
                <w:color w:val="auto"/>
                <w:sz w:val="28"/>
                <w:highlight w:val="none"/>
              </w:rPr>
            </w:pPr>
          </w:p>
        </w:tc>
      </w:tr>
      <w:tr w14:paraId="6A89B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trPr>
        <w:tc>
          <w:tcPr>
            <w:tcW w:w="465" w:type="dxa"/>
            <w:tcBorders>
              <w:left w:val="single" w:color="000000" w:sz="8" w:space="0"/>
              <w:bottom w:val="single" w:color="000000" w:sz="4" w:space="0"/>
              <w:right w:val="single" w:color="000000" w:sz="4" w:space="0"/>
            </w:tcBorders>
            <w:vAlign w:val="center"/>
          </w:tcPr>
          <w:p w14:paraId="272C13DF">
            <w:pPr>
              <w:spacing w:line="560" w:lineRule="exact"/>
              <w:jc w:val="center"/>
              <w:rPr>
                <w:color w:val="auto"/>
                <w:sz w:val="28"/>
                <w:highlight w:val="none"/>
              </w:rPr>
            </w:pPr>
            <w:r>
              <w:rPr>
                <w:color w:val="auto"/>
                <w:highlight w:val="none"/>
              </w:rPr>
              <w:t>8</w:t>
            </w:r>
          </w:p>
        </w:tc>
        <w:tc>
          <w:tcPr>
            <w:tcW w:w="1910" w:type="dxa"/>
            <w:tcBorders>
              <w:bottom w:val="single" w:color="000000" w:sz="4" w:space="0"/>
              <w:right w:val="single" w:color="000000" w:sz="4" w:space="0"/>
            </w:tcBorders>
            <w:vAlign w:val="center"/>
          </w:tcPr>
          <w:p w14:paraId="101604EB">
            <w:pPr>
              <w:spacing w:line="560" w:lineRule="exact"/>
              <w:jc w:val="center"/>
              <w:rPr>
                <w:color w:val="auto"/>
                <w:sz w:val="28"/>
                <w:highlight w:val="none"/>
              </w:rPr>
            </w:pPr>
          </w:p>
        </w:tc>
        <w:tc>
          <w:tcPr>
            <w:tcW w:w="2977" w:type="dxa"/>
            <w:tcBorders>
              <w:bottom w:val="single" w:color="000000" w:sz="4" w:space="0"/>
              <w:right w:val="single" w:color="000000" w:sz="4" w:space="0"/>
            </w:tcBorders>
            <w:vAlign w:val="center"/>
          </w:tcPr>
          <w:p w14:paraId="24066DDF">
            <w:pPr>
              <w:spacing w:line="560" w:lineRule="exact"/>
              <w:jc w:val="center"/>
              <w:rPr>
                <w:color w:val="auto"/>
                <w:sz w:val="28"/>
                <w:highlight w:val="none"/>
              </w:rPr>
            </w:pPr>
          </w:p>
        </w:tc>
        <w:tc>
          <w:tcPr>
            <w:tcW w:w="851" w:type="dxa"/>
            <w:tcBorders>
              <w:bottom w:val="single" w:color="000000" w:sz="4" w:space="0"/>
              <w:right w:val="single" w:color="000000" w:sz="4" w:space="0"/>
            </w:tcBorders>
            <w:vAlign w:val="center"/>
          </w:tcPr>
          <w:p w14:paraId="31401D8C">
            <w:pPr>
              <w:spacing w:line="560" w:lineRule="exact"/>
              <w:jc w:val="center"/>
              <w:rPr>
                <w:color w:val="auto"/>
                <w:sz w:val="28"/>
                <w:highlight w:val="none"/>
              </w:rPr>
            </w:pPr>
          </w:p>
        </w:tc>
        <w:tc>
          <w:tcPr>
            <w:tcW w:w="850" w:type="dxa"/>
            <w:tcBorders>
              <w:bottom w:val="single" w:color="000000" w:sz="4" w:space="0"/>
              <w:right w:val="single" w:color="000000" w:sz="4" w:space="0"/>
            </w:tcBorders>
            <w:vAlign w:val="center"/>
          </w:tcPr>
          <w:p w14:paraId="7EB13934">
            <w:pPr>
              <w:spacing w:line="560" w:lineRule="exact"/>
              <w:jc w:val="center"/>
              <w:rPr>
                <w:color w:val="auto"/>
                <w:sz w:val="28"/>
                <w:highlight w:val="none"/>
              </w:rPr>
            </w:pPr>
          </w:p>
        </w:tc>
        <w:tc>
          <w:tcPr>
            <w:tcW w:w="1190" w:type="dxa"/>
            <w:tcBorders>
              <w:bottom w:val="single" w:color="000000" w:sz="4" w:space="0"/>
              <w:right w:val="single" w:color="000000" w:sz="4" w:space="0"/>
            </w:tcBorders>
            <w:vAlign w:val="center"/>
          </w:tcPr>
          <w:p w14:paraId="587429EA">
            <w:pPr>
              <w:spacing w:line="560" w:lineRule="exact"/>
              <w:jc w:val="center"/>
              <w:rPr>
                <w:color w:val="auto"/>
                <w:sz w:val="28"/>
                <w:highlight w:val="none"/>
              </w:rPr>
            </w:pPr>
          </w:p>
        </w:tc>
        <w:tc>
          <w:tcPr>
            <w:tcW w:w="1000" w:type="dxa"/>
            <w:tcBorders>
              <w:bottom w:val="single" w:color="000000" w:sz="4" w:space="0"/>
              <w:right w:val="single" w:color="000000" w:sz="8" w:space="0"/>
            </w:tcBorders>
            <w:vAlign w:val="center"/>
          </w:tcPr>
          <w:p w14:paraId="51F3B4F3">
            <w:pPr>
              <w:spacing w:line="560" w:lineRule="exact"/>
              <w:jc w:val="center"/>
              <w:rPr>
                <w:color w:val="auto"/>
                <w:sz w:val="28"/>
                <w:highlight w:val="none"/>
              </w:rPr>
            </w:pPr>
          </w:p>
        </w:tc>
      </w:tr>
      <w:tr w14:paraId="15C14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465" w:type="dxa"/>
            <w:tcBorders>
              <w:left w:val="single" w:color="000000" w:sz="8" w:space="0"/>
              <w:bottom w:val="single" w:color="000000" w:sz="4" w:space="0"/>
              <w:right w:val="single" w:color="000000" w:sz="4" w:space="0"/>
            </w:tcBorders>
            <w:vAlign w:val="center"/>
          </w:tcPr>
          <w:p w14:paraId="6C14B9A5">
            <w:pPr>
              <w:spacing w:line="560" w:lineRule="exact"/>
              <w:jc w:val="center"/>
              <w:rPr>
                <w:color w:val="auto"/>
                <w:sz w:val="28"/>
                <w:highlight w:val="none"/>
              </w:rPr>
            </w:pPr>
            <w:r>
              <w:rPr>
                <w:color w:val="auto"/>
                <w:highlight w:val="none"/>
              </w:rPr>
              <w:t>9</w:t>
            </w:r>
          </w:p>
        </w:tc>
        <w:tc>
          <w:tcPr>
            <w:tcW w:w="1910" w:type="dxa"/>
            <w:tcBorders>
              <w:bottom w:val="single" w:color="000000" w:sz="4" w:space="0"/>
              <w:right w:val="single" w:color="000000" w:sz="4" w:space="0"/>
            </w:tcBorders>
            <w:vAlign w:val="center"/>
          </w:tcPr>
          <w:p w14:paraId="6DF5FB89">
            <w:pPr>
              <w:spacing w:line="560" w:lineRule="exact"/>
              <w:jc w:val="center"/>
              <w:rPr>
                <w:color w:val="auto"/>
                <w:sz w:val="28"/>
                <w:highlight w:val="none"/>
              </w:rPr>
            </w:pPr>
          </w:p>
        </w:tc>
        <w:tc>
          <w:tcPr>
            <w:tcW w:w="2977" w:type="dxa"/>
            <w:tcBorders>
              <w:bottom w:val="single" w:color="000000" w:sz="4" w:space="0"/>
              <w:right w:val="single" w:color="000000" w:sz="4" w:space="0"/>
            </w:tcBorders>
            <w:vAlign w:val="center"/>
          </w:tcPr>
          <w:p w14:paraId="5C973207">
            <w:pPr>
              <w:spacing w:line="560" w:lineRule="exact"/>
              <w:jc w:val="center"/>
              <w:rPr>
                <w:color w:val="auto"/>
                <w:sz w:val="28"/>
                <w:highlight w:val="none"/>
              </w:rPr>
            </w:pPr>
          </w:p>
        </w:tc>
        <w:tc>
          <w:tcPr>
            <w:tcW w:w="851" w:type="dxa"/>
            <w:tcBorders>
              <w:bottom w:val="single" w:color="000000" w:sz="4" w:space="0"/>
              <w:right w:val="single" w:color="000000" w:sz="4" w:space="0"/>
            </w:tcBorders>
            <w:vAlign w:val="center"/>
          </w:tcPr>
          <w:p w14:paraId="716F0E56">
            <w:pPr>
              <w:spacing w:line="560" w:lineRule="exact"/>
              <w:jc w:val="center"/>
              <w:rPr>
                <w:color w:val="auto"/>
                <w:sz w:val="28"/>
                <w:highlight w:val="none"/>
              </w:rPr>
            </w:pPr>
          </w:p>
        </w:tc>
        <w:tc>
          <w:tcPr>
            <w:tcW w:w="850" w:type="dxa"/>
            <w:tcBorders>
              <w:bottom w:val="single" w:color="000000" w:sz="4" w:space="0"/>
              <w:right w:val="single" w:color="000000" w:sz="4" w:space="0"/>
            </w:tcBorders>
            <w:vAlign w:val="center"/>
          </w:tcPr>
          <w:p w14:paraId="19B20A5D">
            <w:pPr>
              <w:spacing w:line="560" w:lineRule="exact"/>
              <w:jc w:val="center"/>
              <w:rPr>
                <w:color w:val="auto"/>
                <w:sz w:val="28"/>
                <w:highlight w:val="none"/>
              </w:rPr>
            </w:pPr>
          </w:p>
        </w:tc>
        <w:tc>
          <w:tcPr>
            <w:tcW w:w="1190" w:type="dxa"/>
            <w:tcBorders>
              <w:bottom w:val="single" w:color="000000" w:sz="4" w:space="0"/>
              <w:right w:val="single" w:color="000000" w:sz="4" w:space="0"/>
            </w:tcBorders>
            <w:vAlign w:val="center"/>
          </w:tcPr>
          <w:p w14:paraId="7BD02111">
            <w:pPr>
              <w:spacing w:line="560" w:lineRule="exact"/>
              <w:jc w:val="center"/>
              <w:rPr>
                <w:color w:val="auto"/>
                <w:sz w:val="28"/>
                <w:highlight w:val="none"/>
              </w:rPr>
            </w:pPr>
          </w:p>
        </w:tc>
        <w:tc>
          <w:tcPr>
            <w:tcW w:w="1000" w:type="dxa"/>
            <w:tcBorders>
              <w:bottom w:val="single" w:color="000000" w:sz="4" w:space="0"/>
              <w:right w:val="single" w:color="000000" w:sz="8" w:space="0"/>
            </w:tcBorders>
            <w:vAlign w:val="center"/>
          </w:tcPr>
          <w:p w14:paraId="3D995666">
            <w:pPr>
              <w:spacing w:line="560" w:lineRule="exact"/>
              <w:jc w:val="center"/>
              <w:rPr>
                <w:color w:val="auto"/>
                <w:sz w:val="28"/>
                <w:highlight w:val="none"/>
              </w:rPr>
            </w:pPr>
          </w:p>
        </w:tc>
      </w:tr>
      <w:tr w14:paraId="38688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trPr>
        <w:tc>
          <w:tcPr>
            <w:tcW w:w="465" w:type="dxa"/>
            <w:tcBorders>
              <w:left w:val="single" w:color="000000" w:sz="8" w:space="0"/>
              <w:bottom w:val="single" w:color="000000" w:sz="4" w:space="0"/>
              <w:right w:val="single" w:color="000000" w:sz="4" w:space="0"/>
            </w:tcBorders>
            <w:vAlign w:val="center"/>
          </w:tcPr>
          <w:p w14:paraId="3A054CB6">
            <w:pPr>
              <w:spacing w:line="560" w:lineRule="exact"/>
              <w:jc w:val="center"/>
              <w:rPr>
                <w:color w:val="auto"/>
                <w:sz w:val="28"/>
                <w:highlight w:val="none"/>
              </w:rPr>
            </w:pPr>
            <w:r>
              <w:rPr>
                <w:color w:val="auto"/>
                <w:highlight w:val="none"/>
              </w:rPr>
              <w:t>......</w:t>
            </w:r>
          </w:p>
        </w:tc>
        <w:tc>
          <w:tcPr>
            <w:tcW w:w="1910" w:type="dxa"/>
            <w:tcBorders>
              <w:bottom w:val="single" w:color="000000" w:sz="4" w:space="0"/>
              <w:right w:val="single" w:color="000000" w:sz="4" w:space="0"/>
            </w:tcBorders>
            <w:vAlign w:val="center"/>
          </w:tcPr>
          <w:p w14:paraId="39E24F54">
            <w:pPr>
              <w:spacing w:line="560" w:lineRule="exact"/>
              <w:jc w:val="center"/>
              <w:rPr>
                <w:color w:val="auto"/>
                <w:sz w:val="28"/>
                <w:highlight w:val="none"/>
              </w:rPr>
            </w:pPr>
          </w:p>
        </w:tc>
        <w:tc>
          <w:tcPr>
            <w:tcW w:w="2977" w:type="dxa"/>
            <w:tcBorders>
              <w:bottom w:val="single" w:color="000000" w:sz="4" w:space="0"/>
              <w:right w:val="single" w:color="000000" w:sz="4" w:space="0"/>
            </w:tcBorders>
            <w:vAlign w:val="center"/>
          </w:tcPr>
          <w:p w14:paraId="623DC1AE">
            <w:pPr>
              <w:spacing w:line="560" w:lineRule="exact"/>
              <w:jc w:val="center"/>
              <w:rPr>
                <w:color w:val="auto"/>
                <w:sz w:val="28"/>
                <w:highlight w:val="none"/>
              </w:rPr>
            </w:pPr>
          </w:p>
        </w:tc>
        <w:tc>
          <w:tcPr>
            <w:tcW w:w="851" w:type="dxa"/>
            <w:tcBorders>
              <w:bottom w:val="single" w:color="000000" w:sz="4" w:space="0"/>
              <w:right w:val="single" w:color="000000" w:sz="4" w:space="0"/>
            </w:tcBorders>
            <w:vAlign w:val="center"/>
          </w:tcPr>
          <w:p w14:paraId="72EEADE3">
            <w:pPr>
              <w:spacing w:line="560" w:lineRule="exact"/>
              <w:jc w:val="center"/>
              <w:rPr>
                <w:color w:val="auto"/>
                <w:sz w:val="28"/>
                <w:highlight w:val="none"/>
              </w:rPr>
            </w:pPr>
          </w:p>
        </w:tc>
        <w:tc>
          <w:tcPr>
            <w:tcW w:w="850" w:type="dxa"/>
            <w:tcBorders>
              <w:bottom w:val="single" w:color="000000" w:sz="4" w:space="0"/>
              <w:right w:val="single" w:color="000000" w:sz="4" w:space="0"/>
            </w:tcBorders>
            <w:vAlign w:val="center"/>
          </w:tcPr>
          <w:p w14:paraId="6AFA1EE5">
            <w:pPr>
              <w:spacing w:line="560" w:lineRule="exact"/>
              <w:jc w:val="center"/>
              <w:rPr>
                <w:color w:val="auto"/>
                <w:sz w:val="28"/>
                <w:highlight w:val="none"/>
              </w:rPr>
            </w:pPr>
          </w:p>
        </w:tc>
        <w:tc>
          <w:tcPr>
            <w:tcW w:w="1190" w:type="dxa"/>
            <w:tcBorders>
              <w:bottom w:val="single" w:color="000000" w:sz="4" w:space="0"/>
              <w:right w:val="single" w:color="000000" w:sz="4" w:space="0"/>
            </w:tcBorders>
            <w:vAlign w:val="center"/>
          </w:tcPr>
          <w:p w14:paraId="5CD92839">
            <w:pPr>
              <w:spacing w:line="560" w:lineRule="exact"/>
              <w:jc w:val="center"/>
              <w:rPr>
                <w:color w:val="auto"/>
                <w:sz w:val="28"/>
                <w:highlight w:val="none"/>
              </w:rPr>
            </w:pPr>
          </w:p>
        </w:tc>
        <w:tc>
          <w:tcPr>
            <w:tcW w:w="1000" w:type="dxa"/>
            <w:tcBorders>
              <w:bottom w:val="single" w:color="000000" w:sz="4" w:space="0"/>
              <w:right w:val="single" w:color="000000" w:sz="8" w:space="0"/>
            </w:tcBorders>
            <w:vAlign w:val="center"/>
          </w:tcPr>
          <w:p w14:paraId="2E4B5C51">
            <w:pPr>
              <w:spacing w:line="560" w:lineRule="exact"/>
              <w:jc w:val="center"/>
              <w:rPr>
                <w:color w:val="auto"/>
                <w:sz w:val="28"/>
                <w:highlight w:val="none"/>
              </w:rPr>
            </w:pPr>
          </w:p>
        </w:tc>
      </w:tr>
      <w:tr w14:paraId="4CB4A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trPr>
        <w:tc>
          <w:tcPr>
            <w:tcW w:w="9243" w:type="dxa"/>
            <w:gridSpan w:val="7"/>
            <w:tcBorders>
              <w:left w:val="single" w:color="000000" w:sz="8" w:space="0"/>
              <w:bottom w:val="single" w:color="000000" w:sz="8" w:space="0"/>
              <w:right w:val="single" w:color="000000" w:sz="8" w:space="0"/>
            </w:tcBorders>
            <w:vAlign w:val="center"/>
          </w:tcPr>
          <w:p w14:paraId="3B976CC0">
            <w:pPr>
              <w:spacing w:line="560" w:lineRule="exact"/>
              <w:jc w:val="left"/>
              <w:rPr>
                <w:color w:val="auto"/>
                <w:highlight w:val="none"/>
              </w:rPr>
            </w:pPr>
            <w:r>
              <w:rPr>
                <w:rFonts w:hint="eastAsia"/>
                <w:color w:val="auto"/>
                <w:highlight w:val="none"/>
              </w:rPr>
              <w:t>投标报价：佰拾万仟佰拾元整</w:t>
            </w:r>
          </w:p>
          <w:p w14:paraId="1489A1EA">
            <w:pPr>
              <w:spacing w:line="560" w:lineRule="exact"/>
              <w:jc w:val="center"/>
              <w:rPr>
                <w:color w:val="auto"/>
                <w:sz w:val="28"/>
                <w:highlight w:val="none"/>
              </w:rPr>
            </w:pPr>
            <w:r>
              <w:rPr>
                <w:rFonts w:hint="eastAsia"/>
                <w:color w:val="auto"/>
                <w:highlight w:val="none"/>
              </w:rPr>
              <w:t>（小写：¥　　　　元）</w:t>
            </w:r>
          </w:p>
        </w:tc>
      </w:tr>
    </w:tbl>
    <w:p w14:paraId="15C4F5A5">
      <w:pPr>
        <w:autoSpaceDE w:val="0"/>
        <w:autoSpaceDN w:val="0"/>
        <w:adjustRightInd w:val="0"/>
        <w:spacing w:line="360" w:lineRule="auto"/>
        <w:rPr>
          <w:rFonts w:ascii="宋体" w:hAnsi="宋体"/>
          <w:color w:val="auto"/>
          <w:sz w:val="24"/>
          <w:highlight w:val="none"/>
        </w:rPr>
      </w:pPr>
    </w:p>
    <w:p w14:paraId="675BCF09">
      <w:pPr>
        <w:autoSpaceDE w:val="0"/>
        <w:autoSpaceDN w:val="0"/>
        <w:adjustRightInd w:val="0"/>
        <w:spacing w:line="360" w:lineRule="auto"/>
        <w:rPr>
          <w:rFonts w:ascii="宋体" w:hAnsi="宋体"/>
          <w:color w:val="auto"/>
          <w:sz w:val="24"/>
          <w:highlight w:val="none"/>
        </w:rPr>
      </w:pPr>
    </w:p>
    <w:p w14:paraId="420D1DCB">
      <w:pPr>
        <w:autoSpaceDE w:val="0"/>
        <w:autoSpaceDN w:val="0"/>
        <w:adjustRightInd w:val="0"/>
        <w:spacing w:line="360" w:lineRule="auto"/>
        <w:rPr>
          <w:rFonts w:ascii="宋体" w:cs="楷体_GB2312"/>
          <w:color w:val="auto"/>
          <w:sz w:val="24"/>
          <w:highlight w:val="none"/>
          <w:lang w:val="zh-CN"/>
        </w:rPr>
      </w:pPr>
      <w:r>
        <w:rPr>
          <w:rFonts w:hint="eastAsia" w:ascii="宋体" w:hAnsi="宋体"/>
          <w:color w:val="auto"/>
          <w:sz w:val="24"/>
          <w:highlight w:val="none"/>
        </w:rPr>
        <w:t>投标人</w:t>
      </w:r>
      <w:r>
        <w:rPr>
          <w:rFonts w:hint="eastAsia"/>
          <w:color w:val="auto"/>
          <w:sz w:val="24"/>
          <w:szCs w:val="24"/>
          <w:highlight w:val="none"/>
        </w:rPr>
        <w:t>（电子签</w:t>
      </w:r>
      <w:r>
        <w:rPr>
          <w:rFonts w:hint="eastAsia" w:ascii="宋体" w:hAnsi="宋体"/>
          <w:color w:val="auto"/>
          <w:sz w:val="24"/>
          <w:szCs w:val="24"/>
          <w:highlight w:val="none"/>
        </w:rPr>
        <w:t>章</w:t>
      </w:r>
      <w:r>
        <w:rPr>
          <w:rFonts w:hint="eastAsia"/>
          <w:color w:val="auto"/>
          <w:sz w:val="24"/>
          <w:szCs w:val="24"/>
          <w:highlight w:val="none"/>
        </w:rPr>
        <w:t>）</w:t>
      </w:r>
      <w:r>
        <w:rPr>
          <w:rFonts w:hint="eastAsia" w:ascii="宋体" w:hAnsi="宋体" w:cs="楷体_GB2312"/>
          <w:color w:val="auto"/>
          <w:sz w:val="24"/>
          <w:highlight w:val="none"/>
          <w:lang w:val="zh-CN"/>
        </w:rPr>
        <w:t>：</w:t>
      </w:r>
    </w:p>
    <w:p w14:paraId="4FD0D920">
      <w:pPr>
        <w:autoSpaceDE w:val="0"/>
        <w:autoSpaceDN w:val="0"/>
        <w:adjustRightInd w:val="0"/>
        <w:spacing w:line="360" w:lineRule="auto"/>
        <w:ind w:left="-2" w:right="-817" w:firstLine="2"/>
        <w:rPr>
          <w:rFonts w:ascii="宋体" w:cs="楷体_GB2312"/>
          <w:color w:val="auto"/>
          <w:sz w:val="24"/>
          <w:highlight w:val="none"/>
          <w:lang w:val="zh-CN"/>
        </w:rPr>
      </w:pPr>
      <w:r>
        <w:rPr>
          <w:rFonts w:hint="eastAsia" w:ascii="宋体" w:hAnsi="宋体" w:cs="楷体_GB2312"/>
          <w:color w:val="auto"/>
          <w:sz w:val="24"/>
          <w:highlight w:val="none"/>
          <w:lang w:val="zh-CN"/>
        </w:rPr>
        <w:t>法定代表人（电子签名或签章）：</w:t>
      </w:r>
      <w:r>
        <w:rPr>
          <w:rFonts w:ascii="宋体" w:hAnsi="宋体" w:cs="楷体_GB2312"/>
          <w:color w:val="auto"/>
          <w:sz w:val="24"/>
          <w:highlight w:val="none"/>
          <w:lang w:val="zh-CN"/>
        </w:rPr>
        <w:t xml:space="preserve">  </w:t>
      </w:r>
    </w:p>
    <w:p w14:paraId="5C5047E4">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日期：</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14:paraId="6945AE51">
      <w:pPr>
        <w:widowControl w:val="0"/>
        <w:snapToGrid w:val="0"/>
        <w:spacing w:line="560" w:lineRule="exact"/>
        <w:jc w:val="center"/>
        <w:rPr>
          <w:rFonts w:eastAsia="方正黑体简体"/>
          <w:b/>
          <w:color w:val="auto"/>
          <w:sz w:val="30"/>
          <w:szCs w:val="30"/>
          <w:highlight w:val="none"/>
        </w:rPr>
      </w:pPr>
    </w:p>
    <w:p w14:paraId="253D19B0">
      <w:pPr>
        <w:widowControl w:val="0"/>
        <w:snapToGrid w:val="0"/>
        <w:spacing w:line="560" w:lineRule="exact"/>
        <w:ind w:firstLine="600" w:firstLineChars="200"/>
        <w:jc w:val="left"/>
        <w:rPr>
          <w:rFonts w:eastAsia="方正黑体简体"/>
          <w:b/>
          <w:color w:val="auto"/>
          <w:sz w:val="30"/>
          <w:szCs w:val="30"/>
          <w:highlight w:val="none"/>
        </w:rPr>
      </w:pPr>
      <w:r>
        <w:rPr>
          <w:rFonts w:eastAsia="方正黑体简体"/>
          <w:b/>
          <w:color w:val="auto"/>
          <w:sz w:val="30"/>
          <w:szCs w:val="30"/>
          <w:highlight w:val="none"/>
        </w:rPr>
        <w:br w:type="page"/>
      </w:r>
    </w:p>
    <w:p w14:paraId="3650C6D3">
      <w:pPr>
        <w:spacing w:line="240" w:lineRule="auto"/>
        <w:jc w:val="center"/>
        <w:textAlignment w:val="auto"/>
        <w:rPr>
          <w:rFonts w:ascii="Adobe 宋体 Std L" w:hAnsi="Adobe 宋体 Std L" w:eastAsia="Adobe 宋体 Std L"/>
          <w:color w:val="auto"/>
          <w:sz w:val="30"/>
          <w:szCs w:val="30"/>
          <w:highlight w:val="none"/>
        </w:rPr>
      </w:pPr>
      <w:r>
        <w:rPr>
          <w:rFonts w:hint="eastAsia" w:eastAsia="方正黑体简体"/>
          <w:b/>
          <w:color w:val="auto"/>
          <w:sz w:val="30"/>
          <w:szCs w:val="30"/>
          <w:highlight w:val="none"/>
        </w:rPr>
        <w:t>4</w:t>
      </w:r>
      <w:r>
        <w:rPr>
          <w:rFonts w:hint="eastAsia" w:ascii="Adobe 宋体 Std L" w:hAnsi="Adobe 宋体 Std L" w:eastAsia="Adobe 宋体 Std L"/>
          <w:b/>
          <w:color w:val="auto"/>
          <w:sz w:val="30"/>
          <w:szCs w:val="30"/>
          <w:highlight w:val="none"/>
        </w:rPr>
        <w:t>、</w:t>
      </w:r>
      <w:r>
        <w:rPr>
          <w:rFonts w:hint="eastAsia" w:eastAsia="方正黑体简体"/>
          <w:b/>
          <w:color w:val="auto"/>
          <w:sz w:val="30"/>
          <w:szCs w:val="30"/>
          <w:highlight w:val="none"/>
        </w:rPr>
        <w:t>投标产品清单及具体技术参数</w:t>
      </w:r>
    </w:p>
    <w:p w14:paraId="317B18C1">
      <w:pPr>
        <w:pStyle w:val="17"/>
        <w:adjustRightInd w:val="0"/>
        <w:snapToGrid w:val="0"/>
        <w:spacing w:before="0" w:beforeAutospacing="0" w:after="0" w:afterAutospacing="0"/>
        <w:rPr>
          <w:color w:val="auto"/>
          <w:highlight w:val="none"/>
        </w:rPr>
      </w:pPr>
    </w:p>
    <w:p w14:paraId="18B41C40">
      <w:pPr>
        <w:pStyle w:val="17"/>
        <w:adjustRightInd w:val="0"/>
        <w:snapToGrid w:val="0"/>
        <w:spacing w:before="0" w:beforeAutospacing="0" w:after="0" w:afterAutospacing="0"/>
        <w:rPr>
          <w:color w:val="auto"/>
          <w:highlight w:val="none"/>
          <w:u w:val="single"/>
        </w:rPr>
      </w:pPr>
      <w:r>
        <w:rPr>
          <w:rFonts w:hint="eastAsia"/>
          <w:color w:val="auto"/>
          <w:highlight w:val="none"/>
        </w:rPr>
        <w:t>项目名称：</w:t>
      </w:r>
      <w:r>
        <w:rPr>
          <w:color w:val="auto"/>
          <w:highlight w:val="none"/>
          <w:u w:val="single"/>
        </w:rPr>
        <w:t xml:space="preserve">                             </w:t>
      </w:r>
    </w:p>
    <w:p w14:paraId="445BBB3A">
      <w:pPr>
        <w:pStyle w:val="17"/>
        <w:adjustRightInd w:val="0"/>
        <w:snapToGrid w:val="0"/>
        <w:spacing w:before="0" w:beforeAutospacing="0" w:after="0" w:afterAutospacing="0"/>
        <w:rPr>
          <w:color w:val="auto"/>
          <w:highlight w:val="none"/>
        </w:rPr>
      </w:pPr>
      <w:r>
        <w:rPr>
          <w:rFonts w:hint="eastAsia"/>
          <w:color w:val="auto"/>
          <w:highlight w:val="none"/>
        </w:rPr>
        <w:t>项目编号：</w:t>
      </w:r>
      <w:r>
        <w:rPr>
          <w:color w:val="auto"/>
          <w:highlight w:val="none"/>
          <w:u w:val="single"/>
        </w:rPr>
        <w:t xml:space="preserve">                             </w:t>
      </w:r>
    </w:p>
    <w:tbl>
      <w:tblPr>
        <w:tblStyle w:val="20"/>
        <w:tblW w:w="10043"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80"/>
        <w:gridCol w:w="1625"/>
        <w:gridCol w:w="540"/>
        <w:gridCol w:w="540"/>
        <w:gridCol w:w="1046"/>
        <w:gridCol w:w="2085"/>
        <w:gridCol w:w="1515"/>
        <w:gridCol w:w="794"/>
        <w:gridCol w:w="1418"/>
      </w:tblGrid>
      <w:tr w14:paraId="08B19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8" w:hRule="atLeast"/>
        </w:trPr>
        <w:tc>
          <w:tcPr>
            <w:tcW w:w="480" w:type="dxa"/>
            <w:tcBorders>
              <w:top w:val="single" w:color="000000" w:sz="8" w:space="0"/>
              <w:bottom w:val="single" w:color="000000" w:sz="4" w:space="0"/>
              <w:right w:val="single" w:color="000000" w:sz="4" w:space="0"/>
            </w:tcBorders>
            <w:vAlign w:val="center"/>
          </w:tcPr>
          <w:p w14:paraId="5AC08932">
            <w:pPr>
              <w:spacing w:line="360" w:lineRule="exact"/>
              <w:jc w:val="center"/>
              <w:rPr>
                <w:color w:val="auto"/>
                <w:sz w:val="28"/>
                <w:highlight w:val="none"/>
              </w:rPr>
            </w:pPr>
            <w:r>
              <w:rPr>
                <w:rFonts w:hint="eastAsia"/>
                <w:color w:val="auto"/>
                <w:highlight w:val="none"/>
              </w:rPr>
              <w:t>序号</w:t>
            </w:r>
          </w:p>
        </w:tc>
        <w:tc>
          <w:tcPr>
            <w:tcW w:w="1625" w:type="dxa"/>
            <w:tcBorders>
              <w:top w:val="single" w:color="000000" w:sz="8" w:space="0"/>
              <w:bottom w:val="single" w:color="000000" w:sz="4" w:space="0"/>
              <w:right w:val="single" w:color="000000" w:sz="4" w:space="0"/>
            </w:tcBorders>
            <w:vAlign w:val="center"/>
          </w:tcPr>
          <w:p w14:paraId="02149169">
            <w:pPr>
              <w:widowControl w:val="0"/>
              <w:snapToGrid w:val="0"/>
              <w:spacing w:line="360" w:lineRule="exact"/>
              <w:jc w:val="center"/>
              <w:rPr>
                <w:color w:val="auto"/>
                <w:sz w:val="28"/>
                <w:highlight w:val="none"/>
              </w:rPr>
            </w:pPr>
            <w:r>
              <w:rPr>
                <w:rFonts w:hint="eastAsia"/>
                <w:color w:val="auto"/>
                <w:highlight w:val="none"/>
              </w:rPr>
              <w:t>产品名称</w:t>
            </w:r>
          </w:p>
        </w:tc>
        <w:tc>
          <w:tcPr>
            <w:tcW w:w="540" w:type="dxa"/>
            <w:tcBorders>
              <w:top w:val="single" w:color="000000" w:sz="8" w:space="0"/>
              <w:bottom w:val="single" w:color="000000" w:sz="4" w:space="0"/>
              <w:right w:val="single" w:color="000000" w:sz="4" w:space="0"/>
            </w:tcBorders>
            <w:vAlign w:val="center"/>
          </w:tcPr>
          <w:p w14:paraId="02222711">
            <w:pPr>
              <w:spacing w:line="360" w:lineRule="exact"/>
              <w:jc w:val="center"/>
              <w:rPr>
                <w:color w:val="auto"/>
                <w:sz w:val="28"/>
                <w:highlight w:val="none"/>
              </w:rPr>
            </w:pPr>
            <w:r>
              <w:rPr>
                <w:rFonts w:hint="eastAsia"/>
                <w:color w:val="auto"/>
                <w:highlight w:val="none"/>
              </w:rPr>
              <w:t>单位</w:t>
            </w:r>
          </w:p>
        </w:tc>
        <w:tc>
          <w:tcPr>
            <w:tcW w:w="540" w:type="dxa"/>
            <w:tcBorders>
              <w:top w:val="single" w:color="000000" w:sz="8" w:space="0"/>
              <w:bottom w:val="single" w:color="000000" w:sz="4" w:space="0"/>
              <w:right w:val="single" w:color="000000" w:sz="4" w:space="0"/>
            </w:tcBorders>
            <w:vAlign w:val="center"/>
          </w:tcPr>
          <w:p w14:paraId="5A00C031">
            <w:pPr>
              <w:spacing w:line="360" w:lineRule="exact"/>
              <w:jc w:val="center"/>
              <w:rPr>
                <w:color w:val="auto"/>
                <w:sz w:val="28"/>
                <w:highlight w:val="none"/>
              </w:rPr>
            </w:pPr>
            <w:r>
              <w:rPr>
                <w:rFonts w:hint="eastAsia"/>
                <w:color w:val="auto"/>
                <w:highlight w:val="none"/>
              </w:rPr>
              <w:t>数量</w:t>
            </w:r>
          </w:p>
        </w:tc>
        <w:tc>
          <w:tcPr>
            <w:tcW w:w="1046" w:type="dxa"/>
            <w:tcBorders>
              <w:top w:val="single" w:color="000000" w:sz="8" w:space="0"/>
              <w:bottom w:val="single" w:color="000000" w:sz="4" w:space="0"/>
              <w:right w:val="single" w:color="000000" w:sz="4" w:space="0"/>
            </w:tcBorders>
            <w:vAlign w:val="center"/>
          </w:tcPr>
          <w:p w14:paraId="33E9A086">
            <w:pPr>
              <w:spacing w:line="360" w:lineRule="exact"/>
              <w:jc w:val="center"/>
              <w:rPr>
                <w:color w:val="auto"/>
                <w:sz w:val="28"/>
                <w:highlight w:val="none"/>
              </w:rPr>
            </w:pPr>
            <w:r>
              <w:rPr>
                <w:rFonts w:hint="eastAsia"/>
                <w:color w:val="auto"/>
                <w:highlight w:val="none"/>
              </w:rPr>
              <w:t>品牌型号</w:t>
            </w:r>
          </w:p>
        </w:tc>
        <w:tc>
          <w:tcPr>
            <w:tcW w:w="2085" w:type="dxa"/>
            <w:tcBorders>
              <w:top w:val="single" w:color="000000" w:sz="8" w:space="0"/>
              <w:bottom w:val="single" w:color="000000" w:sz="4" w:space="0"/>
              <w:right w:val="single" w:color="000000" w:sz="4" w:space="0"/>
            </w:tcBorders>
            <w:vAlign w:val="center"/>
          </w:tcPr>
          <w:p w14:paraId="7DC6A45C">
            <w:pPr>
              <w:spacing w:line="360" w:lineRule="exact"/>
              <w:jc w:val="center"/>
              <w:rPr>
                <w:color w:val="auto"/>
                <w:sz w:val="28"/>
                <w:highlight w:val="none"/>
              </w:rPr>
            </w:pPr>
            <w:r>
              <w:rPr>
                <w:rFonts w:hint="eastAsia"/>
                <w:color w:val="auto"/>
                <w:highlight w:val="none"/>
              </w:rPr>
              <w:t>技术参数</w:t>
            </w:r>
          </w:p>
        </w:tc>
        <w:tc>
          <w:tcPr>
            <w:tcW w:w="1515" w:type="dxa"/>
            <w:tcBorders>
              <w:top w:val="single" w:color="000000" w:sz="8" w:space="0"/>
              <w:bottom w:val="single" w:color="000000" w:sz="4" w:space="0"/>
              <w:right w:val="single" w:color="000000" w:sz="4" w:space="0"/>
            </w:tcBorders>
            <w:vAlign w:val="center"/>
          </w:tcPr>
          <w:p w14:paraId="13285668">
            <w:pPr>
              <w:spacing w:line="360" w:lineRule="exact"/>
              <w:jc w:val="center"/>
              <w:rPr>
                <w:color w:val="auto"/>
                <w:sz w:val="28"/>
                <w:highlight w:val="none"/>
              </w:rPr>
            </w:pPr>
            <w:r>
              <w:rPr>
                <w:rFonts w:hint="eastAsia"/>
                <w:color w:val="auto"/>
                <w:highlight w:val="none"/>
              </w:rPr>
              <w:t>原产地及制造商</w:t>
            </w:r>
          </w:p>
        </w:tc>
        <w:tc>
          <w:tcPr>
            <w:tcW w:w="794" w:type="dxa"/>
            <w:tcBorders>
              <w:top w:val="single" w:color="000000" w:sz="8" w:space="0"/>
              <w:bottom w:val="single" w:color="000000" w:sz="4" w:space="0"/>
              <w:right w:val="single" w:color="000000" w:sz="8" w:space="0"/>
            </w:tcBorders>
            <w:vAlign w:val="center"/>
          </w:tcPr>
          <w:p w14:paraId="32F9EB0B">
            <w:pPr>
              <w:spacing w:line="360" w:lineRule="exact"/>
              <w:jc w:val="center"/>
              <w:rPr>
                <w:color w:val="auto"/>
                <w:sz w:val="28"/>
                <w:highlight w:val="none"/>
              </w:rPr>
            </w:pPr>
            <w:r>
              <w:rPr>
                <w:rFonts w:hint="eastAsia"/>
                <w:color w:val="auto"/>
                <w:highlight w:val="none"/>
              </w:rPr>
              <w:t>附件</w:t>
            </w:r>
          </w:p>
        </w:tc>
        <w:tc>
          <w:tcPr>
            <w:tcW w:w="1418" w:type="dxa"/>
            <w:tcBorders>
              <w:top w:val="single" w:color="000000" w:sz="8" w:space="0"/>
              <w:bottom w:val="single" w:color="000000" w:sz="4" w:space="0"/>
              <w:right w:val="single" w:color="000000" w:sz="8" w:space="0"/>
            </w:tcBorders>
          </w:tcPr>
          <w:p w14:paraId="44E200E8">
            <w:pPr>
              <w:spacing w:line="360" w:lineRule="exact"/>
              <w:jc w:val="center"/>
              <w:rPr>
                <w:color w:val="auto"/>
                <w:sz w:val="18"/>
                <w:szCs w:val="18"/>
                <w:highlight w:val="none"/>
              </w:rPr>
            </w:pPr>
            <w:r>
              <w:rPr>
                <w:rFonts w:hint="eastAsia"/>
                <w:color w:val="auto"/>
                <w:szCs w:val="21"/>
                <w:highlight w:val="none"/>
              </w:rPr>
              <w:t>节能产品、环境标志产品的标注</w:t>
            </w:r>
            <w:r>
              <w:rPr>
                <w:color w:val="auto"/>
                <w:sz w:val="18"/>
                <w:szCs w:val="18"/>
                <w:highlight w:val="none"/>
              </w:rPr>
              <w:t>(</w:t>
            </w:r>
            <w:r>
              <w:rPr>
                <w:rFonts w:hint="eastAsia"/>
                <w:color w:val="auto"/>
                <w:sz w:val="18"/>
                <w:szCs w:val="18"/>
                <w:highlight w:val="none"/>
              </w:rPr>
              <w:t>按需填列</w:t>
            </w:r>
            <w:r>
              <w:rPr>
                <w:color w:val="auto"/>
                <w:sz w:val="18"/>
                <w:szCs w:val="18"/>
                <w:highlight w:val="none"/>
              </w:rPr>
              <w:t>)</w:t>
            </w:r>
          </w:p>
        </w:tc>
      </w:tr>
      <w:tr w14:paraId="6F65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53" w:hRule="atLeast"/>
        </w:trPr>
        <w:tc>
          <w:tcPr>
            <w:tcW w:w="480" w:type="dxa"/>
            <w:tcBorders>
              <w:bottom w:val="single" w:color="000000" w:sz="4" w:space="0"/>
              <w:right w:val="single" w:color="000000" w:sz="4" w:space="0"/>
            </w:tcBorders>
            <w:vAlign w:val="center"/>
          </w:tcPr>
          <w:p w14:paraId="44F68734">
            <w:pPr>
              <w:spacing w:line="360" w:lineRule="exact"/>
              <w:jc w:val="center"/>
              <w:rPr>
                <w:color w:val="auto"/>
                <w:sz w:val="28"/>
                <w:highlight w:val="none"/>
              </w:rPr>
            </w:pPr>
            <w:r>
              <w:rPr>
                <w:color w:val="auto"/>
                <w:highlight w:val="none"/>
              </w:rPr>
              <w:t>1</w:t>
            </w:r>
          </w:p>
        </w:tc>
        <w:tc>
          <w:tcPr>
            <w:tcW w:w="1625" w:type="dxa"/>
            <w:tcBorders>
              <w:bottom w:val="single" w:color="000000" w:sz="4" w:space="0"/>
              <w:right w:val="single" w:color="000000" w:sz="4" w:space="0"/>
            </w:tcBorders>
            <w:vAlign w:val="center"/>
          </w:tcPr>
          <w:p w14:paraId="17717F08">
            <w:pPr>
              <w:spacing w:line="360" w:lineRule="exact"/>
              <w:jc w:val="center"/>
              <w:rPr>
                <w:color w:val="auto"/>
                <w:sz w:val="28"/>
                <w:highlight w:val="none"/>
              </w:rPr>
            </w:pPr>
          </w:p>
        </w:tc>
        <w:tc>
          <w:tcPr>
            <w:tcW w:w="540" w:type="dxa"/>
            <w:tcBorders>
              <w:bottom w:val="single" w:color="000000" w:sz="4" w:space="0"/>
              <w:right w:val="single" w:color="000000" w:sz="4" w:space="0"/>
            </w:tcBorders>
            <w:vAlign w:val="center"/>
          </w:tcPr>
          <w:p w14:paraId="4A775EC4">
            <w:pPr>
              <w:spacing w:line="360" w:lineRule="exact"/>
              <w:jc w:val="center"/>
              <w:rPr>
                <w:color w:val="auto"/>
                <w:sz w:val="28"/>
                <w:highlight w:val="none"/>
              </w:rPr>
            </w:pPr>
          </w:p>
        </w:tc>
        <w:tc>
          <w:tcPr>
            <w:tcW w:w="540" w:type="dxa"/>
            <w:tcBorders>
              <w:bottom w:val="single" w:color="000000" w:sz="4" w:space="0"/>
              <w:right w:val="single" w:color="000000" w:sz="4" w:space="0"/>
            </w:tcBorders>
            <w:vAlign w:val="center"/>
          </w:tcPr>
          <w:p w14:paraId="0B1A3E9C">
            <w:pPr>
              <w:spacing w:line="360" w:lineRule="exact"/>
              <w:jc w:val="center"/>
              <w:rPr>
                <w:color w:val="auto"/>
                <w:sz w:val="28"/>
                <w:highlight w:val="none"/>
              </w:rPr>
            </w:pPr>
          </w:p>
        </w:tc>
        <w:tc>
          <w:tcPr>
            <w:tcW w:w="1046" w:type="dxa"/>
            <w:tcBorders>
              <w:bottom w:val="single" w:color="000000" w:sz="4" w:space="0"/>
              <w:right w:val="single" w:color="000000" w:sz="4" w:space="0"/>
            </w:tcBorders>
            <w:vAlign w:val="center"/>
          </w:tcPr>
          <w:p w14:paraId="57CCED72">
            <w:pPr>
              <w:spacing w:line="360" w:lineRule="exact"/>
              <w:jc w:val="center"/>
              <w:rPr>
                <w:color w:val="auto"/>
                <w:sz w:val="28"/>
                <w:highlight w:val="none"/>
              </w:rPr>
            </w:pPr>
          </w:p>
        </w:tc>
        <w:tc>
          <w:tcPr>
            <w:tcW w:w="2085" w:type="dxa"/>
            <w:tcBorders>
              <w:bottom w:val="single" w:color="000000" w:sz="4" w:space="0"/>
              <w:right w:val="single" w:color="000000" w:sz="4" w:space="0"/>
            </w:tcBorders>
            <w:vAlign w:val="center"/>
          </w:tcPr>
          <w:p w14:paraId="7AA475EB">
            <w:pPr>
              <w:spacing w:line="360" w:lineRule="exact"/>
              <w:jc w:val="center"/>
              <w:rPr>
                <w:color w:val="auto"/>
                <w:sz w:val="28"/>
                <w:highlight w:val="none"/>
              </w:rPr>
            </w:pPr>
          </w:p>
        </w:tc>
        <w:tc>
          <w:tcPr>
            <w:tcW w:w="1515" w:type="dxa"/>
            <w:tcBorders>
              <w:bottom w:val="single" w:color="000000" w:sz="4" w:space="0"/>
              <w:right w:val="single" w:color="000000" w:sz="4" w:space="0"/>
            </w:tcBorders>
            <w:vAlign w:val="center"/>
          </w:tcPr>
          <w:p w14:paraId="30673ECF">
            <w:pPr>
              <w:spacing w:line="360" w:lineRule="exact"/>
              <w:jc w:val="center"/>
              <w:rPr>
                <w:color w:val="auto"/>
                <w:sz w:val="28"/>
                <w:highlight w:val="none"/>
              </w:rPr>
            </w:pPr>
          </w:p>
        </w:tc>
        <w:tc>
          <w:tcPr>
            <w:tcW w:w="794" w:type="dxa"/>
            <w:tcBorders>
              <w:bottom w:val="single" w:color="000000" w:sz="4" w:space="0"/>
              <w:right w:val="single" w:color="000000" w:sz="8" w:space="0"/>
            </w:tcBorders>
            <w:vAlign w:val="center"/>
          </w:tcPr>
          <w:p w14:paraId="63AE3B1C">
            <w:pPr>
              <w:spacing w:line="360" w:lineRule="exact"/>
              <w:jc w:val="center"/>
              <w:rPr>
                <w:color w:val="auto"/>
                <w:sz w:val="28"/>
                <w:highlight w:val="none"/>
              </w:rPr>
            </w:pPr>
          </w:p>
        </w:tc>
        <w:tc>
          <w:tcPr>
            <w:tcW w:w="1418" w:type="dxa"/>
            <w:tcBorders>
              <w:bottom w:val="single" w:color="000000" w:sz="4" w:space="0"/>
              <w:right w:val="single" w:color="000000" w:sz="8" w:space="0"/>
            </w:tcBorders>
          </w:tcPr>
          <w:p w14:paraId="733D26E5">
            <w:pPr>
              <w:spacing w:line="360" w:lineRule="exact"/>
              <w:jc w:val="center"/>
              <w:rPr>
                <w:color w:val="auto"/>
                <w:sz w:val="28"/>
                <w:highlight w:val="none"/>
              </w:rPr>
            </w:pPr>
          </w:p>
        </w:tc>
      </w:tr>
      <w:tr w14:paraId="7B766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49" w:hRule="atLeast"/>
        </w:trPr>
        <w:tc>
          <w:tcPr>
            <w:tcW w:w="480" w:type="dxa"/>
            <w:tcBorders>
              <w:left w:val="single" w:color="000000" w:sz="4" w:space="0"/>
              <w:bottom w:val="single" w:color="000000" w:sz="4" w:space="0"/>
              <w:right w:val="single" w:color="000000" w:sz="4" w:space="0"/>
            </w:tcBorders>
            <w:vAlign w:val="center"/>
          </w:tcPr>
          <w:p w14:paraId="6227A123">
            <w:pPr>
              <w:spacing w:line="360" w:lineRule="exact"/>
              <w:jc w:val="center"/>
              <w:rPr>
                <w:color w:val="auto"/>
                <w:sz w:val="28"/>
                <w:highlight w:val="none"/>
              </w:rPr>
            </w:pPr>
            <w:r>
              <w:rPr>
                <w:color w:val="auto"/>
                <w:highlight w:val="none"/>
              </w:rPr>
              <w:t>2</w:t>
            </w:r>
          </w:p>
        </w:tc>
        <w:tc>
          <w:tcPr>
            <w:tcW w:w="1625" w:type="dxa"/>
            <w:tcBorders>
              <w:bottom w:val="single" w:color="000000" w:sz="4" w:space="0"/>
              <w:right w:val="single" w:color="000000" w:sz="4" w:space="0"/>
            </w:tcBorders>
            <w:vAlign w:val="center"/>
          </w:tcPr>
          <w:p w14:paraId="5E095AC4">
            <w:pPr>
              <w:spacing w:line="360" w:lineRule="exact"/>
              <w:jc w:val="center"/>
              <w:rPr>
                <w:color w:val="auto"/>
                <w:sz w:val="28"/>
                <w:highlight w:val="none"/>
              </w:rPr>
            </w:pPr>
          </w:p>
        </w:tc>
        <w:tc>
          <w:tcPr>
            <w:tcW w:w="540" w:type="dxa"/>
            <w:tcBorders>
              <w:bottom w:val="single" w:color="000000" w:sz="4" w:space="0"/>
              <w:right w:val="single" w:color="000000" w:sz="4" w:space="0"/>
            </w:tcBorders>
            <w:vAlign w:val="center"/>
          </w:tcPr>
          <w:p w14:paraId="6526A030">
            <w:pPr>
              <w:spacing w:line="360" w:lineRule="exact"/>
              <w:jc w:val="center"/>
              <w:rPr>
                <w:color w:val="auto"/>
                <w:sz w:val="28"/>
                <w:highlight w:val="none"/>
              </w:rPr>
            </w:pPr>
          </w:p>
        </w:tc>
        <w:tc>
          <w:tcPr>
            <w:tcW w:w="540" w:type="dxa"/>
            <w:tcBorders>
              <w:bottom w:val="single" w:color="000000" w:sz="4" w:space="0"/>
              <w:right w:val="single" w:color="000000" w:sz="4" w:space="0"/>
            </w:tcBorders>
            <w:vAlign w:val="center"/>
          </w:tcPr>
          <w:p w14:paraId="0F2066F1">
            <w:pPr>
              <w:spacing w:line="360" w:lineRule="exact"/>
              <w:jc w:val="center"/>
              <w:rPr>
                <w:color w:val="auto"/>
                <w:sz w:val="28"/>
                <w:highlight w:val="none"/>
              </w:rPr>
            </w:pPr>
          </w:p>
        </w:tc>
        <w:tc>
          <w:tcPr>
            <w:tcW w:w="1046" w:type="dxa"/>
            <w:tcBorders>
              <w:bottom w:val="single" w:color="000000" w:sz="4" w:space="0"/>
              <w:right w:val="single" w:color="000000" w:sz="4" w:space="0"/>
            </w:tcBorders>
            <w:vAlign w:val="center"/>
          </w:tcPr>
          <w:p w14:paraId="66BF520D">
            <w:pPr>
              <w:spacing w:line="360" w:lineRule="exact"/>
              <w:jc w:val="center"/>
              <w:rPr>
                <w:color w:val="auto"/>
                <w:sz w:val="28"/>
                <w:highlight w:val="none"/>
              </w:rPr>
            </w:pPr>
          </w:p>
        </w:tc>
        <w:tc>
          <w:tcPr>
            <w:tcW w:w="2085" w:type="dxa"/>
            <w:tcBorders>
              <w:bottom w:val="single" w:color="000000" w:sz="4" w:space="0"/>
              <w:right w:val="single" w:color="000000" w:sz="4" w:space="0"/>
            </w:tcBorders>
            <w:vAlign w:val="center"/>
          </w:tcPr>
          <w:p w14:paraId="706D096F">
            <w:pPr>
              <w:spacing w:line="360" w:lineRule="exact"/>
              <w:jc w:val="center"/>
              <w:rPr>
                <w:color w:val="auto"/>
                <w:sz w:val="28"/>
                <w:highlight w:val="none"/>
              </w:rPr>
            </w:pPr>
          </w:p>
        </w:tc>
        <w:tc>
          <w:tcPr>
            <w:tcW w:w="1515" w:type="dxa"/>
            <w:tcBorders>
              <w:bottom w:val="single" w:color="000000" w:sz="4" w:space="0"/>
              <w:right w:val="single" w:color="000000" w:sz="4" w:space="0"/>
            </w:tcBorders>
            <w:vAlign w:val="center"/>
          </w:tcPr>
          <w:p w14:paraId="4BA920B0">
            <w:pPr>
              <w:spacing w:line="360" w:lineRule="exact"/>
              <w:jc w:val="center"/>
              <w:rPr>
                <w:color w:val="auto"/>
                <w:sz w:val="28"/>
                <w:highlight w:val="none"/>
              </w:rPr>
            </w:pPr>
          </w:p>
        </w:tc>
        <w:tc>
          <w:tcPr>
            <w:tcW w:w="794" w:type="dxa"/>
            <w:tcBorders>
              <w:bottom w:val="single" w:color="000000" w:sz="4" w:space="0"/>
              <w:right w:val="single" w:color="000000" w:sz="8" w:space="0"/>
            </w:tcBorders>
            <w:vAlign w:val="center"/>
          </w:tcPr>
          <w:p w14:paraId="355238C2">
            <w:pPr>
              <w:spacing w:line="360" w:lineRule="exact"/>
              <w:jc w:val="center"/>
              <w:rPr>
                <w:color w:val="auto"/>
                <w:sz w:val="28"/>
                <w:highlight w:val="none"/>
              </w:rPr>
            </w:pPr>
          </w:p>
        </w:tc>
        <w:tc>
          <w:tcPr>
            <w:tcW w:w="1418" w:type="dxa"/>
            <w:tcBorders>
              <w:bottom w:val="single" w:color="000000" w:sz="4" w:space="0"/>
              <w:right w:val="single" w:color="000000" w:sz="8" w:space="0"/>
            </w:tcBorders>
          </w:tcPr>
          <w:p w14:paraId="4CA43508">
            <w:pPr>
              <w:spacing w:line="360" w:lineRule="exact"/>
              <w:jc w:val="center"/>
              <w:rPr>
                <w:color w:val="auto"/>
                <w:sz w:val="28"/>
                <w:highlight w:val="none"/>
              </w:rPr>
            </w:pPr>
          </w:p>
        </w:tc>
      </w:tr>
      <w:tr w14:paraId="43A16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79" w:hRule="atLeast"/>
        </w:trPr>
        <w:tc>
          <w:tcPr>
            <w:tcW w:w="480" w:type="dxa"/>
            <w:tcBorders>
              <w:left w:val="single" w:color="000000" w:sz="4" w:space="0"/>
              <w:right w:val="single" w:color="000000" w:sz="4" w:space="0"/>
            </w:tcBorders>
            <w:vAlign w:val="center"/>
          </w:tcPr>
          <w:p w14:paraId="5EE4184B">
            <w:pPr>
              <w:spacing w:line="360" w:lineRule="exact"/>
              <w:jc w:val="center"/>
              <w:rPr>
                <w:color w:val="auto"/>
                <w:sz w:val="28"/>
                <w:highlight w:val="none"/>
              </w:rPr>
            </w:pPr>
            <w:r>
              <w:rPr>
                <w:color w:val="auto"/>
                <w:highlight w:val="none"/>
              </w:rPr>
              <w:t>3</w:t>
            </w:r>
          </w:p>
        </w:tc>
        <w:tc>
          <w:tcPr>
            <w:tcW w:w="1625" w:type="dxa"/>
            <w:tcBorders>
              <w:right w:val="single" w:color="000000" w:sz="4" w:space="0"/>
            </w:tcBorders>
            <w:vAlign w:val="center"/>
          </w:tcPr>
          <w:p w14:paraId="31838F61">
            <w:pPr>
              <w:spacing w:line="360" w:lineRule="exact"/>
              <w:jc w:val="center"/>
              <w:rPr>
                <w:color w:val="auto"/>
                <w:sz w:val="28"/>
                <w:highlight w:val="none"/>
              </w:rPr>
            </w:pPr>
          </w:p>
        </w:tc>
        <w:tc>
          <w:tcPr>
            <w:tcW w:w="540" w:type="dxa"/>
            <w:tcBorders>
              <w:right w:val="single" w:color="000000" w:sz="4" w:space="0"/>
            </w:tcBorders>
            <w:vAlign w:val="center"/>
          </w:tcPr>
          <w:p w14:paraId="11CB8B91">
            <w:pPr>
              <w:spacing w:line="360" w:lineRule="exact"/>
              <w:jc w:val="center"/>
              <w:rPr>
                <w:color w:val="auto"/>
                <w:sz w:val="28"/>
                <w:highlight w:val="none"/>
              </w:rPr>
            </w:pPr>
          </w:p>
        </w:tc>
        <w:tc>
          <w:tcPr>
            <w:tcW w:w="540" w:type="dxa"/>
            <w:tcBorders>
              <w:right w:val="single" w:color="000000" w:sz="4" w:space="0"/>
            </w:tcBorders>
            <w:vAlign w:val="center"/>
          </w:tcPr>
          <w:p w14:paraId="3F319A95">
            <w:pPr>
              <w:spacing w:line="360" w:lineRule="exact"/>
              <w:jc w:val="center"/>
              <w:rPr>
                <w:color w:val="auto"/>
                <w:sz w:val="28"/>
                <w:highlight w:val="none"/>
              </w:rPr>
            </w:pPr>
          </w:p>
        </w:tc>
        <w:tc>
          <w:tcPr>
            <w:tcW w:w="1046" w:type="dxa"/>
            <w:tcBorders>
              <w:right w:val="single" w:color="000000" w:sz="4" w:space="0"/>
            </w:tcBorders>
            <w:vAlign w:val="center"/>
          </w:tcPr>
          <w:p w14:paraId="48D483FF">
            <w:pPr>
              <w:spacing w:line="360" w:lineRule="exact"/>
              <w:jc w:val="center"/>
              <w:rPr>
                <w:color w:val="auto"/>
                <w:sz w:val="28"/>
                <w:highlight w:val="none"/>
              </w:rPr>
            </w:pPr>
          </w:p>
        </w:tc>
        <w:tc>
          <w:tcPr>
            <w:tcW w:w="2085" w:type="dxa"/>
            <w:tcBorders>
              <w:right w:val="single" w:color="000000" w:sz="4" w:space="0"/>
            </w:tcBorders>
            <w:vAlign w:val="center"/>
          </w:tcPr>
          <w:p w14:paraId="300B4E54">
            <w:pPr>
              <w:spacing w:line="360" w:lineRule="exact"/>
              <w:jc w:val="center"/>
              <w:rPr>
                <w:color w:val="auto"/>
                <w:sz w:val="28"/>
                <w:highlight w:val="none"/>
              </w:rPr>
            </w:pPr>
          </w:p>
        </w:tc>
        <w:tc>
          <w:tcPr>
            <w:tcW w:w="1515" w:type="dxa"/>
            <w:tcBorders>
              <w:right w:val="single" w:color="000000" w:sz="4" w:space="0"/>
            </w:tcBorders>
            <w:vAlign w:val="center"/>
          </w:tcPr>
          <w:p w14:paraId="6E17EEA4">
            <w:pPr>
              <w:spacing w:line="360" w:lineRule="exact"/>
              <w:jc w:val="center"/>
              <w:rPr>
                <w:color w:val="auto"/>
                <w:sz w:val="28"/>
                <w:highlight w:val="none"/>
              </w:rPr>
            </w:pPr>
          </w:p>
        </w:tc>
        <w:tc>
          <w:tcPr>
            <w:tcW w:w="794" w:type="dxa"/>
            <w:tcBorders>
              <w:right w:val="single" w:color="000000" w:sz="8" w:space="0"/>
            </w:tcBorders>
            <w:vAlign w:val="center"/>
          </w:tcPr>
          <w:p w14:paraId="54AF9D9A">
            <w:pPr>
              <w:spacing w:line="360" w:lineRule="exact"/>
              <w:jc w:val="center"/>
              <w:rPr>
                <w:color w:val="auto"/>
                <w:sz w:val="28"/>
                <w:highlight w:val="none"/>
              </w:rPr>
            </w:pPr>
          </w:p>
        </w:tc>
        <w:tc>
          <w:tcPr>
            <w:tcW w:w="1418" w:type="dxa"/>
            <w:tcBorders>
              <w:right w:val="single" w:color="000000" w:sz="8" w:space="0"/>
            </w:tcBorders>
          </w:tcPr>
          <w:p w14:paraId="66C879D7">
            <w:pPr>
              <w:spacing w:line="360" w:lineRule="exact"/>
              <w:jc w:val="center"/>
              <w:rPr>
                <w:color w:val="auto"/>
                <w:sz w:val="28"/>
                <w:highlight w:val="none"/>
              </w:rPr>
            </w:pPr>
          </w:p>
        </w:tc>
      </w:tr>
      <w:tr w14:paraId="015B2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79" w:hRule="atLeast"/>
        </w:trPr>
        <w:tc>
          <w:tcPr>
            <w:tcW w:w="480" w:type="dxa"/>
            <w:tcBorders>
              <w:left w:val="single" w:color="000000" w:sz="4" w:space="0"/>
              <w:right w:val="single" w:color="000000" w:sz="4" w:space="0"/>
            </w:tcBorders>
            <w:vAlign w:val="center"/>
          </w:tcPr>
          <w:p w14:paraId="334C0CEA">
            <w:pPr>
              <w:spacing w:line="360" w:lineRule="exact"/>
              <w:jc w:val="center"/>
              <w:rPr>
                <w:color w:val="auto"/>
                <w:highlight w:val="none"/>
              </w:rPr>
            </w:pPr>
            <w:r>
              <w:rPr>
                <w:rFonts w:hint="eastAsia"/>
                <w:color w:val="auto"/>
                <w:highlight w:val="none"/>
              </w:rPr>
              <w:t>……</w:t>
            </w:r>
          </w:p>
        </w:tc>
        <w:tc>
          <w:tcPr>
            <w:tcW w:w="1625" w:type="dxa"/>
            <w:tcBorders>
              <w:right w:val="single" w:color="000000" w:sz="4" w:space="0"/>
            </w:tcBorders>
            <w:vAlign w:val="center"/>
          </w:tcPr>
          <w:p w14:paraId="64141686">
            <w:pPr>
              <w:spacing w:line="360" w:lineRule="exact"/>
              <w:jc w:val="center"/>
              <w:rPr>
                <w:color w:val="auto"/>
                <w:sz w:val="28"/>
                <w:highlight w:val="none"/>
              </w:rPr>
            </w:pPr>
          </w:p>
        </w:tc>
        <w:tc>
          <w:tcPr>
            <w:tcW w:w="540" w:type="dxa"/>
            <w:tcBorders>
              <w:right w:val="single" w:color="000000" w:sz="4" w:space="0"/>
            </w:tcBorders>
            <w:vAlign w:val="center"/>
          </w:tcPr>
          <w:p w14:paraId="71C8D913">
            <w:pPr>
              <w:spacing w:line="360" w:lineRule="exact"/>
              <w:jc w:val="center"/>
              <w:rPr>
                <w:color w:val="auto"/>
                <w:sz w:val="28"/>
                <w:highlight w:val="none"/>
              </w:rPr>
            </w:pPr>
          </w:p>
        </w:tc>
        <w:tc>
          <w:tcPr>
            <w:tcW w:w="540" w:type="dxa"/>
            <w:tcBorders>
              <w:right w:val="single" w:color="000000" w:sz="4" w:space="0"/>
            </w:tcBorders>
            <w:vAlign w:val="center"/>
          </w:tcPr>
          <w:p w14:paraId="0645C6E4">
            <w:pPr>
              <w:spacing w:line="360" w:lineRule="exact"/>
              <w:jc w:val="center"/>
              <w:rPr>
                <w:color w:val="auto"/>
                <w:sz w:val="28"/>
                <w:highlight w:val="none"/>
              </w:rPr>
            </w:pPr>
          </w:p>
        </w:tc>
        <w:tc>
          <w:tcPr>
            <w:tcW w:w="1046" w:type="dxa"/>
            <w:tcBorders>
              <w:right w:val="single" w:color="000000" w:sz="4" w:space="0"/>
            </w:tcBorders>
            <w:vAlign w:val="center"/>
          </w:tcPr>
          <w:p w14:paraId="5BF7AA69">
            <w:pPr>
              <w:spacing w:line="360" w:lineRule="exact"/>
              <w:jc w:val="center"/>
              <w:rPr>
                <w:color w:val="auto"/>
                <w:sz w:val="28"/>
                <w:highlight w:val="none"/>
              </w:rPr>
            </w:pPr>
          </w:p>
        </w:tc>
        <w:tc>
          <w:tcPr>
            <w:tcW w:w="2085" w:type="dxa"/>
            <w:tcBorders>
              <w:right w:val="single" w:color="000000" w:sz="4" w:space="0"/>
            </w:tcBorders>
            <w:vAlign w:val="center"/>
          </w:tcPr>
          <w:p w14:paraId="3F3C6216">
            <w:pPr>
              <w:spacing w:line="360" w:lineRule="exact"/>
              <w:jc w:val="center"/>
              <w:rPr>
                <w:color w:val="auto"/>
                <w:sz w:val="28"/>
                <w:highlight w:val="none"/>
              </w:rPr>
            </w:pPr>
          </w:p>
        </w:tc>
        <w:tc>
          <w:tcPr>
            <w:tcW w:w="1515" w:type="dxa"/>
            <w:tcBorders>
              <w:right w:val="single" w:color="000000" w:sz="4" w:space="0"/>
            </w:tcBorders>
            <w:vAlign w:val="center"/>
          </w:tcPr>
          <w:p w14:paraId="289A888F">
            <w:pPr>
              <w:spacing w:line="360" w:lineRule="exact"/>
              <w:jc w:val="center"/>
              <w:rPr>
                <w:color w:val="auto"/>
                <w:sz w:val="28"/>
                <w:highlight w:val="none"/>
              </w:rPr>
            </w:pPr>
          </w:p>
        </w:tc>
        <w:tc>
          <w:tcPr>
            <w:tcW w:w="794" w:type="dxa"/>
            <w:tcBorders>
              <w:right w:val="single" w:color="000000" w:sz="8" w:space="0"/>
            </w:tcBorders>
            <w:vAlign w:val="center"/>
          </w:tcPr>
          <w:p w14:paraId="574A3014">
            <w:pPr>
              <w:spacing w:line="360" w:lineRule="exact"/>
              <w:jc w:val="center"/>
              <w:rPr>
                <w:color w:val="auto"/>
                <w:sz w:val="28"/>
                <w:highlight w:val="none"/>
              </w:rPr>
            </w:pPr>
          </w:p>
        </w:tc>
        <w:tc>
          <w:tcPr>
            <w:tcW w:w="1418" w:type="dxa"/>
            <w:tcBorders>
              <w:right w:val="single" w:color="000000" w:sz="8" w:space="0"/>
            </w:tcBorders>
          </w:tcPr>
          <w:p w14:paraId="17E11B13">
            <w:pPr>
              <w:spacing w:line="360" w:lineRule="exact"/>
              <w:jc w:val="center"/>
              <w:rPr>
                <w:color w:val="auto"/>
                <w:sz w:val="28"/>
                <w:highlight w:val="none"/>
              </w:rPr>
            </w:pPr>
          </w:p>
        </w:tc>
      </w:tr>
    </w:tbl>
    <w:p w14:paraId="6338DBDD">
      <w:pPr>
        <w:spacing w:line="240" w:lineRule="auto"/>
        <w:rPr>
          <w:color w:val="auto"/>
          <w:highlight w:val="none"/>
        </w:rPr>
      </w:pPr>
      <w:r>
        <w:rPr>
          <w:rFonts w:hint="eastAsia"/>
          <w:color w:val="auto"/>
          <w:sz w:val="24"/>
          <w:highlight w:val="none"/>
        </w:rPr>
        <w:t>　</w:t>
      </w:r>
      <w:r>
        <w:rPr>
          <w:rFonts w:hint="eastAsia"/>
          <w:color w:val="auto"/>
          <w:highlight w:val="none"/>
        </w:rPr>
        <w:t>注：1、投标人应详细填写投标产品具体技术参数。包括产品的品牌、规格、型号、产地等技术参数。</w:t>
      </w:r>
    </w:p>
    <w:p w14:paraId="3B4DFE8D">
      <w:pPr>
        <w:widowControl w:val="0"/>
        <w:tabs>
          <w:tab w:val="left" w:pos="9365"/>
        </w:tabs>
        <w:snapToGrid w:val="0"/>
        <w:spacing w:after="56" w:line="360" w:lineRule="exact"/>
        <w:ind w:right="85" w:firstLine="601"/>
        <w:textAlignment w:val="top"/>
        <w:rPr>
          <w:rFonts w:ascii="宋体" w:hAnsi="宋体" w:cs="宋体"/>
          <w:color w:val="auto"/>
          <w:highlight w:val="none"/>
        </w:rPr>
      </w:pPr>
      <w:r>
        <w:rPr>
          <w:rFonts w:hint="eastAsia" w:ascii="宋体" w:hAnsi="宋体" w:cs="宋体"/>
          <w:color w:val="auto"/>
          <w:highlight w:val="none"/>
        </w:rPr>
        <w:t>2、如采购产品属于政府强制采购品目清单的，投标人须在本表对应栏中标明 “为节能产品，节能产品认证证书后附”，认证证书应当为国家确定的认证机构出具、且应处于有效期之内。不符合的、按招标文件规定为无效投标。</w:t>
      </w:r>
    </w:p>
    <w:p w14:paraId="070C58C9">
      <w:pPr>
        <w:widowControl w:val="0"/>
        <w:tabs>
          <w:tab w:val="left" w:pos="9365"/>
        </w:tabs>
        <w:snapToGrid w:val="0"/>
        <w:spacing w:after="56" w:line="360" w:lineRule="exact"/>
        <w:ind w:right="85" w:firstLine="601"/>
        <w:textAlignment w:val="top"/>
        <w:rPr>
          <w:rFonts w:ascii="宋体" w:hAnsi="宋体" w:cs="宋体"/>
          <w:color w:val="auto"/>
          <w:highlight w:val="none"/>
        </w:rPr>
      </w:pPr>
      <w:r>
        <w:rPr>
          <w:rFonts w:hint="eastAsia" w:ascii="宋体" w:hAnsi="宋体" w:cs="宋体"/>
          <w:color w:val="auto"/>
          <w:highlight w:val="none"/>
        </w:rPr>
        <w:t>3、如采购产品不属于政府强制采购品目清单的，投标人自主填列。</w:t>
      </w:r>
    </w:p>
    <w:p w14:paraId="7EB4F09C">
      <w:pPr>
        <w:widowControl w:val="0"/>
        <w:snapToGrid w:val="0"/>
        <w:spacing w:line="560" w:lineRule="exact"/>
        <w:ind w:firstLine="532"/>
        <w:jc w:val="left"/>
        <w:textAlignment w:val="top"/>
        <w:rPr>
          <w:color w:val="auto"/>
          <w:highlight w:val="none"/>
        </w:rPr>
      </w:pPr>
    </w:p>
    <w:p w14:paraId="024B1AA5">
      <w:pPr>
        <w:autoSpaceDE w:val="0"/>
        <w:autoSpaceDN w:val="0"/>
        <w:adjustRightInd w:val="0"/>
        <w:spacing w:line="360" w:lineRule="auto"/>
        <w:jc w:val="center"/>
        <w:rPr>
          <w:color w:val="auto"/>
          <w:sz w:val="28"/>
          <w:highlight w:val="none"/>
        </w:rPr>
      </w:pPr>
    </w:p>
    <w:p w14:paraId="495537C4">
      <w:pPr>
        <w:autoSpaceDE w:val="0"/>
        <w:autoSpaceDN w:val="0"/>
        <w:adjustRightInd w:val="0"/>
        <w:spacing w:line="360" w:lineRule="auto"/>
        <w:rPr>
          <w:rFonts w:ascii="宋体" w:cs="楷体_GB2312"/>
          <w:color w:val="auto"/>
          <w:sz w:val="24"/>
          <w:highlight w:val="none"/>
          <w:lang w:val="zh-CN"/>
        </w:rPr>
      </w:pPr>
      <w:r>
        <w:rPr>
          <w:rFonts w:hint="eastAsia" w:ascii="宋体" w:hAnsi="宋体"/>
          <w:color w:val="auto"/>
          <w:sz w:val="24"/>
          <w:highlight w:val="none"/>
        </w:rPr>
        <w:t>投标人</w:t>
      </w:r>
      <w:r>
        <w:rPr>
          <w:rFonts w:hint="eastAsia"/>
          <w:color w:val="auto"/>
          <w:sz w:val="24"/>
          <w:szCs w:val="24"/>
          <w:highlight w:val="none"/>
        </w:rPr>
        <w:t>（电子签</w:t>
      </w:r>
      <w:r>
        <w:rPr>
          <w:rFonts w:hint="eastAsia" w:ascii="宋体" w:hAnsi="宋体"/>
          <w:color w:val="auto"/>
          <w:sz w:val="24"/>
          <w:szCs w:val="24"/>
          <w:highlight w:val="none"/>
        </w:rPr>
        <w:t>章</w:t>
      </w:r>
      <w:r>
        <w:rPr>
          <w:rFonts w:hint="eastAsia"/>
          <w:color w:val="auto"/>
          <w:sz w:val="24"/>
          <w:szCs w:val="24"/>
          <w:highlight w:val="none"/>
        </w:rPr>
        <w:t>）</w:t>
      </w:r>
      <w:r>
        <w:rPr>
          <w:rFonts w:hint="eastAsia" w:ascii="宋体" w:hAnsi="宋体" w:cs="楷体_GB2312"/>
          <w:color w:val="auto"/>
          <w:sz w:val="24"/>
          <w:highlight w:val="none"/>
          <w:lang w:val="zh-CN"/>
        </w:rPr>
        <w:t>：</w:t>
      </w:r>
    </w:p>
    <w:p w14:paraId="64585567">
      <w:pPr>
        <w:autoSpaceDE w:val="0"/>
        <w:autoSpaceDN w:val="0"/>
        <w:adjustRightInd w:val="0"/>
        <w:spacing w:line="360" w:lineRule="auto"/>
        <w:ind w:left="-2" w:right="-817" w:firstLine="2"/>
        <w:rPr>
          <w:rFonts w:ascii="宋体" w:cs="楷体_GB2312"/>
          <w:color w:val="auto"/>
          <w:sz w:val="24"/>
          <w:highlight w:val="none"/>
          <w:lang w:val="zh-CN"/>
        </w:rPr>
      </w:pPr>
      <w:r>
        <w:rPr>
          <w:rFonts w:hint="eastAsia" w:ascii="宋体" w:hAnsi="宋体" w:cs="楷体_GB2312"/>
          <w:color w:val="auto"/>
          <w:sz w:val="24"/>
          <w:highlight w:val="none"/>
          <w:lang w:val="zh-CN"/>
        </w:rPr>
        <w:t>法定代表人（电子签名或签章）：</w:t>
      </w:r>
      <w:r>
        <w:rPr>
          <w:rFonts w:ascii="宋体" w:hAnsi="宋体" w:cs="楷体_GB2312"/>
          <w:color w:val="auto"/>
          <w:sz w:val="24"/>
          <w:highlight w:val="none"/>
          <w:lang w:val="zh-CN"/>
        </w:rPr>
        <w:t xml:space="preserve">  </w:t>
      </w:r>
    </w:p>
    <w:p w14:paraId="3DD55744">
      <w:pPr>
        <w:widowControl w:val="0"/>
        <w:tabs>
          <w:tab w:val="left" w:pos="9365"/>
        </w:tabs>
        <w:snapToGrid w:val="0"/>
        <w:spacing w:after="56" w:line="560" w:lineRule="exact"/>
        <w:ind w:right="56"/>
        <w:jc w:val="left"/>
        <w:textAlignment w:val="top"/>
        <w:rPr>
          <w:color w:val="auto"/>
          <w:highlight w:val="none"/>
        </w:rPr>
      </w:pPr>
      <w:r>
        <w:rPr>
          <w:rFonts w:hint="eastAsia" w:ascii="宋体" w:hAnsi="宋体" w:cs="楷体_GB2312"/>
          <w:color w:val="auto"/>
          <w:sz w:val="24"/>
          <w:highlight w:val="none"/>
          <w:lang w:val="zh-CN"/>
        </w:rPr>
        <w:t>日期：</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14:paraId="7949D1A6">
      <w:pPr>
        <w:widowControl w:val="0"/>
        <w:snapToGrid w:val="0"/>
        <w:spacing w:line="560" w:lineRule="exact"/>
        <w:jc w:val="left"/>
        <w:textAlignment w:val="top"/>
        <w:rPr>
          <w:color w:val="auto"/>
          <w:highlight w:val="none"/>
        </w:rPr>
      </w:pPr>
      <w:r>
        <w:rPr>
          <w:rFonts w:eastAsia="方正黑体简体"/>
          <w:b/>
          <w:color w:val="auto"/>
          <w:sz w:val="30"/>
          <w:szCs w:val="30"/>
          <w:highlight w:val="none"/>
        </w:rPr>
        <w:br w:type="page"/>
      </w:r>
    </w:p>
    <w:p w14:paraId="3C0DC465">
      <w:pPr>
        <w:widowControl w:val="0"/>
        <w:snapToGrid w:val="0"/>
        <w:spacing w:line="560" w:lineRule="exact"/>
        <w:jc w:val="center"/>
        <w:rPr>
          <w:rFonts w:ascii="黑体" w:hAnsi="黑体" w:eastAsia="黑体"/>
          <w:color w:val="auto"/>
          <w:sz w:val="30"/>
          <w:szCs w:val="30"/>
          <w:highlight w:val="none"/>
        </w:rPr>
      </w:pPr>
      <w:r>
        <w:rPr>
          <w:rFonts w:hint="eastAsia" w:ascii="黑体" w:hAnsi="黑体" w:eastAsia="黑体"/>
          <w:b/>
          <w:color w:val="auto"/>
          <w:sz w:val="30"/>
          <w:szCs w:val="30"/>
          <w:highlight w:val="none"/>
        </w:rPr>
        <w:t>5、技术偏差表</w:t>
      </w:r>
    </w:p>
    <w:p w14:paraId="316C9D6E">
      <w:pPr>
        <w:pStyle w:val="17"/>
        <w:adjustRightInd w:val="0"/>
        <w:snapToGrid w:val="0"/>
        <w:spacing w:before="0" w:beforeAutospacing="0" w:after="0" w:afterAutospacing="0"/>
        <w:rPr>
          <w:color w:val="auto"/>
          <w:highlight w:val="none"/>
          <w:u w:val="single"/>
        </w:rPr>
      </w:pPr>
      <w:r>
        <w:rPr>
          <w:rFonts w:hint="eastAsia"/>
          <w:color w:val="auto"/>
          <w:highlight w:val="none"/>
        </w:rPr>
        <w:t>项目名称：</w:t>
      </w:r>
    </w:p>
    <w:p w14:paraId="3C549F7B">
      <w:pPr>
        <w:pStyle w:val="17"/>
        <w:adjustRightInd w:val="0"/>
        <w:snapToGrid w:val="0"/>
        <w:spacing w:before="0" w:beforeAutospacing="0" w:after="0" w:afterAutospacing="0"/>
        <w:rPr>
          <w:color w:val="auto"/>
          <w:highlight w:val="none"/>
        </w:rPr>
      </w:pPr>
      <w:r>
        <w:rPr>
          <w:rFonts w:hint="eastAsia"/>
          <w:color w:val="auto"/>
          <w:highlight w:val="none"/>
        </w:rPr>
        <w:t>项目编号：</w:t>
      </w:r>
    </w:p>
    <w:tbl>
      <w:tblPr>
        <w:tblStyle w:val="20"/>
        <w:tblW w:w="9468"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48"/>
        <w:gridCol w:w="1640"/>
        <w:gridCol w:w="2184"/>
        <w:gridCol w:w="2077"/>
        <w:gridCol w:w="1859"/>
        <w:gridCol w:w="1260"/>
      </w:tblGrid>
      <w:tr w14:paraId="3C7A9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448" w:type="dxa"/>
            <w:tcBorders>
              <w:top w:val="single" w:color="000000" w:sz="8" w:space="0"/>
              <w:left w:val="single" w:color="000000" w:sz="8" w:space="0"/>
              <w:bottom w:val="single" w:color="000000" w:sz="4" w:space="0"/>
              <w:right w:val="single" w:color="000000" w:sz="4" w:space="0"/>
            </w:tcBorders>
            <w:vAlign w:val="center"/>
          </w:tcPr>
          <w:p w14:paraId="33256F6C">
            <w:pPr>
              <w:spacing w:line="560" w:lineRule="exact"/>
              <w:jc w:val="center"/>
              <w:rPr>
                <w:b/>
                <w:color w:val="auto"/>
                <w:sz w:val="28"/>
                <w:highlight w:val="none"/>
              </w:rPr>
            </w:pPr>
            <w:r>
              <w:rPr>
                <w:rFonts w:hint="eastAsia"/>
                <w:b/>
                <w:color w:val="auto"/>
                <w:highlight w:val="none"/>
              </w:rPr>
              <w:t>序号</w:t>
            </w:r>
          </w:p>
        </w:tc>
        <w:tc>
          <w:tcPr>
            <w:tcW w:w="1640" w:type="dxa"/>
            <w:tcBorders>
              <w:top w:val="single" w:color="000000" w:sz="8" w:space="0"/>
              <w:bottom w:val="single" w:color="000000" w:sz="4" w:space="0"/>
              <w:right w:val="single" w:color="000000" w:sz="4" w:space="0"/>
            </w:tcBorders>
            <w:vAlign w:val="center"/>
          </w:tcPr>
          <w:p w14:paraId="6B4C6231">
            <w:pPr>
              <w:spacing w:line="560" w:lineRule="exact"/>
              <w:jc w:val="center"/>
              <w:rPr>
                <w:b/>
                <w:color w:val="auto"/>
                <w:sz w:val="28"/>
                <w:highlight w:val="none"/>
              </w:rPr>
            </w:pPr>
            <w:r>
              <w:rPr>
                <w:rFonts w:hint="eastAsia"/>
                <w:b/>
                <w:color w:val="auto"/>
                <w:highlight w:val="none"/>
              </w:rPr>
              <w:t>产品名称</w:t>
            </w:r>
          </w:p>
        </w:tc>
        <w:tc>
          <w:tcPr>
            <w:tcW w:w="2184" w:type="dxa"/>
            <w:tcBorders>
              <w:top w:val="single" w:color="000000" w:sz="8" w:space="0"/>
              <w:bottom w:val="single" w:color="000000" w:sz="4" w:space="0"/>
              <w:right w:val="single" w:color="000000" w:sz="4" w:space="0"/>
            </w:tcBorders>
            <w:vAlign w:val="center"/>
          </w:tcPr>
          <w:p w14:paraId="1AAC71AC">
            <w:pPr>
              <w:spacing w:line="560" w:lineRule="exact"/>
              <w:jc w:val="center"/>
              <w:rPr>
                <w:b/>
                <w:color w:val="auto"/>
                <w:sz w:val="28"/>
                <w:highlight w:val="none"/>
              </w:rPr>
            </w:pPr>
            <w:r>
              <w:rPr>
                <w:rFonts w:hint="eastAsia"/>
                <w:b/>
                <w:color w:val="auto"/>
                <w:highlight w:val="none"/>
              </w:rPr>
              <w:t>《招标文件》要求</w:t>
            </w:r>
          </w:p>
        </w:tc>
        <w:tc>
          <w:tcPr>
            <w:tcW w:w="2077" w:type="dxa"/>
            <w:tcBorders>
              <w:top w:val="single" w:color="000000" w:sz="8" w:space="0"/>
              <w:bottom w:val="single" w:color="000000" w:sz="4" w:space="0"/>
              <w:right w:val="single" w:color="000000" w:sz="4" w:space="0"/>
            </w:tcBorders>
            <w:vAlign w:val="center"/>
          </w:tcPr>
          <w:p w14:paraId="160E8BF8">
            <w:pPr>
              <w:spacing w:line="560" w:lineRule="exact"/>
              <w:jc w:val="center"/>
              <w:rPr>
                <w:b/>
                <w:color w:val="auto"/>
                <w:sz w:val="28"/>
                <w:highlight w:val="none"/>
              </w:rPr>
            </w:pPr>
            <w:r>
              <w:rPr>
                <w:rFonts w:hint="eastAsia"/>
                <w:b/>
                <w:color w:val="auto"/>
                <w:highlight w:val="none"/>
              </w:rPr>
              <w:t>投标产品参数</w:t>
            </w:r>
          </w:p>
        </w:tc>
        <w:tc>
          <w:tcPr>
            <w:tcW w:w="1859" w:type="dxa"/>
            <w:tcBorders>
              <w:top w:val="single" w:color="000000" w:sz="8" w:space="0"/>
              <w:bottom w:val="single" w:color="000000" w:sz="4" w:space="0"/>
              <w:right w:val="single" w:color="000000" w:sz="8" w:space="0"/>
            </w:tcBorders>
            <w:vAlign w:val="center"/>
          </w:tcPr>
          <w:p w14:paraId="1AE2F834">
            <w:pPr>
              <w:spacing w:line="560" w:lineRule="exact"/>
              <w:jc w:val="center"/>
              <w:rPr>
                <w:b/>
                <w:color w:val="auto"/>
                <w:sz w:val="28"/>
                <w:highlight w:val="none"/>
              </w:rPr>
            </w:pPr>
            <w:r>
              <w:rPr>
                <w:rFonts w:hint="eastAsia"/>
                <w:b/>
                <w:color w:val="auto"/>
                <w:highlight w:val="none"/>
              </w:rPr>
              <w:t>偏差描述</w:t>
            </w:r>
          </w:p>
        </w:tc>
        <w:tc>
          <w:tcPr>
            <w:tcW w:w="1260" w:type="dxa"/>
            <w:tcBorders>
              <w:top w:val="single" w:color="000000" w:sz="8" w:space="0"/>
              <w:bottom w:val="single" w:color="000000" w:sz="4" w:space="0"/>
              <w:right w:val="single" w:color="000000" w:sz="8" w:space="0"/>
            </w:tcBorders>
          </w:tcPr>
          <w:p w14:paraId="45ACC41D">
            <w:pPr>
              <w:spacing w:line="240" w:lineRule="auto"/>
              <w:jc w:val="center"/>
              <w:rPr>
                <w:b/>
                <w:color w:val="auto"/>
                <w:highlight w:val="none"/>
              </w:rPr>
            </w:pPr>
            <w:r>
              <w:rPr>
                <w:rFonts w:hint="eastAsia"/>
                <w:b/>
                <w:color w:val="auto"/>
                <w:highlight w:val="none"/>
              </w:rPr>
              <w:t>所对应的产品证明材料的页码</w:t>
            </w:r>
          </w:p>
        </w:tc>
      </w:tr>
      <w:tr w14:paraId="61D54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448" w:type="dxa"/>
            <w:tcBorders>
              <w:left w:val="single" w:color="000000" w:sz="8" w:space="0"/>
              <w:bottom w:val="single" w:color="000000" w:sz="4" w:space="0"/>
              <w:right w:val="single" w:color="000000" w:sz="4" w:space="0"/>
            </w:tcBorders>
            <w:vAlign w:val="center"/>
          </w:tcPr>
          <w:p w14:paraId="0E15288B">
            <w:pPr>
              <w:spacing w:line="560" w:lineRule="exact"/>
              <w:jc w:val="center"/>
              <w:rPr>
                <w:color w:val="auto"/>
                <w:sz w:val="28"/>
                <w:highlight w:val="none"/>
              </w:rPr>
            </w:pPr>
            <w:r>
              <w:rPr>
                <w:color w:val="auto"/>
                <w:highlight w:val="none"/>
              </w:rPr>
              <w:t>1</w:t>
            </w:r>
          </w:p>
        </w:tc>
        <w:tc>
          <w:tcPr>
            <w:tcW w:w="1640" w:type="dxa"/>
            <w:tcBorders>
              <w:bottom w:val="single" w:color="000000" w:sz="4" w:space="0"/>
              <w:right w:val="single" w:color="000000" w:sz="4" w:space="0"/>
            </w:tcBorders>
            <w:vAlign w:val="center"/>
          </w:tcPr>
          <w:p w14:paraId="357563C0">
            <w:pPr>
              <w:spacing w:line="560" w:lineRule="exact"/>
              <w:jc w:val="center"/>
              <w:rPr>
                <w:color w:val="auto"/>
                <w:sz w:val="28"/>
                <w:highlight w:val="none"/>
              </w:rPr>
            </w:pPr>
          </w:p>
        </w:tc>
        <w:tc>
          <w:tcPr>
            <w:tcW w:w="2184" w:type="dxa"/>
            <w:tcBorders>
              <w:bottom w:val="single" w:color="000000" w:sz="4" w:space="0"/>
              <w:right w:val="single" w:color="000000" w:sz="4" w:space="0"/>
            </w:tcBorders>
            <w:vAlign w:val="center"/>
          </w:tcPr>
          <w:p w14:paraId="3EBDC8A6">
            <w:pPr>
              <w:spacing w:line="560" w:lineRule="exact"/>
              <w:jc w:val="center"/>
              <w:rPr>
                <w:color w:val="auto"/>
                <w:sz w:val="28"/>
                <w:highlight w:val="none"/>
              </w:rPr>
            </w:pPr>
          </w:p>
        </w:tc>
        <w:tc>
          <w:tcPr>
            <w:tcW w:w="2077" w:type="dxa"/>
            <w:tcBorders>
              <w:bottom w:val="single" w:color="000000" w:sz="4" w:space="0"/>
              <w:right w:val="single" w:color="000000" w:sz="4" w:space="0"/>
            </w:tcBorders>
            <w:vAlign w:val="center"/>
          </w:tcPr>
          <w:p w14:paraId="29FD2BF6">
            <w:pPr>
              <w:spacing w:line="560" w:lineRule="exact"/>
              <w:jc w:val="center"/>
              <w:rPr>
                <w:color w:val="auto"/>
                <w:sz w:val="28"/>
                <w:highlight w:val="none"/>
              </w:rPr>
            </w:pPr>
          </w:p>
        </w:tc>
        <w:tc>
          <w:tcPr>
            <w:tcW w:w="1859" w:type="dxa"/>
            <w:tcBorders>
              <w:bottom w:val="single" w:color="000000" w:sz="4" w:space="0"/>
              <w:right w:val="single" w:color="000000" w:sz="8" w:space="0"/>
            </w:tcBorders>
            <w:vAlign w:val="center"/>
          </w:tcPr>
          <w:p w14:paraId="3CFC911C">
            <w:pPr>
              <w:spacing w:line="560" w:lineRule="exact"/>
              <w:jc w:val="center"/>
              <w:rPr>
                <w:color w:val="auto"/>
                <w:sz w:val="28"/>
                <w:highlight w:val="none"/>
              </w:rPr>
            </w:pPr>
          </w:p>
        </w:tc>
        <w:tc>
          <w:tcPr>
            <w:tcW w:w="1260" w:type="dxa"/>
            <w:tcBorders>
              <w:bottom w:val="single" w:color="000000" w:sz="4" w:space="0"/>
              <w:right w:val="single" w:color="000000" w:sz="8" w:space="0"/>
            </w:tcBorders>
          </w:tcPr>
          <w:p w14:paraId="17860854">
            <w:pPr>
              <w:spacing w:line="560" w:lineRule="exact"/>
              <w:jc w:val="center"/>
              <w:rPr>
                <w:color w:val="auto"/>
                <w:sz w:val="28"/>
                <w:highlight w:val="none"/>
              </w:rPr>
            </w:pPr>
          </w:p>
        </w:tc>
      </w:tr>
      <w:tr w14:paraId="0C37B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448" w:type="dxa"/>
            <w:tcBorders>
              <w:left w:val="single" w:color="000000" w:sz="8" w:space="0"/>
              <w:bottom w:val="single" w:color="000000" w:sz="4" w:space="0"/>
              <w:right w:val="single" w:color="000000" w:sz="4" w:space="0"/>
            </w:tcBorders>
            <w:vAlign w:val="center"/>
          </w:tcPr>
          <w:p w14:paraId="06CD38AE">
            <w:pPr>
              <w:spacing w:line="560" w:lineRule="exact"/>
              <w:jc w:val="center"/>
              <w:rPr>
                <w:color w:val="auto"/>
                <w:sz w:val="28"/>
                <w:highlight w:val="none"/>
              </w:rPr>
            </w:pPr>
            <w:r>
              <w:rPr>
                <w:color w:val="auto"/>
                <w:highlight w:val="none"/>
              </w:rPr>
              <w:t>2</w:t>
            </w:r>
          </w:p>
        </w:tc>
        <w:tc>
          <w:tcPr>
            <w:tcW w:w="1640" w:type="dxa"/>
            <w:tcBorders>
              <w:bottom w:val="single" w:color="000000" w:sz="4" w:space="0"/>
              <w:right w:val="single" w:color="000000" w:sz="4" w:space="0"/>
            </w:tcBorders>
            <w:vAlign w:val="center"/>
          </w:tcPr>
          <w:p w14:paraId="4E705FB5">
            <w:pPr>
              <w:spacing w:line="560" w:lineRule="exact"/>
              <w:jc w:val="center"/>
              <w:rPr>
                <w:color w:val="auto"/>
                <w:sz w:val="28"/>
                <w:highlight w:val="none"/>
              </w:rPr>
            </w:pPr>
          </w:p>
        </w:tc>
        <w:tc>
          <w:tcPr>
            <w:tcW w:w="2184" w:type="dxa"/>
            <w:tcBorders>
              <w:bottom w:val="single" w:color="000000" w:sz="4" w:space="0"/>
              <w:right w:val="single" w:color="000000" w:sz="4" w:space="0"/>
            </w:tcBorders>
            <w:vAlign w:val="center"/>
          </w:tcPr>
          <w:p w14:paraId="16645E7E">
            <w:pPr>
              <w:spacing w:line="560" w:lineRule="exact"/>
              <w:jc w:val="center"/>
              <w:rPr>
                <w:color w:val="auto"/>
                <w:sz w:val="28"/>
                <w:highlight w:val="none"/>
              </w:rPr>
            </w:pPr>
          </w:p>
        </w:tc>
        <w:tc>
          <w:tcPr>
            <w:tcW w:w="2077" w:type="dxa"/>
            <w:tcBorders>
              <w:bottom w:val="single" w:color="000000" w:sz="4" w:space="0"/>
              <w:right w:val="single" w:color="000000" w:sz="4" w:space="0"/>
            </w:tcBorders>
            <w:vAlign w:val="center"/>
          </w:tcPr>
          <w:p w14:paraId="2BDF8744">
            <w:pPr>
              <w:spacing w:line="560" w:lineRule="exact"/>
              <w:jc w:val="center"/>
              <w:rPr>
                <w:color w:val="auto"/>
                <w:sz w:val="28"/>
                <w:highlight w:val="none"/>
              </w:rPr>
            </w:pPr>
          </w:p>
        </w:tc>
        <w:tc>
          <w:tcPr>
            <w:tcW w:w="1859" w:type="dxa"/>
            <w:tcBorders>
              <w:bottom w:val="single" w:color="000000" w:sz="4" w:space="0"/>
              <w:right w:val="single" w:color="000000" w:sz="8" w:space="0"/>
            </w:tcBorders>
            <w:vAlign w:val="center"/>
          </w:tcPr>
          <w:p w14:paraId="037A7F57">
            <w:pPr>
              <w:spacing w:line="560" w:lineRule="exact"/>
              <w:jc w:val="center"/>
              <w:rPr>
                <w:color w:val="auto"/>
                <w:sz w:val="28"/>
                <w:highlight w:val="none"/>
              </w:rPr>
            </w:pPr>
          </w:p>
        </w:tc>
        <w:tc>
          <w:tcPr>
            <w:tcW w:w="1260" w:type="dxa"/>
            <w:tcBorders>
              <w:bottom w:val="single" w:color="000000" w:sz="4" w:space="0"/>
              <w:right w:val="single" w:color="000000" w:sz="8" w:space="0"/>
            </w:tcBorders>
          </w:tcPr>
          <w:p w14:paraId="58981633">
            <w:pPr>
              <w:spacing w:line="560" w:lineRule="exact"/>
              <w:jc w:val="center"/>
              <w:rPr>
                <w:color w:val="auto"/>
                <w:sz w:val="28"/>
                <w:highlight w:val="none"/>
              </w:rPr>
            </w:pPr>
          </w:p>
        </w:tc>
      </w:tr>
      <w:tr w14:paraId="40494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448" w:type="dxa"/>
            <w:tcBorders>
              <w:left w:val="single" w:color="000000" w:sz="8" w:space="0"/>
              <w:bottom w:val="single" w:color="000000" w:sz="4" w:space="0"/>
              <w:right w:val="single" w:color="000000" w:sz="4" w:space="0"/>
            </w:tcBorders>
            <w:vAlign w:val="center"/>
          </w:tcPr>
          <w:p w14:paraId="51A7E2B1">
            <w:pPr>
              <w:spacing w:line="560" w:lineRule="exact"/>
              <w:jc w:val="center"/>
              <w:rPr>
                <w:color w:val="auto"/>
                <w:sz w:val="28"/>
                <w:highlight w:val="none"/>
              </w:rPr>
            </w:pPr>
            <w:r>
              <w:rPr>
                <w:color w:val="auto"/>
                <w:highlight w:val="none"/>
              </w:rPr>
              <w:t>3</w:t>
            </w:r>
          </w:p>
        </w:tc>
        <w:tc>
          <w:tcPr>
            <w:tcW w:w="1640" w:type="dxa"/>
            <w:tcBorders>
              <w:bottom w:val="single" w:color="000000" w:sz="4" w:space="0"/>
              <w:right w:val="single" w:color="000000" w:sz="4" w:space="0"/>
            </w:tcBorders>
            <w:vAlign w:val="center"/>
          </w:tcPr>
          <w:p w14:paraId="6713ED29">
            <w:pPr>
              <w:spacing w:line="560" w:lineRule="exact"/>
              <w:jc w:val="center"/>
              <w:rPr>
                <w:color w:val="auto"/>
                <w:sz w:val="28"/>
                <w:highlight w:val="none"/>
              </w:rPr>
            </w:pPr>
          </w:p>
        </w:tc>
        <w:tc>
          <w:tcPr>
            <w:tcW w:w="2184" w:type="dxa"/>
            <w:tcBorders>
              <w:bottom w:val="single" w:color="000000" w:sz="4" w:space="0"/>
              <w:right w:val="single" w:color="000000" w:sz="4" w:space="0"/>
            </w:tcBorders>
            <w:vAlign w:val="center"/>
          </w:tcPr>
          <w:p w14:paraId="1C379BB8">
            <w:pPr>
              <w:spacing w:line="560" w:lineRule="exact"/>
              <w:jc w:val="center"/>
              <w:rPr>
                <w:color w:val="auto"/>
                <w:sz w:val="28"/>
                <w:highlight w:val="none"/>
              </w:rPr>
            </w:pPr>
          </w:p>
        </w:tc>
        <w:tc>
          <w:tcPr>
            <w:tcW w:w="2077" w:type="dxa"/>
            <w:tcBorders>
              <w:bottom w:val="single" w:color="000000" w:sz="4" w:space="0"/>
              <w:right w:val="single" w:color="000000" w:sz="4" w:space="0"/>
            </w:tcBorders>
            <w:vAlign w:val="center"/>
          </w:tcPr>
          <w:p w14:paraId="2BC7DD83">
            <w:pPr>
              <w:spacing w:line="560" w:lineRule="exact"/>
              <w:jc w:val="center"/>
              <w:rPr>
                <w:color w:val="auto"/>
                <w:sz w:val="28"/>
                <w:highlight w:val="none"/>
              </w:rPr>
            </w:pPr>
          </w:p>
        </w:tc>
        <w:tc>
          <w:tcPr>
            <w:tcW w:w="1859" w:type="dxa"/>
            <w:tcBorders>
              <w:bottom w:val="single" w:color="000000" w:sz="4" w:space="0"/>
              <w:right w:val="single" w:color="000000" w:sz="8" w:space="0"/>
            </w:tcBorders>
            <w:vAlign w:val="center"/>
          </w:tcPr>
          <w:p w14:paraId="0B7110B6">
            <w:pPr>
              <w:spacing w:line="560" w:lineRule="exact"/>
              <w:jc w:val="center"/>
              <w:rPr>
                <w:color w:val="auto"/>
                <w:sz w:val="28"/>
                <w:highlight w:val="none"/>
              </w:rPr>
            </w:pPr>
          </w:p>
        </w:tc>
        <w:tc>
          <w:tcPr>
            <w:tcW w:w="1260" w:type="dxa"/>
            <w:tcBorders>
              <w:bottom w:val="single" w:color="000000" w:sz="4" w:space="0"/>
              <w:right w:val="single" w:color="000000" w:sz="8" w:space="0"/>
            </w:tcBorders>
          </w:tcPr>
          <w:p w14:paraId="0DF0044F">
            <w:pPr>
              <w:spacing w:line="560" w:lineRule="exact"/>
              <w:jc w:val="center"/>
              <w:rPr>
                <w:color w:val="auto"/>
                <w:sz w:val="28"/>
                <w:highlight w:val="none"/>
              </w:rPr>
            </w:pPr>
          </w:p>
        </w:tc>
      </w:tr>
      <w:tr w14:paraId="34EBC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448" w:type="dxa"/>
            <w:tcBorders>
              <w:left w:val="single" w:color="000000" w:sz="8" w:space="0"/>
              <w:bottom w:val="single" w:color="000000" w:sz="4" w:space="0"/>
              <w:right w:val="single" w:color="000000" w:sz="4" w:space="0"/>
            </w:tcBorders>
            <w:vAlign w:val="center"/>
          </w:tcPr>
          <w:p w14:paraId="5E561EDA">
            <w:pPr>
              <w:spacing w:line="560" w:lineRule="exact"/>
              <w:jc w:val="center"/>
              <w:rPr>
                <w:color w:val="auto"/>
                <w:sz w:val="28"/>
                <w:highlight w:val="none"/>
              </w:rPr>
            </w:pPr>
            <w:r>
              <w:rPr>
                <w:color w:val="auto"/>
                <w:highlight w:val="none"/>
              </w:rPr>
              <w:t>4</w:t>
            </w:r>
          </w:p>
        </w:tc>
        <w:tc>
          <w:tcPr>
            <w:tcW w:w="1640" w:type="dxa"/>
            <w:tcBorders>
              <w:bottom w:val="single" w:color="000000" w:sz="4" w:space="0"/>
              <w:right w:val="single" w:color="000000" w:sz="4" w:space="0"/>
            </w:tcBorders>
            <w:vAlign w:val="center"/>
          </w:tcPr>
          <w:p w14:paraId="46A2C9EC">
            <w:pPr>
              <w:spacing w:line="560" w:lineRule="exact"/>
              <w:jc w:val="center"/>
              <w:rPr>
                <w:color w:val="auto"/>
                <w:sz w:val="28"/>
                <w:highlight w:val="none"/>
              </w:rPr>
            </w:pPr>
          </w:p>
        </w:tc>
        <w:tc>
          <w:tcPr>
            <w:tcW w:w="2184" w:type="dxa"/>
            <w:tcBorders>
              <w:bottom w:val="single" w:color="000000" w:sz="4" w:space="0"/>
              <w:right w:val="single" w:color="000000" w:sz="4" w:space="0"/>
            </w:tcBorders>
            <w:vAlign w:val="center"/>
          </w:tcPr>
          <w:p w14:paraId="5DB594E2">
            <w:pPr>
              <w:spacing w:line="560" w:lineRule="exact"/>
              <w:jc w:val="center"/>
              <w:rPr>
                <w:color w:val="auto"/>
                <w:sz w:val="28"/>
                <w:highlight w:val="none"/>
              </w:rPr>
            </w:pPr>
          </w:p>
        </w:tc>
        <w:tc>
          <w:tcPr>
            <w:tcW w:w="2077" w:type="dxa"/>
            <w:tcBorders>
              <w:bottom w:val="single" w:color="000000" w:sz="4" w:space="0"/>
              <w:right w:val="single" w:color="000000" w:sz="4" w:space="0"/>
            </w:tcBorders>
            <w:vAlign w:val="center"/>
          </w:tcPr>
          <w:p w14:paraId="62F2FB5E">
            <w:pPr>
              <w:spacing w:line="560" w:lineRule="exact"/>
              <w:jc w:val="center"/>
              <w:rPr>
                <w:color w:val="auto"/>
                <w:sz w:val="28"/>
                <w:highlight w:val="none"/>
              </w:rPr>
            </w:pPr>
          </w:p>
        </w:tc>
        <w:tc>
          <w:tcPr>
            <w:tcW w:w="1859" w:type="dxa"/>
            <w:tcBorders>
              <w:bottom w:val="single" w:color="000000" w:sz="4" w:space="0"/>
              <w:right w:val="single" w:color="000000" w:sz="8" w:space="0"/>
            </w:tcBorders>
            <w:vAlign w:val="center"/>
          </w:tcPr>
          <w:p w14:paraId="698A1A9D">
            <w:pPr>
              <w:spacing w:line="560" w:lineRule="exact"/>
              <w:jc w:val="center"/>
              <w:rPr>
                <w:color w:val="auto"/>
                <w:sz w:val="28"/>
                <w:highlight w:val="none"/>
              </w:rPr>
            </w:pPr>
          </w:p>
        </w:tc>
        <w:tc>
          <w:tcPr>
            <w:tcW w:w="1260" w:type="dxa"/>
            <w:tcBorders>
              <w:bottom w:val="single" w:color="000000" w:sz="4" w:space="0"/>
              <w:right w:val="single" w:color="000000" w:sz="8" w:space="0"/>
            </w:tcBorders>
          </w:tcPr>
          <w:p w14:paraId="324BE700">
            <w:pPr>
              <w:spacing w:line="560" w:lineRule="exact"/>
              <w:jc w:val="center"/>
              <w:rPr>
                <w:color w:val="auto"/>
                <w:sz w:val="28"/>
                <w:highlight w:val="none"/>
              </w:rPr>
            </w:pPr>
          </w:p>
        </w:tc>
      </w:tr>
      <w:tr w14:paraId="19DA2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trPr>
        <w:tc>
          <w:tcPr>
            <w:tcW w:w="448" w:type="dxa"/>
            <w:tcBorders>
              <w:left w:val="single" w:color="000000" w:sz="8" w:space="0"/>
              <w:bottom w:val="single" w:color="000000" w:sz="4" w:space="0"/>
              <w:right w:val="single" w:color="000000" w:sz="4" w:space="0"/>
            </w:tcBorders>
            <w:vAlign w:val="center"/>
          </w:tcPr>
          <w:p w14:paraId="6FB5AFA7">
            <w:pPr>
              <w:spacing w:line="560" w:lineRule="exact"/>
              <w:jc w:val="center"/>
              <w:rPr>
                <w:color w:val="auto"/>
                <w:sz w:val="28"/>
                <w:highlight w:val="none"/>
              </w:rPr>
            </w:pPr>
            <w:r>
              <w:rPr>
                <w:color w:val="auto"/>
                <w:highlight w:val="none"/>
              </w:rPr>
              <w:t>5</w:t>
            </w:r>
          </w:p>
        </w:tc>
        <w:tc>
          <w:tcPr>
            <w:tcW w:w="1640" w:type="dxa"/>
            <w:tcBorders>
              <w:bottom w:val="single" w:color="000000" w:sz="4" w:space="0"/>
              <w:right w:val="single" w:color="000000" w:sz="4" w:space="0"/>
            </w:tcBorders>
            <w:vAlign w:val="center"/>
          </w:tcPr>
          <w:p w14:paraId="036350F2">
            <w:pPr>
              <w:spacing w:line="560" w:lineRule="exact"/>
              <w:jc w:val="center"/>
              <w:rPr>
                <w:color w:val="auto"/>
                <w:sz w:val="28"/>
                <w:highlight w:val="none"/>
              </w:rPr>
            </w:pPr>
          </w:p>
        </w:tc>
        <w:tc>
          <w:tcPr>
            <w:tcW w:w="2184" w:type="dxa"/>
            <w:tcBorders>
              <w:bottom w:val="single" w:color="000000" w:sz="4" w:space="0"/>
              <w:right w:val="single" w:color="000000" w:sz="4" w:space="0"/>
            </w:tcBorders>
            <w:vAlign w:val="center"/>
          </w:tcPr>
          <w:p w14:paraId="6C2F162C">
            <w:pPr>
              <w:spacing w:line="560" w:lineRule="exact"/>
              <w:jc w:val="center"/>
              <w:rPr>
                <w:color w:val="auto"/>
                <w:sz w:val="28"/>
                <w:highlight w:val="none"/>
              </w:rPr>
            </w:pPr>
          </w:p>
        </w:tc>
        <w:tc>
          <w:tcPr>
            <w:tcW w:w="2077" w:type="dxa"/>
            <w:tcBorders>
              <w:bottom w:val="single" w:color="000000" w:sz="4" w:space="0"/>
              <w:right w:val="single" w:color="000000" w:sz="4" w:space="0"/>
            </w:tcBorders>
            <w:vAlign w:val="center"/>
          </w:tcPr>
          <w:p w14:paraId="1162041C">
            <w:pPr>
              <w:spacing w:line="560" w:lineRule="exact"/>
              <w:jc w:val="center"/>
              <w:rPr>
                <w:color w:val="auto"/>
                <w:sz w:val="28"/>
                <w:highlight w:val="none"/>
              </w:rPr>
            </w:pPr>
          </w:p>
        </w:tc>
        <w:tc>
          <w:tcPr>
            <w:tcW w:w="1859" w:type="dxa"/>
            <w:tcBorders>
              <w:bottom w:val="single" w:color="000000" w:sz="4" w:space="0"/>
              <w:right w:val="single" w:color="000000" w:sz="8" w:space="0"/>
            </w:tcBorders>
            <w:vAlign w:val="center"/>
          </w:tcPr>
          <w:p w14:paraId="0C8FCB32">
            <w:pPr>
              <w:spacing w:line="560" w:lineRule="exact"/>
              <w:jc w:val="center"/>
              <w:rPr>
                <w:color w:val="auto"/>
                <w:sz w:val="28"/>
                <w:highlight w:val="none"/>
              </w:rPr>
            </w:pPr>
          </w:p>
        </w:tc>
        <w:tc>
          <w:tcPr>
            <w:tcW w:w="1260" w:type="dxa"/>
            <w:tcBorders>
              <w:bottom w:val="single" w:color="000000" w:sz="4" w:space="0"/>
              <w:right w:val="single" w:color="000000" w:sz="8" w:space="0"/>
            </w:tcBorders>
          </w:tcPr>
          <w:p w14:paraId="59668ACD">
            <w:pPr>
              <w:spacing w:line="560" w:lineRule="exact"/>
              <w:jc w:val="center"/>
              <w:rPr>
                <w:color w:val="auto"/>
                <w:sz w:val="28"/>
                <w:highlight w:val="none"/>
              </w:rPr>
            </w:pPr>
          </w:p>
        </w:tc>
      </w:tr>
      <w:tr w14:paraId="5C73C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448" w:type="dxa"/>
            <w:tcBorders>
              <w:left w:val="single" w:color="000000" w:sz="8" w:space="0"/>
              <w:bottom w:val="single" w:color="000000" w:sz="4" w:space="0"/>
              <w:right w:val="single" w:color="000000" w:sz="4" w:space="0"/>
            </w:tcBorders>
            <w:vAlign w:val="center"/>
          </w:tcPr>
          <w:p w14:paraId="61194922">
            <w:pPr>
              <w:spacing w:line="560" w:lineRule="exact"/>
              <w:jc w:val="center"/>
              <w:rPr>
                <w:color w:val="auto"/>
                <w:sz w:val="28"/>
                <w:highlight w:val="none"/>
              </w:rPr>
            </w:pPr>
            <w:r>
              <w:rPr>
                <w:color w:val="auto"/>
                <w:highlight w:val="none"/>
              </w:rPr>
              <w:t>6</w:t>
            </w:r>
          </w:p>
        </w:tc>
        <w:tc>
          <w:tcPr>
            <w:tcW w:w="1640" w:type="dxa"/>
            <w:tcBorders>
              <w:bottom w:val="single" w:color="000000" w:sz="4" w:space="0"/>
              <w:right w:val="single" w:color="000000" w:sz="4" w:space="0"/>
            </w:tcBorders>
            <w:vAlign w:val="center"/>
          </w:tcPr>
          <w:p w14:paraId="091A8CE5">
            <w:pPr>
              <w:spacing w:line="560" w:lineRule="exact"/>
              <w:jc w:val="center"/>
              <w:rPr>
                <w:color w:val="auto"/>
                <w:sz w:val="28"/>
                <w:highlight w:val="none"/>
              </w:rPr>
            </w:pPr>
          </w:p>
        </w:tc>
        <w:tc>
          <w:tcPr>
            <w:tcW w:w="2184" w:type="dxa"/>
            <w:tcBorders>
              <w:bottom w:val="single" w:color="000000" w:sz="4" w:space="0"/>
              <w:right w:val="single" w:color="000000" w:sz="4" w:space="0"/>
            </w:tcBorders>
            <w:vAlign w:val="center"/>
          </w:tcPr>
          <w:p w14:paraId="0460D662">
            <w:pPr>
              <w:spacing w:line="560" w:lineRule="exact"/>
              <w:jc w:val="center"/>
              <w:rPr>
                <w:color w:val="auto"/>
                <w:sz w:val="28"/>
                <w:highlight w:val="none"/>
              </w:rPr>
            </w:pPr>
          </w:p>
        </w:tc>
        <w:tc>
          <w:tcPr>
            <w:tcW w:w="2077" w:type="dxa"/>
            <w:tcBorders>
              <w:bottom w:val="single" w:color="000000" w:sz="4" w:space="0"/>
              <w:right w:val="single" w:color="000000" w:sz="4" w:space="0"/>
            </w:tcBorders>
            <w:vAlign w:val="center"/>
          </w:tcPr>
          <w:p w14:paraId="13B49204">
            <w:pPr>
              <w:spacing w:line="560" w:lineRule="exact"/>
              <w:jc w:val="center"/>
              <w:rPr>
                <w:color w:val="auto"/>
                <w:sz w:val="28"/>
                <w:highlight w:val="none"/>
              </w:rPr>
            </w:pPr>
          </w:p>
        </w:tc>
        <w:tc>
          <w:tcPr>
            <w:tcW w:w="1859" w:type="dxa"/>
            <w:tcBorders>
              <w:bottom w:val="single" w:color="000000" w:sz="4" w:space="0"/>
              <w:right w:val="single" w:color="000000" w:sz="8" w:space="0"/>
            </w:tcBorders>
            <w:vAlign w:val="center"/>
          </w:tcPr>
          <w:p w14:paraId="5E5620AE">
            <w:pPr>
              <w:spacing w:line="560" w:lineRule="exact"/>
              <w:jc w:val="center"/>
              <w:rPr>
                <w:color w:val="auto"/>
                <w:sz w:val="28"/>
                <w:highlight w:val="none"/>
              </w:rPr>
            </w:pPr>
          </w:p>
        </w:tc>
        <w:tc>
          <w:tcPr>
            <w:tcW w:w="1260" w:type="dxa"/>
            <w:tcBorders>
              <w:bottom w:val="single" w:color="000000" w:sz="4" w:space="0"/>
              <w:right w:val="single" w:color="000000" w:sz="8" w:space="0"/>
            </w:tcBorders>
          </w:tcPr>
          <w:p w14:paraId="7D3160EA">
            <w:pPr>
              <w:spacing w:line="560" w:lineRule="exact"/>
              <w:jc w:val="center"/>
              <w:rPr>
                <w:color w:val="auto"/>
                <w:sz w:val="28"/>
                <w:highlight w:val="none"/>
              </w:rPr>
            </w:pPr>
          </w:p>
        </w:tc>
      </w:tr>
      <w:tr w14:paraId="47BAC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448" w:type="dxa"/>
            <w:tcBorders>
              <w:left w:val="single" w:color="000000" w:sz="8" w:space="0"/>
              <w:bottom w:val="single" w:color="000000" w:sz="4" w:space="0"/>
              <w:right w:val="single" w:color="000000" w:sz="4" w:space="0"/>
            </w:tcBorders>
            <w:vAlign w:val="center"/>
          </w:tcPr>
          <w:p w14:paraId="2905CE14">
            <w:pPr>
              <w:spacing w:line="560" w:lineRule="exact"/>
              <w:jc w:val="center"/>
              <w:rPr>
                <w:color w:val="auto"/>
                <w:sz w:val="28"/>
                <w:highlight w:val="none"/>
              </w:rPr>
            </w:pPr>
            <w:r>
              <w:rPr>
                <w:color w:val="auto"/>
                <w:highlight w:val="none"/>
              </w:rPr>
              <w:t>7</w:t>
            </w:r>
          </w:p>
        </w:tc>
        <w:tc>
          <w:tcPr>
            <w:tcW w:w="1640" w:type="dxa"/>
            <w:tcBorders>
              <w:bottom w:val="single" w:color="000000" w:sz="4" w:space="0"/>
              <w:right w:val="single" w:color="000000" w:sz="4" w:space="0"/>
            </w:tcBorders>
            <w:vAlign w:val="center"/>
          </w:tcPr>
          <w:p w14:paraId="79F8E94D">
            <w:pPr>
              <w:spacing w:line="560" w:lineRule="exact"/>
              <w:jc w:val="center"/>
              <w:rPr>
                <w:color w:val="auto"/>
                <w:sz w:val="28"/>
                <w:highlight w:val="none"/>
              </w:rPr>
            </w:pPr>
          </w:p>
        </w:tc>
        <w:tc>
          <w:tcPr>
            <w:tcW w:w="2184" w:type="dxa"/>
            <w:tcBorders>
              <w:bottom w:val="single" w:color="000000" w:sz="4" w:space="0"/>
              <w:right w:val="single" w:color="000000" w:sz="4" w:space="0"/>
            </w:tcBorders>
            <w:vAlign w:val="center"/>
          </w:tcPr>
          <w:p w14:paraId="4C451DD0">
            <w:pPr>
              <w:spacing w:line="560" w:lineRule="exact"/>
              <w:jc w:val="center"/>
              <w:rPr>
                <w:color w:val="auto"/>
                <w:sz w:val="28"/>
                <w:highlight w:val="none"/>
              </w:rPr>
            </w:pPr>
          </w:p>
        </w:tc>
        <w:tc>
          <w:tcPr>
            <w:tcW w:w="2077" w:type="dxa"/>
            <w:tcBorders>
              <w:bottom w:val="single" w:color="000000" w:sz="4" w:space="0"/>
              <w:right w:val="single" w:color="000000" w:sz="4" w:space="0"/>
            </w:tcBorders>
            <w:vAlign w:val="center"/>
          </w:tcPr>
          <w:p w14:paraId="4FF0B9E1">
            <w:pPr>
              <w:spacing w:line="560" w:lineRule="exact"/>
              <w:jc w:val="center"/>
              <w:rPr>
                <w:color w:val="auto"/>
                <w:sz w:val="28"/>
                <w:highlight w:val="none"/>
              </w:rPr>
            </w:pPr>
          </w:p>
        </w:tc>
        <w:tc>
          <w:tcPr>
            <w:tcW w:w="1859" w:type="dxa"/>
            <w:tcBorders>
              <w:bottom w:val="single" w:color="000000" w:sz="4" w:space="0"/>
              <w:right w:val="single" w:color="000000" w:sz="8" w:space="0"/>
            </w:tcBorders>
            <w:vAlign w:val="center"/>
          </w:tcPr>
          <w:p w14:paraId="4317C3DE">
            <w:pPr>
              <w:spacing w:line="560" w:lineRule="exact"/>
              <w:jc w:val="center"/>
              <w:rPr>
                <w:color w:val="auto"/>
                <w:sz w:val="28"/>
                <w:highlight w:val="none"/>
              </w:rPr>
            </w:pPr>
          </w:p>
        </w:tc>
        <w:tc>
          <w:tcPr>
            <w:tcW w:w="1260" w:type="dxa"/>
            <w:tcBorders>
              <w:bottom w:val="single" w:color="000000" w:sz="4" w:space="0"/>
              <w:right w:val="single" w:color="000000" w:sz="8" w:space="0"/>
            </w:tcBorders>
          </w:tcPr>
          <w:p w14:paraId="4DB592F6">
            <w:pPr>
              <w:spacing w:line="560" w:lineRule="exact"/>
              <w:jc w:val="center"/>
              <w:rPr>
                <w:color w:val="auto"/>
                <w:sz w:val="28"/>
                <w:highlight w:val="none"/>
              </w:rPr>
            </w:pPr>
          </w:p>
        </w:tc>
      </w:tr>
      <w:tr w14:paraId="7049B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448" w:type="dxa"/>
            <w:tcBorders>
              <w:left w:val="single" w:color="000000" w:sz="8" w:space="0"/>
              <w:bottom w:val="single" w:color="000000" w:sz="4" w:space="0"/>
              <w:right w:val="single" w:color="000000" w:sz="4" w:space="0"/>
            </w:tcBorders>
            <w:vAlign w:val="center"/>
          </w:tcPr>
          <w:p w14:paraId="47230A1A">
            <w:pPr>
              <w:spacing w:line="560" w:lineRule="exact"/>
              <w:jc w:val="center"/>
              <w:rPr>
                <w:color w:val="auto"/>
                <w:sz w:val="28"/>
                <w:highlight w:val="none"/>
              </w:rPr>
            </w:pPr>
            <w:r>
              <w:rPr>
                <w:color w:val="auto"/>
                <w:highlight w:val="none"/>
              </w:rPr>
              <w:t>8</w:t>
            </w:r>
          </w:p>
        </w:tc>
        <w:tc>
          <w:tcPr>
            <w:tcW w:w="1640" w:type="dxa"/>
            <w:tcBorders>
              <w:bottom w:val="single" w:color="000000" w:sz="4" w:space="0"/>
              <w:right w:val="single" w:color="000000" w:sz="4" w:space="0"/>
            </w:tcBorders>
            <w:vAlign w:val="center"/>
          </w:tcPr>
          <w:p w14:paraId="4AB0CC84">
            <w:pPr>
              <w:spacing w:line="560" w:lineRule="exact"/>
              <w:jc w:val="center"/>
              <w:rPr>
                <w:color w:val="auto"/>
                <w:sz w:val="28"/>
                <w:highlight w:val="none"/>
              </w:rPr>
            </w:pPr>
          </w:p>
        </w:tc>
        <w:tc>
          <w:tcPr>
            <w:tcW w:w="2184" w:type="dxa"/>
            <w:tcBorders>
              <w:bottom w:val="single" w:color="000000" w:sz="4" w:space="0"/>
              <w:right w:val="single" w:color="000000" w:sz="4" w:space="0"/>
            </w:tcBorders>
            <w:vAlign w:val="center"/>
          </w:tcPr>
          <w:p w14:paraId="026AEE01">
            <w:pPr>
              <w:spacing w:line="560" w:lineRule="exact"/>
              <w:jc w:val="center"/>
              <w:rPr>
                <w:color w:val="auto"/>
                <w:sz w:val="28"/>
                <w:highlight w:val="none"/>
              </w:rPr>
            </w:pPr>
          </w:p>
        </w:tc>
        <w:tc>
          <w:tcPr>
            <w:tcW w:w="2077" w:type="dxa"/>
            <w:tcBorders>
              <w:bottom w:val="single" w:color="000000" w:sz="4" w:space="0"/>
              <w:right w:val="single" w:color="000000" w:sz="4" w:space="0"/>
            </w:tcBorders>
            <w:vAlign w:val="center"/>
          </w:tcPr>
          <w:p w14:paraId="654314D7">
            <w:pPr>
              <w:spacing w:line="560" w:lineRule="exact"/>
              <w:jc w:val="center"/>
              <w:rPr>
                <w:color w:val="auto"/>
                <w:sz w:val="28"/>
                <w:highlight w:val="none"/>
              </w:rPr>
            </w:pPr>
          </w:p>
        </w:tc>
        <w:tc>
          <w:tcPr>
            <w:tcW w:w="1859" w:type="dxa"/>
            <w:tcBorders>
              <w:bottom w:val="single" w:color="000000" w:sz="4" w:space="0"/>
              <w:right w:val="single" w:color="000000" w:sz="8" w:space="0"/>
            </w:tcBorders>
            <w:vAlign w:val="center"/>
          </w:tcPr>
          <w:p w14:paraId="094CA69A">
            <w:pPr>
              <w:spacing w:line="560" w:lineRule="exact"/>
              <w:jc w:val="center"/>
              <w:rPr>
                <w:color w:val="auto"/>
                <w:sz w:val="28"/>
                <w:highlight w:val="none"/>
              </w:rPr>
            </w:pPr>
          </w:p>
        </w:tc>
        <w:tc>
          <w:tcPr>
            <w:tcW w:w="1260" w:type="dxa"/>
            <w:tcBorders>
              <w:bottom w:val="single" w:color="000000" w:sz="4" w:space="0"/>
              <w:right w:val="single" w:color="000000" w:sz="8" w:space="0"/>
            </w:tcBorders>
          </w:tcPr>
          <w:p w14:paraId="31F1FA80">
            <w:pPr>
              <w:spacing w:line="560" w:lineRule="exact"/>
              <w:jc w:val="center"/>
              <w:rPr>
                <w:color w:val="auto"/>
                <w:sz w:val="28"/>
                <w:highlight w:val="none"/>
              </w:rPr>
            </w:pPr>
          </w:p>
        </w:tc>
      </w:tr>
      <w:tr w14:paraId="001E4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trPr>
        <w:tc>
          <w:tcPr>
            <w:tcW w:w="448" w:type="dxa"/>
            <w:tcBorders>
              <w:left w:val="single" w:color="000000" w:sz="8" w:space="0"/>
              <w:bottom w:val="single" w:color="000000" w:sz="4" w:space="0"/>
              <w:right w:val="single" w:color="000000" w:sz="4" w:space="0"/>
            </w:tcBorders>
            <w:vAlign w:val="center"/>
          </w:tcPr>
          <w:p w14:paraId="15F6B3DA">
            <w:pPr>
              <w:spacing w:line="560" w:lineRule="exact"/>
              <w:jc w:val="center"/>
              <w:rPr>
                <w:color w:val="auto"/>
                <w:sz w:val="28"/>
                <w:highlight w:val="none"/>
              </w:rPr>
            </w:pPr>
            <w:r>
              <w:rPr>
                <w:color w:val="auto"/>
                <w:highlight w:val="none"/>
              </w:rPr>
              <w:t>9</w:t>
            </w:r>
          </w:p>
        </w:tc>
        <w:tc>
          <w:tcPr>
            <w:tcW w:w="1640" w:type="dxa"/>
            <w:tcBorders>
              <w:bottom w:val="single" w:color="000000" w:sz="4" w:space="0"/>
              <w:right w:val="single" w:color="000000" w:sz="4" w:space="0"/>
            </w:tcBorders>
            <w:vAlign w:val="center"/>
          </w:tcPr>
          <w:p w14:paraId="43D4C51A">
            <w:pPr>
              <w:spacing w:line="560" w:lineRule="exact"/>
              <w:jc w:val="center"/>
              <w:rPr>
                <w:color w:val="auto"/>
                <w:sz w:val="28"/>
                <w:highlight w:val="none"/>
              </w:rPr>
            </w:pPr>
          </w:p>
        </w:tc>
        <w:tc>
          <w:tcPr>
            <w:tcW w:w="2184" w:type="dxa"/>
            <w:tcBorders>
              <w:bottom w:val="single" w:color="000000" w:sz="4" w:space="0"/>
              <w:right w:val="single" w:color="000000" w:sz="4" w:space="0"/>
            </w:tcBorders>
            <w:vAlign w:val="center"/>
          </w:tcPr>
          <w:p w14:paraId="534453DE">
            <w:pPr>
              <w:spacing w:line="560" w:lineRule="exact"/>
              <w:jc w:val="center"/>
              <w:rPr>
                <w:color w:val="auto"/>
                <w:sz w:val="28"/>
                <w:highlight w:val="none"/>
              </w:rPr>
            </w:pPr>
          </w:p>
        </w:tc>
        <w:tc>
          <w:tcPr>
            <w:tcW w:w="2077" w:type="dxa"/>
            <w:tcBorders>
              <w:bottom w:val="single" w:color="000000" w:sz="4" w:space="0"/>
              <w:right w:val="single" w:color="000000" w:sz="4" w:space="0"/>
            </w:tcBorders>
            <w:vAlign w:val="center"/>
          </w:tcPr>
          <w:p w14:paraId="41115BDE">
            <w:pPr>
              <w:spacing w:line="560" w:lineRule="exact"/>
              <w:jc w:val="center"/>
              <w:rPr>
                <w:color w:val="auto"/>
                <w:sz w:val="28"/>
                <w:highlight w:val="none"/>
              </w:rPr>
            </w:pPr>
          </w:p>
        </w:tc>
        <w:tc>
          <w:tcPr>
            <w:tcW w:w="1859" w:type="dxa"/>
            <w:tcBorders>
              <w:bottom w:val="single" w:color="000000" w:sz="4" w:space="0"/>
              <w:right w:val="single" w:color="000000" w:sz="8" w:space="0"/>
            </w:tcBorders>
            <w:vAlign w:val="center"/>
          </w:tcPr>
          <w:p w14:paraId="1A0F1F7A">
            <w:pPr>
              <w:spacing w:line="560" w:lineRule="exact"/>
              <w:jc w:val="center"/>
              <w:rPr>
                <w:color w:val="auto"/>
                <w:sz w:val="28"/>
                <w:highlight w:val="none"/>
              </w:rPr>
            </w:pPr>
          </w:p>
        </w:tc>
        <w:tc>
          <w:tcPr>
            <w:tcW w:w="1260" w:type="dxa"/>
            <w:tcBorders>
              <w:bottom w:val="single" w:color="000000" w:sz="4" w:space="0"/>
              <w:right w:val="single" w:color="000000" w:sz="8" w:space="0"/>
            </w:tcBorders>
          </w:tcPr>
          <w:p w14:paraId="6693B94A">
            <w:pPr>
              <w:spacing w:line="560" w:lineRule="exact"/>
              <w:jc w:val="center"/>
              <w:rPr>
                <w:color w:val="auto"/>
                <w:sz w:val="28"/>
                <w:highlight w:val="none"/>
              </w:rPr>
            </w:pPr>
          </w:p>
        </w:tc>
      </w:tr>
      <w:tr w14:paraId="1CA2D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448" w:type="dxa"/>
            <w:tcBorders>
              <w:left w:val="single" w:color="000000" w:sz="8" w:space="0"/>
              <w:bottom w:val="single" w:color="000000" w:sz="8" w:space="0"/>
              <w:right w:val="single" w:color="000000" w:sz="4" w:space="0"/>
            </w:tcBorders>
            <w:vAlign w:val="center"/>
          </w:tcPr>
          <w:p w14:paraId="62E35679">
            <w:pPr>
              <w:spacing w:line="560" w:lineRule="exact"/>
              <w:jc w:val="center"/>
              <w:rPr>
                <w:color w:val="auto"/>
                <w:sz w:val="28"/>
                <w:highlight w:val="none"/>
              </w:rPr>
            </w:pPr>
            <w:r>
              <w:rPr>
                <w:color w:val="auto"/>
                <w:highlight w:val="none"/>
              </w:rPr>
              <w:t>......</w:t>
            </w:r>
          </w:p>
        </w:tc>
        <w:tc>
          <w:tcPr>
            <w:tcW w:w="1640" w:type="dxa"/>
            <w:tcBorders>
              <w:bottom w:val="single" w:color="000000" w:sz="8" w:space="0"/>
              <w:right w:val="single" w:color="000000" w:sz="4" w:space="0"/>
            </w:tcBorders>
            <w:vAlign w:val="center"/>
          </w:tcPr>
          <w:p w14:paraId="43733A81">
            <w:pPr>
              <w:spacing w:line="560" w:lineRule="exact"/>
              <w:jc w:val="center"/>
              <w:rPr>
                <w:color w:val="auto"/>
                <w:sz w:val="28"/>
                <w:highlight w:val="none"/>
              </w:rPr>
            </w:pPr>
          </w:p>
        </w:tc>
        <w:tc>
          <w:tcPr>
            <w:tcW w:w="2184" w:type="dxa"/>
            <w:tcBorders>
              <w:bottom w:val="single" w:color="000000" w:sz="8" w:space="0"/>
              <w:right w:val="single" w:color="000000" w:sz="4" w:space="0"/>
            </w:tcBorders>
            <w:vAlign w:val="center"/>
          </w:tcPr>
          <w:p w14:paraId="18A896D6">
            <w:pPr>
              <w:spacing w:line="560" w:lineRule="exact"/>
              <w:jc w:val="center"/>
              <w:rPr>
                <w:color w:val="auto"/>
                <w:sz w:val="28"/>
                <w:highlight w:val="none"/>
              </w:rPr>
            </w:pPr>
          </w:p>
        </w:tc>
        <w:tc>
          <w:tcPr>
            <w:tcW w:w="2077" w:type="dxa"/>
            <w:tcBorders>
              <w:bottom w:val="single" w:color="000000" w:sz="8" w:space="0"/>
              <w:right w:val="single" w:color="000000" w:sz="4" w:space="0"/>
            </w:tcBorders>
            <w:vAlign w:val="center"/>
          </w:tcPr>
          <w:p w14:paraId="6CA76B30">
            <w:pPr>
              <w:spacing w:line="560" w:lineRule="exact"/>
              <w:jc w:val="center"/>
              <w:rPr>
                <w:color w:val="auto"/>
                <w:sz w:val="28"/>
                <w:highlight w:val="none"/>
              </w:rPr>
            </w:pPr>
          </w:p>
        </w:tc>
        <w:tc>
          <w:tcPr>
            <w:tcW w:w="1859" w:type="dxa"/>
            <w:tcBorders>
              <w:bottom w:val="single" w:color="000000" w:sz="8" w:space="0"/>
              <w:right w:val="single" w:color="000000" w:sz="8" w:space="0"/>
            </w:tcBorders>
            <w:vAlign w:val="center"/>
          </w:tcPr>
          <w:p w14:paraId="72E70AF3">
            <w:pPr>
              <w:spacing w:line="560" w:lineRule="exact"/>
              <w:jc w:val="center"/>
              <w:rPr>
                <w:color w:val="auto"/>
                <w:sz w:val="28"/>
                <w:highlight w:val="none"/>
              </w:rPr>
            </w:pPr>
          </w:p>
        </w:tc>
        <w:tc>
          <w:tcPr>
            <w:tcW w:w="1260" w:type="dxa"/>
            <w:tcBorders>
              <w:bottom w:val="single" w:color="000000" w:sz="8" w:space="0"/>
              <w:right w:val="single" w:color="000000" w:sz="8" w:space="0"/>
            </w:tcBorders>
          </w:tcPr>
          <w:p w14:paraId="659C1559">
            <w:pPr>
              <w:spacing w:line="560" w:lineRule="exact"/>
              <w:jc w:val="center"/>
              <w:rPr>
                <w:color w:val="auto"/>
                <w:sz w:val="28"/>
                <w:highlight w:val="none"/>
              </w:rPr>
            </w:pPr>
          </w:p>
        </w:tc>
      </w:tr>
    </w:tbl>
    <w:p w14:paraId="266A8400">
      <w:pPr>
        <w:widowControl w:val="0"/>
        <w:tabs>
          <w:tab w:val="left" w:pos="9365"/>
        </w:tabs>
        <w:snapToGrid w:val="0"/>
        <w:spacing w:line="360" w:lineRule="auto"/>
        <w:ind w:firstLine="624"/>
        <w:textAlignment w:val="top"/>
        <w:rPr>
          <w:rFonts w:ascii="宋体" w:cs="宋体"/>
          <w:color w:val="auto"/>
          <w:highlight w:val="none"/>
        </w:rPr>
      </w:pPr>
      <w:r>
        <w:rPr>
          <w:rFonts w:hint="eastAsia"/>
          <w:color w:val="auto"/>
          <w:highlight w:val="none"/>
        </w:rPr>
        <w:t>注：</w:t>
      </w:r>
      <w:r>
        <w:rPr>
          <w:rFonts w:ascii="宋体" w:hAnsi="宋体" w:cs="宋体"/>
          <w:color w:val="auto"/>
          <w:highlight w:val="none"/>
        </w:rPr>
        <w:t>1</w:t>
      </w:r>
      <w:r>
        <w:rPr>
          <w:rFonts w:hint="eastAsia"/>
          <w:color w:val="auto"/>
          <w:highlight w:val="none"/>
        </w:rPr>
        <w:t>、“偏差”栏中详细注明所投产品参数与《招标文件》中要求有何不同，并说明其符合性。投标人应分标段（包）填制本表。</w:t>
      </w:r>
    </w:p>
    <w:p w14:paraId="25E6B328">
      <w:pPr>
        <w:widowControl w:val="0"/>
        <w:tabs>
          <w:tab w:val="left" w:pos="9365"/>
        </w:tabs>
        <w:snapToGrid w:val="0"/>
        <w:spacing w:line="360" w:lineRule="auto"/>
        <w:ind w:firstLine="624"/>
        <w:textAlignment w:val="top"/>
        <w:rPr>
          <w:color w:val="auto"/>
          <w:highlight w:val="none"/>
        </w:rPr>
      </w:pPr>
      <w:r>
        <w:rPr>
          <w:rFonts w:ascii="宋体" w:hAnsi="宋体" w:cs="宋体"/>
          <w:color w:val="auto"/>
          <w:highlight w:val="none"/>
        </w:rPr>
        <w:t>2</w:t>
      </w:r>
      <w:r>
        <w:rPr>
          <w:rFonts w:hint="eastAsia"/>
          <w:color w:val="auto"/>
          <w:highlight w:val="none"/>
        </w:rPr>
        <w:t>、如所投产品配置及技术参数与“技术要求”一致的部分，仍需在本表填列“与《招标文件》技术要求一致”</w:t>
      </w:r>
      <w:r>
        <w:rPr>
          <w:rFonts w:hint="eastAsia" w:ascii="宋体" w:hAnsi="宋体"/>
          <w:color w:val="auto"/>
          <w:spacing w:val="8"/>
          <w:szCs w:val="21"/>
          <w:highlight w:val="none"/>
        </w:rPr>
        <w:t>等相似表述</w:t>
      </w:r>
      <w:r>
        <w:rPr>
          <w:rFonts w:hint="eastAsia"/>
          <w:color w:val="auto"/>
          <w:highlight w:val="none"/>
        </w:rPr>
        <w:t>。</w:t>
      </w:r>
    </w:p>
    <w:p w14:paraId="12E42738">
      <w:pPr>
        <w:autoSpaceDE w:val="0"/>
        <w:autoSpaceDN w:val="0"/>
        <w:adjustRightInd w:val="0"/>
        <w:spacing w:line="360" w:lineRule="auto"/>
        <w:jc w:val="center"/>
        <w:rPr>
          <w:rFonts w:ascii="宋体"/>
          <w:color w:val="auto"/>
          <w:sz w:val="24"/>
          <w:highlight w:val="none"/>
        </w:rPr>
      </w:pPr>
    </w:p>
    <w:p w14:paraId="6661067C">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投标人（电子签</w:t>
      </w:r>
      <w:r>
        <w:rPr>
          <w:rFonts w:hint="eastAsia" w:ascii="宋体" w:hAnsi="宋体"/>
          <w:color w:val="auto"/>
          <w:sz w:val="24"/>
          <w:szCs w:val="24"/>
          <w:highlight w:val="none"/>
        </w:rPr>
        <w:t>章</w:t>
      </w:r>
      <w:r>
        <w:rPr>
          <w:rFonts w:hint="eastAsia"/>
          <w:color w:val="auto"/>
          <w:sz w:val="24"/>
          <w:szCs w:val="24"/>
          <w:highlight w:val="none"/>
        </w:rPr>
        <w:t>）：</w:t>
      </w:r>
    </w:p>
    <w:p w14:paraId="29CB723F">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法定代表人（电子签名或签章）：</w:t>
      </w:r>
    </w:p>
    <w:p w14:paraId="6EC7400F">
      <w:pPr>
        <w:autoSpaceDE w:val="0"/>
        <w:autoSpaceDN w:val="0"/>
        <w:adjustRightInd w:val="0"/>
        <w:spacing w:line="360" w:lineRule="auto"/>
        <w:ind w:right="-817"/>
        <w:jc w:val="left"/>
        <w:rPr>
          <w:rFonts w:ascii="宋体" w:cs="楷体_GB2312"/>
          <w:color w:val="auto"/>
          <w:sz w:val="24"/>
          <w:highlight w:val="none"/>
          <w:lang w:val="zh-CN"/>
        </w:rPr>
      </w:pPr>
      <w:r>
        <w:rPr>
          <w:rFonts w:hint="eastAsia" w:ascii="宋体" w:hAnsi="宋体" w:cs="楷体_GB2312"/>
          <w:color w:val="auto"/>
          <w:sz w:val="24"/>
          <w:highlight w:val="none"/>
          <w:lang w:val="zh-CN"/>
        </w:rPr>
        <w:t>日期：</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14:paraId="466321A0">
      <w:pPr>
        <w:autoSpaceDE w:val="0"/>
        <w:autoSpaceDN w:val="0"/>
        <w:adjustRightInd w:val="0"/>
        <w:spacing w:line="360" w:lineRule="auto"/>
        <w:ind w:left="1" w:firstLine="560"/>
        <w:rPr>
          <w:rFonts w:ascii="宋体" w:cs="楷体_GB2312"/>
          <w:color w:val="auto"/>
          <w:sz w:val="24"/>
          <w:highlight w:val="none"/>
          <w:lang w:val="zh-CN"/>
        </w:rPr>
      </w:pPr>
      <w:r>
        <w:rPr>
          <w:rFonts w:ascii="宋体" w:hAnsi="宋体" w:cs="楷体_GB2312"/>
          <w:color w:val="auto"/>
          <w:sz w:val="24"/>
          <w:highlight w:val="none"/>
          <w:lang w:val="zh-CN"/>
        </w:rPr>
        <w:t xml:space="preserve">             </w:t>
      </w:r>
    </w:p>
    <w:p w14:paraId="4A4E6AC4">
      <w:pPr>
        <w:autoSpaceDE w:val="0"/>
        <w:autoSpaceDN w:val="0"/>
        <w:adjustRightInd w:val="0"/>
        <w:spacing w:line="360" w:lineRule="auto"/>
        <w:ind w:left="1" w:firstLine="560"/>
        <w:rPr>
          <w:rFonts w:ascii="宋体" w:cs="楷体_GB2312"/>
          <w:color w:val="auto"/>
          <w:sz w:val="24"/>
          <w:highlight w:val="none"/>
          <w:lang w:val="zh-CN"/>
        </w:rPr>
      </w:pPr>
    </w:p>
    <w:p w14:paraId="1CD8E897">
      <w:pPr>
        <w:autoSpaceDE w:val="0"/>
        <w:autoSpaceDN w:val="0"/>
        <w:adjustRightInd w:val="0"/>
        <w:spacing w:line="360" w:lineRule="auto"/>
        <w:ind w:left="1" w:firstLine="560"/>
        <w:rPr>
          <w:rFonts w:ascii="宋体" w:cs="楷体_GB2312"/>
          <w:color w:val="auto"/>
          <w:sz w:val="24"/>
          <w:highlight w:val="none"/>
          <w:lang w:val="zh-CN"/>
        </w:rPr>
      </w:pPr>
    </w:p>
    <w:p w14:paraId="39805A6A">
      <w:pPr>
        <w:autoSpaceDE w:val="0"/>
        <w:autoSpaceDN w:val="0"/>
        <w:adjustRightInd w:val="0"/>
        <w:spacing w:line="360" w:lineRule="auto"/>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6、其他偏差表（除技术偏差外）</w:t>
      </w:r>
    </w:p>
    <w:p w14:paraId="77C06B3D">
      <w:pPr>
        <w:pStyle w:val="17"/>
        <w:adjustRightInd w:val="0"/>
        <w:snapToGrid w:val="0"/>
        <w:spacing w:before="0" w:beforeAutospacing="0" w:after="0" w:afterAutospacing="0"/>
        <w:rPr>
          <w:color w:val="auto"/>
          <w:highlight w:val="none"/>
          <w:u w:val="single"/>
        </w:rPr>
      </w:pPr>
      <w:r>
        <w:rPr>
          <w:rFonts w:hint="eastAsia"/>
          <w:color w:val="auto"/>
          <w:highlight w:val="none"/>
        </w:rPr>
        <w:t>项目名称：</w:t>
      </w:r>
    </w:p>
    <w:p w14:paraId="114433AD">
      <w:pPr>
        <w:pStyle w:val="17"/>
        <w:adjustRightInd w:val="0"/>
        <w:snapToGrid w:val="0"/>
        <w:spacing w:before="0" w:beforeAutospacing="0" w:after="0" w:afterAutospacing="0"/>
        <w:rPr>
          <w:color w:val="auto"/>
          <w:highlight w:val="none"/>
        </w:rPr>
      </w:pPr>
      <w:r>
        <w:rPr>
          <w:rFonts w:hint="eastAsia"/>
          <w:color w:val="auto"/>
          <w:highlight w:val="none"/>
        </w:rPr>
        <w:t>项目编号：</w:t>
      </w:r>
    </w:p>
    <w:tbl>
      <w:tblPr>
        <w:tblStyle w:val="20"/>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7"/>
        <w:gridCol w:w="3098"/>
        <w:gridCol w:w="2947"/>
        <w:gridCol w:w="2638"/>
      </w:tblGrid>
      <w:tr w14:paraId="73FE5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637" w:type="dxa"/>
            <w:tcBorders>
              <w:top w:val="single" w:color="000000" w:sz="8" w:space="0"/>
              <w:left w:val="single" w:color="000000" w:sz="8" w:space="0"/>
              <w:bottom w:val="single" w:color="000000" w:sz="4" w:space="0"/>
              <w:right w:val="single" w:color="000000" w:sz="4" w:space="0"/>
            </w:tcBorders>
            <w:vAlign w:val="center"/>
          </w:tcPr>
          <w:p w14:paraId="7CBBCD1E">
            <w:pPr>
              <w:spacing w:line="560" w:lineRule="exact"/>
              <w:jc w:val="center"/>
              <w:rPr>
                <w:b/>
                <w:color w:val="auto"/>
                <w:sz w:val="28"/>
                <w:highlight w:val="none"/>
              </w:rPr>
            </w:pPr>
            <w:r>
              <w:rPr>
                <w:rFonts w:hint="eastAsia"/>
                <w:b/>
                <w:color w:val="auto"/>
                <w:highlight w:val="none"/>
              </w:rPr>
              <w:t>序号</w:t>
            </w:r>
          </w:p>
        </w:tc>
        <w:tc>
          <w:tcPr>
            <w:tcW w:w="3098" w:type="dxa"/>
            <w:tcBorders>
              <w:top w:val="single" w:color="000000" w:sz="8" w:space="0"/>
              <w:bottom w:val="single" w:color="000000" w:sz="4" w:space="0"/>
              <w:right w:val="single" w:color="000000" w:sz="4" w:space="0"/>
            </w:tcBorders>
            <w:vAlign w:val="center"/>
          </w:tcPr>
          <w:p w14:paraId="3B009731">
            <w:pPr>
              <w:spacing w:line="560" w:lineRule="exact"/>
              <w:jc w:val="center"/>
              <w:rPr>
                <w:b/>
                <w:color w:val="auto"/>
                <w:sz w:val="28"/>
                <w:highlight w:val="none"/>
              </w:rPr>
            </w:pPr>
            <w:r>
              <w:rPr>
                <w:rFonts w:hint="eastAsia"/>
                <w:b/>
                <w:color w:val="auto"/>
                <w:highlight w:val="none"/>
              </w:rPr>
              <w:t>招标文件要求</w:t>
            </w:r>
          </w:p>
        </w:tc>
        <w:tc>
          <w:tcPr>
            <w:tcW w:w="2947" w:type="dxa"/>
            <w:tcBorders>
              <w:top w:val="single" w:color="000000" w:sz="8" w:space="0"/>
              <w:bottom w:val="single" w:color="000000" w:sz="4" w:space="0"/>
              <w:right w:val="single" w:color="000000" w:sz="4" w:space="0"/>
            </w:tcBorders>
            <w:vAlign w:val="center"/>
          </w:tcPr>
          <w:p w14:paraId="194B35EE">
            <w:pPr>
              <w:spacing w:line="560" w:lineRule="exact"/>
              <w:jc w:val="center"/>
              <w:rPr>
                <w:b/>
                <w:color w:val="auto"/>
                <w:sz w:val="28"/>
                <w:highlight w:val="none"/>
              </w:rPr>
            </w:pPr>
            <w:r>
              <w:rPr>
                <w:rFonts w:hint="eastAsia"/>
                <w:b/>
                <w:color w:val="auto"/>
                <w:highlight w:val="none"/>
              </w:rPr>
              <w:t>投标文件响应</w:t>
            </w:r>
          </w:p>
        </w:tc>
        <w:tc>
          <w:tcPr>
            <w:tcW w:w="2638" w:type="dxa"/>
            <w:tcBorders>
              <w:top w:val="single" w:color="000000" w:sz="8" w:space="0"/>
              <w:bottom w:val="single" w:color="000000" w:sz="4" w:space="0"/>
              <w:right w:val="single" w:color="000000" w:sz="8" w:space="0"/>
            </w:tcBorders>
            <w:vAlign w:val="center"/>
          </w:tcPr>
          <w:p w14:paraId="23B1A2A0">
            <w:pPr>
              <w:spacing w:line="560" w:lineRule="exact"/>
              <w:jc w:val="center"/>
              <w:rPr>
                <w:b/>
                <w:color w:val="auto"/>
                <w:sz w:val="28"/>
                <w:highlight w:val="none"/>
              </w:rPr>
            </w:pPr>
            <w:r>
              <w:rPr>
                <w:rFonts w:hint="eastAsia"/>
                <w:b/>
                <w:color w:val="auto"/>
                <w:highlight w:val="none"/>
              </w:rPr>
              <w:t>偏差描述</w:t>
            </w:r>
          </w:p>
        </w:tc>
      </w:tr>
      <w:tr w14:paraId="1BD3B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14:paraId="5D7FD4BC">
            <w:pPr>
              <w:spacing w:line="560" w:lineRule="exact"/>
              <w:jc w:val="center"/>
              <w:rPr>
                <w:color w:val="auto"/>
                <w:sz w:val="28"/>
                <w:highlight w:val="none"/>
              </w:rPr>
            </w:pPr>
            <w:r>
              <w:rPr>
                <w:color w:val="auto"/>
                <w:highlight w:val="none"/>
              </w:rPr>
              <w:t>1</w:t>
            </w:r>
          </w:p>
        </w:tc>
        <w:tc>
          <w:tcPr>
            <w:tcW w:w="3098" w:type="dxa"/>
            <w:tcBorders>
              <w:bottom w:val="single" w:color="000000" w:sz="4" w:space="0"/>
              <w:right w:val="single" w:color="000000" w:sz="4" w:space="0"/>
            </w:tcBorders>
            <w:vAlign w:val="center"/>
          </w:tcPr>
          <w:p w14:paraId="46D2D77A">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14:paraId="4A61AC15">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14:paraId="45B8D4F6">
            <w:pPr>
              <w:spacing w:line="560" w:lineRule="exact"/>
              <w:jc w:val="center"/>
              <w:rPr>
                <w:color w:val="auto"/>
                <w:sz w:val="28"/>
                <w:highlight w:val="none"/>
              </w:rPr>
            </w:pPr>
          </w:p>
        </w:tc>
      </w:tr>
      <w:tr w14:paraId="48C33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14:paraId="0A839E05">
            <w:pPr>
              <w:spacing w:line="560" w:lineRule="exact"/>
              <w:jc w:val="center"/>
              <w:rPr>
                <w:color w:val="auto"/>
                <w:sz w:val="28"/>
                <w:highlight w:val="none"/>
              </w:rPr>
            </w:pPr>
            <w:r>
              <w:rPr>
                <w:color w:val="auto"/>
                <w:highlight w:val="none"/>
              </w:rPr>
              <w:t>2</w:t>
            </w:r>
          </w:p>
        </w:tc>
        <w:tc>
          <w:tcPr>
            <w:tcW w:w="3098" w:type="dxa"/>
            <w:tcBorders>
              <w:bottom w:val="single" w:color="000000" w:sz="4" w:space="0"/>
              <w:right w:val="single" w:color="000000" w:sz="4" w:space="0"/>
            </w:tcBorders>
            <w:vAlign w:val="center"/>
          </w:tcPr>
          <w:p w14:paraId="36BCFF87">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14:paraId="7923B061">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14:paraId="48C22AC2">
            <w:pPr>
              <w:spacing w:line="560" w:lineRule="exact"/>
              <w:jc w:val="center"/>
              <w:rPr>
                <w:color w:val="auto"/>
                <w:sz w:val="28"/>
                <w:highlight w:val="none"/>
              </w:rPr>
            </w:pPr>
          </w:p>
        </w:tc>
      </w:tr>
      <w:tr w14:paraId="6F765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14:paraId="42E62190">
            <w:pPr>
              <w:spacing w:line="560" w:lineRule="exact"/>
              <w:jc w:val="center"/>
              <w:rPr>
                <w:color w:val="auto"/>
                <w:sz w:val="28"/>
                <w:highlight w:val="none"/>
              </w:rPr>
            </w:pPr>
            <w:r>
              <w:rPr>
                <w:color w:val="auto"/>
                <w:highlight w:val="none"/>
              </w:rPr>
              <w:t>3</w:t>
            </w:r>
          </w:p>
        </w:tc>
        <w:tc>
          <w:tcPr>
            <w:tcW w:w="3098" w:type="dxa"/>
            <w:tcBorders>
              <w:bottom w:val="single" w:color="000000" w:sz="4" w:space="0"/>
              <w:right w:val="single" w:color="000000" w:sz="4" w:space="0"/>
            </w:tcBorders>
            <w:vAlign w:val="center"/>
          </w:tcPr>
          <w:p w14:paraId="4F92A496">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14:paraId="41A05017">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14:paraId="23EAD7B5">
            <w:pPr>
              <w:spacing w:line="560" w:lineRule="exact"/>
              <w:jc w:val="center"/>
              <w:rPr>
                <w:color w:val="auto"/>
                <w:sz w:val="28"/>
                <w:highlight w:val="none"/>
              </w:rPr>
            </w:pPr>
          </w:p>
        </w:tc>
      </w:tr>
      <w:tr w14:paraId="05D5A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14:paraId="7717EBA7">
            <w:pPr>
              <w:spacing w:line="560" w:lineRule="exact"/>
              <w:jc w:val="center"/>
              <w:rPr>
                <w:color w:val="auto"/>
                <w:sz w:val="28"/>
                <w:highlight w:val="none"/>
              </w:rPr>
            </w:pPr>
            <w:r>
              <w:rPr>
                <w:color w:val="auto"/>
                <w:highlight w:val="none"/>
              </w:rPr>
              <w:t>4</w:t>
            </w:r>
          </w:p>
        </w:tc>
        <w:tc>
          <w:tcPr>
            <w:tcW w:w="3098" w:type="dxa"/>
            <w:tcBorders>
              <w:bottom w:val="single" w:color="000000" w:sz="4" w:space="0"/>
              <w:right w:val="single" w:color="000000" w:sz="4" w:space="0"/>
            </w:tcBorders>
            <w:vAlign w:val="center"/>
          </w:tcPr>
          <w:p w14:paraId="088DDA2B">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14:paraId="686BA360">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14:paraId="7F99DB8D">
            <w:pPr>
              <w:spacing w:line="560" w:lineRule="exact"/>
              <w:jc w:val="center"/>
              <w:rPr>
                <w:color w:val="auto"/>
                <w:sz w:val="28"/>
                <w:highlight w:val="none"/>
              </w:rPr>
            </w:pPr>
          </w:p>
        </w:tc>
      </w:tr>
      <w:tr w14:paraId="2B479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trPr>
        <w:tc>
          <w:tcPr>
            <w:tcW w:w="637" w:type="dxa"/>
            <w:tcBorders>
              <w:left w:val="single" w:color="000000" w:sz="8" w:space="0"/>
              <w:bottom w:val="single" w:color="000000" w:sz="4" w:space="0"/>
              <w:right w:val="single" w:color="000000" w:sz="4" w:space="0"/>
            </w:tcBorders>
            <w:vAlign w:val="center"/>
          </w:tcPr>
          <w:p w14:paraId="264E3626">
            <w:pPr>
              <w:spacing w:line="560" w:lineRule="exact"/>
              <w:jc w:val="center"/>
              <w:rPr>
                <w:color w:val="auto"/>
                <w:sz w:val="28"/>
                <w:highlight w:val="none"/>
              </w:rPr>
            </w:pPr>
            <w:r>
              <w:rPr>
                <w:color w:val="auto"/>
                <w:highlight w:val="none"/>
              </w:rPr>
              <w:t>5</w:t>
            </w:r>
          </w:p>
        </w:tc>
        <w:tc>
          <w:tcPr>
            <w:tcW w:w="3098" w:type="dxa"/>
            <w:tcBorders>
              <w:bottom w:val="single" w:color="000000" w:sz="4" w:space="0"/>
              <w:right w:val="single" w:color="000000" w:sz="4" w:space="0"/>
            </w:tcBorders>
            <w:vAlign w:val="center"/>
          </w:tcPr>
          <w:p w14:paraId="58F9678C">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14:paraId="53AFE9DE">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14:paraId="77A3BA41">
            <w:pPr>
              <w:spacing w:line="560" w:lineRule="exact"/>
              <w:jc w:val="center"/>
              <w:rPr>
                <w:color w:val="auto"/>
                <w:sz w:val="28"/>
                <w:highlight w:val="none"/>
              </w:rPr>
            </w:pPr>
          </w:p>
        </w:tc>
      </w:tr>
      <w:tr w14:paraId="1633E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637" w:type="dxa"/>
            <w:tcBorders>
              <w:left w:val="single" w:color="000000" w:sz="8" w:space="0"/>
              <w:bottom w:val="single" w:color="000000" w:sz="4" w:space="0"/>
              <w:right w:val="single" w:color="000000" w:sz="4" w:space="0"/>
            </w:tcBorders>
            <w:vAlign w:val="center"/>
          </w:tcPr>
          <w:p w14:paraId="5F0A3931">
            <w:pPr>
              <w:spacing w:line="560" w:lineRule="exact"/>
              <w:jc w:val="center"/>
              <w:rPr>
                <w:color w:val="auto"/>
                <w:sz w:val="28"/>
                <w:highlight w:val="none"/>
              </w:rPr>
            </w:pPr>
            <w:r>
              <w:rPr>
                <w:color w:val="auto"/>
                <w:highlight w:val="none"/>
              </w:rPr>
              <w:t>6</w:t>
            </w:r>
          </w:p>
        </w:tc>
        <w:tc>
          <w:tcPr>
            <w:tcW w:w="3098" w:type="dxa"/>
            <w:tcBorders>
              <w:bottom w:val="single" w:color="000000" w:sz="4" w:space="0"/>
              <w:right w:val="single" w:color="000000" w:sz="4" w:space="0"/>
            </w:tcBorders>
            <w:vAlign w:val="center"/>
          </w:tcPr>
          <w:p w14:paraId="62B58B90">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14:paraId="799EBA07">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14:paraId="67EB9784">
            <w:pPr>
              <w:spacing w:line="560" w:lineRule="exact"/>
              <w:jc w:val="center"/>
              <w:rPr>
                <w:color w:val="auto"/>
                <w:sz w:val="28"/>
                <w:highlight w:val="none"/>
              </w:rPr>
            </w:pPr>
          </w:p>
        </w:tc>
      </w:tr>
      <w:tr w14:paraId="6346B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637" w:type="dxa"/>
            <w:tcBorders>
              <w:left w:val="single" w:color="000000" w:sz="8" w:space="0"/>
              <w:bottom w:val="single" w:color="000000" w:sz="4" w:space="0"/>
              <w:right w:val="single" w:color="000000" w:sz="4" w:space="0"/>
            </w:tcBorders>
            <w:vAlign w:val="center"/>
          </w:tcPr>
          <w:p w14:paraId="35E9A8DA">
            <w:pPr>
              <w:spacing w:line="560" w:lineRule="exact"/>
              <w:jc w:val="center"/>
              <w:rPr>
                <w:color w:val="auto"/>
                <w:sz w:val="28"/>
                <w:highlight w:val="none"/>
              </w:rPr>
            </w:pPr>
            <w:r>
              <w:rPr>
                <w:color w:val="auto"/>
                <w:highlight w:val="none"/>
              </w:rPr>
              <w:t>7</w:t>
            </w:r>
          </w:p>
        </w:tc>
        <w:tc>
          <w:tcPr>
            <w:tcW w:w="3098" w:type="dxa"/>
            <w:tcBorders>
              <w:bottom w:val="single" w:color="000000" w:sz="4" w:space="0"/>
              <w:right w:val="single" w:color="000000" w:sz="4" w:space="0"/>
            </w:tcBorders>
            <w:vAlign w:val="center"/>
          </w:tcPr>
          <w:p w14:paraId="60D62392">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14:paraId="08C03A14">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14:paraId="4D967D91">
            <w:pPr>
              <w:spacing w:line="560" w:lineRule="exact"/>
              <w:jc w:val="center"/>
              <w:rPr>
                <w:color w:val="auto"/>
                <w:sz w:val="28"/>
                <w:highlight w:val="none"/>
              </w:rPr>
            </w:pPr>
          </w:p>
        </w:tc>
      </w:tr>
      <w:tr w14:paraId="0CEE5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637" w:type="dxa"/>
            <w:tcBorders>
              <w:left w:val="single" w:color="000000" w:sz="8" w:space="0"/>
              <w:bottom w:val="single" w:color="000000" w:sz="4" w:space="0"/>
              <w:right w:val="single" w:color="000000" w:sz="4" w:space="0"/>
            </w:tcBorders>
            <w:vAlign w:val="center"/>
          </w:tcPr>
          <w:p w14:paraId="7A5EA8F0">
            <w:pPr>
              <w:spacing w:line="560" w:lineRule="exact"/>
              <w:jc w:val="center"/>
              <w:rPr>
                <w:color w:val="auto"/>
                <w:sz w:val="28"/>
                <w:highlight w:val="none"/>
              </w:rPr>
            </w:pPr>
            <w:r>
              <w:rPr>
                <w:color w:val="auto"/>
                <w:highlight w:val="none"/>
              </w:rPr>
              <w:t>8</w:t>
            </w:r>
          </w:p>
        </w:tc>
        <w:tc>
          <w:tcPr>
            <w:tcW w:w="3098" w:type="dxa"/>
            <w:tcBorders>
              <w:bottom w:val="single" w:color="000000" w:sz="4" w:space="0"/>
              <w:right w:val="single" w:color="000000" w:sz="4" w:space="0"/>
            </w:tcBorders>
            <w:vAlign w:val="center"/>
          </w:tcPr>
          <w:p w14:paraId="25A8BFEF">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14:paraId="3929C78B">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14:paraId="224332B6">
            <w:pPr>
              <w:spacing w:line="560" w:lineRule="exact"/>
              <w:jc w:val="center"/>
              <w:rPr>
                <w:color w:val="auto"/>
                <w:sz w:val="28"/>
                <w:highlight w:val="none"/>
              </w:rPr>
            </w:pPr>
          </w:p>
        </w:tc>
      </w:tr>
      <w:tr w14:paraId="12872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trPr>
        <w:tc>
          <w:tcPr>
            <w:tcW w:w="637" w:type="dxa"/>
            <w:tcBorders>
              <w:left w:val="single" w:color="000000" w:sz="8" w:space="0"/>
              <w:bottom w:val="single" w:color="000000" w:sz="4" w:space="0"/>
              <w:right w:val="single" w:color="000000" w:sz="4" w:space="0"/>
            </w:tcBorders>
            <w:vAlign w:val="center"/>
          </w:tcPr>
          <w:p w14:paraId="05D2E5BE">
            <w:pPr>
              <w:spacing w:line="560" w:lineRule="exact"/>
              <w:jc w:val="center"/>
              <w:rPr>
                <w:color w:val="auto"/>
                <w:sz w:val="28"/>
                <w:highlight w:val="none"/>
              </w:rPr>
            </w:pPr>
            <w:r>
              <w:rPr>
                <w:color w:val="auto"/>
                <w:highlight w:val="none"/>
              </w:rPr>
              <w:t>9</w:t>
            </w:r>
          </w:p>
        </w:tc>
        <w:tc>
          <w:tcPr>
            <w:tcW w:w="3098" w:type="dxa"/>
            <w:tcBorders>
              <w:bottom w:val="single" w:color="000000" w:sz="4" w:space="0"/>
              <w:right w:val="single" w:color="000000" w:sz="4" w:space="0"/>
            </w:tcBorders>
            <w:vAlign w:val="center"/>
          </w:tcPr>
          <w:p w14:paraId="20CD7E53">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14:paraId="3D1000B4">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14:paraId="63B20D80">
            <w:pPr>
              <w:spacing w:line="560" w:lineRule="exact"/>
              <w:jc w:val="center"/>
              <w:rPr>
                <w:color w:val="auto"/>
                <w:sz w:val="28"/>
                <w:highlight w:val="none"/>
              </w:rPr>
            </w:pPr>
          </w:p>
        </w:tc>
      </w:tr>
      <w:tr w14:paraId="3F7B1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637" w:type="dxa"/>
            <w:tcBorders>
              <w:left w:val="single" w:color="000000" w:sz="8" w:space="0"/>
              <w:bottom w:val="single" w:color="000000" w:sz="8" w:space="0"/>
              <w:right w:val="single" w:color="000000" w:sz="4" w:space="0"/>
            </w:tcBorders>
            <w:vAlign w:val="center"/>
          </w:tcPr>
          <w:p w14:paraId="44777696">
            <w:pPr>
              <w:spacing w:line="560" w:lineRule="exact"/>
              <w:jc w:val="center"/>
              <w:rPr>
                <w:color w:val="auto"/>
                <w:sz w:val="28"/>
                <w:highlight w:val="none"/>
              </w:rPr>
            </w:pPr>
            <w:r>
              <w:rPr>
                <w:color w:val="auto"/>
                <w:highlight w:val="none"/>
              </w:rPr>
              <w:t>......</w:t>
            </w:r>
          </w:p>
        </w:tc>
        <w:tc>
          <w:tcPr>
            <w:tcW w:w="3098" w:type="dxa"/>
            <w:tcBorders>
              <w:bottom w:val="single" w:color="000000" w:sz="8" w:space="0"/>
              <w:right w:val="single" w:color="000000" w:sz="4" w:space="0"/>
            </w:tcBorders>
            <w:vAlign w:val="center"/>
          </w:tcPr>
          <w:p w14:paraId="1D95E391">
            <w:pPr>
              <w:spacing w:line="560" w:lineRule="exact"/>
              <w:jc w:val="center"/>
              <w:rPr>
                <w:color w:val="auto"/>
                <w:sz w:val="28"/>
                <w:highlight w:val="none"/>
              </w:rPr>
            </w:pPr>
          </w:p>
        </w:tc>
        <w:tc>
          <w:tcPr>
            <w:tcW w:w="2947" w:type="dxa"/>
            <w:tcBorders>
              <w:bottom w:val="single" w:color="000000" w:sz="8" w:space="0"/>
              <w:right w:val="single" w:color="000000" w:sz="4" w:space="0"/>
            </w:tcBorders>
            <w:vAlign w:val="center"/>
          </w:tcPr>
          <w:p w14:paraId="268AB986">
            <w:pPr>
              <w:spacing w:line="560" w:lineRule="exact"/>
              <w:jc w:val="center"/>
              <w:rPr>
                <w:color w:val="auto"/>
                <w:sz w:val="28"/>
                <w:highlight w:val="none"/>
              </w:rPr>
            </w:pPr>
          </w:p>
        </w:tc>
        <w:tc>
          <w:tcPr>
            <w:tcW w:w="2638" w:type="dxa"/>
            <w:tcBorders>
              <w:bottom w:val="single" w:color="000000" w:sz="8" w:space="0"/>
              <w:right w:val="single" w:color="000000" w:sz="8" w:space="0"/>
            </w:tcBorders>
            <w:vAlign w:val="center"/>
          </w:tcPr>
          <w:p w14:paraId="0F2BDE22">
            <w:pPr>
              <w:spacing w:line="560" w:lineRule="exact"/>
              <w:jc w:val="center"/>
              <w:rPr>
                <w:color w:val="auto"/>
                <w:sz w:val="28"/>
                <w:highlight w:val="none"/>
              </w:rPr>
            </w:pPr>
          </w:p>
        </w:tc>
      </w:tr>
    </w:tbl>
    <w:p w14:paraId="1FD76353">
      <w:pPr>
        <w:tabs>
          <w:tab w:val="left" w:pos="0"/>
        </w:tabs>
        <w:adjustRightInd w:val="0"/>
        <w:snapToGrid w:val="0"/>
        <w:spacing w:before="156" w:beforeLines="50" w:line="300" w:lineRule="auto"/>
        <w:ind w:right="25" w:firstLine="452" w:firstLineChars="200"/>
        <w:rPr>
          <w:rFonts w:ascii="宋体" w:hAnsi="宋体"/>
          <w:color w:val="auto"/>
          <w:spacing w:val="8"/>
          <w:szCs w:val="21"/>
          <w:highlight w:val="none"/>
        </w:rPr>
      </w:pPr>
      <w:r>
        <w:rPr>
          <w:rFonts w:hint="eastAsia" w:ascii="宋体" w:hAnsi="宋体"/>
          <w:color w:val="auto"/>
          <w:spacing w:val="8"/>
          <w:szCs w:val="21"/>
          <w:highlight w:val="none"/>
        </w:rPr>
        <w:t>注：</w:t>
      </w:r>
      <w:r>
        <w:rPr>
          <w:rFonts w:ascii="宋体" w:hAnsi="宋体"/>
          <w:color w:val="auto"/>
          <w:spacing w:val="8"/>
          <w:szCs w:val="21"/>
          <w:highlight w:val="none"/>
        </w:rPr>
        <w:t>1</w:t>
      </w:r>
      <w:r>
        <w:rPr>
          <w:rFonts w:hint="eastAsia" w:ascii="宋体" w:hAnsi="宋体"/>
          <w:color w:val="auto"/>
          <w:spacing w:val="8"/>
          <w:szCs w:val="21"/>
          <w:highlight w:val="none"/>
        </w:rPr>
        <w:t>、“其他偏差表”应详细注明与《招标文件》中各项要求（除技术条款外的所有条款）有何不同，并说明其符合性（优于、或低于《招标文件》要求）。</w:t>
      </w:r>
    </w:p>
    <w:p w14:paraId="4FDCB9A2">
      <w:pPr>
        <w:tabs>
          <w:tab w:val="left" w:pos="0"/>
        </w:tabs>
        <w:adjustRightInd w:val="0"/>
        <w:snapToGrid w:val="0"/>
        <w:spacing w:before="156" w:beforeLines="50" w:line="300" w:lineRule="auto"/>
        <w:ind w:right="25" w:firstLine="452" w:firstLineChars="200"/>
        <w:rPr>
          <w:rFonts w:ascii="宋体"/>
          <w:color w:val="auto"/>
          <w:spacing w:val="8"/>
          <w:szCs w:val="21"/>
          <w:highlight w:val="none"/>
        </w:rPr>
      </w:pPr>
      <w:r>
        <w:rPr>
          <w:rFonts w:ascii="宋体" w:hAnsi="宋体"/>
          <w:color w:val="auto"/>
          <w:spacing w:val="8"/>
          <w:szCs w:val="21"/>
          <w:highlight w:val="none"/>
        </w:rPr>
        <w:t>2</w:t>
      </w:r>
      <w:r>
        <w:rPr>
          <w:rFonts w:hint="eastAsia" w:ascii="宋体" w:hAnsi="宋体"/>
          <w:color w:val="auto"/>
          <w:spacing w:val="8"/>
          <w:szCs w:val="21"/>
          <w:highlight w:val="none"/>
        </w:rPr>
        <w:t>、如投标条款与《招标文件》其他要求一致，仍需在本表填列“除技术条款外，与《招标文件》所有条款要求一致，无偏差”等相似表述。</w:t>
      </w:r>
    </w:p>
    <w:p w14:paraId="29C90930">
      <w:pPr>
        <w:tabs>
          <w:tab w:val="left" w:pos="0"/>
        </w:tabs>
        <w:adjustRightInd w:val="0"/>
        <w:snapToGrid w:val="0"/>
        <w:spacing w:before="156" w:beforeLines="50" w:line="300" w:lineRule="auto"/>
        <w:ind w:right="510"/>
        <w:rPr>
          <w:rFonts w:ascii="宋体"/>
          <w:color w:val="auto"/>
          <w:spacing w:val="8"/>
          <w:szCs w:val="21"/>
          <w:highlight w:val="none"/>
        </w:rPr>
      </w:pPr>
    </w:p>
    <w:p w14:paraId="32C2C4E0">
      <w:pPr>
        <w:tabs>
          <w:tab w:val="left" w:pos="0"/>
        </w:tabs>
        <w:adjustRightInd w:val="0"/>
        <w:snapToGrid w:val="0"/>
        <w:spacing w:before="156" w:beforeLines="50" w:line="300" w:lineRule="auto"/>
        <w:ind w:right="510"/>
        <w:rPr>
          <w:rFonts w:ascii="宋体"/>
          <w:color w:val="auto"/>
          <w:spacing w:val="8"/>
          <w:szCs w:val="21"/>
          <w:highlight w:val="none"/>
        </w:rPr>
      </w:pPr>
    </w:p>
    <w:p w14:paraId="2B8230E8">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投标人（电子签</w:t>
      </w:r>
      <w:r>
        <w:rPr>
          <w:rFonts w:hint="eastAsia" w:ascii="宋体" w:hAnsi="宋体"/>
          <w:color w:val="auto"/>
          <w:sz w:val="24"/>
          <w:szCs w:val="24"/>
          <w:highlight w:val="none"/>
        </w:rPr>
        <w:t>章</w:t>
      </w:r>
      <w:r>
        <w:rPr>
          <w:rFonts w:hint="eastAsia"/>
          <w:color w:val="auto"/>
          <w:sz w:val="24"/>
          <w:szCs w:val="24"/>
          <w:highlight w:val="none"/>
        </w:rPr>
        <w:t>）：</w:t>
      </w:r>
    </w:p>
    <w:p w14:paraId="59D59896">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法定代表人（电子签名或签章）：</w:t>
      </w:r>
    </w:p>
    <w:p w14:paraId="42DB0013">
      <w:pPr>
        <w:autoSpaceDE w:val="0"/>
        <w:autoSpaceDN w:val="0"/>
        <w:adjustRightInd w:val="0"/>
        <w:spacing w:line="480" w:lineRule="auto"/>
        <w:rPr>
          <w:rFonts w:ascii="宋体"/>
          <w:color w:val="auto"/>
          <w:sz w:val="24"/>
          <w:highlight w:val="none"/>
        </w:rPr>
      </w:pPr>
      <w:r>
        <w:rPr>
          <w:rFonts w:hint="eastAsia" w:ascii="宋体" w:hAnsi="宋体"/>
          <w:color w:val="auto"/>
          <w:spacing w:val="8"/>
          <w:sz w:val="24"/>
          <w:highlight w:val="none"/>
        </w:rPr>
        <w:t>日期</w:t>
      </w:r>
      <w:r>
        <w:rPr>
          <w:rFonts w:ascii="宋体" w:hAnsi="宋体"/>
          <w:color w:val="auto"/>
          <w:spacing w:val="8"/>
          <w:sz w:val="24"/>
          <w:highlight w:val="none"/>
        </w:rPr>
        <w:t xml:space="preserve"> </w:t>
      </w:r>
      <w:r>
        <w:rPr>
          <w:rFonts w:hint="eastAsia" w:ascii="宋体" w:hAnsi="宋体"/>
          <w:color w:val="auto"/>
          <w:spacing w:val="8"/>
          <w:sz w:val="24"/>
          <w:highlight w:val="none"/>
        </w:rPr>
        <w:t>：</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14:paraId="173AC855">
      <w:pPr>
        <w:autoSpaceDE w:val="0"/>
        <w:autoSpaceDN w:val="0"/>
        <w:adjustRightInd w:val="0"/>
        <w:spacing w:line="360" w:lineRule="auto"/>
        <w:ind w:left="1" w:firstLine="560"/>
        <w:rPr>
          <w:rFonts w:ascii="宋体" w:cs="楷体_GB2312"/>
          <w:color w:val="auto"/>
          <w:sz w:val="24"/>
          <w:highlight w:val="none"/>
          <w:lang w:val="zh-CN"/>
        </w:rPr>
      </w:pPr>
    </w:p>
    <w:p w14:paraId="0A0C83D8">
      <w:pPr>
        <w:autoSpaceDE w:val="0"/>
        <w:autoSpaceDN w:val="0"/>
        <w:adjustRightInd w:val="0"/>
        <w:spacing w:line="360" w:lineRule="auto"/>
        <w:rPr>
          <w:rFonts w:ascii="宋体" w:cs="楷体_GB2312"/>
          <w:color w:val="auto"/>
          <w:sz w:val="24"/>
          <w:highlight w:val="none"/>
          <w:lang w:val="zh-CN"/>
        </w:rPr>
      </w:pPr>
    </w:p>
    <w:p w14:paraId="20622014">
      <w:pPr>
        <w:tabs>
          <w:tab w:val="left" w:pos="540"/>
        </w:tabs>
        <w:spacing w:line="440" w:lineRule="exact"/>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7、售后服务计划</w:t>
      </w:r>
    </w:p>
    <w:p w14:paraId="1B0242E7">
      <w:pPr>
        <w:snapToGrid w:val="0"/>
        <w:spacing w:line="560" w:lineRule="exact"/>
        <w:ind w:firstLine="839"/>
        <w:rPr>
          <w:color w:val="auto"/>
          <w:highlight w:val="none"/>
        </w:rPr>
      </w:pPr>
    </w:p>
    <w:p w14:paraId="0DB87655">
      <w:pPr>
        <w:autoSpaceDE w:val="0"/>
        <w:autoSpaceDN w:val="0"/>
        <w:adjustRightInd w:val="0"/>
        <w:spacing w:line="360" w:lineRule="auto"/>
        <w:ind w:left="1" w:firstLine="560"/>
        <w:rPr>
          <w:rFonts w:ascii="宋体" w:cs="楷体_GB2312"/>
          <w:color w:val="auto"/>
          <w:sz w:val="24"/>
          <w:highlight w:val="none"/>
          <w:lang w:val="zh-CN"/>
        </w:rPr>
      </w:pPr>
      <w:r>
        <w:rPr>
          <w:rFonts w:ascii="宋体" w:hAnsi="宋体" w:cs="楷体_GB2312"/>
          <w:color w:val="auto"/>
          <w:sz w:val="24"/>
          <w:highlight w:val="none"/>
          <w:lang w:val="zh-CN"/>
        </w:rPr>
        <w:t>1</w:t>
      </w:r>
      <w:r>
        <w:rPr>
          <w:rFonts w:hint="eastAsia" w:ascii="宋体" w:hAnsi="宋体" w:cs="楷体_GB2312"/>
          <w:color w:val="auto"/>
          <w:sz w:val="24"/>
          <w:highlight w:val="none"/>
          <w:lang w:val="zh-CN"/>
        </w:rPr>
        <w:t>、详细说明售后服务的内容、形式、时间、解决质量的响应时间、解决问题时间、单位名称、地点。</w:t>
      </w:r>
    </w:p>
    <w:p w14:paraId="6553C8B1">
      <w:pPr>
        <w:autoSpaceDE w:val="0"/>
        <w:autoSpaceDN w:val="0"/>
        <w:adjustRightInd w:val="0"/>
        <w:spacing w:line="360" w:lineRule="auto"/>
        <w:ind w:left="1" w:firstLine="560"/>
        <w:rPr>
          <w:rFonts w:ascii="宋体" w:cs="楷体_GB2312"/>
          <w:color w:val="auto"/>
          <w:sz w:val="24"/>
          <w:highlight w:val="none"/>
          <w:lang w:val="zh-CN"/>
        </w:rPr>
      </w:pPr>
      <w:r>
        <w:rPr>
          <w:rFonts w:ascii="宋体" w:hAnsi="宋体" w:cs="楷体_GB2312"/>
          <w:color w:val="auto"/>
          <w:sz w:val="24"/>
          <w:highlight w:val="none"/>
          <w:lang w:val="zh-CN"/>
        </w:rPr>
        <w:t>2</w:t>
      </w:r>
      <w:r>
        <w:rPr>
          <w:rFonts w:hint="eastAsia" w:ascii="宋体" w:hAnsi="宋体" w:cs="楷体_GB2312"/>
          <w:color w:val="auto"/>
          <w:sz w:val="24"/>
          <w:highlight w:val="none"/>
          <w:lang w:val="zh-CN"/>
        </w:rPr>
        <w:t>、质量保证措施。</w:t>
      </w:r>
    </w:p>
    <w:p w14:paraId="0CED83A0">
      <w:pPr>
        <w:autoSpaceDE w:val="0"/>
        <w:autoSpaceDN w:val="0"/>
        <w:adjustRightInd w:val="0"/>
        <w:spacing w:line="360" w:lineRule="auto"/>
        <w:ind w:left="1" w:firstLine="560"/>
        <w:rPr>
          <w:rFonts w:ascii="宋体" w:cs="楷体_GB2312"/>
          <w:color w:val="auto"/>
          <w:sz w:val="24"/>
          <w:highlight w:val="none"/>
          <w:lang w:val="zh-CN"/>
        </w:rPr>
      </w:pPr>
      <w:r>
        <w:rPr>
          <w:rFonts w:ascii="宋体" w:hAnsi="宋体" w:cs="楷体_GB2312"/>
          <w:color w:val="auto"/>
          <w:sz w:val="24"/>
          <w:highlight w:val="none"/>
          <w:lang w:val="zh-CN"/>
        </w:rPr>
        <w:t>3</w:t>
      </w:r>
      <w:r>
        <w:rPr>
          <w:rFonts w:hint="eastAsia" w:ascii="宋体" w:hAnsi="宋体" w:cs="楷体_GB2312"/>
          <w:color w:val="auto"/>
          <w:sz w:val="24"/>
          <w:highlight w:val="none"/>
          <w:lang w:val="zh-CN"/>
        </w:rPr>
        <w:t>、培训计划</w:t>
      </w:r>
    </w:p>
    <w:p w14:paraId="5FB1377D">
      <w:pPr>
        <w:autoSpaceDE w:val="0"/>
        <w:autoSpaceDN w:val="0"/>
        <w:adjustRightInd w:val="0"/>
        <w:spacing w:line="360" w:lineRule="auto"/>
        <w:ind w:left="1" w:firstLine="560"/>
        <w:rPr>
          <w:rFonts w:ascii="宋体" w:cs="楷体_GB2312"/>
          <w:color w:val="auto"/>
          <w:sz w:val="24"/>
          <w:highlight w:val="none"/>
          <w:lang w:val="zh-CN"/>
        </w:rPr>
      </w:pPr>
      <w:r>
        <w:rPr>
          <w:rFonts w:ascii="宋体" w:hAnsi="宋体" w:cs="楷体_GB2312"/>
          <w:color w:val="auto"/>
          <w:sz w:val="24"/>
          <w:highlight w:val="none"/>
          <w:lang w:val="zh-CN"/>
        </w:rPr>
        <w:t>4</w:t>
      </w:r>
      <w:r>
        <w:rPr>
          <w:rFonts w:hint="eastAsia" w:ascii="宋体" w:hAnsi="宋体" w:cs="楷体_GB2312"/>
          <w:color w:val="auto"/>
          <w:sz w:val="24"/>
          <w:highlight w:val="none"/>
          <w:lang w:val="zh-CN"/>
        </w:rPr>
        <w:t>、该项目（标段&lt;包&gt;）所提供的其他免费物品或服务。</w:t>
      </w:r>
    </w:p>
    <w:p w14:paraId="470051F6">
      <w:pPr>
        <w:autoSpaceDE w:val="0"/>
        <w:autoSpaceDN w:val="0"/>
        <w:adjustRightInd w:val="0"/>
        <w:spacing w:line="360" w:lineRule="auto"/>
        <w:ind w:left="1" w:firstLine="560"/>
        <w:rPr>
          <w:rFonts w:ascii="宋体" w:cs="楷体_GB2312"/>
          <w:color w:val="auto"/>
          <w:sz w:val="24"/>
          <w:highlight w:val="none"/>
          <w:lang w:val="zh-CN"/>
        </w:rPr>
      </w:pPr>
    </w:p>
    <w:p w14:paraId="5282C968">
      <w:pPr>
        <w:autoSpaceDE w:val="0"/>
        <w:autoSpaceDN w:val="0"/>
        <w:adjustRightInd w:val="0"/>
        <w:spacing w:line="360" w:lineRule="auto"/>
        <w:ind w:left="1" w:firstLine="560"/>
        <w:rPr>
          <w:rFonts w:ascii="宋体" w:cs="楷体_GB2312"/>
          <w:color w:val="auto"/>
          <w:sz w:val="24"/>
          <w:highlight w:val="none"/>
          <w:lang w:val="zh-CN"/>
        </w:rPr>
      </w:pPr>
    </w:p>
    <w:p w14:paraId="2E0E2A41">
      <w:pPr>
        <w:autoSpaceDE w:val="0"/>
        <w:autoSpaceDN w:val="0"/>
        <w:adjustRightInd w:val="0"/>
        <w:spacing w:line="360" w:lineRule="auto"/>
        <w:ind w:left="1" w:firstLine="560"/>
        <w:rPr>
          <w:rFonts w:ascii="宋体" w:cs="楷体_GB2312"/>
          <w:color w:val="auto"/>
          <w:sz w:val="24"/>
          <w:highlight w:val="none"/>
          <w:lang w:val="zh-CN"/>
        </w:rPr>
      </w:pPr>
    </w:p>
    <w:p w14:paraId="231D45E7">
      <w:pPr>
        <w:autoSpaceDE w:val="0"/>
        <w:autoSpaceDN w:val="0"/>
        <w:adjustRightInd w:val="0"/>
        <w:spacing w:line="360" w:lineRule="auto"/>
        <w:ind w:left="1" w:firstLine="560"/>
        <w:rPr>
          <w:rFonts w:ascii="宋体" w:cs="楷体_GB2312"/>
          <w:color w:val="auto"/>
          <w:sz w:val="24"/>
          <w:highlight w:val="none"/>
          <w:lang w:val="zh-CN"/>
        </w:rPr>
      </w:pPr>
    </w:p>
    <w:p w14:paraId="10E6CE4D">
      <w:pPr>
        <w:autoSpaceDE w:val="0"/>
        <w:autoSpaceDN w:val="0"/>
        <w:adjustRightInd w:val="0"/>
        <w:spacing w:line="360" w:lineRule="auto"/>
        <w:ind w:left="1" w:firstLine="560"/>
        <w:rPr>
          <w:rFonts w:ascii="宋体" w:cs="楷体_GB2312"/>
          <w:color w:val="auto"/>
          <w:sz w:val="24"/>
          <w:highlight w:val="none"/>
          <w:lang w:val="zh-CN"/>
        </w:rPr>
      </w:pPr>
    </w:p>
    <w:p w14:paraId="08DD03A9">
      <w:pPr>
        <w:autoSpaceDE w:val="0"/>
        <w:autoSpaceDN w:val="0"/>
        <w:adjustRightInd w:val="0"/>
        <w:spacing w:line="360" w:lineRule="auto"/>
        <w:ind w:left="1" w:firstLine="560"/>
        <w:rPr>
          <w:rFonts w:ascii="宋体" w:cs="楷体_GB2312"/>
          <w:color w:val="auto"/>
          <w:sz w:val="24"/>
          <w:highlight w:val="none"/>
          <w:lang w:val="zh-CN"/>
        </w:rPr>
      </w:pPr>
    </w:p>
    <w:p w14:paraId="1B3F90A0">
      <w:pPr>
        <w:autoSpaceDE w:val="0"/>
        <w:autoSpaceDN w:val="0"/>
        <w:adjustRightInd w:val="0"/>
        <w:spacing w:line="360" w:lineRule="auto"/>
        <w:ind w:left="1" w:firstLine="560"/>
        <w:rPr>
          <w:rFonts w:ascii="宋体" w:cs="楷体_GB2312"/>
          <w:color w:val="auto"/>
          <w:sz w:val="24"/>
          <w:highlight w:val="none"/>
          <w:lang w:val="zh-CN"/>
        </w:rPr>
      </w:pPr>
    </w:p>
    <w:p w14:paraId="2EFCD63B">
      <w:pPr>
        <w:autoSpaceDE w:val="0"/>
        <w:autoSpaceDN w:val="0"/>
        <w:adjustRightInd w:val="0"/>
        <w:spacing w:line="360" w:lineRule="auto"/>
        <w:ind w:left="1" w:firstLine="560"/>
        <w:rPr>
          <w:rFonts w:ascii="宋体" w:cs="楷体_GB2312"/>
          <w:color w:val="auto"/>
          <w:sz w:val="24"/>
          <w:highlight w:val="none"/>
          <w:lang w:val="zh-CN"/>
        </w:rPr>
      </w:pPr>
    </w:p>
    <w:p w14:paraId="64CFE1CE">
      <w:pPr>
        <w:autoSpaceDE w:val="0"/>
        <w:autoSpaceDN w:val="0"/>
        <w:adjustRightInd w:val="0"/>
        <w:spacing w:line="360" w:lineRule="auto"/>
        <w:ind w:left="1" w:firstLine="560"/>
        <w:rPr>
          <w:rFonts w:ascii="宋体" w:cs="楷体_GB2312"/>
          <w:color w:val="auto"/>
          <w:sz w:val="24"/>
          <w:highlight w:val="none"/>
          <w:lang w:val="zh-CN"/>
        </w:rPr>
      </w:pPr>
    </w:p>
    <w:p w14:paraId="607E0938">
      <w:pPr>
        <w:autoSpaceDE w:val="0"/>
        <w:autoSpaceDN w:val="0"/>
        <w:adjustRightInd w:val="0"/>
        <w:spacing w:line="360" w:lineRule="auto"/>
        <w:ind w:left="1" w:firstLine="560"/>
        <w:rPr>
          <w:rFonts w:ascii="宋体" w:cs="楷体_GB2312"/>
          <w:color w:val="auto"/>
          <w:sz w:val="24"/>
          <w:highlight w:val="none"/>
          <w:lang w:val="zh-CN"/>
        </w:rPr>
      </w:pPr>
    </w:p>
    <w:p w14:paraId="7336A292">
      <w:pPr>
        <w:autoSpaceDE w:val="0"/>
        <w:autoSpaceDN w:val="0"/>
        <w:adjustRightInd w:val="0"/>
        <w:spacing w:line="360" w:lineRule="auto"/>
        <w:ind w:left="1" w:firstLine="560"/>
        <w:rPr>
          <w:rFonts w:ascii="宋体" w:cs="楷体_GB2312"/>
          <w:color w:val="auto"/>
          <w:sz w:val="24"/>
          <w:highlight w:val="none"/>
          <w:lang w:val="zh-CN"/>
        </w:rPr>
      </w:pPr>
      <w:r>
        <w:rPr>
          <w:rFonts w:hint="eastAsia" w:ascii="宋体" w:hAnsi="宋体" w:cs="楷体_GB2312"/>
          <w:color w:val="auto"/>
          <w:sz w:val="24"/>
          <w:highlight w:val="none"/>
          <w:lang w:val="zh-CN"/>
        </w:rPr>
        <w:t>注：</w:t>
      </w:r>
    </w:p>
    <w:p w14:paraId="413D4006">
      <w:pPr>
        <w:autoSpaceDE w:val="0"/>
        <w:autoSpaceDN w:val="0"/>
        <w:adjustRightInd w:val="0"/>
        <w:spacing w:line="360" w:lineRule="auto"/>
        <w:ind w:left="1" w:firstLine="560"/>
        <w:rPr>
          <w:rFonts w:ascii="宋体" w:cs="楷体_GB2312"/>
          <w:color w:val="auto"/>
          <w:sz w:val="24"/>
          <w:highlight w:val="none"/>
          <w:lang w:val="zh-CN"/>
        </w:rPr>
      </w:pPr>
      <w:r>
        <w:rPr>
          <w:rFonts w:ascii="宋体" w:hAnsi="宋体" w:cs="楷体_GB2312"/>
          <w:color w:val="auto"/>
          <w:sz w:val="24"/>
          <w:highlight w:val="none"/>
          <w:lang w:val="zh-CN"/>
        </w:rPr>
        <w:t>1</w:t>
      </w:r>
      <w:r>
        <w:rPr>
          <w:rFonts w:hint="eastAsia" w:ascii="宋体" w:hAnsi="宋体" w:cs="楷体_GB2312"/>
          <w:color w:val="auto"/>
          <w:sz w:val="24"/>
          <w:highlight w:val="none"/>
          <w:lang w:val="zh-CN"/>
        </w:rPr>
        <w:t>、投标人应按要求详细制定出所列条款。</w:t>
      </w:r>
    </w:p>
    <w:p w14:paraId="29402B29">
      <w:pPr>
        <w:autoSpaceDE w:val="0"/>
        <w:autoSpaceDN w:val="0"/>
        <w:adjustRightInd w:val="0"/>
        <w:spacing w:line="360" w:lineRule="auto"/>
        <w:ind w:left="1" w:firstLine="560"/>
        <w:rPr>
          <w:rFonts w:ascii="宋体" w:cs="楷体_GB2312"/>
          <w:color w:val="auto"/>
          <w:sz w:val="24"/>
          <w:highlight w:val="none"/>
          <w:lang w:val="zh-CN"/>
        </w:rPr>
      </w:pPr>
      <w:r>
        <w:rPr>
          <w:rFonts w:ascii="宋体" w:hAnsi="宋体" w:cs="楷体_GB2312"/>
          <w:color w:val="auto"/>
          <w:sz w:val="24"/>
          <w:highlight w:val="none"/>
          <w:lang w:val="zh-CN"/>
        </w:rPr>
        <w:t>2</w:t>
      </w:r>
      <w:r>
        <w:rPr>
          <w:rFonts w:hint="eastAsia" w:ascii="宋体" w:hAnsi="宋体" w:cs="楷体_GB2312"/>
          <w:color w:val="auto"/>
          <w:sz w:val="24"/>
          <w:highlight w:val="none"/>
          <w:lang w:val="zh-CN"/>
        </w:rPr>
        <w:t>、“售后服务计划”按招标文件相应条款要求电子签名&lt;签</w:t>
      </w:r>
      <w:r>
        <w:rPr>
          <w:rFonts w:hint="eastAsia" w:ascii="宋体" w:hAnsi="宋体"/>
          <w:color w:val="auto"/>
          <w:sz w:val="24"/>
          <w:szCs w:val="24"/>
          <w:highlight w:val="none"/>
        </w:rPr>
        <w:t>章&gt;，未作明确要求的，由法定代表人</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章&gt;或投标人</w:t>
      </w:r>
      <w:r>
        <w:rPr>
          <w:rFonts w:hint="eastAsia" w:ascii="宋体" w:hAnsi="宋体" w:cs="楷体_GB2312"/>
          <w:color w:val="auto"/>
          <w:sz w:val="24"/>
          <w:highlight w:val="none"/>
          <w:lang w:val="zh-CN"/>
        </w:rPr>
        <w:t>电子签</w:t>
      </w:r>
      <w:r>
        <w:rPr>
          <w:rFonts w:hint="eastAsia" w:ascii="宋体" w:hAnsi="宋体"/>
          <w:color w:val="auto"/>
          <w:sz w:val="24"/>
          <w:szCs w:val="24"/>
          <w:highlight w:val="none"/>
        </w:rPr>
        <w:t>章</w:t>
      </w:r>
      <w:r>
        <w:rPr>
          <w:rFonts w:hint="eastAsia" w:ascii="宋体" w:hAnsi="宋体" w:cs="楷体_GB2312"/>
          <w:color w:val="auto"/>
          <w:sz w:val="24"/>
          <w:highlight w:val="none"/>
          <w:lang w:val="zh-CN"/>
        </w:rPr>
        <w:t>。</w:t>
      </w:r>
      <w:r>
        <w:rPr>
          <w:rFonts w:ascii="宋体" w:hAnsi="宋体" w:cs="楷体_GB2312"/>
          <w:color w:val="auto"/>
          <w:sz w:val="24"/>
          <w:highlight w:val="none"/>
          <w:lang w:val="zh-CN"/>
        </w:rPr>
        <w:t xml:space="preserve">                  </w:t>
      </w:r>
    </w:p>
    <w:p w14:paraId="73C97A63">
      <w:pPr>
        <w:snapToGrid w:val="0"/>
        <w:spacing w:line="560" w:lineRule="exact"/>
        <w:rPr>
          <w:color w:val="auto"/>
          <w:highlight w:val="none"/>
        </w:rPr>
      </w:pPr>
    </w:p>
    <w:p w14:paraId="6CEBC5FB">
      <w:pPr>
        <w:autoSpaceDE w:val="0"/>
        <w:autoSpaceDN w:val="0"/>
        <w:adjustRightInd w:val="0"/>
        <w:spacing w:line="360" w:lineRule="auto"/>
        <w:ind w:left="1" w:firstLine="560"/>
        <w:rPr>
          <w:rFonts w:ascii="宋体" w:cs="楷体_GB2312"/>
          <w:color w:val="auto"/>
          <w:sz w:val="24"/>
          <w:highlight w:val="none"/>
        </w:rPr>
      </w:pPr>
    </w:p>
    <w:p w14:paraId="0FC2CEB8">
      <w:pPr>
        <w:autoSpaceDE w:val="0"/>
        <w:autoSpaceDN w:val="0"/>
        <w:adjustRightInd w:val="0"/>
        <w:spacing w:line="360" w:lineRule="auto"/>
        <w:ind w:left="1" w:firstLine="560"/>
        <w:rPr>
          <w:rFonts w:ascii="宋体" w:cs="楷体_GB2312"/>
          <w:color w:val="auto"/>
          <w:sz w:val="24"/>
          <w:highlight w:val="none"/>
          <w:lang w:val="zh-CN"/>
        </w:rPr>
      </w:pPr>
    </w:p>
    <w:p w14:paraId="3B22EC44">
      <w:pPr>
        <w:autoSpaceDE w:val="0"/>
        <w:autoSpaceDN w:val="0"/>
        <w:adjustRightInd w:val="0"/>
        <w:spacing w:line="360" w:lineRule="auto"/>
        <w:ind w:left="1" w:firstLine="560"/>
        <w:rPr>
          <w:rFonts w:ascii="宋体" w:cs="楷体_GB2312"/>
          <w:color w:val="auto"/>
          <w:sz w:val="24"/>
          <w:highlight w:val="none"/>
          <w:lang w:val="zh-CN"/>
        </w:rPr>
      </w:pPr>
    </w:p>
    <w:p w14:paraId="18314EBB">
      <w:pPr>
        <w:autoSpaceDE w:val="0"/>
        <w:autoSpaceDN w:val="0"/>
        <w:adjustRightInd w:val="0"/>
        <w:spacing w:line="360" w:lineRule="auto"/>
        <w:ind w:left="1" w:firstLine="560"/>
        <w:rPr>
          <w:rFonts w:ascii="宋体" w:cs="楷体_GB2312"/>
          <w:color w:val="auto"/>
          <w:sz w:val="24"/>
          <w:highlight w:val="none"/>
          <w:lang w:val="zh-CN"/>
        </w:rPr>
      </w:pPr>
      <w:r>
        <w:rPr>
          <w:rFonts w:ascii="宋体" w:hAnsi="宋体" w:cs="楷体_GB2312"/>
          <w:color w:val="auto"/>
          <w:sz w:val="24"/>
          <w:highlight w:val="none"/>
          <w:lang w:val="zh-CN"/>
        </w:rPr>
        <w:t xml:space="preserve">               </w:t>
      </w:r>
    </w:p>
    <w:p w14:paraId="1DADBBAF">
      <w:pPr>
        <w:snapToGrid w:val="0"/>
        <w:spacing w:line="560" w:lineRule="exact"/>
        <w:rPr>
          <w:color w:val="auto"/>
          <w:highlight w:val="none"/>
        </w:rPr>
      </w:pPr>
    </w:p>
    <w:p w14:paraId="360D2334">
      <w:pPr>
        <w:snapToGrid w:val="0"/>
        <w:spacing w:line="560" w:lineRule="atLeast"/>
        <w:rPr>
          <w:rFonts w:ascii="宋体" w:hAnsi="宋体"/>
          <w:b/>
          <w:color w:val="auto"/>
          <w:sz w:val="32"/>
          <w:szCs w:val="32"/>
          <w:highlight w:val="none"/>
        </w:rPr>
      </w:pPr>
    </w:p>
    <w:p w14:paraId="1F041450">
      <w:pPr>
        <w:pageBreakBefore/>
        <w:tabs>
          <w:tab w:val="left" w:pos="65"/>
        </w:tabs>
        <w:spacing w:after="156" w:afterLines="50" w:line="560" w:lineRule="exact"/>
        <w:jc w:val="center"/>
        <w:rPr>
          <w:rFonts w:ascii="黑体" w:hAnsi="黑体" w:eastAsia="黑体"/>
          <w:b/>
          <w:color w:val="auto"/>
          <w:sz w:val="30"/>
          <w:szCs w:val="30"/>
          <w:highlight w:val="none"/>
        </w:rPr>
      </w:pPr>
      <w:r>
        <w:rPr>
          <w:rFonts w:ascii="宋体" w:hAnsi="宋体"/>
          <w:color w:val="auto"/>
          <w:sz w:val="24"/>
          <w:highlight w:val="none"/>
        </w:rPr>
        <w:t xml:space="preserve">   </w:t>
      </w:r>
      <w:r>
        <w:rPr>
          <w:rFonts w:hint="eastAsia" w:ascii="黑体" w:hAnsi="黑体" w:eastAsia="黑体"/>
          <w:b/>
          <w:color w:val="auto"/>
          <w:sz w:val="30"/>
          <w:szCs w:val="30"/>
          <w:highlight w:val="none"/>
        </w:rPr>
        <w:t>8、反商业贿赂承诺书</w:t>
      </w:r>
    </w:p>
    <w:p w14:paraId="2BEBED9F">
      <w:pPr>
        <w:tabs>
          <w:tab w:val="left" w:pos="65"/>
        </w:tabs>
        <w:spacing w:line="560" w:lineRule="exact"/>
        <w:jc w:val="center"/>
        <w:rPr>
          <w:rFonts w:ascii="宋体" w:hAnsi="宋体"/>
          <w:b/>
          <w:color w:val="auto"/>
          <w:sz w:val="24"/>
          <w:szCs w:val="24"/>
          <w:highlight w:val="none"/>
        </w:rPr>
      </w:pPr>
    </w:p>
    <w:p w14:paraId="375554E6">
      <w:pPr>
        <w:tabs>
          <w:tab w:val="left" w:pos="65"/>
        </w:tabs>
        <w:spacing w:line="740" w:lineRule="exact"/>
        <w:rPr>
          <w:rFonts w:ascii="宋体" w:hAnsi="宋体"/>
          <w:color w:val="auto"/>
          <w:sz w:val="24"/>
          <w:szCs w:val="24"/>
          <w:highlight w:val="none"/>
        </w:rPr>
      </w:pPr>
      <w:r>
        <w:rPr>
          <w:rFonts w:hint="eastAsia" w:ascii="宋体" w:hAnsi="宋体"/>
          <w:color w:val="auto"/>
          <w:sz w:val="24"/>
          <w:szCs w:val="24"/>
          <w:highlight w:val="none"/>
        </w:rPr>
        <w:t>致：</w:t>
      </w:r>
      <w:r>
        <w:rPr>
          <w:rFonts w:hint="eastAsia" w:ascii="宋体" w:hAnsi="宋体"/>
          <w:color w:val="auto"/>
          <w:sz w:val="24"/>
          <w:szCs w:val="24"/>
          <w:highlight w:val="none"/>
          <w:u w:val="single"/>
        </w:rPr>
        <w:t xml:space="preserve">    </w:t>
      </w:r>
      <w:r>
        <w:rPr>
          <w:rFonts w:hint="eastAsia" w:ascii="宋体" w:hAnsi="宋体"/>
          <w:color w:val="auto"/>
          <w:spacing w:val="11"/>
          <w:sz w:val="24"/>
          <w:szCs w:val="24"/>
          <w:highlight w:val="none"/>
          <w:u w:val="single"/>
        </w:rPr>
        <w:t xml:space="preserve">(采购人名称）    </w:t>
      </w:r>
    </w:p>
    <w:p w14:paraId="2F170952">
      <w:pPr>
        <w:tabs>
          <w:tab w:val="left" w:pos="65"/>
        </w:tabs>
        <w:spacing w:line="7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在项目编号为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的</w:t>
      </w:r>
      <w:r>
        <w:rPr>
          <w:rFonts w:hint="eastAsia" w:ascii="宋体" w:hAnsi="宋体"/>
          <w:color w:val="auto"/>
          <w:sz w:val="24"/>
          <w:szCs w:val="24"/>
          <w:highlight w:val="none"/>
          <w:u w:val="single"/>
        </w:rPr>
        <w:t xml:space="preserve">    （项目名称）  </w:t>
      </w:r>
      <w:r>
        <w:rPr>
          <w:rFonts w:hint="eastAsia" w:ascii="宋体" w:hAnsi="宋体"/>
          <w:color w:val="auto"/>
          <w:sz w:val="24"/>
          <w:szCs w:val="24"/>
          <w:highlight w:val="none"/>
        </w:rPr>
        <w:t xml:space="preserve"> 招标活动中，我公司保证做到：</w:t>
      </w:r>
    </w:p>
    <w:p w14:paraId="04920EA7">
      <w:pPr>
        <w:tabs>
          <w:tab w:val="left" w:pos="65"/>
        </w:tabs>
        <w:spacing w:line="7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一、公平竞争参加本次招标活动。</w:t>
      </w:r>
    </w:p>
    <w:p w14:paraId="30F95E97">
      <w:pPr>
        <w:tabs>
          <w:tab w:val="left" w:pos="65"/>
        </w:tabs>
        <w:spacing w:line="7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1F92FB9A">
      <w:pPr>
        <w:tabs>
          <w:tab w:val="left" w:pos="65"/>
        </w:tabs>
        <w:spacing w:line="7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三、若出现上述行为，我单位愿意接受相关部门按照国家法律法规等有关规定给予的处理。</w:t>
      </w:r>
    </w:p>
    <w:p w14:paraId="6B6B4FD6">
      <w:pPr>
        <w:tabs>
          <w:tab w:val="left" w:pos="65"/>
        </w:tabs>
        <w:spacing w:line="740" w:lineRule="exact"/>
        <w:rPr>
          <w:rFonts w:ascii="宋体" w:hAnsi="宋体"/>
          <w:color w:val="auto"/>
          <w:sz w:val="24"/>
          <w:szCs w:val="24"/>
          <w:highlight w:val="none"/>
        </w:rPr>
      </w:pPr>
    </w:p>
    <w:p w14:paraId="551F3B12">
      <w:pPr>
        <w:tabs>
          <w:tab w:val="left" w:pos="65"/>
        </w:tabs>
        <w:spacing w:line="740" w:lineRule="exact"/>
        <w:rPr>
          <w:rFonts w:ascii="宋体" w:hAnsi="宋体"/>
          <w:color w:val="auto"/>
          <w:sz w:val="24"/>
          <w:szCs w:val="24"/>
          <w:highlight w:val="none"/>
        </w:rPr>
      </w:pPr>
    </w:p>
    <w:p w14:paraId="78E55E29">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投标人（电子签章）：</w:t>
      </w:r>
    </w:p>
    <w:p w14:paraId="7382AF56">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法定代表人（电子签名或签章）：</w:t>
      </w:r>
    </w:p>
    <w:p w14:paraId="40C05ADD">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日期：</w:t>
      </w:r>
      <w:r>
        <w:rPr>
          <w:color w:val="auto"/>
          <w:sz w:val="24"/>
          <w:szCs w:val="24"/>
          <w:highlight w:val="none"/>
        </w:rPr>
        <w:t xml:space="preserve">  </w:t>
      </w:r>
      <w:r>
        <w:rPr>
          <w:rFonts w:hint="eastAsia"/>
          <w:color w:val="auto"/>
          <w:sz w:val="24"/>
          <w:szCs w:val="24"/>
          <w:highlight w:val="none"/>
        </w:rPr>
        <w:t>年</w:t>
      </w:r>
      <w:r>
        <w:rPr>
          <w:color w:val="auto"/>
          <w:sz w:val="24"/>
          <w:szCs w:val="24"/>
          <w:highlight w:val="none"/>
        </w:rPr>
        <w:t xml:space="preserve">   </w:t>
      </w:r>
      <w:r>
        <w:rPr>
          <w:rFonts w:hint="eastAsia"/>
          <w:color w:val="auto"/>
          <w:sz w:val="24"/>
          <w:szCs w:val="24"/>
          <w:highlight w:val="none"/>
        </w:rPr>
        <w:t>月</w:t>
      </w:r>
      <w:r>
        <w:rPr>
          <w:color w:val="auto"/>
          <w:sz w:val="24"/>
          <w:szCs w:val="24"/>
          <w:highlight w:val="none"/>
        </w:rPr>
        <w:t xml:space="preserve">   </w:t>
      </w:r>
      <w:r>
        <w:rPr>
          <w:rFonts w:hint="eastAsia"/>
          <w:color w:val="auto"/>
          <w:sz w:val="24"/>
          <w:szCs w:val="24"/>
          <w:highlight w:val="none"/>
        </w:rPr>
        <w:t>日</w:t>
      </w:r>
    </w:p>
    <w:p w14:paraId="4A3C8615">
      <w:pPr>
        <w:tabs>
          <w:tab w:val="left" w:pos="9365"/>
        </w:tabs>
        <w:spacing w:before="360" w:after="360" w:line="586" w:lineRule="atLeast"/>
        <w:ind w:right="85"/>
        <w:jc w:val="left"/>
        <w:textAlignment w:val="top"/>
        <w:rPr>
          <w:rFonts w:ascii="宋体" w:hAnsi="宋体"/>
          <w:color w:val="auto"/>
          <w:sz w:val="24"/>
          <w:szCs w:val="24"/>
          <w:highlight w:val="none"/>
        </w:rPr>
      </w:pPr>
    </w:p>
    <w:p w14:paraId="24964ADB">
      <w:pPr>
        <w:snapToGrid w:val="0"/>
        <w:spacing w:line="560" w:lineRule="exact"/>
        <w:rPr>
          <w:rFonts w:ascii="宋体"/>
          <w:color w:val="auto"/>
          <w:sz w:val="24"/>
          <w:highlight w:val="none"/>
        </w:rPr>
      </w:pPr>
      <w:r>
        <w:rPr>
          <w:rFonts w:ascii="宋体"/>
          <w:color w:val="auto"/>
          <w:sz w:val="24"/>
          <w:highlight w:val="none"/>
        </w:rPr>
        <w:br w:type="page"/>
      </w:r>
    </w:p>
    <w:p w14:paraId="3F4B08CC">
      <w:pPr>
        <w:tabs>
          <w:tab w:val="left" w:pos="540"/>
        </w:tabs>
        <w:spacing w:line="440" w:lineRule="exact"/>
        <w:jc w:val="center"/>
        <w:rPr>
          <w:color w:val="auto"/>
          <w:sz w:val="28"/>
          <w:highlight w:val="none"/>
        </w:rPr>
      </w:pPr>
      <w:r>
        <w:rPr>
          <w:rFonts w:hint="eastAsia" w:ascii="黑体" w:hAnsi="黑体" w:eastAsia="黑体"/>
          <w:b/>
          <w:color w:val="auto"/>
          <w:sz w:val="30"/>
          <w:szCs w:val="30"/>
          <w:highlight w:val="none"/>
        </w:rPr>
        <w:t>9、履约承诺书</w:t>
      </w:r>
    </w:p>
    <w:p w14:paraId="052434D3">
      <w:pPr>
        <w:adjustRightInd w:val="0"/>
        <w:snapToGrid w:val="0"/>
        <w:spacing w:before="156" w:beforeLines="50" w:line="300" w:lineRule="auto"/>
        <w:ind w:right="56" w:firstLine="555"/>
        <w:rPr>
          <w:color w:val="auto"/>
          <w:sz w:val="24"/>
          <w:highlight w:val="none"/>
        </w:rPr>
      </w:pPr>
      <w:r>
        <w:rPr>
          <w:rFonts w:hint="eastAsia"/>
          <w:color w:val="auto"/>
          <w:sz w:val="24"/>
          <w:highlight w:val="none"/>
        </w:rPr>
        <w:t>一、我单位承诺：</w:t>
      </w:r>
    </w:p>
    <w:p w14:paraId="6DCB09D1">
      <w:pPr>
        <w:adjustRightInd w:val="0"/>
        <w:snapToGrid w:val="0"/>
        <w:spacing w:before="156" w:beforeLines="50" w:line="300" w:lineRule="auto"/>
        <w:ind w:firstLine="555"/>
        <w:rPr>
          <w:color w:val="auto"/>
          <w:sz w:val="24"/>
          <w:highlight w:val="none"/>
        </w:rPr>
      </w:pPr>
      <w:r>
        <w:rPr>
          <w:rFonts w:hint="eastAsia"/>
          <w:color w:val="auto"/>
          <w:sz w:val="24"/>
          <w:highlight w:val="none"/>
        </w:rPr>
        <w:t>（一）我单位已详细阅读并完全理解、同意招标文件的全部内容，包括修改补充文件以及全部参考资料和有关附件；除我单位在招标文件规定期间内书面提出的疑问外，我单位放弃对这方面不明及误解的权力，并严格按采购人确定的技术及商务要求等履行。</w:t>
      </w:r>
    </w:p>
    <w:p w14:paraId="1D12FF37">
      <w:pPr>
        <w:tabs>
          <w:tab w:val="left" w:pos="9354"/>
        </w:tabs>
        <w:adjustRightInd w:val="0"/>
        <w:snapToGrid w:val="0"/>
        <w:spacing w:before="156" w:beforeLines="50" w:line="300" w:lineRule="auto"/>
        <w:ind w:firstLine="480" w:firstLineChars="200"/>
        <w:rPr>
          <w:color w:val="auto"/>
          <w:sz w:val="24"/>
          <w:highlight w:val="none"/>
        </w:rPr>
      </w:pPr>
      <w:r>
        <w:rPr>
          <w:rFonts w:hint="eastAsia"/>
          <w:color w:val="auto"/>
          <w:sz w:val="24"/>
          <w:highlight w:val="none"/>
        </w:rPr>
        <w:t>（二）我单位开标前已详细勘察现场，并按采购人现场条件及采购要求编制投标报价；我单位的投标报价括包括文件所述报价组成的所有内容、并包括招标文件未列明而与采购项目相关的、必须的所有款项及费用等达到交付使用及验收条件的所有一切风险、责任和义务的费用。</w:t>
      </w:r>
    </w:p>
    <w:p w14:paraId="5B77088E">
      <w:pPr>
        <w:tabs>
          <w:tab w:val="left" w:pos="9354"/>
        </w:tabs>
        <w:adjustRightInd w:val="0"/>
        <w:snapToGrid w:val="0"/>
        <w:spacing w:before="156" w:beforeLines="50" w:line="300" w:lineRule="auto"/>
        <w:ind w:firstLine="480" w:firstLineChars="200"/>
        <w:rPr>
          <w:color w:val="auto"/>
          <w:sz w:val="24"/>
          <w:highlight w:val="none"/>
        </w:rPr>
      </w:pPr>
      <w:r>
        <w:rPr>
          <w:rFonts w:hint="eastAsia"/>
          <w:color w:val="auto"/>
          <w:sz w:val="24"/>
          <w:highlight w:val="none"/>
        </w:rPr>
        <w:t>我单位保证按招标文件要求及投标承诺的质量诚信履约。</w:t>
      </w:r>
    </w:p>
    <w:p w14:paraId="6CB8B4B0">
      <w:pPr>
        <w:tabs>
          <w:tab w:val="left" w:pos="9354"/>
        </w:tabs>
        <w:adjustRightInd w:val="0"/>
        <w:snapToGrid w:val="0"/>
        <w:spacing w:before="156" w:beforeLines="50" w:line="300" w:lineRule="auto"/>
        <w:ind w:firstLine="480" w:firstLineChars="200"/>
        <w:rPr>
          <w:color w:val="auto"/>
          <w:sz w:val="24"/>
          <w:highlight w:val="none"/>
        </w:rPr>
      </w:pPr>
      <w:r>
        <w:rPr>
          <w:rFonts w:hint="eastAsia"/>
          <w:color w:val="auto"/>
          <w:sz w:val="24"/>
          <w:highlight w:val="none"/>
        </w:rPr>
        <w:t>（三）我单位保证在招标文件要求的时间内按期、保质完成中标项目。我单位在推荐中标结果公示后，将积极、主动的与采购人联系合同签订事宜，合同签订中如有任何的问题，我单位保证及时书面反映情况，否则视为我单位责任、按违约处理。</w:t>
      </w:r>
    </w:p>
    <w:p w14:paraId="0E268F2A">
      <w:pPr>
        <w:tabs>
          <w:tab w:val="left" w:pos="9354"/>
        </w:tabs>
        <w:adjustRightInd w:val="0"/>
        <w:snapToGrid w:val="0"/>
        <w:spacing w:before="156" w:beforeLines="50" w:line="300" w:lineRule="auto"/>
        <w:ind w:firstLine="480" w:firstLineChars="200"/>
        <w:rPr>
          <w:color w:val="auto"/>
          <w:sz w:val="24"/>
          <w:highlight w:val="none"/>
        </w:rPr>
      </w:pPr>
      <w:r>
        <w:rPr>
          <w:rFonts w:hint="eastAsia"/>
          <w:color w:val="auto"/>
          <w:sz w:val="24"/>
          <w:highlight w:val="none"/>
        </w:rPr>
        <w:t>二、我单位承诺：</w:t>
      </w:r>
    </w:p>
    <w:p w14:paraId="49E8317B">
      <w:pPr>
        <w:tabs>
          <w:tab w:val="left" w:pos="9354"/>
        </w:tabs>
        <w:adjustRightInd w:val="0"/>
        <w:snapToGrid w:val="0"/>
        <w:spacing w:before="156" w:beforeLines="50" w:line="300" w:lineRule="auto"/>
        <w:ind w:firstLine="480" w:firstLineChars="200"/>
        <w:rPr>
          <w:color w:val="auto"/>
          <w:sz w:val="24"/>
          <w:highlight w:val="none"/>
        </w:rPr>
      </w:pPr>
      <w:r>
        <w:rPr>
          <w:rFonts w:hint="eastAsia"/>
          <w:color w:val="auto"/>
          <w:sz w:val="24"/>
          <w:highlight w:val="none"/>
        </w:rPr>
        <w:t>除法律规定的不可抗力因素外，我单位中标后以任何理由（包括违背上述承诺的事项）提出不能满足招标文件技术、交付（实施）期等要求或不能实现投标承诺的或提出变更的，我单位将无条件接受违约处理、并放弃我单位中标资格。我单位知悉违约责任及其处理，并无条件接受：</w:t>
      </w:r>
      <w:r>
        <w:rPr>
          <w:rFonts w:hint="eastAsia" w:ascii="宋体" w:hAnsi="宋体"/>
          <w:color w:val="auto"/>
          <w:sz w:val="24"/>
          <w:szCs w:val="24"/>
          <w:highlight w:val="none"/>
        </w:rPr>
        <w:t>依据招标文件“第三章</w:t>
      </w:r>
      <w:r>
        <w:rPr>
          <w:rFonts w:hint="eastAsia" w:ascii="宋体" w:hAnsi="宋体" w:cs="楷体_GB2312"/>
          <w:color w:val="auto"/>
          <w:sz w:val="24"/>
          <w:szCs w:val="22"/>
          <w:highlight w:val="none"/>
        </w:rPr>
        <w:t>3.5.5 违背承诺的责任追究措施</w:t>
      </w:r>
      <w:r>
        <w:rPr>
          <w:rFonts w:hint="eastAsia" w:ascii="宋体" w:hAnsi="宋体"/>
          <w:color w:val="auto"/>
          <w:sz w:val="24"/>
          <w:szCs w:val="24"/>
          <w:highlight w:val="none"/>
        </w:rPr>
        <w:t>”</w:t>
      </w:r>
      <w:r>
        <w:rPr>
          <w:rFonts w:hint="eastAsia" w:ascii="宋体" w:hAnsi="宋体" w:cs="楷体_GB2312"/>
          <w:color w:val="auto"/>
          <w:sz w:val="24"/>
          <w:szCs w:val="22"/>
          <w:highlight w:val="none"/>
        </w:rPr>
        <w:t>承担相应法律责任及违约责任。</w:t>
      </w:r>
      <w:r>
        <w:rPr>
          <w:rFonts w:hint="eastAsia"/>
          <w:color w:val="auto"/>
          <w:sz w:val="24"/>
          <w:highlight w:val="none"/>
        </w:rPr>
        <w:t>情节严重的，由财政部门列入不良行为记录名单，在一至三年内禁止参加政府采购活动，并予以通报，处以罚金，给采购人及他人造成损失的，承担相应的赔偿责任。</w:t>
      </w:r>
    </w:p>
    <w:p w14:paraId="6D3DB013">
      <w:pPr>
        <w:tabs>
          <w:tab w:val="left" w:pos="9354"/>
        </w:tabs>
        <w:adjustRightInd w:val="0"/>
        <w:snapToGrid w:val="0"/>
        <w:spacing w:before="156" w:beforeLines="50" w:line="300" w:lineRule="auto"/>
        <w:ind w:firstLine="480" w:firstLineChars="200"/>
        <w:rPr>
          <w:color w:val="auto"/>
          <w:sz w:val="24"/>
          <w:highlight w:val="none"/>
        </w:rPr>
      </w:pPr>
    </w:p>
    <w:p w14:paraId="2B88C07D">
      <w:pPr>
        <w:tabs>
          <w:tab w:val="left" w:pos="9354"/>
        </w:tabs>
        <w:adjustRightInd w:val="0"/>
        <w:snapToGrid w:val="0"/>
        <w:spacing w:before="156" w:beforeLines="50" w:line="300" w:lineRule="auto"/>
        <w:ind w:firstLine="480" w:firstLineChars="200"/>
        <w:rPr>
          <w:color w:val="auto"/>
          <w:sz w:val="24"/>
          <w:highlight w:val="none"/>
        </w:rPr>
      </w:pPr>
    </w:p>
    <w:p w14:paraId="0800CFDF">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投标人（电子签</w:t>
      </w:r>
      <w:r>
        <w:rPr>
          <w:rFonts w:hint="eastAsia" w:ascii="宋体" w:hAnsi="宋体"/>
          <w:color w:val="auto"/>
          <w:sz w:val="24"/>
          <w:szCs w:val="24"/>
          <w:highlight w:val="none"/>
        </w:rPr>
        <w:t>章</w:t>
      </w:r>
      <w:r>
        <w:rPr>
          <w:rFonts w:hint="eastAsia"/>
          <w:color w:val="auto"/>
          <w:sz w:val="24"/>
          <w:szCs w:val="24"/>
          <w:highlight w:val="none"/>
        </w:rPr>
        <w:t>）：</w:t>
      </w:r>
    </w:p>
    <w:p w14:paraId="3D23F5ED">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法定代表人（电子签名或签章）：</w:t>
      </w:r>
    </w:p>
    <w:p w14:paraId="6B8F5BA0">
      <w:pPr>
        <w:autoSpaceDE w:val="0"/>
        <w:autoSpaceDN w:val="0"/>
        <w:adjustRightInd w:val="0"/>
        <w:spacing w:line="360" w:lineRule="auto"/>
        <w:jc w:val="left"/>
        <w:rPr>
          <w:rFonts w:eastAsia="方正黑体简体"/>
          <w:b/>
          <w:color w:val="auto"/>
          <w:sz w:val="30"/>
          <w:szCs w:val="30"/>
          <w:highlight w:val="none"/>
        </w:rPr>
      </w:pPr>
      <w:r>
        <w:rPr>
          <w:rFonts w:hint="eastAsia" w:ascii="宋体" w:hAnsi="宋体"/>
          <w:color w:val="auto"/>
          <w:spacing w:val="8"/>
          <w:sz w:val="24"/>
          <w:highlight w:val="none"/>
        </w:rPr>
        <w:t>日期</w:t>
      </w:r>
      <w:r>
        <w:rPr>
          <w:rFonts w:ascii="宋体" w:hAnsi="宋体"/>
          <w:color w:val="auto"/>
          <w:spacing w:val="8"/>
          <w:sz w:val="24"/>
          <w:highlight w:val="none"/>
        </w:rPr>
        <w:t xml:space="preserve"> </w:t>
      </w:r>
      <w:r>
        <w:rPr>
          <w:rFonts w:hint="eastAsia" w:ascii="宋体" w:hAnsi="宋体"/>
          <w:color w:val="auto"/>
          <w:spacing w:val="8"/>
          <w:sz w:val="24"/>
          <w:highlight w:val="none"/>
        </w:rPr>
        <w:t>：</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14:paraId="25B23152">
      <w:pPr>
        <w:spacing w:line="240" w:lineRule="auto"/>
        <w:jc w:val="left"/>
        <w:textAlignment w:val="auto"/>
        <w:rPr>
          <w:rFonts w:ascii="宋体"/>
          <w:color w:val="auto"/>
          <w:sz w:val="24"/>
          <w:szCs w:val="24"/>
          <w:highlight w:val="none"/>
        </w:rPr>
      </w:pPr>
      <w:r>
        <w:rPr>
          <w:rFonts w:eastAsia="方正黑体简体"/>
          <w:b/>
          <w:color w:val="auto"/>
          <w:sz w:val="30"/>
          <w:szCs w:val="30"/>
          <w:highlight w:val="none"/>
        </w:rPr>
        <w:br w:type="page"/>
      </w:r>
    </w:p>
    <w:p w14:paraId="28DC110E">
      <w:pPr>
        <w:autoSpaceDE w:val="0"/>
        <w:autoSpaceDN w:val="0"/>
        <w:adjustRightInd w:val="0"/>
        <w:spacing w:line="360" w:lineRule="auto"/>
        <w:rPr>
          <w:rFonts w:ascii="黑体" w:hAnsi="黑体" w:eastAsia="黑体"/>
          <w:b/>
          <w:color w:val="auto"/>
          <w:sz w:val="30"/>
          <w:szCs w:val="30"/>
          <w:highlight w:val="none"/>
        </w:rPr>
      </w:pPr>
      <w:r>
        <w:rPr>
          <w:rFonts w:hint="eastAsia" w:ascii="黑体" w:hAnsi="黑体" w:eastAsia="黑体"/>
          <w:b/>
          <w:color w:val="auto"/>
          <w:sz w:val="30"/>
          <w:szCs w:val="30"/>
          <w:highlight w:val="none"/>
        </w:rPr>
        <w:t>1</w:t>
      </w:r>
      <w:r>
        <w:rPr>
          <w:rFonts w:ascii="黑体" w:hAnsi="黑体" w:eastAsia="黑体"/>
          <w:b/>
          <w:color w:val="auto"/>
          <w:sz w:val="30"/>
          <w:szCs w:val="30"/>
          <w:highlight w:val="none"/>
        </w:rPr>
        <w:t>0</w:t>
      </w:r>
      <w:r>
        <w:rPr>
          <w:rFonts w:hint="eastAsia" w:ascii="黑体" w:hAnsi="黑体" w:eastAsia="黑体"/>
          <w:b/>
          <w:color w:val="auto"/>
          <w:sz w:val="30"/>
          <w:szCs w:val="30"/>
          <w:highlight w:val="none"/>
        </w:rPr>
        <w:t>、招标项目要求及采购需求所需的其他材料</w:t>
      </w:r>
    </w:p>
    <w:p w14:paraId="0BDC3FE0">
      <w:pPr>
        <w:widowControl w:val="0"/>
        <w:snapToGrid w:val="0"/>
        <w:spacing w:line="560" w:lineRule="exact"/>
        <w:ind w:firstLine="555"/>
        <w:rPr>
          <w:rFonts w:ascii="宋体" w:hAnsi="宋体"/>
          <w:color w:val="auto"/>
          <w:sz w:val="24"/>
          <w:szCs w:val="24"/>
          <w:highlight w:val="none"/>
        </w:rPr>
      </w:pPr>
      <w:r>
        <w:rPr>
          <w:rFonts w:hint="eastAsia" w:ascii="宋体" w:hAnsi="宋体"/>
          <w:color w:val="auto"/>
          <w:sz w:val="24"/>
          <w:szCs w:val="24"/>
          <w:highlight w:val="none"/>
        </w:rPr>
        <w:t>（按条款需要填列；并按条款要求电子签名&lt;签章&gt;。条款中对电子签名&lt;签章&gt;未作明确要求的，由法定代表人电子签名</w:t>
      </w:r>
      <w:r>
        <w:rPr>
          <w:rFonts w:hint="eastAsia" w:ascii="宋体" w:hAnsi="宋体" w:cs="楷体_GB2312"/>
          <w:color w:val="auto"/>
          <w:sz w:val="24"/>
          <w:highlight w:val="none"/>
          <w:lang w:val="zh-CN"/>
        </w:rPr>
        <w:t>&lt;签</w:t>
      </w:r>
      <w:r>
        <w:rPr>
          <w:rFonts w:hint="eastAsia" w:ascii="宋体" w:hAnsi="宋体"/>
          <w:color w:val="auto"/>
          <w:sz w:val="24"/>
          <w:szCs w:val="24"/>
          <w:highlight w:val="none"/>
        </w:rPr>
        <w:t>章&gt;或投标人电子签章）</w:t>
      </w:r>
    </w:p>
    <w:p w14:paraId="1E89CDF0">
      <w:pPr>
        <w:widowControl w:val="0"/>
        <w:snapToGrid w:val="0"/>
        <w:spacing w:line="560" w:lineRule="exact"/>
        <w:ind w:firstLine="555"/>
        <w:rPr>
          <w:rFonts w:ascii="宋体" w:hAnsi="宋体"/>
          <w:color w:val="auto"/>
          <w:sz w:val="24"/>
          <w:szCs w:val="24"/>
          <w:highlight w:val="none"/>
        </w:rPr>
      </w:pPr>
      <w:r>
        <w:rPr>
          <w:rFonts w:hint="eastAsia" w:ascii="宋体" w:hAnsi="宋体"/>
          <w:color w:val="auto"/>
          <w:sz w:val="24"/>
          <w:szCs w:val="24"/>
          <w:highlight w:val="none"/>
        </w:rPr>
        <w:t>如采购产品属于政府强制采购品目清单的，投标文件中应当提供相应的认证证书，认证证书应当为国家确定的认证机构出具、且应处于有效期之内。不符合的、为无效投标。</w:t>
      </w:r>
    </w:p>
    <w:p w14:paraId="065483E4">
      <w:pPr>
        <w:widowControl w:val="0"/>
        <w:snapToGrid w:val="0"/>
        <w:spacing w:line="560" w:lineRule="exact"/>
        <w:ind w:firstLine="555"/>
        <w:rPr>
          <w:rFonts w:ascii="宋体"/>
          <w:color w:val="auto"/>
          <w:sz w:val="24"/>
          <w:szCs w:val="24"/>
          <w:highlight w:val="none"/>
        </w:rPr>
      </w:pPr>
    </w:p>
    <w:p w14:paraId="233094CC">
      <w:pPr>
        <w:autoSpaceDE w:val="0"/>
        <w:autoSpaceDN w:val="0"/>
        <w:adjustRightInd w:val="0"/>
        <w:spacing w:line="360" w:lineRule="auto"/>
        <w:jc w:val="center"/>
        <w:rPr>
          <w:rFonts w:eastAsia="方正黑体简体"/>
          <w:b/>
          <w:color w:val="auto"/>
          <w:sz w:val="30"/>
          <w:szCs w:val="30"/>
          <w:highlight w:val="none"/>
        </w:rPr>
      </w:pPr>
    </w:p>
    <w:p w14:paraId="3B1E7485">
      <w:pPr>
        <w:autoSpaceDE w:val="0"/>
        <w:autoSpaceDN w:val="0"/>
        <w:adjustRightInd w:val="0"/>
        <w:spacing w:line="360" w:lineRule="auto"/>
        <w:rPr>
          <w:rFonts w:ascii="黑体" w:hAnsi="黑体" w:eastAsia="黑体"/>
          <w:b/>
          <w:color w:val="auto"/>
          <w:sz w:val="30"/>
          <w:szCs w:val="30"/>
          <w:highlight w:val="none"/>
        </w:rPr>
      </w:pPr>
      <w:r>
        <w:rPr>
          <w:rFonts w:hint="eastAsia" w:ascii="黑体" w:hAnsi="黑体" w:eastAsia="黑体"/>
          <w:b/>
          <w:color w:val="auto"/>
          <w:sz w:val="30"/>
          <w:szCs w:val="30"/>
          <w:highlight w:val="none"/>
        </w:rPr>
        <w:t>1</w:t>
      </w:r>
      <w:r>
        <w:rPr>
          <w:rFonts w:ascii="黑体" w:hAnsi="黑体" w:eastAsia="黑体"/>
          <w:b/>
          <w:color w:val="auto"/>
          <w:sz w:val="30"/>
          <w:szCs w:val="30"/>
          <w:highlight w:val="none"/>
        </w:rPr>
        <w:t>1</w:t>
      </w:r>
      <w:r>
        <w:rPr>
          <w:rFonts w:hint="eastAsia" w:ascii="黑体" w:hAnsi="黑体" w:eastAsia="黑体"/>
          <w:b/>
          <w:color w:val="auto"/>
          <w:sz w:val="30"/>
          <w:szCs w:val="30"/>
          <w:highlight w:val="none"/>
        </w:rPr>
        <w:t>、投标人须知所需的其他材料</w:t>
      </w:r>
    </w:p>
    <w:p w14:paraId="7A4F60FC">
      <w:pPr>
        <w:widowControl w:val="0"/>
        <w:snapToGrid w:val="0"/>
        <w:spacing w:line="560" w:lineRule="exact"/>
        <w:ind w:firstLine="555"/>
        <w:rPr>
          <w:rFonts w:ascii="宋体"/>
          <w:color w:val="auto"/>
          <w:sz w:val="24"/>
          <w:szCs w:val="24"/>
          <w:highlight w:val="none"/>
        </w:rPr>
      </w:pPr>
      <w:r>
        <w:rPr>
          <w:rFonts w:hint="eastAsia" w:ascii="宋体" w:hAnsi="宋体"/>
          <w:color w:val="auto"/>
          <w:sz w:val="24"/>
          <w:szCs w:val="24"/>
          <w:highlight w:val="none"/>
        </w:rPr>
        <w:t>（按条款需要填列；并按条款要求</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章&gt;。条款中对</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章&gt;未作明确要求的，由法定代表人</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章&gt;或投标人</w:t>
      </w:r>
      <w:r>
        <w:rPr>
          <w:rFonts w:hint="eastAsia" w:ascii="宋体" w:hAnsi="宋体" w:cs="楷体_GB2312"/>
          <w:color w:val="auto"/>
          <w:sz w:val="24"/>
          <w:highlight w:val="none"/>
          <w:lang w:val="zh-CN"/>
        </w:rPr>
        <w:t>电子签</w:t>
      </w:r>
      <w:r>
        <w:rPr>
          <w:rFonts w:hint="eastAsia" w:ascii="宋体" w:hAnsi="宋体"/>
          <w:color w:val="auto"/>
          <w:sz w:val="24"/>
          <w:szCs w:val="24"/>
          <w:highlight w:val="none"/>
        </w:rPr>
        <w:t>章）</w:t>
      </w:r>
    </w:p>
    <w:p w14:paraId="5A044018">
      <w:pPr>
        <w:autoSpaceDE w:val="0"/>
        <w:autoSpaceDN w:val="0"/>
        <w:adjustRightInd w:val="0"/>
        <w:spacing w:line="360" w:lineRule="auto"/>
        <w:jc w:val="center"/>
        <w:rPr>
          <w:rFonts w:ascii="宋体"/>
          <w:color w:val="auto"/>
          <w:sz w:val="24"/>
          <w:szCs w:val="24"/>
          <w:highlight w:val="none"/>
        </w:rPr>
      </w:pPr>
    </w:p>
    <w:p w14:paraId="7812AEDD">
      <w:pPr>
        <w:autoSpaceDE w:val="0"/>
        <w:autoSpaceDN w:val="0"/>
        <w:adjustRightInd w:val="0"/>
        <w:spacing w:line="360" w:lineRule="auto"/>
        <w:jc w:val="center"/>
        <w:rPr>
          <w:rFonts w:eastAsia="方正黑体简体"/>
          <w:b/>
          <w:color w:val="auto"/>
          <w:sz w:val="30"/>
          <w:szCs w:val="30"/>
          <w:highlight w:val="none"/>
        </w:rPr>
      </w:pPr>
    </w:p>
    <w:p w14:paraId="13BF699E">
      <w:pPr>
        <w:autoSpaceDE w:val="0"/>
        <w:autoSpaceDN w:val="0"/>
        <w:adjustRightInd w:val="0"/>
        <w:spacing w:line="360" w:lineRule="auto"/>
        <w:rPr>
          <w:rFonts w:ascii="黑体" w:hAnsi="黑体" w:eastAsia="黑体"/>
          <w:b/>
          <w:color w:val="auto"/>
          <w:sz w:val="30"/>
          <w:szCs w:val="30"/>
          <w:highlight w:val="none"/>
        </w:rPr>
      </w:pPr>
      <w:r>
        <w:rPr>
          <w:rFonts w:hint="eastAsia" w:ascii="黑体" w:hAnsi="黑体" w:eastAsia="黑体"/>
          <w:b/>
          <w:color w:val="auto"/>
          <w:sz w:val="30"/>
          <w:szCs w:val="30"/>
          <w:highlight w:val="none"/>
        </w:rPr>
        <w:t>1</w:t>
      </w:r>
      <w:r>
        <w:rPr>
          <w:rFonts w:ascii="黑体" w:hAnsi="黑体" w:eastAsia="黑体"/>
          <w:b/>
          <w:color w:val="auto"/>
          <w:sz w:val="30"/>
          <w:szCs w:val="30"/>
          <w:highlight w:val="none"/>
        </w:rPr>
        <w:t>2</w:t>
      </w:r>
      <w:r>
        <w:rPr>
          <w:rFonts w:hint="eastAsia" w:ascii="黑体" w:hAnsi="黑体" w:eastAsia="黑体"/>
          <w:b/>
          <w:color w:val="auto"/>
          <w:sz w:val="30"/>
          <w:szCs w:val="30"/>
          <w:highlight w:val="none"/>
        </w:rPr>
        <w:t>、评标办法所需的其他材料</w:t>
      </w:r>
    </w:p>
    <w:p w14:paraId="6229F0AA">
      <w:pPr>
        <w:widowControl w:val="0"/>
        <w:snapToGrid w:val="0"/>
        <w:spacing w:line="560" w:lineRule="exact"/>
        <w:ind w:firstLine="555"/>
        <w:rPr>
          <w:rFonts w:ascii="宋体"/>
          <w:color w:val="auto"/>
          <w:sz w:val="24"/>
          <w:szCs w:val="24"/>
          <w:highlight w:val="none"/>
        </w:rPr>
      </w:pPr>
      <w:r>
        <w:rPr>
          <w:rFonts w:hint="eastAsia" w:ascii="宋体" w:hAnsi="宋体"/>
          <w:color w:val="auto"/>
          <w:sz w:val="24"/>
          <w:szCs w:val="24"/>
          <w:highlight w:val="none"/>
        </w:rPr>
        <w:t>（按条款需要填列；并按条款要求</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章&gt;。条款中对</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章&gt;未作明确要求的，由法定代表人</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章&gt;或投标人</w:t>
      </w:r>
      <w:r>
        <w:rPr>
          <w:rFonts w:hint="eastAsia" w:ascii="宋体" w:hAnsi="宋体" w:cs="楷体_GB2312"/>
          <w:color w:val="auto"/>
          <w:sz w:val="24"/>
          <w:highlight w:val="none"/>
          <w:lang w:val="zh-CN"/>
        </w:rPr>
        <w:t>电子签</w:t>
      </w:r>
      <w:r>
        <w:rPr>
          <w:rFonts w:hint="eastAsia" w:ascii="宋体" w:hAnsi="宋体"/>
          <w:color w:val="auto"/>
          <w:sz w:val="24"/>
          <w:szCs w:val="24"/>
          <w:highlight w:val="none"/>
        </w:rPr>
        <w:t>章）</w:t>
      </w:r>
    </w:p>
    <w:p w14:paraId="76C157B9">
      <w:pPr>
        <w:autoSpaceDE w:val="0"/>
        <w:autoSpaceDN w:val="0"/>
        <w:adjustRightInd w:val="0"/>
        <w:spacing w:line="360" w:lineRule="auto"/>
        <w:rPr>
          <w:rFonts w:ascii="宋体"/>
          <w:color w:val="auto"/>
          <w:sz w:val="24"/>
          <w:szCs w:val="24"/>
          <w:highlight w:val="none"/>
        </w:rPr>
      </w:pPr>
    </w:p>
    <w:p w14:paraId="5479D015">
      <w:pPr>
        <w:autoSpaceDE w:val="0"/>
        <w:autoSpaceDN w:val="0"/>
        <w:adjustRightInd w:val="0"/>
        <w:spacing w:line="360" w:lineRule="auto"/>
        <w:rPr>
          <w:rFonts w:ascii="宋体"/>
          <w:color w:val="auto"/>
          <w:sz w:val="24"/>
          <w:szCs w:val="24"/>
          <w:highlight w:val="none"/>
        </w:rPr>
      </w:pPr>
    </w:p>
    <w:p w14:paraId="655CA2DA">
      <w:pPr>
        <w:widowControl w:val="0"/>
        <w:snapToGrid w:val="0"/>
        <w:spacing w:line="560" w:lineRule="exact"/>
        <w:rPr>
          <w:rFonts w:ascii="黑体" w:hAnsi="黑体" w:eastAsia="黑体"/>
          <w:b/>
          <w:color w:val="auto"/>
          <w:sz w:val="30"/>
          <w:szCs w:val="30"/>
          <w:highlight w:val="none"/>
        </w:rPr>
      </w:pPr>
      <w:r>
        <w:rPr>
          <w:rFonts w:hint="eastAsia" w:ascii="黑体" w:hAnsi="黑体" w:eastAsia="黑体"/>
          <w:b/>
          <w:color w:val="auto"/>
          <w:sz w:val="30"/>
          <w:szCs w:val="30"/>
          <w:highlight w:val="none"/>
        </w:rPr>
        <w:t>12</w:t>
      </w:r>
      <w:r>
        <w:rPr>
          <w:rFonts w:ascii="黑体" w:hAnsi="黑体" w:eastAsia="黑体"/>
          <w:b/>
          <w:color w:val="auto"/>
          <w:sz w:val="30"/>
          <w:szCs w:val="30"/>
          <w:highlight w:val="none"/>
        </w:rPr>
        <w:t>-</w:t>
      </w:r>
      <w:r>
        <w:rPr>
          <w:rFonts w:hint="eastAsia" w:ascii="黑体" w:hAnsi="黑体" w:eastAsia="黑体"/>
          <w:b/>
          <w:color w:val="auto"/>
          <w:sz w:val="30"/>
          <w:szCs w:val="30"/>
          <w:highlight w:val="none"/>
        </w:rPr>
        <w:t>1、其它材料</w:t>
      </w:r>
    </w:p>
    <w:p w14:paraId="2654361E">
      <w:pPr>
        <w:autoSpaceDE w:val="0"/>
        <w:autoSpaceDN w:val="0"/>
        <w:adjustRightInd w:val="0"/>
        <w:spacing w:line="360" w:lineRule="auto"/>
        <w:rPr>
          <w:rFonts w:ascii="宋体"/>
          <w:color w:val="auto"/>
          <w:sz w:val="24"/>
          <w:szCs w:val="24"/>
          <w:highlight w:val="none"/>
        </w:rPr>
      </w:pPr>
    </w:p>
    <w:p w14:paraId="23824819">
      <w:pPr>
        <w:autoSpaceDE w:val="0"/>
        <w:autoSpaceDN w:val="0"/>
        <w:adjustRightInd w:val="0"/>
        <w:spacing w:line="360" w:lineRule="auto"/>
        <w:rPr>
          <w:rFonts w:ascii="宋体"/>
          <w:color w:val="auto"/>
          <w:sz w:val="24"/>
          <w:szCs w:val="24"/>
          <w:highlight w:val="none"/>
        </w:rPr>
      </w:pPr>
      <w:r>
        <w:rPr>
          <w:rFonts w:ascii="宋体"/>
          <w:color w:val="auto"/>
          <w:sz w:val="24"/>
          <w:szCs w:val="24"/>
          <w:highlight w:val="none"/>
        </w:rPr>
        <w:br w:type="page"/>
      </w:r>
    </w:p>
    <w:p w14:paraId="6DEA70B9">
      <w:pPr>
        <w:widowControl w:val="0"/>
        <w:snapToGrid w:val="0"/>
        <w:spacing w:line="560" w:lineRule="exact"/>
        <w:rPr>
          <w:rFonts w:ascii="黑体" w:hAnsi="黑体" w:eastAsia="黑体"/>
          <w:b/>
          <w:color w:val="auto"/>
          <w:sz w:val="30"/>
          <w:szCs w:val="30"/>
          <w:highlight w:val="none"/>
        </w:rPr>
      </w:pPr>
      <w:r>
        <w:rPr>
          <w:rFonts w:hint="eastAsia" w:ascii="黑体" w:hAnsi="黑体" w:eastAsia="黑体"/>
          <w:b/>
          <w:color w:val="auto"/>
          <w:sz w:val="30"/>
          <w:szCs w:val="30"/>
          <w:highlight w:val="none"/>
        </w:rPr>
        <w:t>12-2附件：</w:t>
      </w:r>
    </w:p>
    <w:p w14:paraId="2A0D94C0">
      <w:pPr>
        <w:widowControl w:val="0"/>
        <w:snapToGrid w:val="0"/>
        <w:spacing w:line="560" w:lineRule="exact"/>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关于“台式计算机、便携式计算机、一体式计算机、工作站、通用服务器、操作系统、数据库”《需求标准》政策规定所涉及的</w:t>
      </w:r>
    </w:p>
    <w:p w14:paraId="56B4A4AF">
      <w:pPr>
        <w:widowControl w:val="0"/>
        <w:snapToGrid w:val="0"/>
        <w:spacing w:line="560" w:lineRule="exact"/>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投标要求、评审注意事项</w:t>
      </w:r>
    </w:p>
    <w:p w14:paraId="7FD7456E">
      <w:pPr>
        <w:widowControl w:val="0"/>
        <w:tabs>
          <w:tab w:val="left" w:pos="65"/>
        </w:tabs>
        <w:spacing w:line="460" w:lineRule="atLeast"/>
        <w:ind w:firstLine="557" w:firstLineChars="198"/>
        <w:jc w:val="center"/>
        <w:textAlignment w:val="auto"/>
        <w:rPr>
          <w:b/>
          <w:color w:val="auto"/>
          <w:sz w:val="28"/>
          <w:szCs w:val="28"/>
          <w:highlight w:val="none"/>
        </w:rPr>
      </w:pPr>
      <w:r>
        <w:rPr>
          <w:rFonts w:hint="eastAsia"/>
          <w:b/>
          <w:color w:val="auto"/>
          <w:sz w:val="28"/>
          <w:szCs w:val="28"/>
          <w:highlight w:val="none"/>
        </w:rPr>
        <w:t>（投标产品如涉及）</w:t>
      </w:r>
    </w:p>
    <w:p w14:paraId="20FB4789">
      <w:pPr>
        <w:widowControl w:val="0"/>
        <w:tabs>
          <w:tab w:val="left" w:pos="65"/>
        </w:tabs>
        <w:spacing w:line="460" w:lineRule="atLeast"/>
        <w:ind w:firstLine="595" w:firstLineChars="247"/>
        <w:textAlignment w:val="auto"/>
        <w:rPr>
          <w:rFonts w:ascii="宋体" w:hAnsi="宋体"/>
          <w:color w:val="auto"/>
          <w:sz w:val="24"/>
          <w:szCs w:val="24"/>
          <w:highlight w:val="none"/>
        </w:rPr>
      </w:pPr>
      <w:r>
        <w:rPr>
          <w:rFonts w:hint="eastAsia" w:ascii="宋体" w:hAnsi="宋体"/>
          <w:b/>
          <w:color w:val="auto"/>
          <w:sz w:val="24"/>
          <w:szCs w:val="24"/>
          <w:highlight w:val="none"/>
        </w:rPr>
        <w:t>本次采购产品中、如涉及台式计算机、便携式计算机、一体式计算机、工作站、通用服务器、操作系统、数据库的，</w:t>
      </w:r>
      <w:r>
        <w:rPr>
          <w:rFonts w:hint="eastAsia" w:ascii="宋体" w:hAnsi="宋体"/>
          <w:color w:val="auto"/>
          <w:sz w:val="24"/>
          <w:szCs w:val="24"/>
          <w:highlight w:val="none"/>
        </w:rPr>
        <w:t>应符合《台式计算机政府采购需求标准（2023年版）》、《便携式计算机政府采购需求标准（2023年版）》、《一体式计算机政府采购需求标准（2023年版）》、《工作站政府采购需求标准（2023年版）》、《通用服务器政府采购需求标准（2023年版）》、《操作系统政府采购需求标准（2023年版）》、《数据库政府采购需求标准（2023年版）》的要求。</w:t>
      </w:r>
    </w:p>
    <w:p w14:paraId="4000B56A">
      <w:pPr>
        <w:widowControl w:val="0"/>
        <w:tabs>
          <w:tab w:val="left" w:pos="65"/>
        </w:tabs>
        <w:spacing w:line="460" w:lineRule="atLeast"/>
        <w:ind w:firstLine="592" w:firstLineChars="247"/>
        <w:textAlignment w:val="auto"/>
        <w:rPr>
          <w:rFonts w:ascii="宋体" w:hAnsi="宋体"/>
          <w:color w:val="auto"/>
          <w:sz w:val="24"/>
          <w:szCs w:val="24"/>
          <w:highlight w:val="none"/>
        </w:rPr>
      </w:pPr>
      <w:r>
        <w:rPr>
          <w:rFonts w:hint="eastAsia" w:ascii="宋体" w:hAnsi="宋体"/>
          <w:color w:val="auto"/>
          <w:sz w:val="24"/>
          <w:szCs w:val="24"/>
          <w:highlight w:val="none"/>
        </w:rPr>
        <w:t>一、投标要求：</w:t>
      </w:r>
    </w:p>
    <w:p w14:paraId="70FC18C5">
      <w:pPr>
        <w:widowControl w:val="0"/>
        <w:tabs>
          <w:tab w:val="left" w:pos="65"/>
        </w:tabs>
        <w:spacing w:line="460" w:lineRule="atLeast"/>
        <w:ind w:firstLine="592" w:firstLineChars="247"/>
        <w:textAlignment w:val="auto"/>
        <w:rPr>
          <w:rFonts w:ascii="宋体" w:hAnsi="宋体"/>
          <w:color w:val="auto"/>
          <w:sz w:val="24"/>
          <w:szCs w:val="24"/>
          <w:highlight w:val="none"/>
        </w:rPr>
      </w:pPr>
      <w:r>
        <w:rPr>
          <w:rFonts w:hint="eastAsia" w:ascii="宋体" w:hAnsi="宋体"/>
          <w:color w:val="auto"/>
          <w:sz w:val="24"/>
          <w:szCs w:val="24"/>
          <w:highlight w:val="none"/>
        </w:rPr>
        <w:t>1、无论《招标文件》采购需求中是否列示说明，投标上述产品的、均应当符合上述需求标准。投标人对《招标文件》采购需求及所涉需求标准有疑义、认为影响投标的，均应在投标前在法定时间内依法提出书面质疑，否则、将视为投标人对《招标文件》采购需求及所涉需求标准的完全确认接受，采购人可以按有利于采购人工作需要的条款进行监督履行。</w:t>
      </w:r>
    </w:p>
    <w:p w14:paraId="4ADF6C72">
      <w:pPr>
        <w:widowControl w:val="0"/>
        <w:tabs>
          <w:tab w:val="left" w:pos="65"/>
        </w:tabs>
        <w:spacing w:line="460" w:lineRule="atLeast"/>
        <w:ind w:firstLine="592" w:firstLineChars="247"/>
        <w:textAlignment w:val="auto"/>
        <w:rPr>
          <w:rFonts w:ascii="宋体" w:hAnsi="宋体"/>
          <w:color w:val="auto"/>
          <w:sz w:val="24"/>
          <w:szCs w:val="24"/>
          <w:highlight w:val="none"/>
        </w:rPr>
      </w:pPr>
      <w:r>
        <w:rPr>
          <w:rFonts w:hint="eastAsia" w:ascii="宋体" w:hAnsi="宋体"/>
          <w:color w:val="auto"/>
          <w:sz w:val="24"/>
          <w:szCs w:val="24"/>
          <w:highlight w:val="none"/>
        </w:rPr>
        <w:t>2、投标人应当按《招标文件》要求编制“投标产品清单及具体技术参数”、“技术偏差表”，以供评委对投标产品是否符合《招标文件》采购需求进行评审；不符合《招标文件》采购需求的为无效投标。</w:t>
      </w:r>
    </w:p>
    <w:p w14:paraId="1CFD6713">
      <w:pPr>
        <w:widowControl w:val="0"/>
        <w:tabs>
          <w:tab w:val="left" w:pos="65"/>
        </w:tabs>
        <w:spacing w:line="460" w:lineRule="atLeast"/>
        <w:ind w:firstLine="592" w:firstLineChars="247"/>
        <w:textAlignment w:val="auto"/>
        <w:rPr>
          <w:rFonts w:ascii="宋体" w:hAnsi="宋体"/>
          <w:color w:val="auto"/>
          <w:sz w:val="24"/>
          <w:szCs w:val="24"/>
          <w:highlight w:val="none"/>
        </w:rPr>
      </w:pPr>
      <w:r>
        <w:rPr>
          <w:rFonts w:hint="eastAsia" w:ascii="宋体" w:hAnsi="宋体"/>
          <w:color w:val="auto"/>
          <w:sz w:val="24"/>
          <w:szCs w:val="24"/>
          <w:highlight w:val="none"/>
        </w:rPr>
        <w:t>3、按照“台式计算机、便携式计算机、一体式计算机、工作站、通用服务器、操作系统、数据库”《需求标准》的相关政策规定，在投标、响应环节，不再对相关产品是否符合《需求标准》进行检测、认证，不再要求供应商提供符合《需求标准》的检测、认证报告的相应佐证材料。</w:t>
      </w:r>
    </w:p>
    <w:p w14:paraId="05006088">
      <w:pPr>
        <w:widowControl w:val="0"/>
        <w:tabs>
          <w:tab w:val="left" w:pos="65"/>
        </w:tabs>
        <w:spacing w:line="460" w:lineRule="atLeast"/>
        <w:ind w:firstLine="592" w:firstLineChars="247"/>
        <w:textAlignment w:val="auto"/>
        <w:rPr>
          <w:rFonts w:ascii="宋体" w:hAnsi="宋体"/>
          <w:color w:val="auto"/>
          <w:sz w:val="24"/>
          <w:szCs w:val="24"/>
          <w:highlight w:val="none"/>
        </w:rPr>
      </w:pPr>
      <w:r>
        <w:rPr>
          <w:rFonts w:hint="eastAsia" w:ascii="宋体" w:hAnsi="宋体"/>
          <w:color w:val="auto"/>
          <w:sz w:val="24"/>
          <w:szCs w:val="24"/>
          <w:highlight w:val="none"/>
        </w:rPr>
        <w:t>按相关政策规定，供应商在投标、响应环节出具关于所提供产品满足采购文件要求承诺函（见后附格式）的，即视为相关产品符合要求，无需检测、认证报告的佐证材料。</w:t>
      </w:r>
    </w:p>
    <w:p w14:paraId="352FC3A8">
      <w:pPr>
        <w:widowControl w:val="0"/>
        <w:tabs>
          <w:tab w:val="left" w:pos="65"/>
        </w:tabs>
        <w:spacing w:line="460" w:lineRule="atLeast"/>
        <w:ind w:firstLine="592" w:firstLineChars="247"/>
        <w:textAlignment w:val="auto"/>
        <w:rPr>
          <w:rFonts w:ascii="宋体" w:hAnsi="宋体"/>
          <w:color w:val="auto"/>
          <w:sz w:val="24"/>
          <w:szCs w:val="24"/>
          <w:highlight w:val="none"/>
        </w:rPr>
      </w:pPr>
      <w:r>
        <w:rPr>
          <w:rFonts w:hint="eastAsia" w:ascii="宋体" w:hAnsi="宋体"/>
          <w:color w:val="auto"/>
          <w:sz w:val="24"/>
          <w:szCs w:val="24"/>
          <w:highlight w:val="none"/>
        </w:rPr>
        <w:t>4、按相关政策规定，履约验收中，采购人认为必要时委托依法取得检测、认证资质的机构进行检测、认证时，中标人将无条件配合。</w:t>
      </w:r>
    </w:p>
    <w:p w14:paraId="46791DDC">
      <w:pPr>
        <w:widowControl w:val="0"/>
        <w:tabs>
          <w:tab w:val="left" w:pos="65"/>
        </w:tabs>
        <w:spacing w:line="460" w:lineRule="atLeast"/>
        <w:ind w:firstLine="592" w:firstLineChars="247"/>
        <w:textAlignment w:val="auto"/>
        <w:rPr>
          <w:rFonts w:ascii="宋体" w:hAnsi="宋体"/>
          <w:color w:val="auto"/>
          <w:sz w:val="24"/>
          <w:szCs w:val="24"/>
          <w:highlight w:val="none"/>
        </w:rPr>
      </w:pPr>
      <w:r>
        <w:rPr>
          <w:rFonts w:hint="eastAsia" w:ascii="宋体" w:hAnsi="宋体"/>
          <w:color w:val="auto"/>
          <w:sz w:val="24"/>
          <w:szCs w:val="24"/>
          <w:highlight w:val="none"/>
        </w:rPr>
        <w:t>5、如采购人委托依法取得检测、认证资质的机构进行检测、认证后，与采购要求或投标文件承诺不一的，中标无效、并接受相应的调查处理、承担相应的违约责任。</w:t>
      </w:r>
    </w:p>
    <w:p w14:paraId="2FD73CFE">
      <w:pPr>
        <w:widowControl w:val="0"/>
        <w:tabs>
          <w:tab w:val="left" w:pos="65"/>
        </w:tabs>
        <w:spacing w:line="460" w:lineRule="atLeast"/>
        <w:ind w:firstLine="592" w:firstLineChars="247"/>
        <w:textAlignment w:val="auto"/>
        <w:rPr>
          <w:rFonts w:ascii="宋体" w:hAnsi="宋体"/>
          <w:color w:val="auto"/>
          <w:sz w:val="24"/>
          <w:szCs w:val="24"/>
          <w:highlight w:val="none"/>
        </w:rPr>
      </w:pPr>
      <w:r>
        <w:rPr>
          <w:rFonts w:hint="eastAsia" w:ascii="宋体" w:hAnsi="宋体"/>
          <w:color w:val="auto"/>
          <w:sz w:val="24"/>
          <w:szCs w:val="24"/>
          <w:highlight w:val="none"/>
        </w:rPr>
        <w:t>二、评审注意事项</w:t>
      </w:r>
    </w:p>
    <w:p w14:paraId="3CDBF6C0">
      <w:pPr>
        <w:widowControl w:val="0"/>
        <w:tabs>
          <w:tab w:val="left" w:pos="65"/>
        </w:tabs>
        <w:spacing w:line="460" w:lineRule="atLeast"/>
        <w:ind w:firstLine="592" w:firstLineChars="247"/>
        <w:textAlignment w:val="auto"/>
        <w:rPr>
          <w:rFonts w:ascii="宋体" w:hAnsi="宋体"/>
          <w:color w:val="auto"/>
          <w:sz w:val="24"/>
          <w:szCs w:val="24"/>
          <w:highlight w:val="none"/>
        </w:rPr>
      </w:pPr>
      <w:r>
        <w:rPr>
          <w:rFonts w:hint="eastAsia" w:ascii="宋体" w:hAnsi="宋体"/>
          <w:color w:val="auto"/>
          <w:sz w:val="24"/>
          <w:szCs w:val="24"/>
          <w:highlight w:val="none"/>
        </w:rPr>
        <w:t>1、供应商在投标、响应环节出具关于所提供产品满足采购文件要求承诺函（见后附格式）的，即视为相关产品符合要求，无需检测、认证报告的佐证材料。</w:t>
      </w:r>
    </w:p>
    <w:p w14:paraId="099D1739">
      <w:pPr>
        <w:widowControl w:val="0"/>
        <w:tabs>
          <w:tab w:val="left" w:pos="65"/>
        </w:tabs>
        <w:spacing w:line="460" w:lineRule="atLeast"/>
        <w:ind w:firstLine="592" w:firstLineChars="247"/>
        <w:textAlignment w:val="auto"/>
        <w:rPr>
          <w:rFonts w:ascii="宋体" w:hAnsi="宋体"/>
          <w:color w:val="auto"/>
          <w:sz w:val="24"/>
          <w:szCs w:val="24"/>
          <w:highlight w:val="none"/>
        </w:rPr>
      </w:pPr>
      <w:r>
        <w:rPr>
          <w:rFonts w:hint="eastAsia" w:ascii="宋体" w:hAnsi="宋体"/>
          <w:color w:val="auto"/>
          <w:sz w:val="24"/>
          <w:szCs w:val="24"/>
          <w:highlight w:val="none"/>
        </w:rPr>
        <w:t>2、投标人应当按《招标文件》要求编制“投标产品清单及具体技术参数”、“技术偏差表”，以供评委对投标产品是否符合《招标文件》采购需求进行评审；不符合《招标文件》采购需求的为无效投标。</w:t>
      </w:r>
    </w:p>
    <w:p w14:paraId="06198ECA">
      <w:pPr>
        <w:widowControl w:val="0"/>
        <w:tabs>
          <w:tab w:val="left" w:pos="65"/>
        </w:tabs>
        <w:spacing w:line="460" w:lineRule="atLeast"/>
        <w:ind w:firstLine="240" w:firstLineChars="100"/>
        <w:textAlignment w:val="auto"/>
        <w:rPr>
          <w:rFonts w:ascii="宋体" w:hAnsi="宋体"/>
          <w:color w:val="auto"/>
          <w:sz w:val="24"/>
          <w:szCs w:val="24"/>
          <w:highlight w:val="none"/>
        </w:rPr>
      </w:pPr>
      <w:r>
        <w:rPr>
          <w:rFonts w:ascii="宋体" w:hAnsi="宋体"/>
          <w:color w:val="auto"/>
          <w:sz w:val="24"/>
          <w:szCs w:val="24"/>
          <w:highlight w:val="none"/>
        </w:rPr>
        <w:br w:type="page"/>
      </w:r>
    </w:p>
    <w:p w14:paraId="33191959">
      <w:pPr>
        <w:widowControl w:val="0"/>
        <w:tabs>
          <w:tab w:val="left" w:pos="65"/>
        </w:tabs>
        <w:spacing w:line="460" w:lineRule="atLeast"/>
        <w:ind w:firstLine="301" w:firstLineChars="100"/>
        <w:jc w:val="center"/>
        <w:textAlignment w:val="auto"/>
        <w:rPr>
          <w:rFonts w:ascii="黑体" w:hAnsi="黑体" w:eastAsia="黑体"/>
          <w:b/>
          <w:color w:val="auto"/>
          <w:sz w:val="30"/>
          <w:szCs w:val="30"/>
          <w:highlight w:val="none"/>
        </w:rPr>
      </w:pPr>
      <w:r>
        <w:rPr>
          <w:rFonts w:hint="eastAsia" w:ascii="黑体" w:hAnsi="黑体" w:eastAsia="黑体"/>
          <w:b/>
          <w:color w:val="auto"/>
          <w:sz w:val="30"/>
          <w:szCs w:val="30"/>
          <w:highlight w:val="none"/>
        </w:rPr>
        <w:t>关于“台式计算机、便携式计算机、一体式计算机、工作站、通用服务器、操作系统、数据库”《需求标准》相关的承诺函</w:t>
      </w:r>
    </w:p>
    <w:p w14:paraId="1E9CA30C">
      <w:pPr>
        <w:widowControl w:val="0"/>
        <w:tabs>
          <w:tab w:val="left" w:pos="65"/>
        </w:tabs>
        <w:spacing w:line="460" w:lineRule="atLeast"/>
        <w:ind w:firstLine="281" w:firstLineChars="100"/>
        <w:jc w:val="center"/>
        <w:textAlignment w:val="auto"/>
        <w:rPr>
          <w:rFonts w:ascii="黑体" w:hAnsi="黑体" w:eastAsia="黑体"/>
          <w:b/>
          <w:color w:val="auto"/>
          <w:sz w:val="30"/>
          <w:szCs w:val="30"/>
          <w:highlight w:val="none"/>
        </w:rPr>
      </w:pPr>
      <w:r>
        <w:rPr>
          <w:rFonts w:hint="eastAsia"/>
          <w:b/>
          <w:color w:val="auto"/>
          <w:sz w:val="28"/>
          <w:szCs w:val="28"/>
          <w:highlight w:val="none"/>
        </w:rPr>
        <w:t>（投标产品如涉及）</w:t>
      </w:r>
    </w:p>
    <w:p w14:paraId="2478DE4A">
      <w:pPr>
        <w:widowControl w:val="0"/>
        <w:tabs>
          <w:tab w:val="left" w:pos="9365"/>
        </w:tabs>
        <w:spacing w:before="360" w:after="360" w:line="360" w:lineRule="auto"/>
        <w:ind w:right="85"/>
        <w:jc w:val="left"/>
        <w:textAlignment w:val="top"/>
        <w:rPr>
          <w:rFonts w:ascii="宋体" w:hAnsi="宋体"/>
          <w:color w:val="auto"/>
          <w:sz w:val="24"/>
          <w:szCs w:val="24"/>
          <w:highlight w:val="none"/>
        </w:rPr>
      </w:pPr>
      <w:r>
        <w:rPr>
          <w:rFonts w:hint="eastAsia" w:ascii="宋体" w:hAnsi="宋体"/>
          <w:color w:val="auto"/>
          <w:sz w:val="24"/>
          <w:szCs w:val="24"/>
          <w:highlight w:val="none"/>
        </w:rPr>
        <w:t>致：</w:t>
      </w:r>
      <w:r>
        <w:rPr>
          <w:rFonts w:hint="eastAsia" w:ascii="宋体" w:hAnsi="宋体"/>
          <w:color w:val="auto"/>
          <w:sz w:val="24"/>
          <w:szCs w:val="24"/>
          <w:highlight w:val="none"/>
          <w:u w:val="single"/>
        </w:rPr>
        <w:t xml:space="preserve">    </w:t>
      </w:r>
      <w:r>
        <w:rPr>
          <w:rFonts w:hint="eastAsia" w:ascii="宋体" w:hAnsi="宋体"/>
          <w:color w:val="auto"/>
          <w:spacing w:val="11"/>
          <w:sz w:val="24"/>
          <w:szCs w:val="24"/>
          <w:highlight w:val="none"/>
          <w:u w:val="single"/>
        </w:rPr>
        <w:t>(采购人名称） 、</w:t>
      </w:r>
      <w:r>
        <w:rPr>
          <w:rFonts w:hint="eastAsia"/>
          <w:color w:val="auto"/>
          <w:sz w:val="24"/>
          <w:szCs w:val="24"/>
          <w:highlight w:val="none"/>
        </w:rPr>
        <w:t>安阳市方正招标采购服务有限责任公司</w:t>
      </w:r>
    </w:p>
    <w:p w14:paraId="6641A208">
      <w:pPr>
        <w:widowControl w:val="0"/>
        <w:tabs>
          <w:tab w:val="left" w:pos="65"/>
        </w:tabs>
        <w:spacing w:line="460" w:lineRule="atLeast"/>
        <w:ind w:firstLine="480" w:firstLineChars="200"/>
        <w:textAlignment w:val="auto"/>
        <w:rPr>
          <w:color w:val="auto"/>
          <w:sz w:val="24"/>
          <w:highlight w:val="none"/>
        </w:rPr>
      </w:pPr>
      <w:r>
        <w:rPr>
          <w:rFonts w:hint="eastAsia" w:ascii="宋体" w:hAnsi="宋体"/>
          <w:color w:val="auto"/>
          <w:sz w:val="24"/>
          <w:szCs w:val="24"/>
          <w:highlight w:val="none"/>
        </w:rPr>
        <w:t>在项目编号为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的</w:t>
      </w:r>
      <w:r>
        <w:rPr>
          <w:rFonts w:hint="eastAsia" w:ascii="宋体" w:hAnsi="宋体"/>
          <w:color w:val="auto"/>
          <w:sz w:val="24"/>
          <w:szCs w:val="24"/>
          <w:highlight w:val="none"/>
          <w:u w:val="single"/>
        </w:rPr>
        <w:t xml:space="preserve">    （项目名称）  </w:t>
      </w:r>
      <w:r>
        <w:rPr>
          <w:rFonts w:hint="eastAsia" w:ascii="宋体" w:hAnsi="宋体"/>
          <w:color w:val="auto"/>
          <w:sz w:val="24"/>
          <w:szCs w:val="24"/>
          <w:highlight w:val="none"/>
        </w:rPr>
        <w:t xml:space="preserve"> 采购活动中，按《台式计算机政府采购需求标准（2023年版）》、《便携式计算机政府采购需求标准（2023年版）》、《一体式计算机政府采购需求标准（2023年版）》、《工作站政府采购需求标准（2023年版）》、《通用服务器政府采购需求标准（2023年版）》、《操作系统政府采购需求标准（2023年版）》、《数据库政府采购需求标准（2023年版）》相关政策规定，我</w:t>
      </w:r>
      <w:r>
        <w:rPr>
          <w:rFonts w:hint="eastAsia"/>
          <w:color w:val="auto"/>
          <w:sz w:val="24"/>
          <w:highlight w:val="none"/>
        </w:rPr>
        <w:t>单位承诺：</w:t>
      </w:r>
    </w:p>
    <w:p w14:paraId="3F96D62A">
      <w:pPr>
        <w:widowControl w:val="0"/>
        <w:tabs>
          <w:tab w:val="left" w:pos="65"/>
        </w:tabs>
        <w:spacing w:line="480" w:lineRule="auto"/>
        <w:ind w:firstLine="480" w:firstLineChars="200"/>
        <w:textAlignment w:val="auto"/>
        <w:rPr>
          <w:rFonts w:ascii="宋体" w:hAnsi="宋体"/>
          <w:color w:val="auto"/>
          <w:sz w:val="24"/>
          <w:szCs w:val="24"/>
          <w:highlight w:val="none"/>
        </w:rPr>
      </w:pPr>
      <w:r>
        <w:rPr>
          <w:rFonts w:hint="eastAsia"/>
          <w:color w:val="auto"/>
          <w:sz w:val="24"/>
          <w:highlight w:val="none"/>
        </w:rPr>
        <w:t>一</w:t>
      </w:r>
      <w:r>
        <w:rPr>
          <w:rFonts w:hint="eastAsia" w:ascii="宋体" w:hAnsi="宋体"/>
          <w:color w:val="auto"/>
          <w:sz w:val="24"/>
          <w:szCs w:val="24"/>
          <w:highlight w:val="none"/>
        </w:rPr>
        <w:t>、我单位承诺所投产品均满足上述《需求标准》要求。</w:t>
      </w:r>
    </w:p>
    <w:p w14:paraId="1B17A585">
      <w:pPr>
        <w:spacing w:line="48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我单位承诺所投产品均满足招标文件技术、商务要求，并按《招标文件》要求编制“投标产品清单及具体技术参数”、“技术偏差表”，以供评委对投标产品是否符合《招标文件》采购需求进行评审；不符合《招标文件》采购需求的为无效投标。</w:t>
      </w:r>
    </w:p>
    <w:p w14:paraId="10F23385">
      <w:pPr>
        <w:spacing w:line="48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三、按相关政策规定，履约验收中，采购人认为必要时委托依法取得检测、认证资质的机构进行检测、认证时，我单位将无条件配合。</w:t>
      </w:r>
    </w:p>
    <w:p w14:paraId="6F0E39C3">
      <w:pPr>
        <w:spacing w:line="48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如采购人委托依法取得检测、认证资质的机构进行检测、认证后，与采购要求或投标文件承诺不一的，中标无效、并接受相应的调查处理、承担相应的违约责任。</w:t>
      </w:r>
    </w:p>
    <w:p w14:paraId="7E58D5AE">
      <w:pPr>
        <w:widowControl w:val="0"/>
        <w:tabs>
          <w:tab w:val="left" w:pos="65"/>
        </w:tabs>
        <w:spacing w:line="460" w:lineRule="atLeast"/>
        <w:ind w:firstLine="300" w:firstLineChars="100"/>
        <w:jc w:val="center"/>
        <w:textAlignment w:val="auto"/>
        <w:rPr>
          <w:rFonts w:eastAsia="方正黑体简体"/>
          <w:b/>
          <w:color w:val="auto"/>
          <w:sz w:val="30"/>
          <w:szCs w:val="30"/>
          <w:highlight w:val="none"/>
        </w:rPr>
      </w:pPr>
    </w:p>
    <w:p w14:paraId="1E530035">
      <w:pPr>
        <w:widowControl w:val="0"/>
        <w:tabs>
          <w:tab w:val="left" w:pos="65"/>
        </w:tabs>
        <w:spacing w:line="460" w:lineRule="atLeast"/>
        <w:ind w:firstLine="300" w:firstLineChars="100"/>
        <w:jc w:val="center"/>
        <w:textAlignment w:val="auto"/>
        <w:rPr>
          <w:rFonts w:eastAsia="方正黑体简体"/>
          <w:b/>
          <w:color w:val="auto"/>
          <w:sz w:val="30"/>
          <w:szCs w:val="30"/>
          <w:highlight w:val="none"/>
        </w:rPr>
      </w:pPr>
    </w:p>
    <w:p w14:paraId="6CACCAF1">
      <w:pPr>
        <w:widowControl w:val="0"/>
        <w:snapToGrid w:val="0"/>
        <w:spacing w:line="360" w:lineRule="auto"/>
        <w:textAlignment w:val="top"/>
        <w:rPr>
          <w:color w:val="auto"/>
          <w:sz w:val="24"/>
          <w:szCs w:val="24"/>
          <w:highlight w:val="none"/>
        </w:rPr>
      </w:pPr>
      <w:r>
        <w:rPr>
          <w:rFonts w:hint="eastAsia"/>
          <w:color w:val="auto"/>
          <w:sz w:val="24"/>
          <w:szCs w:val="24"/>
          <w:highlight w:val="none"/>
        </w:rPr>
        <w:t>投标人（电子签章）：</w:t>
      </w:r>
    </w:p>
    <w:p w14:paraId="7B0CE61B">
      <w:pPr>
        <w:widowControl w:val="0"/>
        <w:snapToGrid w:val="0"/>
        <w:spacing w:line="360" w:lineRule="auto"/>
        <w:textAlignment w:val="top"/>
        <w:rPr>
          <w:color w:val="auto"/>
          <w:sz w:val="24"/>
          <w:szCs w:val="24"/>
          <w:highlight w:val="none"/>
        </w:rPr>
      </w:pPr>
      <w:r>
        <w:rPr>
          <w:rFonts w:hint="eastAsia"/>
          <w:color w:val="auto"/>
          <w:sz w:val="24"/>
          <w:szCs w:val="24"/>
          <w:highlight w:val="none"/>
        </w:rPr>
        <w:t>法定代表人（电子签名或签章）：</w:t>
      </w:r>
    </w:p>
    <w:p w14:paraId="30EE5617">
      <w:pPr>
        <w:widowControl w:val="0"/>
        <w:snapToGrid w:val="0"/>
        <w:spacing w:line="360" w:lineRule="auto"/>
        <w:textAlignment w:val="top"/>
        <w:rPr>
          <w:rFonts w:ascii="宋体" w:hAnsi="宋体"/>
          <w:color w:val="auto"/>
          <w:sz w:val="24"/>
          <w:szCs w:val="24"/>
          <w:highlight w:val="none"/>
        </w:rPr>
      </w:pPr>
      <w:r>
        <w:rPr>
          <w:rFonts w:hint="eastAsia"/>
          <w:color w:val="auto"/>
          <w:sz w:val="24"/>
          <w:szCs w:val="24"/>
          <w:highlight w:val="none"/>
        </w:rPr>
        <w:t>日期：</w:t>
      </w:r>
      <w:r>
        <w:rPr>
          <w:color w:val="auto"/>
          <w:sz w:val="24"/>
          <w:szCs w:val="24"/>
          <w:highlight w:val="none"/>
        </w:rPr>
        <w:t xml:space="preserve">  </w:t>
      </w:r>
      <w:r>
        <w:rPr>
          <w:rFonts w:hint="eastAsia"/>
          <w:color w:val="auto"/>
          <w:sz w:val="24"/>
          <w:szCs w:val="24"/>
          <w:highlight w:val="none"/>
        </w:rPr>
        <w:t>年</w:t>
      </w:r>
      <w:r>
        <w:rPr>
          <w:color w:val="auto"/>
          <w:sz w:val="24"/>
          <w:szCs w:val="24"/>
          <w:highlight w:val="none"/>
        </w:rPr>
        <w:t xml:space="preserve">   </w:t>
      </w:r>
      <w:r>
        <w:rPr>
          <w:rFonts w:hint="eastAsia"/>
          <w:color w:val="auto"/>
          <w:sz w:val="24"/>
          <w:szCs w:val="24"/>
          <w:highlight w:val="none"/>
        </w:rPr>
        <w:t>月</w:t>
      </w:r>
      <w:r>
        <w:rPr>
          <w:color w:val="auto"/>
          <w:sz w:val="24"/>
          <w:szCs w:val="24"/>
          <w:highlight w:val="none"/>
        </w:rPr>
        <w:t xml:space="preserve">   </w:t>
      </w:r>
      <w:r>
        <w:rPr>
          <w:rFonts w:hint="eastAsia"/>
          <w:color w:val="auto"/>
          <w:sz w:val="24"/>
          <w:szCs w:val="24"/>
          <w:highlight w:val="none"/>
        </w:rPr>
        <w:t>日</w:t>
      </w:r>
    </w:p>
    <w:p w14:paraId="1A57ABCA">
      <w:pPr>
        <w:autoSpaceDE w:val="0"/>
        <w:autoSpaceDN w:val="0"/>
        <w:adjustRightInd w:val="0"/>
        <w:spacing w:line="360" w:lineRule="auto"/>
        <w:rPr>
          <w:rFonts w:ascii="宋体"/>
          <w:color w:val="auto"/>
          <w:sz w:val="24"/>
          <w:szCs w:val="24"/>
          <w:highlight w:val="none"/>
        </w:rPr>
      </w:pPr>
    </w:p>
    <w:p w14:paraId="2CC635D4">
      <w:pPr>
        <w:autoSpaceDE w:val="0"/>
        <w:autoSpaceDN w:val="0"/>
        <w:adjustRightInd w:val="0"/>
        <w:spacing w:line="360" w:lineRule="auto"/>
        <w:rPr>
          <w:rFonts w:ascii="宋体"/>
          <w:color w:val="auto"/>
          <w:sz w:val="24"/>
          <w:szCs w:val="24"/>
          <w:highlight w:val="none"/>
        </w:rPr>
      </w:pPr>
    </w:p>
    <w:p w14:paraId="09C58500">
      <w:pPr>
        <w:widowControl w:val="0"/>
        <w:snapToGrid w:val="0"/>
        <w:spacing w:line="560" w:lineRule="exact"/>
        <w:rPr>
          <w:rFonts w:ascii="黑体" w:hAnsi="黑体" w:eastAsia="黑体"/>
          <w:b/>
          <w:color w:val="auto"/>
          <w:sz w:val="30"/>
          <w:szCs w:val="30"/>
          <w:highlight w:val="none"/>
        </w:rPr>
      </w:pPr>
      <w:r>
        <w:rPr>
          <w:rFonts w:hint="eastAsia" w:ascii="黑体" w:hAnsi="黑体" w:eastAsia="黑体"/>
          <w:b/>
          <w:color w:val="auto"/>
          <w:sz w:val="30"/>
          <w:szCs w:val="30"/>
          <w:highlight w:val="none"/>
        </w:rPr>
        <w:t>12-3附件：</w:t>
      </w:r>
    </w:p>
    <w:p w14:paraId="1259983D">
      <w:pPr>
        <w:spacing w:line="360" w:lineRule="auto"/>
        <w:ind w:firstLine="562" w:firstLineChars="200"/>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投标人按照 “证明材料查询核验工作的清单及要求” （下述）提供核验材料。</w:t>
      </w:r>
    </w:p>
    <w:p w14:paraId="612779B3">
      <w:pPr>
        <w:spacing w:line="520" w:lineRule="exact"/>
        <w:rPr>
          <w:rFonts w:asciiTheme="minorEastAsia" w:hAnsiTheme="minorEastAsia"/>
          <w:color w:val="auto"/>
          <w:sz w:val="28"/>
          <w:szCs w:val="28"/>
          <w:highlight w:val="none"/>
        </w:rPr>
      </w:pPr>
    </w:p>
    <w:p w14:paraId="6BAFAD8B">
      <w:pPr>
        <w:spacing w:line="520" w:lineRule="exact"/>
        <w:jc w:val="center"/>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（核验材料需加盖投标人电子签章）</w:t>
      </w:r>
    </w:p>
    <w:p w14:paraId="634FE402">
      <w:pPr>
        <w:spacing w:line="520" w:lineRule="exact"/>
        <w:rPr>
          <w:rFonts w:asciiTheme="minorEastAsia" w:hAnsiTheme="minorEastAsia"/>
          <w:color w:val="auto"/>
          <w:sz w:val="28"/>
          <w:szCs w:val="28"/>
          <w:highlight w:val="none"/>
        </w:rPr>
      </w:pPr>
    </w:p>
    <w:p w14:paraId="11862823">
      <w:pPr>
        <w:spacing w:line="520" w:lineRule="exact"/>
        <w:rPr>
          <w:rFonts w:asciiTheme="minorEastAsia" w:hAnsiTheme="minorEastAsia"/>
          <w:color w:val="auto"/>
          <w:sz w:val="28"/>
          <w:szCs w:val="28"/>
          <w:highlight w:val="none"/>
        </w:rPr>
      </w:pPr>
    </w:p>
    <w:p w14:paraId="20A06438">
      <w:pPr>
        <w:spacing w:line="520" w:lineRule="exact"/>
        <w:rPr>
          <w:rFonts w:asciiTheme="minorEastAsia" w:hAnsiTheme="minorEastAsia"/>
          <w:color w:val="auto"/>
          <w:sz w:val="28"/>
          <w:szCs w:val="28"/>
          <w:highlight w:val="none"/>
        </w:rPr>
      </w:pPr>
    </w:p>
    <w:p w14:paraId="0B6BA9DE">
      <w:pPr>
        <w:spacing w:line="520" w:lineRule="exact"/>
        <w:jc w:val="center"/>
        <w:rPr>
          <w:rFonts w:ascii="黑体" w:hAnsi="黑体" w:eastAsia="黑体"/>
          <w:color w:val="auto"/>
          <w:sz w:val="36"/>
          <w:szCs w:val="36"/>
          <w:highlight w:val="none"/>
        </w:rPr>
      </w:pPr>
      <w:r>
        <w:rPr>
          <w:rFonts w:hint="eastAsia" w:ascii="黑体" w:hAnsi="黑体" w:eastAsia="黑体"/>
          <w:color w:val="auto"/>
          <w:sz w:val="36"/>
          <w:szCs w:val="36"/>
          <w:highlight w:val="none"/>
        </w:rPr>
        <w:t>证明材料查询核验工作的清单及要求</w:t>
      </w:r>
    </w:p>
    <w:p w14:paraId="4BE83A4B">
      <w:pPr>
        <w:spacing w:line="360" w:lineRule="auto"/>
        <w:ind w:firstLine="560" w:firstLineChars="200"/>
        <w:jc w:val="left"/>
        <w:rPr>
          <w:rFonts w:asciiTheme="minorEastAsia" w:hAnsiTheme="minorEastAsia" w:eastAsiaTheme="minorEastAsia"/>
          <w:color w:val="auto"/>
          <w:sz w:val="28"/>
          <w:szCs w:val="28"/>
          <w:highlight w:val="none"/>
        </w:rPr>
      </w:pPr>
    </w:p>
    <w:p w14:paraId="1699F8E4">
      <w:pPr>
        <w:spacing w:line="360" w:lineRule="auto"/>
        <w:ind w:firstLine="607" w:firstLineChars="253"/>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一、投标文件所提供的证明材料中 、需网上公开查询核验的材料清单（依据2023年度监督检查工作指引网上公开查验网址）</w:t>
      </w:r>
    </w:p>
    <w:tbl>
      <w:tblPr>
        <w:tblStyle w:val="20"/>
        <w:tblW w:w="9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3119"/>
        <w:gridCol w:w="5699"/>
      </w:tblGrid>
      <w:tr w14:paraId="4C3A3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shd w:val="clear" w:color="auto" w:fill="auto"/>
            <w:vAlign w:val="center"/>
          </w:tcPr>
          <w:p w14:paraId="33AE5097">
            <w:pPr>
              <w:spacing w:line="240" w:lineRule="auto"/>
              <w:jc w:val="center"/>
              <w:rPr>
                <w:rFonts w:ascii="宋体" w:hAnsi="宋体"/>
                <w:b/>
                <w:color w:val="auto"/>
                <w:sz w:val="24"/>
                <w:szCs w:val="24"/>
                <w:highlight w:val="none"/>
              </w:rPr>
            </w:pPr>
            <w:r>
              <w:rPr>
                <w:rFonts w:hint="eastAsia" w:ascii="宋体" w:hAnsi="宋体"/>
                <w:b/>
                <w:color w:val="auto"/>
                <w:sz w:val="24"/>
                <w:szCs w:val="24"/>
                <w:highlight w:val="none"/>
              </w:rPr>
              <w:t>序号</w:t>
            </w:r>
          </w:p>
        </w:tc>
        <w:tc>
          <w:tcPr>
            <w:tcW w:w="3119" w:type="dxa"/>
            <w:shd w:val="clear" w:color="auto" w:fill="auto"/>
            <w:vAlign w:val="center"/>
          </w:tcPr>
          <w:p w14:paraId="1D508FD7">
            <w:pPr>
              <w:spacing w:line="240" w:lineRule="auto"/>
              <w:jc w:val="center"/>
              <w:rPr>
                <w:rFonts w:ascii="宋体" w:hAnsi="宋体"/>
                <w:b/>
                <w:color w:val="auto"/>
                <w:sz w:val="24"/>
                <w:szCs w:val="24"/>
                <w:highlight w:val="none"/>
              </w:rPr>
            </w:pPr>
            <w:r>
              <w:rPr>
                <w:rFonts w:hint="eastAsia" w:ascii="宋体" w:hAnsi="宋体"/>
                <w:b/>
                <w:color w:val="auto"/>
                <w:sz w:val="24"/>
                <w:szCs w:val="24"/>
                <w:highlight w:val="none"/>
              </w:rPr>
              <w:t>名称</w:t>
            </w:r>
          </w:p>
        </w:tc>
        <w:tc>
          <w:tcPr>
            <w:tcW w:w="5699" w:type="dxa"/>
            <w:shd w:val="clear" w:color="auto" w:fill="auto"/>
            <w:vAlign w:val="center"/>
          </w:tcPr>
          <w:p w14:paraId="20DC69E5">
            <w:pPr>
              <w:spacing w:line="240" w:lineRule="auto"/>
              <w:jc w:val="center"/>
              <w:rPr>
                <w:rFonts w:ascii="宋体" w:hAnsi="宋体"/>
                <w:b/>
                <w:color w:val="auto"/>
                <w:sz w:val="24"/>
                <w:szCs w:val="24"/>
                <w:highlight w:val="none"/>
              </w:rPr>
            </w:pPr>
            <w:r>
              <w:rPr>
                <w:rFonts w:hint="eastAsia" w:ascii="宋体" w:hAnsi="宋体"/>
                <w:b/>
                <w:color w:val="auto"/>
                <w:sz w:val="24"/>
                <w:szCs w:val="24"/>
                <w:highlight w:val="none"/>
              </w:rPr>
              <w:t>查验网址</w:t>
            </w:r>
          </w:p>
        </w:tc>
      </w:tr>
      <w:tr w14:paraId="0D4EC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shd w:val="clear" w:color="auto" w:fill="auto"/>
            <w:vAlign w:val="center"/>
          </w:tcPr>
          <w:p w14:paraId="18F57439">
            <w:pPr>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1</w:t>
            </w:r>
          </w:p>
        </w:tc>
        <w:tc>
          <w:tcPr>
            <w:tcW w:w="3119" w:type="dxa"/>
            <w:shd w:val="clear" w:color="auto" w:fill="auto"/>
            <w:vAlign w:val="center"/>
          </w:tcPr>
          <w:p w14:paraId="7C24DFC9">
            <w:pPr>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软件著作权</w:t>
            </w:r>
          </w:p>
        </w:tc>
        <w:tc>
          <w:tcPr>
            <w:tcW w:w="5699" w:type="dxa"/>
            <w:shd w:val="clear" w:color="auto" w:fill="auto"/>
          </w:tcPr>
          <w:p w14:paraId="47F5DD32">
            <w:pPr>
              <w:spacing w:line="240" w:lineRule="auto"/>
              <w:rPr>
                <w:rFonts w:ascii="宋体" w:hAnsi="宋体"/>
                <w:color w:val="auto"/>
                <w:sz w:val="24"/>
                <w:szCs w:val="24"/>
                <w:highlight w:val="none"/>
              </w:rPr>
            </w:pPr>
            <w:r>
              <w:rPr>
                <w:color w:val="auto"/>
                <w:highlight w:val="none"/>
              </w:rPr>
              <w:fldChar w:fldCharType="begin"/>
            </w:r>
            <w:r>
              <w:rPr>
                <w:color w:val="auto"/>
                <w:highlight w:val="none"/>
              </w:rPr>
              <w:instrText xml:space="preserve"> HYPERLINK "https://register.ccopyright.com.cn/query.html" </w:instrText>
            </w:r>
            <w:r>
              <w:rPr>
                <w:color w:val="auto"/>
                <w:highlight w:val="none"/>
              </w:rPr>
              <w:fldChar w:fldCharType="separate"/>
            </w:r>
            <w:r>
              <w:rPr>
                <w:rStyle w:val="26"/>
                <w:rFonts w:ascii="宋体" w:hAnsi="宋体"/>
                <w:color w:val="auto"/>
                <w:sz w:val="24"/>
                <w:szCs w:val="24"/>
                <w:highlight w:val="none"/>
              </w:rPr>
              <w:t>https</w:t>
            </w:r>
            <w:r>
              <w:rPr>
                <w:rStyle w:val="26"/>
                <w:rFonts w:hint="eastAsia" w:ascii="宋体" w:hAnsi="宋体"/>
                <w:color w:val="auto"/>
                <w:sz w:val="24"/>
                <w:szCs w:val="24"/>
                <w:highlight w:val="none"/>
              </w:rPr>
              <w:t>：</w:t>
            </w:r>
            <w:r>
              <w:rPr>
                <w:rStyle w:val="26"/>
                <w:rFonts w:ascii="宋体" w:hAnsi="宋体"/>
                <w:color w:val="auto"/>
                <w:sz w:val="24"/>
                <w:szCs w:val="24"/>
                <w:highlight w:val="none"/>
              </w:rPr>
              <w:t>//register.ccopyright.com.cn/query.html</w:t>
            </w:r>
            <w:r>
              <w:rPr>
                <w:rStyle w:val="26"/>
                <w:rFonts w:ascii="宋体" w:hAnsi="宋体"/>
                <w:color w:val="auto"/>
                <w:sz w:val="24"/>
                <w:szCs w:val="24"/>
                <w:highlight w:val="none"/>
              </w:rPr>
              <w:fldChar w:fldCharType="end"/>
            </w:r>
          </w:p>
        </w:tc>
      </w:tr>
      <w:tr w14:paraId="4D178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shd w:val="clear" w:color="auto" w:fill="auto"/>
            <w:vAlign w:val="center"/>
          </w:tcPr>
          <w:p w14:paraId="41F1D6F4">
            <w:pPr>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2</w:t>
            </w:r>
          </w:p>
        </w:tc>
        <w:tc>
          <w:tcPr>
            <w:tcW w:w="3119" w:type="dxa"/>
            <w:shd w:val="clear" w:color="auto" w:fill="auto"/>
            <w:vAlign w:val="center"/>
          </w:tcPr>
          <w:p w14:paraId="4E34B8CB">
            <w:pPr>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检测报告</w:t>
            </w:r>
          </w:p>
        </w:tc>
        <w:tc>
          <w:tcPr>
            <w:tcW w:w="5699" w:type="dxa"/>
            <w:shd w:val="clear" w:color="auto" w:fill="auto"/>
          </w:tcPr>
          <w:p w14:paraId="06E60ED1">
            <w:pPr>
              <w:spacing w:line="240" w:lineRule="auto"/>
              <w:rPr>
                <w:rFonts w:ascii="宋体" w:hAnsi="宋体"/>
                <w:color w:val="auto"/>
                <w:sz w:val="24"/>
                <w:szCs w:val="24"/>
                <w:highlight w:val="none"/>
              </w:rPr>
            </w:pPr>
            <w:r>
              <w:rPr>
                <w:rFonts w:hint="eastAsia" w:ascii="宋体" w:hAnsi="宋体"/>
                <w:color w:val="auto"/>
                <w:sz w:val="24"/>
                <w:szCs w:val="24"/>
                <w:highlight w:val="none"/>
              </w:rPr>
              <w:t>优先检索市场监管总局的认证认可平台，其次检索检测机构官网。</w:t>
            </w:r>
          </w:p>
          <w:p w14:paraId="286D0E36">
            <w:pPr>
              <w:spacing w:line="24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注：根据深圳市市场监督管理局计量认证处的复函显示，深圳市倍通检测股份有限公司、中检测试技术（广东）集团有限公司、信达检测技术(深圳) 有限公司自2020年7月7日起出具的检测报告均属于无效报告。</w:t>
            </w:r>
          </w:p>
        </w:tc>
      </w:tr>
      <w:tr w14:paraId="6DE8A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shd w:val="clear" w:color="auto" w:fill="auto"/>
            <w:vAlign w:val="center"/>
          </w:tcPr>
          <w:p w14:paraId="07892DB6">
            <w:pPr>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3</w:t>
            </w:r>
          </w:p>
        </w:tc>
        <w:tc>
          <w:tcPr>
            <w:tcW w:w="3119" w:type="dxa"/>
            <w:shd w:val="clear" w:color="auto" w:fill="auto"/>
            <w:vAlign w:val="center"/>
          </w:tcPr>
          <w:p w14:paraId="4FDB2D8C">
            <w:pPr>
              <w:spacing w:line="240" w:lineRule="auto"/>
              <w:jc w:val="center"/>
              <w:rPr>
                <w:rFonts w:ascii="宋体" w:hAnsi="宋体"/>
                <w:color w:val="auto"/>
                <w:sz w:val="24"/>
                <w:szCs w:val="24"/>
                <w:highlight w:val="none"/>
              </w:rPr>
            </w:pPr>
            <w:r>
              <w:rPr>
                <w:rFonts w:hint="eastAsia" w:ascii="宋体" w:hAnsi="宋体"/>
                <w:color w:val="auto"/>
                <w:sz w:val="24"/>
                <w:szCs w:val="24"/>
                <w:highlight w:val="none"/>
              </w:rPr>
              <w:t>社保缴费记录</w:t>
            </w:r>
          </w:p>
        </w:tc>
        <w:tc>
          <w:tcPr>
            <w:tcW w:w="5699" w:type="dxa"/>
            <w:shd w:val="clear" w:color="auto" w:fill="auto"/>
          </w:tcPr>
          <w:p w14:paraId="7D01ABE8">
            <w:pPr>
              <w:spacing w:line="240" w:lineRule="auto"/>
              <w:rPr>
                <w:rFonts w:ascii="宋体" w:hAnsi="宋体"/>
                <w:color w:val="auto"/>
                <w:sz w:val="24"/>
                <w:szCs w:val="24"/>
                <w:highlight w:val="none"/>
              </w:rPr>
            </w:pPr>
            <w:r>
              <w:rPr>
                <w:rFonts w:hint="eastAsia" w:ascii="宋体" w:hAnsi="宋体"/>
                <w:color w:val="auto"/>
                <w:sz w:val="24"/>
                <w:szCs w:val="24"/>
                <w:highlight w:val="none"/>
              </w:rPr>
              <w:t>缴费地人力资源和社会保障局官网。</w:t>
            </w:r>
          </w:p>
        </w:tc>
      </w:tr>
      <w:tr w14:paraId="305C7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shd w:val="clear" w:color="auto" w:fill="auto"/>
            <w:vAlign w:val="center"/>
          </w:tcPr>
          <w:p w14:paraId="60132893">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4</w:t>
            </w:r>
          </w:p>
        </w:tc>
        <w:tc>
          <w:tcPr>
            <w:tcW w:w="8818" w:type="dxa"/>
            <w:gridSpan w:val="2"/>
            <w:shd w:val="clear" w:color="auto" w:fill="auto"/>
            <w:vAlign w:val="center"/>
          </w:tcPr>
          <w:p w14:paraId="06FC7487">
            <w:p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除上述外，投标人认为有必要的相关核实官方证明材料。（可选）</w:t>
            </w:r>
          </w:p>
        </w:tc>
      </w:tr>
    </w:tbl>
    <w:p w14:paraId="574E7331">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二、本采购项目必要的其他核验证明材料（除监督检查工作指引网上公开查验网址外的）</w:t>
      </w:r>
    </w:p>
    <w:tbl>
      <w:tblPr>
        <w:tblStyle w:val="20"/>
        <w:tblW w:w="9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2000"/>
        <w:gridCol w:w="6818"/>
      </w:tblGrid>
      <w:tr w14:paraId="0C5DC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shd w:val="clear" w:color="auto" w:fill="auto"/>
            <w:vAlign w:val="center"/>
          </w:tcPr>
          <w:p w14:paraId="5CD62B81">
            <w:pPr>
              <w:spacing w:line="240" w:lineRule="auto"/>
              <w:jc w:val="center"/>
              <w:rPr>
                <w:rFonts w:ascii="宋体" w:hAnsi="宋体"/>
                <w:b/>
                <w:color w:val="auto"/>
                <w:sz w:val="24"/>
                <w:szCs w:val="24"/>
                <w:highlight w:val="none"/>
              </w:rPr>
            </w:pPr>
            <w:r>
              <w:rPr>
                <w:rFonts w:hint="eastAsia" w:ascii="宋体" w:hAnsi="宋体"/>
                <w:b/>
                <w:color w:val="auto"/>
                <w:sz w:val="24"/>
                <w:szCs w:val="24"/>
                <w:highlight w:val="none"/>
              </w:rPr>
              <w:t>序号</w:t>
            </w:r>
          </w:p>
        </w:tc>
        <w:tc>
          <w:tcPr>
            <w:tcW w:w="2000" w:type="dxa"/>
            <w:shd w:val="clear" w:color="auto" w:fill="auto"/>
            <w:vAlign w:val="center"/>
          </w:tcPr>
          <w:p w14:paraId="4D386719">
            <w:pPr>
              <w:spacing w:line="240" w:lineRule="auto"/>
              <w:jc w:val="center"/>
              <w:rPr>
                <w:rFonts w:ascii="宋体" w:hAnsi="宋体"/>
                <w:b/>
                <w:color w:val="auto"/>
                <w:sz w:val="24"/>
                <w:szCs w:val="24"/>
                <w:highlight w:val="none"/>
              </w:rPr>
            </w:pPr>
            <w:r>
              <w:rPr>
                <w:rFonts w:hint="eastAsia" w:ascii="宋体" w:hAnsi="宋体"/>
                <w:b/>
                <w:color w:val="auto"/>
                <w:sz w:val="24"/>
                <w:szCs w:val="24"/>
                <w:highlight w:val="none"/>
              </w:rPr>
              <w:t>名称</w:t>
            </w:r>
          </w:p>
        </w:tc>
        <w:tc>
          <w:tcPr>
            <w:tcW w:w="6818" w:type="dxa"/>
            <w:shd w:val="clear" w:color="auto" w:fill="auto"/>
            <w:vAlign w:val="center"/>
          </w:tcPr>
          <w:p w14:paraId="646E0F0C">
            <w:pPr>
              <w:spacing w:line="240" w:lineRule="auto"/>
              <w:jc w:val="center"/>
              <w:rPr>
                <w:rFonts w:ascii="宋体" w:hAnsi="宋体"/>
                <w:b/>
                <w:color w:val="auto"/>
                <w:sz w:val="24"/>
                <w:szCs w:val="24"/>
                <w:highlight w:val="none"/>
              </w:rPr>
            </w:pPr>
            <w:r>
              <w:rPr>
                <w:rFonts w:hint="eastAsia" w:ascii="宋体" w:hAnsi="宋体"/>
                <w:b/>
                <w:color w:val="auto"/>
                <w:sz w:val="24"/>
                <w:szCs w:val="24"/>
                <w:highlight w:val="none"/>
              </w:rPr>
              <w:t>查验网址</w:t>
            </w:r>
          </w:p>
        </w:tc>
      </w:tr>
      <w:tr w14:paraId="61616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shd w:val="clear" w:color="auto" w:fill="auto"/>
            <w:vAlign w:val="center"/>
          </w:tcPr>
          <w:p w14:paraId="50F42532">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1</w:t>
            </w:r>
          </w:p>
        </w:tc>
        <w:tc>
          <w:tcPr>
            <w:tcW w:w="2000" w:type="dxa"/>
            <w:shd w:val="clear" w:color="auto" w:fill="auto"/>
            <w:vAlign w:val="center"/>
          </w:tcPr>
          <w:p w14:paraId="1EE7C95E">
            <w:pPr>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体系认证</w:t>
            </w:r>
          </w:p>
        </w:tc>
        <w:tc>
          <w:tcPr>
            <w:tcW w:w="6818" w:type="dxa"/>
            <w:shd w:val="clear" w:color="auto" w:fill="auto"/>
            <w:vAlign w:val="center"/>
          </w:tcPr>
          <w:p w14:paraId="676F2ED0">
            <w:pP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国家认证认可监督管理委员会“https：//www.cnca.gov.cn/”</w:t>
            </w:r>
          </w:p>
        </w:tc>
      </w:tr>
    </w:tbl>
    <w:p w14:paraId="5012BC73">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三、对投标文件所提供的证明材料中、需网上查询核验的说明及要求。</w:t>
      </w:r>
    </w:p>
    <w:p w14:paraId="6BA0B222">
      <w:pPr>
        <w:spacing w:line="360" w:lineRule="auto"/>
        <w:ind w:firstLine="532" w:firstLineChars="222"/>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（一）投标文件中</w:t>
      </w:r>
    </w:p>
    <w:p w14:paraId="24B0D1E0">
      <w:pPr>
        <w:spacing w:line="360" w:lineRule="auto"/>
        <w:ind w:firstLine="532" w:firstLineChars="222"/>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基于当前监督检查工作要求，为防范虚假材料，投标人应按本12-3附件“证明材料查询核验工作的清单及要求”列示的证明材料及对应网址（监督检查工作指引列示的网上公开查询核验网址）、对投标文件中所提供证明材料进行核验，并将查询结果截图作为所提供证明材料的附件，以佐证所提供证明材料的真实性。</w:t>
      </w:r>
    </w:p>
    <w:p w14:paraId="31C84BC5">
      <w:pPr>
        <w:spacing w:line="360" w:lineRule="auto"/>
        <w:ind w:firstLine="532" w:firstLineChars="222"/>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投标文件中、对本12-3附件“证明材料查询核验工作的清单及要求”中的每份证明材料，均应在该证明材料后附对应的查询结果截图（并注明该截图的对应网址）、或查询异常情况说明资料。否则，评标委员会按缺少要件不予认可该份证明材料。</w:t>
      </w:r>
    </w:p>
    <w:p w14:paraId="7C4E9639">
      <w:pPr>
        <w:spacing w:line="360" w:lineRule="auto"/>
        <w:ind w:firstLine="532" w:firstLineChars="222"/>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2</w:t>
      </w:r>
      <w:r>
        <w:rPr>
          <w:rFonts w:hint="eastAsia" w:asciiTheme="minorEastAsia" w:hAnsiTheme="minorEastAsia" w:eastAsiaTheme="minorEastAsia"/>
          <w:color w:val="auto"/>
          <w:sz w:val="24"/>
          <w:szCs w:val="24"/>
          <w:highlight w:val="none"/>
        </w:rPr>
        <w:t>、投标人查询异常情况的处理</w:t>
      </w:r>
    </w:p>
    <w:p w14:paraId="0D23DF5B">
      <w:pPr>
        <w:spacing w:line="360" w:lineRule="auto"/>
        <w:ind w:firstLine="532" w:firstLineChars="222"/>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投标人按本附件列示网址查询异常的，但投标人确保其真实性的，投标人应当单独对异常情况作出说明解释，并可提供同等及以上权威部门（政府职能部门或下属机构、或其公开的认可机构）的可公开验证的查询资料、以证实证明材料的真实性。</w:t>
      </w:r>
    </w:p>
    <w:p w14:paraId="71448108">
      <w:pPr>
        <w:spacing w:line="360" w:lineRule="auto"/>
        <w:ind w:firstLine="532" w:firstLineChars="222"/>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投标人无法按本附件列示网址（监督检查工作指引列示的网上公开查询核验网址）核验投标文件中所提供证明材料的真实性的，无法确保证明材料真实性的，不建议投标，以免中标后，在质疑处理、监督检查等工作中核验不一致、被视为虚假材料而承责。</w:t>
      </w:r>
    </w:p>
    <w:p w14:paraId="5762E0BD">
      <w:pPr>
        <w:spacing w:line="360" w:lineRule="auto"/>
        <w:ind w:firstLine="532" w:firstLineChars="222"/>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（2）网站异常</w:t>
      </w:r>
    </w:p>
    <w:p w14:paraId="4ADD810D">
      <w:pPr>
        <w:spacing w:line="360" w:lineRule="auto"/>
        <w:ind w:firstLine="532" w:firstLineChars="222"/>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基于全国政务持续发展、持续革新的大好局面，投标人在按本附件列示网址查询核验时，如遇部分网站更新等无法查询情况时，需及时书面反馈（请按第一章采购公告联系方式书面反馈）。经核实会商、将对此证明材料的查询核验事项发布澄清修改公告。</w:t>
      </w:r>
    </w:p>
    <w:p w14:paraId="6853AF66">
      <w:pPr>
        <w:spacing w:line="360" w:lineRule="auto"/>
        <w:ind w:firstLine="532" w:firstLineChars="222"/>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未发布查询核验事项的澄清修改公告的，为投标人自身原因的查询异常，请该投标人深入认真自查自身原因或向相应网站反馈解决。</w:t>
      </w:r>
    </w:p>
    <w:p w14:paraId="549A8444">
      <w:pPr>
        <w:spacing w:line="360" w:lineRule="auto"/>
        <w:ind w:firstLine="532" w:firstLineChars="222"/>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（3）网站异常产生的外在投标风险由投标人自行承担。</w:t>
      </w:r>
    </w:p>
    <w:p w14:paraId="66FD1893">
      <w:pPr>
        <w:spacing w:line="360" w:lineRule="auto"/>
        <w:ind w:firstLine="532" w:firstLineChars="222"/>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（二）评审时的要件审核</w:t>
      </w:r>
    </w:p>
    <w:p w14:paraId="6C03BDCA">
      <w:pPr>
        <w:spacing w:line="360" w:lineRule="auto"/>
        <w:ind w:firstLine="532" w:firstLineChars="222"/>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基于部分证明材料的查询核验需投标人（或个人）相关信息登录查询，基于评审工作保密性不具备查询条件等客观因素，评审中，评委只对核验材料进行形式要件审核（评委对证明材料按采购文件要求进行详细评审），对核验材料的形式要件审核为：核对有无查询结果截图（或查询异常情况说明资料）、核对证明材料与查询结果截图的对应一致性。</w:t>
      </w:r>
    </w:p>
    <w:p w14:paraId="7E77B3E2">
      <w:pPr>
        <w:spacing w:line="360" w:lineRule="auto"/>
        <w:ind w:firstLine="532" w:firstLineChars="222"/>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证明材料未附查询结果截图或查询异常情况说明资料的，评标委员会按缺少要件不予认可该份证明材料。</w:t>
      </w:r>
    </w:p>
    <w:p w14:paraId="55DBC793">
      <w:pPr>
        <w:spacing w:line="360" w:lineRule="auto"/>
        <w:ind w:firstLine="532" w:firstLineChars="222"/>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三）在质疑处理（或其他工作要求）中，中标人（被质疑方）应当配合提供相应信息，以对投标文件中所提供证明材料进行核验工作（按照监督检查工作指引列示的网上公开查询核验网址进行核验）。如查询异常或虚假，均将上报监督部门按提供虚假材料规定给予处罚。</w:t>
      </w:r>
    </w:p>
    <w:p w14:paraId="75576734">
      <w:pPr>
        <w:spacing w:line="360" w:lineRule="auto"/>
        <w:ind w:firstLine="532" w:firstLineChars="222"/>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查询异常的，中标人如无其他权威证明，将视作提供虚假材料。</w:t>
      </w:r>
    </w:p>
    <w:p w14:paraId="2420B9D0">
      <w:pPr>
        <w:spacing w:line="360" w:lineRule="auto"/>
        <w:ind w:firstLine="532" w:firstLineChars="222"/>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四、除本12-3附件列示的网上公开查询核验的材料清单外，对其他证明材料，在质疑处理（或其他工作要求）中，中标人应当提供证明材料原件以证实证明材料的真实性。</w:t>
      </w:r>
    </w:p>
    <w:p w14:paraId="46DB7DBE">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除本12-3附件列示的网上公开查询核验的材料清单外，对其他证明材料，基于质疑处理（或其他工作要求）的法定时效，调查取证的权限，依据政府采购相关法规依据书面材料评审的规定，对没有提供发证机关（单位）等相应权威机构证伪书面材料的质疑，对怀疑猜测事项，经核对原件后、将视为缺乏事实依据处理。</w:t>
      </w:r>
    </w:p>
    <w:p w14:paraId="65D2BB01">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五、投标人对投标文件中所提供证明材料及核验证明材料的真实性负责、自行承担相应责任。</w:t>
      </w:r>
    </w:p>
    <w:p w14:paraId="55058A43">
      <w:pPr>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核验过程中涉及投标人（或个人）自身账号、密码等信息时，投标人（或个人）应积极配合核验工作。</w:t>
      </w:r>
    </w:p>
    <w:p w14:paraId="19487BBD">
      <w:pPr>
        <w:widowControl w:val="0"/>
        <w:snapToGrid w:val="0"/>
        <w:spacing w:line="360" w:lineRule="auto"/>
        <w:rPr>
          <w:rFonts w:asciiTheme="minorEastAsia" w:hAnsiTheme="minorEastAsia" w:eastAsiaTheme="minorEastAsia"/>
          <w:b/>
          <w:color w:val="auto"/>
          <w:sz w:val="24"/>
          <w:szCs w:val="24"/>
          <w:highlight w:val="none"/>
        </w:rPr>
      </w:pPr>
    </w:p>
    <w:p w14:paraId="68692B65">
      <w:pPr>
        <w:widowControl w:val="0"/>
        <w:snapToGrid w:val="0"/>
        <w:spacing w:line="560" w:lineRule="exact"/>
        <w:rPr>
          <w:rFonts w:ascii="黑体" w:hAnsi="黑体" w:eastAsia="黑体"/>
          <w:b/>
          <w:color w:val="auto"/>
          <w:sz w:val="30"/>
          <w:szCs w:val="30"/>
          <w:highlight w:val="none"/>
        </w:rPr>
      </w:pPr>
      <w:r>
        <w:rPr>
          <w:rFonts w:ascii="黑体" w:hAnsi="黑体" w:eastAsia="黑体"/>
          <w:b/>
          <w:color w:val="auto"/>
          <w:sz w:val="30"/>
          <w:szCs w:val="30"/>
          <w:highlight w:val="none"/>
        </w:rPr>
        <w:br w:type="page"/>
      </w:r>
      <w:r>
        <w:rPr>
          <w:rFonts w:hint="eastAsia" w:ascii="黑体" w:hAnsi="黑体" w:eastAsia="黑体"/>
          <w:b/>
          <w:color w:val="auto"/>
          <w:sz w:val="30"/>
          <w:szCs w:val="30"/>
          <w:highlight w:val="none"/>
        </w:rPr>
        <w:t>1</w:t>
      </w:r>
      <w:r>
        <w:rPr>
          <w:rFonts w:ascii="黑体" w:hAnsi="黑体" w:eastAsia="黑体"/>
          <w:b/>
          <w:color w:val="auto"/>
          <w:sz w:val="30"/>
          <w:szCs w:val="30"/>
          <w:highlight w:val="none"/>
        </w:rPr>
        <w:t>3</w:t>
      </w:r>
      <w:r>
        <w:rPr>
          <w:rFonts w:hint="eastAsia" w:ascii="黑体" w:hAnsi="黑体" w:eastAsia="黑体"/>
          <w:b/>
          <w:color w:val="auto"/>
          <w:sz w:val="30"/>
          <w:szCs w:val="30"/>
          <w:highlight w:val="none"/>
        </w:rPr>
        <w:t>、投标人认为有必要提交的其它材料</w:t>
      </w:r>
    </w:p>
    <w:p w14:paraId="56EFA015">
      <w:pPr>
        <w:autoSpaceDE w:val="0"/>
        <w:autoSpaceDN w:val="0"/>
        <w:adjustRightInd w:val="0"/>
        <w:spacing w:line="360" w:lineRule="auto"/>
        <w:jc w:val="center"/>
        <w:rPr>
          <w:rFonts w:ascii="宋体"/>
          <w:color w:val="auto"/>
          <w:sz w:val="24"/>
          <w:szCs w:val="24"/>
          <w:highlight w:val="none"/>
        </w:rPr>
      </w:pPr>
      <w:r>
        <w:rPr>
          <w:rFonts w:hint="eastAsia" w:ascii="宋体" w:hAnsi="宋体"/>
          <w:color w:val="auto"/>
          <w:sz w:val="24"/>
          <w:szCs w:val="24"/>
          <w:highlight w:val="none"/>
        </w:rPr>
        <w:t>（由法定代表人</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章&gt;或投标人</w:t>
      </w:r>
      <w:r>
        <w:rPr>
          <w:rFonts w:hint="eastAsia" w:ascii="宋体" w:hAnsi="宋体" w:cs="楷体_GB2312"/>
          <w:color w:val="auto"/>
          <w:sz w:val="24"/>
          <w:highlight w:val="none"/>
          <w:lang w:val="zh-CN"/>
        </w:rPr>
        <w:t>电子签</w:t>
      </w:r>
      <w:r>
        <w:rPr>
          <w:rFonts w:hint="eastAsia" w:ascii="宋体" w:hAnsi="宋体"/>
          <w:color w:val="auto"/>
          <w:sz w:val="24"/>
          <w:szCs w:val="24"/>
          <w:highlight w:val="none"/>
        </w:rPr>
        <w:t>章）</w:t>
      </w:r>
    </w:p>
    <w:p w14:paraId="4898BEFA">
      <w:pPr>
        <w:autoSpaceDE w:val="0"/>
        <w:autoSpaceDN w:val="0"/>
        <w:adjustRightInd w:val="0"/>
        <w:spacing w:line="360" w:lineRule="auto"/>
        <w:jc w:val="center"/>
        <w:rPr>
          <w:rFonts w:ascii="宋体" w:hAnsi="宋体"/>
          <w:color w:val="auto"/>
          <w:sz w:val="24"/>
          <w:szCs w:val="24"/>
          <w:highlight w:val="none"/>
        </w:rPr>
      </w:pPr>
    </w:p>
    <w:p w14:paraId="420FF308">
      <w:pPr>
        <w:spacing w:line="588" w:lineRule="exact"/>
        <w:jc w:val="center"/>
        <w:rPr>
          <w:rFonts w:ascii="黑体" w:hAnsi="黑体" w:eastAsia="黑体"/>
          <w:b/>
          <w:color w:val="auto"/>
          <w:sz w:val="24"/>
          <w:szCs w:val="24"/>
          <w:highlight w:val="none"/>
        </w:rPr>
      </w:pPr>
      <w:r>
        <w:rPr>
          <w:rFonts w:eastAsia="方正黑体简体"/>
          <w:b/>
          <w:color w:val="auto"/>
          <w:sz w:val="30"/>
          <w:szCs w:val="30"/>
          <w:highlight w:val="none"/>
        </w:rPr>
        <w:br w:type="page"/>
      </w:r>
      <w:r>
        <w:rPr>
          <w:rFonts w:ascii="黑体" w:hAnsi="黑体" w:eastAsia="黑体"/>
          <w:b/>
          <w:color w:val="auto"/>
          <w:sz w:val="30"/>
          <w:szCs w:val="30"/>
          <w:highlight w:val="none"/>
        </w:rPr>
        <w:t>13-1</w:t>
      </w:r>
      <w:r>
        <w:rPr>
          <w:rFonts w:hint="eastAsia" w:ascii="黑体" w:hAnsi="黑体" w:eastAsia="黑体"/>
          <w:b/>
          <w:color w:val="auto"/>
          <w:sz w:val="30"/>
          <w:szCs w:val="30"/>
          <w:highlight w:val="none"/>
        </w:rPr>
        <w:t>、</w:t>
      </w:r>
      <w:r>
        <w:rPr>
          <w:rFonts w:ascii="黑体" w:hAnsi="黑体" w:eastAsia="黑体"/>
          <w:b/>
          <w:color w:val="auto"/>
          <w:sz w:val="30"/>
          <w:szCs w:val="30"/>
          <w:highlight w:val="none"/>
        </w:rPr>
        <w:t>中小企业声明函</w:t>
      </w:r>
      <w:r>
        <w:rPr>
          <w:rFonts w:hint="eastAsia" w:ascii="宋体" w:hAnsi="宋体" w:cs="MingLiU"/>
          <w:color w:val="auto"/>
          <w:spacing w:val="30"/>
          <w:sz w:val="24"/>
          <w:szCs w:val="24"/>
          <w:highlight w:val="none"/>
        </w:rPr>
        <w:t>（如有）</w:t>
      </w:r>
    </w:p>
    <w:p w14:paraId="2A14DCCA">
      <w:pPr>
        <w:spacing w:line="588" w:lineRule="exact"/>
        <w:jc w:val="center"/>
        <w:rPr>
          <w:rFonts w:ascii="黑体" w:hAnsi="黑体" w:eastAsia="黑体"/>
          <w:b/>
          <w:color w:val="auto"/>
          <w:sz w:val="30"/>
          <w:szCs w:val="30"/>
          <w:highlight w:val="none"/>
        </w:rPr>
      </w:pPr>
    </w:p>
    <w:p w14:paraId="170838F2">
      <w:pPr>
        <w:spacing w:line="588" w:lineRule="exact"/>
        <w:ind w:firstLine="504" w:firstLineChars="200"/>
        <w:rPr>
          <w:rFonts w:ascii="宋体" w:hAnsi="宋体"/>
          <w:color w:val="auto"/>
          <w:spacing w:val="6"/>
          <w:sz w:val="24"/>
          <w:szCs w:val="24"/>
          <w:highlight w:val="none"/>
        </w:rPr>
      </w:pPr>
      <w:r>
        <w:rPr>
          <w:rFonts w:ascii="宋体" w:hAnsi="宋体"/>
          <w:color w:val="auto"/>
          <w:spacing w:val="6"/>
          <w:sz w:val="24"/>
          <w:szCs w:val="24"/>
          <w:highlight w:val="none"/>
        </w:rPr>
        <w:t>本公司（联合体）郑重声明，根据《政府采购促进中小企业发展管理办法》（财库〔2020〕46号）的规定，本公司(联合体）参加</w:t>
      </w:r>
      <w:r>
        <w:rPr>
          <w:rFonts w:ascii="宋体" w:hAnsi="宋体"/>
          <w:color w:val="auto"/>
          <w:spacing w:val="6"/>
          <w:sz w:val="24"/>
          <w:szCs w:val="24"/>
          <w:highlight w:val="none"/>
          <w:u w:val="single"/>
        </w:rPr>
        <w:t>（单位名称）</w:t>
      </w:r>
      <w:r>
        <w:rPr>
          <w:rFonts w:ascii="宋体" w:hAnsi="宋体"/>
          <w:color w:val="auto"/>
          <w:spacing w:val="6"/>
          <w:sz w:val="24"/>
          <w:szCs w:val="24"/>
          <w:highlight w:val="none"/>
        </w:rPr>
        <w:t>的</w:t>
      </w:r>
      <w:r>
        <w:rPr>
          <w:rFonts w:ascii="宋体" w:hAnsi="宋体"/>
          <w:color w:val="auto"/>
          <w:spacing w:val="6"/>
          <w:sz w:val="24"/>
          <w:szCs w:val="24"/>
          <w:highlight w:val="none"/>
          <w:u w:val="single"/>
        </w:rPr>
        <w:t>（项目名称）</w:t>
      </w:r>
      <w:r>
        <w:rPr>
          <w:rFonts w:ascii="宋体" w:hAnsi="宋体"/>
          <w:color w:val="auto"/>
          <w:spacing w:val="6"/>
          <w:sz w:val="24"/>
          <w:szCs w:val="24"/>
          <w:highlight w:val="none"/>
        </w:rPr>
        <w:t>采购活动，提供的货物全部由符合政策要求的中小企业制造。相关企业 (含联合体中的中小企业、签订分包意向协议的中小企业）的具体情况如下：</w:t>
      </w:r>
    </w:p>
    <w:p w14:paraId="5003E5F4">
      <w:pPr>
        <w:spacing w:line="588" w:lineRule="exact"/>
        <w:ind w:firstLine="504" w:firstLineChars="200"/>
        <w:rPr>
          <w:rFonts w:ascii="宋体" w:hAnsi="宋体"/>
          <w:color w:val="auto"/>
          <w:spacing w:val="6"/>
          <w:sz w:val="24"/>
          <w:szCs w:val="24"/>
          <w:highlight w:val="none"/>
        </w:rPr>
      </w:pPr>
      <w:r>
        <w:rPr>
          <w:rFonts w:hint="eastAsia" w:ascii="宋体" w:hAnsi="宋体"/>
          <w:color w:val="auto"/>
          <w:spacing w:val="6"/>
          <w:sz w:val="24"/>
          <w:szCs w:val="24"/>
          <w:highlight w:val="none"/>
        </w:rPr>
        <w:t>1.</w:t>
      </w:r>
      <w:r>
        <w:rPr>
          <w:rFonts w:ascii="宋体" w:hAnsi="宋体"/>
          <w:color w:val="auto"/>
          <w:spacing w:val="6"/>
          <w:sz w:val="24"/>
          <w:szCs w:val="24"/>
          <w:highlight w:val="none"/>
          <w:u w:val="single"/>
        </w:rPr>
        <w:t>(标的名称)</w:t>
      </w:r>
      <w:r>
        <w:rPr>
          <w:rFonts w:ascii="宋体" w:hAnsi="宋体"/>
          <w:color w:val="auto"/>
          <w:spacing w:val="6"/>
          <w:sz w:val="24"/>
          <w:szCs w:val="24"/>
          <w:highlight w:val="none"/>
        </w:rPr>
        <w:t>，属于</w:t>
      </w:r>
      <w:r>
        <w:rPr>
          <w:rFonts w:ascii="宋体" w:hAnsi="宋体"/>
          <w:color w:val="auto"/>
          <w:spacing w:val="6"/>
          <w:sz w:val="24"/>
          <w:szCs w:val="24"/>
          <w:highlight w:val="none"/>
          <w:u w:val="single"/>
        </w:rPr>
        <w:t>（采购文件中明确的所属行业)</w:t>
      </w:r>
      <w:r>
        <w:rPr>
          <w:rFonts w:ascii="宋体" w:hAnsi="宋体"/>
          <w:color w:val="auto"/>
          <w:spacing w:val="6"/>
          <w:sz w:val="24"/>
          <w:szCs w:val="24"/>
          <w:highlight w:val="none"/>
        </w:rPr>
        <w:t>行业</w:t>
      </w:r>
      <w:r>
        <w:rPr>
          <w:rFonts w:hint="eastAsia" w:ascii="宋体" w:hAnsi="宋体"/>
          <w:color w:val="auto"/>
          <w:spacing w:val="6"/>
          <w:sz w:val="24"/>
          <w:szCs w:val="24"/>
          <w:highlight w:val="none"/>
        </w:rPr>
        <w:t>，</w:t>
      </w:r>
      <w:r>
        <w:rPr>
          <w:rFonts w:ascii="宋体" w:hAnsi="宋体"/>
          <w:color w:val="auto"/>
          <w:spacing w:val="6"/>
          <w:sz w:val="24"/>
          <w:szCs w:val="24"/>
          <w:highlight w:val="none"/>
        </w:rPr>
        <w:t xml:space="preserve"> 制造商为</w:t>
      </w:r>
      <w:r>
        <w:rPr>
          <w:rFonts w:ascii="宋体" w:hAnsi="宋体"/>
          <w:color w:val="auto"/>
          <w:spacing w:val="6"/>
          <w:sz w:val="24"/>
          <w:szCs w:val="24"/>
          <w:highlight w:val="none"/>
          <w:u w:val="single"/>
        </w:rPr>
        <w:t>（企业名称)</w:t>
      </w:r>
      <w:r>
        <w:rPr>
          <w:rFonts w:ascii="宋体" w:hAnsi="宋体"/>
          <w:color w:val="auto"/>
          <w:spacing w:val="6"/>
          <w:sz w:val="24"/>
          <w:szCs w:val="24"/>
          <w:highlight w:val="none"/>
        </w:rPr>
        <w:t>，从业人员</w:t>
      </w:r>
      <w:r>
        <w:rPr>
          <w:rFonts w:hint="eastAsia" w:ascii="宋体" w:hAnsi="宋体"/>
          <w:color w:val="auto"/>
          <w:spacing w:val="6"/>
          <w:sz w:val="24"/>
          <w:szCs w:val="24"/>
          <w:highlight w:val="none"/>
          <w:u w:val="single"/>
        </w:rPr>
        <w:t xml:space="preserve">    </w:t>
      </w:r>
      <w:r>
        <w:rPr>
          <w:rFonts w:ascii="宋体" w:hAnsi="宋体"/>
          <w:color w:val="auto"/>
          <w:spacing w:val="6"/>
          <w:sz w:val="24"/>
          <w:szCs w:val="24"/>
          <w:highlight w:val="none"/>
        </w:rPr>
        <w:t>人，营业收入为</w:t>
      </w:r>
      <w:r>
        <w:rPr>
          <w:rFonts w:ascii="宋体" w:hAnsi="宋体"/>
          <w:color w:val="auto"/>
          <w:spacing w:val="6"/>
          <w:sz w:val="24"/>
          <w:szCs w:val="24"/>
          <w:highlight w:val="none"/>
          <w:u w:val="single"/>
        </w:rPr>
        <w:t>_</w:t>
      </w:r>
      <w:r>
        <w:rPr>
          <w:rFonts w:hint="eastAsia" w:ascii="宋体" w:hAnsi="宋体"/>
          <w:color w:val="auto"/>
          <w:spacing w:val="6"/>
          <w:sz w:val="24"/>
          <w:szCs w:val="24"/>
          <w:highlight w:val="none"/>
          <w:u w:val="single"/>
        </w:rPr>
        <w:t xml:space="preserve">  </w:t>
      </w:r>
      <w:r>
        <w:rPr>
          <w:rFonts w:ascii="宋体" w:hAnsi="宋体"/>
          <w:color w:val="auto"/>
          <w:spacing w:val="6"/>
          <w:sz w:val="24"/>
          <w:szCs w:val="24"/>
          <w:highlight w:val="none"/>
        </w:rPr>
        <w:t>万元，资产总额为</w:t>
      </w:r>
      <w:r>
        <w:rPr>
          <w:rFonts w:hint="eastAsia" w:ascii="宋体" w:hAnsi="宋体"/>
          <w:color w:val="auto"/>
          <w:spacing w:val="6"/>
          <w:sz w:val="24"/>
          <w:szCs w:val="24"/>
          <w:highlight w:val="none"/>
        </w:rPr>
        <w:t xml:space="preserve"> </w:t>
      </w:r>
      <w:r>
        <w:rPr>
          <w:rFonts w:hint="eastAsia" w:ascii="宋体" w:hAnsi="宋体"/>
          <w:color w:val="auto"/>
          <w:spacing w:val="6"/>
          <w:sz w:val="24"/>
          <w:szCs w:val="24"/>
          <w:highlight w:val="none"/>
          <w:u w:val="single"/>
        </w:rPr>
        <w:t xml:space="preserve"> </w:t>
      </w:r>
      <w:r>
        <w:rPr>
          <w:rFonts w:ascii="宋体" w:hAnsi="宋体"/>
          <w:color w:val="auto"/>
          <w:spacing w:val="6"/>
          <w:sz w:val="24"/>
          <w:szCs w:val="24"/>
          <w:highlight w:val="none"/>
          <w:u w:val="single"/>
        </w:rPr>
        <w:t>_</w:t>
      </w:r>
      <w:r>
        <w:rPr>
          <w:rFonts w:ascii="宋体" w:hAnsi="宋体"/>
          <w:color w:val="auto"/>
          <w:spacing w:val="6"/>
          <w:sz w:val="24"/>
          <w:szCs w:val="24"/>
          <w:highlight w:val="none"/>
        </w:rPr>
        <w:t>万元</w:t>
      </w:r>
      <w:r>
        <w:rPr>
          <w:rFonts w:hint="eastAsia" w:ascii="宋体" w:hAnsi="宋体"/>
          <w:color w:val="auto"/>
          <w:spacing w:val="6"/>
          <w:sz w:val="24"/>
          <w:szCs w:val="24"/>
          <w:highlight w:val="none"/>
          <w:vertAlign w:val="superscript"/>
        </w:rPr>
        <w:t>1</w:t>
      </w:r>
      <w:r>
        <w:rPr>
          <w:rFonts w:hint="eastAsia" w:ascii="宋体" w:hAnsi="宋体"/>
          <w:color w:val="auto"/>
          <w:spacing w:val="6"/>
          <w:sz w:val="24"/>
          <w:szCs w:val="24"/>
          <w:highlight w:val="none"/>
        </w:rPr>
        <w:t>，</w:t>
      </w:r>
      <w:r>
        <w:rPr>
          <w:rFonts w:hint="eastAsia"/>
          <w:color w:val="auto"/>
          <w:sz w:val="24"/>
          <w:szCs w:val="24"/>
          <w:highlight w:val="none"/>
        </w:rPr>
        <w:t>按采购文件中明确的所属行业</w:t>
      </w:r>
      <w:r>
        <w:rPr>
          <w:rFonts w:ascii="宋体" w:hAnsi="宋体"/>
          <w:color w:val="auto"/>
          <w:spacing w:val="6"/>
          <w:sz w:val="24"/>
          <w:szCs w:val="24"/>
          <w:highlight w:val="none"/>
        </w:rPr>
        <w:t>属于</w:t>
      </w:r>
      <w:r>
        <w:rPr>
          <w:rFonts w:ascii="宋体" w:hAnsi="宋体"/>
          <w:color w:val="auto"/>
          <w:spacing w:val="6"/>
          <w:sz w:val="24"/>
          <w:szCs w:val="24"/>
          <w:highlight w:val="none"/>
          <w:u w:val="single"/>
        </w:rPr>
        <w:t>（中型企业、小 型企业、微型企业）</w:t>
      </w:r>
      <w:r>
        <w:rPr>
          <w:rFonts w:hint="eastAsia" w:ascii="宋体" w:hAnsi="宋体"/>
          <w:color w:val="auto"/>
          <w:spacing w:val="6"/>
          <w:sz w:val="24"/>
          <w:szCs w:val="24"/>
          <w:highlight w:val="none"/>
        </w:rPr>
        <w:t>；</w:t>
      </w:r>
    </w:p>
    <w:p w14:paraId="6F118CB7">
      <w:pPr>
        <w:spacing w:line="588" w:lineRule="exact"/>
        <w:ind w:firstLine="504" w:firstLineChars="200"/>
        <w:rPr>
          <w:rFonts w:ascii="宋体" w:hAnsi="宋体"/>
          <w:color w:val="auto"/>
          <w:spacing w:val="6"/>
          <w:sz w:val="24"/>
          <w:szCs w:val="24"/>
          <w:highlight w:val="none"/>
        </w:rPr>
      </w:pPr>
      <w:r>
        <w:rPr>
          <w:rFonts w:hint="eastAsia" w:ascii="宋体" w:hAnsi="宋体"/>
          <w:color w:val="auto"/>
          <w:spacing w:val="6"/>
          <w:sz w:val="24"/>
          <w:szCs w:val="24"/>
          <w:highlight w:val="none"/>
        </w:rPr>
        <w:t>2.</w:t>
      </w:r>
      <w:r>
        <w:rPr>
          <w:rFonts w:ascii="宋体" w:hAnsi="宋体"/>
          <w:color w:val="auto"/>
          <w:spacing w:val="6"/>
          <w:sz w:val="24"/>
          <w:szCs w:val="24"/>
          <w:highlight w:val="none"/>
        </w:rPr>
        <w:t xml:space="preserve"> </w:t>
      </w:r>
      <w:r>
        <w:rPr>
          <w:rFonts w:ascii="宋体" w:hAnsi="宋体"/>
          <w:color w:val="auto"/>
          <w:spacing w:val="6"/>
          <w:sz w:val="24"/>
          <w:szCs w:val="24"/>
          <w:highlight w:val="none"/>
          <w:u w:val="single"/>
        </w:rPr>
        <w:t>(标的名称)</w:t>
      </w:r>
      <w:r>
        <w:rPr>
          <w:rFonts w:ascii="宋体" w:hAnsi="宋体"/>
          <w:color w:val="auto"/>
          <w:spacing w:val="6"/>
          <w:sz w:val="24"/>
          <w:szCs w:val="24"/>
          <w:highlight w:val="none"/>
        </w:rPr>
        <w:t>，属于</w:t>
      </w:r>
      <w:r>
        <w:rPr>
          <w:rFonts w:ascii="宋体" w:hAnsi="宋体"/>
          <w:color w:val="auto"/>
          <w:spacing w:val="6"/>
          <w:sz w:val="24"/>
          <w:szCs w:val="24"/>
          <w:highlight w:val="none"/>
          <w:u w:val="single"/>
        </w:rPr>
        <w:t>（采购文件中明确的所属行业)</w:t>
      </w:r>
      <w:r>
        <w:rPr>
          <w:rFonts w:ascii="宋体" w:hAnsi="宋体"/>
          <w:color w:val="auto"/>
          <w:spacing w:val="6"/>
          <w:sz w:val="24"/>
          <w:szCs w:val="24"/>
          <w:highlight w:val="none"/>
        </w:rPr>
        <w:t>行业</w:t>
      </w:r>
      <w:r>
        <w:rPr>
          <w:rFonts w:hint="eastAsia" w:ascii="宋体" w:hAnsi="宋体"/>
          <w:color w:val="auto"/>
          <w:spacing w:val="6"/>
          <w:sz w:val="24"/>
          <w:szCs w:val="24"/>
          <w:highlight w:val="none"/>
        </w:rPr>
        <w:t>，</w:t>
      </w:r>
      <w:r>
        <w:rPr>
          <w:rFonts w:ascii="宋体" w:hAnsi="宋体"/>
          <w:color w:val="auto"/>
          <w:spacing w:val="6"/>
          <w:sz w:val="24"/>
          <w:szCs w:val="24"/>
          <w:highlight w:val="none"/>
        </w:rPr>
        <w:t xml:space="preserve"> 制造商为</w:t>
      </w:r>
      <w:r>
        <w:rPr>
          <w:rFonts w:ascii="宋体" w:hAnsi="宋体"/>
          <w:color w:val="auto"/>
          <w:spacing w:val="6"/>
          <w:sz w:val="24"/>
          <w:szCs w:val="24"/>
          <w:highlight w:val="none"/>
          <w:u w:val="single"/>
        </w:rPr>
        <w:t>（企业名称)</w:t>
      </w:r>
      <w:r>
        <w:rPr>
          <w:rFonts w:ascii="宋体" w:hAnsi="宋体"/>
          <w:color w:val="auto"/>
          <w:spacing w:val="6"/>
          <w:sz w:val="24"/>
          <w:szCs w:val="24"/>
          <w:highlight w:val="none"/>
        </w:rPr>
        <w:t>，从业人员</w:t>
      </w:r>
      <w:r>
        <w:rPr>
          <w:rFonts w:hint="eastAsia" w:ascii="宋体" w:hAnsi="宋体"/>
          <w:color w:val="auto"/>
          <w:spacing w:val="6"/>
          <w:sz w:val="24"/>
          <w:szCs w:val="24"/>
          <w:highlight w:val="none"/>
          <w:u w:val="single"/>
        </w:rPr>
        <w:t xml:space="preserve">    </w:t>
      </w:r>
      <w:r>
        <w:rPr>
          <w:rFonts w:ascii="宋体" w:hAnsi="宋体"/>
          <w:color w:val="auto"/>
          <w:spacing w:val="6"/>
          <w:sz w:val="24"/>
          <w:szCs w:val="24"/>
          <w:highlight w:val="none"/>
        </w:rPr>
        <w:t>人，营业收入为</w:t>
      </w:r>
      <w:r>
        <w:rPr>
          <w:rFonts w:ascii="宋体" w:hAnsi="宋体"/>
          <w:color w:val="auto"/>
          <w:spacing w:val="6"/>
          <w:sz w:val="24"/>
          <w:szCs w:val="24"/>
          <w:highlight w:val="none"/>
          <w:u w:val="single"/>
        </w:rPr>
        <w:t>_</w:t>
      </w:r>
      <w:r>
        <w:rPr>
          <w:rFonts w:hint="eastAsia" w:ascii="宋体" w:hAnsi="宋体"/>
          <w:color w:val="auto"/>
          <w:spacing w:val="6"/>
          <w:sz w:val="24"/>
          <w:szCs w:val="24"/>
          <w:highlight w:val="none"/>
          <w:u w:val="single"/>
        </w:rPr>
        <w:t xml:space="preserve">  </w:t>
      </w:r>
      <w:r>
        <w:rPr>
          <w:rFonts w:ascii="宋体" w:hAnsi="宋体"/>
          <w:color w:val="auto"/>
          <w:spacing w:val="6"/>
          <w:sz w:val="24"/>
          <w:szCs w:val="24"/>
          <w:highlight w:val="none"/>
        </w:rPr>
        <w:t>万元，资产总额为</w:t>
      </w:r>
      <w:r>
        <w:rPr>
          <w:rFonts w:hint="eastAsia" w:ascii="宋体" w:hAnsi="宋体"/>
          <w:color w:val="auto"/>
          <w:spacing w:val="6"/>
          <w:sz w:val="24"/>
          <w:szCs w:val="24"/>
          <w:highlight w:val="none"/>
        </w:rPr>
        <w:t xml:space="preserve"> </w:t>
      </w:r>
      <w:r>
        <w:rPr>
          <w:rFonts w:hint="eastAsia" w:ascii="宋体" w:hAnsi="宋体"/>
          <w:color w:val="auto"/>
          <w:spacing w:val="6"/>
          <w:sz w:val="24"/>
          <w:szCs w:val="24"/>
          <w:highlight w:val="none"/>
          <w:u w:val="single"/>
        </w:rPr>
        <w:t xml:space="preserve"> </w:t>
      </w:r>
      <w:r>
        <w:rPr>
          <w:rFonts w:ascii="宋体" w:hAnsi="宋体"/>
          <w:color w:val="auto"/>
          <w:spacing w:val="6"/>
          <w:sz w:val="24"/>
          <w:szCs w:val="24"/>
          <w:highlight w:val="none"/>
          <w:u w:val="single"/>
        </w:rPr>
        <w:t>_</w:t>
      </w:r>
      <w:r>
        <w:rPr>
          <w:rFonts w:ascii="宋体" w:hAnsi="宋体"/>
          <w:color w:val="auto"/>
          <w:spacing w:val="6"/>
          <w:sz w:val="24"/>
          <w:szCs w:val="24"/>
          <w:highlight w:val="none"/>
        </w:rPr>
        <w:t>万元</w:t>
      </w:r>
      <w:r>
        <w:rPr>
          <w:rFonts w:hint="eastAsia" w:ascii="宋体" w:hAnsi="宋体"/>
          <w:color w:val="auto"/>
          <w:spacing w:val="6"/>
          <w:sz w:val="24"/>
          <w:szCs w:val="24"/>
          <w:highlight w:val="none"/>
        </w:rPr>
        <w:t>，按采购文件中明确的所属行业</w:t>
      </w:r>
      <w:r>
        <w:rPr>
          <w:rFonts w:ascii="宋体" w:hAnsi="宋体"/>
          <w:color w:val="auto"/>
          <w:spacing w:val="6"/>
          <w:sz w:val="24"/>
          <w:szCs w:val="24"/>
          <w:highlight w:val="none"/>
        </w:rPr>
        <w:t>属于</w:t>
      </w:r>
      <w:r>
        <w:rPr>
          <w:rFonts w:ascii="宋体" w:hAnsi="宋体"/>
          <w:color w:val="auto"/>
          <w:spacing w:val="6"/>
          <w:sz w:val="24"/>
          <w:szCs w:val="24"/>
          <w:highlight w:val="none"/>
          <w:u w:val="single"/>
        </w:rPr>
        <w:t>（中型企业、小 型企业、微型企业）</w:t>
      </w:r>
      <w:r>
        <w:rPr>
          <w:rFonts w:hint="eastAsia" w:ascii="宋体" w:hAnsi="宋体"/>
          <w:color w:val="auto"/>
          <w:spacing w:val="6"/>
          <w:sz w:val="24"/>
          <w:szCs w:val="24"/>
          <w:highlight w:val="none"/>
        </w:rPr>
        <w:t>；</w:t>
      </w:r>
    </w:p>
    <w:p w14:paraId="44530298">
      <w:pPr>
        <w:spacing w:line="588" w:lineRule="exact"/>
        <w:ind w:firstLine="504" w:firstLineChars="200"/>
        <w:rPr>
          <w:rFonts w:ascii="宋体" w:hAnsi="宋体"/>
          <w:color w:val="auto"/>
          <w:spacing w:val="6"/>
          <w:sz w:val="24"/>
          <w:szCs w:val="24"/>
          <w:highlight w:val="none"/>
        </w:rPr>
      </w:pPr>
      <w:r>
        <w:rPr>
          <w:rFonts w:hint="eastAsia" w:ascii="宋体" w:hAnsi="宋体"/>
          <w:color w:val="auto"/>
          <w:spacing w:val="6"/>
          <w:sz w:val="24"/>
          <w:szCs w:val="24"/>
          <w:highlight w:val="none"/>
        </w:rPr>
        <w:t>……</w:t>
      </w:r>
    </w:p>
    <w:p w14:paraId="0A279289">
      <w:pPr>
        <w:spacing w:line="588" w:lineRule="exact"/>
        <w:ind w:firstLine="504" w:firstLineChars="200"/>
        <w:rPr>
          <w:rFonts w:ascii="宋体" w:hAnsi="宋体"/>
          <w:color w:val="auto"/>
          <w:spacing w:val="6"/>
          <w:sz w:val="24"/>
          <w:szCs w:val="24"/>
          <w:highlight w:val="none"/>
        </w:rPr>
      </w:pPr>
      <w:r>
        <w:rPr>
          <w:rFonts w:ascii="宋体" w:hAnsi="宋体"/>
          <w:color w:val="auto"/>
          <w:spacing w:val="6"/>
          <w:sz w:val="24"/>
          <w:szCs w:val="24"/>
          <w:highlight w:val="none"/>
        </w:rPr>
        <w:t>以上企业，不属于大企业的分支机构，不存在控股股东为大企业的情形，也不存在与大企业的负责人为同一人的情形。</w:t>
      </w:r>
    </w:p>
    <w:p w14:paraId="27341819">
      <w:pPr>
        <w:spacing w:line="588" w:lineRule="exact"/>
        <w:ind w:firstLine="504" w:firstLineChars="200"/>
        <w:rPr>
          <w:rFonts w:ascii="宋体" w:hAnsi="宋体"/>
          <w:color w:val="auto"/>
          <w:spacing w:val="6"/>
          <w:sz w:val="24"/>
          <w:szCs w:val="24"/>
          <w:highlight w:val="none"/>
        </w:rPr>
      </w:pPr>
      <w:r>
        <w:rPr>
          <w:rFonts w:ascii="宋体" w:hAnsi="宋体"/>
          <w:color w:val="auto"/>
          <w:spacing w:val="6"/>
          <w:sz w:val="24"/>
          <w:szCs w:val="24"/>
          <w:highlight w:val="none"/>
        </w:rPr>
        <w:t>本企业对上述声明内容的真实性负责。如有虚假，将依法承担相应责任。</w:t>
      </w:r>
    </w:p>
    <w:p w14:paraId="1ACC6D31">
      <w:pPr>
        <w:spacing w:line="588" w:lineRule="exact"/>
        <w:rPr>
          <w:rFonts w:ascii="宋体" w:hAnsi="宋体"/>
          <w:color w:val="auto"/>
          <w:spacing w:val="6"/>
          <w:sz w:val="24"/>
          <w:szCs w:val="24"/>
          <w:highlight w:val="none"/>
        </w:rPr>
      </w:pPr>
    </w:p>
    <w:p w14:paraId="4AC84553">
      <w:pPr>
        <w:pStyle w:val="73"/>
        <w:shd w:val="clear" w:color="auto" w:fill="auto"/>
        <w:spacing w:after="228" w:line="300" w:lineRule="exact"/>
        <w:ind w:firstLine="4536" w:firstLineChars="1512"/>
        <w:rPr>
          <w:rFonts w:ascii="宋体" w:hAnsi="宋体" w:eastAsia="宋体"/>
          <w:color w:val="auto"/>
          <w:sz w:val="24"/>
          <w:szCs w:val="24"/>
          <w:highlight w:val="none"/>
        </w:rPr>
      </w:pPr>
      <w:r>
        <w:rPr>
          <w:rFonts w:ascii="宋体" w:hAnsi="宋体" w:eastAsia="宋体"/>
          <w:color w:val="auto"/>
          <w:sz w:val="24"/>
          <w:szCs w:val="24"/>
          <w:highlight w:val="none"/>
        </w:rPr>
        <w:t>企业名称（盖章</w:t>
      </w:r>
      <w:r>
        <w:rPr>
          <w:rFonts w:ascii="宋体" w:hAnsi="宋体" w:eastAsia="宋体"/>
          <w:color w:val="auto"/>
          <w:sz w:val="24"/>
          <w:szCs w:val="24"/>
          <w:highlight w:val="none"/>
          <w:lang w:bidi="en-US"/>
        </w:rPr>
        <w:t>）</w:t>
      </w:r>
    </w:p>
    <w:p w14:paraId="7D60CEAA">
      <w:pPr>
        <w:autoSpaceDE w:val="0"/>
        <w:autoSpaceDN w:val="0"/>
        <w:adjustRightInd w:val="0"/>
        <w:spacing w:line="360" w:lineRule="auto"/>
        <w:ind w:firstLine="4536" w:firstLineChars="1890"/>
        <w:jc w:val="left"/>
        <w:rPr>
          <w:rFonts w:ascii="宋体" w:hAnsi="宋体"/>
          <w:color w:val="auto"/>
          <w:sz w:val="24"/>
          <w:szCs w:val="24"/>
          <w:highlight w:val="none"/>
        </w:rPr>
      </w:pPr>
      <w:r>
        <w:rPr>
          <w:rFonts w:ascii="宋体" w:hAnsi="宋体"/>
          <w:color w:val="auto"/>
          <w:sz w:val="24"/>
          <w:szCs w:val="24"/>
          <w:highlight w:val="none"/>
        </w:rPr>
        <w:t>日期：</w:t>
      </w:r>
    </w:p>
    <w:p w14:paraId="02C9954F">
      <w:pPr>
        <w:spacing w:line="588" w:lineRule="exact"/>
        <w:ind w:firstLine="504" w:firstLineChars="200"/>
        <w:rPr>
          <w:rFonts w:ascii="宋体" w:hAnsi="宋体"/>
          <w:color w:val="auto"/>
          <w:spacing w:val="6"/>
          <w:sz w:val="24"/>
          <w:szCs w:val="24"/>
          <w:highlight w:val="none"/>
        </w:rPr>
      </w:pPr>
    </w:p>
    <w:p w14:paraId="0E1834C7">
      <w:pPr>
        <w:spacing w:line="240" w:lineRule="auto"/>
        <w:jc w:val="center"/>
        <w:textAlignment w:val="auto"/>
        <w:rPr>
          <w:rFonts w:ascii="黑体" w:hAnsi="黑体" w:eastAsia="黑体"/>
          <w:b/>
          <w:color w:val="auto"/>
          <w:sz w:val="30"/>
          <w:szCs w:val="30"/>
          <w:highlight w:val="none"/>
        </w:rPr>
      </w:pPr>
    </w:p>
    <w:p w14:paraId="58920CC7">
      <w:pPr>
        <w:spacing w:line="240" w:lineRule="auto"/>
        <w:rPr>
          <w:rStyle w:val="72"/>
          <w:rFonts w:ascii="宋体" w:hAnsi="宋体" w:eastAsia="宋体"/>
          <w:color w:val="auto"/>
          <w:highlight w:val="none"/>
        </w:rPr>
      </w:pPr>
      <w:r>
        <w:rPr>
          <w:rFonts w:hint="eastAsia" w:ascii="宋体" w:hAnsi="宋体"/>
          <w:color w:val="auto"/>
          <w:sz w:val="18"/>
          <w:szCs w:val="18"/>
          <w:highlight w:val="none"/>
        </w:rPr>
        <w:t>注：1、</w:t>
      </w:r>
      <w:r>
        <w:rPr>
          <w:rStyle w:val="71"/>
          <w:rFonts w:ascii="宋体" w:hAnsi="宋体" w:eastAsia="宋体"/>
          <w:color w:val="auto"/>
          <w:sz w:val="18"/>
          <w:szCs w:val="18"/>
          <w:highlight w:val="none"/>
          <w:vertAlign w:val="superscript"/>
        </w:rPr>
        <w:t>1</w:t>
      </w:r>
      <w:r>
        <w:rPr>
          <w:rStyle w:val="72"/>
          <w:rFonts w:ascii="宋体" w:hAnsi="宋体" w:eastAsia="宋体"/>
          <w:color w:val="auto"/>
          <w:highlight w:val="none"/>
        </w:rPr>
        <w:t>从业人员、营业收入、资产总额填报上一年度数据，无上一年度数据的新成立企业可不填报</w:t>
      </w:r>
      <w:r>
        <w:rPr>
          <w:rStyle w:val="72"/>
          <w:rFonts w:hint="eastAsia" w:ascii="宋体" w:hAnsi="宋体" w:eastAsia="宋体"/>
          <w:color w:val="auto"/>
          <w:highlight w:val="none"/>
        </w:rPr>
        <w:t>。</w:t>
      </w:r>
    </w:p>
    <w:p w14:paraId="32ED8EF2">
      <w:pPr>
        <w:spacing w:line="240" w:lineRule="auto"/>
        <w:rPr>
          <w:rFonts w:ascii="宋体" w:hAnsi="宋体"/>
          <w:color w:val="auto"/>
          <w:sz w:val="18"/>
          <w:szCs w:val="18"/>
          <w:highlight w:val="none"/>
        </w:rPr>
      </w:pPr>
      <w:r>
        <w:rPr>
          <w:rStyle w:val="72"/>
          <w:rFonts w:hint="eastAsia" w:ascii="宋体" w:hAnsi="宋体" w:eastAsia="宋体"/>
          <w:color w:val="auto"/>
          <w:highlight w:val="none"/>
        </w:rPr>
        <w:t xml:space="preserve">     2、招标文件中未标注“专门面向中小企业采购”的未预留（非预留）项目，投标人可以根据自身情况提供《中小企业声明函》，未提供《中小企业声明函》的、将不享受小微企业价格扣除扶持政策。</w:t>
      </w:r>
    </w:p>
    <w:p w14:paraId="3894D110">
      <w:pPr>
        <w:spacing w:line="240" w:lineRule="auto"/>
        <w:jc w:val="center"/>
        <w:textAlignment w:val="auto"/>
        <w:rPr>
          <w:rFonts w:ascii="黑体" w:hAnsi="黑体" w:eastAsia="黑体"/>
          <w:b/>
          <w:color w:val="auto"/>
          <w:sz w:val="30"/>
          <w:szCs w:val="30"/>
          <w:highlight w:val="none"/>
        </w:rPr>
      </w:pPr>
      <w:r>
        <w:rPr>
          <w:rFonts w:ascii="黑体" w:hAnsi="黑体" w:eastAsia="黑体"/>
          <w:b/>
          <w:color w:val="auto"/>
          <w:sz w:val="30"/>
          <w:szCs w:val="30"/>
          <w:highlight w:val="none"/>
        </w:rPr>
        <w:br w:type="page"/>
      </w:r>
    </w:p>
    <w:p w14:paraId="035ED252">
      <w:pPr>
        <w:spacing w:line="240" w:lineRule="auto"/>
        <w:jc w:val="center"/>
        <w:textAlignment w:val="auto"/>
        <w:rPr>
          <w:rFonts w:ascii="黑体" w:hAnsi="黑体" w:eastAsia="黑体"/>
          <w:b/>
          <w:color w:val="auto"/>
          <w:sz w:val="30"/>
          <w:szCs w:val="30"/>
          <w:highlight w:val="none"/>
        </w:rPr>
      </w:pPr>
      <w:r>
        <w:rPr>
          <w:rFonts w:hint="eastAsia" w:ascii="黑体" w:hAnsi="黑体" w:eastAsia="黑体"/>
          <w:b/>
          <w:color w:val="auto"/>
          <w:sz w:val="30"/>
          <w:szCs w:val="30"/>
          <w:highlight w:val="none"/>
        </w:rPr>
        <w:t>残疾人福利性单位声明函</w:t>
      </w:r>
      <w:r>
        <w:rPr>
          <w:rFonts w:hint="eastAsia" w:ascii="宋体" w:hAnsi="宋体"/>
          <w:color w:val="auto"/>
          <w:spacing w:val="6"/>
          <w:sz w:val="24"/>
          <w:szCs w:val="24"/>
          <w:highlight w:val="none"/>
        </w:rPr>
        <w:t>（如符合条件时填写</w:t>
      </w:r>
      <w:r>
        <w:rPr>
          <w:rFonts w:hint="eastAsia" w:ascii="宋体" w:hAnsi="宋体"/>
          <w:color w:val="auto"/>
          <w:spacing w:val="6"/>
          <w:sz w:val="28"/>
          <w:szCs w:val="28"/>
          <w:highlight w:val="none"/>
          <w:vertAlign w:val="superscript"/>
        </w:rPr>
        <w:t>*</w:t>
      </w:r>
      <w:r>
        <w:rPr>
          <w:rFonts w:hint="eastAsia" w:ascii="宋体" w:hAnsi="宋体"/>
          <w:color w:val="auto"/>
          <w:spacing w:val="6"/>
          <w:sz w:val="24"/>
          <w:szCs w:val="24"/>
          <w:highlight w:val="none"/>
        </w:rPr>
        <w:t>）</w:t>
      </w:r>
    </w:p>
    <w:p w14:paraId="44F99FB7">
      <w:pPr>
        <w:spacing w:line="588" w:lineRule="exact"/>
        <w:rPr>
          <w:rFonts w:ascii="仿宋_GB2312" w:eastAsia="仿宋_GB2312"/>
          <w:b/>
          <w:color w:val="auto"/>
          <w:spacing w:val="6"/>
          <w:sz w:val="30"/>
          <w:szCs w:val="30"/>
          <w:highlight w:val="none"/>
        </w:rPr>
      </w:pPr>
    </w:p>
    <w:p w14:paraId="7EF6EDDD">
      <w:pPr>
        <w:spacing w:line="588" w:lineRule="exact"/>
        <w:ind w:firstLine="504" w:firstLineChars="200"/>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本单位郑重声明，根据《财政部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D98E393">
      <w:pPr>
        <w:spacing w:line="588" w:lineRule="exact"/>
        <w:ind w:firstLine="504" w:firstLineChars="200"/>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48833B66">
      <w:pPr>
        <w:spacing w:line="588" w:lineRule="exact"/>
        <w:ind w:firstLine="504" w:firstLineChars="200"/>
        <w:rPr>
          <w:rFonts w:asciiTheme="minorEastAsia" w:hAnsiTheme="minorEastAsia" w:eastAsiaTheme="minorEastAsia"/>
          <w:color w:val="auto"/>
          <w:spacing w:val="6"/>
          <w:sz w:val="24"/>
          <w:szCs w:val="24"/>
          <w:highlight w:val="none"/>
        </w:rPr>
      </w:pPr>
    </w:p>
    <w:p w14:paraId="24A065B9">
      <w:pPr>
        <w:spacing w:line="588" w:lineRule="exact"/>
        <w:ind w:firstLine="504" w:firstLineChars="200"/>
        <w:rPr>
          <w:rFonts w:asciiTheme="minorEastAsia" w:hAnsiTheme="minorEastAsia" w:eastAsiaTheme="minorEastAsia"/>
          <w:color w:val="auto"/>
          <w:spacing w:val="6"/>
          <w:sz w:val="24"/>
          <w:szCs w:val="24"/>
          <w:highlight w:val="none"/>
        </w:rPr>
      </w:pPr>
    </w:p>
    <w:p w14:paraId="5CC6F312">
      <w:pPr>
        <w:spacing w:line="588" w:lineRule="exact"/>
        <w:ind w:firstLine="504" w:firstLineChars="200"/>
        <w:rPr>
          <w:rFonts w:asciiTheme="minorEastAsia" w:hAnsiTheme="minorEastAsia" w:eastAsiaTheme="minorEastAsia"/>
          <w:color w:val="auto"/>
          <w:spacing w:val="6"/>
          <w:sz w:val="24"/>
          <w:szCs w:val="24"/>
          <w:highlight w:val="none"/>
        </w:rPr>
      </w:pPr>
    </w:p>
    <w:p w14:paraId="6F1047B9">
      <w:pPr>
        <w:snapToGrid w:val="0"/>
        <w:spacing w:before="100" w:beforeAutospacing="1" w:after="100" w:afterAutospacing="1" w:line="700" w:lineRule="exact"/>
        <w:ind w:right="641" w:firstLine="4960" w:firstLineChars="2067"/>
        <w:rPr>
          <w:rFonts w:ascii="宋体" w:hAnsi="宋体"/>
          <w:color w:val="auto"/>
          <w:sz w:val="24"/>
          <w:szCs w:val="24"/>
          <w:highlight w:val="none"/>
        </w:rPr>
      </w:pPr>
      <w:r>
        <w:rPr>
          <w:rFonts w:hint="eastAsia" w:ascii="宋体" w:hAnsi="宋体"/>
          <w:color w:val="auto"/>
          <w:sz w:val="24"/>
          <w:szCs w:val="24"/>
          <w:highlight w:val="none"/>
        </w:rPr>
        <w:t>单位名称</w:t>
      </w:r>
      <w:r>
        <w:rPr>
          <w:rFonts w:ascii="宋体" w:hAnsi="宋体"/>
          <w:color w:val="auto"/>
          <w:sz w:val="24"/>
          <w:szCs w:val="24"/>
          <w:highlight w:val="none"/>
        </w:rPr>
        <w:t>（盖章</w:t>
      </w:r>
      <w:r>
        <w:rPr>
          <w:rFonts w:ascii="宋体" w:hAnsi="宋体"/>
          <w:color w:val="auto"/>
          <w:sz w:val="24"/>
          <w:szCs w:val="24"/>
          <w:highlight w:val="none"/>
          <w:lang w:bidi="en-US"/>
        </w:rPr>
        <w:t>）</w:t>
      </w:r>
      <w:r>
        <w:rPr>
          <w:rFonts w:hint="eastAsia" w:ascii="宋体" w:hAnsi="宋体"/>
          <w:color w:val="auto"/>
          <w:sz w:val="24"/>
          <w:szCs w:val="24"/>
          <w:highlight w:val="none"/>
        </w:rPr>
        <w:t>：</w:t>
      </w:r>
    </w:p>
    <w:p w14:paraId="56AEF3E9">
      <w:pPr>
        <w:snapToGrid w:val="0"/>
        <w:spacing w:before="100" w:beforeAutospacing="1" w:after="100" w:afterAutospacing="1" w:line="540" w:lineRule="exact"/>
        <w:ind w:right="85" w:firstLine="5016" w:firstLineChars="2090"/>
        <w:jc w:val="left"/>
        <w:textAlignment w:val="top"/>
        <w:rPr>
          <w:rFonts w:ascii="宋体" w:hAnsi="宋体"/>
          <w:color w:val="auto"/>
          <w:sz w:val="24"/>
          <w:szCs w:val="24"/>
          <w:highlight w:val="none"/>
        </w:rPr>
      </w:pPr>
      <w:r>
        <w:rPr>
          <w:rFonts w:hint="eastAsia" w:ascii="宋体" w:hAnsi="宋体"/>
          <w:color w:val="auto"/>
          <w:sz w:val="24"/>
          <w:szCs w:val="24"/>
          <w:highlight w:val="none"/>
        </w:rPr>
        <w:t>日期：</w:t>
      </w:r>
    </w:p>
    <w:p w14:paraId="30502D1F">
      <w:pPr>
        <w:snapToGrid w:val="0"/>
        <w:spacing w:before="100" w:beforeAutospacing="1" w:after="100" w:afterAutospacing="1" w:line="540" w:lineRule="exact"/>
        <w:ind w:right="85" w:firstLine="5016" w:firstLineChars="2090"/>
        <w:jc w:val="left"/>
        <w:textAlignment w:val="top"/>
        <w:rPr>
          <w:rFonts w:ascii="宋体" w:hAnsi="宋体"/>
          <w:color w:val="auto"/>
          <w:sz w:val="24"/>
          <w:szCs w:val="24"/>
          <w:highlight w:val="none"/>
        </w:rPr>
      </w:pPr>
    </w:p>
    <w:p w14:paraId="046AB280">
      <w:pPr>
        <w:snapToGrid w:val="0"/>
        <w:spacing w:before="100" w:beforeAutospacing="1" w:after="100" w:afterAutospacing="1" w:line="540" w:lineRule="exact"/>
        <w:ind w:right="85" w:firstLine="5016" w:firstLineChars="2090"/>
        <w:jc w:val="left"/>
        <w:textAlignment w:val="top"/>
        <w:rPr>
          <w:rFonts w:ascii="宋体" w:hAnsi="宋体"/>
          <w:color w:val="auto"/>
          <w:sz w:val="24"/>
          <w:szCs w:val="24"/>
          <w:highlight w:val="none"/>
        </w:rPr>
      </w:pPr>
    </w:p>
    <w:p w14:paraId="0D7F62D1">
      <w:pPr>
        <w:snapToGrid w:val="0"/>
        <w:spacing w:before="100" w:beforeAutospacing="1" w:after="100" w:afterAutospacing="1" w:line="540" w:lineRule="exact"/>
        <w:ind w:right="85" w:firstLine="5016" w:firstLineChars="2090"/>
        <w:jc w:val="left"/>
        <w:textAlignment w:val="top"/>
        <w:rPr>
          <w:rFonts w:ascii="宋体" w:hAnsi="宋体"/>
          <w:color w:val="auto"/>
          <w:sz w:val="24"/>
          <w:szCs w:val="24"/>
          <w:highlight w:val="none"/>
        </w:rPr>
      </w:pPr>
    </w:p>
    <w:p w14:paraId="2340AF0C">
      <w:pPr>
        <w:snapToGrid w:val="0"/>
        <w:spacing w:before="100" w:beforeAutospacing="1" w:after="100" w:afterAutospacing="1" w:line="540" w:lineRule="exact"/>
        <w:ind w:right="85" w:firstLine="5016" w:firstLineChars="2090"/>
        <w:jc w:val="left"/>
        <w:textAlignment w:val="top"/>
        <w:rPr>
          <w:rFonts w:ascii="宋体" w:hAnsi="宋体"/>
          <w:color w:val="auto"/>
          <w:sz w:val="24"/>
          <w:szCs w:val="24"/>
          <w:highlight w:val="none"/>
        </w:rPr>
      </w:pPr>
    </w:p>
    <w:p w14:paraId="55EC0189">
      <w:pPr>
        <w:shd w:val="clear" w:color="auto" w:fill="FFFFFF"/>
        <w:spacing w:line="240" w:lineRule="auto"/>
        <w:rPr>
          <w:rFonts w:ascii="宋体" w:hAnsi="宋体"/>
          <w:color w:val="auto"/>
          <w:sz w:val="18"/>
          <w:szCs w:val="18"/>
          <w:highlight w:val="none"/>
        </w:rPr>
      </w:pPr>
      <w:r>
        <w:rPr>
          <w:rFonts w:hint="eastAsia" w:ascii="宋体" w:hAnsi="宋体"/>
          <w:color w:val="auto"/>
          <w:sz w:val="18"/>
          <w:szCs w:val="18"/>
          <w:highlight w:val="none"/>
        </w:rPr>
        <w:t>注：1、按政策规定：符合条件的残疾人福利性单位视同小型、微型企业，享受评审价格扣除等促进中小企业发展的政府采购政策。残疾人福利性单位属于小型、微型企业的，不重复享受政策。</w:t>
      </w:r>
    </w:p>
    <w:p w14:paraId="50895D5E">
      <w:pPr>
        <w:spacing w:line="240" w:lineRule="auto"/>
        <w:ind w:firstLine="450" w:firstLineChars="250"/>
        <w:rPr>
          <w:rFonts w:ascii="宋体" w:hAnsi="宋体"/>
          <w:color w:val="auto"/>
          <w:sz w:val="18"/>
          <w:szCs w:val="18"/>
          <w:highlight w:val="none"/>
        </w:rPr>
      </w:pPr>
      <w:r>
        <w:rPr>
          <w:rFonts w:hint="eastAsia" w:ascii="宋体" w:hAnsi="宋体"/>
          <w:color w:val="auto"/>
          <w:sz w:val="18"/>
          <w:szCs w:val="18"/>
          <w:highlight w:val="none"/>
        </w:rPr>
        <w:t>2、</w:t>
      </w:r>
      <w:r>
        <w:rPr>
          <w:rFonts w:hint="eastAsia" w:ascii="宋体" w:hAnsi="宋体"/>
          <w:b/>
          <w:color w:val="auto"/>
          <w:spacing w:val="6"/>
          <w:sz w:val="18"/>
          <w:szCs w:val="18"/>
          <w:highlight w:val="none"/>
          <w:vertAlign w:val="superscript"/>
        </w:rPr>
        <w:t>*</w:t>
      </w:r>
      <w:r>
        <w:rPr>
          <w:rFonts w:hint="eastAsia" w:ascii="宋体" w:hAnsi="宋体"/>
          <w:color w:val="auto"/>
          <w:sz w:val="18"/>
          <w:szCs w:val="18"/>
          <w:highlight w:val="none"/>
        </w:rPr>
        <w:t>本格式在残疾人福利性单位申请报价格扣除时填写，未填写不享受小微价格扣除，但不作为无效投标。</w:t>
      </w:r>
    </w:p>
    <w:p w14:paraId="31E3CCD5">
      <w:pPr>
        <w:spacing w:line="240" w:lineRule="auto"/>
        <w:ind w:firstLine="450" w:firstLineChars="250"/>
        <w:rPr>
          <w:rFonts w:ascii="宋体" w:hAnsi="宋体"/>
          <w:color w:val="auto"/>
          <w:sz w:val="18"/>
          <w:szCs w:val="18"/>
          <w:highlight w:val="none"/>
        </w:rPr>
      </w:pPr>
      <w:r>
        <w:rPr>
          <w:rFonts w:hint="eastAsia" w:ascii="宋体" w:hAnsi="宋体"/>
          <w:color w:val="auto"/>
          <w:sz w:val="18"/>
          <w:szCs w:val="18"/>
          <w:highlight w:val="none"/>
        </w:rPr>
        <w:t>残疾人福利性单位属于小型、微型企业的，可只填写“</w:t>
      </w:r>
      <w:r>
        <w:rPr>
          <w:rFonts w:ascii="宋体" w:hAnsi="宋体"/>
          <w:color w:val="auto"/>
          <w:sz w:val="18"/>
          <w:szCs w:val="18"/>
          <w:highlight w:val="none"/>
        </w:rPr>
        <w:t xml:space="preserve"> 中小企业声明函</w:t>
      </w:r>
      <w:r>
        <w:rPr>
          <w:rFonts w:hint="eastAsia" w:ascii="宋体" w:hAnsi="宋体"/>
          <w:color w:val="auto"/>
          <w:sz w:val="18"/>
          <w:szCs w:val="18"/>
          <w:highlight w:val="none"/>
        </w:rPr>
        <w:t>”，不再填写“残疾人福利性单位</w:t>
      </w:r>
      <w:r>
        <w:rPr>
          <w:rFonts w:ascii="宋体" w:hAnsi="宋体"/>
          <w:color w:val="auto"/>
          <w:sz w:val="18"/>
          <w:szCs w:val="18"/>
          <w:highlight w:val="none"/>
        </w:rPr>
        <w:t>声明函</w:t>
      </w:r>
      <w:r>
        <w:rPr>
          <w:rFonts w:hint="eastAsia" w:ascii="宋体" w:hAnsi="宋体"/>
          <w:color w:val="auto"/>
          <w:sz w:val="18"/>
          <w:szCs w:val="18"/>
          <w:highlight w:val="none"/>
        </w:rPr>
        <w:t>”。</w:t>
      </w:r>
    </w:p>
    <w:p w14:paraId="3549BC7A">
      <w:pPr>
        <w:spacing w:line="240" w:lineRule="auto"/>
        <w:ind w:firstLine="450" w:firstLineChars="250"/>
        <w:rPr>
          <w:rFonts w:ascii="宋体" w:hAnsi="宋体"/>
          <w:color w:val="auto"/>
          <w:sz w:val="18"/>
          <w:szCs w:val="18"/>
          <w:highlight w:val="none"/>
        </w:rPr>
      </w:pPr>
      <w:r>
        <w:rPr>
          <w:rFonts w:hint="eastAsia" w:ascii="宋体" w:hAnsi="宋体"/>
          <w:color w:val="auto"/>
          <w:sz w:val="18"/>
          <w:szCs w:val="18"/>
          <w:highlight w:val="none"/>
        </w:rPr>
        <w:t>3、残疾人福利性单位填写“残疾人福利性单位</w:t>
      </w:r>
      <w:r>
        <w:rPr>
          <w:rFonts w:ascii="宋体" w:hAnsi="宋体"/>
          <w:color w:val="auto"/>
          <w:sz w:val="18"/>
          <w:szCs w:val="18"/>
          <w:highlight w:val="none"/>
        </w:rPr>
        <w:t>声明函</w:t>
      </w:r>
      <w:r>
        <w:rPr>
          <w:rFonts w:hint="eastAsia" w:ascii="宋体" w:hAnsi="宋体"/>
          <w:color w:val="auto"/>
          <w:sz w:val="18"/>
          <w:szCs w:val="18"/>
          <w:highlight w:val="none"/>
        </w:rPr>
        <w:t>”后，仍需同时填写“</w:t>
      </w:r>
      <w:r>
        <w:rPr>
          <w:rFonts w:ascii="宋体" w:hAnsi="宋体"/>
          <w:color w:val="auto"/>
          <w:sz w:val="18"/>
          <w:szCs w:val="18"/>
          <w:highlight w:val="none"/>
        </w:rPr>
        <w:t>中小企业声明函</w:t>
      </w:r>
      <w:r>
        <w:rPr>
          <w:rFonts w:hint="eastAsia" w:ascii="宋体" w:hAnsi="宋体"/>
          <w:color w:val="auto"/>
          <w:sz w:val="18"/>
          <w:szCs w:val="18"/>
          <w:highlight w:val="none"/>
        </w:rPr>
        <w:t>”、可在“</w:t>
      </w:r>
      <w:r>
        <w:rPr>
          <w:rFonts w:ascii="宋体" w:hAnsi="宋体"/>
          <w:color w:val="auto"/>
          <w:sz w:val="18"/>
          <w:szCs w:val="18"/>
          <w:highlight w:val="none"/>
        </w:rPr>
        <w:t>中小企业声明函</w:t>
      </w:r>
      <w:r>
        <w:rPr>
          <w:rFonts w:hint="eastAsia" w:ascii="宋体" w:hAnsi="宋体"/>
          <w:color w:val="auto"/>
          <w:sz w:val="18"/>
          <w:szCs w:val="18"/>
          <w:highlight w:val="none"/>
        </w:rPr>
        <w:t>”注明“属于符合条件的残疾人福利性单位、视同小型、微型企业”。</w:t>
      </w:r>
    </w:p>
    <w:p w14:paraId="0DBBD185">
      <w:pPr>
        <w:autoSpaceDE w:val="0"/>
        <w:autoSpaceDN w:val="0"/>
        <w:adjustRightInd w:val="0"/>
        <w:spacing w:line="360" w:lineRule="auto"/>
        <w:jc w:val="center"/>
        <w:rPr>
          <w:rFonts w:ascii="黑体" w:hAnsi="黑体" w:eastAsia="黑体"/>
          <w:b/>
          <w:color w:val="auto"/>
          <w:sz w:val="30"/>
          <w:szCs w:val="30"/>
          <w:highlight w:val="none"/>
        </w:rPr>
      </w:pPr>
      <w:r>
        <w:rPr>
          <w:rFonts w:ascii="黑体" w:hAnsi="黑体" w:eastAsia="黑体"/>
          <w:b/>
          <w:color w:val="auto"/>
          <w:sz w:val="30"/>
          <w:szCs w:val="30"/>
          <w:highlight w:val="none"/>
        </w:rPr>
        <w:br w:type="page"/>
      </w:r>
    </w:p>
    <w:p w14:paraId="26BECFC1">
      <w:pPr>
        <w:autoSpaceDE w:val="0"/>
        <w:autoSpaceDN w:val="0"/>
        <w:adjustRightInd w:val="0"/>
        <w:spacing w:line="360" w:lineRule="auto"/>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1</w:t>
      </w:r>
      <w:r>
        <w:rPr>
          <w:rFonts w:ascii="黑体" w:hAnsi="黑体" w:eastAsia="黑体"/>
          <w:b/>
          <w:color w:val="auto"/>
          <w:sz w:val="30"/>
          <w:szCs w:val="30"/>
          <w:highlight w:val="none"/>
        </w:rPr>
        <w:t>3-2</w:t>
      </w:r>
      <w:r>
        <w:rPr>
          <w:rFonts w:hint="eastAsia" w:ascii="黑体" w:hAnsi="黑体" w:eastAsia="黑体"/>
          <w:b/>
          <w:color w:val="auto"/>
          <w:sz w:val="30"/>
          <w:szCs w:val="30"/>
          <w:highlight w:val="none"/>
        </w:rPr>
        <w:t>、其它材料</w:t>
      </w:r>
    </w:p>
    <w:p w14:paraId="1E63CC10">
      <w:pPr>
        <w:adjustRightInd w:val="0"/>
        <w:snapToGrid w:val="0"/>
        <w:spacing w:line="300" w:lineRule="auto"/>
        <w:textAlignment w:val="top"/>
        <w:rPr>
          <w:rFonts w:ascii="宋体" w:hAnsi="宋体" w:cs="宋体"/>
          <w:b/>
          <w:color w:val="auto"/>
          <w:sz w:val="24"/>
          <w:highlight w:val="none"/>
        </w:rPr>
      </w:pPr>
    </w:p>
    <w:p w14:paraId="74376DE4">
      <w:pPr>
        <w:adjustRightInd w:val="0"/>
        <w:snapToGrid w:val="0"/>
        <w:spacing w:line="300" w:lineRule="auto"/>
        <w:textAlignment w:val="top"/>
        <w:rPr>
          <w:rFonts w:ascii="宋体" w:cs="楷体_GB2312"/>
          <w:b/>
          <w:color w:val="auto"/>
          <w:sz w:val="30"/>
          <w:szCs w:val="30"/>
          <w:highlight w:val="none"/>
        </w:rPr>
      </w:pPr>
      <w:r>
        <w:rPr>
          <w:rFonts w:ascii="宋体" w:hAnsi="宋体"/>
          <w:color w:val="auto"/>
          <w:sz w:val="24"/>
          <w:szCs w:val="24"/>
          <w:highlight w:val="none"/>
        </w:rPr>
        <w:br w:type="page"/>
      </w:r>
    </w:p>
    <w:p w14:paraId="73F35B3D">
      <w:pPr>
        <w:widowControl w:val="0"/>
        <w:snapToGrid w:val="0"/>
        <w:spacing w:line="560" w:lineRule="exact"/>
        <w:rPr>
          <w:rFonts w:ascii="宋体" w:hAnsi="宋体" w:cs="宋体"/>
          <w:b/>
          <w:color w:val="auto"/>
          <w:sz w:val="24"/>
          <w:highlight w:val="none"/>
        </w:rPr>
      </w:pPr>
      <w:r>
        <w:rPr>
          <w:rFonts w:ascii="宋体" w:hAnsi="宋体" w:cs="宋体"/>
          <w:b/>
          <w:color w:val="auto"/>
          <w:sz w:val="24"/>
          <w:highlight w:val="none"/>
        </w:rPr>
        <w:t xml:space="preserve"> </w:t>
      </w:r>
    </w:p>
    <w:p w14:paraId="0F9D5A4D">
      <w:pPr>
        <w:adjustRightInd w:val="0"/>
        <w:snapToGrid w:val="0"/>
        <w:spacing w:line="300" w:lineRule="auto"/>
        <w:textAlignment w:val="top"/>
        <w:rPr>
          <w:rFonts w:ascii="宋体" w:cs="楷体_GB2312"/>
          <w:b/>
          <w:color w:val="auto"/>
          <w:sz w:val="30"/>
          <w:szCs w:val="30"/>
          <w:highlight w:val="none"/>
        </w:rPr>
      </w:pPr>
    </w:p>
    <w:p w14:paraId="74891477">
      <w:pPr>
        <w:spacing w:before="936" w:beforeLines="300" w:after="312" w:afterLines="100" w:line="360" w:lineRule="auto"/>
        <w:rPr>
          <w:rFonts w:ascii="宋体" w:hAnsi="宋体"/>
          <w:b/>
          <w:bCs/>
          <w:color w:val="auto"/>
          <w:spacing w:val="100"/>
          <w:sz w:val="72"/>
          <w:szCs w:val="72"/>
          <w:highlight w:val="none"/>
        </w:rPr>
      </w:pPr>
      <w:r>
        <w:rPr>
          <w:rFonts w:hint="eastAsia" w:ascii="宋体" w:hAnsi="宋体"/>
          <w:b/>
          <w:bCs/>
          <w:color w:val="auto"/>
          <w:spacing w:val="100"/>
          <w:sz w:val="36"/>
          <w:szCs w:val="36"/>
          <w:highlight w:val="none"/>
          <w:u w:val="single"/>
        </w:rPr>
        <w:t xml:space="preserve">                  </w:t>
      </w:r>
      <w:r>
        <w:rPr>
          <w:rFonts w:hint="eastAsia" w:ascii="黑体" w:hAnsi="黑体" w:eastAsia="黑体"/>
          <w:b/>
          <w:color w:val="auto"/>
          <w:spacing w:val="60"/>
          <w:sz w:val="72"/>
          <w:szCs w:val="72"/>
          <w:highlight w:val="none"/>
        </w:rPr>
        <w:t>项目</w:t>
      </w:r>
    </w:p>
    <w:p w14:paraId="1286FBFC">
      <w:pPr>
        <w:spacing w:line="360" w:lineRule="auto"/>
        <w:ind w:left="4350" w:leftChars="1500" w:hanging="1200" w:hangingChars="166"/>
        <w:rPr>
          <w:rFonts w:ascii="黑体" w:hAnsi="黑体" w:eastAsia="黑体"/>
          <w:b/>
          <w:color w:val="auto"/>
          <w:sz w:val="72"/>
          <w:szCs w:val="72"/>
          <w:highlight w:val="none"/>
          <w:u w:val="single"/>
        </w:rPr>
      </w:pPr>
      <w:r>
        <w:rPr>
          <w:rFonts w:hint="eastAsia" w:ascii="黑体" w:hAnsi="黑体" w:eastAsia="黑体"/>
          <w:b/>
          <w:color w:val="auto"/>
          <w:sz w:val="72"/>
          <w:szCs w:val="72"/>
          <w:highlight w:val="none"/>
        </w:rPr>
        <w:t>包</w:t>
      </w:r>
      <w:r>
        <w:rPr>
          <w:rFonts w:hint="eastAsia" w:ascii="黑体" w:hAnsi="黑体" w:eastAsia="黑体"/>
          <w:b/>
          <w:color w:val="auto"/>
          <w:sz w:val="72"/>
          <w:szCs w:val="72"/>
          <w:highlight w:val="none"/>
          <w:u w:val="single"/>
        </w:rPr>
        <w:t xml:space="preserve">  1  </w:t>
      </w:r>
    </w:p>
    <w:p w14:paraId="4591C1F3">
      <w:pPr>
        <w:spacing w:line="360" w:lineRule="auto"/>
        <w:ind w:left="4544" w:leftChars="1500" w:hanging="1394" w:hangingChars="166"/>
        <w:rPr>
          <w:rFonts w:ascii="宋体" w:hAnsi="宋体"/>
          <w:color w:val="auto"/>
          <w:sz w:val="84"/>
          <w:szCs w:val="84"/>
          <w:highlight w:val="none"/>
        </w:rPr>
      </w:pPr>
    </w:p>
    <w:p w14:paraId="79992AD8">
      <w:pPr>
        <w:spacing w:after="624" w:afterLines="200" w:line="360" w:lineRule="auto"/>
        <w:ind w:left="3996" w:leftChars="299" w:hanging="3368" w:hangingChars="466"/>
        <w:jc w:val="center"/>
        <w:rPr>
          <w:rFonts w:ascii="黑体" w:hAnsi="黑体" w:eastAsia="黑体"/>
          <w:b/>
          <w:color w:val="auto"/>
          <w:sz w:val="72"/>
          <w:szCs w:val="72"/>
          <w:highlight w:val="none"/>
          <w:lang w:val="zh-CN"/>
        </w:rPr>
      </w:pPr>
      <w:r>
        <w:rPr>
          <w:rFonts w:hint="eastAsia" w:ascii="黑体" w:hAnsi="黑体" w:eastAsia="黑体"/>
          <w:b/>
          <w:color w:val="auto"/>
          <w:sz w:val="72"/>
          <w:szCs w:val="72"/>
          <w:highlight w:val="none"/>
          <w:lang w:val="zh-CN"/>
        </w:rPr>
        <w:t>投标文件—资格性证明文件</w:t>
      </w:r>
    </w:p>
    <w:p w14:paraId="3C0D1231">
      <w:pPr>
        <w:spacing w:before="156" w:beforeLines="50" w:after="156" w:afterLines="50" w:line="360" w:lineRule="auto"/>
        <w:ind w:firstLine="1751" w:firstLineChars="545"/>
        <w:rPr>
          <w:rFonts w:ascii="宋体" w:hAnsi="宋体"/>
          <w:b/>
          <w:color w:val="auto"/>
          <w:sz w:val="32"/>
          <w:szCs w:val="32"/>
          <w:highlight w:val="none"/>
        </w:rPr>
      </w:pPr>
      <w:r>
        <w:rPr>
          <w:rFonts w:hint="eastAsia" w:ascii="宋体" w:hAnsi="宋体"/>
          <w:b/>
          <w:color w:val="auto"/>
          <w:sz w:val="32"/>
          <w:szCs w:val="32"/>
          <w:highlight w:val="none"/>
        </w:rPr>
        <w:t xml:space="preserve">项目编号： </w:t>
      </w:r>
      <w:r>
        <w:rPr>
          <w:rFonts w:hint="eastAsia" w:ascii="宋体" w:hAnsi="宋体"/>
          <w:b/>
          <w:color w:val="auto"/>
          <w:sz w:val="32"/>
          <w:szCs w:val="32"/>
          <w:highlight w:val="none"/>
          <w:u w:val="single"/>
        </w:rPr>
        <w:t xml:space="preserve">                     </w:t>
      </w:r>
    </w:p>
    <w:p w14:paraId="70111E0D">
      <w:pPr>
        <w:spacing w:line="360" w:lineRule="auto"/>
        <w:rPr>
          <w:rFonts w:ascii="宋体" w:hAnsi="宋体"/>
          <w:b/>
          <w:color w:val="auto"/>
          <w:sz w:val="36"/>
          <w:szCs w:val="36"/>
          <w:highlight w:val="none"/>
        </w:rPr>
      </w:pPr>
    </w:p>
    <w:p w14:paraId="34AFDA7F">
      <w:pPr>
        <w:spacing w:line="360" w:lineRule="auto"/>
        <w:rPr>
          <w:rFonts w:ascii="宋体" w:hAnsi="宋体"/>
          <w:b/>
          <w:color w:val="auto"/>
          <w:sz w:val="36"/>
          <w:szCs w:val="36"/>
          <w:highlight w:val="none"/>
        </w:rPr>
      </w:pPr>
    </w:p>
    <w:p w14:paraId="24EC65A8">
      <w:pPr>
        <w:spacing w:line="360" w:lineRule="auto"/>
        <w:rPr>
          <w:rFonts w:ascii="宋体" w:hAnsi="宋体"/>
          <w:b/>
          <w:color w:val="auto"/>
          <w:sz w:val="36"/>
          <w:szCs w:val="36"/>
          <w:highlight w:val="none"/>
        </w:rPr>
      </w:pPr>
    </w:p>
    <w:p w14:paraId="3D8E93DE">
      <w:pPr>
        <w:spacing w:line="360" w:lineRule="auto"/>
        <w:rPr>
          <w:rFonts w:ascii="宋体" w:hAnsi="宋体"/>
          <w:b/>
          <w:color w:val="auto"/>
          <w:sz w:val="36"/>
          <w:szCs w:val="36"/>
          <w:highlight w:val="none"/>
        </w:rPr>
      </w:pPr>
    </w:p>
    <w:p w14:paraId="3DA3DEE2">
      <w:pPr>
        <w:pStyle w:val="58"/>
        <w:spacing w:before="468" w:beforeLines="150" w:after="468" w:afterLines="150" w:line="360" w:lineRule="auto"/>
        <w:jc w:val="both"/>
        <w:rPr>
          <w:rFonts w:hAnsi="宋体"/>
          <w:color w:val="auto"/>
          <w:sz w:val="28"/>
          <w:szCs w:val="28"/>
          <w:highlight w:val="none"/>
        </w:rPr>
      </w:pPr>
      <w:r>
        <w:rPr>
          <w:rFonts w:hint="eastAsia" w:hAnsi="宋体"/>
          <w:color w:val="auto"/>
          <w:sz w:val="28"/>
          <w:szCs w:val="28"/>
          <w:highlight w:val="none"/>
        </w:rPr>
        <w:t>投标人：</w:t>
      </w:r>
      <w:r>
        <w:rPr>
          <w:rFonts w:hint="eastAsia" w:hAnsi="宋体"/>
          <w:color w:val="auto"/>
          <w:sz w:val="28"/>
          <w:szCs w:val="28"/>
          <w:highlight w:val="none"/>
          <w:u w:val="single"/>
        </w:rPr>
        <w:t xml:space="preserve">                                    </w:t>
      </w:r>
      <w:r>
        <w:rPr>
          <w:rFonts w:hint="eastAsia" w:hAnsi="宋体"/>
          <w:color w:val="auto"/>
          <w:sz w:val="28"/>
          <w:szCs w:val="28"/>
          <w:highlight w:val="none"/>
        </w:rPr>
        <w:t>（加盖电子签章）</w:t>
      </w:r>
    </w:p>
    <w:p w14:paraId="04CF2298">
      <w:pPr>
        <w:pStyle w:val="58"/>
        <w:spacing w:before="468" w:beforeLines="150" w:after="468" w:afterLines="150" w:line="360" w:lineRule="auto"/>
        <w:jc w:val="both"/>
        <w:rPr>
          <w:rFonts w:hAnsi="宋体"/>
          <w:color w:val="auto"/>
          <w:sz w:val="28"/>
          <w:szCs w:val="28"/>
          <w:highlight w:val="none"/>
          <w:u w:val="single"/>
        </w:rPr>
      </w:pPr>
      <w:r>
        <w:rPr>
          <w:rFonts w:hint="eastAsia" w:hAnsi="宋体"/>
          <w:color w:val="auto"/>
          <w:sz w:val="28"/>
          <w:szCs w:val="28"/>
          <w:highlight w:val="none"/>
        </w:rPr>
        <w:t>法定代表人：</w:t>
      </w:r>
      <w:r>
        <w:rPr>
          <w:rFonts w:hAnsi="宋体"/>
          <w:color w:val="auto"/>
          <w:sz w:val="28"/>
          <w:szCs w:val="28"/>
          <w:highlight w:val="none"/>
          <w:u w:val="single"/>
        </w:rPr>
        <w:t xml:space="preserve">                       </w:t>
      </w:r>
      <w:r>
        <w:rPr>
          <w:rFonts w:hint="eastAsia" w:hAnsi="宋体"/>
          <w:color w:val="auto"/>
          <w:sz w:val="28"/>
          <w:szCs w:val="28"/>
          <w:highlight w:val="none"/>
          <w:u w:val="single"/>
        </w:rPr>
        <w:t xml:space="preserve">      </w:t>
      </w:r>
      <w:r>
        <w:rPr>
          <w:rFonts w:hAnsi="宋体"/>
          <w:color w:val="auto"/>
          <w:sz w:val="28"/>
          <w:szCs w:val="28"/>
          <w:highlight w:val="none"/>
          <w:u w:val="single"/>
        </w:rPr>
        <w:t xml:space="preserve">   </w:t>
      </w:r>
      <w:r>
        <w:rPr>
          <w:rFonts w:hint="eastAsia" w:hAnsi="宋体"/>
          <w:color w:val="auto"/>
          <w:sz w:val="28"/>
          <w:szCs w:val="28"/>
          <w:highlight w:val="none"/>
        </w:rPr>
        <w:t>（加盖电子签名或签章）</w:t>
      </w:r>
    </w:p>
    <w:p w14:paraId="6A77DB6C">
      <w:pPr>
        <w:spacing w:before="468" w:beforeLines="150" w:after="468" w:afterLines="150" w:line="586" w:lineRule="atLeast"/>
        <w:rPr>
          <w:rFonts w:ascii="宋体" w:hAnsi="宋体"/>
          <w:color w:val="auto"/>
          <w:sz w:val="28"/>
          <w:szCs w:val="28"/>
          <w:highlight w:val="none"/>
        </w:rPr>
      </w:pPr>
      <w:r>
        <w:rPr>
          <w:rFonts w:hint="eastAsia" w:ascii="宋体" w:hAnsi="宋体"/>
          <w:color w:val="auto"/>
          <w:sz w:val="28"/>
          <w:szCs w:val="28"/>
          <w:highlight w:val="none"/>
        </w:rPr>
        <w:t>投标日期：</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年</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月</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日</w:t>
      </w:r>
    </w:p>
    <w:p w14:paraId="2801AF52">
      <w:pPr>
        <w:spacing w:line="351" w:lineRule="atLeast"/>
        <w:rPr>
          <w:rFonts w:ascii="黑体" w:eastAsia="黑体"/>
          <w:b/>
          <w:color w:val="auto"/>
          <w:spacing w:val="60"/>
          <w:sz w:val="36"/>
          <w:szCs w:val="36"/>
          <w:highlight w:val="none"/>
        </w:rPr>
      </w:pPr>
    </w:p>
    <w:p w14:paraId="2C80FB7E">
      <w:pPr>
        <w:spacing w:line="351" w:lineRule="atLeast"/>
        <w:ind w:left="419"/>
        <w:jc w:val="center"/>
        <w:rPr>
          <w:rFonts w:ascii="黑体" w:eastAsia="黑体"/>
          <w:b/>
          <w:color w:val="auto"/>
          <w:spacing w:val="60"/>
          <w:sz w:val="36"/>
          <w:szCs w:val="36"/>
          <w:highlight w:val="none"/>
        </w:rPr>
      </w:pPr>
      <w:r>
        <w:rPr>
          <w:rFonts w:hint="eastAsia" w:ascii="黑体" w:eastAsia="黑体"/>
          <w:b/>
          <w:color w:val="auto"/>
          <w:spacing w:val="60"/>
          <w:sz w:val="36"/>
          <w:szCs w:val="36"/>
          <w:highlight w:val="none"/>
        </w:rPr>
        <w:t>目录</w:t>
      </w:r>
    </w:p>
    <w:p w14:paraId="09F2BFA7">
      <w:pPr>
        <w:spacing w:line="351" w:lineRule="atLeast"/>
        <w:ind w:left="419"/>
        <w:jc w:val="center"/>
        <w:rPr>
          <w:rFonts w:ascii="黑体" w:eastAsia="黑体"/>
          <w:b/>
          <w:color w:val="auto"/>
          <w:spacing w:val="60"/>
          <w:sz w:val="36"/>
          <w:szCs w:val="36"/>
          <w:highlight w:val="none"/>
        </w:rPr>
      </w:pPr>
    </w:p>
    <w:p w14:paraId="2FE1326D">
      <w:pPr>
        <w:snapToGrid w:val="0"/>
        <w:spacing w:line="560" w:lineRule="atLeast"/>
        <w:textAlignment w:val="top"/>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r>
        <w:rPr>
          <w:rFonts w:asciiTheme="minorEastAsia" w:hAnsiTheme="minorEastAsia" w:eastAsiaTheme="minorEastAsia"/>
          <w:color w:val="auto"/>
          <w:sz w:val="24"/>
          <w:szCs w:val="24"/>
          <w:highlight w:val="none"/>
        </w:rPr>
        <w:t>4</w:t>
      </w:r>
      <w:r>
        <w:rPr>
          <w:rFonts w:hint="eastAsia" w:asciiTheme="minorEastAsia" w:hAnsiTheme="minorEastAsia" w:eastAsiaTheme="minorEastAsia"/>
          <w:color w:val="auto"/>
          <w:sz w:val="24"/>
          <w:szCs w:val="24"/>
          <w:highlight w:val="none"/>
        </w:rPr>
        <w:t>、关于资格的声明函</w:t>
      </w:r>
    </w:p>
    <w:p w14:paraId="501E2284">
      <w:pPr>
        <w:snapToGrid w:val="0"/>
        <w:spacing w:line="560" w:lineRule="atLeast"/>
        <w:textAlignment w:val="top"/>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15</w:t>
      </w:r>
      <w:r>
        <w:rPr>
          <w:rFonts w:hint="eastAsia" w:asciiTheme="minorEastAsia" w:hAnsiTheme="minorEastAsia" w:eastAsiaTheme="minorEastAsia"/>
          <w:color w:val="auto"/>
          <w:sz w:val="24"/>
          <w:szCs w:val="24"/>
          <w:highlight w:val="none"/>
        </w:rPr>
        <w:t>、《招</w:t>
      </w:r>
      <w:r>
        <w:rPr>
          <w:rFonts w:asciiTheme="minorEastAsia" w:hAnsiTheme="minorEastAsia" w:eastAsiaTheme="minorEastAsia"/>
          <w:color w:val="auto"/>
          <w:sz w:val="24"/>
          <w:szCs w:val="24"/>
          <w:highlight w:val="none"/>
        </w:rPr>
        <w:t>标文件》</w:t>
      </w:r>
      <w:r>
        <w:rPr>
          <w:rFonts w:hint="eastAsia" w:asciiTheme="minorEastAsia" w:hAnsiTheme="minorEastAsia" w:eastAsiaTheme="minorEastAsia"/>
          <w:color w:val="auto"/>
          <w:sz w:val="24"/>
          <w:szCs w:val="24"/>
          <w:highlight w:val="none"/>
        </w:rPr>
        <w:t>第</w:t>
      </w:r>
      <w:r>
        <w:rPr>
          <w:rFonts w:asciiTheme="minorEastAsia" w:hAnsiTheme="minorEastAsia" w:eastAsiaTheme="minorEastAsia"/>
          <w:color w:val="auto"/>
          <w:sz w:val="24"/>
          <w:szCs w:val="24"/>
          <w:highlight w:val="none"/>
        </w:rPr>
        <w:t>一章</w:t>
      </w:r>
      <w:r>
        <w:rPr>
          <w:rFonts w:hint="eastAsia" w:asciiTheme="minorEastAsia" w:hAnsiTheme="minorEastAsia" w:eastAsiaTheme="minorEastAsia"/>
          <w:color w:val="auto"/>
          <w:sz w:val="24"/>
          <w:szCs w:val="24"/>
          <w:highlight w:val="none"/>
        </w:rPr>
        <w:t>“招</w:t>
      </w:r>
      <w:r>
        <w:rPr>
          <w:rFonts w:asciiTheme="minorEastAsia" w:hAnsiTheme="minorEastAsia" w:eastAsiaTheme="minorEastAsia"/>
          <w:color w:val="auto"/>
          <w:sz w:val="24"/>
          <w:szCs w:val="24"/>
          <w:highlight w:val="none"/>
        </w:rPr>
        <w:t>标公</w:t>
      </w:r>
      <w:r>
        <w:rPr>
          <w:rFonts w:hint="eastAsia" w:asciiTheme="minorEastAsia" w:hAnsiTheme="minorEastAsia" w:eastAsiaTheme="minorEastAsia"/>
          <w:color w:val="auto"/>
          <w:sz w:val="24"/>
          <w:szCs w:val="24"/>
          <w:highlight w:val="none"/>
        </w:rPr>
        <w:t>告”</w:t>
      </w:r>
      <w:r>
        <w:rPr>
          <w:rFonts w:asciiTheme="minorEastAsia" w:hAnsiTheme="minorEastAsia" w:eastAsiaTheme="minorEastAsia"/>
          <w:color w:val="auto"/>
          <w:sz w:val="24"/>
          <w:szCs w:val="24"/>
          <w:highlight w:val="none"/>
        </w:rPr>
        <w:t>第二条所要求的</w:t>
      </w:r>
      <w:r>
        <w:rPr>
          <w:rFonts w:hint="eastAsia" w:asciiTheme="minorEastAsia" w:hAnsiTheme="minorEastAsia" w:eastAsiaTheme="minorEastAsia"/>
          <w:color w:val="auto"/>
          <w:sz w:val="24"/>
          <w:szCs w:val="24"/>
          <w:highlight w:val="none"/>
        </w:rPr>
        <w:t>资格性证明文件</w:t>
      </w:r>
    </w:p>
    <w:p w14:paraId="397C48B1">
      <w:pPr>
        <w:snapToGrid w:val="0"/>
        <w:spacing w:line="560" w:lineRule="atLeast"/>
        <w:textAlignment w:val="top"/>
        <w:rPr>
          <w:rFonts w:asciiTheme="minorEastAsia" w:hAnsiTheme="minorEastAsia" w:eastAsiaTheme="minorEastAsia"/>
          <w:color w:val="auto"/>
          <w:sz w:val="24"/>
          <w:szCs w:val="24"/>
          <w:highlight w:val="none"/>
        </w:rPr>
      </w:pPr>
    </w:p>
    <w:p w14:paraId="57DD69E0">
      <w:pPr>
        <w:snapToGrid w:val="0"/>
        <w:spacing w:line="560" w:lineRule="atLeast"/>
        <w:ind w:firstLine="708" w:firstLineChars="295"/>
        <w:textAlignment w:val="top"/>
        <w:rPr>
          <w:rFonts w:ascii="宋体" w:hAnsi="宋体"/>
          <w:color w:val="auto"/>
          <w:sz w:val="24"/>
          <w:highlight w:val="none"/>
        </w:rPr>
      </w:pPr>
      <w:r>
        <w:rPr>
          <w:rFonts w:hint="eastAsia" w:asciiTheme="minorEastAsia" w:hAnsiTheme="minorEastAsia" w:eastAsiaTheme="minorEastAsia"/>
          <w:color w:val="auto"/>
          <w:sz w:val="24"/>
          <w:szCs w:val="24"/>
          <w:highlight w:val="none"/>
        </w:rPr>
        <w:t>1</w:t>
      </w:r>
      <w:r>
        <w:rPr>
          <w:rFonts w:asciiTheme="minorEastAsia" w:hAnsiTheme="minorEastAsia" w:eastAsiaTheme="minorEastAsia"/>
          <w:color w:val="auto"/>
          <w:sz w:val="24"/>
          <w:szCs w:val="24"/>
          <w:highlight w:val="none"/>
        </w:rPr>
        <w:t>5</w:t>
      </w:r>
      <w:r>
        <w:rPr>
          <w:rFonts w:hint="eastAsia" w:asciiTheme="minorEastAsia" w:hAnsiTheme="minorEastAsia" w:eastAsiaTheme="minorEastAsia"/>
          <w:color w:val="auto"/>
          <w:sz w:val="24"/>
          <w:szCs w:val="24"/>
          <w:highlight w:val="none"/>
        </w:rPr>
        <w:t>-1、</w:t>
      </w:r>
      <w:r>
        <w:rPr>
          <w:rFonts w:hint="eastAsia" w:ascii="宋体" w:hAnsi="宋体"/>
          <w:color w:val="auto"/>
          <w:sz w:val="24"/>
          <w:highlight w:val="none"/>
        </w:rPr>
        <w:t>《政府采购法》第二十二条第一款规定的供应商基础性资格的</w:t>
      </w:r>
    </w:p>
    <w:p w14:paraId="7D18B29D">
      <w:pPr>
        <w:snapToGrid w:val="0"/>
        <w:spacing w:line="560" w:lineRule="atLeast"/>
        <w:ind w:firstLine="708" w:firstLineChars="295"/>
        <w:textAlignment w:val="top"/>
        <w:rPr>
          <w:rFonts w:ascii="宋体" w:hAnsi="宋体"/>
          <w:color w:val="auto"/>
          <w:sz w:val="24"/>
          <w:highlight w:val="none"/>
        </w:rPr>
      </w:pPr>
      <w:r>
        <w:rPr>
          <w:rFonts w:hint="eastAsia" w:ascii="宋体" w:hAnsi="宋体"/>
          <w:color w:val="auto"/>
          <w:sz w:val="24"/>
          <w:highlight w:val="none"/>
        </w:rPr>
        <w:t>承诺函</w:t>
      </w:r>
    </w:p>
    <w:p w14:paraId="068F2A77">
      <w:pPr>
        <w:snapToGrid w:val="0"/>
        <w:spacing w:line="560" w:lineRule="atLeast"/>
        <w:ind w:firstLine="708" w:firstLineChars="295"/>
        <w:textAlignment w:val="top"/>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r>
        <w:rPr>
          <w:rFonts w:asciiTheme="minorEastAsia" w:hAnsiTheme="minorEastAsia" w:eastAsiaTheme="minorEastAsia"/>
          <w:color w:val="auto"/>
          <w:sz w:val="24"/>
          <w:szCs w:val="24"/>
          <w:highlight w:val="none"/>
        </w:rPr>
        <w:t>5</w:t>
      </w:r>
      <w:r>
        <w:rPr>
          <w:rFonts w:hint="eastAsia" w:asciiTheme="minorEastAsia" w:hAnsiTheme="minorEastAsia" w:eastAsiaTheme="minorEastAsia"/>
          <w:color w:val="auto"/>
          <w:sz w:val="24"/>
          <w:szCs w:val="24"/>
          <w:highlight w:val="none"/>
        </w:rPr>
        <w:t>-2、供应商负责人控股、设计等相关承诺书</w:t>
      </w:r>
    </w:p>
    <w:p w14:paraId="0746B57C">
      <w:pPr>
        <w:snapToGrid w:val="0"/>
        <w:spacing w:line="560" w:lineRule="atLeast"/>
        <w:ind w:firstLine="708" w:firstLineChars="295"/>
        <w:textAlignment w:val="top"/>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r>
        <w:rPr>
          <w:rFonts w:asciiTheme="minorEastAsia" w:hAnsiTheme="minorEastAsia" w:eastAsiaTheme="minorEastAsia"/>
          <w:color w:val="auto"/>
          <w:sz w:val="24"/>
          <w:szCs w:val="24"/>
          <w:highlight w:val="none"/>
        </w:rPr>
        <w:t>5</w:t>
      </w:r>
      <w:r>
        <w:rPr>
          <w:rFonts w:hint="eastAsia" w:asciiTheme="minorEastAsia" w:hAnsiTheme="minorEastAsia" w:eastAsiaTheme="minorEastAsia"/>
          <w:color w:val="auto"/>
          <w:sz w:val="24"/>
          <w:szCs w:val="24"/>
          <w:highlight w:val="none"/>
        </w:rPr>
        <w:t>-3、投标承诺函(替代投标保证金)</w:t>
      </w:r>
    </w:p>
    <w:p w14:paraId="69FF6C69">
      <w:pPr>
        <w:snapToGrid w:val="0"/>
        <w:spacing w:line="560" w:lineRule="atLeast"/>
        <w:ind w:firstLine="708" w:firstLineChars="295"/>
        <w:textAlignment w:val="top"/>
        <w:rPr>
          <w:rFonts w:asciiTheme="minorEastAsia" w:hAnsiTheme="minorEastAsia" w:eastAsiaTheme="minorEastAsia"/>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5</w:t>
      </w:r>
      <w:r>
        <w:rPr>
          <w:rFonts w:hint="eastAsia" w:ascii="宋体" w:hAnsi="宋体"/>
          <w:color w:val="auto"/>
          <w:sz w:val="24"/>
          <w:szCs w:val="24"/>
          <w:highlight w:val="none"/>
        </w:rPr>
        <w:t>-4、</w:t>
      </w:r>
      <w:r>
        <w:rPr>
          <w:rFonts w:hint="eastAsia" w:asciiTheme="minorEastAsia" w:hAnsiTheme="minorEastAsia" w:eastAsiaTheme="minorEastAsia"/>
          <w:color w:val="auto"/>
          <w:sz w:val="24"/>
          <w:szCs w:val="24"/>
          <w:highlight w:val="none"/>
        </w:rPr>
        <w:t>其他资格证明材料</w:t>
      </w:r>
    </w:p>
    <w:p w14:paraId="500EADAD">
      <w:pPr>
        <w:snapToGrid w:val="0"/>
        <w:spacing w:line="560" w:lineRule="atLeast"/>
        <w:ind w:firstLine="708" w:firstLineChars="295"/>
        <w:textAlignment w:val="top"/>
        <w:rPr>
          <w:rFonts w:asciiTheme="minorEastAsia" w:hAnsiTheme="minorEastAsia" w:eastAsiaTheme="minorEastAsia"/>
          <w:color w:val="auto"/>
          <w:sz w:val="24"/>
          <w:szCs w:val="24"/>
          <w:highlight w:val="none"/>
        </w:rPr>
      </w:pPr>
    </w:p>
    <w:p w14:paraId="50B02B74">
      <w:pPr>
        <w:tabs>
          <w:tab w:val="left" w:pos="540"/>
        </w:tabs>
        <w:spacing w:line="440" w:lineRule="exact"/>
        <w:jc w:val="center"/>
        <w:rPr>
          <w:rFonts w:ascii="仿宋_GB2312" w:eastAsia="仿宋_GB2312"/>
          <w:color w:val="auto"/>
          <w:sz w:val="32"/>
          <w:szCs w:val="32"/>
          <w:highlight w:val="none"/>
        </w:rPr>
      </w:pPr>
      <w:r>
        <w:rPr>
          <w:rFonts w:ascii="仿宋_GB2312" w:eastAsia="仿宋_GB2312"/>
          <w:color w:val="auto"/>
          <w:sz w:val="32"/>
          <w:szCs w:val="32"/>
          <w:highlight w:val="none"/>
        </w:rPr>
        <w:br w:type="page"/>
      </w:r>
    </w:p>
    <w:p w14:paraId="7A055DCD">
      <w:pPr>
        <w:tabs>
          <w:tab w:val="left" w:pos="540"/>
        </w:tabs>
        <w:spacing w:line="440" w:lineRule="exact"/>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1</w:t>
      </w:r>
      <w:r>
        <w:rPr>
          <w:rFonts w:ascii="黑体" w:hAnsi="黑体" w:eastAsia="黑体"/>
          <w:b/>
          <w:color w:val="auto"/>
          <w:sz w:val="30"/>
          <w:szCs w:val="30"/>
          <w:highlight w:val="none"/>
        </w:rPr>
        <w:t>4</w:t>
      </w:r>
      <w:r>
        <w:rPr>
          <w:rFonts w:hint="eastAsia" w:ascii="黑体" w:hAnsi="黑体" w:eastAsia="黑体"/>
          <w:b/>
          <w:color w:val="auto"/>
          <w:sz w:val="30"/>
          <w:szCs w:val="30"/>
          <w:highlight w:val="none"/>
        </w:rPr>
        <w:t>、关于资格的声明函</w:t>
      </w:r>
    </w:p>
    <w:p w14:paraId="22E28FF7">
      <w:pPr>
        <w:snapToGrid w:val="0"/>
        <w:spacing w:line="560" w:lineRule="exact"/>
        <w:ind w:firstLine="839"/>
        <w:rPr>
          <w:color w:val="auto"/>
          <w:highlight w:val="none"/>
        </w:rPr>
      </w:pPr>
    </w:p>
    <w:p w14:paraId="28331CD7">
      <w:pPr>
        <w:snapToGrid w:val="0"/>
        <w:spacing w:line="560" w:lineRule="exact"/>
        <w:rPr>
          <w:rFonts w:ascii="宋体"/>
          <w:color w:val="auto"/>
          <w:sz w:val="24"/>
          <w:highlight w:val="none"/>
        </w:rPr>
      </w:pPr>
      <w:r>
        <w:rPr>
          <w:rFonts w:hint="eastAsia" w:ascii="宋体" w:hAnsi="宋体"/>
          <w:color w:val="auto"/>
          <w:sz w:val="24"/>
          <w:highlight w:val="none"/>
        </w:rPr>
        <w:t>安阳市方正招标采购服务有限责任公司：</w:t>
      </w:r>
    </w:p>
    <w:p w14:paraId="616F4850">
      <w:pPr>
        <w:snapToGrid w:val="0"/>
        <w:spacing w:line="560" w:lineRule="exact"/>
        <w:ind w:firstLine="555"/>
        <w:rPr>
          <w:rFonts w:ascii="宋体"/>
          <w:color w:val="auto"/>
          <w:sz w:val="24"/>
          <w:highlight w:val="none"/>
        </w:rPr>
      </w:pPr>
      <w:r>
        <w:rPr>
          <w:rFonts w:hint="eastAsia" w:ascii="宋体" w:hAnsi="宋体"/>
          <w:color w:val="auto"/>
          <w:sz w:val="24"/>
          <w:highlight w:val="none"/>
        </w:rPr>
        <w:t>关于贵方项目编号为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的招标</w:t>
      </w:r>
      <w:r>
        <w:rPr>
          <w:rFonts w:ascii="宋体" w:hAnsi="宋体"/>
          <w:color w:val="auto"/>
          <w:sz w:val="24"/>
          <w:highlight w:val="none"/>
        </w:rPr>
        <w:t>公告</w:t>
      </w:r>
      <w:r>
        <w:rPr>
          <w:rFonts w:hint="eastAsia" w:ascii="宋体" w:hAnsi="宋体"/>
          <w:color w:val="auto"/>
          <w:sz w:val="24"/>
          <w:highlight w:val="none"/>
        </w:rPr>
        <w:t>，本签字人愿意参加投标，提供招标文件中规定的产品及服务，并声明提交下列文件是准确的、真实的和有效的。</w:t>
      </w:r>
    </w:p>
    <w:p w14:paraId="79468410">
      <w:pPr>
        <w:numPr>
          <w:ilvl w:val="0"/>
          <w:numId w:val="9"/>
        </w:numPr>
        <w:snapToGrid w:val="0"/>
        <w:spacing w:line="560" w:lineRule="exact"/>
        <w:ind w:firstLine="555"/>
        <w:rPr>
          <w:rFonts w:ascii="宋体" w:hAnsi="宋体"/>
          <w:color w:val="auto"/>
          <w:sz w:val="24"/>
          <w:highlight w:val="none"/>
        </w:rPr>
      </w:pPr>
      <w:r>
        <w:rPr>
          <w:rFonts w:hint="eastAsia" w:ascii="宋体" w:hAnsi="宋体"/>
          <w:color w:val="auto"/>
          <w:sz w:val="24"/>
          <w:highlight w:val="none"/>
        </w:rPr>
        <w:t>《招标文件》第一章“招标公告”第二条所要求的资格性证明文件（证件或证明资料或承诺）</w:t>
      </w:r>
    </w:p>
    <w:p w14:paraId="5139B15A">
      <w:pPr>
        <w:snapToGrid w:val="0"/>
        <w:spacing w:line="560" w:lineRule="exact"/>
        <w:ind w:firstLine="555"/>
        <w:rPr>
          <w:rFonts w:asci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采购项目中必须的其他证件。</w:t>
      </w:r>
    </w:p>
    <w:p w14:paraId="5B54A9C4">
      <w:pPr>
        <w:snapToGrid w:val="0"/>
        <w:spacing w:line="560" w:lineRule="exact"/>
        <w:ind w:firstLine="555"/>
        <w:rPr>
          <w:rFonts w:ascii="宋体"/>
          <w:color w:val="auto"/>
          <w:sz w:val="24"/>
          <w:highlight w:val="none"/>
        </w:rPr>
      </w:pPr>
      <w:r>
        <w:rPr>
          <w:rFonts w:hint="eastAsia" w:ascii="宋体" w:hAnsi="宋体"/>
          <w:color w:val="auto"/>
          <w:sz w:val="24"/>
          <w:highlight w:val="none"/>
        </w:rPr>
        <w:t>3</w:t>
      </w:r>
      <w:r>
        <w:rPr>
          <w:rFonts w:ascii="宋体" w:hAnsi="宋体"/>
          <w:color w:val="auto"/>
          <w:sz w:val="24"/>
          <w:highlight w:val="none"/>
        </w:rPr>
        <w:t xml:space="preserve">. </w:t>
      </w:r>
      <w:r>
        <w:rPr>
          <w:rFonts w:hint="eastAsia" w:ascii="宋体" w:hAnsi="宋体"/>
          <w:color w:val="auto"/>
          <w:sz w:val="24"/>
          <w:highlight w:val="none"/>
        </w:rPr>
        <w:t>本签字人确认资格文件中的说明是真实的、准确的。</w:t>
      </w:r>
    </w:p>
    <w:p w14:paraId="51FEA90E">
      <w:pPr>
        <w:snapToGrid w:val="0"/>
        <w:spacing w:line="560" w:lineRule="exact"/>
        <w:ind w:firstLine="555"/>
        <w:rPr>
          <w:rFonts w:ascii="宋体"/>
          <w:color w:val="auto"/>
          <w:sz w:val="24"/>
          <w:highlight w:val="none"/>
        </w:rPr>
      </w:pPr>
    </w:p>
    <w:p w14:paraId="29908106">
      <w:pPr>
        <w:snapToGrid w:val="0"/>
        <w:spacing w:line="560" w:lineRule="exact"/>
        <w:ind w:firstLine="555"/>
        <w:rPr>
          <w:rFonts w:ascii="宋体"/>
          <w:color w:val="auto"/>
          <w:sz w:val="24"/>
          <w:highlight w:val="none"/>
        </w:rPr>
      </w:pPr>
    </w:p>
    <w:p w14:paraId="16D9E5FD">
      <w:pPr>
        <w:snapToGrid w:val="0"/>
        <w:spacing w:line="560" w:lineRule="exact"/>
        <w:ind w:firstLine="555"/>
        <w:rPr>
          <w:rFonts w:ascii="宋体"/>
          <w:color w:val="auto"/>
          <w:sz w:val="24"/>
          <w:highlight w:val="none"/>
        </w:rPr>
      </w:pPr>
    </w:p>
    <w:p w14:paraId="2FA373F8">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投标人（电子签</w:t>
      </w:r>
      <w:r>
        <w:rPr>
          <w:rFonts w:hint="eastAsia" w:ascii="宋体" w:hAnsi="宋体"/>
          <w:color w:val="auto"/>
          <w:sz w:val="24"/>
          <w:szCs w:val="24"/>
          <w:highlight w:val="none"/>
        </w:rPr>
        <w:t>章</w:t>
      </w:r>
      <w:r>
        <w:rPr>
          <w:rFonts w:hint="eastAsia"/>
          <w:color w:val="auto"/>
          <w:sz w:val="24"/>
          <w:szCs w:val="24"/>
          <w:highlight w:val="none"/>
        </w:rPr>
        <w:t>）：</w:t>
      </w:r>
    </w:p>
    <w:p w14:paraId="61DA6115">
      <w:pPr>
        <w:widowControl w:val="0"/>
        <w:tabs>
          <w:tab w:val="left" w:pos="9365"/>
        </w:tabs>
        <w:snapToGrid w:val="0"/>
        <w:spacing w:after="56" w:line="560" w:lineRule="exact"/>
        <w:ind w:right="85"/>
        <w:jc w:val="left"/>
        <w:textAlignment w:val="top"/>
        <w:rPr>
          <w:rFonts w:ascii="宋体" w:hAnsi="宋体"/>
          <w:color w:val="auto"/>
          <w:sz w:val="24"/>
          <w:highlight w:val="none"/>
        </w:rPr>
      </w:pPr>
      <w:r>
        <w:rPr>
          <w:rFonts w:hint="eastAsia"/>
          <w:color w:val="auto"/>
          <w:sz w:val="24"/>
          <w:szCs w:val="24"/>
          <w:highlight w:val="none"/>
        </w:rPr>
        <w:t>法定代表人（电子签名或签章）：</w:t>
      </w:r>
      <w:r>
        <w:rPr>
          <w:rFonts w:ascii="宋体" w:hAnsi="宋体"/>
          <w:color w:val="auto"/>
          <w:sz w:val="24"/>
          <w:highlight w:val="none"/>
        </w:rPr>
        <w:t xml:space="preserve"> </w:t>
      </w:r>
    </w:p>
    <w:p w14:paraId="57034626">
      <w:pPr>
        <w:widowControl w:val="0"/>
        <w:tabs>
          <w:tab w:val="left" w:pos="9365"/>
        </w:tabs>
        <w:snapToGrid w:val="0"/>
        <w:spacing w:after="56" w:line="560" w:lineRule="exact"/>
        <w:ind w:right="85"/>
        <w:jc w:val="left"/>
        <w:textAlignment w:val="top"/>
        <w:rPr>
          <w:rFonts w:ascii="宋体" w:hAnsi="宋体" w:cs="楷体_GB2312"/>
          <w:color w:val="auto"/>
          <w:sz w:val="24"/>
          <w:highlight w:val="none"/>
          <w:lang w:val="zh-CN"/>
        </w:rPr>
      </w:pPr>
      <w:r>
        <w:rPr>
          <w:rFonts w:hint="eastAsia" w:ascii="宋体" w:hAnsi="宋体"/>
          <w:color w:val="auto"/>
          <w:spacing w:val="8"/>
          <w:sz w:val="24"/>
          <w:highlight w:val="none"/>
        </w:rPr>
        <w:t>日期</w:t>
      </w:r>
      <w:r>
        <w:rPr>
          <w:rFonts w:ascii="宋体" w:hAnsi="宋体"/>
          <w:color w:val="auto"/>
          <w:spacing w:val="8"/>
          <w:sz w:val="24"/>
          <w:highlight w:val="none"/>
        </w:rPr>
        <w:t xml:space="preserve"> </w:t>
      </w:r>
      <w:r>
        <w:rPr>
          <w:rFonts w:hint="eastAsia" w:ascii="宋体" w:hAnsi="宋体"/>
          <w:color w:val="auto"/>
          <w:spacing w:val="8"/>
          <w:sz w:val="24"/>
          <w:highlight w:val="none"/>
        </w:rPr>
        <w:t>：</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14:paraId="3929C529">
      <w:pPr>
        <w:widowControl w:val="0"/>
        <w:tabs>
          <w:tab w:val="left" w:pos="9365"/>
        </w:tabs>
        <w:snapToGrid w:val="0"/>
        <w:spacing w:after="56" w:line="560" w:lineRule="exact"/>
        <w:ind w:right="85"/>
        <w:jc w:val="left"/>
        <w:textAlignment w:val="top"/>
        <w:rPr>
          <w:rFonts w:ascii="宋体" w:hAnsi="宋体" w:cs="楷体_GB2312"/>
          <w:color w:val="auto"/>
          <w:sz w:val="24"/>
          <w:highlight w:val="none"/>
          <w:lang w:val="zh-CN"/>
        </w:rPr>
      </w:pPr>
      <w:r>
        <w:rPr>
          <w:rFonts w:ascii="宋体" w:hAnsi="宋体" w:cs="楷体_GB2312"/>
          <w:color w:val="auto"/>
          <w:sz w:val="24"/>
          <w:highlight w:val="none"/>
          <w:lang w:val="zh-CN"/>
        </w:rPr>
        <w:br w:type="page"/>
      </w:r>
    </w:p>
    <w:p w14:paraId="6D6135A9">
      <w:pPr>
        <w:widowControl w:val="0"/>
        <w:tabs>
          <w:tab w:val="left" w:pos="9365"/>
        </w:tabs>
        <w:snapToGrid w:val="0"/>
        <w:spacing w:after="56" w:line="560" w:lineRule="exact"/>
        <w:ind w:right="85"/>
        <w:jc w:val="left"/>
        <w:textAlignment w:val="top"/>
        <w:rPr>
          <w:rFonts w:ascii="黑体" w:hAnsi="黑体" w:eastAsia="黑体"/>
          <w:b/>
          <w:color w:val="auto"/>
          <w:sz w:val="30"/>
          <w:szCs w:val="30"/>
          <w:highlight w:val="none"/>
        </w:rPr>
      </w:pPr>
      <w:r>
        <w:rPr>
          <w:rFonts w:ascii="黑体" w:hAnsi="黑体" w:eastAsia="黑体"/>
          <w:b/>
          <w:color w:val="auto"/>
          <w:sz w:val="30"/>
          <w:szCs w:val="30"/>
          <w:highlight w:val="none"/>
        </w:rPr>
        <w:t>15</w:t>
      </w:r>
      <w:r>
        <w:rPr>
          <w:rFonts w:hint="eastAsia" w:ascii="黑体" w:hAnsi="黑体" w:eastAsia="黑体"/>
          <w:b/>
          <w:color w:val="auto"/>
          <w:sz w:val="30"/>
          <w:szCs w:val="30"/>
          <w:highlight w:val="none"/>
        </w:rPr>
        <w:t>、《招</w:t>
      </w:r>
      <w:r>
        <w:rPr>
          <w:rFonts w:ascii="黑体" w:hAnsi="黑体" w:eastAsia="黑体"/>
          <w:b/>
          <w:color w:val="auto"/>
          <w:sz w:val="30"/>
          <w:szCs w:val="30"/>
          <w:highlight w:val="none"/>
        </w:rPr>
        <w:t>标文件》</w:t>
      </w:r>
      <w:r>
        <w:rPr>
          <w:rFonts w:hint="eastAsia" w:ascii="黑体" w:hAnsi="黑体" w:eastAsia="黑体"/>
          <w:b/>
          <w:color w:val="auto"/>
          <w:sz w:val="30"/>
          <w:szCs w:val="30"/>
          <w:highlight w:val="none"/>
        </w:rPr>
        <w:t>第</w:t>
      </w:r>
      <w:r>
        <w:rPr>
          <w:rFonts w:ascii="黑体" w:hAnsi="黑体" w:eastAsia="黑体"/>
          <w:b/>
          <w:color w:val="auto"/>
          <w:sz w:val="30"/>
          <w:szCs w:val="30"/>
          <w:highlight w:val="none"/>
        </w:rPr>
        <w:t>一章</w:t>
      </w:r>
      <w:r>
        <w:rPr>
          <w:rFonts w:hint="eastAsia" w:ascii="黑体" w:hAnsi="黑体" w:eastAsia="黑体"/>
          <w:b/>
          <w:color w:val="auto"/>
          <w:sz w:val="30"/>
          <w:szCs w:val="30"/>
          <w:highlight w:val="none"/>
        </w:rPr>
        <w:t>“招</w:t>
      </w:r>
      <w:r>
        <w:rPr>
          <w:rFonts w:ascii="黑体" w:hAnsi="黑体" w:eastAsia="黑体"/>
          <w:b/>
          <w:color w:val="auto"/>
          <w:sz w:val="30"/>
          <w:szCs w:val="30"/>
          <w:highlight w:val="none"/>
        </w:rPr>
        <w:t>标公</w:t>
      </w:r>
      <w:r>
        <w:rPr>
          <w:rFonts w:hint="eastAsia" w:ascii="黑体" w:hAnsi="黑体" w:eastAsia="黑体"/>
          <w:b/>
          <w:color w:val="auto"/>
          <w:sz w:val="30"/>
          <w:szCs w:val="30"/>
          <w:highlight w:val="none"/>
        </w:rPr>
        <w:t>告”</w:t>
      </w:r>
      <w:r>
        <w:rPr>
          <w:rFonts w:ascii="黑体" w:hAnsi="黑体" w:eastAsia="黑体"/>
          <w:b/>
          <w:color w:val="auto"/>
          <w:sz w:val="30"/>
          <w:szCs w:val="30"/>
          <w:highlight w:val="none"/>
        </w:rPr>
        <w:t>第二条所要求的</w:t>
      </w:r>
      <w:r>
        <w:rPr>
          <w:rFonts w:hint="eastAsia" w:ascii="黑体" w:hAnsi="黑体" w:eastAsia="黑体"/>
          <w:b/>
          <w:color w:val="auto"/>
          <w:sz w:val="30"/>
          <w:szCs w:val="30"/>
          <w:highlight w:val="none"/>
        </w:rPr>
        <w:t>资格性证明文件</w:t>
      </w:r>
    </w:p>
    <w:p w14:paraId="0A07B582">
      <w:pPr>
        <w:widowControl w:val="0"/>
        <w:tabs>
          <w:tab w:val="left" w:pos="9365"/>
        </w:tabs>
        <w:snapToGrid w:val="0"/>
        <w:spacing w:after="56" w:line="560" w:lineRule="exact"/>
        <w:ind w:right="85"/>
        <w:jc w:val="left"/>
        <w:textAlignment w:val="top"/>
        <w:rPr>
          <w:rFonts w:ascii="宋体" w:hAnsi="宋体" w:cs="楷体_GB2312"/>
          <w:color w:val="auto"/>
          <w:sz w:val="24"/>
          <w:highlight w:val="none"/>
          <w:lang w:val="zh-CN"/>
        </w:rPr>
      </w:pPr>
    </w:p>
    <w:p w14:paraId="4E1A94A5">
      <w:pPr>
        <w:widowControl w:val="0"/>
        <w:tabs>
          <w:tab w:val="left" w:pos="9365"/>
        </w:tabs>
        <w:snapToGrid w:val="0"/>
        <w:spacing w:after="56" w:line="560" w:lineRule="exact"/>
        <w:ind w:right="85"/>
        <w:jc w:val="center"/>
        <w:textAlignment w:val="top"/>
        <w:rPr>
          <w:rFonts w:ascii="黑体" w:hAnsi="黑体" w:eastAsia="黑体"/>
          <w:b/>
          <w:color w:val="auto"/>
          <w:sz w:val="30"/>
          <w:szCs w:val="30"/>
          <w:highlight w:val="none"/>
        </w:rPr>
      </w:pPr>
      <w:r>
        <w:rPr>
          <w:rFonts w:hint="eastAsia" w:ascii="黑体" w:hAnsi="黑体" w:eastAsia="黑体"/>
          <w:b/>
          <w:color w:val="auto"/>
          <w:sz w:val="30"/>
          <w:szCs w:val="30"/>
          <w:highlight w:val="none"/>
        </w:rPr>
        <w:t>1</w:t>
      </w:r>
      <w:r>
        <w:rPr>
          <w:rFonts w:ascii="黑体" w:hAnsi="黑体" w:eastAsia="黑体"/>
          <w:b/>
          <w:color w:val="auto"/>
          <w:sz w:val="30"/>
          <w:szCs w:val="30"/>
          <w:highlight w:val="none"/>
        </w:rPr>
        <w:t>5</w:t>
      </w:r>
      <w:r>
        <w:rPr>
          <w:rFonts w:hint="eastAsia" w:ascii="黑体" w:hAnsi="黑体" w:eastAsia="黑体"/>
          <w:b/>
          <w:color w:val="auto"/>
          <w:sz w:val="30"/>
          <w:szCs w:val="30"/>
          <w:highlight w:val="none"/>
        </w:rPr>
        <w:t>-1、《政府采购法》第二十二条第一款规定的供</w:t>
      </w:r>
      <w:r>
        <w:rPr>
          <w:rFonts w:ascii="黑体" w:hAnsi="黑体" w:eastAsia="黑体"/>
          <w:b/>
          <w:color w:val="auto"/>
          <w:sz w:val="30"/>
          <w:szCs w:val="30"/>
          <w:highlight w:val="none"/>
        </w:rPr>
        <w:t>应商基础性资</w:t>
      </w:r>
      <w:r>
        <w:rPr>
          <w:rFonts w:hint="eastAsia" w:ascii="黑体" w:hAnsi="黑体" w:eastAsia="黑体"/>
          <w:b/>
          <w:color w:val="auto"/>
          <w:sz w:val="30"/>
          <w:szCs w:val="30"/>
          <w:highlight w:val="none"/>
        </w:rPr>
        <w:t>格</w:t>
      </w:r>
      <w:r>
        <w:rPr>
          <w:rFonts w:ascii="黑体" w:hAnsi="黑体" w:eastAsia="黑体"/>
          <w:b/>
          <w:color w:val="auto"/>
          <w:sz w:val="30"/>
          <w:szCs w:val="30"/>
          <w:highlight w:val="none"/>
        </w:rPr>
        <w:t>的</w:t>
      </w:r>
    </w:p>
    <w:p w14:paraId="5216C3D8">
      <w:pPr>
        <w:widowControl w:val="0"/>
        <w:tabs>
          <w:tab w:val="left" w:pos="9365"/>
        </w:tabs>
        <w:snapToGrid w:val="0"/>
        <w:spacing w:after="56" w:line="560" w:lineRule="exact"/>
        <w:ind w:right="85"/>
        <w:jc w:val="center"/>
        <w:textAlignment w:val="top"/>
        <w:rPr>
          <w:rFonts w:ascii="黑体" w:hAnsi="黑体" w:eastAsia="黑体"/>
          <w:b/>
          <w:color w:val="auto"/>
          <w:sz w:val="30"/>
          <w:szCs w:val="30"/>
          <w:highlight w:val="none"/>
        </w:rPr>
      </w:pPr>
      <w:r>
        <w:rPr>
          <w:rFonts w:hint="eastAsia" w:ascii="黑体" w:hAnsi="黑体" w:eastAsia="黑体"/>
          <w:b/>
          <w:color w:val="auto"/>
          <w:sz w:val="30"/>
          <w:szCs w:val="30"/>
          <w:highlight w:val="none"/>
        </w:rPr>
        <w:t>承诺函</w:t>
      </w:r>
    </w:p>
    <w:p w14:paraId="683FA2BF">
      <w:pPr>
        <w:widowControl w:val="0"/>
        <w:tabs>
          <w:tab w:val="left" w:pos="9365"/>
        </w:tabs>
        <w:snapToGrid w:val="0"/>
        <w:spacing w:after="56" w:line="560" w:lineRule="exact"/>
        <w:ind w:right="85"/>
        <w:jc w:val="center"/>
        <w:textAlignment w:val="top"/>
        <w:rPr>
          <w:rFonts w:ascii="黑体" w:hAnsi="黑体" w:eastAsia="黑体"/>
          <w:b/>
          <w:color w:val="auto"/>
          <w:sz w:val="30"/>
          <w:szCs w:val="30"/>
          <w:highlight w:val="none"/>
        </w:rPr>
      </w:pPr>
    </w:p>
    <w:p w14:paraId="0CC6A9AE">
      <w:pPr>
        <w:tabs>
          <w:tab w:val="left" w:pos="9365"/>
        </w:tabs>
        <w:spacing w:before="57" w:after="57" w:line="586" w:lineRule="atLeast"/>
        <w:ind w:right="85" w:firstLine="480" w:firstLineChars="200"/>
        <w:jc w:val="left"/>
        <w:textAlignment w:val="top"/>
        <w:rPr>
          <w:rFonts w:ascii="宋体" w:hAnsi="宋体"/>
          <w:color w:val="auto"/>
          <w:sz w:val="24"/>
          <w:szCs w:val="24"/>
          <w:highlight w:val="none"/>
        </w:rPr>
      </w:pPr>
      <w:r>
        <w:rPr>
          <w:rFonts w:hint="eastAsia" w:ascii="宋体" w:hAnsi="宋体"/>
          <w:color w:val="auto"/>
          <w:sz w:val="24"/>
          <w:szCs w:val="24"/>
          <w:highlight w:val="none"/>
        </w:rPr>
        <w:t>一</w:t>
      </w:r>
      <w:r>
        <w:rPr>
          <w:rFonts w:ascii="宋体" w:hAnsi="宋体"/>
          <w:color w:val="auto"/>
          <w:sz w:val="24"/>
          <w:szCs w:val="24"/>
          <w:highlight w:val="none"/>
        </w:rPr>
        <w:t>、</w:t>
      </w:r>
      <w:r>
        <w:rPr>
          <w:rFonts w:hint="eastAsia" w:ascii="宋体" w:hAnsi="宋体"/>
          <w:color w:val="auto"/>
          <w:sz w:val="24"/>
          <w:szCs w:val="24"/>
          <w:highlight w:val="none"/>
        </w:rPr>
        <w:t>我公司郑重承诺，我公司符合《政府采购法》第二十二条第一款规定的供应商基础性资格条件，具体如下：</w:t>
      </w:r>
    </w:p>
    <w:p w14:paraId="748A00A0">
      <w:pPr>
        <w:tabs>
          <w:tab w:val="left" w:pos="9365"/>
        </w:tabs>
        <w:spacing w:before="57" w:after="57" w:line="586" w:lineRule="atLeast"/>
        <w:ind w:right="85" w:firstLine="424" w:firstLineChars="177"/>
        <w:jc w:val="left"/>
        <w:textAlignment w:val="top"/>
        <w:rPr>
          <w:rFonts w:ascii="宋体" w:hAnsi="宋体"/>
          <w:color w:val="auto"/>
          <w:sz w:val="24"/>
          <w:szCs w:val="24"/>
          <w:highlight w:val="none"/>
        </w:rPr>
      </w:pPr>
      <w:r>
        <w:rPr>
          <w:rFonts w:hint="eastAsia" w:ascii="宋体" w:hAnsi="宋体"/>
          <w:color w:val="auto"/>
          <w:sz w:val="24"/>
          <w:szCs w:val="24"/>
          <w:highlight w:val="none"/>
        </w:rPr>
        <w:t>1、我公司承诺具有独立承担民事责任能力；</w:t>
      </w:r>
    </w:p>
    <w:p w14:paraId="4998A7CA">
      <w:pPr>
        <w:tabs>
          <w:tab w:val="left" w:pos="9365"/>
        </w:tabs>
        <w:spacing w:before="57" w:after="57" w:line="586" w:lineRule="atLeast"/>
        <w:ind w:right="85" w:firstLine="424" w:firstLineChars="177"/>
        <w:jc w:val="left"/>
        <w:textAlignment w:val="top"/>
        <w:rPr>
          <w:rFonts w:ascii="宋体" w:hAnsi="宋体"/>
          <w:color w:val="auto"/>
          <w:sz w:val="24"/>
          <w:szCs w:val="24"/>
          <w:highlight w:val="none"/>
        </w:rPr>
      </w:pPr>
      <w:r>
        <w:rPr>
          <w:rFonts w:hint="eastAsia" w:ascii="宋体" w:hAnsi="宋体"/>
          <w:color w:val="auto"/>
          <w:sz w:val="24"/>
          <w:szCs w:val="24"/>
          <w:highlight w:val="none"/>
        </w:rPr>
        <w:t>2、我公司承诺具有良好的商业信誉和健全的财务会计制度；</w:t>
      </w:r>
    </w:p>
    <w:p w14:paraId="6D6989DC">
      <w:pPr>
        <w:tabs>
          <w:tab w:val="left" w:pos="9365"/>
        </w:tabs>
        <w:spacing w:before="57" w:after="57" w:line="586" w:lineRule="atLeast"/>
        <w:ind w:right="85" w:firstLine="424" w:firstLineChars="177"/>
        <w:jc w:val="left"/>
        <w:textAlignment w:val="top"/>
        <w:rPr>
          <w:rFonts w:ascii="宋体" w:hAnsi="宋体"/>
          <w:color w:val="auto"/>
          <w:sz w:val="24"/>
          <w:szCs w:val="24"/>
          <w:highlight w:val="none"/>
        </w:rPr>
      </w:pPr>
      <w:r>
        <w:rPr>
          <w:rFonts w:hint="eastAsia" w:ascii="宋体" w:hAnsi="宋体"/>
          <w:color w:val="auto"/>
          <w:sz w:val="24"/>
          <w:szCs w:val="24"/>
          <w:highlight w:val="none"/>
        </w:rPr>
        <w:t>3、我公司承诺具备履行合同所必需的设备和专业技术能力；</w:t>
      </w:r>
    </w:p>
    <w:p w14:paraId="030955A8">
      <w:pPr>
        <w:tabs>
          <w:tab w:val="left" w:pos="9365"/>
        </w:tabs>
        <w:spacing w:before="57" w:after="57" w:line="586" w:lineRule="atLeast"/>
        <w:ind w:right="85" w:firstLine="424" w:firstLineChars="177"/>
        <w:jc w:val="left"/>
        <w:textAlignment w:val="top"/>
        <w:rPr>
          <w:rFonts w:ascii="宋体" w:hAnsi="宋体"/>
          <w:color w:val="auto"/>
          <w:sz w:val="24"/>
          <w:szCs w:val="24"/>
          <w:highlight w:val="none"/>
        </w:rPr>
      </w:pPr>
      <w:r>
        <w:rPr>
          <w:rFonts w:hint="eastAsia" w:ascii="宋体" w:hAnsi="宋体"/>
          <w:color w:val="auto"/>
          <w:sz w:val="24"/>
          <w:szCs w:val="24"/>
          <w:highlight w:val="none"/>
        </w:rPr>
        <w:t>4、我公司承诺具有依法缴纳税收和社会保障资金的良好记录；</w:t>
      </w:r>
    </w:p>
    <w:p w14:paraId="73507923">
      <w:pPr>
        <w:tabs>
          <w:tab w:val="left" w:pos="9365"/>
        </w:tabs>
        <w:spacing w:before="57" w:after="57" w:line="586" w:lineRule="atLeast"/>
        <w:ind w:right="85" w:firstLine="424" w:firstLineChars="177"/>
        <w:jc w:val="left"/>
        <w:textAlignment w:val="top"/>
        <w:rPr>
          <w:rFonts w:ascii="宋体" w:hAnsi="宋体"/>
          <w:color w:val="auto"/>
          <w:sz w:val="24"/>
          <w:szCs w:val="24"/>
          <w:highlight w:val="none"/>
        </w:rPr>
      </w:pPr>
      <w:r>
        <w:rPr>
          <w:rFonts w:hint="eastAsia" w:ascii="宋体" w:hAnsi="宋体"/>
          <w:color w:val="auto"/>
          <w:sz w:val="24"/>
          <w:szCs w:val="24"/>
          <w:highlight w:val="none"/>
        </w:rPr>
        <w:t>5、我公司承诺在参加政府采购活动前三年内，在经营活动中没有重大违法记录。</w:t>
      </w:r>
    </w:p>
    <w:p w14:paraId="7CEA5A5C">
      <w:pPr>
        <w:tabs>
          <w:tab w:val="left" w:pos="9365"/>
        </w:tabs>
        <w:spacing w:before="156" w:beforeLines="50" w:line="240" w:lineRule="auto"/>
        <w:ind w:right="85"/>
        <w:jc w:val="left"/>
        <w:textAlignment w:val="top"/>
        <w:rPr>
          <w:rFonts w:ascii="宋体"/>
          <w:color w:val="auto"/>
          <w:sz w:val="24"/>
          <w:szCs w:val="24"/>
          <w:highlight w:val="none"/>
        </w:rPr>
      </w:pPr>
      <w:r>
        <w:rPr>
          <w:rFonts w:hint="eastAsia" w:ascii="宋体"/>
          <w:color w:val="auto"/>
          <w:sz w:val="24"/>
          <w:szCs w:val="24"/>
          <w:highlight w:val="none"/>
        </w:rPr>
        <w:t xml:space="preserve">    二</w:t>
      </w:r>
      <w:r>
        <w:rPr>
          <w:rFonts w:ascii="宋体"/>
          <w:color w:val="auto"/>
          <w:sz w:val="24"/>
          <w:szCs w:val="24"/>
          <w:highlight w:val="none"/>
        </w:rPr>
        <w:t>、</w:t>
      </w:r>
      <w:r>
        <w:rPr>
          <w:rFonts w:hint="eastAsia" w:ascii="宋体"/>
          <w:color w:val="auto"/>
          <w:sz w:val="24"/>
          <w:szCs w:val="24"/>
          <w:highlight w:val="none"/>
        </w:rPr>
        <w:t>我公司保证上述承诺事项的真实性，如有虚假或其他违规违法行为，我公司愿意</w:t>
      </w:r>
      <w:r>
        <w:rPr>
          <w:rFonts w:hint="eastAsia" w:ascii="宋体" w:hAnsi="宋体"/>
          <w:color w:val="auto"/>
          <w:sz w:val="24"/>
          <w:szCs w:val="24"/>
          <w:highlight w:val="none"/>
        </w:rPr>
        <w:t>按《政府采购法》提供虚假材料的有关规定</w:t>
      </w:r>
      <w:r>
        <w:rPr>
          <w:rFonts w:hint="eastAsia" w:ascii="宋体"/>
          <w:color w:val="auto"/>
          <w:sz w:val="24"/>
          <w:szCs w:val="24"/>
          <w:highlight w:val="none"/>
        </w:rPr>
        <w:t>承担法律责任，并承担因此造成的一切损失。</w:t>
      </w:r>
    </w:p>
    <w:p w14:paraId="24F40C4A">
      <w:pPr>
        <w:widowControl w:val="0"/>
        <w:tabs>
          <w:tab w:val="left" w:pos="9365"/>
        </w:tabs>
        <w:snapToGrid w:val="0"/>
        <w:spacing w:before="156" w:beforeLines="50" w:line="240" w:lineRule="auto"/>
        <w:ind w:right="85"/>
        <w:jc w:val="left"/>
        <w:textAlignment w:val="top"/>
        <w:rPr>
          <w:rFonts w:ascii="宋体" w:hAnsi="宋体"/>
          <w:color w:val="auto"/>
          <w:sz w:val="24"/>
          <w:szCs w:val="24"/>
          <w:highlight w:val="none"/>
        </w:rPr>
      </w:pPr>
      <w:r>
        <w:rPr>
          <w:rFonts w:hint="eastAsia" w:ascii="宋体"/>
          <w:color w:val="auto"/>
          <w:sz w:val="24"/>
          <w:szCs w:val="24"/>
          <w:highlight w:val="none"/>
        </w:rPr>
        <w:t xml:space="preserve">   三</w:t>
      </w:r>
      <w:r>
        <w:rPr>
          <w:rFonts w:ascii="宋体"/>
          <w:color w:val="auto"/>
          <w:sz w:val="24"/>
          <w:szCs w:val="24"/>
          <w:highlight w:val="none"/>
        </w:rPr>
        <w:t>、</w:t>
      </w:r>
      <w:r>
        <w:rPr>
          <w:rFonts w:hint="eastAsia" w:ascii="宋体"/>
          <w:color w:val="auto"/>
          <w:sz w:val="24"/>
          <w:szCs w:val="24"/>
          <w:highlight w:val="none"/>
        </w:rPr>
        <w:t xml:space="preserve"> 我</w:t>
      </w:r>
      <w:r>
        <w:rPr>
          <w:rFonts w:ascii="宋体"/>
          <w:color w:val="auto"/>
          <w:sz w:val="24"/>
          <w:szCs w:val="24"/>
          <w:highlight w:val="none"/>
        </w:rPr>
        <w:t>公司认同</w:t>
      </w:r>
      <w:r>
        <w:rPr>
          <w:rFonts w:hint="eastAsia" w:ascii="宋体"/>
          <w:color w:val="auto"/>
          <w:sz w:val="24"/>
          <w:szCs w:val="24"/>
          <w:highlight w:val="none"/>
        </w:rPr>
        <w:t>按</w:t>
      </w:r>
      <w:r>
        <w:rPr>
          <w:rFonts w:ascii="宋体"/>
          <w:color w:val="auto"/>
          <w:sz w:val="24"/>
          <w:szCs w:val="24"/>
          <w:highlight w:val="none"/>
        </w:rPr>
        <w:t>照</w:t>
      </w:r>
      <w:r>
        <w:rPr>
          <w:rFonts w:hint="eastAsia" w:ascii="宋体"/>
          <w:color w:val="auto"/>
          <w:sz w:val="24"/>
          <w:szCs w:val="24"/>
          <w:highlight w:val="none"/>
        </w:rPr>
        <w:t>《招标</w:t>
      </w:r>
      <w:r>
        <w:rPr>
          <w:rFonts w:ascii="宋体"/>
          <w:color w:val="auto"/>
          <w:sz w:val="24"/>
          <w:szCs w:val="24"/>
          <w:highlight w:val="none"/>
        </w:rPr>
        <w:t>文件</w:t>
      </w:r>
      <w:r>
        <w:rPr>
          <w:rFonts w:hint="eastAsia" w:ascii="宋体"/>
          <w:color w:val="auto"/>
          <w:sz w:val="24"/>
          <w:szCs w:val="24"/>
          <w:highlight w:val="none"/>
        </w:rPr>
        <w:t>》“</w:t>
      </w:r>
      <w:r>
        <w:rPr>
          <w:rFonts w:hint="eastAsia" w:ascii="宋体" w:hAnsi="宋体"/>
          <w:color w:val="auto"/>
          <w:sz w:val="24"/>
          <w:szCs w:val="24"/>
          <w:highlight w:val="none"/>
        </w:rPr>
        <w:t>《政府采购法》第二十二条第一款规定的供</w:t>
      </w:r>
      <w:r>
        <w:rPr>
          <w:rFonts w:ascii="宋体" w:hAnsi="宋体"/>
          <w:color w:val="auto"/>
          <w:sz w:val="24"/>
          <w:szCs w:val="24"/>
          <w:highlight w:val="none"/>
        </w:rPr>
        <w:t>应商基础性资</w:t>
      </w:r>
      <w:r>
        <w:rPr>
          <w:rFonts w:hint="eastAsia" w:ascii="宋体" w:hAnsi="宋体"/>
          <w:color w:val="auto"/>
          <w:sz w:val="24"/>
          <w:szCs w:val="24"/>
          <w:highlight w:val="none"/>
        </w:rPr>
        <w:t>格</w:t>
      </w:r>
      <w:r>
        <w:rPr>
          <w:rFonts w:ascii="宋体" w:hAnsi="宋体"/>
          <w:color w:val="auto"/>
          <w:sz w:val="24"/>
          <w:szCs w:val="24"/>
          <w:highlight w:val="none"/>
        </w:rPr>
        <w:t>的</w:t>
      </w:r>
      <w:r>
        <w:rPr>
          <w:rFonts w:hint="eastAsia" w:ascii="宋体" w:hAnsi="宋体"/>
          <w:color w:val="auto"/>
          <w:sz w:val="24"/>
          <w:szCs w:val="24"/>
          <w:highlight w:val="none"/>
        </w:rPr>
        <w:t>承诺认定标准</w:t>
      </w:r>
      <w:r>
        <w:rPr>
          <w:rFonts w:hint="eastAsia" w:ascii="宋体"/>
          <w:color w:val="auto"/>
          <w:sz w:val="24"/>
          <w:szCs w:val="24"/>
          <w:highlight w:val="none"/>
        </w:rPr>
        <w:t>”对</w:t>
      </w:r>
      <w:r>
        <w:rPr>
          <w:rFonts w:ascii="宋体"/>
          <w:color w:val="auto"/>
          <w:sz w:val="24"/>
          <w:szCs w:val="24"/>
          <w:highlight w:val="none"/>
        </w:rPr>
        <w:t>我公司或其他公司</w:t>
      </w:r>
      <w:r>
        <w:rPr>
          <w:rFonts w:hint="eastAsia" w:ascii="宋体"/>
          <w:color w:val="auto"/>
          <w:sz w:val="24"/>
          <w:szCs w:val="24"/>
          <w:highlight w:val="none"/>
        </w:rPr>
        <w:t>进行的</w:t>
      </w:r>
      <w:r>
        <w:rPr>
          <w:rFonts w:hint="eastAsia" w:ascii="宋体" w:hAnsi="宋体"/>
          <w:color w:val="auto"/>
          <w:sz w:val="24"/>
          <w:szCs w:val="24"/>
          <w:highlight w:val="none"/>
        </w:rPr>
        <w:t>供</w:t>
      </w:r>
      <w:r>
        <w:rPr>
          <w:rFonts w:ascii="宋体" w:hAnsi="宋体"/>
          <w:color w:val="auto"/>
          <w:sz w:val="24"/>
          <w:szCs w:val="24"/>
          <w:highlight w:val="none"/>
        </w:rPr>
        <w:t>应商基础性资</w:t>
      </w:r>
      <w:r>
        <w:rPr>
          <w:rFonts w:hint="eastAsia" w:ascii="宋体" w:hAnsi="宋体"/>
          <w:color w:val="auto"/>
          <w:sz w:val="24"/>
          <w:szCs w:val="24"/>
          <w:highlight w:val="none"/>
        </w:rPr>
        <w:t>格的</w:t>
      </w:r>
      <w:r>
        <w:rPr>
          <w:rFonts w:ascii="宋体" w:hAnsi="宋体"/>
          <w:color w:val="auto"/>
          <w:sz w:val="24"/>
          <w:szCs w:val="24"/>
          <w:highlight w:val="none"/>
        </w:rPr>
        <w:t>审查</w:t>
      </w:r>
      <w:r>
        <w:rPr>
          <w:rFonts w:hint="eastAsia" w:ascii="宋体" w:hAnsi="宋体"/>
          <w:color w:val="auto"/>
          <w:sz w:val="24"/>
          <w:szCs w:val="24"/>
          <w:highlight w:val="none"/>
        </w:rPr>
        <w:t>，</w:t>
      </w:r>
      <w:r>
        <w:rPr>
          <w:rFonts w:ascii="宋体" w:hAnsi="宋体"/>
          <w:color w:val="auto"/>
          <w:sz w:val="24"/>
          <w:szCs w:val="24"/>
          <w:highlight w:val="none"/>
        </w:rPr>
        <w:t>对</w:t>
      </w:r>
      <w:r>
        <w:rPr>
          <w:rFonts w:hint="eastAsia" w:ascii="宋体"/>
          <w:color w:val="auto"/>
          <w:sz w:val="24"/>
          <w:szCs w:val="24"/>
          <w:highlight w:val="none"/>
        </w:rPr>
        <w:t>按</w:t>
      </w:r>
      <w:r>
        <w:rPr>
          <w:rFonts w:ascii="宋体"/>
          <w:color w:val="auto"/>
          <w:sz w:val="24"/>
          <w:szCs w:val="24"/>
          <w:highlight w:val="none"/>
        </w:rPr>
        <w:t>照</w:t>
      </w:r>
      <w:r>
        <w:rPr>
          <w:rFonts w:hint="eastAsia" w:ascii="宋体" w:hAnsi="宋体"/>
          <w:color w:val="auto"/>
          <w:sz w:val="24"/>
          <w:szCs w:val="24"/>
          <w:highlight w:val="none"/>
        </w:rPr>
        <w:t>认定标准得</w:t>
      </w:r>
      <w:r>
        <w:rPr>
          <w:rFonts w:ascii="宋体" w:hAnsi="宋体"/>
          <w:color w:val="auto"/>
          <w:sz w:val="24"/>
          <w:szCs w:val="24"/>
          <w:highlight w:val="none"/>
        </w:rPr>
        <w:t>出的审查结果无异</w:t>
      </w:r>
      <w:r>
        <w:rPr>
          <w:rFonts w:hint="eastAsia" w:ascii="宋体" w:hAnsi="宋体"/>
          <w:color w:val="auto"/>
          <w:sz w:val="24"/>
          <w:szCs w:val="24"/>
          <w:highlight w:val="none"/>
        </w:rPr>
        <w:t>议。</w:t>
      </w:r>
    </w:p>
    <w:p w14:paraId="04106690">
      <w:pPr>
        <w:widowControl w:val="0"/>
        <w:tabs>
          <w:tab w:val="left" w:pos="9365"/>
        </w:tabs>
        <w:snapToGrid w:val="0"/>
        <w:spacing w:before="156" w:beforeLines="50" w:line="240" w:lineRule="auto"/>
        <w:ind w:right="85"/>
        <w:jc w:val="left"/>
        <w:textAlignment w:val="top"/>
        <w:rPr>
          <w:rFonts w:ascii="宋体" w:hAnsi="宋体"/>
          <w:color w:val="auto"/>
          <w:sz w:val="24"/>
          <w:szCs w:val="24"/>
          <w:highlight w:val="none"/>
        </w:rPr>
      </w:pPr>
      <w:r>
        <w:rPr>
          <w:rFonts w:hint="eastAsia" w:ascii="宋体" w:hAnsi="宋体"/>
          <w:color w:val="auto"/>
          <w:sz w:val="24"/>
          <w:szCs w:val="24"/>
          <w:highlight w:val="none"/>
        </w:rPr>
        <w:t xml:space="preserve">    四、</w:t>
      </w:r>
      <w:r>
        <w:rPr>
          <w:rFonts w:hint="eastAsia" w:ascii="宋体"/>
          <w:color w:val="auto"/>
          <w:sz w:val="24"/>
          <w:szCs w:val="24"/>
          <w:highlight w:val="none"/>
        </w:rPr>
        <w:t>我公司投</w:t>
      </w:r>
      <w:r>
        <w:rPr>
          <w:rFonts w:ascii="宋体"/>
          <w:color w:val="auto"/>
          <w:sz w:val="24"/>
          <w:szCs w:val="24"/>
          <w:highlight w:val="none"/>
        </w:rPr>
        <w:t>标文件或</w:t>
      </w:r>
      <w:r>
        <w:rPr>
          <w:rFonts w:hint="eastAsia" w:ascii="宋体"/>
          <w:color w:val="auto"/>
          <w:sz w:val="24"/>
          <w:szCs w:val="24"/>
          <w:highlight w:val="none"/>
        </w:rPr>
        <w:t>公</w:t>
      </w:r>
      <w:r>
        <w:rPr>
          <w:rFonts w:ascii="宋体"/>
          <w:color w:val="auto"/>
          <w:sz w:val="24"/>
          <w:szCs w:val="24"/>
          <w:highlight w:val="none"/>
        </w:rPr>
        <w:t>开资</w:t>
      </w:r>
      <w:r>
        <w:rPr>
          <w:rFonts w:hint="eastAsia" w:ascii="宋体"/>
          <w:color w:val="auto"/>
          <w:sz w:val="24"/>
          <w:szCs w:val="24"/>
          <w:highlight w:val="none"/>
        </w:rPr>
        <w:t>料或</w:t>
      </w:r>
      <w:r>
        <w:rPr>
          <w:rFonts w:ascii="宋体"/>
          <w:color w:val="auto"/>
          <w:sz w:val="24"/>
          <w:szCs w:val="24"/>
          <w:highlight w:val="none"/>
        </w:rPr>
        <w:t>备</w:t>
      </w:r>
      <w:r>
        <w:rPr>
          <w:rFonts w:hint="eastAsia" w:ascii="宋体"/>
          <w:color w:val="auto"/>
          <w:sz w:val="24"/>
          <w:szCs w:val="24"/>
          <w:highlight w:val="none"/>
        </w:rPr>
        <w:t>案</w:t>
      </w:r>
      <w:r>
        <w:rPr>
          <w:rFonts w:ascii="宋体"/>
          <w:color w:val="auto"/>
          <w:sz w:val="24"/>
          <w:szCs w:val="24"/>
          <w:highlight w:val="none"/>
        </w:rPr>
        <w:t>资</w:t>
      </w:r>
      <w:r>
        <w:rPr>
          <w:rFonts w:hint="eastAsia" w:ascii="宋体"/>
          <w:color w:val="auto"/>
          <w:sz w:val="24"/>
          <w:szCs w:val="24"/>
          <w:highlight w:val="none"/>
        </w:rPr>
        <w:t>料</w:t>
      </w:r>
      <w:r>
        <w:rPr>
          <w:rFonts w:ascii="宋体"/>
          <w:color w:val="auto"/>
          <w:sz w:val="24"/>
          <w:szCs w:val="24"/>
          <w:highlight w:val="none"/>
        </w:rPr>
        <w:t>中，有不符合</w:t>
      </w:r>
      <w:r>
        <w:rPr>
          <w:rFonts w:hint="eastAsia" w:ascii="宋体"/>
          <w:color w:val="auto"/>
          <w:sz w:val="24"/>
          <w:szCs w:val="24"/>
          <w:highlight w:val="none"/>
        </w:rPr>
        <w:t>《招标</w:t>
      </w:r>
      <w:r>
        <w:rPr>
          <w:rFonts w:ascii="宋体"/>
          <w:color w:val="auto"/>
          <w:sz w:val="24"/>
          <w:szCs w:val="24"/>
          <w:highlight w:val="none"/>
        </w:rPr>
        <w:t>文件</w:t>
      </w:r>
      <w:r>
        <w:rPr>
          <w:rFonts w:hint="eastAsia" w:ascii="宋体"/>
          <w:color w:val="auto"/>
          <w:sz w:val="24"/>
          <w:szCs w:val="24"/>
          <w:highlight w:val="none"/>
        </w:rPr>
        <w:t>》“</w:t>
      </w:r>
      <w:r>
        <w:rPr>
          <w:rFonts w:hint="eastAsia" w:ascii="宋体" w:hAnsi="宋体"/>
          <w:color w:val="auto"/>
          <w:sz w:val="24"/>
          <w:szCs w:val="24"/>
          <w:highlight w:val="none"/>
        </w:rPr>
        <w:t>《政府采购法》第二十二条第一款规定的供</w:t>
      </w:r>
      <w:r>
        <w:rPr>
          <w:rFonts w:ascii="宋体" w:hAnsi="宋体"/>
          <w:color w:val="auto"/>
          <w:sz w:val="24"/>
          <w:szCs w:val="24"/>
          <w:highlight w:val="none"/>
        </w:rPr>
        <w:t>应商基础性资</w:t>
      </w:r>
      <w:r>
        <w:rPr>
          <w:rFonts w:hint="eastAsia" w:ascii="宋体" w:hAnsi="宋体"/>
          <w:color w:val="auto"/>
          <w:sz w:val="24"/>
          <w:szCs w:val="24"/>
          <w:highlight w:val="none"/>
        </w:rPr>
        <w:t>格</w:t>
      </w:r>
      <w:r>
        <w:rPr>
          <w:rFonts w:ascii="宋体" w:hAnsi="宋体"/>
          <w:color w:val="auto"/>
          <w:sz w:val="24"/>
          <w:szCs w:val="24"/>
          <w:highlight w:val="none"/>
        </w:rPr>
        <w:t>的</w:t>
      </w:r>
      <w:r>
        <w:rPr>
          <w:rFonts w:hint="eastAsia" w:ascii="宋体" w:hAnsi="宋体"/>
          <w:color w:val="auto"/>
          <w:sz w:val="24"/>
          <w:szCs w:val="24"/>
          <w:highlight w:val="none"/>
        </w:rPr>
        <w:t>承诺认定标准</w:t>
      </w:r>
      <w:r>
        <w:rPr>
          <w:rFonts w:hint="eastAsia" w:ascii="宋体"/>
          <w:color w:val="auto"/>
          <w:sz w:val="24"/>
          <w:szCs w:val="24"/>
          <w:highlight w:val="none"/>
        </w:rPr>
        <w:t>”的</w:t>
      </w:r>
      <w:r>
        <w:rPr>
          <w:rFonts w:ascii="宋体"/>
          <w:color w:val="auto"/>
          <w:sz w:val="24"/>
          <w:szCs w:val="24"/>
          <w:highlight w:val="none"/>
        </w:rPr>
        <w:t>，</w:t>
      </w:r>
      <w:r>
        <w:rPr>
          <w:rFonts w:hint="eastAsia" w:ascii="宋体"/>
          <w:color w:val="auto"/>
          <w:sz w:val="24"/>
          <w:szCs w:val="24"/>
          <w:highlight w:val="none"/>
        </w:rPr>
        <w:t>我公司</w:t>
      </w:r>
      <w:r>
        <w:rPr>
          <w:rFonts w:ascii="宋体"/>
          <w:color w:val="auto"/>
          <w:sz w:val="24"/>
          <w:szCs w:val="24"/>
          <w:highlight w:val="none"/>
        </w:rPr>
        <w:t>认同</w:t>
      </w:r>
      <w:r>
        <w:rPr>
          <w:rFonts w:hint="eastAsia" w:ascii="宋体"/>
          <w:color w:val="auto"/>
          <w:sz w:val="24"/>
          <w:szCs w:val="24"/>
          <w:highlight w:val="none"/>
        </w:rPr>
        <w:t>判</w:t>
      </w:r>
      <w:r>
        <w:rPr>
          <w:rFonts w:ascii="宋体"/>
          <w:color w:val="auto"/>
          <w:sz w:val="24"/>
          <w:szCs w:val="24"/>
          <w:highlight w:val="none"/>
        </w:rPr>
        <w:t>定为无</w:t>
      </w:r>
      <w:r>
        <w:rPr>
          <w:rFonts w:hint="eastAsia" w:ascii="宋体"/>
          <w:color w:val="auto"/>
          <w:sz w:val="24"/>
          <w:szCs w:val="24"/>
          <w:highlight w:val="none"/>
        </w:rPr>
        <w:t>效</w:t>
      </w:r>
      <w:r>
        <w:rPr>
          <w:rFonts w:ascii="宋体"/>
          <w:color w:val="auto"/>
          <w:sz w:val="24"/>
          <w:szCs w:val="24"/>
          <w:highlight w:val="none"/>
        </w:rPr>
        <w:t>投标</w:t>
      </w:r>
      <w:r>
        <w:rPr>
          <w:rFonts w:hint="eastAsia" w:ascii="宋体"/>
          <w:color w:val="auto"/>
          <w:sz w:val="24"/>
          <w:szCs w:val="24"/>
          <w:highlight w:val="none"/>
        </w:rPr>
        <w:t>、承担</w:t>
      </w:r>
      <w:r>
        <w:rPr>
          <w:rFonts w:hint="eastAsia" w:ascii="宋体" w:hAnsi="宋体"/>
          <w:color w:val="auto"/>
          <w:sz w:val="24"/>
          <w:szCs w:val="24"/>
          <w:highlight w:val="none"/>
        </w:rPr>
        <w:t>虚假</w:t>
      </w:r>
      <w:r>
        <w:rPr>
          <w:rFonts w:hint="eastAsia" w:ascii="宋体"/>
          <w:color w:val="auto"/>
          <w:sz w:val="24"/>
          <w:szCs w:val="24"/>
          <w:highlight w:val="none"/>
        </w:rPr>
        <w:t>承诺责任。</w:t>
      </w:r>
    </w:p>
    <w:p w14:paraId="056CDB8B">
      <w:pPr>
        <w:tabs>
          <w:tab w:val="left" w:pos="9365"/>
        </w:tabs>
        <w:spacing w:before="156" w:beforeLines="50" w:line="240" w:lineRule="auto"/>
        <w:ind w:right="85" w:firstLine="480"/>
        <w:jc w:val="left"/>
        <w:textAlignment w:val="top"/>
        <w:rPr>
          <w:rFonts w:ascii="宋体"/>
          <w:color w:val="auto"/>
          <w:sz w:val="24"/>
          <w:szCs w:val="24"/>
          <w:highlight w:val="none"/>
        </w:rPr>
      </w:pPr>
      <w:r>
        <w:rPr>
          <w:rFonts w:hint="eastAsia" w:ascii="宋体"/>
          <w:color w:val="auto"/>
          <w:sz w:val="24"/>
          <w:szCs w:val="24"/>
          <w:highlight w:val="none"/>
        </w:rPr>
        <w:t>五</w:t>
      </w:r>
      <w:r>
        <w:rPr>
          <w:rFonts w:ascii="宋体"/>
          <w:color w:val="auto"/>
          <w:sz w:val="24"/>
          <w:szCs w:val="24"/>
          <w:highlight w:val="none"/>
        </w:rPr>
        <w:t>、</w:t>
      </w:r>
      <w:r>
        <w:rPr>
          <w:rFonts w:hint="eastAsia" w:ascii="宋体"/>
          <w:color w:val="auto"/>
          <w:sz w:val="24"/>
          <w:szCs w:val="24"/>
          <w:highlight w:val="none"/>
        </w:rPr>
        <w:t>我公司</w:t>
      </w:r>
      <w:r>
        <w:rPr>
          <w:rFonts w:ascii="宋体"/>
          <w:color w:val="auto"/>
          <w:sz w:val="24"/>
          <w:szCs w:val="24"/>
          <w:highlight w:val="none"/>
        </w:rPr>
        <w:t>在</w:t>
      </w:r>
      <w:r>
        <w:rPr>
          <w:rFonts w:hint="eastAsia" w:ascii="宋体"/>
          <w:color w:val="auto"/>
          <w:sz w:val="24"/>
          <w:szCs w:val="24"/>
          <w:highlight w:val="none"/>
        </w:rPr>
        <w:t>没</w:t>
      </w:r>
      <w:r>
        <w:rPr>
          <w:rFonts w:ascii="宋体"/>
          <w:color w:val="auto"/>
          <w:sz w:val="24"/>
          <w:szCs w:val="24"/>
          <w:highlight w:val="none"/>
        </w:rPr>
        <w:t>有有效的证明材</w:t>
      </w:r>
      <w:r>
        <w:rPr>
          <w:rFonts w:hint="eastAsia" w:ascii="宋体"/>
          <w:color w:val="auto"/>
          <w:sz w:val="24"/>
          <w:szCs w:val="24"/>
          <w:highlight w:val="none"/>
        </w:rPr>
        <w:t>料，以</w:t>
      </w:r>
      <w:r>
        <w:rPr>
          <w:rFonts w:ascii="宋体"/>
          <w:color w:val="auto"/>
          <w:sz w:val="24"/>
          <w:szCs w:val="24"/>
          <w:highlight w:val="none"/>
        </w:rPr>
        <w:t>证明其他投标人不符合</w:t>
      </w:r>
      <w:r>
        <w:rPr>
          <w:rFonts w:hint="eastAsia" w:ascii="宋体"/>
          <w:color w:val="auto"/>
          <w:sz w:val="24"/>
          <w:szCs w:val="24"/>
          <w:highlight w:val="none"/>
        </w:rPr>
        <w:t>《招标</w:t>
      </w:r>
      <w:r>
        <w:rPr>
          <w:rFonts w:ascii="宋体"/>
          <w:color w:val="auto"/>
          <w:sz w:val="24"/>
          <w:szCs w:val="24"/>
          <w:highlight w:val="none"/>
        </w:rPr>
        <w:t>文件</w:t>
      </w:r>
      <w:r>
        <w:rPr>
          <w:rFonts w:hint="eastAsia" w:ascii="宋体"/>
          <w:color w:val="auto"/>
          <w:sz w:val="24"/>
          <w:szCs w:val="24"/>
          <w:highlight w:val="none"/>
        </w:rPr>
        <w:t>》“</w:t>
      </w:r>
      <w:r>
        <w:rPr>
          <w:rFonts w:hint="eastAsia" w:ascii="宋体" w:hAnsi="宋体"/>
          <w:color w:val="auto"/>
          <w:sz w:val="24"/>
          <w:szCs w:val="24"/>
          <w:highlight w:val="none"/>
        </w:rPr>
        <w:t>《政府采购法》第二十二条第一款规定的供</w:t>
      </w:r>
      <w:r>
        <w:rPr>
          <w:rFonts w:ascii="宋体" w:hAnsi="宋体"/>
          <w:color w:val="auto"/>
          <w:sz w:val="24"/>
          <w:szCs w:val="24"/>
          <w:highlight w:val="none"/>
        </w:rPr>
        <w:t>应商基础性资</w:t>
      </w:r>
      <w:r>
        <w:rPr>
          <w:rFonts w:hint="eastAsia" w:ascii="宋体" w:hAnsi="宋体"/>
          <w:color w:val="auto"/>
          <w:sz w:val="24"/>
          <w:szCs w:val="24"/>
          <w:highlight w:val="none"/>
        </w:rPr>
        <w:t>格</w:t>
      </w:r>
      <w:r>
        <w:rPr>
          <w:rFonts w:ascii="宋体" w:hAnsi="宋体"/>
          <w:color w:val="auto"/>
          <w:sz w:val="24"/>
          <w:szCs w:val="24"/>
          <w:highlight w:val="none"/>
        </w:rPr>
        <w:t>的</w:t>
      </w:r>
      <w:r>
        <w:rPr>
          <w:rFonts w:hint="eastAsia" w:ascii="宋体" w:hAnsi="宋体"/>
          <w:color w:val="auto"/>
          <w:sz w:val="24"/>
          <w:szCs w:val="24"/>
          <w:highlight w:val="none"/>
        </w:rPr>
        <w:t>承诺认定标准</w:t>
      </w:r>
      <w:r>
        <w:rPr>
          <w:rFonts w:hint="eastAsia" w:ascii="宋体"/>
          <w:color w:val="auto"/>
          <w:sz w:val="24"/>
          <w:szCs w:val="24"/>
          <w:highlight w:val="none"/>
        </w:rPr>
        <w:t>”时，我公司承诺不</w:t>
      </w:r>
      <w:r>
        <w:rPr>
          <w:rFonts w:ascii="宋体"/>
          <w:color w:val="auto"/>
          <w:sz w:val="24"/>
          <w:szCs w:val="24"/>
          <w:highlight w:val="none"/>
        </w:rPr>
        <w:t>对其他投标人</w:t>
      </w:r>
      <w:r>
        <w:rPr>
          <w:rFonts w:hint="eastAsia" w:ascii="宋体"/>
          <w:color w:val="auto"/>
          <w:sz w:val="24"/>
          <w:szCs w:val="24"/>
          <w:highlight w:val="none"/>
        </w:rPr>
        <w:t>的承诺函提</w:t>
      </w:r>
      <w:r>
        <w:rPr>
          <w:rFonts w:ascii="宋体"/>
          <w:color w:val="auto"/>
          <w:sz w:val="24"/>
          <w:szCs w:val="24"/>
          <w:highlight w:val="none"/>
        </w:rPr>
        <w:t>起质疑投诉，</w:t>
      </w:r>
      <w:r>
        <w:rPr>
          <w:rFonts w:hint="eastAsia" w:ascii="宋体"/>
          <w:color w:val="auto"/>
          <w:sz w:val="24"/>
          <w:szCs w:val="24"/>
          <w:highlight w:val="none"/>
        </w:rPr>
        <w:t>同</w:t>
      </w:r>
      <w:r>
        <w:rPr>
          <w:rFonts w:ascii="宋体"/>
          <w:color w:val="auto"/>
          <w:sz w:val="24"/>
          <w:szCs w:val="24"/>
          <w:highlight w:val="none"/>
        </w:rPr>
        <w:t>意对已</w:t>
      </w:r>
      <w:r>
        <w:rPr>
          <w:rFonts w:hint="eastAsia" w:ascii="宋体"/>
          <w:color w:val="auto"/>
          <w:sz w:val="24"/>
          <w:szCs w:val="24"/>
          <w:highlight w:val="none"/>
        </w:rPr>
        <w:t>提</w:t>
      </w:r>
      <w:r>
        <w:rPr>
          <w:rFonts w:ascii="宋体"/>
          <w:color w:val="auto"/>
          <w:sz w:val="24"/>
          <w:szCs w:val="24"/>
          <w:highlight w:val="none"/>
        </w:rPr>
        <w:t>起</w:t>
      </w:r>
      <w:r>
        <w:rPr>
          <w:rFonts w:hint="eastAsia" w:ascii="宋体"/>
          <w:color w:val="auto"/>
          <w:sz w:val="24"/>
          <w:szCs w:val="24"/>
          <w:highlight w:val="none"/>
        </w:rPr>
        <w:t>的</w:t>
      </w:r>
      <w:r>
        <w:rPr>
          <w:rFonts w:ascii="宋体"/>
          <w:color w:val="auto"/>
          <w:sz w:val="24"/>
          <w:szCs w:val="24"/>
          <w:highlight w:val="none"/>
        </w:rPr>
        <w:t>质疑投诉</w:t>
      </w:r>
      <w:r>
        <w:rPr>
          <w:rFonts w:hint="eastAsia" w:ascii="宋体"/>
          <w:color w:val="auto"/>
          <w:sz w:val="24"/>
          <w:szCs w:val="24"/>
          <w:highlight w:val="none"/>
        </w:rPr>
        <w:t>按缺</w:t>
      </w:r>
      <w:r>
        <w:rPr>
          <w:rFonts w:ascii="宋体"/>
          <w:color w:val="auto"/>
          <w:sz w:val="24"/>
          <w:szCs w:val="24"/>
          <w:highlight w:val="none"/>
        </w:rPr>
        <w:t>乏</w:t>
      </w:r>
      <w:r>
        <w:rPr>
          <w:rFonts w:hint="eastAsia" w:ascii="宋体" w:hAnsi="宋体"/>
          <w:color w:val="auto"/>
          <w:sz w:val="24"/>
          <w:szCs w:val="24"/>
          <w:highlight w:val="none"/>
        </w:rPr>
        <w:t>事实依据、</w:t>
      </w:r>
      <w:r>
        <w:rPr>
          <w:rFonts w:hint="eastAsia" w:ascii="宋体"/>
          <w:color w:val="auto"/>
          <w:sz w:val="24"/>
          <w:szCs w:val="24"/>
          <w:highlight w:val="none"/>
        </w:rPr>
        <w:t>按</w:t>
      </w:r>
      <w:r>
        <w:rPr>
          <w:rFonts w:ascii="宋体"/>
          <w:color w:val="auto"/>
          <w:sz w:val="24"/>
          <w:szCs w:val="24"/>
          <w:highlight w:val="none"/>
        </w:rPr>
        <w:t>无</w:t>
      </w:r>
      <w:r>
        <w:rPr>
          <w:rFonts w:hint="eastAsia" w:ascii="宋体"/>
          <w:color w:val="auto"/>
          <w:sz w:val="24"/>
          <w:szCs w:val="24"/>
          <w:highlight w:val="none"/>
        </w:rPr>
        <w:t>效</w:t>
      </w:r>
      <w:r>
        <w:rPr>
          <w:rFonts w:ascii="宋体"/>
          <w:color w:val="auto"/>
          <w:sz w:val="24"/>
          <w:szCs w:val="24"/>
          <w:highlight w:val="none"/>
        </w:rPr>
        <w:t>质疑投诉</w:t>
      </w:r>
      <w:r>
        <w:rPr>
          <w:rFonts w:hint="eastAsia" w:ascii="宋体"/>
          <w:color w:val="auto"/>
          <w:sz w:val="24"/>
          <w:szCs w:val="24"/>
          <w:highlight w:val="none"/>
        </w:rPr>
        <w:t>处</w:t>
      </w:r>
      <w:r>
        <w:rPr>
          <w:rFonts w:ascii="宋体"/>
          <w:color w:val="auto"/>
          <w:sz w:val="24"/>
          <w:szCs w:val="24"/>
          <w:highlight w:val="none"/>
        </w:rPr>
        <w:t>理。</w:t>
      </w:r>
    </w:p>
    <w:p w14:paraId="3D4A19FB">
      <w:pPr>
        <w:widowControl w:val="0"/>
        <w:tabs>
          <w:tab w:val="left" w:pos="9365"/>
        </w:tabs>
        <w:snapToGrid w:val="0"/>
        <w:spacing w:after="56" w:line="560" w:lineRule="exact"/>
        <w:ind w:right="85"/>
        <w:jc w:val="center"/>
        <w:textAlignment w:val="top"/>
        <w:rPr>
          <w:rFonts w:ascii="宋体"/>
          <w:color w:val="auto"/>
          <w:sz w:val="24"/>
          <w:szCs w:val="24"/>
          <w:highlight w:val="none"/>
        </w:rPr>
      </w:pPr>
    </w:p>
    <w:p w14:paraId="1B6C933F">
      <w:pPr>
        <w:widowControl w:val="0"/>
        <w:snapToGrid w:val="0"/>
        <w:spacing w:line="360" w:lineRule="auto"/>
        <w:textAlignment w:val="top"/>
        <w:rPr>
          <w:color w:val="auto"/>
          <w:sz w:val="24"/>
          <w:szCs w:val="24"/>
          <w:highlight w:val="none"/>
        </w:rPr>
      </w:pPr>
      <w:r>
        <w:rPr>
          <w:rFonts w:hint="eastAsia"/>
          <w:color w:val="auto"/>
          <w:sz w:val="24"/>
          <w:szCs w:val="24"/>
          <w:highlight w:val="none"/>
        </w:rPr>
        <w:t>投标人（电子签章）：</w:t>
      </w:r>
    </w:p>
    <w:p w14:paraId="17118FFE">
      <w:pPr>
        <w:widowControl w:val="0"/>
        <w:snapToGrid w:val="0"/>
        <w:spacing w:line="360" w:lineRule="auto"/>
        <w:textAlignment w:val="top"/>
        <w:rPr>
          <w:color w:val="auto"/>
          <w:sz w:val="24"/>
          <w:szCs w:val="24"/>
          <w:highlight w:val="none"/>
        </w:rPr>
      </w:pPr>
      <w:r>
        <w:rPr>
          <w:rFonts w:hint="eastAsia"/>
          <w:color w:val="auto"/>
          <w:sz w:val="24"/>
          <w:szCs w:val="24"/>
          <w:highlight w:val="none"/>
        </w:rPr>
        <w:t>法定代表人（电子签名或签章）：</w:t>
      </w:r>
    </w:p>
    <w:p w14:paraId="773A542C">
      <w:pPr>
        <w:widowControl w:val="0"/>
        <w:snapToGrid w:val="0"/>
        <w:spacing w:line="360" w:lineRule="auto"/>
        <w:textAlignment w:val="top"/>
        <w:rPr>
          <w:color w:val="auto"/>
          <w:sz w:val="24"/>
          <w:szCs w:val="24"/>
          <w:highlight w:val="none"/>
        </w:rPr>
      </w:pPr>
      <w:r>
        <w:rPr>
          <w:rFonts w:hint="eastAsia"/>
          <w:color w:val="auto"/>
          <w:sz w:val="24"/>
          <w:szCs w:val="24"/>
          <w:highlight w:val="none"/>
        </w:rPr>
        <w:t>日期：</w:t>
      </w:r>
      <w:r>
        <w:rPr>
          <w:color w:val="auto"/>
          <w:sz w:val="24"/>
          <w:szCs w:val="24"/>
          <w:highlight w:val="none"/>
        </w:rPr>
        <w:t xml:space="preserve">  </w:t>
      </w:r>
      <w:r>
        <w:rPr>
          <w:rFonts w:hint="eastAsia"/>
          <w:color w:val="auto"/>
          <w:sz w:val="24"/>
          <w:szCs w:val="24"/>
          <w:highlight w:val="none"/>
        </w:rPr>
        <w:t>年</w:t>
      </w:r>
      <w:r>
        <w:rPr>
          <w:color w:val="auto"/>
          <w:sz w:val="24"/>
          <w:szCs w:val="24"/>
          <w:highlight w:val="none"/>
        </w:rPr>
        <w:t xml:space="preserve">   </w:t>
      </w:r>
      <w:r>
        <w:rPr>
          <w:rFonts w:hint="eastAsia"/>
          <w:color w:val="auto"/>
          <w:sz w:val="24"/>
          <w:szCs w:val="24"/>
          <w:highlight w:val="none"/>
        </w:rPr>
        <w:t>月</w:t>
      </w:r>
      <w:r>
        <w:rPr>
          <w:color w:val="auto"/>
          <w:sz w:val="24"/>
          <w:szCs w:val="24"/>
          <w:highlight w:val="none"/>
        </w:rPr>
        <w:t xml:space="preserve">   </w:t>
      </w:r>
      <w:r>
        <w:rPr>
          <w:rFonts w:hint="eastAsia"/>
          <w:color w:val="auto"/>
          <w:sz w:val="24"/>
          <w:szCs w:val="24"/>
          <w:highlight w:val="none"/>
        </w:rPr>
        <w:t>日</w:t>
      </w:r>
    </w:p>
    <w:p w14:paraId="7ADAEA32">
      <w:pPr>
        <w:tabs>
          <w:tab w:val="left" w:pos="540"/>
        </w:tabs>
        <w:spacing w:line="440" w:lineRule="exact"/>
        <w:rPr>
          <w:rFonts w:ascii="宋体" w:hAnsi="宋体"/>
          <w:color w:val="auto"/>
          <w:sz w:val="24"/>
          <w:szCs w:val="24"/>
          <w:highlight w:val="none"/>
        </w:rPr>
      </w:pPr>
    </w:p>
    <w:p w14:paraId="7CC30B4B">
      <w:pPr>
        <w:widowControl w:val="0"/>
        <w:tabs>
          <w:tab w:val="left" w:pos="9365"/>
        </w:tabs>
        <w:snapToGrid w:val="0"/>
        <w:spacing w:after="56" w:line="560" w:lineRule="exact"/>
        <w:ind w:right="85"/>
        <w:jc w:val="center"/>
        <w:textAlignment w:val="top"/>
        <w:rPr>
          <w:rFonts w:ascii="黑体" w:hAnsi="黑体" w:eastAsia="黑体"/>
          <w:b/>
          <w:color w:val="auto"/>
          <w:sz w:val="30"/>
          <w:szCs w:val="30"/>
          <w:highlight w:val="none"/>
        </w:rPr>
      </w:pPr>
    </w:p>
    <w:p w14:paraId="673D5677">
      <w:pPr>
        <w:widowControl w:val="0"/>
        <w:tabs>
          <w:tab w:val="left" w:pos="9365"/>
        </w:tabs>
        <w:snapToGrid w:val="0"/>
        <w:spacing w:after="56" w:line="560" w:lineRule="exact"/>
        <w:ind w:right="85"/>
        <w:jc w:val="center"/>
        <w:textAlignment w:val="top"/>
        <w:rPr>
          <w:rFonts w:ascii="宋体"/>
          <w:color w:val="auto"/>
          <w:sz w:val="24"/>
          <w:highlight w:val="none"/>
        </w:rPr>
      </w:pPr>
      <w:r>
        <w:rPr>
          <w:rFonts w:hint="eastAsia" w:ascii="黑体" w:hAnsi="黑体" w:eastAsia="黑体"/>
          <w:b/>
          <w:color w:val="auto"/>
          <w:sz w:val="30"/>
          <w:szCs w:val="30"/>
          <w:highlight w:val="none"/>
        </w:rPr>
        <w:t>《政府采购法》第二十二条第一款规定的供</w:t>
      </w:r>
      <w:r>
        <w:rPr>
          <w:rFonts w:ascii="黑体" w:hAnsi="黑体" w:eastAsia="黑体"/>
          <w:b/>
          <w:color w:val="auto"/>
          <w:sz w:val="30"/>
          <w:szCs w:val="30"/>
          <w:highlight w:val="none"/>
        </w:rPr>
        <w:t>应商基础性资</w:t>
      </w:r>
      <w:r>
        <w:rPr>
          <w:rFonts w:hint="eastAsia" w:ascii="黑体" w:hAnsi="黑体" w:eastAsia="黑体"/>
          <w:b/>
          <w:color w:val="auto"/>
          <w:sz w:val="30"/>
          <w:szCs w:val="30"/>
          <w:highlight w:val="none"/>
        </w:rPr>
        <w:t>格</w:t>
      </w:r>
      <w:r>
        <w:rPr>
          <w:rFonts w:ascii="黑体" w:hAnsi="黑体" w:eastAsia="黑体"/>
          <w:b/>
          <w:color w:val="auto"/>
          <w:sz w:val="30"/>
          <w:szCs w:val="30"/>
          <w:highlight w:val="none"/>
        </w:rPr>
        <w:t>的</w:t>
      </w:r>
    </w:p>
    <w:p w14:paraId="0D4B327F">
      <w:pPr>
        <w:widowControl w:val="0"/>
        <w:tabs>
          <w:tab w:val="left" w:pos="9365"/>
        </w:tabs>
        <w:snapToGrid w:val="0"/>
        <w:spacing w:after="56" w:line="560" w:lineRule="exact"/>
        <w:ind w:right="85"/>
        <w:jc w:val="center"/>
        <w:textAlignment w:val="top"/>
        <w:rPr>
          <w:rFonts w:ascii="黑体" w:hAnsi="黑体" w:eastAsia="黑体"/>
          <w:b/>
          <w:color w:val="auto"/>
          <w:sz w:val="30"/>
          <w:szCs w:val="30"/>
          <w:highlight w:val="none"/>
        </w:rPr>
      </w:pPr>
      <w:r>
        <w:rPr>
          <w:rFonts w:hint="eastAsia" w:ascii="黑体" w:hAnsi="黑体" w:eastAsia="黑体"/>
          <w:b/>
          <w:color w:val="auto"/>
          <w:sz w:val="30"/>
          <w:szCs w:val="30"/>
          <w:highlight w:val="none"/>
        </w:rPr>
        <w:t>承诺事</w:t>
      </w:r>
      <w:r>
        <w:rPr>
          <w:rFonts w:ascii="黑体" w:hAnsi="黑体" w:eastAsia="黑体"/>
          <w:b/>
          <w:color w:val="auto"/>
          <w:sz w:val="30"/>
          <w:szCs w:val="30"/>
          <w:highlight w:val="none"/>
        </w:rPr>
        <w:t>项的</w:t>
      </w:r>
      <w:r>
        <w:rPr>
          <w:rFonts w:hint="eastAsia" w:ascii="黑体" w:hAnsi="黑体" w:eastAsia="黑体"/>
          <w:b/>
          <w:color w:val="auto"/>
          <w:sz w:val="30"/>
          <w:szCs w:val="30"/>
          <w:highlight w:val="none"/>
        </w:rPr>
        <w:t>认定标准</w:t>
      </w:r>
    </w:p>
    <w:p w14:paraId="42428A4F">
      <w:pPr>
        <w:widowControl w:val="0"/>
        <w:tabs>
          <w:tab w:val="left" w:pos="9365"/>
        </w:tabs>
        <w:snapToGrid w:val="0"/>
        <w:spacing w:after="56" w:line="560" w:lineRule="exact"/>
        <w:ind w:right="85"/>
        <w:jc w:val="center"/>
        <w:textAlignment w:val="top"/>
        <w:rPr>
          <w:rFonts w:ascii="黑体" w:hAnsi="黑体" w:eastAsia="黑体"/>
          <w:b/>
          <w:color w:val="auto"/>
          <w:sz w:val="30"/>
          <w:szCs w:val="30"/>
          <w:highlight w:val="none"/>
        </w:rPr>
      </w:pPr>
    </w:p>
    <w:p w14:paraId="5B1F78AB">
      <w:pPr>
        <w:widowControl w:val="0"/>
        <w:adjustRightInd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政府采购监督检查、质疑投诉及政府采购行政处罚等</w:t>
      </w:r>
      <w:r>
        <w:rPr>
          <w:rFonts w:ascii="宋体" w:hAnsi="宋体"/>
          <w:color w:val="auto"/>
          <w:sz w:val="24"/>
          <w:szCs w:val="24"/>
          <w:highlight w:val="none"/>
        </w:rPr>
        <w:t>情形</w:t>
      </w:r>
      <w:r>
        <w:rPr>
          <w:rFonts w:hint="eastAsia" w:ascii="宋体" w:hAnsi="宋体"/>
          <w:color w:val="auto"/>
          <w:sz w:val="24"/>
          <w:szCs w:val="24"/>
          <w:highlight w:val="none"/>
        </w:rPr>
        <w:t>中，需要对资格承诺的真实性的进</w:t>
      </w:r>
      <w:r>
        <w:rPr>
          <w:rFonts w:ascii="宋体" w:hAnsi="宋体"/>
          <w:color w:val="auto"/>
          <w:sz w:val="24"/>
          <w:szCs w:val="24"/>
          <w:highlight w:val="none"/>
        </w:rPr>
        <w:t>行</w:t>
      </w:r>
      <w:r>
        <w:rPr>
          <w:rFonts w:hint="eastAsia" w:ascii="宋体" w:hAnsi="宋体"/>
          <w:color w:val="auto"/>
          <w:sz w:val="24"/>
          <w:szCs w:val="24"/>
          <w:highlight w:val="none"/>
        </w:rPr>
        <w:t>认定时，相</w:t>
      </w:r>
      <w:r>
        <w:rPr>
          <w:rFonts w:ascii="宋体" w:hAnsi="宋体"/>
          <w:color w:val="auto"/>
          <w:sz w:val="24"/>
          <w:szCs w:val="24"/>
          <w:highlight w:val="none"/>
        </w:rPr>
        <w:t>关</w:t>
      </w:r>
      <w:r>
        <w:rPr>
          <w:rFonts w:hint="eastAsia" w:ascii="宋体" w:hAnsi="宋体"/>
          <w:color w:val="auto"/>
          <w:sz w:val="24"/>
          <w:szCs w:val="24"/>
          <w:highlight w:val="none"/>
        </w:rPr>
        <w:t>供应商应提供如下关</w:t>
      </w:r>
      <w:r>
        <w:rPr>
          <w:rFonts w:ascii="宋体" w:hAnsi="宋体"/>
          <w:color w:val="auto"/>
          <w:sz w:val="24"/>
          <w:szCs w:val="24"/>
          <w:highlight w:val="none"/>
        </w:rPr>
        <w:t>于基础</w:t>
      </w:r>
      <w:r>
        <w:rPr>
          <w:rFonts w:hint="eastAsia" w:ascii="宋体" w:hAnsi="宋体"/>
          <w:color w:val="auto"/>
          <w:sz w:val="24"/>
          <w:szCs w:val="24"/>
          <w:highlight w:val="none"/>
        </w:rPr>
        <w:t>性资格的证明材料：</w:t>
      </w:r>
    </w:p>
    <w:p w14:paraId="26D8B41B">
      <w:pPr>
        <w:widowControl w:val="0"/>
        <w:snapToGrid w:val="0"/>
        <w:spacing w:line="360" w:lineRule="auto"/>
        <w:ind w:firstLine="540" w:firstLineChars="225"/>
        <w:rPr>
          <w:rFonts w:ascii="宋体"/>
          <w:color w:val="auto"/>
          <w:szCs w:val="21"/>
          <w:highlight w:val="none"/>
        </w:rPr>
      </w:pPr>
      <w:r>
        <w:rPr>
          <w:rFonts w:hint="eastAsia" w:ascii="宋体" w:hAnsi="宋体"/>
          <w:color w:val="auto"/>
          <w:sz w:val="24"/>
          <w:szCs w:val="24"/>
          <w:highlight w:val="none"/>
        </w:rPr>
        <w:t>（一）具有独立承担民事责任的能力。■提供营业执照或事业单位法人证书，■提供税务登记证（三证合一的只需提供三证合一的营业执照）</w:t>
      </w:r>
      <w:r>
        <w:rPr>
          <w:rFonts w:hint="eastAsia" w:ascii="微软雅黑" w:hAnsi="微软雅黑" w:eastAsia="微软雅黑"/>
          <w:color w:val="auto"/>
          <w:szCs w:val="21"/>
          <w:highlight w:val="none"/>
          <w:shd w:val="clear" w:color="auto" w:fill="FFFFFF"/>
        </w:rPr>
        <w:t>。</w:t>
      </w:r>
    </w:p>
    <w:p w14:paraId="3B3CBDBD">
      <w:pPr>
        <w:widowControl w:val="0"/>
        <w:snapToGrid w:val="0"/>
        <w:spacing w:line="360" w:lineRule="auto"/>
        <w:ind w:firstLine="540" w:firstLineChars="225"/>
        <w:rPr>
          <w:rFonts w:ascii="宋体"/>
          <w:color w:val="auto"/>
          <w:sz w:val="24"/>
          <w:szCs w:val="24"/>
          <w:highlight w:val="none"/>
        </w:rPr>
      </w:pPr>
      <w:r>
        <w:rPr>
          <w:rFonts w:hint="eastAsia" w:ascii="宋体" w:hAnsi="宋体"/>
          <w:color w:val="auto"/>
          <w:sz w:val="24"/>
          <w:szCs w:val="24"/>
          <w:highlight w:val="none"/>
        </w:rPr>
        <w:t>（二）具有良好的商业信誉和健全的财务会计制度。■提供银行出具的近</w:t>
      </w:r>
      <w:r>
        <w:rPr>
          <w:rFonts w:ascii="宋体" w:hAnsi="宋体"/>
          <w:color w:val="auto"/>
          <w:sz w:val="24"/>
          <w:szCs w:val="24"/>
          <w:highlight w:val="none"/>
        </w:rPr>
        <w:t>1</w:t>
      </w:r>
      <w:r>
        <w:rPr>
          <w:rFonts w:hint="eastAsia" w:ascii="宋体" w:hAnsi="宋体"/>
          <w:color w:val="auto"/>
          <w:sz w:val="24"/>
          <w:szCs w:val="24"/>
          <w:highlight w:val="none"/>
        </w:rPr>
        <w:t>年内资信证明（法人为基本开户行）、或2023年度以来（任一年度）经审计的财务报告、或银行（保险公司）出具的投标担保函。</w:t>
      </w:r>
    </w:p>
    <w:p w14:paraId="686C1A1A">
      <w:pPr>
        <w:widowControl w:val="0"/>
        <w:snapToGrid w:val="0"/>
        <w:spacing w:line="360" w:lineRule="auto"/>
        <w:ind w:firstLine="540" w:firstLineChars="225"/>
        <w:rPr>
          <w:rFonts w:ascii="宋体"/>
          <w:color w:val="auto"/>
          <w:sz w:val="24"/>
          <w:szCs w:val="24"/>
          <w:highlight w:val="none"/>
        </w:rPr>
      </w:pPr>
      <w:r>
        <w:rPr>
          <w:rFonts w:hint="eastAsia" w:ascii="宋体" w:hAnsi="宋体"/>
          <w:color w:val="auto"/>
          <w:sz w:val="24"/>
          <w:szCs w:val="24"/>
          <w:highlight w:val="none"/>
        </w:rPr>
        <w:t>（三）具备履行合同所必需的设备和专业技术能力。■提供相关设备或设施的购置发票或单据（任一），■专业人员用工合同（任一人），或技术人员的职称证书或职业（执业）资格证或等级证书等相关证书（任一人）等的证明材料。</w:t>
      </w:r>
    </w:p>
    <w:p w14:paraId="743C09D1">
      <w:pPr>
        <w:widowControl w:val="0"/>
        <w:snapToGrid w:val="0"/>
        <w:spacing w:line="360" w:lineRule="auto"/>
        <w:ind w:firstLine="540" w:firstLineChars="225"/>
        <w:rPr>
          <w:rFonts w:ascii="宋体"/>
          <w:color w:val="auto"/>
          <w:sz w:val="24"/>
          <w:szCs w:val="24"/>
          <w:highlight w:val="none"/>
        </w:rPr>
      </w:pPr>
      <w:r>
        <w:rPr>
          <w:rFonts w:hint="eastAsia" w:ascii="宋体" w:hAnsi="宋体"/>
          <w:color w:val="auto"/>
          <w:sz w:val="24"/>
          <w:szCs w:val="24"/>
          <w:highlight w:val="none"/>
        </w:rPr>
        <w:t>（四）有依法缴纳税收和社会保障资金的良好记录。■提供近</w:t>
      </w:r>
      <w:r>
        <w:rPr>
          <w:rFonts w:ascii="宋体" w:hAnsi="宋体"/>
          <w:color w:val="auto"/>
          <w:sz w:val="24"/>
          <w:szCs w:val="24"/>
          <w:highlight w:val="none"/>
        </w:rPr>
        <w:t>12</w:t>
      </w:r>
      <w:r>
        <w:rPr>
          <w:rFonts w:hint="eastAsia" w:ascii="宋体" w:hAnsi="宋体"/>
          <w:color w:val="auto"/>
          <w:sz w:val="24"/>
          <w:szCs w:val="24"/>
          <w:highlight w:val="none"/>
        </w:rPr>
        <w:t>个月内（任意</w:t>
      </w:r>
      <w:r>
        <w:rPr>
          <w:rFonts w:ascii="宋体" w:hAnsi="宋体"/>
          <w:color w:val="auto"/>
          <w:sz w:val="24"/>
          <w:szCs w:val="24"/>
          <w:highlight w:val="none"/>
        </w:rPr>
        <w:t>1</w:t>
      </w:r>
      <w:r>
        <w:rPr>
          <w:rFonts w:hint="eastAsia" w:ascii="宋体" w:hAnsi="宋体"/>
          <w:color w:val="auto"/>
          <w:sz w:val="24"/>
          <w:szCs w:val="24"/>
          <w:highlight w:val="none"/>
        </w:rPr>
        <w:t>个月）已依法缴纳税收的凭据；■提供近</w:t>
      </w:r>
      <w:r>
        <w:rPr>
          <w:rFonts w:ascii="宋体" w:hAnsi="宋体"/>
          <w:color w:val="auto"/>
          <w:sz w:val="24"/>
          <w:szCs w:val="24"/>
          <w:highlight w:val="none"/>
        </w:rPr>
        <w:t>12</w:t>
      </w:r>
      <w:r>
        <w:rPr>
          <w:rFonts w:hint="eastAsia" w:ascii="宋体" w:hAnsi="宋体"/>
          <w:color w:val="auto"/>
          <w:sz w:val="24"/>
          <w:szCs w:val="24"/>
          <w:highlight w:val="none"/>
        </w:rPr>
        <w:t>个月内（任意</w:t>
      </w:r>
      <w:r>
        <w:rPr>
          <w:rFonts w:ascii="宋体" w:hAnsi="宋体"/>
          <w:color w:val="auto"/>
          <w:sz w:val="24"/>
          <w:szCs w:val="24"/>
          <w:highlight w:val="none"/>
        </w:rPr>
        <w:t>1</w:t>
      </w:r>
      <w:r>
        <w:rPr>
          <w:rFonts w:hint="eastAsia" w:ascii="宋体" w:hAnsi="宋体"/>
          <w:color w:val="auto"/>
          <w:sz w:val="24"/>
          <w:szCs w:val="24"/>
          <w:highlight w:val="none"/>
        </w:rPr>
        <w:t>个月）已依法缴纳社会保险的凭据。依法免税或不需要缴纳社会保障资金的供应商，应提供相应证明文件。</w:t>
      </w:r>
    </w:p>
    <w:p w14:paraId="09268196">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（五）参加政府采购活动前</w:t>
      </w:r>
      <w:r>
        <w:rPr>
          <w:rFonts w:ascii="宋体" w:hAnsi="宋体"/>
          <w:color w:val="auto"/>
          <w:sz w:val="24"/>
          <w:szCs w:val="24"/>
          <w:highlight w:val="none"/>
        </w:rPr>
        <w:t>3</w:t>
      </w:r>
      <w:r>
        <w:rPr>
          <w:rFonts w:hint="eastAsia" w:ascii="宋体" w:hAnsi="宋体"/>
          <w:color w:val="auto"/>
          <w:sz w:val="24"/>
          <w:szCs w:val="24"/>
          <w:highlight w:val="none"/>
        </w:rPr>
        <w:t>年内在经营活动中没有重大违法记录。</w:t>
      </w:r>
    </w:p>
    <w:p w14:paraId="433399A8">
      <w:pPr>
        <w:widowControl w:val="0"/>
        <w:snapToGrid w:val="0"/>
        <w:spacing w:line="360" w:lineRule="auto"/>
        <w:ind w:firstLine="540" w:firstLineChars="225"/>
        <w:rPr>
          <w:rFonts w:ascii="宋体" w:hAnsi="宋体"/>
          <w:color w:val="auto"/>
          <w:sz w:val="24"/>
          <w:szCs w:val="24"/>
          <w:highlight w:val="none"/>
        </w:rPr>
      </w:pPr>
    </w:p>
    <w:p w14:paraId="7519223B">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供应商提供的证明材料不</w:t>
      </w:r>
      <w:r>
        <w:rPr>
          <w:rFonts w:ascii="宋体" w:hAnsi="宋体"/>
          <w:color w:val="auto"/>
          <w:sz w:val="24"/>
          <w:szCs w:val="24"/>
          <w:highlight w:val="none"/>
        </w:rPr>
        <w:t>符合上述认定标准的</w:t>
      </w:r>
      <w:r>
        <w:rPr>
          <w:rFonts w:hint="eastAsia" w:ascii="宋体" w:hAnsi="宋体"/>
          <w:color w:val="auto"/>
          <w:sz w:val="24"/>
          <w:szCs w:val="24"/>
          <w:highlight w:val="none"/>
        </w:rPr>
        <w:t>，评定该投标人不满足《政府采购法》投标人资格要求，为提供虚假承诺，投标、中标无效，并上报财政部门对其违规违法行为作进一步处理。</w:t>
      </w:r>
    </w:p>
    <w:p w14:paraId="546242EC">
      <w:pPr>
        <w:tabs>
          <w:tab w:val="left" w:pos="540"/>
        </w:tabs>
        <w:spacing w:line="440" w:lineRule="exact"/>
        <w:rPr>
          <w:rFonts w:ascii="宋体"/>
          <w:color w:val="auto"/>
          <w:sz w:val="24"/>
          <w:szCs w:val="24"/>
          <w:highlight w:val="none"/>
        </w:rPr>
      </w:pPr>
      <w:r>
        <w:rPr>
          <w:rFonts w:hint="eastAsia" w:ascii="宋体"/>
          <w:color w:val="auto"/>
          <w:sz w:val="24"/>
          <w:szCs w:val="24"/>
          <w:highlight w:val="none"/>
        </w:rPr>
        <w:t xml:space="preserve">    </w:t>
      </w:r>
    </w:p>
    <w:p w14:paraId="3A46B2FA">
      <w:pPr>
        <w:tabs>
          <w:tab w:val="left" w:pos="540"/>
        </w:tabs>
        <w:spacing w:line="440" w:lineRule="exact"/>
        <w:rPr>
          <w:rFonts w:ascii="宋体"/>
          <w:color w:val="auto"/>
          <w:sz w:val="24"/>
          <w:szCs w:val="24"/>
          <w:highlight w:val="none"/>
        </w:rPr>
      </w:pPr>
    </w:p>
    <w:p w14:paraId="7FF86D04">
      <w:pPr>
        <w:widowControl w:val="0"/>
        <w:snapToGrid w:val="0"/>
        <w:spacing w:line="360" w:lineRule="auto"/>
        <w:textAlignment w:val="top"/>
        <w:rPr>
          <w:color w:val="auto"/>
          <w:sz w:val="24"/>
          <w:szCs w:val="24"/>
          <w:highlight w:val="none"/>
        </w:rPr>
      </w:pPr>
      <w:r>
        <w:rPr>
          <w:rFonts w:hint="eastAsia"/>
          <w:color w:val="auto"/>
          <w:sz w:val="24"/>
          <w:szCs w:val="24"/>
          <w:highlight w:val="none"/>
        </w:rPr>
        <w:t>投标人（电子签章）：</w:t>
      </w:r>
    </w:p>
    <w:p w14:paraId="0768DCE6">
      <w:pPr>
        <w:widowControl w:val="0"/>
        <w:snapToGrid w:val="0"/>
        <w:spacing w:line="360" w:lineRule="auto"/>
        <w:textAlignment w:val="top"/>
        <w:rPr>
          <w:color w:val="auto"/>
          <w:sz w:val="24"/>
          <w:szCs w:val="24"/>
          <w:highlight w:val="none"/>
        </w:rPr>
      </w:pPr>
      <w:r>
        <w:rPr>
          <w:rFonts w:hint="eastAsia"/>
          <w:color w:val="auto"/>
          <w:sz w:val="24"/>
          <w:szCs w:val="24"/>
          <w:highlight w:val="none"/>
        </w:rPr>
        <w:t>法定代表人（电子签名或签章）：</w:t>
      </w:r>
    </w:p>
    <w:p w14:paraId="36BADFDE">
      <w:pPr>
        <w:widowControl w:val="0"/>
        <w:snapToGrid w:val="0"/>
        <w:spacing w:line="360" w:lineRule="auto"/>
        <w:textAlignment w:val="top"/>
        <w:rPr>
          <w:color w:val="auto"/>
          <w:sz w:val="24"/>
          <w:szCs w:val="24"/>
          <w:highlight w:val="none"/>
        </w:rPr>
      </w:pPr>
      <w:r>
        <w:rPr>
          <w:rFonts w:hint="eastAsia"/>
          <w:color w:val="auto"/>
          <w:sz w:val="24"/>
          <w:szCs w:val="24"/>
          <w:highlight w:val="none"/>
        </w:rPr>
        <w:t>日期：</w:t>
      </w:r>
      <w:r>
        <w:rPr>
          <w:color w:val="auto"/>
          <w:sz w:val="24"/>
          <w:szCs w:val="24"/>
          <w:highlight w:val="none"/>
        </w:rPr>
        <w:t xml:space="preserve">  </w:t>
      </w:r>
      <w:r>
        <w:rPr>
          <w:rFonts w:hint="eastAsia"/>
          <w:color w:val="auto"/>
          <w:sz w:val="24"/>
          <w:szCs w:val="24"/>
          <w:highlight w:val="none"/>
        </w:rPr>
        <w:t>年</w:t>
      </w:r>
      <w:r>
        <w:rPr>
          <w:color w:val="auto"/>
          <w:sz w:val="24"/>
          <w:szCs w:val="24"/>
          <w:highlight w:val="none"/>
        </w:rPr>
        <w:t xml:space="preserve">   </w:t>
      </w:r>
      <w:r>
        <w:rPr>
          <w:rFonts w:hint="eastAsia"/>
          <w:color w:val="auto"/>
          <w:sz w:val="24"/>
          <w:szCs w:val="24"/>
          <w:highlight w:val="none"/>
        </w:rPr>
        <w:t>月</w:t>
      </w:r>
      <w:r>
        <w:rPr>
          <w:color w:val="auto"/>
          <w:sz w:val="24"/>
          <w:szCs w:val="24"/>
          <w:highlight w:val="none"/>
        </w:rPr>
        <w:t xml:space="preserve">   </w:t>
      </w:r>
      <w:r>
        <w:rPr>
          <w:rFonts w:hint="eastAsia"/>
          <w:color w:val="auto"/>
          <w:sz w:val="24"/>
          <w:szCs w:val="24"/>
          <w:highlight w:val="none"/>
        </w:rPr>
        <w:t>日</w:t>
      </w:r>
    </w:p>
    <w:p w14:paraId="36FEF06D">
      <w:pPr>
        <w:tabs>
          <w:tab w:val="left" w:pos="540"/>
        </w:tabs>
        <w:spacing w:line="440" w:lineRule="exact"/>
        <w:rPr>
          <w:rFonts w:ascii="宋体" w:hAnsi="宋体"/>
          <w:color w:val="auto"/>
          <w:sz w:val="24"/>
          <w:szCs w:val="24"/>
          <w:highlight w:val="none"/>
        </w:rPr>
      </w:pPr>
      <w:r>
        <w:rPr>
          <w:rFonts w:ascii="宋体" w:hAnsi="宋体"/>
          <w:color w:val="auto"/>
          <w:sz w:val="24"/>
          <w:szCs w:val="24"/>
          <w:highlight w:val="none"/>
        </w:rPr>
        <w:br w:type="page"/>
      </w:r>
    </w:p>
    <w:p w14:paraId="6E4D94B2">
      <w:pPr>
        <w:widowControl w:val="0"/>
        <w:tabs>
          <w:tab w:val="left" w:pos="9365"/>
        </w:tabs>
        <w:snapToGrid w:val="0"/>
        <w:spacing w:after="56" w:line="560" w:lineRule="exact"/>
        <w:ind w:right="85"/>
        <w:jc w:val="center"/>
        <w:textAlignment w:val="top"/>
        <w:rPr>
          <w:rFonts w:ascii="黑体" w:hAnsi="黑体" w:eastAsia="黑体"/>
          <w:b/>
          <w:color w:val="auto"/>
          <w:sz w:val="30"/>
          <w:szCs w:val="30"/>
          <w:highlight w:val="none"/>
        </w:rPr>
      </w:pPr>
    </w:p>
    <w:p w14:paraId="69E66A5B">
      <w:pPr>
        <w:widowControl w:val="0"/>
        <w:tabs>
          <w:tab w:val="left" w:pos="9365"/>
        </w:tabs>
        <w:snapToGrid w:val="0"/>
        <w:spacing w:after="56" w:line="560" w:lineRule="exact"/>
        <w:ind w:right="85"/>
        <w:jc w:val="center"/>
        <w:textAlignment w:val="top"/>
        <w:rPr>
          <w:rFonts w:ascii="黑体" w:hAnsi="黑体" w:eastAsia="黑体"/>
          <w:b/>
          <w:color w:val="auto"/>
          <w:sz w:val="30"/>
          <w:szCs w:val="30"/>
          <w:highlight w:val="none"/>
        </w:rPr>
      </w:pPr>
      <w:r>
        <w:rPr>
          <w:rFonts w:hint="eastAsia" w:ascii="黑体" w:hAnsi="黑体" w:eastAsia="黑体"/>
          <w:b/>
          <w:color w:val="auto"/>
          <w:sz w:val="30"/>
          <w:szCs w:val="30"/>
          <w:highlight w:val="none"/>
        </w:rPr>
        <w:t>1</w:t>
      </w:r>
      <w:r>
        <w:rPr>
          <w:rFonts w:ascii="黑体" w:hAnsi="黑体" w:eastAsia="黑体"/>
          <w:b/>
          <w:color w:val="auto"/>
          <w:sz w:val="30"/>
          <w:szCs w:val="30"/>
          <w:highlight w:val="none"/>
        </w:rPr>
        <w:t>5-</w:t>
      </w:r>
      <w:r>
        <w:rPr>
          <w:rFonts w:hint="eastAsia" w:ascii="黑体" w:hAnsi="黑体" w:eastAsia="黑体"/>
          <w:b/>
          <w:color w:val="auto"/>
          <w:sz w:val="30"/>
          <w:szCs w:val="30"/>
          <w:highlight w:val="none"/>
        </w:rPr>
        <w:t>2、供应商负责人控股、设计等相关承诺书</w:t>
      </w:r>
    </w:p>
    <w:p w14:paraId="0B287DB0">
      <w:pPr>
        <w:tabs>
          <w:tab w:val="left" w:pos="9365"/>
        </w:tabs>
        <w:spacing w:before="360" w:after="360" w:line="586" w:lineRule="atLeast"/>
        <w:ind w:right="85"/>
        <w:jc w:val="left"/>
        <w:textAlignment w:val="top"/>
        <w:rPr>
          <w:rFonts w:ascii="宋体" w:hAnsi="宋体"/>
          <w:color w:val="auto"/>
          <w:sz w:val="24"/>
          <w:szCs w:val="24"/>
          <w:highlight w:val="none"/>
        </w:rPr>
      </w:pPr>
      <w:r>
        <w:rPr>
          <w:rFonts w:hint="eastAsia" w:ascii="宋体" w:hAnsi="宋体"/>
          <w:color w:val="auto"/>
          <w:sz w:val="24"/>
          <w:szCs w:val="24"/>
          <w:highlight w:val="none"/>
        </w:rPr>
        <w:t>致：</w:t>
      </w:r>
      <w:r>
        <w:rPr>
          <w:rFonts w:hint="eastAsia" w:ascii="宋体" w:hAnsi="宋体"/>
          <w:color w:val="auto"/>
          <w:sz w:val="24"/>
          <w:szCs w:val="24"/>
          <w:highlight w:val="none"/>
          <w:u w:val="single"/>
        </w:rPr>
        <w:t xml:space="preserve">    </w:t>
      </w:r>
      <w:r>
        <w:rPr>
          <w:rFonts w:hint="eastAsia" w:ascii="宋体" w:hAnsi="宋体"/>
          <w:color w:val="auto"/>
          <w:spacing w:val="11"/>
          <w:sz w:val="24"/>
          <w:szCs w:val="24"/>
          <w:highlight w:val="none"/>
          <w:u w:val="single"/>
        </w:rPr>
        <w:t xml:space="preserve">(采购人名称）    </w:t>
      </w:r>
    </w:p>
    <w:p w14:paraId="6234CEFF">
      <w:pPr>
        <w:tabs>
          <w:tab w:val="left" w:pos="65"/>
        </w:tabs>
        <w:spacing w:line="7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在项目编号为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的</w:t>
      </w:r>
      <w:r>
        <w:rPr>
          <w:rFonts w:hint="eastAsia" w:ascii="宋体" w:hAnsi="宋体"/>
          <w:color w:val="auto"/>
          <w:sz w:val="24"/>
          <w:szCs w:val="24"/>
          <w:highlight w:val="none"/>
          <w:u w:val="single"/>
        </w:rPr>
        <w:t xml:space="preserve">    （项目名称）  </w:t>
      </w:r>
      <w:r>
        <w:rPr>
          <w:rFonts w:hint="eastAsia" w:ascii="宋体" w:hAnsi="宋体"/>
          <w:color w:val="auto"/>
          <w:sz w:val="24"/>
          <w:szCs w:val="24"/>
          <w:highlight w:val="none"/>
        </w:rPr>
        <w:t xml:space="preserve"> 招标活动中，我单位承诺满足以下要求：</w:t>
      </w:r>
    </w:p>
    <w:p w14:paraId="0B28FC4C">
      <w:pPr>
        <w:tabs>
          <w:tab w:val="left" w:pos="65"/>
        </w:tabs>
        <w:spacing w:line="7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一、单位负责人为同一人或者存在直接控股、管理关系的不同供应商，不参加同一合同项下的政府采购活动。</w:t>
      </w:r>
    </w:p>
    <w:p w14:paraId="36477215">
      <w:pPr>
        <w:tabs>
          <w:tab w:val="left" w:pos="65"/>
        </w:tabs>
        <w:spacing w:line="7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二、没有为本项目提供整体设计、规范编制或者项目管理、监理、检测等服务。</w:t>
      </w:r>
    </w:p>
    <w:p w14:paraId="4BB971E1">
      <w:pPr>
        <w:tabs>
          <w:tab w:val="left" w:pos="9365"/>
        </w:tabs>
        <w:spacing w:before="57" w:after="57" w:line="586" w:lineRule="atLeast"/>
        <w:ind w:right="85" w:firstLine="480" w:firstLineChars="200"/>
        <w:jc w:val="left"/>
        <w:textAlignment w:val="top"/>
        <w:rPr>
          <w:rFonts w:ascii="宋体" w:hAnsi="宋体"/>
          <w:color w:val="auto"/>
          <w:sz w:val="24"/>
          <w:szCs w:val="24"/>
          <w:highlight w:val="none"/>
        </w:rPr>
      </w:pPr>
      <w:r>
        <w:rPr>
          <w:rFonts w:hint="eastAsia" w:ascii="宋体" w:hAnsi="宋体"/>
          <w:color w:val="auto"/>
          <w:sz w:val="24"/>
          <w:szCs w:val="24"/>
          <w:highlight w:val="none"/>
        </w:rPr>
        <w:t>三、若出现上述行为，我单位确</w:t>
      </w:r>
      <w:r>
        <w:rPr>
          <w:rFonts w:ascii="宋体" w:hAnsi="宋体"/>
          <w:color w:val="auto"/>
          <w:sz w:val="24"/>
          <w:szCs w:val="24"/>
          <w:highlight w:val="none"/>
        </w:rPr>
        <w:t>认投标无</w:t>
      </w:r>
      <w:r>
        <w:rPr>
          <w:rFonts w:hint="eastAsia" w:ascii="宋体" w:hAnsi="宋体"/>
          <w:color w:val="auto"/>
          <w:sz w:val="24"/>
          <w:szCs w:val="24"/>
          <w:highlight w:val="none"/>
        </w:rPr>
        <w:t>效、</w:t>
      </w:r>
      <w:r>
        <w:rPr>
          <w:rFonts w:ascii="宋体" w:hAnsi="宋体"/>
          <w:color w:val="auto"/>
          <w:sz w:val="24"/>
          <w:szCs w:val="24"/>
          <w:highlight w:val="none"/>
        </w:rPr>
        <w:t>承诺</w:t>
      </w:r>
      <w:r>
        <w:rPr>
          <w:rFonts w:hint="eastAsia" w:ascii="宋体" w:hAnsi="宋体"/>
          <w:color w:val="auto"/>
          <w:sz w:val="24"/>
          <w:szCs w:val="24"/>
          <w:highlight w:val="none"/>
        </w:rPr>
        <w:t>书</w:t>
      </w:r>
      <w:r>
        <w:rPr>
          <w:rFonts w:ascii="宋体" w:hAnsi="宋体"/>
          <w:color w:val="auto"/>
          <w:sz w:val="24"/>
          <w:szCs w:val="24"/>
          <w:highlight w:val="none"/>
        </w:rPr>
        <w:t>虚假</w:t>
      </w:r>
      <w:r>
        <w:rPr>
          <w:rFonts w:hint="eastAsia" w:ascii="宋体" w:hAnsi="宋体"/>
          <w:color w:val="auto"/>
          <w:sz w:val="24"/>
          <w:szCs w:val="24"/>
          <w:highlight w:val="none"/>
        </w:rPr>
        <w:t>，接受相关部门按照国家法律法规等有关规定对</w:t>
      </w:r>
      <w:r>
        <w:rPr>
          <w:rFonts w:ascii="宋体" w:hAnsi="宋体"/>
          <w:color w:val="auto"/>
          <w:sz w:val="24"/>
          <w:szCs w:val="24"/>
          <w:highlight w:val="none"/>
        </w:rPr>
        <w:t>我单位虚假承诺所</w:t>
      </w:r>
      <w:r>
        <w:rPr>
          <w:rFonts w:hint="eastAsia" w:ascii="宋体" w:hAnsi="宋体"/>
          <w:color w:val="auto"/>
          <w:sz w:val="24"/>
          <w:szCs w:val="24"/>
          <w:highlight w:val="none"/>
        </w:rPr>
        <w:t>给予的处理。</w:t>
      </w:r>
    </w:p>
    <w:p w14:paraId="58D58AAB">
      <w:pPr>
        <w:tabs>
          <w:tab w:val="left" w:pos="9365"/>
        </w:tabs>
        <w:spacing w:before="57" w:after="57" w:line="586" w:lineRule="atLeast"/>
        <w:ind w:right="85"/>
        <w:jc w:val="left"/>
        <w:textAlignment w:val="top"/>
        <w:rPr>
          <w:rFonts w:ascii="宋体" w:hAnsi="宋体"/>
          <w:color w:val="auto"/>
          <w:sz w:val="24"/>
          <w:szCs w:val="24"/>
          <w:highlight w:val="none"/>
        </w:rPr>
      </w:pPr>
      <w:r>
        <w:rPr>
          <w:rFonts w:ascii="宋体" w:hAnsi="宋体"/>
          <w:color w:val="auto"/>
          <w:sz w:val="24"/>
          <w:szCs w:val="24"/>
          <w:highlight w:val="none"/>
        </w:rPr>
        <w:t> </w:t>
      </w:r>
    </w:p>
    <w:p w14:paraId="7A69190D">
      <w:pPr>
        <w:snapToGrid w:val="0"/>
        <w:spacing w:before="100" w:beforeAutospacing="1" w:after="100" w:afterAutospacing="1" w:line="700" w:lineRule="exact"/>
        <w:ind w:right="641"/>
        <w:rPr>
          <w:rFonts w:ascii="宋体" w:hAnsi="宋体"/>
          <w:color w:val="auto"/>
          <w:sz w:val="24"/>
          <w:szCs w:val="24"/>
          <w:highlight w:val="none"/>
        </w:rPr>
      </w:pPr>
      <w:r>
        <w:rPr>
          <w:rFonts w:hint="eastAsia" w:ascii="宋体" w:hAnsi="宋体"/>
          <w:color w:val="auto"/>
          <w:sz w:val="24"/>
          <w:szCs w:val="24"/>
          <w:highlight w:val="none"/>
        </w:rPr>
        <w:t>投标人（电子签章）：</w:t>
      </w:r>
    </w:p>
    <w:p w14:paraId="0C825ADD">
      <w:pPr>
        <w:snapToGrid w:val="0"/>
        <w:spacing w:before="100" w:beforeAutospacing="1" w:after="100" w:afterAutospacing="1" w:line="700" w:lineRule="exact"/>
        <w:ind w:right="641"/>
        <w:rPr>
          <w:rFonts w:ascii="宋体" w:hAnsi="宋体"/>
          <w:color w:val="auto"/>
          <w:sz w:val="24"/>
          <w:szCs w:val="24"/>
          <w:highlight w:val="none"/>
        </w:rPr>
      </w:pPr>
      <w:r>
        <w:rPr>
          <w:rFonts w:hint="eastAsia" w:ascii="宋体" w:hAnsi="宋体"/>
          <w:color w:val="auto"/>
          <w:sz w:val="24"/>
          <w:szCs w:val="24"/>
          <w:highlight w:val="none"/>
        </w:rPr>
        <w:t>法定代表人（电子签名或签章）：</w:t>
      </w:r>
    </w:p>
    <w:p w14:paraId="6B2D8C64">
      <w:pPr>
        <w:widowControl w:val="0"/>
        <w:tabs>
          <w:tab w:val="left" w:pos="9365"/>
        </w:tabs>
        <w:snapToGrid w:val="0"/>
        <w:spacing w:after="56" w:line="560" w:lineRule="exact"/>
        <w:ind w:right="85"/>
        <w:jc w:val="left"/>
        <w:textAlignment w:val="top"/>
        <w:rPr>
          <w:color w:val="auto"/>
          <w:sz w:val="24"/>
          <w:szCs w:val="24"/>
          <w:highlight w:val="none"/>
        </w:rPr>
      </w:pPr>
      <w:r>
        <w:rPr>
          <w:rFonts w:hint="eastAsia" w:ascii="宋体" w:hAnsi="宋体"/>
          <w:color w:val="auto"/>
          <w:sz w:val="24"/>
          <w:szCs w:val="24"/>
          <w:highlight w:val="none"/>
        </w:rPr>
        <w:t>日期：</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14:paraId="39751688">
      <w:pPr>
        <w:tabs>
          <w:tab w:val="left" w:pos="540"/>
        </w:tabs>
        <w:spacing w:line="440" w:lineRule="exact"/>
        <w:jc w:val="left"/>
        <w:rPr>
          <w:rFonts w:ascii="宋体" w:hAnsi="宋体"/>
          <w:b/>
          <w:color w:val="auto"/>
          <w:sz w:val="32"/>
          <w:szCs w:val="32"/>
          <w:highlight w:val="none"/>
        </w:rPr>
      </w:pPr>
      <w:r>
        <w:rPr>
          <w:rFonts w:ascii="宋体" w:hAnsi="宋体"/>
          <w:b/>
          <w:color w:val="auto"/>
          <w:sz w:val="32"/>
          <w:szCs w:val="32"/>
          <w:highlight w:val="none"/>
        </w:rPr>
        <w:br w:type="page"/>
      </w:r>
    </w:p>
    <w:p w14:paraId="3C53B4E9">
      <w:pPr>
        <w:snapToGrid w:val="0"/>
        <w:spacing w:line="560" w:lineRule="atLeast"/>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15-3、投标承诺函</w:t>
      </w:r>
    </w:p>
    <w:p w14:paraId="691E1E35">
      <w:pPr>
        <w:widowControl w:val="0"/>
        <w:autoSpaceDE w:val="0"/>
        <w:autoSpaceDN w:val="0"/>
        <w:adjustRightInd w:val="0"/>
        <w:spacing w:line="240" w:lineRule="auto"/>
        <w:jc w:val="center"/>
        <w:textAlignment w:val="auto"/>
        <w:rPr>
          <w:rFonts w:ascii="黑体" w:hAnsi="黑体" w:eastAsia="黑体"/>
          <w:b/>
          <w:color w:val="auto"/>
          <w:sz w:val="30"/>
          <w:szCs w:val="30"/>
          <w:highlight w:val="none"/>
        </w:rPr>
      </w:pPr>
      <w:r>
        <w:rPr>
          <w:rFonts w:hint="eastAsia" w:ascii="黑体" w:hAnsi="黑体" w:eastAsia="黑体"/>
          <w:b/>
          <w:color w:val="auto"/>
          <w:sz w:val="30"/>
          <w:szCs w:val="30"/>
          <w:highlight w:val="none"/>
        </w:rPr>
        <w:t>（以投标承诺函形式，替代投标保证金的相关承诺事项）</w:t>
      </w:r>
    </w:p>
    <w:p w14:paraId="0AED9FD5">
      <w:pPr>
        <w:widowControl w:val="0"/>
        <w:tabs>
          <w:tab w:val="left" w:pos="9365"/>
        </w:tabs>
        <w:spacing w:before="360" w:after="360" w:line="360" w:lineRule="auto"/>
        <w:ind w:right="85"/>
        <w:jc w:val="left"/>
        <w:textAlignment w:val="top"/>
        <w:rPr>
          <w:rFonts w:ascii="宋体" w:hAnsi="宋体"/>
          <w:color w:val="auto"/>
          <w:sz w:val="24"/>
          <w:szCs w:val="24"/>
          <w:highlight w:val="none"/>
        </w:rPr>
      </w:pPr>
      <w:r>
        <w:rPr>
          <w:rFonts w:hint="eastAsia" w:ascii="宋体" w:hAnsi="宋体"/>
          <w:color w:val="auto"/>
          <w:sz w:val="24"/>
          <w:szCs w:val="24"/>
          <w:highlight w:val="none"/>
        </w:rPr>
        <w:t>致：</w:t>
      </w:r>
      <w:r>
        <w:rPr>
          <w:rFonts w:hint="eastAsia" w:ascii="宋体" w:hAnsi="宋体"/>
          <w:color w:val="auto"/>
          <w:sz w:val="24"/>
          <w:szCs w:val="24"/>
          <w:highlight w:val="none"/>
          <w:u w:val="single"/>
        </w:rPr>
        <w:t xml:space="preserve">    </w:t>
      </w:r>
      <w:r>
        <w:rPr>
          <w:rFonts w:hint="eastAsia" w:ascii="宋体" w:hAnsi="宋体"/>
          <w:color w:val="auto"/>
          <w:spacing w:val="11"/>
          <w:sz w:val="24"/>
          <w:szCs w:val="24"/>
          <w:highlight w:val="none"/>
          <w:u w:val="single"/>
        </w:rPr>
        <w:t>(采购人名称） 、</w:t>
      </w:r>
      <w:r>
        <w:rPr>
          <w:rFonts w:hint="eastAsia"/>
          <w:color w:val="auto"/>
          <w:sz w:val="24"/>
          <w:szCs w:val="24"/>
          <w:highlight w:val="none"/>
        </w:rPr>
        <w:t>安阳市方正招标采购服务有限责任公司</w:t>
      </w:r>
    </w:p>
    <w:p w14:paraId="663061BB">
      <w:pPr>
        <w:widowControl w:val="0"/>
        <w:tabs>
          <w:tab w:val="left" w:pos="65"/>
        </w:tabs>
        <w:spacing w:line="460" w:lineRule="atLeast"/>
        <w:ind w:firstLine="480" w:firstLineChars="200"/>
        <w:textAlignment w:val="auto"/>
        <w:rPr>
          <w:rFonts w:ascii="宋体" w:hAnsi="宋体"/>
          <w:color w:val="auto"/>
          <w:sz w:val="24"/>
          <w:szCs w:val="24"/>
          <w:highlight w:val="none"/>
          <w:lang w:val="zh-CN"/>
        </w:rPr>
      </w:pPr>
      <w:r>
        <w:rPr>
          <w:rFonts w:hint="eastAsia" w:ascii="宋体" w:hAnsi="宋体"/>
          <w:color w:val="auto"/>
          <w:sz w:val="24"/>
          <w:szCs w:val="24"/>
          <w:highlight w:val="none"/>
        </w:rPr>
        <w:t>在项目编号为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的</w:t>
      </w:r>
      <w:r>
        <w:rPr>
          <w:rFonts w:hint="eastAsia" w:ascii="宋体" w:hAnsi="宋体"/>
          <w:color w:val="auto"/>
          <w:sz w:val="24"/>
          <w:szCs w:val="24"/>
          <w:highlight w:val="none"/>
          <w:u w:val="single"/>
        </w:rPr>
        <w:t xml:space="preserve">    （项目名称）  </w:t>
      </w:r>
      <w:r>
        <w:rPr>
          <w:rFonts w:hint="eastAsia" w:ascii="宋体" w:hAnsi="宋体"/>
          <w:color w:val="auto"/>
          <w:sz w:val="24"/>
          <w:szCs w:val="24"/>
          <w:highlight w:val="none"/>
        </w:rPr>
        <w:t xml:space="preserve"> 采购活动中，我</w:t>
      </w:r>
      <w:r>
        <w:rPr>
          <w:rFonts w:hint="eastAsia"/>
          <w:color w:val="auto"/>
          <w:sz w:val="24"/>
          <w:highlight w:val="none"/>
        </w:rPr>
        <w:t>单位</w:t>
      </w:r>
      <w:r>
        <w:rPr>
          <w:rFonts w:hint="eastAsia" w:ascii="宋体" w:hAnsi="宋体"/>
          <w:color w:val="auto"/>
          <w:sz w:val="24"/>
          <w:szCs w:val="24"/>
          <w:highlight w:val="none"/>
        </w:rPr>
        <w:t>承诺：</w:t>
      </w:r>
    </w:p>
    <w:p w14:paraId="38AF5EFD">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一、遵循公开、公平、公正和</w:t>
      </w:r>
      <w:r>
        <w:rPr>
          <w:color w:val="auto"/>
          <w:highlight w:val="none"/>
        </w:rPr>
        <w:fldChar w:fldCharType="begin"/>
      </w:r>
      <w:r>
        <w:rPr>
          <w:color w:val="auto"/>
          <w:highlight w:val="none"/>
        </w:rPr>
        <w:instrText xml:space="preserve"> HYPERLINK "http://www.so.com/s?q=%E8%AF%9A%E5%AE%9E%E4%BF%A1%E7%94%A8&amp;ie=utf-8&amp;src=internal_wenda_recommend_textn" \t "https://wenda.so.com/q/_blank" </w:instrText>
      </w:r>
      <w:r>
        <w:rPr>
          <w:color w:val="auto"/>
          <w:highlight w:val="none"/>
        </w:rPr>
        <w:fldChar w:fldCharType="separate"/>
      </w:r>
      <w:r>
        <w:rPr>
          <w:rFonts w:hint="eastAsia" w:ascii="宋体" w:hAnsi="宋体"/>
          <w:color w:val="auto"/>
          <w:sz w:val="24"/>
          <w:szCs w:val="24"/>
          <w:highlight w:val="none"/>
        </w:rPr>
        <w:t>诚实信用</w:t>
      </w:r>
      <w:r>
        <w:rPr>
          <w:rFonts w:hint="eastAsia" w:ascii="宋体" w:hAnsi="宋体"/>
          <w:color w:val="auto"/>
          <w:sz w:val="24"/>
          <w:szCs w:val="24"/>
          <w:highlight w:val="none"/>
        </w:rPr>
        <w:fldChar w:fldCharType="end"/>
      </w:r>
      <w:r>
        <w:rPr>
          <w:rFonts w:hint="eastAsia" w:ascii="宋体" w:hAnsi="宋体"/>
          <w:color w:val="auto"/>
          <w:sz w:val="24"/>
          <w:szCs w:val="24"/>
          <w:highlight w:val="none"/>
        </w:rPr>
        <w:t>的原则自愿参加本项目投标；</w:t>
      </w:r>
      <w:r>
        <w:rPr>
          <w:rFonts w:hint="eastAsia" w:ascii="宋体" w:hAnsi="宋体"/>
          <w:color w:val="auto"/>
          <w:sz w:val="24"/>
          <w:szCs w:val="24"/>
          <w:highlight w:val="none"/>
        </w:rPr>
        <w:br w:type="textWrapping"/>
      </w:r>
      <w:r>
        <w:rPr>
          <w:rFonts w:hint="eastAsia" w:ascii="宋体" w:hAnsi="宋体"/>
          <w:color w:val="auto"/>
          <w:sz w:val="24"/>
          <w:szCs w:val="24"/>
          <w:highlight w:val="none"/>
        </w:rPr>
        <w:t xml:space="preserve">    二、在政府采购活动中提供真实、准确、有效、合法的材料，不</w:t>
      </w:r>
      <w:r>
        <w:rPr>
          <w:rFonts w:hint="eastAsia" w:ascii="宋体" w:hAnsi="宋体" w:cs="楷体_GB2312"/>
          <w:color w:val="auto"/>
          <w:sz w:val="24"/>
          <w:highlight w:val="none"/>
          <w:lang w:val="zh-CN"/>
        </w:rPr>
        <w:t>提供虚假材料；</w:t>
      </w:r>
    </w:p>
    <w:p w14:paraId="3DF94416">
      <w:pPr>
        <w:topLinePunct/>
        <w:adjustRightInd w:val="0"/>
        <w:snapToGrid w:val="0"/>
        <w:spacing w:before="156" w:beforeLines="50" w:line="300" w:lineRule="auto"/>
        <w:ind w:firstLine="480" w:firstLineChars="200"/>
        <w:rPr>
          <w:rFonts w:ascii="宋体" w:hAnsi="宋体" w:cs="楷体_GB2312"/>
          <w:color w:val="auto"/>
          <w:sz w:val="24"/>
          <w:highlight w:val="none"/>
          <w:lang w:val="zh-CN"/>
        </w:rPr>
      </w:pPr>
      <w:r>
        <w:rPr>
          <w:rFonts w:hint="eastAsia" w:ascii="宋体" w:hAnsi="宋体"/>
          <w:color w:val="auto"/>
          <w:sz w:val="24"/>
          <w:szCs w:val="24"/>
          <w:highlight w:val="none"/>
        </w:rPr>
        <w:t>三、</w:t>
      </w:r>
      <w:r>
        <w:rPr>
          <w:rFonts w:hint="eastAsia"/>
          <w:color w:val="auto"/>
          <w:sz w:val="24"/>
          <w:highlight w:val="none"/>
          <w:lang w:val="zh-CN"/>
        </w:rPr>
        <w:t>按照招标文件规定，</w:t>
      </w:r>
      <w:r>
        <w:rPr>
          <w:rFonts w:hint="eastAsia" w:ascii="宋体" w:hAnsi="宋体" w:cs="楷体_GB2312"/>
          <w:color w:val="auto"/>
          <w:sz w:val="24"/>
          <w:highlight w:val="none"/>
          <w:lang w:val="zh-CN"/>
        </w:rPr>
        <w:t>在提交投标文件截止时间后，在招标文件规定的投标有效期限内不撤回投标文件；</w:t>
      </w:r>
    </w:p>
    <w:p w14:paraId="074948A0">
      <w:pPr>
        <w:topLinePunct/>
        <w:adjustRightInd w:val="0"/>
        <w:snapToGrid w:val="0"/>
        <w:spacing w:before="156" w:beforeLines="50" w:line="300" w:lineRule="auto"/>
        <w:ind w:firstLine="480" w:firstLineChars="200"/>
        <w:rPr>
          <w:rFonts w:ascii="宋体" w:cs="楷体_GB2312"/>
          <w:color w:val="auto"/>
          <w:sz w:val="24"/>
          <w:highlight w:val="none"/>
          <w:lang w:val="zh-CN"/>
        </w:rPr>
      </w:pPr>
      <w:r>
        <w:rPr>
          <w:rFonts w:hint="eastAsia"/>
          <w:color w:val="auto"/>
          <w:sz w:val="24"/>
          <w:highlight w:val="none"/>
        </w:rPr>
        <w:t>四、不</w:t>
      </w:r>
      <w:r>
        <w:rPr>
          <w:rFonts w:hint="eastAsia" w:ascii="宋体" w:hAnsi="宋体" w:cs="楷体_GB2312"/>
          <w:color w:val="auto"/>
          <w:sz w:val="24"/>
          <w:highlight w:val="none"/>
          <w:lang w:val="zh-CN"/>
        </w:rPr>
        <w:t>与其他投标人、采购人或采购代理机构串通或恶意串通。</w:t>
      </w:r>
    </w:p>
    <w:p w14:paraId="7C9FE8BF">
      <w:pPr>
        <w:widowControl w:val="0"/>
        <w:tabs>
          <w:tab w:val="left" w:pos="65"/>
        </w:tabs>
        <w:spacing w:line="460" w:lineRule="atLeast"/>
        <w:ind w:firstLine="480" w:firstLineChars="200"/>
        <w:textAlignment w:val="auto"/>
        <w:rPr>
          <w:color w:val="auto"/>
          <w:sz w:val="24"/>
          <w:highlight w:val="none"/>
        </w:rPr>
      </w:pPr>
      <w:r>
        <w:rPr>
          <w:rFonts w:hint="eastAsia"/>
          <w:color w:val="auto"/>
          <w:sz w:val="24"/>
          <w:highlight w:val="none"/>
        </w:rPr>
        <w:t>五、如我单位中标，</w:t>
      </w:r>
      <w:r>
        <w:rPr>
          <w:rFonts w:hint="eastAsia" w:ascii="宋体" w:hAnsi="宋体" w:cs="楷体_GB2312"/>
          <w:color w:val="auto"/>
          <w:sz w:val="24"/>
          <w:highlight w:val="none"/>
          <w:lang w:val="zh-CN"/>
        </w:rPr>
        <w:t>除不可抗拒力或</w:t>
      </w:r>
      <w:r>
        <w:rPr>
          <w:rFonts w:hint="eastAsia" w:ascii="宋体" w:hAnsi="宋体" w:cs="楷体_GB2312"/>
          <w:color w:val="auto"/>
          <w:sz w:val="24"/>
          <w:highlight w:val="none"/>
        </w:rPr>
        <w:t>招标</w:t>
      </w:r>
      <w:r>
        <w:rPr>
          <w:rFonts w:hint="eastAsia" w:ascii="宋体" w:hAnsi="宋体" w:cs="楷体_GB2312"/>
          <w:color w:val="auto"/>
          <w:sz w:val="24"/>
          <w:highlight w:val="none"/>
          <w:lang w:val="zh-CN"/>
        </w:rPr>
        <w:t>文件认可的情形外</w:t>
      </w:r>
      <w:r>
        <w:rPr>
          <w:rFonts w:hint="eastAsia"/>
          <w:color w:val="auto"/>
          <w:sz w:val="24"/>
          <w:highlight w:val="none"/>
        </w:rPr>
        <w:t>，我单位</w:t>
      </w:r>
      <w:r>
        <w:rPr>
          <w:rFonts w:hint="eastAsia" w:ascii="宋体" w:hAnsi="宋体"/>
          <w:color w:val="auto"/>
          <w:sz w:val="24"/>
          <w:szCs w:val="24"/>
          <w:highlight w:val="none"/>
        </w:rPr>
        <w:t>承诺</w:t>
      </w:r>
      <w:r>
        <w:rPr>
          <w:rFonts w:hint="eastAsia"/>
          <w:color w:val="auto"/>
          <w:sz w:val="24"/>
          <w:highlight w:val="none"/>
        </w:rPr>
        <w:t>及时领取中标通知书，</w:t>
      </w:r>
      <w:r>
        <w:rPr>
          <w:rFonts w:hint="eastAsia" w:ascii="宋体" w:hAnsi="宋体" w:cs="楷体_GB2312"/>
          <w:color w:val="auto"/>
          <w:sz w:val="24"/>
          <w:highlight w:val="none"/>
          <w:lang w:val="zh-CN"/>
        </w:rPr>
        <w:t>在成交通知书规定时间、地点与采购人签订合同</w:t>
      </w:r>
      <w:r>
        <w:rPr>
          <w:rFonts w:hint="eastAsia"/>
          <w:color w:val="auto"/>
          <w:sz w:val="24"/>
          <w:highlight w:val="none"/>
          <w:lang w:val="zh-CN"/>
        </w:rPr>
        <w:t>；</w:t>
      </w:r>
      <w:r>
        <w:rPr>
          <w:rFonts w:hint="eastAsia"/>
          <w:color w:val="auto"/>
          <w:sz w:val="24"/>
          <w:highlight w:val="none"/>
        </w:rPr>
        <w:br w:type="textWrapping"/>
      </w:r>
      <w:r>
        <w:rPr>
          <w:rFonts w:hint="eastAsia"/>
          <w:color w:val="auto"/>
          <w:sz w:val="24"/>
          <w:highlight w:val="none"/>
        </w:rPr>
        <w:t xml:space="preserve">    六、</w:t>
      </w:r>
      <w:r>
        <w:rPr>
          <w:rFonts w:hint="eastAsia" w:ascii="宋体" w:hAnsi="宋体" w:cs="楷体_GB2312"/>
          <w:color w:val="auto"/>
          <w:sz w:val="24"/>
          <w:highlight w:val="none"/>
          <w:lang w:val="zh-CN"/>
        </w:rPr>
        <w:t>遵守法律法规及招标文件规定的其他情况；</w:t>
      </w:r>
    </w:p>
    <w:p w14:paraId="3A81CB34">
      <w:pPr>
        <w:widowControl w:val="0"/>
        <w:tabs>
          <w:tab w:val="left" w:pos="65"/>
        </w:tabs>
        <w:spacing w:line="460" w:lineRule="atLeast"/>
        <w:ind w:firstLine="480" w:firstLineChars="200"/>
        <w:textAlignment w:val="auto"/>
        <w:rPr>
          <w:color w:val="auto"/>
          <w:sz w:val="24"/>
          <w:highlight w:val="none"/>
        </w:rPr>
      </w:pPr>
      <w:r>
        <w:rPr>
          <w:rFonts w:hint="eastAsia"/>
          <w:color w:val="auto"/>
          <w:sz w:val="24"/>
          <w:highlight w:val="none"/>
        </w:rPr>
        <w:t>七、按招标文件规定</w:t>
      </w:r>
      <w:r>
        <w:rPr>
          <w:rFonts w:hint="eastAsia" w:ascii="宋体" w:hAnsi="宋体"/>
          <w:color w:val="auto"/>
          <w:sz w:val="24"/>
          <w:szCs w:val="24"/>
          <w:highlight w:val="none"/>
        </w:rPr>
        <w:t>及时</w:t>
      </w:r>
      <w:r>
        <w:rPr>
          <w:rFonts w:hint="eastAsia"/>
          <w:color w:val="auto"/>
          <w:sz w:val="24"/>
          <w:highlight w:val="none"/>
        </w:rPr>
        <w:t>缴纳中标服务费。</w:t>
      </w:r>
    </w:p>
    <w:p w14:paraId="381EA9B7">
      <w:pPr>
        <w:widowControl w:val="0"/>
        <w:tabs>
          <w:tab w:val="left" w:pos="65"/>
        </w:tabs>
        <w:spacing w:line="460" w:lineRule="atLeast"/>
        <w:ind w:firstLine="480" w:firstLineChars="200"/>
        <w:textAlignment w:val="auto"/>
        <w:rPr>
          <w:color w:val="auto"/>
          <w:sz w:val="24"/>
          <w:highlight w:val="none"/>
        </w:rPr>
      </w:pPr>
      <w:r>
        <w:rPr>
          <w:rFonts w:hint="eastAsia"/>
          <w:color w:val="auto"/>
          <w:sz w:val="24"/>
          <w:highlight w:val="none"/>
        </w:rPr>
        <w:t>八、违背上述承诺事项的，我单位无条件接受以下责任追究：</w:t>
      </w:r>
    </w:p>
    <w:p w14:paraId="3E2F24D5">
      <w:pPr>
        <w:widowControl w:val="0"/>
        <w:tabs>
          <w:tab w:val="left" w:pos="65"/>
        </w:tabs>
        <w:spacing w:line="460" w:lineRule="atLeast"/>
        <w:ind w:firstLine="480" w:firstLineChars="200"/>
        <w:textAlignment w:val="auto"/>
        <w:rPr>
          <w:rFonts w:ascii="宋体" w:hAnsi="宋体" w:cs="楷体_GB2312"/>
          <w:color w:val="auto"/>
          <w:sz w:val="24"/>
          <w:highlight w:val="none"/>
          <w:lang w:val="zh-CN"/>
        </w:rPr>
      </w:pPr>
      <w:r>
        <w:rPr>
          <w:rFonts w:hint="eastAsia" w:ascii="宋体" w:hAnsi="宋体" w:cs="楷体_GB2312"/>
          <w:color w:val="auto"/>
          <w:sz w:val="24"/>
          <w:highlight w:val="none"/>
          <w:lang w:val="zh-CN"/>
        </w:rPr>
        <w:t>（一）法定责任：</w:t>
      </w:r>
      <w:r>
        <w:rPr>
          <w:rFonts w:hint="eastAsia"/>
          <w:color w:val="auto"/>
          <w:sz w:val="24"/>
          <w:highlight w:val="none"/>
        </w:rPr>
        <w:t>按照政府采购相关法规，</w:t>
      </w:r>
      <w:r>
        <w:rPr>
          <w:rFonts w:ascii="宋体" w:hAnsi="宋体" w:cs="楷体_GB2312"/>
          <w:color w:val="auto"/>
          <w:sz w:val="24"/>
          <w:highlight w:val="none"/>
          <w:lang w:val="zh-CN"/>
        </w:rPr>
        <w:t>处以罚款，列入不良行为记录名单，在一至三年内禁止参加政府采购活动，有违法所得的，并处没收违法所得，情节严重的，由工商行政管理机关</w:t>
      </w:r>
      <w:r>
        <w:rPr>
          <w:rFonts w:hint="eastAsia" w:ascii="宋体" w:hAnsi="宋体" w:cs="楷体_GB2312"/>
          <w:color w:val="auto"/>
          <w:sz w:val="24"/>
          <w:highlight w:val="none"/>
          <w:lang w:val="zh-CN"/>
        </w:rPr>
        <w:t>（市场监督机关）</w:t>
      </w:r>
      <w:r>
        <w:rPr>
          <w:rFonts w:ascii="宋体" w:hAnsi="宋体" w:cs="楷体_GB2312"/>
          <w:color w:val="auto"/>
          <w:sz w:val="24"/>
          <w:highlight w:val="none"/>
          <w:lang w:val="zh-CN"/>
        </w:rPr>
        <w:t>吊销营业执照；构成犯罪的，依法追究刑事责任</w:t>
      </w:r>
      <w:r>
        <w:rPr>
          <w:rFonts w:hint="eastAsia" w:ascii="宋体" w:hAnsi="宋体" w:cs="楷体_GB2312"/>
          <w:color w:val="auto"/>
          <w:sz w:val="24"/>
          <w:highlight w:val="none"/>
          <w:lang w:val="zh-CN"/>
        </w:rPr>
        <w:t>。</w:t>
      </w:r>
    </w:p>
    <w:p w14:paraId="3FE41240">
      <w:pPr>
        <w:widowControl w:val="0"/>
        <w:tabs>
          <w:tab w:val="left" w:pos="65"/>
        </w:tabs>
        <w:spacing w:line="460" w:lineRule="atLeast"/>
        <w:ind w:firstLine="480" w:firstLineChars="200"/>
        <w:textAlignment w:val="auto"/>
        <w:rPr>
          <w:rFonts w:ascii="宋体" w:hAnsi="宋体" w:cs="楷体_GB2312"/>
          <w:color w:val="auto"/>
          <w:sz w:val="24"/>
          <w:highlight w:val="none"/>
          <w:lang w:val="zh-CN"/>
        </w:rPr>
      </w:pPr>
      <w:r>
        <w:rPr>
          <w:rFonts w:hint="eastAsia"/>
          <w:color w:val="auto"/>
          <w:sz w:val="24"/>
          <w:highlight w:val="none"/>
        </w:rPr>
        <w:t>给采购人及他人造成损失的，愿承担相应的赔偿责任。</w:t>
      </w:r>
    </w:p>
    <w:p w14:paraId="21F47F13">
      <w:pPr>
        <w:widowControl w:val="0"/>
        <w:tabs>
          <w:tab w:val="left" w:pos="65"/>
        </w:tabs>
        <w:spacing w:line="460" w:lineRule="atLeast"/>
        <w:ind w:firstLine="480" w:firstLineChars="200"/>
        <w:textAlignment w:val="auto"/>
        <w:rPr>
          <w:color w:val="auto"/>
          <w:sz w:val="24"/>
          <w:highlight w:val="none"/>
        </w:rPr>
      </w:pPr>
      <w:r>
        <w:rPr>
          <w:rFonts w:hint="eastAsia" w:ascii="宋体" w:hAnsi="宋体" w:cs="楷体_GB2312"/>
          <w:color w:val="auto"/>
          <w:sz w:val="24"/>
          <w:highlight w:val="none"/>
          <w:lang w:val="zh-CN"/>
        </w:rPr>
        <w:t>（二）违约责任：</w:t>
      </w:r>
      <w:r>
        <w:rPr>
          <w:rFonts w:hint="eastAsia"/>
          <w:color w:val="auto"/>
          <w:sz w:val="24"/>
          <w:highlight w:val="none"/>
        </w:rPr>
        <w:t xml:space="preserve"> </w:t>
      </w:r>
    </w:p>
    <w:p w14:paraId="70FE6A4C">
      <w:pPr>
        <w:widowControl w:val="0"/>
        <w:tabs>
          <w:tab w:val="left" w:pos="65"/>
        </w:tabs>
        <w:spacing w:line="460" w:lineRule="atLeast"/>
        <w:ind w:firstLine="480" w:firstLineChars="200"/>
        <w:textAlignment w:val="auto"/>
        <w:rPr>
          <w:color w:val="auto"/>
          <w:sz w:val="24"/>
          <w:highlight w:val="none"/>
        </w:rPr>
      </w:pPr>
      <w:r>
        <w:rPr>
          <w:rFonts w:hint="eastAsia"/>
          <w:color w:val="auto"/>
          <w:sz w:val="24"/>
          <w:highlight w:val="none"/>
        </w:rPr>
        <w:t>1、已中标的，中标（</w:t>
      </w:r>
      <w:r>
        <w:rPr>
          <w:rFonts w:hint="eastAsia" w:ascii="宋体" w:hAnsi="宋体" w:cs="宋体"/>
          <w:color w:val="auto"/>
          <w:szCs w:val="21"/>
          <w:highlight w:val="none"/>
        </w:rPr>
        <w:t>成交</w:t>
      </w:r>
      <w:r>
        <w:rPr>
          <w:rFonts w:hint="eastAsia"/>
          <w:color w:val="auto"/>
          <w:sz w:val="24"/>
          <w:highlight w:val="none"/>
        </w:rPr>
        <w:t>）无效；</w:t>
      </w:r>
    </w:p>
    <w:p w14:paraId="254AFF5F">
      <w:pPr>
        <w:widowControl w:val="0"/>
        <w:tabs>
          <w:tab w:val="left" w:pos="65"/>
        </w:tabs>
        <w:spacing w:line="460" w:lineRule="atLeast"/>
        <w:ind w:firstLine="480" w:firstLineChars="200"/>
        <w:textAlignment w:val="auto"/>
        <w:rPr>
          <w:color w:val="auto"/>
          <w:sz w:val="24"/>
          <w:highlight w:val="none"/>
        </w:rPr>
      </w:pPr>
      <w:r>
        <w:rPr>
          <w:rFonts w:hint="eastAsia"/>
          <w:color w:val="auto"/>
          <w:sz w:val="24"/>
          <w:highlight w:val="none"/>
        </w:rPr>
        <w:t>2、支付采购人违约标的预算金额2%的</w:t>
      </w:r>
      <w:r>
        <w:rPr>
          <w:rFonts w:hint="eastAsia" w:ascii="宋体" w:hAnsi="宋体" w:cs="楷体_GB2312"/>
          <w:color w:val="auto"/>
          <w:sz w:val="24"/>
          <w:highlight w:val="none"/>
          <w:lang w:val="zh-CN"/>
        </w:rPr>
        <w:t>违约金</w:t>
      </w:r>
      <w:r>
        <w:rPr>
          <w:rFonts w:hint="eastAsia"/>
          <w:color w:val="auto"/>
          <w:sz w:val="24"/>
          <w:highlight w:val="none"/>
        </w:rPr>
        <w:t>；</w:t>
      </w:r>
    </w:p>
    <w:p w14:paraId="276591D0">
      <w:pPr>
        <w:widowControl w:val="0"/>
        <w:tabs>
          <w:tab w:val="left" w:pos="65"/>
        </w:tabs>
        <w:spacing w:line="460" w:lineRule="atLeast"/>
        <w:ind w:firstLine="480" w:firstLineChars="200"/>
        <w:textAlignment w:val="auto"/>
        <w:rPr>
          <w:color w:val="auto"/>
          <w:sz w:val="24"/>
          <w:highlight w:val="none"/>
          <w:lang w:val="zh-CN"/>
        </w:rPr>
      </w:pPr>
      <w:r>
        <w:rPr>
          <w:rFonts w:hint="eastAsia"/>
          <w:color w:val="auto"/>
          <w:sz w:val="24"/>
          <w:highlight w:val="none"/>
        </w:rPr>
        <w:t>3、中标后</w:t>
      </w:r>
      <w:r>
        <w:rPr>
          <w:rFonts w:hint="eastAsia" w:ascii="宋体" w:hAnsi="宋体"/>
          <w:color w:val="auto"/>
          <w:sz w:val="24"/>
          <w:szCs w:val="24"/>
          <w:highlight w:val="none"/>
        </w:rPr>
        <w:t>未缴</w:t>
      </w:r>
      <w:r>
        <w:rPr>
          <w:rFonts w:hint="eastAsia"/>
          <w:color w:val="auto"/>
          <w:sz w:val="24"/>
          <w:highlight w:val="none"/>
        </w:rPr>
        <w:t>中标服务费的，作为违约及违背</w:t>
      </w:r>
      <w:r>
        <w:rPr>
          <w:color w:val="auto"/>
          <w:highlight w:val="none"/>
        </w:rPr>
        <w:fldChar w:fldCharType="begin"/>
      </w:r>
      <w:r>
        <w:rPr>
          <w:color w:val="auto"/>
          <w:highlight w:val="none"/>
        </w:rPr>
        <w:instrText xml:space="preserve"> HYPERLINK "http://www.so.com/s?q=%E8%AF%9A%E5%AE%9E%E4%BF%A1%E7%94%A8&amp;ie=utf-8&amp;src=internal_wenda_recommend_textn" \t "https://wenda.so.com/q/_blank" </w:instrText>
      </w:r>
      <w:r>
        <w:rPr>
          <w:color w:val="auto"/>
          <w:highlight w:val="none"/>
        </w:rPr>
        <w:fldChar w:fldCharType="separate"/>
      </w:r>
      <w:r>
        <w:rPr>
          <w:rFonts w:hint="eastAsia" w:ascii="宋体" w:hAnsi="宋体"/>
          <w:color w:val="auto"/>
          <w:sz w:val="24"/>
          <w:szCs w:val="24"/>
          <w:highlight w:val="none"/>
        </w:rPr>
        <w:t>诚实信用</w:t>
      </w:r>
      <w:r>
        <w:rPr>
          <w:rFonts w:hint="eastAsia" w:ascii="宋体" w:hAnsi="宋体"/>
          <w:color w:val="auto"/>
          <w:sz w:val="24"/>
          <w:szCs w:val="24"/>
          <w:highlight w:val="none"/>
        </w:rPr>
        <w:fldChar w:fldCharType="end"/>
      </w:r>
      <w:r>
        <w:rPr>
          <w:rFonts w:hint="eastAsia" w:ascii="宋体" w:hAnsi="宋体"/>
          <w:color w:val="auto"/>
          <w:sz w:val="24"/>
          <w:szCs w:val="24"/>
          <w:highlight w:val="none"/>
        </w:rPr>
        <w:t>原则，在履行承诺前，代理机构将视我单位为失信企业、不予办理其后相关业务。</w:t>
      </w:r>
    </w:p>
    <w:p w14:paraId="6D935B91">
      <w:pPr>
        <w:widowControl w:val="0"/>
        <w:autoSpaceDE w:val="0"/>
        <w:autoSpaceDN w:val="0"/>
        <w:adjustRightInd w:val="0"/>
        <w:spacing w:line="460" w:lineRule="atLeast"/>
        <w:ind w:left="-2" w:right="-817" w:hanging="149"/>
        <w:textAlignment w:val="auto"/>
        <w:rPr>
          <w:rFonts w:ascii="宋体" w:cs="楷体_GB2312"/>
          <w:color w:val="auto"/>
          <w:sz w:val="24"/>
          <w:highlight w:val="none"/>
          <w:lang w:val="zh-CN"/>
        </w:rPr>
      </w:pPr>
    </w:p>
    <w:p w14:paraId="1729BB1B">
      <w:pPr>
        <w:widowControl w:val="0"/>
        <w:snapToGrid w:val="0"/>
        <w:spacing w:line="360" w:lineRule="auto"/>
        <w:textAlignment w:val="top"/>
        <w:rPr>
          <w:color w:val="auto"/>
          <w:sz w:val="24"/>
          <w:szCs w:val="24"/>
          <w:highlight w:val="none"/>
        </w:rPr>
      </w:pPr>
      <w:r>
        <w:rPr>
          <w:rFonts w:hint="eastAsia"/>
          <w:color w:val="auto"/>
          <w:sz w:val="24"/>
          <w:szCs w:val="24"/>
          <w:highlight w:val="none"/>
        </w:rPr>
        <w:t>投标人（电子签章）：</w:t>
      </w:r>
    </w:p>
    <w:p w14:paraId="51A5BEE0">
      <w:pPr>
        <w:widowControl w:val="0"/>
        <w:snapToGrid w:val="0"/>
        <w:spacing w:line="360" w:lineRule="auto"/>
        <w:textAlignment w:val="top"/>
        <w:rPr>
          <w:color w:val="auto"/>
          <w:sz w:val="24"/>
          <w:szCs w:val="24"/>
          <w:highlight w:val="none"/>
        </w:rPr>
      </w:pPr>
      <w:r>
        <w:rPr>
          <w:rFonts w:hint="eastAsia"/>
          <w:color w:val="auto"/>
          <w:sz w:val="24"/>
          <w:szCs w:val="24"/>
          <w:highlight w:val="none"/>
        </w:rPr>
        <w:t>法定代表人（电子签名或签章）：</w:t>
      </w:r>
    </w:p>
    <w:p w14:paraId="39C12FD8">
      <w:pPr>
        <w:widowControl w:val="0"/>
        <w:snapToGrid w:val="0"/>
        <w:spacing w:line="360" w:lineRule="auto"/>
        <w:textAlignment w:val="top"/>
        <w:rPr>
          <w:color w:val="auto"/>
          <w:sz w:val="24"/>
          <w:szCs w:val="24"/>
          <w:highlight w:val="none"/>
        </w:rPr>
      </w:pPr>
      <w:r>
        <w:rPr>
          <w:rFonts w:hint="eastAsia"/>
          <w:color w:val="auto"/>
          <w:sz w:val="24"/>
          <w:szCs w:val="24"/>
          <w:highlight w:val="none"/>
        </w:rPr>
        <w:t>日期：</w:t>
      </w:r>
      <w:r>
        <w:rPr>
          <w:color w:val="auto"/>
          <w:sz w:val="24"/>
          <w:szCs w:val="24"/>
          <w:highlight w:val="none"/>
        </w:rPr>
        <w:t xml:space="preserve">  </w:t>
      </w:r>
      <w:r>
        <w:rPr>
          <w:rFonts w:hint="eastAsia"/>
          <w:color w:val="auto"/>
          <w:sz w:val="24"/>
          <w:szCs w:val="24"/>
          <w:highlight w:val="none"/>
        </w:rPr>
        <w:t>年</w:t>
      </w:r>
      <w:r>
        <w:rPr>
          <w:color w:val="auto"/>
          <w:sz w:val="24"/>
          <w:szCs w:val="24"/>
          <w:highlight w:val="none"/>
        </w:rPr>
        <w:t xml:space="preserve">   </w:t>
      </w:r>
      <w:r>
        <w:rPr>
          <w:rFonts w:hint="eastAsia"/>
          <w:color w:val="auto"/>
          <w:sz w:val="24"/>
          <w:szCs w:val="24"/>
          <w:highlight w:val="none"/>
        </w:rPr>
        <w:t>月</w:t>
      </w:r>
      <w:r>
        <w:rPr>
          <w:color w:val="auto"/>
          <w:sz w:val="24"/>
          <w:szCs w:val="24"/>
          <w:highlight w:val="none"/>
        </w:rPr>
        <w:t xml:space="preserve">   </w:t>
      </w:r>
      <w:r>
        <w:rPr>
          <w:rFonts w:hint="eastAsia"/>
          <w:color w:val="auto"/>
          <w:sz w:val="24"/>
          <w:szCs w:val="24"/>
          <w:highlight w:val="none"/>
        </w:rPr>
        <w:t>日</w:t>
      </w:r>
      <w:r>
        <w:rPr>
          <w:rFonts w:ascii="宋体" w:hAnsi="宋体"/>
          <w:b/>
          <w:color w:val="auto"/>
          <w:sz w:val="32"/>
          <w:szCs w:val="32"/>
          <w:highlight w:val="none"/>
        </w:rPr>
        <w:br w:type="page"/>
      </w:r>
    </w:p>
    <w:p w14:paraId="02103AAC">
      <w:pPr>
        <w:snapToGrid w:val="0"/>
        <w:spacing w:line="560" w:lineRule="atLeast"/>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1</w:t>
      </w:r>
      <w:r>
        <w:rPr>
          <w:rFonts w:ascii="黑体" w:hAnsi="黑体" w:eastAsia="黑体"/>
          <w:b/>
          <w:color w:val="auto"/>
          <w:sz w:val="30"/>
          <w:szCs w:val="30"/>
          <w:highlight w:val="none"/>
        </w:rPr>
        <w:t>5</w:t>
      </w:r>
      <w:r>
        <w:rPr>
          <w:rFonts w:hint="eastAsia" w:ascii="黑体" w:hAnsi="黑体" w:eastAsia="黑体"/>
          <w:b/>
          <w:color w:val="auto"/>
          <w:sz w:val="30"/>
          <w:szCs w:val="30"/>
          <w:highlight w:val="none"/>
        </w:rPr>
        <w:t>-4、其他资格证明材料</w:t>
      </w:r>
    </w:p>
    <w:p w14:paraId="4F99A78C">
      <w:pPr>
        <w:snapToGrid w:val="0"/>
        <w:spacing w:line="560" w:lineRule="atLeast"/>
        <w:ind w:firstLine="480" w:firstLineChars="200"/>
        <w:rPr>
          <w:rFonts w:ascii="宋体" w:hAnsi="宋体"/>
          <w:b/>
          <w:color w:val="auto"/>
          <w:sz w:val="24"/>
          <w:szCs w:val="24"/>
          <w:highlight w:val="none"/>
        </w:rPr>
      </w:pPr>
      <w:r>
        <w:rPr>
          <w:rFonts w:hint="eastAsia" w:ascii="宋体" w:hAnsi="宋体"/>
          <w:color w:val="auto"/>
          <w:sz w:val="24"/>
          <w:szCs w:val="24"/>
          <w:highlight w:val="none"/>
        </w:rPr>
        <w:t>按招标文件要求提供的其他资格证明材料或供应商认为有必要提供的其他证明材料。（按招标文件要求</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w:t>
      </w:r>
    </w:p>
    <w:p w14:paraId="0B6FA3AC">
      <w:pPr>
        <w:tabs>
          <w:tab w:val="left" w:pos="9365"/>
        </w:tabs>
        <w:spacing w:before="360" w:after="360" w:line="586" w:lineRule="atLeast"/>
        <w:ind w:right="85" w:firstLine="600" w:firstLineChars="250"/>
        <w:jc w:val="left"/>
        <w:textAlignment w:val="top"/>
        <w:rPr>
          <w:rFonts w:ascii="宋体" w:hAnsi="宋体"/>
          <w:color w:val="auto"/>
          <w:sz w:val="24"/>
          <w:szCs w:val="24"/>
          <w:highlight w:val="none"/>
        </w:rPr>
      </w:pPr>
    </w:p>
    <w:p w14:paraId="46AF8F3B">
      <w:pPr>
        <w:snapToGrid w:val="0"/>
        <w:spacing w:before="240" w:after="240" w:line="540" w:lineRule="exact"/>
        <w:ind w:right="85"/>
        <w:jc w:val="left"/>
        <w:textAlignment w:val="top"/>
        <w:rPr>
          <w:rFonts w:ascii="宋体" w:hAnsi="宋体"/>
          <w:color w:val="auto"/>
          <w:sz w:val="24"/>
          <w:szCs w:val="24"/>
          <w:highlight w:val="none"/>
        </w:rPr>
      </w:pPr>
    </w:p>
    <w:p w14:paraId="15926237">
      <w:pPr>
        <w:snapToGrid w:val="0"/>
        <w:spacing w:line="560" w:lineRule="atLeast"/>
        <w:jc w:val="center"/>
        <w:rPr>
          <w:rFonts w:ascii="宋体" w:hAnsi="宋体"/>
          <w:b/>
          <w:color w:val="auto"/>
          <w:sz w:val="32"/>
          <w:szCs w:val="32"/>
          <w:highlight w:val="none"/>
        </w:rPr>
      </w:pPr>
    </w:p>
    <w:p w14:paraId="7F88DC2B">
      <w:pPr>
        <w:widowControl w:val="0"/>
        <w:snapToGrid w:val="0"/>
        <w:spacing w:line="560" w:lineRule="exact"/>
        <w:jc w:val="center"/>
        <w:rPr>
          <w:rFonts w:eastAsia="方正黑体简体"/>
          <w:b/>
          <w:color w:val="auto"/>
          <w:sz w:val="30"/>
          <w:szCs w:val="30"/>
          <w:highlight w:val="none"/>
        </w:rPr>
      </w:pPr>
    </w:p>
    <w:p w14:paraId="2AB5E5C7">
      <w:pPr>
        <w:widowControl w:val="0"/>
        <w:snapToGrid w:val="0"/>
        <w:spacing w:line="560" w:lineRule="exact"/>
        <w:rPr>
          <w:rFonts w:eastAsia="方正黑体简体"/>
          <w:b/>
          <w:color w:val="auto"/>
          <w:sz w:val="30"/>
          <w:szCs w:val="30"/>
          <w:highlight w:val="none"/>
        </w:rPr>
      </w:pPr>
    </w:p>
    <w:p w14:paraId="520EF563">
      <w:pPr>
        <w:widowControl w:val="0"/>
        <w:snapToGrid w:val="0"/>
        <w:spacing w:line="560" w:lineRule="exact"/>
        <w:rPr>
          <w:rFonts w:eastAsia="方正黑体简体"/>
          <w:b/>
          <w:color w:val="auto"/>
          <w:sz w:val="30"/>
          <w:szCs w:val="30"/>
          <w:highlight w:val="none"/>
        </w:rPr>
      </w:pPr>
      <w:r>
        <w:rPr>
          <w:rFonts w:eastAsia="方正黑体简体"/>
          <w:b/>
          <w:color w:val="auto"/>
          <w:sz w:val="30"/>
          <w:szCs w:val="30"/>
          <w:highlight w:val="none"/>
        </w:rPr>
        <w:br w:type="page"/>
      </w:r>
    </w:p>
    <w:p w14:paraId="58ED1D17">
      <w:pPr>
        <w:autoSpaceDE w:val="0"/>
        <w:autoSpaceDN w:val="0"/>
        <w:adjustRightInd w:val="0"/>
        <w:spacing w:line="360" w:lineRule="auto"/>
        <w:jc w:val="center"/>
        <w:outlineLvl w:val="0"/>
        <w:rPr>
          <w:rFonts w:ascii="黑体" w:hAnsi="黑体" w:eastAsia="黑体"/>
          <w:b/>
          <w:color w:val="auto"/>
          <w:sz w:val="36"/>
          <w:szCs w:val="36"/>
          <w:highlight w:val="none"/>
          <w:lang w:val="zh-CN"/>
        </w:rPr>
      </w:pPr>
      <w:bookmarkStart w:id="70" w:name="_Toc4950"/>
      <w:r>
        <w:rPr>
          <w:rFonts w:hint="eastAsia" w:ascii="黑体" w:hAnsi="黑体" w:eastAsia="黑体"/>
          <w:b/>
          <w:color w:val="auto"/>
          <w:sz w:val="36"/>
          <w:szCs w:val="36"/>
          <w:highlight w:val="none"/>
          <w:lang w:val="zh-CN"/>
        </w:rPr>
        <w:t>第六章</w:t>
      </w:r>
      <w:r>
        <w:rPr>
          <w:rFonts w:ascii="黑体" w:hAnsi="黑体" w:eastAsia="黑体"/>
          <w:b/>
          <w:color w:val="auto"/>
          <w:sz w:val="36"/>
          <w:szCs w:val="36"/>
          <w:highlight w:val="none"/>
          <w:lang w:val="zh-CN"/>
        </w:rPr>
        <w:t xml:space="preserve">  </w:t>
      </w:r>
      <w:r>
        <w:rPr>
          <w:rFonts w:hint="eastAsia" w:ascii="黑体" w:hAnsi="黑体" w:eastAsia="黑体"/>
          <w:b/>
          <w:color w:val="auto"/>
          <w:sz w:val="36"/>
          <w:szCs w:val="36"/>
          <w:highlight w:val="none"/>
          <w:lang w:val="zh-CN"/>
        </w:rPr>
        <w:t>投标文件格式</w:t>
      </w:r>
      <w:bookmarkEnd w:id="70"/>
    </w:p>
    <w:p w14:paraId="2914F449">
      <w:pPr>
        <w:autoSpaceDE w:val="0"/>
        <w:autoSpaceDN w:val="0"/>
        <w:adjustRightInd w:val="0"/>
        <w:spacing w:line="276" w:lineRule="auto"/>
        <w:ind w:firstLine="514" w:firstLineChars="245"/>
        <w:jc w:val="left"/>
        <w:rPr>
          <w:rFonts w:ascii="宋体"/>
          <w:color w:val="auto"/>
          <w:sz w:val="36"/>
          <w:szCs w:val="36"/>
          <w:highlight w:val="none"/>
          <w:lang w:val="zh-CN"/>
        </w:rPr>
      </w:pPr>
      <w:r>
        <w:rPr>
          <w:rFonts w:hint="eastAsia" w:ascii="宋体" w:hAnsi="宋体"/>
          <w:color w:val="auto"/>
          <w:szCs w:val="21"/>
          <w:highlight w:val="none"/>
          <w:lang w:val="zh-CN"/>
        </w:rPr>
        <w:t>投标人应按“投标人须知</w:t>
      </w:r>
      <w:r>
        <w:rPr>
          <w:rFonts w:ascii="宋体"/>
          <w:color w:val="auto"/>
          <w:szCs w:val="21"/>
          <w:highlight w:val="none"/>
          <w:lang w:val="zh-CN"/>
        </w:rPr>
        <w:t>--</w:t>
      </w:r>
      <w:r>
        <w:rPr>
          <w:rFonts w:hint="eastAsia" w:ascii="宋体" w:hAnsi="宋体"/>
          <w:color w:val="auto"/>
          <w:szCs w:val="21"/>
          <w:highlight w:val="none"/>
          <w:lang w:val="zh-CN"/>
        </w:rPr>
        <w:t>投标文件的组成”列示内容编制投标文件，本章“投标文件格式”仅为对投标文件部分内容的格式化规范，并非投标文件所应具备的全部内容</w:t>
      </w:r>
      <w:r>
        <w:rPr>
          <w:rFonts w:hint="eastAsia" w:ascii="宋体" w:hAnsi="宋体"/>
          <w:color w:val="auto"/>
          <w:sz w:val="36"/>
          <w:szCs w:val="36"/>
          <w:highlight w:val="none"/>
          <w:lang w:val="zh-CN"/>
        </w:rPr>
        <w:t>。</w:t>
      </w:r>
    </w:p>
    <w:p w14:paraId="22004F41">
      <w:pPr>
        <w:spacing w:before="936" w:beforeLines="300" w:after="312" w:afterLines="100" w:line="360" w:lineRule="auto"/>
        <w:jc w:val="center"/>
        <w:rPr>
          <w:rFonts w:ascii="宋体" w:hAnsi="宋体"/>
          <w:b/>
          <w:bCs/>
          <w:color w:val="auto"/>
          <w:spacing w:val="100"/>
          <w:sz w:val="72"/>
          <w:szCs w:val="72"/>
          <w:highlight w:val="none"/>
        </w:rPr>
      </w:pPr>
      <w:r>
        <w:rPr>
          <w:rFonts w:hint="eastAsia" w:ascii="宋体" w:hAnsi="宋体"/>
          <w:b/>
          <w:bCs/>
          <w:color w:val="auto"/>
          <w:spacing w:val="100"/>
          <w:sz w:val="36"/>
          <w:szCs w:val="36"/>
          <w:highlight w:val="none"/>
          <w:u w:val="single"/>
        </w:rPr>
        <w:t xml:space="preserve">             </w:t>
      </w:r>
      <w:r>
        <w:rPr>
          <w:rFonts w:ascii="宋体" w:hAnsi="宋体"/>
          <w:b/>
          <w:bCs/>
          <w:color w:val="auto"/>
          <w:spacing w:val="100"/>
          <w:sz w:val="36"/>
          <w:szCs w:val="36"/>
          <w:highlight w:val="none"/>
          <w:u w:val="single"/>
        </w:rPr>
        <w:t xml:space="preserve">   </w:t>
      </w:r>
      <w:r>
        <w:rPr>
          <w:rFonts w:hint="eastAsia" w:ascii="宋体" w:hAnsi="宋体"/>
          <w:b/>
          <w:bCs/>
          <w:color w:val="auto"/>
          <w:spacing w:val="100"/>
          <w:sz w:val="36"/>
          <w:szCs w:val="36"/>
          <w:highlight w:val="none"/>
          <w:u w:val="single"/>
        </w:rPr>
        <w:t xml:space="preserve"> </w:t>
      </w:r>
      <w:r>
        <w:rPr>
          <w:rFonts w:hint="eastAsia" w:ascii="黑体" w:hAnsi="黑体" w:eastAsia="黑体"/>
          <w:b/>
          <w:color w:val="auto"/>
          <w:spacing w:val="60"/>
          <w:sz w:val="72"/>
          <w:szCs w:val="72"/>
          <w:highlight w:val="none"/>
        </w:rPr>
        <w:t>项目</w:t>
      </w:r>
    </w:p>
    <w:p w14:paraId="501FF709">
      <w:pPr>
        <w:spacing w:before="936" w:beforeLines="300" w:after="312" w:afterLines="100" w:line="360" w:lineRule="auto"/>
        <w:ind w:firstLine="3339" w:firstLineChars="396"/>
        <w:rPr>
          <w:rFonts w:ascii="宋体" w:hAnsi="宋体"/>
          <w:b/>
          <w:bCs/>
          <w:color w:val="auto"/>
          <w:spacing w:val="100"/>
          <w:sz w:val="36"/>
          <w:szCs w:val="36"/>
          <w:highlight w:val="none"/>
        </w:rPr>
      </w:pPr>
      <w:r>
        <w:rPr>
          <w:rFonts w:hint="eastAsia" w:ascii="黑体" w:hAnsi="黑体" w:eastAsia="黑体"/>
          <w:b/>
          <w:color w:val="auto"/>
          <w:sz w:val="84"/>
          <w:szCs w:val="84"/>
          <w:highlight w:val="none"/>
        </w:rPr>
        <w:t>包</w:t>
      </w:r>
      <w:r>
        <w:rPr>
          <w:rFonts w:hint="eastAsia" w:ascii="黑体" w:hAnsi="黑体" w:eastAsia="黑体"/>
          <w:b/>
          <w:color w:val="auto"/>
          <w:sz w:val="84"/>
          <w:szCs w:val="84"/>
          <w:highlight w:val="none"/>
          <w:u w:val="single"/>
        </w:rPr>
        <w:t xml:space="preserve"> 2 </w:t>
      </w:r>
      <w:r>
        <w:rPr>
          <w:rFonts w:hint="eastAsia" w:ascii="黑体" w:hAnsi="黑体" w:eastAsia="黑体"/>
          <w:b/>
          <w:color w:val="auto"/>
          <w:sz w:val="84"/>
          <w:szCs w:val="84"/>
          <w:highlight w:val="none"/>
        </w:rPr>
        <w:t xml:space="preserve"> </w:t>
      </w:r>
    </w:p>
    <w:p w14:paraId="77A758BD">
      <w:pPr>
        <w:spacing w:after="624" w:afterLines="200" w:line="360" w:lineRule="auto"/>
        <w:ind w:left="3996" w:leftChars="299" w:hanging="3368" w:hangingChars="466"/>
        <w:jc w:val="center"/>
        <w:rPr>
          <w:rFonts w:ascii="黑体" w:hAnsi="黑体" w:eastAsia="黑体"/>
          <w:b/>
          <w:color w:val="auto"/>
          <w:spacing w:val="60"/>
          <w:sz w:val="96"/>
          <w:szCs w:val="96"/>
          <w:highlight w:val="none"/>
        </w:rPr>
      </w:pPr>
      <w:r>
        <w:rPr>
          <w:rFonts w:hint="eastAsia" w:ascii="黑体" w:hAnsi="黑体" w:eastAsia="黑体"/>
          <w:b/>
          <w:color w:val="auto"/>
          <w:sz w:val="72"/>
          <w:szCs w:val="72"/>
          <w:highlight w:val="none"/>
          <w:lang w:val="zh-CN"/>
        </w:rPr>
        <w:t>投标文件—符合性响应文件</w:t>
      </w:r>
    </w:p>
    <w:p w14:paraId="64C13247">
      <w:pPr>
        <w:spacing w:before="156" w:beforeLines="50" w:after="156" w:afterLines="50" w:line="360" w:lineRule="auto"/>
        <w:ind w:firstLine="1744" w:firstLineChars="545"/>
        <w:rPr>
          <w:rFonts w:ascii="宋体" w:hAnsi="宋体"/>
          <w:color w:val="auto"/>
          <w:sz w:val="32"/>
          <w:szCs w:val="32"/>
          <w:highlight w:val="none"/>
        </w:rPr>
      </w:pPr>
    </w:p>
    <w:p w14:paraId="27C4FB18">
      <w:pPr>
        <w:spacing w:before="156" w:beforeLines="50" w:after="156" w:afterLines="50" w:line="360" w:lineRule="auto"/>
        <w:ind w:firstLine="1744" w:firstLineChars="545"/>
        <w:rPr>
          <w:rFonts w:ascii="宋体" w:hAnsi="宋体"/>
          <w:b/>
          <w:color w:val="auto"/>
          <w:sz w:val="36"/>
          <w:szCs w:val="36"/>
          <w:highlight w:val="none"/>
        </w:rPr>
      </w:pPr>
      <w:r>
        <w:rPr>
          <w:rFonts w:hint="eastAsia" w:ascii="宋体" w:hAnsi="宋体"/>
          <w:color w:val="auto"/>
          <w:sz w:val="32"/>
          <w:szCs w:val="32"/>
          <w:highlight w:val="none"/>
        </w:rPr>
        <w:t>项目编号：</w:t>
      </w:r>
      <w:r>
        <w:rPr>
          <w:rFonts w:hint="eastAsia" w:ascii="宋体" w:hAnsi="宋体"/>
          <w:b/>
          <w:color w:val="auto"/>
          <w:sz w:val="36"/>
          <w:szCs w:val="36"/>
          <w:highlight w:val="none"/>
          <w:u w:val="single"/>
        </w:rPr>
        <w:t xml:space="preserve">                      </w:t>
      </w:r>
    </w:p>
    <w:p w14:paraId="22431DC7">
      <w:pPr>
        <w:spacing w:line="360" w:lineRule="auto"/>
        <w:rPr>
          <w:rFonts w:ascii="宋体" w:hAnsi="宋体"/>
          <w:b/>
          <w:color w:val="auto"/>
          <w:sz w:val="36"/>
          <w:szCs w:val="36"/>
          <w:highlight w:val="none"/>
        </w:rPr>
      </w:pPr>
    </w:p>
    <w:p w14:paraId="7950E3B7">
      <w:pPr>
        <w:pStyle w:val="58"/>
        <w:spacing w:before="468" w:beforeLines="150" w:after="468" w:afterLines="150" w:line="360" w:lineRule="auto"/>
        <w:jc w:val="both"/>
        <w:rPr>
          <w:rFonts w:hAnsi="宋体"/>
          <w:color w:val="auto"/>
          <w:sz w:val="28"/>
          <w:szCs w:val="28"/>
          <w:highlight w:val="none"/>
        </w:rPr>
      </w:pPr>
      <w:r>
        <w:rPr>
          <w:rFonts w:hint="eastAsia" w:hAnsi="宋体"/>
          <w:color w:val="auto"/>
          <w:sz w:val="28"/>
          <w:szCs w:val="28"/>
          <w:highlight w:val="none"/>
        </w:rPr>
        <w:t>投标人：</w:t>
      </w:r>
      <w:r>
        <w:rPr>
          <w:rFonts w:hint="eastAsia" w:hAnsi="宋体"/>
          <w:color w:val="auto"/>
          <w:sz w:val="28"/>
          <w:szCs w:val="28"/>
          <w:highlight w:val="none"/>
          <w:u w:val="single"/>
        </w:rPr>
        <w:t xml:space="preserve">                                    </w:t>
      </w:r>
      <w:r>
        <w:rPr>
          <w:rFonts w:hint="eastAsia" w:hAnsi="宋体"/>
          <w:color w:val="auto"/>
          <w:sz w:val="28"/>
          <w:szCs w:val="28"/>
          <w:highlight w:val="none"/>
        </w:rPr>
        <w:t>（加盖电子签章）</w:t>
      </w:r>
    </w:p>
    <w:p w14:paraId="21D531D8">
      <w:pPr>
        <w:pStyle w:val="58"/>
        <w:spacing w:before="468" w:beforeLines="150" w:after="468" w:afterLines="150" w:line="360" w:lineRule="auto"/>
        <w:jc w:val="both"/>
        <w:rPr>
          <w:rFonts w:hAnsi="宋体"/>
          <w:color w:val="auto"/>
          <w:sz w:val="28"/>
          <w:szCs w:val="28"/>
          <w:highlight w:val="none"/>
          <w:u w:val="single"/>
        </w:rPr>
      </w:pPr>
      <w:r>
        <w:rPr>
          <w:rFonts w:hint="eastAsia" w:hAnsi="宋体"/>
          <w:color w:val="auto"/>
          <w:sz w:val="28"/>
          <w:szCs w:val="28"/>
          <w:highlight w:val="none"/>
        </w:rPr>
        <w:t>法定代表人：</w:t>
      </w:r>
      <w:r>
        <w:rPr>
          <w:rFonts w:hAnsi="宋体"/>
          <w:color w:val="auto"/>
          <w:sz w:val="28"/>
          <w:szCs w:val="28"/>
          <w:highlight w:val="none"/>
          <w:u w:val="single"/>
        </w:rPr>
        <w:t xml:space="preserve">                       </w:t>
      </w:r>
      <w:r>
        <w:rPr>
          <w:rFonts w:hint="eastAsia" w:hAnsi="宋体"/>
          <w:color w:val="auto"/>
          <w:sz w:val="28"/>
          <w:szCs w:val="28"/>
          <w:highlight w:val="none"/>
          <w:u w:val="single"/>
        </w:rPr>
        <w:t xml:space="preserve">      </w:t>
      </w:r>
      <w:r>
        <w:rPr>
          <w:rFonts w:hAnsi="宋体"/>
          <w:color w:val="auto"/>
          <w:sz w:val="28"/>
          <w:szCs w:val="28"/>
          <w:highlight w:val="none"/>
          <w:u w:val="single"/>
        </w:rPr>
        <w:t xml:space="preserve">   </w:t>
      </w:r>
      <w:r>
        <w:rPr>
          <w:rFonts w:hint="eastAsia" w:hAnsi="宋体"/>
          <w:color w:val="auto"/>
          <w:sz w:val="28"/>
          <w:szCs w:val="28"/>
          <w:highlight w:val="none"/>
        </w:rPr>
        <w:t>（加盖电子签名或签章）</w:t>
      </w:r>
    </w:p>
    <w:p w14:paraId="6FD6DEEC">
      <w:pPr>
        <w:spacing w:before="468" w:beforeLines="150" w:after="468" w:afterLines="150" w:line="586" w:lineRule="atLeast"/>
        <w:rPr>
          <w:rFonts w:ascii="宋体" w:hAnsi="宋体"/>
          <w:color w:val="auto"/>
          <w:sz w:val="28"/>
          <w:szCs w:val="28"/>
          <w:highlight w:val="none"/>
        </w:rPr>
      </w:pPr>
      <w:r>
        <w:rPr>
          <w:rFonts w:hint="eastAsia" w:ascii="宋体" w:hAnsi="宋体"/>
          <w:color w:val="auto"/>
          <w:sz w:val="28"/>
          <w:szCs w:val="28"/>
          <w:highlight w:val="none"/>
        </w:rPr>
        <w:t>投标日期：</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年</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月</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日</w:t>
      </w:r>
    </w:p>
    <w:p w14:paraId="30C0F0E6">
      <w:pPr>
        <w:widowControl w:val="0"/>
        <w:snapToGrid w:val="0"/>
        <w:spacing w:line="560" w:lineRule="exact"/>
        <w:rPr>
          <w:rFonts w:eastAsia="方正黑体简体"/>
          <w:b/>
          <w:color w:val="auto"/>
          <w:sz w:val="30"/>
          <w:szCs w:val="30"/>
          <w:highlight w:val="none"/>
        </w:rPr>
      </w:pPr>
      <w:r>
        <w:rPr>
          <w:rFonts w:eastAsia="方正黑体简体"/>
          <w:b/>
          <w:color w:val="auto"/>
          <w:sz w:val="30"/>
          <w:szCs w:val="30"/>
          <w:highlight w:val="none"/>
        </w:rPr>
        <w:br w:type="page"/>
      </w:r>
    </w:p>
    <w:p w14:paraId="08587A46">
      <w:pPr>
        <w:spacing w:line="351" w:lineRule="atLeast"/>
        <w:rPr>
          <w:rFonts w:ascii="黑体" w:eastAsia="黑体"/>
          <w:b/>
          <w:color w:val="auto"/>
          <w:spacing w:val="60"/>
          <w:sz w:val="36"/>
          <w:szCs w:val="36"/>
          <w:highlight w:val="none"/>
        </w:rPr>
      </w:pPr>
    </w:p>
    <w:p w14:paraId="0E14C283">
      <w:pPr>
        <w:spacing w:line="351" w:lineRule="atLeast"/>
        <w:jc w:val="center"/>
        <w:rPr>
          <w:rFonts w:ascii="黑体" w:eastAsia="黑体"/>
          <w:b/>
          <w:color w:val="auto"/>
          <w:spacing w:val="60"/>
          <w:sz w:val="36"/>
          <w:szCs w:val="36"/>
          <w:highlight w:val="none"/>
        </w:rPr>
      </w:pPr>
      <w:r>
        <w:rPr>
          <w:rFonts w:hint="eastAsia" w:ascii="黑体" w:eastAsia="黑体"/>
          <w:b/>
          <w:color w:val="auto"/>
          <w:spacing w:val="60"/>
          <w:sz w:val="36"/>
          <w:szCs w:val="36"/>
          <w:highlight w:val="none"/>
        </w:rPr>
        <w:t>目录</w:t>
      </w:r>
    </w:p>
    <w:p w14:paraId="5480290E">
      <w:pPr>
        <w:snapToGrid w:val="0"/>
        <w:spacing w:line="560" w:lineRule="atLeast"/>
        <w:textAlignment w:val="top"/>
        <w:rPr>
          <w:rFonts w:ascii="宋体" w:hAnsi="宋体"/>
          <w:color w:val="auto"/>
          <w:sz w:val="24"/>
          <w:szCs w:val="24"/>
          <w:highlight w:val="none"/>
        </w:rPr>
      </w:pPr>
      <w:r>
        <w:rPr>
          <w:rFonts w:hint="eastAsia" w:ascii="宋体" w:hAnsi="宋体"/>
          <w:color w:val="auto"/>
          <w:sz w:val="24"/>
          <w:szCs w:val="24"/>
          <w:highlight w:val="none"/>
        </w:rPr>
        <w:t>1.投标书</w:t>
      </w:r>
    </w:p>
    <w:p w14:paraId="13A4D2FA">
      <w:pPr>
        <w:snapToGrid w:val="0"/>
        <w:spacing w:line="560" w:lineRule="atLeast"/>
        <w:textAlignment w:val="top"/>
        <w:rPr>
          <w:rFonts w:ascii="宋体" w:hAnsi="宋体"/>
          <w:color w:val="auto"/>
          <w:sz w:val="24"/>
          <w:szCs w:val="24"/>
          <w:highlight w:val="none"/>
        </w:rPr>
      </w:pPr>
      <w:r>
        <w:rPr>
          <w:rFonts w:hint="eastAsia" w:ascii="宋体" w:hAnsi="宋体"/>
          <w:color w:val="auto"/>
          <w:sz w:val="24"/>
          <w:szCs w:val="24"/>
          <w:highlight w:val="none"/>
        </w:rPr>
        <w:t>2. 开标一览表（即交易系统中报价一览表）</w:t>
      </w:r>
    </w:p>
    <w:p w14:paraId="194C823A">
      <w:pPr>
        <w:snapToGrid w:val="0"/>
        <w:spacing w:line="560" w:lineRule="atLeast"/>
        <w:textAlignment w:val="top"/>
        <w:rPr>
          <w:color w:val="auto"/>
          <w:sz w:val="24"/>
          <w:highlight w:val="none"/>
        </w:rPr>
      </w:pPr>
      <w:r>
        <w:rPr>
          <w:rFonts w:hint="eastAsia" w:ascii="宋体" w:hAnsi="宋体"/>
          <w:color w:val="auto"/>
          <w:sz w:val="24"/>
          <w:szCs w:val="24"/>
          <w:highlight w:val="none"/>
        </w:rPr>
        <w:t>3.</w:t>
      </w:r>
      <w:r>
        <w:rPr>
          <w:rFonts w:hint="eastAsia" w:ascii="宋体" w:hAnsi="宋体" w:cs="楷体_GB2312"/>
          <w:color w:val="auto"/>
          <w:sz w:val="24"/>
          <w:highlight w:val="none"/>
          <w:lang w:val="zh-CN"/>
        </w:rPr>
        <w:t xml:space="preserve"> 第一次</w:t>
      </w:r>
      <w:r>
        <w:rPr>
          <w:rFonts w:hint="eastAsia"/>
          <w:color w:val="auto"/>
          <w:sz w:val="24"/>
          <w:highlight w:val="none"/>
        </w:rPr>
        <w:t>报价明细表（或预算书）</w:t>
      </w:r>
    </w:p>
    <w:p w14:paraId="0D8E78FB">
      <w:pPr>
        <w:snapToGrid w:val="0"/>
        <w:spacing w:line="560" w:lineRule="atLeast"/>
        <w:textAlignment w:val="top"/>
        <w:rPr>
          <w:rFonts w:ascii="宋体" w:hAnsi="宋体"/>
          <w:color w:val="auto"/>
          <w:sz w:val="24"/>
          <w:szCs w:val="24"/>
          <w:highlight w:val="none"/>
        </w:rPr>
      </w:pPr>
      <w:r>
        <w:rPr>
          <w:rFonts w:hint="eastAsia" w:ascii="宋体" w:hAnsi="宋体"/>
          <w:color w:val="auto"/>
          <w:sz w:val="24"/>
          <w:szCs w:val="24"/>
          <w:highlight w:val="none"/>
        </w:rPr>
        <w:t>4. 施工方案</w:t>
      </w:r>
    </w:p>
    <w:p w14:paraId="66F94FCE">
      <w:pPr>
        <w:snapToGrid w:val="0"/>
        <w:spacing w:line="560" w:lineRule="atLeast"/>
        <w:textAlignment w:val="top"/>
        <w:rPr>
          <w:rFonts w:ascii="宋体" w:hAnsi="宋体"/>
          <w:color w:val="auto"/>
          <w:sz w:val="24"/>
          <w:szCs w:val="24"/>
          <w:highlight w:val="none"/>
        </w:rPr>
      </w:pPr>
      <w:r>
        <w:rPr>
          <w:rFonts w:hint="eastAsia" w:ascii="宋体" w:hAnsi="宋体"/>
          <w:color w:val="auto"/>
          <w:sz w:val="24"/>
          <w:szCs w:val="24"/>
          <w:highlight w:val="none"/>
        </w:rPr>
        <w:t>5. 工程质量保修书</w:t>
      </w:r>
    </w:p>
    <w:p w14:paraId="33EEEC62">
      <w:pPr>
        <w:snapToGrid w:val="0"/>
        <w:spacing w:line="560" w:lineRule="atLeast"/>
        <w:textAlignment w:val="top"/>
        <w:rPr>
          <w:rFonts w:ascii="宋体" w:hAnsi="宋体"/>
          <w:color w:val="auto"/>
          <w:sz w:val="24"/>
          <w:szCs w:val="24"/>
          <w:highlight w:val="none"/>
        </w:rPr>
      </w:pPr>
      <w:r>
        <w:rPr>
          <w:rFonts w:hint="eastAsia" w:ascii="宋体" w:hAnsi="宋体"/>
          <w:color w:val="auto"/>
          <w:sz w:val="24"/>
          <w:szCs w:val="24"/>
          <w:highlight w:val="none"/>
        </w:rPr>
        <w:t>6. 工程质量、安全、工期承诺书</w:t>
      </w:r>
    </w:p>
    <w:p w14:paraId="4B4F5F09">
      <w:pPr>
        <w:snapToGrid w:val="0"/>
        <w:spacing w:line="560" w:lineRule="atLeast"/>
        <w:textAlignment w:val="top"/>
        <w:rPr>
          <w:rFonts w:ascii="宋体" w:hAnsi="宋体"/>
          <w:color w:val="auto"/>
          <w:sz w:val="24"/>
          <w:szCs w:val="24"/>
          <w:highlight w:val="none"/>
        </w:rPr>
      </w:pPr>
      <w:r>
        <w:rPr>
          <w:rFonts w:hint="eastAsia" w:ascii="宋体" w:hAnsi="宋体"/>
          <w:color w:val="auto"/>
          <w:sz w:val="24"/>
          <w:szCs w:val="24"/>
          <w:highlight w:val="none"/>
        </w:rPr>
        <w:t>7. 偏差表</w:t>
      </w:r>
      <w:r>
        <w:rPr>
          <w:rFonts w:hint="eastAsia" w:ascii="宋体" w:hAnsi="宋体"/>
          <w:color w:val="auto"/>
          <w:sz w:val="24"/>
          <w:szCs w:val="24"/>
          <w:highlight w:val="none"/>
        </w:rPr>
        <w:tab/>
      </w:r>
    </w:p>
    <w:p w14:paraId="1DE87A97">
      <w:pPr>
        <w:snapToGrid w:val="0"/>
        <w:spacing w:line="560" w:lineRule="atLeast"/>
        <w:textAlignment w:val="top"/>
        <w:rPr>
          <w:rFonts w:ascii="宋体" w:hAnsi="宋体"/>
          <w:color w:val="auto"/>
          <w:sz w:val="24"/>
          <w:szCs w:val="24"/>
          <w:highlight w:val="none"/>
        </w:rPr>
      </w:pPr>
      <w:r>
        <w:rPr>
          <w:rFonts w:hint="eastAsia" w:ascii="宋体" w:hAnsi="宋体"/>
          <w:color w:val="auto"/>
          <w:sz w:val="24"/>
          <w:szCs w:val="24"/>
          <w:highlight w:val="none"/>
        </w:rPr>
        <w:t>8. 反商业贿赂承诺书。</w:t>
      </w:r>
    </w:p>
    <w:p w14:paraId="17DC95E9">
      <w:pPr>
        <w:snapToGrid w:val="0"/>
        <w:spacing w:line="560" w:lineRule="atLeast"/>
        <w:textAlignment w:val="top"/>
        <w:rPr>
          <w:rFonts w:ascii="宋体" w:hAnsi="宋体"/>
          <w:color w:val="auto"/>
          <w:sz w:val="24"/>
          <w:szCs w:val="24"/>
          <w:highlight w:val="none"/>
        </w:rPr>
      </w:pPr>
      <w:r>
        <w:rPr>
          <w:rFonts w:hint="eastAsia" w:ascii="宋体" w:hAnsi="宋体"/>
          <w:color w:val="auto"/>
          <w:sz w:val="24"/>
          <w:szCs w:val="24"/>
          <w:highlight w:val="none"/>
        </w:rPr>
        <w:t>9. 履约承诺书。</w:t>
      </w:r>
    </w:p>
    <w:p w14:paraId="44363D50">
      <w:pPr>
        <w:snapToGrid w:val="0"/>
        <w:spacing w:line="560" w:lineRule="atLeast"/>
        <w:textAlignment w:val="top"/>
        <w:rPr>
          <w:rFonts w:ascii="宋体" w:hAnsi="宋体"/>
          <w:color w:val="auto"/>
          <w:sz w:val="24"/>
          <w:szCs w:val="24"/>
          <w:highlight w:val="none"/>
        </w:rPr>
      </w:pPr>
      <w:r>
        <w:rPr>
          <w:rFonts w:hint="eastAsia" w:ascii="宋体" w:hAnsi="宋体"/>
          <w:color w:val="auto"/>
          <w:sz w:val="24"/>
          <w:szCs w:val="24"/>
          <w:highlight w:val="none"/>
        </w:rPr>
        <w:t>10.采购项目及技术服务要求所需的其他材料（按条款需要）</w:t>
      </w:r>
    </w:p>
    <w:p w14:paraId="0BA5B29D">
      <w:pPr>
        <w:snapToGrid w:val="0"/>
        <w:spacing w:line="560" w:lineRule="atLeast"/>
        <w:textAlignment w:val="top"/>
        <w:rPr>
          <w:rFonts w:ascii="宋体" w:hAnsi="宋体"/>
          <w:color w:val="auto"/>
          <w:sz w:val="24"/>
          <w:szCs w:val="24"/>
          <w:highlight w:val="none"/>
        </w:rPr>
      </w:pPr>
      <w:r>
        <w:rPr>
          <w:rFonts w:hint="eastAsia" w:ascii="宋体" w:hAnsi="宋体"/>
          <w:color w:val="auto"/>
          <w:sz w:val="24"/>
          <w:szCs w:val="24"/>
          <w:highlight w:val="none"/>
        </w:rPr>
        <w:t>11.投标人须知所需的其他材料（按条款需要）</w:t>
      </w:r>
    </w:p>
    <w:p w14:paraId="7D6C56A2">
      <w:pPr>
        <w:snapToGrid w:val="0"/>
        <w:spacing w:line="560" w:lineRule="atLeast"/>
        <w:textAlignment w:val="top"/>
        <w:rPr>
          <w:rFonts w:ascii="宋体" w:hAnsi="宋体"/>
          <w:color w:val="auto"/>
          <w:sz w:val="24"/>
          <w:szCs w:val="24"/>
          <w:highlight w:val="none"/>
        </w:rPr>
      </w:pPr>
      <w:r>
        <w:rPr>
          <w:rFonts w:hint="eastAsia" w:ascii="宋体" w:hAnsi="宋体"/>
          <w:color w:val="auto"/>
          <w:sz w:val="24"/>
          <w:szCs w:val="24"/>
          <w:highlight w:val="none"/>
        </w:rPr>
        <w:t>12.评审办法所需的其他材料（按条款需要）</w:t>
      </w:r>
    </w:p>
    <w:p w14:paraId="6D7F4C2A">
      <w:pPr>
        <w:snapToGrid w:val="0"/>
        <w:spacing w:line="560" w:lineRule="atLeast"/>
        <w:textAlignment w:val="top"/>
        <w:rPr>
          <w:rFonts w:ascii="宋体" w:hAnsi="宋体"/>
          <w:color w:val="auto"/>
          <w:sz w:val="24"/>
          <w:szCs w:val="24"/>
          <w:highlight w:val="none"/>
        </w:rPr>
      </w:pPr>
      <w:r>
        <w:rPr>
          <w:rFonts w:hint="eastAsia" w:ascii="宋体" w:hAnsi="宋体"/>
          <w:color w:val="auto"/>
          <w:sz w:val="24"/>
          <w:szCs w:val="24"/>
          <w:highlight w:val="none"/>
        </w:rPr>
        <w:t>12-1. 附件：</w:t>
      </w:r>
      <w:r>
        <w:rPr>
          <w:rFonts w:hint="eastAsia" w:asciiTheme="minorEastAsia" w:hAnsiTheme="minorEastAsia" w:eastAsiaTheme="minorEastAsia" w:cstheme="minorEastAsia"/>
          <w:color w:val="auto"/>
          <w:sz w:val="24"/>
          <w:szCs w:val="24"/>
          <w:highlight w:val="none"/>
        </w:rPr>
        <w:t>证明材料查询核验工作的清单及要求</w:t>
      </w:r>
    </w:p>
    <w:p w14:paraId="765CFB6F">
      <w:pPr>
        <w:snapToGrid w:val="0"/>
        <w:spacing w:line="560" w:lineRule="atLeast"/>
        <w:textAlignment w:val="top"/>
        <w:rPr>
          <w:rFonts w:ascii="宋体" w:hAnsi="宋体"/>
          <w:color w:val="auto"/>
          <w:sz w:val="24"/>
          <w:szCs w:val="24"/>
          <w:highlight w:val="none"/>
        </w:rPr>
      </w:pPr>
      <w:r>
        <w:rPr>
          <w:rFonts w:hint="eastAsia" w:ascii="宋体" w:hAnsi="宋体"/>
          <w:color w:val="auto"/>
          <w:sz w:val="24"/>
          <w:szCs w:val="24"/>
          <w:highlight w:val="none"/>
        </w:rPr>
        <w:t>12-2.</w:t>
      </w:r>
      <w:r>
        <w:rPr>
          <w:rFonts w:ascii="宋体" w:hAnsi="宋体"/>
          <w:color w:val="auto"/>
          <w:sz w:val="24"/>
          <w:szCs w:val="24"/>
          <w:highlight w:val="none"/>
        </w:rPr>
        <w:t xml:space="preserve"> </w:t>
      </w:r>
      <w:r>
        <w:rPr>
          <w:rFonts w:hint="eastAsia" w:ascii="宋体" w:hAnsi="宋体"/>
          <w:color w:val="auto"/>
          <w:sz w:val="24"/>
          <w:szCs w:val="24"/>
          <w:highlight w:val="none"/>
        </w:rPr>
        <w:t>其它材料</w:t>
      </w:r>
    </w:p>
    <w:p w14:paraId="765DF7ED">
      <w:pPr>
        <w:snapToGrid w:val="0"/>
        <w:spacing w:line="560" w:lineRule="atLeast"/>
        <w:textAlignment w:val="top"/>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3</w:t>
      </w:r>
      <w:r>
        <w:rPr>
          <w:rFonts w:hint="eastAsia" w:ascii="宋体" w:hAnsi="宋体"/>
          <w:color w:val="auto"/>
          <w:sz w:val="24"/>
          <w:szCs w:val="24"/>
          <w:highlight w:val="none"/>
        </w:rPr>
        <w:t>.投标人认为有必要提交的其它材料</w:t>
      </w:r>
    </w:p>
    <w:p w14:paraId="155EFF43">
      <w:pPr>
        <w:snapToGrid w:val="0"/>
        <w:spacing w:line="560" w:lineRule="atLeast"/>
        <w:textAlignment w:val="top"/>
        <w:rPr>
          <w:rFonts w:ascii="宋体" w:hAnsi="宋体"/>
          <w:color w:val="auto"/>
          <w:sz w:val="24"/>
          <w:szCs w:val="24"/>
          <w:highlight w:val="none"/>
        </w:rPr>
      </w:pPr>
      <w:r>
        <w:rPr>
          <w:rFonts w:hint="eastAsia" w:ascii="宋体" w:hAnsi="宋体"/>
          <w:color w:val="auto"/>
          <w:sz w:val="24"/>
          <w:szCs w:val="24"/>
          <w:highlight w:val="none"/>
        </w:rPr>
        <w:t>13</w:t>
      </w:r>
      <w:r>
        <w:rPr>
          <w:rFonts w:hint="eastAsia" w:asciiTheme="minorEastAsia" w:hAnsiTheme="minorEastAsia" w:eastAsiaTheme="minorEastAsia"/>
          <w:color w:val="auto"/>
          <w:sz w:val="24"/>
          <w:szCs w:val="24"/>
          <w:highlight w:val="none"/>
        </w:rPr>
        <w:t>-</w:t>
      </w:r>
      <w:r>
        <w:rPr>
          <w:rFonts w:hint="eastAsia" w:ascii="宋体" w:hAnsi="宋体"/>
          <w:color w:val="auto"/>
          <w:sz w:val="24"/>
          <w:szCs w:val="24"/>
          <w:highlight w:val="none"/>
        </w:rPr>
        <w:t>1.中小企业声明函(如有)、残疾人福利性单位声明函（如符合条件时填写*）</w:t>
      </w:r>
    </w:p>
    <w:p w14:paraId="221133F7">
      <w:pPr>
        <w:widowControl w:val="0"/>
        <w:snapToGrid w:val="0"/>
        <w:spacing w:line="560" w:lineRule="exact"/>
        <w:rPr>
          <w:rFonts w:ascii="宋体" w:hAnsi="宋体"/>
          <w:color w:val="auto"/>
          <w:sz w:val="24"/>
          <w:szCs w:val="24"/>
          <w:highlight w:val="none"/>
        </w:rPr>
      </w:pPr>
      <w:r>
        <w:rPr>
          <w:rFonts w:hint="eastAsia" w:ascii="宋体" w:hAnsi="宋体"/>
          <w:color w:val="auto"/>
          <w:sz w:val="24"/>
          <w:szCs w:val="24"/>
          <w:highlight w:val="none"/>
        </w:rPr>
        <w:t>13</w:t>
      </w:r>
      <w:r>
        <w:rPr>
          <w:rFonts w:hint="eastAsia" w:asciiTheme="minorEastAsia" w:hAnsiTheme="minorEastAsia" w:eastAsiaTheme="minorEastAsia"/>
          <w:color w:val="auto"/>
          <w:sz w:val="24"/>
          <w:szCs w:val="24"/>
          <w:highlight w:val="none"/>
        </w:rPr>
        <w:t>-</w:t>
      </w:r>
      <w:r>
        <w:rPr>
          <w:rFonts w:hint="eastAsia" w:ascii="宋体" w:hAnsi="宋体"/>
          <w:color w:val="auto"/>
          <w:sz w:val="24"/>
          <w:szCs w:val="24"/>
          <w:highlight w:val="none"/>
        </w:rPr>
        <w:t>2.其它材料</w:t>
      </w:r>
    </w:p>
    <w:p w14:paraId="4A8FF78D">
      <w:pPr>
        <w:spacing w:line="351" w:lineRule="atLeast"/>
        <w:ind w:left="419"/>
        <w:jc w:val="center"/>
        <w:rPr>
          <w:rFonts w:ascii="黑体" w:eastAsia="黑体"/>
          <w:b/>
          <w:color w:val="auto"/>
          <w:spacing w:val="60"/>
          <w:sz w:val="36"/>
          <w:szCs w:val="36"/>
          <w:highlight w:val="none"/>
        </w:rPr>
      </w:pPr>
      <w:r>
        <w:rPr>
          <w:rFonts w:ascii="黑体" w:eastAsia="黑体"/>
          <w:b/>
          <w:color w:val="auto"/>
          <w:spacing w:val="60"/>
          <w:sz w:val="36"/>
          <w:szCs w:val="36"/>
          <w:highlight w:val="none"/>
        </w:rPr>
        <w:br w:type="page"/>
      </w:r>
    </w:p>
    <w:p w14:paraId="3E12739E">
      <w:pPr>
        <w:spacing w:line="351" w:lineRule="atLeast"/>
        <w:ind w:left="419"/>
        <w:jc w:val="center"/>
        <w:rPr>
          <w:rFonts w:ascii="黑体" w:eastAsia="黑体"/>
          <w:b/>
          <w:color w:val="auto"/>
          <w:spacing w:val="60"/>
          <w:sz w:val="36"/>
          <w:szCs w:val="36"/>
          <w:highlight w:val="none"/>
        </w:rPr>
      </w:pPr>
      <w:r>
        <w:rPr>
          <w:rFonts w:hint="eastAsia" w:ascii="黑体" w:eastAsia="黑体"/>
          <w:b/>
          <w:color w:val="auto"/>
          <w:spacing w:val="60"/>
          <w:sz w:val="36"/>
          <w:szCs w:val="36"/>
          <w:highlight w:val="none"/>
        </w:rPr>
        <w:t>一、投标书</w:t>
      </w:r>
    </w:p>
    <w:p w14:paraId="364FD978">
      <w:pPr>
        <w:widowControl w:val="0"/>
        <w:snapToGrid w:val="0"/>
        <w:spacing w:line="560" w:lineRule="exact"/>
        <w:rPr>
          <w:color w:val="auto"/>
          <w:sz w:val="28"/>
          <w:highlight w:val="none"/>
        </w:rPr>
      </w:pPr>
    </w:p>
    <w:p w14:paraId="393241F3">
      <w:pPr>
        <w:widowControl w:val="0"/>
        <w:snapToGrid w:val="0"/>
        <w:spacing w:line="360" w:lineRule="auto"/>
        <w:rPr>
          <w:color w:val="auto"/>
          <w:sz w:val="24"/>
          <w:szCs w:val="24"/>
          <w:highlight w:val="none"/>
        </w:rPr>
      </w:pPr>
      <w:r>
        <w:rPr>
          <w:rFonts w:hint="eastAsia"/>
          <w:color w:val="auto"/>
          <w:sz w:val="24"/>
          <w:szCs w:val="24"/>
          <w:highlight w:val="none"/>
        </w:rPr>
        <w:t>致：安阳市方正招标采购服务有限责任公司</w:t>
      </w:r>
    </w:p>
    <w:p w14:paraId="21011586">
      <w:pPr>
        <w:widowControl w:val="0"/>
        <w:snapToGrid w:val="0"/>
        <w:spacing w:line="360" w:lineRule="auto"/>
        <w:ind w:firstLine="578"/>
        <w:textAlignment w:val="top"/>
        <w:rPr>
          <w:color w:val="auto"/>
          <w:sz w:val="24"/>
          <w:szCs w:val="24"/>
          <w:highlight w:val="none"/>
        </w:rPr>
      </w:pPr>
      <w:r>
        <w:rPr>
          <w:rFonts w:hint="eastAsia"/>
          <w:color w:val="auto"/>
          <w:sz w:val="24"/>
          <w:szCs w:val="24"/>
          <w:highlight w:val="none"/>
        </w:rPr>
        <w:t>根据贵方公开招标</w:t>
      </w:r>
      <w:r>
        <w:rPr>
          <w:rFonts w:hint="eastAsia"/>
          <w:color w:val="auto"/>
          <w:sz w:val="18"/>
          <w:szCs w:val="18"/>
          <w:highlight w:val="none"/>
          <w:u w:val="single"/>
        </w:rPr>
        <w:t>（项目名称）</w:t>
      </w:r>
      <w:r>
        <w:rPr>
          <w:color w:val="auto"/>
          <w:sz w:val="18"/>
          <w:szCs w:val="18"/>
          <w:highlight w:val="none"/>
          <w:u w:val="single"/>
        </w:rPr>
        <w:t xml:space="preserve">               </w:t>
      </w:r>
      <w:r>
        <w:rPr>
          <w:rFonts w:hint="eastAsia"/>
          <w:color w:val="auto"/>
          <w:sz w:val="24"/>
          <w:szCs w:val="24"/>
          <w:highlight w:val="none"/>
        </w:rPr>
        <w:t>的《招标文件》（项目编号：</w:t>
      </w:r>
      <w:r>
        <w:rPr>
          <w:color w:val="auto"/>
          <w:sz w:val="24"/>
          <w:szCs w:val="24"/>
          <w:highlight w:val="none"/>
          <w:u w:val="single"/>
        </w:rPr>
        <w:t xml:space="preserve">         </w:t>
      </w:r>
      <w:r>
        <w:rPr>
          <w:rFonts w:hint="eastAsia"/>
          <w:color w:val="auto"/>
          <w:sz w:val="24"/>
          <w:szCs w:val="24"/>
          <w:highlight w:val="none"/>
        </w:rPr>
        <w:t>），经详细研究，我们决定参加该项目的采购活动并按要求提交《投标文件》。我们郑重声明对我单位提交的所有投标资料的真实准确完整承担完全责任、并对之负法律责任。</w:t>
      </w:r>
    </w:p>
    <w:p w14:paraId="69D7AF43">
      <w:pPr>
        <w:adjustRightInd w:val="0"/>
        <w:snapToGrid w:val="0"/>
        <w:spacing w:before="156" w:beforeLines="50" w:line="300" w:lineRule="auto"/>
        <w:ind w:firstLine="539"/>
        <w:textAlignment w:val="top"/>
        <w:rPr>
          <w:rFonts w:ascii="黑体" w:hAnsi="黑体" w:eastAsia="黑体"/>
          <w:b/>
          <w:color w:val="auto"/>
          <w:highlight w:val="none"/>
        </w:rPr>
      </w:pPr>
      <w:r>
        <w:rPr>
          <w:rFonts w:hint="eastAsia" w:ascii="黑体" w:hAnsi="黑体" w:eastAsia="黑体" w:cs="楷体_GB2312"/>
          <w:b/>
          <w:color w:val="auto"/>
          <w:sz w:val="24"/>
          <w:highlight w:val="none"/>
          <w:lang w:val="zh-CN"/>
        </w:rPr>
        <w:t>符</w:t>
      </w:r>
      <w:r>
        <w:rPr>
          <w:rFonts w:ascii="黑体" w:hAnsi="黑体" w:eastAsia="黑体" w:cs="楷体_GB2312"/>
          <w:b/>
          <w:color w:val="auto"/>
          <w:sz w:val="24"/>
          <w:highlight w:val="none"/>
          <w:lang w:val="zh-CN"/>
        </w:rPr>
        <w:t>合性</w:t>
      </w:r>
      <w:r>
        <w:rPr>
          <w:rFonts w:hint="eastAsia" w:ascii="黑体" w:hAnsi="黑体" w:eastAsia="黑体" w:cs="楷体_GB2312"/>
          <w:b/>
          <w:color w:val="auto"/>
          <w:sz w:val="24"/>
          <w:highlight w:val="none"/>
          <w:lang w:val="zh-CN"/>
        </w:rPr>
        <w:t>响应</w:t>
      </w:r>
      <w:r>
        <w:rPr>
          <w:rFonts w:ascii="黑体" w:hAnsi="黑体" w:eastAsia="黑体" w:cs="楷体_GB2312"/>
          <w:b/>
          <w:color w:val="auto"/>
          <w:sz w:val="24"/>
          <w:highlight w:val="none"/>
          <w:lang w:val="zh-CN"/>
        </w:rPr>
        <w:t>文件</w:t>
      </w:r>
    </w:p>
    <w:p w14:paraId="7F235ECB">
      <w:pPr>
        <w:adjustRightInd w:val="0"/>
        <w:snapToGrid w:val="0"/>
        <w:spacing w:line="300" w:lineRule="auto"/>
        <w:ind w:firstLine="539"/>
        <w:textAlignment w:val="top"/>
        <w:rPr>
          <w:color w:val="auto"/>
          <w:sz w:val="24"/>
          <w:highlight w:val="none"/>
        </w:rPr>
      </w:pPr>
      <w:r>
        <w:rPr>
          <w:rFonts w:hint="eastAsia"/>
          <w:color w:val="auto"/>
          <w:sz w:val="24"/>
          <w:highlight w:val="none"/>
        </w:rPr>
        <w:t>（</w:t>
      </w:r>
      <w:r>
        <w:rPr>
          <w:color w:val="auto"/>
          <w:sz w:val="24"/>
          <w:highlight w:val="none"/>
        </w:rPr>
        <w:t>1</w:t>
      </w:r>
      <w:r>
        <w:rPr>
          <w:rFonts w:hint="eastAsia"/>
          <w:color w:val="auto"/>
          <w:sz w:val="24"/>
          <w:highlight w:val="none"/>
        </w:rPr>
        <w:t>）投标书。</w:t>
      </w:r>
    </w:p>
    <w:p w14:paraId="58666CC1">
      <w:pPr>
        <w:adjustRightInd w:val="0"/>
        <w:snapToGrid w:val="0"/>
        <w:spacing w:line="300" w:lineRule="auto"/>
        <w:ind w:firstLine="539"/>
        <w:textAlignment w:val="top"/>
        <w:rPr>
          <w:rFonts w:ascii="宋体" w:hAnsi="宋体"/>
          <w:color w:val="auto"/>
          <w:sz w:val="24"/>
          <w:szCs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2</w:t>
      </w:r>
      <w:r>
        <w:rPr>
          <w:rFonts w:hint="eastAsia" w:ascii="宋体" w:hAnsi="宋体" w:cs="楷体_GB2312"/>
          <w:color w:val="auto"/>
          <w:sz w:val="24"/>
          <w:highlight w:val="none"/>
          <w:lang w:val="zh-CN"/>
        </w:rPr>
        <w:t>）</w:t>
      </w:r>
      <w:r>
        <w:rPr>
          <w:rFonts w:hint="eastAsia" w:ascii="宋体" w:hAnsi="宋体"/>
          <w:color w:val="auto"/>
          <w:sz w:val="24"/>
          <w:szCs w:val="24"/>
          <w:highlight w:val="none"/>
        </w:rPr>
        <w:t>开标一览表（即交易系统中报价一览表）</w:t>
      </w:r>
    </w:p>
    <w:p w14:paraId="52DC45DC">
      <w:pPr>
        <w:adjustRightInd w:val="0"/>
        <w:snapToGrid w:val="0"/>
        <w:spacing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3</w:t>
      </w:r>
      <w:r>
        <w:rPr>
          <w:rFonts w:hint="eastAsia" w:ascii="宋体" w:hAnsi="宋体" w:cs="楷体_GB2312"/>
          <w:color w:val="auto"/>
          <w:sz w:val="24"/>
          <w:highlight w:val="none"/>
          <w:lang w:val="zh-CN"/>
        </w:rPr>
        <w:t>）第一次</w:t>
      </w:r>
      <w:r>
        <w:rPr>
          <w:rFonts w:hint="eastAsia"/>
          <w:color w:val="auto"/>
          <w:sz w:val="24"/>
          <w:highlight w:val="none"/>
        </w:rPr>
        <w:t>报价明细表（或预算书）</w:t>
      </w:r>
    </w:p>
    <w:p w14:paraId="2AB5F88D">
      <w:pPr>
        <w:adjustRightInd w:val="0"/>
        <w:snapToGrid w:val="0"/>
        <w:spacing w:line="300" w:lineRule="auto"/>
        <w:ind w:firstLine="539"/>
        <w:textAlignment w:val="top"/>
        <w:rPr>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4</w:t>
      </w:r>
      <w:r>
        <w:rPr>
          <w:rFonts w:hint="eastAsia" w:ascii="宋体" w:hAnsi="宋体" w:cs="楷体_GB2312"/>
          <w:color w:val="auto"/>
          <w:sz w:val="24"/>
          <w:highlight w:val="none"/>
          <w:lang w:val="zh-CN"/>
        </w:rPr>
        <w:t>）</w:t>
      </w:r>
      <w:r>
        <w:rPr>
          <w:rFonts w:hint="eastAsia"/>
          <w:color w:val="auto"/>
          <w:sz w:val="24"/>
          <w:highlight w:val="none"/>
        </w:rPr>
        <w:t>施工方案</w:t>
      </w:r>
    </w:p>
    <w:p w14:paraId="3BA13B16">
      <w:pPr>
        <w:autoSpaceDE w:val="0"/>
        <w:autoSpaceDN w:val="0"/>
        <w:adjustRightInd w:val="0"/>
        <w:snapToGrid w:val="0"/>
        <w:spacing w:line="300" w:lineRule="auto"/>
        <w:ind w:firstLine="520" w:firstLineChars="217"/>
        <w:rPr>
          <w:rFonts w:ascii="宋体" w:hAnsi="宋体"/>
          <w:color w:val="auto"/>
          <w:sz w:val="24"/>
          <w:highlight w:val="none"/>
        </w:rPr>
      </w:pPr>
      <w:r>
        <w:rPr>
          <w:rFonts w:hint="eastAsia"/>
          <w:color w:val="auto"/>
          <w:sz w:val="24"/>
          <w:highlight w:val="none"/>
        </w:rPr>
        <w:t>（5）</w:t>
      </w:r>
      <w:r>
        <w:rPr>
          <w:rFonts w:hint="eastAsia" w:ascii="宋体" w:hAnsi="宋体"/>
          <w:color w:val="auto"/>
          <w:sz w:val="24"/>
          <w:highlight w:val="none"/>
        </w:rPr>
        <w:t>工程质量保修书</w:t>
      </w:r>
    </w:p>
    <w:p w14:paraId="79C2E783">
      <w:pPr>
        <w:autoSpaceDE w:val="0"/>
        <w:autoSpaceDN w:val="0"/>
        <w:adjustRightInd w:val="0"/>
        <w:snapToGrid w:val="0"/>
        <w:spacing w:line="300" w:lineRule="auto"/>
        <w:ind w:firstLine="520" w:firstLineChars="217"/>
        <w:rPr>
          <w:rFonts w:ascii="宋体" w:hAnsi="宋体"/>
          <w:color w:val="auto"/>
          <w:sz w:val="24"/>
          <w:highlight w:val="none"/>
        </w:rPr>
      </w:pPr>
      <w:r>
        <w:rPr>
          <w:rFonts w:hint="eastAsia"/>
          <w:color w:val="auto"/>
          <w:sz w:val="24"/>
          <w:highlight w:val="none"/>
        </w:rPr>
        <w:t>（6）</w:t>
      </w:r>
      <w:r>
        <w:rPr>
          <w:rFonts w:hint="eastAsia" w:ascii="宋体" w:hAnsi="宋体"/>
          <w:color w:val="auto"/>
          <w:sz w:val="24"/>
          <w:highlight w:val="none"/>
        </w:rPr>
        <w:t>工程质量、安全、工期承诺书</w:t>
      </w:r>
    </w:p>
    <w:p w14:paraId="46805759">
      <w:pPr>
        <w:tabs>
          <w:tab w:val="left" w:pos="2460"/>
        </w:tabs>
        <w:adjustRightInd w:val="0"/>
        <w:snapToGrid w:val="0"/>
        <w:spacing w:line="300" w:lineRule="auto"/>
        <w:ind w:firstLine="539"/>
        <w:textAlignment w:val="top"/>
        <w:rPr>
          <w:color w:val="auto"/>
          <w:sz w:val="24"/>
          <w:highlight w:val="none"/>
        </w:rPr>
      </w:pPr>
      <w:r>
        <w:rPr>
          <w:rFonts w:hint="eastAsia" w:ascii="宋体" w:hAnsi="宋体" w:cs="楷体_GB2312"/>
          <w:color w:val="auto"/>
          <w:sz w:val="24"/>
          <w:highlight w:val="none"/>
          <w:lang w:val="zh-CN"/>
        </w:rPr>
        <w:t>（7）</w:t>
      </w:r>
      <w:r>
        <w:rPr>
          <w:rFonts w:hint="eastAsia"/>
          <w:color w:val="auto"/>
          <w:sz w:val="24"/>
          <w:highlight w:val="none"/>
        </w:rPr>
        <w:t>偏差表</w:t>
      </w:r>
      <w:r>
        <w:rPr>
          <w:color w:val="auto"/>
          <w:sz w:val="24"/>
          <w:highlight w:val="none"/>
        </w:rPr>
        <w:tab/>
      </w:r>
    </w:p>
    <w:p w14:paraId="159EA481">
      <w:pPr>
        <w:adjustRightInd w:val="0"/>
        <w:snapToGrid w:val="0"/>
        <w:spacing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（8）反商业贿赂承诺书。</w:t>
      </w:r>
    </w:p>
    <w:p w14:paraId="3554D115">
      <w:pPr>
        <w:adjustRightInd w:val="0"/>
        <w:snapToGrid w:val="0"/>
        <w:spacing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（9）履约承诺书。</w:t>
      </w:r>
    </w:p>
    <w:p w14:paraId="71CD7F27">
      <w:pPr>
        <w:adjustRightInd w:val="0"/>
        <w:snapToGrid w:val="0"/>
        <w:spacing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（10）采购项目及技术服务要求所需的其他材料（按条款需要）</w:t>
      </w:r>
    </w:p>
    <w:p w14:paraId="24D47577">
      <w:pPr>
        <w:adjustRightInd w:val="0"/>
        <w:snapToGrid w:val="0"/>
        <w:spacing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1）投标人须知所需的其他材料（按条款需要）</w:t>
      </w:r>
    </w:p>
    <w:p w14:paraId="507E35CB">
      <w:pPr>
        <w:adjustRightInd w:val="0"/>
        <w:snapToGrid w:val="0"/>
        <w:spacing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2）评审办法所需的其他材料（按条款需要）</w:t>
      </w:r>
    </w:p>
    <w:p w14:paraId="41DAFD2C">
      <w:pPr>
        <w:adjustRightInd w:val="0"/>
        <w:snapToGrid w:val="0"/>
        <w:spacing w:line="300" w:lineRule="auto"/>
        <w:ind w:firstLine="777" w:firstLineChars="324"/>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12-1附件：证明材料查询核验工作的清单及要求</w:t>
      </w:r>
    </w:p>
    <w:p w14:paraId="1915219F">
      <w:pPr>
        <w:adjustRightInd w:val="0"/>
        <w:snapToGrid w:val="0"/>
        <w:spacing w:line="300" w:lineRule="auto"/>
        <w:ind w:firstLine="777" w:firstLineChars="324"/>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12-2其他材料</w:t>
      </w:r>
    </w:p>
    <w:p w14:paraId="55118F57">
      <w:pPr>
        <w:adjustRightInd w:val="0"/>
        <w:snapToGrid w:val="0"/>
        <w:spacing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3）投标人认为有必要提交的其它材料</w:t>
      </w:r>
    </w:p>
    <w:p w14:paraId="539679F3">
      <w:pPr>
        <w:adjustRightInd w:val="0"/>
        <w:snapToGrid w:val="0"/>
        <w:spacing w:line="300" w:lineRule="auto"/>
        <w:ind w:firstLine="777" w:firstLineChars="324"/>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13-1.中小企业声明函(如有)、残疾人福利性单位声明函（如符合条件时填写*）</w:t>
      </w:r>
    </w:p>
    <w:p w14:paraId="25574FFA">
      <w:pPr>
        <w:adjustRightInd w:val="0"/>
        <w:snapToGrid w:val="0"/>
        <w:spacing w:line="300" w:lineRule="auto"/>
        <w:ind w:firstLine="777" w:firstLineChars="324"/>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13-2.其它材料</w:t>
      </w:r>
    </w:p>
    <w:p w14:paraId="5042C66C">
      <w:pPr>
        <w:autoSpaceDE w:val="0"/>
        <w:autoSpaceDN w:val="0"/>
        <w:adjustRightInd w:val="0"/>
        <w:snapToGrid w:val="0"/>
        <w:spacing w:line="300" w:lineRule="auto"/>
        <w:rPr>
          <w:rFonts w:ascii="宋体" w:hAnsi="宋体"/>
          <w:color w:val="auto"/>
          <w:sz w:val="24"/>
          <w:highlight w:val="none"/>
        </w:rPr>
      </w:pPr>
    </w:p>
    <w:p w14:paraId="7BC22F8C">
      <w:pPr>
        <w:adjustRightInd w:val="0"/>
        <w:snapToGrid w:val="0"/>
        <w:spacing w:before="156" w:beforeLines="50" w:line="300" w:lineRule="auto"/>
        <w:ind w:firstLine="539"/>
        <w:textAlignment w:val="top"/>
        <w:rPr>
          <w:rFonts w:ascii="黑体" w:hAnsi="黑体" w:eastAsia="黑体" w:cs="楷体_GB2312"/>
          <w:b/>
          <w:color w:val="auto"/>
          <w:sz w:val="24"/>
          <w:highlight w:val="none"/>
          <w:lang w:val="zh-CN"/>
        </w:rPr>
      </w:pPr>
      <w:r>
        <w:rPr>
          <w:rFonts w:hint="eastAsia" w:ascii="黑体" w:hAnsi="黑体" w:eastAsia="黑体" w:cs="楷体_GB2312"/>
          <w:b/>
          <w:color w:val="auto"/>
          <w:sz w:val="24"/>
          <w:highlight w:val="none"/>
          <w:lang w:val="zh-CN"/>
        </w:rPr>
        <w:t>资</w:t>
      </w:r>
      <w:r>
        <w:rPr>
          <w:rFonts w:ascii="黑体" w:hAnsi="黑体" w:eastAsia="黑体" w:cs="楷体_GB2312"/>
          <w:b/>
          <w:color w:val="auto"/>
          <w:sz w:val="24"/>
          <w:highlight w:val="none"/>
          <w:lang w:val="zh-CN"/>
        </w:rPr>
        <w:t>格性</w:t>
      </w:r>
      <w:r>
        <w:rPr>
          <w:rFonts w:hint="eastAsia" w:ascii="黑体" w:hAnsi="黑体" w:eastAsia="黑体" w:cs="楷体_GB2312"/>
          <w:b/>
          <w:color w:val="auto"/>
          <w:sz w:val="24"/>
          <w:highlight w:val="none"/>
          <w:lang w:val="zh-CN"/>
        </w:rPr>
        <w:t>证明文件</w:t>
      </w:r>
    </w:p>
    <w:p w14:paraId="760850B1">
      <w:pPr>
        <w:adjustRightInd w:val="0"/>
        <w:snapToGrid w:val="0"/>
        <w:spacing w:line="300" w:lineRule="auto"/>
        <w:ind w:firstLine="539"/>
        <w:textAlignment w:val="top"/>
        <w:rPr>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14</w:t>
      </w:r>
      <w:r>
        <w:rPr>
          <w:rFonts w:hint="eastAsia" w:ascii="宋体" w:hAnsi="宋体" w:cs="楷体_GB2312"/>
          <w:color w:val="auto"/>
          <w:sz w:val="24"/>
          <w:highlight w:val="none"/>
          <w:lang w:val="zh-CN"/>
        </w:rPr>
        <w:t>）</w:t>
      </w:r>
      <w:r>
        <w:rPr>
          <w:rFonts w:hint="eastAsia"/>
          <w:color w:val="auto"/>
          <w:sz w:val="24"/>
          <w:highlight w:val="none"/>
        </w:rPr>
        <w:t>关于资格的声明函</w:t>
      </w:r>
    </w:p>
    <w:p w14:paraId="72AC5E2C">
      <w:pPr>
        <w:autoSpaceDE w:val="0"/>
        <w:autoSpaceDN w:val="0"/>
        <w:adjustRightInd w:val="0"/>
        <w:snapToGrid w:val="0"/>
        <w:spacing w:line="300" w:lineRule="auto"/>
        <w:ind w:firstLine="520" w:firstLineChars="217"/>
        <w:rPr>
          <w:rFonts w:hint="eastAsia"/>
          <w:color w:val="auto"/>
          <w:sz w:val="24"/>
          <w:highlight w:val="none"/>
        </w:rPr>
      </w:pPr>
      <w:r>
        <w:rPr>
          <w:rFonts w:hint="eastAsia"/>
          <w:color w:val="auto"/>
          <w:sz w:val="24"/>
          <w:highlight w:val="none"/>
        </w:rPr>
        <w:t>（</w:t>
      </w:r>
      <w:r>
        <w:rPr>
          <w:color w:val="auto"/>
          <w:sz w:val="24"/>
          <w:highlight w:val="none"/>
        </w:rPr>
        <w:t>15</w:t>
      </w:r>
      <w:r>
        <w:rPr>
          <w:rFonts w:hint="eastAsia"/>
          <w:color w:val="auto"/>
          <w:sz w:val="24"/>
          <w:highlight w:val="none"/>
        </w:rPr>
        <w:t>）资格要求相关证明材料（文件）</w:t>
      </w:r>
    </w:p>
    <w:p w14:paraId="0B3F746A">
      <w:pPr>
        <w:autoSpaceDE w:val="0"/>
        <w:autoSpaceDN w:val="0"/>
        <w:adjustRightInd w:val="0"/>
        <w:snapToGrid w:val="0"/>
        <w:spacing w:line="300" w:lineRule="auto"/>
        <w:ind w:firstLine="520" w:firstLineChars="217"/>
        <w:rPr>
          <w:rFonts w:ascii="宋体" w:cs="楷体_GB2312"/>
          <w:color w:val="auto"/>
          <w:sz w:val="24"/>
          <w:highlight w:val="none"/>
          <w:lang w:val="zh-CN"/>
        </w:rPr>
      </w:pPr>
    </w:p>
    <w:p w14:paraId="4384F492">
      <w:pPr>
        <w:widowControl w:val="0"/>
        <w:snapToGrid w:val="0"/>
        <w:spacing w:before="156" w:beforeLines="50" w:line="300" w:lineRule="auto"/>
        <w:ind w:firstLine="556"/>
        <w:rPr>
          <w:color w:val="auto"/>
          <w:sz w:val="24"/>
          <w:szCs w:val="24"/>
          <w:highlight w:val="none"/>
        </w:rPr>
      </w:pPr>
      <w:r>
        <w:rPr>
          <w:color w:val="auto"/>
          <w:sz w:val="24"/>
          <w:szCs w:val="24"/>
          <w:highlight w:val="none"/>
        </w:rPr>
        <w:t>1.</w:t>
      </w:r>
      <w:r>
        <w:rPr>
          <w:rFonts w:hint="eastAsia"/>
          <w:color w:val="auto"/>
          <w:highlight w:val="none"/>
        </w:rPr>
        <w:t xml:space="preserve"> </w:t>
      </w:r>
      <w:r>
        <w:rPr>
          <w:rFonts w:hint="eastAsia"/>
          <w:color w:val="auto"/>
          <w:sz w:val="24"/>
          <w:szCs w:val="24"/>
          <w:highlight w:val="none"/>
        </w:rPr>
        <w:t>愿按照招标文件中规定的条款和要求，提供完成招标文件规定的全部工作，</w:t>
      </w:r>
    </w:p>
    <w:p w14:paraId="615A7D3C">
      <w:pPr>
        <w:widowControl w:val="0"/>
        <w:snapToGrid w:val="0"/>
        <w:spacing w:before="156" w:beforeLines="50" w:line="300" w:lineRule="auto"/>
        <w:ind w:firstLine="556"/>
        <w:rPr>
          <w:color w:val="auto"/>
          <w:sz w:val="24"/>
          <w:szCs w:val="24"/>
          <w:highlight w:val="none"/>
        </w:rPr>
      </w:pPr>
      <w:r>
        <w:rPr>
          <w:rFonts w:hint="eastAsia"/>
          <w:color w:val="auto"/>
          <w:sz w:val="24"/>
          <w:szCs w:val="24"/>
          <w:highlight w:val="none"/>
        </w:rPr>
        <w:t>包</w:t>
      </w:r>
      <w:r>
        <w:rPr>
          <w:color w:val="auto"/>
          <w:sz w:val="24"/>
          <w:szCs w:val="24"/>
          <w:highlight w:val="none"/>
          <w:u w:val="single"/>
        </w:rPr>
        <w:t>2</w:t>
      </w:r>
      <w:r>
        <w:rPr>
          <w:rFonts w:hint="eastAsia"/>
          <w:color w:val="auto"/>
          <w:sz w:val="24"/>
          <w:szCs w:val="24"/>
          <w:highlight w:val="none"/>
        </w:rPr>
        <w:t>：投标总价为人民币（大写）</w:t>
      </w:r>
      <w:r>
        <w:rPr>
          <w:rFonts w:hint="eastAsia"/>
          <w:color w:val="auto"/>
          <w:sz w:val="24"/>
          <w:szCs w:val="24"/>
          <w:highlight w:val="none"/>
        </w:rPr>
        <w:tab/>
      </w:r>
      <w:r>
        <w:rPr>
          <w:rFonts w:hint="eastAsia"/>
          <w:color w:val="auto"/>
          <w:sz w:val="24"/>
          <w:szCs w:val="24"/>
          <w:highlight w:val="none"/>
        </w:rPr>
        <w:t xml:space="preserve">            ，（ RMB¥：       元 ），</w:t>
      </w:r>
    </w:p>
    <w:p w14:paraId="51794412">
      <w:pPr>
        <w:widowControl w:val="0"/>
        <w:snapToGrid w:val="0"/>
        <w:spacing w:before="156" w:beforeLines="50" w:line="300" w:lineRule="auto"/>
        <w:ind w:firstLine="556"/>
        <w:rPr>
          <w:color w:val="auto"/>
          <w:sz w:val="24"/>
          <w:szCs w:val="24"/>
          <w:highlight w:val="none"/>
        </w:rPr>
      </w:pPr>
      <w:r>
        <w:rPr>
          <w:rFonts w:hint="eastAsia"/>
          <w:color w:val="auto"/>
          <w:sz w:val="24"/>
          <w:szCs w:val="24"/>
          <w:highlight w:val="none"/>
        </w:rPr>
        <w:t>工期：</w:t>
      </w:r>
      <w:r>
        <w:rPr>
          <w:rFonts w:hint="eastAsia"/>
          <w:color w:val="auto"/>
          <w:sz w:val="24"/>
          <w:szCs w:val="24"/>
          <w:highlight w:val="none"/>
          <w:u w:val="single"/>
        </w:rPr>
        <w:t xml:space="preserve">              </w:t>
      </w:r>
      <w:r>
        <w:rPr>
          <w:rFonts w:hint="eastAsia"/>
          <w:color w:val="auto"/>
          <w:sz w:val="24"/>
          <w:szCs w:val="24"/>
          <w:highlight w:val="none"/>
        </w:rPr>
        <w:t>，施工地点：</w:t>
      </w:r>
      <w:r>
        <w:rPr>
          <w:rFonts w:hint="eastAsia"/>
          <w:color w:val="auto"/>
          <w:sz w:val="24"/>
          <w:szCs w:val="24"/>
          <w:highlight w:val="none"/>
          <w:u w:val="single"/>
        </w:rPr>
        <w:t xml:space="preserve">                   </w:t>
      </w:r>
      <w:r>
        <w:rPr>
          <w:rFonts w:hint="eastAsia"/>
          <w:color w:val="auto"/>
          <w:sz w:val="24"/>
          <w:szCs w:val="24"/>
          <w:highlight w:val="none"/>
        </w:rPr>
        <w:t>。</w:t>
      </w:r>
    </w:p>
    <w:p w14:paraId="2FEDFFA1">
      <w:pPr>
        <w:widowControl w:val="0"/>
        <w:snapToGrid w:val="0"/>
        <w:spacing w:before="156" w:beforeLines="50" w:line="300" w:lineRule="auto"/>
        <w:ind w:firstLine="556"/>
        <w:rPr>
          <w:color w:val="auto"/>
          <w:sz w:val="24"/>
          <w:szCs w:val="24"/>
          <w:highlight w:val="none"/>
        </w:rPr>
      </w:pPr>
      <w:r>
        <w:rPr>
          <w:color w:val="auto"/>
          <w:sz w:val="24"/>
          <w:szCs w:val="24"/>
          <w:highlight w:val="none"/>
        </w:rPr>
        <w:t>2.</w:t>
      </w:r>
      <w:r>
        <w:rPr>
          <w:rFonts w:hint="eastAsia"/>
          <w:color w:val="auto"/>
          <w:sz w:val="24"/>
          <w:szCs w:val="24"/>
          <w:highlight w:val="none"/>
        </w:rPr>
        <w:t>如果我单位的投标文件被接受，我单位将履行《招标文件》中规定的每一项要求，按期、按质、按量履行合同。</w:t>
      </w:r>
    </w:p>
    <w:p w14:paraId="4200D248">
      <w:pPr>
        <w:widowControl w:val="0"/>
        <w:snapToGrid w:val="0"/>
        <w:spacing w:before="156" w:beforeLines="50" w:line="300" w:lineRule="auto"/>
        <w:ind w:firstLine="556"/>
        <w:rPr>
          <w:color w:val="auto"/>
          <w:sz w:val="24"/>
          <w:szCs w:val="24"/>
          <w:highlight w:val="none"/>
        </w:rPr>
      </w:pPr>
      <w:r>
        <w:rPr>
          <w:color w:val="auto"/>
          <w:sz w:val="24"/>
          <w:szCs w:val="24"/>
          <w:highlight w:val="none"/>
        </w:rPr>
        <w:t xml:space="preserve">3. </w:t>
      </w:r>
      <w:r>
        <w:rPr>
          <w:rFonts w:hint="eastAsia"/>
          <w:color w:val="auto"/>
          <w:sz w:val="24"/>
          <w:szCs w:val="24"/>
          <w:highlight w:val="none"/>
        </w:rPr>
        <w:t>我单位愿按《中华人民共和国民法典》履行我单位的全部责任。</w:t>
      </w:r>
    </w:p>
    <w:p w14:paraId="0BF34B0E">
      <w:pPr>
        <w:widowControl w:val="0"/>
        <w:snapToGrid w:val="0"/>
        <w:spacing w:before="156" w:beforeLines="50" w:line="300" w:lineRule="auto"/>
        <w:ind w:firstLine="556"/>
        <w:rPr>
          <w:color w:val="auto"/>
          <w:sz w:val="24"/>
          <w:szCs w:val="24"/>
          <w:highlight w:val="none"/>
        </w:rPr>
      </w:pPr>
      <w:r>
        <w:rPr>
          <w:color w:val="auto"/>
          <w:sz w:val="24"/>
          <w:szCs w:val="24"/>
          <w:highlight w:val="none"/>
        </w:rPr>
        <w:t xml:space="preserve">4. </w:t>
      </w:r>
      <w:r>
        <w:rPr>
          <w:rFonts w:hint="eastAsia"/>
          <w:color w:val="auto"/>
          <w:sz w:val="24"/>
          <w:szCs w:val="24"/>
          <w:highlight w:val="none"/>
        </w:rPr>
        <w:t>我单位已详细阅读并完全理解、同意《招标文件》的全部内容，包括澄清、修改、补充文件（招标公告所述媒体公布）以及全部参考资料和有关附件；除我单位在《招标文件》规定期间内书面提出的疑问外，我单位放弃对这方面有不明及误解的权力。</w:t>
      </w:r>
    </w:p>
    <w:p w14:paraId="21D73CD3">
      <w:pPr>
        <w:widowControl w:val="0"/>
        <w:snapToGrid w:val="0"/>
        <w:spacing w:before="156" w:beforeLines="50" w:line="300" w:lineRule="auto"/>
        <w:ind w:firstLine="556"/>
        <w:rPr>
          <w:color w:val="auto"/>
          <w:sz w:val="24"/>
          <w:szCs w:val="24"/>
          <w:highlight w:val="none"/>
        </w:rPr>
      </w:pPr>
      <w:r>
        <w:rPr>
          <w:color w:val="auto"/>
          <w:sz w:val="24"/>
          <w:szCs w:val="24"/>
          <w:highlight w:val="none"/>
        </w:rPr>
        <w:t>5.</w:t>
      </w:r>
      <w:r>
        <w:rPr>
          <w:rFonts w:hint="eastAsia"/>
          <w:color w:val="auto"/>
          <w:sz w:val="24"/>
          <w:szCs w:val="24"/>
          <w:highlight w:val="none"/>
        </w:rPr>
        <w:t>《投标文件》自开启日起有效期为</w:t>
      </w:r>
      <w:r>
        <w:rPr>
          <w:color w:val="auto"/>
          <w:sz w:val="24"/>
          <w:szCs w:val="24"/>
          <w:highlight w:val="none"/>
        </w:rPr>
        <w:t>90</w:t>
      </w:r>
      <w:r>
        <w:rPr>
          <w:rFonts w:hint="eastAsia"/>
          <w:color w:val="auto"/>
          <w:sz w:val="24"/>
          <w:szCs w:val="24"/>
          <w:highlight w:val="none"/>
        </w:rPr>
        <w:t>日历天。</w:t>
      </w:r>
    </w:p>
    <w:p w14:paraId="02CA2B14">
      <w:pPr>
        <w:widowControl w:val="0"/>
        <w:snapToGrid w:val="0"/>
        <w:spacing w:before="156" w:beforeLines="50" w:line="300" w:lineRule="auto"/>
        <w:ind w:firstLine="556"/>
        <w:rPr>
          <w:color w:val="auto"/>
          <w:sz w:val="24"/>
          <w:szCs w:val="24"/>
          <w:highlight w:val="none"/>
        </w:rPr>
      </w:pPr>
      <w:r>
        <w:rPr>
          <w:rFonts w:hint="eastAsia"/>
          <w:color w:val="auto"/>
          <w:sz w:val="24"/>
          <w:szCs w:val="24"/>
          <w:highlight w:val="none"/>
        </w:rPr>
        <w:t>6.我单位承诺按照《招标文件》规定的付款方式执行。</w:t>
      </w:r>
    </w:p>
    <w:p w14:paraId="21A53658">
      <w:pPr>
        <w:widowControl w:val="0"/>
        <w:snapToGrid w:val="0"/>
        <w:spacing w:before="156" w:beforeLines="50" w:line="300" w:lineRule="auto"/>
        <w:ind w:firstLine="556"/>
        <w:rPr>
          <w:color w:val="auto"/>
          <w:sz w:val="24"/>
          <w:szCs w:val="24"/>
          <w:highlight w:val="none"/>
        </w:rPr>
      </w:pPr>
      <w:r>
        <w:rPr>
          <w:rFonts w:hint="eastAsia"/>
          <w:color w:val="auto"/>
          <w:sz w:val="24"/>
          <w:szCs w:val="24"/>
          <w:highlight w:val="none"/>
        </w:rPr>
        <w:t>7</w:t>
      </w:r>
      <w:r>
        <w:rPr>
          <w:color w:val="auto"/>
          <w:sz w:val="24"/>
          <w:szCs w:val="24"/>
          <w:highlight w:val="none"/>
        </w:rPr>
        <w:t>.</w:t>
      </w:r>
      <w:r>
        <w:rPr>
          <w:rFonts w:hint="eastAsia"/>
          <w:color w:val="auto"/>
          <w:sz w:val="24"/>
          <w:szCs w:val="24"/>
          <w:highlight w:val="none"/>
        </w:rPr>
        <w:t>如果在规定的开标时间后，我单位在投标有效期内撤回投标的，依据</w:t>
      </w:r>
      <w:r>
        <w:rPr>
          <w:rFonts w:hint="eastAsia" w:ascii="宋体" w:hAnsi="宋体"/>
          <w:color w:val="auto"/>
          <w:sz w:val="24"/>
          <w:szCs w:val="24"/>
          <w:highlight w:val="none"/>
        </w:rPr>
        <w:t>招标文件</w:t>
      </w:r>
      <w:r>
        <w:rPr>
          <w:rFonts w:hint="eastAsia"/>
          <w:color w:val="auto"/>
          <w:sz w:val="24"/>
          <w:szCs w:val="24"/>
          <w:highlight w:val="none"/>
        </w:rPr>
        <w:t>“第三章3.5.5 违背承诺的责任追究措施”，我单位承担相应法律责任及违约责任。</w:t>
      </w:r>
    </w:p>
    <w:p w14:paraId="5C1702FD">
      <w:pPr>
        <w:widowControl w:val="0"/>
        <w:snapToGrid w:val="0"/>
        <w:spacing w:before="156" w:beforeLines="50" w:line="300" w:lineRule="auto"/>
        <w:ind w:firstLine="556"/>
        <w:rPr>
          <w:color w:val="auto"/>
          <w:sz w:val="24"/>
          <w:szCs w:val="24"/>
          <w:highlight w:val="none"/>
        </w:rPr>
      </w:pPr>
      <w:r>
        <w:rPr>
          <w:rFonts w:hint="eastAsia"/>
          <w:color w:val="auto"/>
          <w:sz w:val="24"/>
          <w:szCs w:val="24"/>
          <w:highlight w:val="none"/>
        </w:rPr>
        <w:t>8</w:t>
      </w:r>
      <w:r>
        <w:rPr>
          <w:color w:val="auto"/>
          <w:sz w:val="24"/>
          <w:szCs w:val="24"/>
          <w:highlight w:val="none"/>
        </w:rPr>
        <w:t xml:space="preserve">. </w:t>
      </w:r>
      <w:r>
        <w:rPr>
          <w:rFonts w:hint="eastAsia"/>
          <w:color w:val="auto"/>
          <w:sz w:val="24"/>
          <w:szCs w:val="24"/>
          <w:highlight w:val="none"/>
        </w:rPr>
        <w:t>我单位同意提供按照贵方可能要求的与投标有关的一切数据或资料，理解贵方不一定要接受最低价的投标或收到的任何投标。</w:t>
      </w:r>
    </w:p>
    <w:p w14:paraId="6FB9C757">
      <w:pPr>
        <w:widowControl w:val="0"/>
        <w:snapToGrid w:val="0"/>
        <w:spacing w:line="560" w:lineRule="exact"/>
        <w:ind w:firstLine="555"/>
        <w:rPr>
          <w:color w:val="auto"/>
          <w:sz w:val="24"/>
          <w:szCs w:val="24"/>
          <w:highlight w:val="none"/>
        </w:rPr>
      </w:pPr>
      <w:r>
        <w:rPr>
          <w:rFonts w:hint="eastAsia"/>
          <w:color w:val="auto"/>
          <w:sz w:val="24"/>
          <w:szCs w:val="24"/>
          <w:highlight w:val="none"/>
        </w:rPr>
        <w:t>9</w:t>
      </w:r>
      <w:r>
        <w:rPr>
          <w:color w:val="auto"/>
          <w:sz w:val="24"/>
          <w:szCs w:val="24"/>
          <w:highlight w:val="none"/>
        </w:rPr>
        <w:t>.</w:t>
      </w:r>
      <w:r>
        <w:rPr>
          <w:rFonts w:hint="eastAsia"/>
          <w:color w:val="auto"/>
          <w:sz w:val="24"/>
          <w:szCs w:val="24"/>
          <w:highlight w:val="none"/>
        </w:rPr>
        <w:t>与本投标有关的一切正式往来请寄：</w:t>
      </w:r>
    </w:p>
    <w:p w14:paraId="0FDD6E55">
      <w:pPr>
        <w:widowControl w:val="0"/>
        <w:snapToGrid w:val="0"/>
        <w:spacing w:line="560" w:lineRule="exact"/>
        <w:ind w:firstLine="555"/>
        <w:jc w:val="left"/>
        <w:rPr>
          <w:color w:val="auto"/>
          <w:sz w:val="24"/>
          <w:szCs w:val="24"/>
          <w:highlight w:val="none"/>
        </w:rPr>
      </w:pPr>
      <w:r>
        <w:rPr>
          <w:rFonts w:hint="eastAsia"/>
          <w:color w:val="auto"/>
          <w:sz w:val="24"/>
          <w:szCs w:val="24"/>
          <w:highlight w:val="none"/>
        </w:rPr>
        <w:t>地址：</w:t>
      </w:r>
      <w:r>
        <w:rPr>
          <w:color w:val="auto"/>
          <w:sz w:val="24"/>
          <w:szCs w:val="24"/>
          <w:highlight w:val="none"/>
        </w:rPr>
        <w:tab/>
      </w:r>
      <w:r>
        <w:rPr>
          <w:color w:val="auto"/>
          <w:sz w:val="24"/>
          <w:szCs w:val="24"/>
          <w:highlight w:val="none"/>
        </w:rPr>
        <w:tab/>
      </w:r>
      <w:r>
        <w:rPr>
          <w:rFonts w:hint="eastAsia"/>
          <w:color w:val="auto"/>
          <w:sz w:val="24"/>
          <w:szCs w:val="24"/>
          <w:highlight w:val="none"/>
        </w:rPr>
        <w:t>邮政编码：</w:t>
      </w:r>
      <w:r>
        <w:rPr>
          <w:color w:val="auto"/>
          <w:sz w:val="24"/>
          <w:szCs w:val="24"/>
          <w:highlight w:val="none"/>
        </w:rPr>
        <w:tab/>
      </w:r>
    </w:p>
    <w:p w14:paraId="30099412">
      <w:pPr>
        <w:widowControl w:val="0"/>
        <w:snapToGrid w:val="0"/>
        <w:spacing w:line="560" w:lineRule="exact"/>
        <w:ind w:firstLine="555"/>
        <w:rPr>
          <w:color w:val="auto"/>
          <w:sz w:val="24"/>
          <w:szCs w:val="24"/>
          <w:highlight w:val="none"/>
        </w:rPr>
      </w:pPr>
      <w:r>
        <w:rPr>
          <w:rFonts w:hint="eastAsia"/>
          <w:color w:val="auto"/>
          <w:sz w:val="24"/>
          <w:szCs w:val="24"/>
          <w:highlight w:val="none"/>
        </w:rPr>
        <w:t>电话：</w:t>
      </w:r>
      <w:r>
        <w:rPr>
          <w:color w:val="auto"/>
          <w:sz w:val="24"/>
          <w:szCs w:val="24"/>
          <w:highlight w:val="none"/>
        </w:rPr>
        <w:tab/>
      </w:r>
      <w:r>
        <w:rPr>
          <w:color w:val="auto"/>
          <w:sz w:val="24"/>
          <w:szCs w:val="24"/>
          <w:highlight w:val="none"/>
        </w:rPr>
        <w:tab/>
      </w:r>
      <w:r>
        <w:rPr>
          <w:rFonts w:hint="eastAsia"/>
          <w:color w:val="auto"/>
          <w:sz w:val="24"/>
          <w:szCs w:val="24"/>
          <w:highlight w:val="none"/>
        </w:rPr>
        <w:t>传真：</w:t>
      </w:r>
    </w:p>
    <w:p w14:paraId="2BCDE252">
      <w:pPr>
        <w:widowControl w:val="0"/>
        <w:snapToGrid w:val="0"/>
        <w:spacing w:line="560" w:lineRule="exact"/>
        <w:ind w:firstLine="555"/>
        <w:rPr>
          <w:color w:val="auto"/>
          <w:sz w:val="24"/>
          <w:szCs w:val="24"/>
          <w:highlight w:val="none"/>
        </w:rPr>
      </w:pPr>
    </w:p>
    <w:p w14:paraId="31D2EBF1">
      <w:pPr>
        <w:widowControl w:val="0"/>
        <w:snapToGrid w:val="0"/>
        <w:spacing w:line="560" w:lineRule="exact"/>
        <w:ind w:firstLine="555"/>
        <w:rPr>
          <w:color w:val="auto"/>
          <w:sz w:val="24"/>
          <w:szCs w:val="24"/>
          <w:highlight w:val="none"/>
        </w:rPr>
      </w:pPr>
    </w:p>
    <w:p w14:paraId="05046548">
      <w:pPr>
        <w:widowControl w:val="0"/>
        <w:snapToGrid w:val="0"/>
        <w:spacing w:line="560" w:lineRule="exact"/>
        <w:ind w:firstLine="555"/>
        <w:rPr>
          <w:color w:val="auto"/>
          <w:sz w:val="24"/>
          <w:szCs w:val="24"/>
          <w:highlight w:val="none"/>
        </w:rPr>
      </w:pPr>
    </w:p>
    <w:p w14:paraId="228A192A">
      <w:pPr>
        <w:autoSpaceDE w:val="0"/>
        <w:autoSpaceDN w:val="0"/>
        <w:adjustRightInd w:val="0"/>
        <w:spacing w:line="360" w:lineRule="auto"/>
        <w:rPr>
          <w:rFonts w:ascii="宋体" w:cs="楷体_GB2312"/>
          <w:color w:val="auto"/>
          <w:sz w:val="24"/>
          <w:highlight w:val="none"/>
          <w:lang w:val="zh-CN"/>
        </w:rPr>
      </w:pPr>
      <w:r>
        <w:rPr>
          <w:rFonts w:hint="eastAsia" w:ascii="宋体" w:hAnsi="宋体"/>
          <w:color w:val="auto"/>
          <w:sz w:val="24"/>
          <w:highlight w:val="none"/>
        </w:rPr>
        <w:t>投标人</w:t>
      </w:r>
      <w:r>
        <w:rPr>
          <w:rFonts w:hint="eastAsia"/>
          <w:color w:val="auto"/>
          <w:sz w:val="24"/>
          <w:szCs w:val="24"/>
          <w:highlight w:val="none"/>
        </w:rPr>
        <w:t>（电子签</w:t>
      </w:r>
      <w:r>
        <w:rPr>
          <w:rFonts w:hint="eastAsia" w:ascii="宋体" w:hAnsi="宋体"/>
          <w:color w:val="auto"/>
          <w:sz w:val="24"/>
          <w:szCs w:val="24"/>
          <w:highlight w:val="none"/>
        </w:rPr>
        <w:t>章</w:t>
      </w:r>
      <w:r>
        <w:rPr>
          <w:rFonts w:hint="eastAsia"/>
          <w:color w:val="auto"/>
          <w:sz w:val="24"/>
          <w:szCs w:val="24"/>
          <w:highlight w:val="none"/>
        </w:rPr>
        <w:t>）</w:t>
      </w:r>
      <w:r>
        <w:rPr>
          <w:rFonts w:hint="eastAsia" w:ascii="宋体" w:hAnsi="宋体" w:cs="楷体_GB2312"/>
          <w:color w:val="auto"/>
          <w:sz w:val="24"/>
          <w:highlight w:val="none"/>
          <w:lang w:val="zh-CN"/>
        </w:rPr>
        <w:t>：</w:t>
      </w:r>
    </w:p>
    <w:p w14:paraId="227D2A04">
      <w:pPr>
        <w:autoSpaceDE w:val="0"/>
        <w:autoSpaceDN w:val="0"/>
        <w:adjustRightInd w:val="0"/>
        <w:spacing w:line="360" w:lineRule="auto"/>
        <w:ind w:left="-2" w:right="-817" w:firstLine="2"/>
        <w:rPr>
          <w:rFonts w:ascii="宋体" w:cs="楷体_GB2312"/>
          <w:color w:val="auto"/>
          <w:sz w:val="24"/>
          <w:highlight w:val="none"/>
          <w:lang w:val="zh-CN"/>
        </w:rPr>
      </w:pPr>
      <w:r>
        <w:rPr>
          <w:rFonts w:hint="eastAsia" w:ascii="宋体" w:hAnsi="宋体" w:cs="楷体_GB2312"/>
          <w:color w:val="auto"/>
          <w:sz w:val="24"/>
          <w:highlight w:val="none"/>
          <w:lang w:val="zh-CN"/>
        </w:rPr>
        <w:t>法定代表人（电子签名或签章）：</w:t>
      </w:r>
      <w:r>
        <w:rPr>
          <w:rFonts w:ascii="宋体" w:hAnsi="宋体" w:cs="楷体_GB2312"/>
          <w:color w:val="auto"/>
          <w:sz w:val="24"/>
          <w:highlight w:val="none"/>
          <w:lang w:val="zh-CN"/>
        </w:rPr>
        <w:t xml:space="preserve">  </w:t>
      </w:r>
    </w:p>
    <w:p w14:paraId="18A8F6A0">
      <w:pPr>
        <w:autoSpaceDE w:val="0"/>
        <w:autoSpaceDN w:val="0"/>
        <w:adjustRightInd w:val="0"/>
        <w:spacing w:line="360" w:lineRule="auto"/>
        <w:ind w:right="-817"/>
        <w:rPr>
          <w:rFonts w:ascii="宋体" w:cs="楷体_GB2312"/>
          <w:color w:val="auto"/>
          <w:sz w:val="24"/>
          <w:highlight w:val="none"/>
          <w:lang w:val="zh-CN"/>
        </w:rPr>
      </w:pPr>
      <w:r>
        <w:rPr>
          <w:rFonts w:hint="eastAsia" w:ascii="宋体" w:hAnsi="宋体" w:cs="楷体_GB2312"/>
          <w:color w:val="auto"/>
          <w:sz w:val="24"/>
          <w:highlight w:val="none"/>
          <w:lang w:val="zh-CN"/>
        </w:rPr>
        <w:t>日期：</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14:paraId="3D726A0B">
      <w:pPr>
        <w:spacing w:line="240" w:lineRule="auto"/>
        <w:jc w:val="left"/>
        <w:textAlignment w:val="auto"/>
        <w:rPr>
          <w:color w:val="auto"/>
          <w:sz w:val="24"/>
          <w:szCs w:val="24"/>
          <w:highlight w:val="none"/>
        </w:rPr>
      </w:pPr>
      <w:r>
        <w:rPr>
          <w:color w:val="auto"/>
          <w:sz w:val="24"/>
          <w:szCs w:val="24"/>
          <w:highlight w:val="none"/>
        </w:rPr>
        <w:br w:type="page"/>
      </w:r>
    </w:p>
    <w:p w14:paraId="4FC1D475">
      <w:pPr>
        <w:widowControl w:val="0"/>
        <w:snapToGrid w:val="0"/>
        <w:spacing w:line="560" w:lineRule="exact"/>
        <w:jc w:val="center"/>
        <w:rPr>
          <w:rFonts w:eastAsia="方正黑体简体"/>
          <w:b/>
          <w:color w:val="auto"/>
          <w:sz w:val="30"/>
          <w:szCs w:val="30"/>
          <w:highlight w:val="none"/>
        </w:rPr>
      </w:pPr>
      <w:r>
        <w:rPr>
          <w:rFonts w:hint="eastAsia" w:eastAsia="方正黑体简体"/>
          <w:b/>
          <w:color w:val="auto"/>
          <w:sz w:val="30"/>
          <w:szCs w:val="30"/>
          <w:highlight w:val="none"/>
        </w:rPr>
        <w:t>二、开标一览表</w:t>
      </w:r>
      <w:r>
        <w:rPr>
          <w:rFonts w:hint="eastAsia" w:ascii="宋体" w:hAnsi="宋体"/>
          <w:b/>
          <w:color w:val="auto"/>
          <w:sz w:val="24"/>
          <w:szCs w:val="24"/>
          <w:highlight w:val="none"/>
        </w:rPr>
        <w:t>（即交易系统中报价一览表）</w:t>
      </w:r>
    </w:p>
    <w:p w14:paraId="701C6E1F">
      <w:pPr>
        <w:pStyle w:val="17"/>
        <w:adjustRightInd w:val="0"/>
        <w:snapToGrid w:val="0"/>
        <w:spacing w:before="0" w:beforeAutospacing="0" w:after="0" w:afterAutospacing="0"/>
        <w:rPr>
          <w:color w:val="auto"/>
          <w:highlight w:val="none"/>
        </w:rPr>
      </w:pPr>
    </w:p>
    <w:p w14:paraId="011E07BD">
      <w:pPr>
        <w:widowControl w:val="0"/>
        <w:snapToGrid w:val="0"/>
        <w:spacing w:before="156" w:beforeLines="50" w:line="240" w:lineRule="auto"/>
        <w:ind w:firstLine="542"/>
        <w:rPr>
          <w:b/>
          <w:color w:val="auto"/>
          <w:sz w:val="24"/>
          <w:szCs w:val="24"/>
          <w:highlight w:val="none"/>
        </w:rPr>
      </w:pPr>
      <w:r>
        <w:rPr>
          <w:rFonts w:hint="eastAsia"/>
          <w:b/>
          <w:color w:val="auto"/>
          <w:sz w:val="24"/>
          <w:szCs w:val="24"/>
          <w:highlight w:val="none"/>
        </w:rPr>
        <w:t>注：</w:t>
      </w:r>
      <w:r>
        <w:rPr>
          <w:b/>
          <w:color w:val="auto"/>
          <w:sz w:val="24"/>
          <w:szCs w:val="24"/>
          <w:highlight w:val="none"/>
        </w:rPr>
        <w:t>1</w:t>
      </w:r>
      <w:r>
        <w:rPr>
          <w:rFonts w:hint="eastAsia"/>
          <w:b/>
          <w:color w:val="auto"/>
          <w:sz w:val="24"/>
          <w:szCs w:val="24"/>
          <w:highlight w:val="none"/>
        </w:rPr>
        <w:t>、投标人需在安阳市公共资源电子交易平台投标文件制作工具中、按系统要求填列报价一览表（即开标一览表），系统中填列的报价一览表（即开标一览表）为供应商《投标文件》的一部分。</w:t>
      </w:r>
    </w:p>
    <w:p w14:paraId="0B1EC806">
      <w:pPr>
        <w:widowControl w:val="0"/>
        <w:snapToGrid w:val="0"/>
        <w:spacing w:before="156" w:beforeLines="50" w:line="240" w:lineRule="auto"/>
        <w:ind w:firstLine="540"/>
        <w:rPr>
          <w:color w:val="auto"/>
          <w:sz w:val="24"/>
          <w:szCs w:val="24"/>
          <w:highlight w:val="none"/>
        </w:rPr>
      </w:pPr>
      <w:r>
        <w:rPr>
          <w:color w:val="auto"/>
          <w:sz w:val="24"/>
          <w:szCs w:val="24"/>
          <w:highlight w:val="none"/>
        </w:rPr>
        <w:t>2</w:t>
      </w:r>
      <w:r>
        <w:rPr>
          <w:rFonts w:hint="eastAsia"/>
          <w:color w:val="auto"/>
          <w:sz w:val="24"/>
          <w:szCs w:val="24"/>
          <w:highlight w:val="none"/>
        </w:rPr>
        <w:t>、投标人的投标报价（价格构成）应包括招标文件所述投标报价的所有内容。</w:t>
      </w:r>
    </w:p>
    <w:p w14:paraId="415CF19D">
      <w:pPr>
        <w:widowControl w:val="0"/>
        <w:snapToGrid w:val="0"/>
        <w:spacing w:before="156" w:beforeLines="50" w:line="240" w:lineRule="auto"/>
        <w:ind w:firstLine="540"/>
        <w:jc w:val="left"/>
        <w:rPr>
          <w:color w:val="auto"/>
          <w:sz w:val="24"/>
          <w:szCs w:val="24"/>
          <w:highlight w:val="none"/>
        </w:rPr>
      </w:pPr>
      <w:r>
        <w:rPr>
          <w:color w:val="auto"/>
          <w:sz w:val="24"/>
          <w:szCs w:val="24"/>
          <w:highlight w:val="none"/>
        </w:rPr>
        <w:t>3</w:t>
      </w:r>
      <w:r>
        <w:rPr>
          <w:rFonts w:hint="eastAsia"/>
          <w:color w:val="auto"/>
          <w:sz w:val="24"/>
          <w:szCs w:val="24"/>
          <w:highlight w:val="none"/>
        </w:rPr>
        <w:t>、投标人可对招标文件中所列的所有标段（包）进行分别投标，也可选择其中一个标段（包）或几个标段（包）投标，但不得将招标文件规定的同一标段（包）的内容拆开投标，否则将按无效投标处理。</w:t>
      </w:r>
    </w:p>
    <w:p w14:paraId="71ABC5F3">
      <w:pPr>
        <w:widowControl w:val="0"/>
        <w:snapToGrid w:val="0"/>
        <w:spacing w:before="156" w:beforeLines="50" w:line="240" w:lineRule="auto"/>
        <w:ind w:firstLine="540"/>
        <w:jc w:val="left"/>
        <w:rPr>
          <w:color w:val="auto"/>
          <w:sz w:val="24"/>
          <w:szCs w:val="24"/>
          <w:highlight w:val="none"/>
        </w:rPr>
      </w:pPr>
      <w:r>
        <w:rPr>
          <w:color w:val="auto"/>
          <w:sz w:val="24"/>
          <w:szCs w:val="24"/>
          <w:highlight w:val="none"/>
        </w:rPr>
        <w:t>4</w:t>
      </w:r>
      <w:r>
        <w:rPr>
          <w:rFonts w:hint="eastAsia"/>
          <w:color w:val="auto"/>
          <w:sz w:val="24"/>
          <w:szCs w:val="24"/>
          <w:highlight w:val="none"/>
        </w:rPr>
        <w:t>、开标一览表与报价明细表有差别时，以开标一览表为准；大写文字表示的数据与小写数字表示的有差别时，以大写文字表示的数据为准。</w:t>
      </w:r>
    </w:p>
    <w:p w14:paraId="02895091">
      <w:pPr>
        <w:widowControl w:val="0"/>
        <w:snapToGrid w:val="0"/>
        <w:spacing w:line="360" w:lineRule="auto"/>
        <w:textAlignment w:val="top"/>
        <w:rPr>
          <w:b/>
          <w:color w:val="auto"/>
          <w:sz w:val="24"/>
          <w:szCs w:val="24"/>
          <w:highlight w:val="none"/>
        </w:rPr>
      </w:pPr>
    </w:p>
    <w:p w14:paraId="08D43983">
      <w:pPr>
        <w:widowControl w:val="0"/>
        <w:snapToGrid w:val="0"/>
        <w:spacing w:line="360" w:lineRule="auto"/>
        <w:textAlignment w:val="top"/>
        <w:rPr>
          <w:b/>
          <w:color w:val="auto"/>
          <w:sz w:val="24"/>
          <w:szCs w:val="24"/>
          <w:highlight w:val="none"/>
        </w:rPr>
      </w:pPr>
    </w:p>
    <w:p w14:paraId="6E7CA9D2">
      <w:pPr>
        <w:widowControl w:val="0"/>
        <w:snapToGrid w:val="0"/>
        <w:spacing w:line="360" w:lineRule="auto"/>
        <w:textAlignment w:val="top"/>
        <w:rPr>
          <w:b/>
          <w:color w:val="auto"/>
          <w:sz w:val="24"/>
          <w:szCs w:val="24"/>
          <w:highlight w:val="none"/>
        </w:rPr>
      </w:pPr>
    </w:p>
    <w:p w14:paraId="5A2CD00F">
      <w:pPr>
        <w:autoSpaceDE w:val="0"/>
        <w:autoSpaceDN w:val="0"/>
        <w:adjustRightInd w:val="0"/>
        <w:spacing w:line="360" w:lineRule="auto"/>
        <w:rPr>
          <w:rFonts w:ascii="宋体" w:cs="楷体_GB2312"/>
          <w:color w:val="auto"/>
          <w:sz w:val="24"/>
          <w:highlight w:val="none"/>
          <w:lang w:val="zh-CN"/>
        </w:rPr>
      </w:pPr>
      <w:r>
        <w:rPr>
          <w:rFonts w:hint="eastAsia" w:ascii="宋体" w:hAnsi="宋体"/>
          <w:color w:val="auto"/>
          <w:sz w:val="24"/>
          <w:highlight w:val="none"/>
        </w:rPr>
        <w:t>投标人</w:t>
      </w:r>
      <w:r>
        <w:rPr>
          <w:rFonts w:hint="eastAsia"/>
          <w:color w:val="auto"/>
          <w:sz w:val="24"/>
          <w:szCs w:val="24"/>
          <w:highlight w:val="none"/>
        </w:rPr>
        <w:t>（电子签</w:t>
      </w:r>
      <w:r>
        <w:rPr>
          <w:rFonts w:hint="eastAsia" w:ascii="宋体" w:hAnsi="宋体"/>
          <w:color w:val="auto"/>
          <w:sz w:val="24"/>
          <w:szCs w:val="24"/>
          <w:highlight w:val="none"/>
        </w:rPr>
        <w:t>章</w:t>
      </w:r>
      <w:r>
        <w:rPr>
          <w:rFonts w:hint="eastAsia"/>
          <w:color w:val="auto"/>
          <w:sz w:val="24"/>
          <w:szCs w:val="24"/>
          <w:highlight w:val="none"/>
        </w:rPr>
        <w:t>）</w:t>
      </w:r>
      <w:r>
        <w:rPr>
          <w:rFonts w:hint="eastAsia" w:ascii="宋体" w:hAnsi="宋体" w:cs="楷体_GB2312"/>
          <w:color w:val="auto"/>
          <w:sz w:val="24"/>
          <w:highlight w:val="none"/>
          <w:lang w:val="zh-CN"/>
        </w:rPr>
        <w:t>：</w:t>
      </w:r>
    </w:p>
    <w:p w14:paraId="5F9EC21B">
      <w:pPr>
        <w:autoSpaceDE w:val="0"/>
        <w:autoSpaceDN w:val="0"/>
        <w:adjustRightInd w:val="0"/>
        <w:spacing w:line="360" w:lineRule="auto"/>
        <w:ind w:left="-2" w:right="-817" w:firstLine="2"/>
        <w:rPr>
          <w:rFonts w:ascii="宋体" w:cs="楷体_GB2312"/>
          <w:color w:val="auto"/>
          <w:sz w:val="24"/>
          <w:highlight w:val="none"/>
          <w:lang w:val="zh-CN"/>
        </w:rPr>
      </w:pPr>
      <w:r>
        <w:rPr>
          <w:rFonts w:hint="eastAsia" w:ascii="宋体" w:hAnsi="宋体" w:cs="楷体_GB2312"/>
          <w:color w:val="auto"/>
          <w:sz w:val="24"/>
          <w:highlight w:val="none"/>
          <w:lang w:val="zh-CN"/>
        </w:rPr>
        <w:t>法定代表人（电子签名或签章）：</w:t>
      </w:r>
      <w:r>
        <w:rPr>
          <w:rFonts w:ascii="宋体" w:hAnsi="宋体" w:cs="楷体_GB2312"/>
          <w:color w:val="auto"/>
          <w:sz w:val="24"/>
          <w:highlight w:val="none"/>
          <w:lang w:val="zh-CN"/>
        </w:rPr>
        <w:t xml:space="preserve">  </w:t>
      </w:r>
    </w:p>
    <w:p w14:paraId="375D86C8">
      <w:pPr>
        <w:widowControl w:val="0"/>
        <w:tabs>
          <w:tab w:val="left" w:pos="9365"/>
        </w:tabs>
        <w:snapToGrid w:val="0"/>
        <w:spacing w:after="56" w:line="360" w:lineRule="exact"/>
        <w:ind w:right="85"/>
        <w:textAlignment w:val="top"/>
        <w:rPr>
          <w:b/>
          <w:color w:val="auto"/>
          <w:highlight w:val="none"/>
        </w:rPr>
      </w:pPr>
      <w:r>
        <w:rPr>
          <w:rFonts w:hint="eastAsia" w:ascii="宋体" w:hAnsi="宋体" w:cs="楷体_GB2312"/>
          <w:color w:val="auto"/>
          <w:sz w:val="24"/>
          <w:highlight w:val="none"/>
          <w:lang w:val="zh-CN"/>
        </w:rPr>
        <w:t>日期：</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14:paraId="181CFACE">
      <w:pPr>
        <w:widowControl w:val="0"/>
        <w:snapToGrid w:val="0"/>
        <w:spacing w:line="560" w:lineRule="exact"/>
        <w:jc w:val="center"/>
        <w:rPr>
          <w:rFonts w:ascii="黑体" w:hAnsi="黑体" w:eastAsia="黑体"/>
          <w:b/>
          <w:color w:val="auto"/>
          <w:sz w:val="30"/>
          <w:szCs w:val="30"/>
          <w:highlight w:val="none"/>
        </w:rPr>
      </w:pPr>
      <w:r>
        <w:rPr>
          <w:rFonts w:ascii="黑体" w:hAnsi="黑体" w:eastAsia="黑体"/>
          <w:b/>
          <w:color w:val="auto"/>
          <w:sz w:val="30"/>
          <w:szCs w:val="30"/>
          <w:highlight w:val="none"/>
        </w:rPr>
        <w:br w:type="page"/>
      </w:r>
    </w:p>
    <w:p w14:paraId="48313C4E">
      <w:pPr>
        <w:widowControl w:val="0"/>
        <w:snapToGrid w:val="0"/>
        <w:spacing w:line="560" w:lineRule="exact"/>
        <w:jc w:val="center"/>
        <w:rPr>
          <w:b/>
          <w:color w:val="auto"/>
          <w:sz w:val="24"/>
          <w:szCs w:val="24"/>
          <w:highlight w:val="none"/>
        </w:rPr>
      </w:pPr>
      <w:r>
        <w:rPr>
          <w:rFonts w:hint="eastAsia" w:ascii="黑体" w:hAnsi="黑体" w:eastAsia="黑体"/>
          <w:b/>
          <w:color w:val="auto"/>
          <w:sz w:val="30"/>
          <w:szCs w:val="30"/>
          <w:highlight w:val="none"/>
        </w:rPr>
        <w:t>三、第一次报价明细表</w:t>
      </w:r>
      <w:r>
        <w:rPr>
          <w:rFonts w:hint="eastAsia" w:ascii="宋体" w:hAnsi="宋体"/>
          <w:b/>
          <w:color w:val="auto"/>
          <w:sz w:val="30"/>
          <w:szCs w:val="30"/>
          <w:highlight w:val="none"/>
        </w:rPr>
        <w:t>（或预算书）</w:t>
      </w:r>
    </w:p>
    <w:p w14:paraId="301A1E82">
      <w:pPr>
        <w:pStyle w:val="17"/>
        <w:adjustRightInd w:val="0"/>
        <w:snapToGrid w:val="0"/>
        <w:spacing w:before="156" w:beforeLines="50" w:beforeAutospacing="0" w:after="0" w:afterAutospacing="0"/>
        <w:rPr>
          <w:color w:val="auto"/>
          <w:highlight w:val="none"/>
        </w:rPr>
      </w:pPr>
    </w:p>
    <w:p w14:paraId="3243AA43">
      <w:pPr>
        <w:pStyle w:val="17"/>
        <w:adjustRightInd w:val="0"/>
        <w:snapToGrid w:val="0"/>
        <w:spacing w:before="0" w:beforeAutospacing="0" w:after="0" w:afterAutospacing="0"/>
        <w:rPr>
          <w:color w:val="auto"/>
          <w:highlight w:val="none"/>
          <w:u w:val="single"/>
        </w:rPr>
      </w:pPr>
      <w:r>
        <w:rPr>
          <w:rFonts w:hint="eastAsia"/>
          <w:color w:val="auto"/>
          <w:highlight w:val="none"/>
        </w:rPr>
        <w:t>项目名称：</w:t>
      </w:r>
    </w:p>
    <w:p w14:paraId="73806617">
      <w:pPr>
        <w:pStyle w:val="17"/>
        <w:adjustRightInd w:val="0"/>
        <w:snapToGrid w:val="0"/>
        <w:spacing w:before="0" w:beforeAutospacing="0" w:after="0" w:afterAutospacing="0"/>
        <w:rPr>
          <w:color w:val="auto"/>
          <w:highlight w:val="none"/>
        </w:rPr>
      </w:pPr>
      <w:r>
        <w:rPr>
          <w:rFonts w:hint="eastAsia"/>
          <w:color w:val="auto"/>
          <w:highlight w:val="none"/>
        </w:rPr>
        <w:t>项目编号：</w:t>
      </w:r>
    </w:p>
    <w:tbl>
      <w:tblPr>
        <w:tblStyle w:val="20"/>
        <w:tblW w:w="9453" w:type="dxa"/>
        <w:tblInd w:w="-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8"/>
        <w:gridCol w:w="2134"/>
        <w:gridCol w:w="2848"/>
        <w:gridCol w:w="1027"/>
        <w:gridCol w:w="711"/>
        <w:gridCol w:w="948"/>
        <w:gridCol w:w="1177"/>
      </w:tblGrid>
      <w:tr w14:paraId="242EB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trPr>
        <w:tc>
          <w:tcPr>
            <w:tcW w:w="608" w:type="dxa"/>
            <w:tcBorders>
              <w:top w:val="single" w:color="000000" w:sz="8" w:space="0"/>
              <w:left w:val="single" w:color="000000" w:sz="8" w:space="0"/>
              <w:bottom w:val="single" w:color="000000" w:sz="4" w:space="0"/>
              <w:right w:val="single" w:color="000000" w:sz="4" w:space="0"/>
            </w:tcBorders>
            <w:vAlign w:val="center"/>
          </w:tcPr>
          <w:p w14:paraId="02AA2A8D">
            <w:pPr>
              <w:spacing w:line="560" w:lineRule="exact"/>
              <w:jc w:val="center"/>
              <w:rPr>
                <w:color w:val="auto"/>
                <w:sz w:val="28"/>
                <w:highlight w:val="none"/>
              </w:rPr>
            </w:pPr>
            <w:r>
              <w:rPr>
                <w:rFonts w:hint="eastAsia"/>
                <w:color w:val="auto"/>
                <w:highlight w:val="none"/>
              </w:rPr>
              <w:t>序号</w:t>
            </w:r>
          </w:p>
        </w:tc>
        <w:tc>
          <w:tcPr>
            <w:tcW w:w="2134" w:type="dxa"/>
            <w:tcBorders>
              <w:top w:val="single" w:color="000000" w:sz="8" w:space="0"/>
              <w:bottom w:val="single" w:color="000000" w:sz="4" w:space="0"/>
              <w:right w:val="single" w:color="000000" w:sz="4" w:space="0"/>
            </w:tcBorders>
            <w:vAlign w:val="center"/>
          </w:tcPr>
          <w:p w14:paraId="6E03352F">
            <w:pPr>
              <w:spacing w:line="560" w:lineRule="exact"/>
              <w:jc w:val="center"/>
              <w:rPr>
                <w:color w:val="auto"/>
                <w:sz w:val="28"/>
                <w:highlight w:val="none"/>
              </w:rPr>
            </w:pPr>
            <w:r>
              <w:rPr>
                <w:rFonts w:hint="eastAsia"/>
                <w:color w:val="auto"/>
                <w:szCs w:val="21"/>
                <w:highlight w:val="none"/>
              </w:rPr>
              <w:t>内容</w:t>
            </w:r>
          </w:p>
        </w:tc>
        <w:tc>
          <w:tcPr>
            <w:tcW w:w="2848" w:type="dxa"/>
            <w:tcBorders>
              <w:top w:val="single" w:color="000000" w:sz="8" w:space="0"/>
              <w:bottom w:val="single" w:color="000000" w:sz="4" w:space="0"/>
            </w:tcBorders>
            <w:vAlign w:val="center"/>
          </w:tcPr>
          <w:p w14:paraId="074FFBB8">
            <w:pPr>
              <w:spacing w:line="240" w:lineRule="auto"/>
              <w:jc w:val="center"/>
              <w:rPr>
                <w:color w:val="auto"/>
                <w:sz w:val="28"/>
                <w:highlight w:val="none"/>
              </w:rPr>
            </w:pPr>
            <w:r>
              <w:rPr>
                <w:rFonts w:hint="eastAsia"/>
                <w:color w:val="auto"/>
                <w:highlight w:val="none"/>
              </w:rPr>
              <w:t>技术描述及材料（工程设备）品牌型号规格</w:t>
            </w:r>
          </w:p>
        </w:tc>
        <w:tc>
          <w:tcPr>
            <w:tcW w:w="1027" w:type="dxa"/>
            <w:tcBorders>
              <w:top w:val="single" w:color="000000" w:sz="8" w:space="0"/>
              <w:bottom w:val="single" w:color="000000" w:sz="4" w:space="0"/>
              <w:right w:val="single" w:color="000000" w:sz="4" w:space="0"/>
            </w:tcBorders>
            <w:vAlign w:val="center"/>
          </w:tcPr>
          <w:p w14:paraId="4147A515">
            <w:pPr>
              <w:spacing w:line="560" w:lineRule="exact"/>
              <w:jc w:val="center"/>
              <w:rPr>
                <w:color w:val="auto"/>
                <w:sz w:val="28"/>
                <w:highlight w:val="none"/>
              </w:rPr>
            </w:pPr>
            <w:r>
              <w:rPr>
                <w:rFonts w:hint="eastAsia"/>
                <w:color w:val="auto"/>
                <w:highlight w:val="none"/>
              </w:rPr>
              <w:t>单位</w:t>
            </w:r>
          </w:p>
        </w:tc>
        <w:tc>
          <w:tcPr>
            <w:tcW w:w="711" w:type="dxa"/>
            <w:tcBorders>
              <w:top w:val="single" w:color="000000" w:sz="8" w:space="0"/>
              <w:bottom w:val="single" w:color="000000" w:sz="4" w:space="0"/>
              <w:right w:val="single" w:color="000000" w:sz="4" w:space="0"/>
            </w:tcBorders>
            <w:vAlign w:val="center"/>
          </w:tcPr>
          <w:p w14:paraId="0913C29F">
            <w:pPr>
              <w:spacing w:line="560" w:lineRule="exact"/>
              <w:jc w:val="center"/>
              <w:rPr>
                <w:color w:val="auto"/>
                <w:sz w:val="28"/>
                <w:highlight w:val="none"/>
              </w:rPr>
            </w:pPr>
            <w:r>
              <w:rPr>
                <w:rFonts w:hint="eastAsia"/>
                <w:color w:val="auto"/>
                <w:highlight w:val="none"/>
              </w:rPr>
              <w:t>数量</w:t>
            </w:r>
          </w:p>
        </w:tc>
        <w:tc>
          <w:tcPr>
            <w:tcW w:w="948" w:type="dxa"/>
            <w:tcBorders>
              <w:top w:val="single" w:color="000000" w:sz="8" w:space="0"/>
              <w:bottom w:val="single" w:color="000000" w:sz="4" w:space="0"/>
              <w:right w:val="single" w:color="000000" w:sz="4" w:space="0"/>
            </w:tcBorders>
            <w:vAlign w:val="center"/>
          </w:tcPr>
          <w:p w14:paraId="03AAC87B">
            <w:pPr>
              <w:spacing w:line="560" w:lineRule="exact"/>
              <w:jc w:val="center"/>
              <w:rPr>
                <w:color w:val="auto"/>
                <w:sz w:val="28"/>
                <w:highlight w:val="none"/>
              </w:rPr>
            </w:pPr>
            <w:r>
              <w:rPr>
                <w:rFonts w:hint="eastAsia"/>
                <w:color w:val="auto"/>
                <w:highlight w:val="none"/>
              </w:rPr>
              <w:t>单价</w:t>
            </w:r>
          </w:p>
        </w:tc>
        <w:tc>
          <w:tcPr>
            <w:tcW w:w="1177" w:type="dxa"/>
            <w:tcBorders>
              <w:top w:val="single" w:color="000000" w:sz="8" w:space="0"/>
              <w:bottom w:val="single" w:color="000000" w:sz="4" w:space="0"/>
              <w:right w:val="single" w:color="000000" w:sz="8" w:space="0"/>
            </w:tcBorders>
            <w:vAlign w:val="center"/>
          </w:tcPr>
          <w:p w14:paraId="313F608F">
            <w:pPr>
              <w:spacing w:line="560" w:lineRule="exact"/>
              <w:jc w:val="center"/>
              <w:rPr>
                <w:color w:val="auto"/>
                <w:sz w:val="28"/>
                <w:highlight w:val="none"/>
              </w:rPr>
            </w:pPr>
            <w:r>
              <w:rPr>
                <w:rFonts w:hint="eastAsia"/>
                <w:color w:val="auto"/>
                <w:highlight w:val="none"/>
              </w:rPr>
              <w:t>小计</w:t>
            </w:r>
          </w:p>
        </w:tc>
      </w:tr>
      <w:tr w14:paraId="1C218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atLeast"/>
        </w:trPr>
        <w:tc>
          <w:tcPr>
            <w:tcW w:w="608" w:type="dxa"/>
            <w:tcBorders>
              <w:left w:val="single" w:color="000000" w:sz="8" w:space="0"/>
              <w:bottom w:val="single" w:color="000000" w:sz="4" w:space="0"/>
              <w:right w:val="single" w:color="000000" w:sz="4" w:space="0"/>
            </w:tcBorders>
            <w:vAlign w:val="center"/>
          </w:tcPr>
          <w:p w14:paraId="36D963A7">
            <w:pPr>
              <w:spacing w:line="560" w:lineRule="exact"/>
              <w:jc w:val="center"/>
              <w:rPr>
                <w:color w:val="auto"/>
                <w:sz w:val="28"/>
                <w:highlight w:val="none"/>
              </w:rPr>
            </w:pPr>
            <w:r>
              <w:rPr>
                <w:color w:val="auto"/>
                <w:highlight w:val="none"/>
              </w:rPr>
              <w:t>1</w:t>
            </w:r>
          </w:p>
        </w:tc>
        <w:tc>
          <w:tcPr>
            <w:tcW w:w="2134" w:type="dxa"/>
            <w:tcBorders>
              <w:bottom w:val="single" w:color="000000" w:sz="4" w:space="0"/>
              <w:right w:val="single" w:color="000000" w:sz="4" w:space="0"/>
            </w:tcBorders>
            <w:vAlign w:val="center"/>
          </w:tcPr>
          <w:p w14:paraId="252A1D61">
            <w:pPr>
              <w:spacing w:line="560" w:lineRule="exact"/>
              <w:jc w:val="center"/>
              <w:rPr>
                <w:color w:val="auto"/>
                <w:sz w:val="28"/>
                <w:highlight w:val="none"/>
              </w:rPr>
            </w:pPr>
          </w:p>
        </w:tc>
        <w:tc>
          <w:tcPr>
            <w:tcW w:w="2848" w:type="dxa"/>
            <w:tcBorders>
              <w:bottom w:val="single" w:color="000000" w:sz="4" w:space="0"/>
            </w:tcBorders>
            <w:vAlign w:val="center"/>
          </w:tcPr>
          <w:p w14:paraId="104AD947">
            <w:pPr>
              <w:spacing w:line="560" w:lineRule="exact"/>
              <w:jc w:val="left"/>
              <w:rPr>
                <w:color w:val="auto"/>
                <w:sz w:val="28"/>
                <w:highlight w:val="none"/>
              </w:rPr>
            </w:pPr>
          </w:p>
        </w:tc>
        <w:tc>
          <w:tcPr>
            <w:tcW w:w="1027" w:type="dxa"/>
            <w:tcBorders>
              <w:bottom w:val="single" w:color="000000" w:sz="4" w:space="0"/>
              <w:right w:val="single" w:color="000000" w:sz="4" w:space="0"/>
            </w:tcBorders>
            <w:vAlign w:val="center"/>
          </w:tcPr>
          <w:p w14:paraId="300B4000">
            <w:pPr>
              <w:spacing w:line="560" w:lineRule="exact"/>
              <w:jc w:val="center"/>
              <w:rPr>
                <w:color w:val="auto"/>
                <w:sz w:val="28"/>
                <w:highlight w:val="none"/>
              </w:rPr>
            </w:pPr>
          </w:p>
        </w:tc>
        <w:tc>
          <w:tcPr>
            <w:tcW w:w="711" w:type="dxa"/>
            <w:tcBorders>
              <w:bottom w:val="single" w:color="000000" w:sz="4" w:space="0"/>
              <w:right w:val="single" w:color="000000" w:sz="4" w:space="0"/>
            </w:tcBorders>
            <w:vAlign w:val="center"/>
          </w:tcPr>
          <w:p w14:paraId="13087465">
            <w:pPr>
              <w:spacing w:line="560" w:lineRule="exact"/>
              <w:jc w:val="center"/>
              <w:rPr>
                <w:color w:val="auto"/>
                <w:sz w:val="28"/>
                <w:highlight w:val="none"/>
              </w:rPr>
            </w:pPr>
          </w:p>
        </w:tc>
        <w:tc>
          <w:tcPr>
            <w:tcW w:w="948" w:type="dxa"/>
            <w:tcBorders>
              <w:bottom w:val="single" w:color="000000" w:sz="4" w:space="0"/>
              <w:right w:val="single" w:color="000000" w:sz="4" w:space="0"/>
            </w:tcBorders>
            <w:vAlign w:val="center"/>
          </w:tcPr>
          <w:p w14:paraId="2C6B3084">
            <w:pPr>
              <w:spacing w:line="560" w:lineRule="exact"/>
              <w:jc w:val="center"/>
              <w:rPr>
                <w:color w:val="auto"/>
                <w:sz w:val="28"/>
                <w:highlight w:val="none"/>
              </w:rPr>
            </w:pPr>
          </w:p>
        </w:tc>
        <w:tc>
          <w:tcPr>
            <w:tcW w:w="1177" w:type="dxa"/>
            <w:tcBorders>
              <w:bottom w:val="single" w:color="000000" w:sz="4" w:space="0"/>
              <w:right w:val="single" w:color="000000" w:sz="8" w:space="0"/>
            </w:tcBorders>
            <w:vAlign w:val="center"/>
          </w:tcPr>
          <w:p w14:paraId="1ACB22BD">
            <w:pPr>
              <w:spacing w:line="560" w:lineRule="exact"/>
              <w:jc w:val="center"/>
              <w:rPr>
                <w:color w:val="auto"/>
                <w:sz w:val="28"/>
                <w:highlight w:val="none"/>
              </w:rPr>
            </w:pPr>
          </w:p>
        </w:tc>
      </w:tr>
      <w:tr w14:paraId="3C29B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 w:hRule="atLeast"/>
        </w:trPr>
        <w:tc>
          <w:tcPr>
            <w:tcW w:w="608" w:type="dxa"/>
            <w:tcBorders>
              <w:left w:val="single" w:color="000000" w:sz="8" w:space="0"/>
              <w:bottom w:val="single" w:color="000000" w:sz="4" w:space="0"/>
              <w:right w:val="single" w:color="000000" w:sz="4" w:space="0"/>
            </w:tcBorders>
            <w:vAlign w:val="center"/>
          </w:tcPr>
          <w:p w14:paraId="08B1C1C4">
            <w:pPr>
              <w:spacing w:line="560" w:lineRule="exact"/>
              <w:jc w:val="center"/>
              <w:rPr>
                <w:color w:val="auto"/>
                <w:sz w:val="28"/>
                <w:highlight w:val="none"/>
              </w:rPr>
            </w:pPr>
            <w:r>
              <w:rPr>
                <w:color w:val="auto"/>
                <w:highlight w:val="none"/>
              </w:rPr>
              <w:t>2</w:t>
            </w:r>
          </w:p>
        </w:tc>
        <w:tc>
          <w:tcPr>
            <w:tcW w:w="2134" w:type="dxa"/>
            <w:tcBorders>
              <w:bottom w:val="single" w:color="000000" w:sz="4" w:space="0"/>
              <w:right w:val="single" w:color="000000" w:sz="4" w:space="0"/>
            </w:tcBorders>
            <w:vAlign w:val="center"/>
          </w:tcPr>
          <w:p w14:paraId="38CD28FF">
            <w:pPr>
              <w:spacing w:line="560" w:lineRule="exact"/>
              <w:jc w:val="center"/>
              <w:rPr>
                <w:color w:val="auto"/>
                <w:sz w:val="28"/>
                <w:highlight w:val="none"/>
              </w:rPr>
            </w:pPr>
          </w:p>
        </w:tc>
        <w:tc>
          <w:tcPr>
            <w:tcW w:w="2848" w:type="dxa"/>
            <w:tcBorders>
              <w:bottom w:val="single" w:color="000000" w:sz="4" w:space="0"/>
            </w:tcBorders>
            <w:vAlign w:val="center"/>
          </w:tcPr>
          <w:p w14:paraId="1C1EDCED">
            <w:pPr>
              <w:spacing w:line="560" w:lineRule="exact"/>
              <w:jc w:val="left"/>
              <w:rPr>
                <w:color w:val="auto"/>
                <w:sz w:val="28"/>
                <w:highlight w:val="none"/>
              </w:rPr>
            </w:pPr>
          </w:p>
        </w:tc>
        <w:tc>
          <w:tcPr>
            <w:tcW w:w="1027" w:type="dxa"/>
            <w:tcBorders>
              <w:bottom w:val="single" w:color="000000" w:sz="4" w:space="0"/>
              <w:right w:val="single" w:color="000000" w:sz="4" w:space="0"/>
            </w:tcBorders>
            <w:vAlign w:val="center"/>
          </w:tcPr>
          <w:p w14:paraId="5824C7E2">
            <w:pPr>
              <w:spacing w:line="560" w:lineRule="exact"/>
              <w:jc w:val="center"/>
              <w:rPr>
                <w:color w:val="auto"/>
                <w:sz w:val="28"/>
                <w:highlight w:val="none"/>
              </w:rPr>
            </w:pPr>
          </w:p>
        </w:tc>
        <w:tc>
          <w:tcPr>
            <w:tcW w:w="711" w:type="dxa"/>
            <w:tcBorders>
              <w:bottom w:val="single" w:color="000000" w:sz="4" w:space="0"/>
              <w:right w:val="single" w:color="000000" w:sz="4" w:space="0"/>
            </w:tcBorders>
            <w:vAlign w:val="center"/>
          </w:tcPr>
          <w:p w14:paraId="6BFB2436">
            <w:pPr>
              <w:spacing w:line="560" w:lineRule="exact"/>
              <w:jc w:val="center"/>
              <w:rPr>
                <w:color w:val="auto"/>
                <w:sz w:val="28"/>
                <w:highlight w:val="none"/>
              </w:rPr>
            </w:pPr>
          </w:p>
        </w:tc>
        <w:tc>
          <w:tcPr>
            <w:tcW w:w="948" w:type="dxa"/>
            <w:tcBorders>
              <w:bottom w:val="single" w:color="000000" w:sz="4" w:space="0"/>
              <w:right w:val="single" w:color="000000" w:sz="4" w:space="0"/>
            </w:tcBorders>
            <w:vAlign w:val="center"/>
          </w:tcPr>
          <w:p w14:paraId="46DD264C">
            <w:pPr>
              <w:spacing w:line="560" w:lineRule="exact"/>
              <w:jc w:val="center"/>
              <w:rPr>
                <w:color w:val="auto"/>
                <w:sz w:val="28"/>
                <w:highlight w:val="none"/>
              </w:rPr>
            </w:pPr>
          </w:p>
        </w:tc>
        <w:tc>
          <w:tcPr>
            <w:tcW w:w="1177" w:type="dxa"/>
            <w:tcBorders>
              <w:bottom w:val="single" w:color="000000" w:sz="4" w:space="0"/>
              <w:right w:val="single" w:color="000000" w:sz="8" w:space="0"/>
            </w:tcBorders>
            <w:vAlign w:val="center"/>
          </w:tcPr>
          <w:p w14:paraId="44058C67">
            <w:pPr>
              <w:spacing w:line="560" w:lineRule="exact"/>
              <w:jc w:val="center"/>
              <w:rPr>
                <w:color w:val="auto"/>
                <w:sz w:val="28"/>
                <w:highlight w:val="none"/>
              </w:rPr>
            </w:pPr>
          </w:p>
        </w:tc>
      </w:tr>
      <w:tr w14:paraId="10E26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trPr>
        <w:tc>
          <w:tcPr>
            <w:tcW w:w="608" w:type="dxa"/>
            <w:tcBorders>
              <w:left w:val="single" w:color="000000" w:sz="8" w:space="0"/>
              <w:bottom w:val="single" w:color="000000" w:sz="4" w:space="0"/>
              <w:right w:val="single" w:color="000000" w:sz="4" w:space="0"/>
            </w:tcBorders>
            <w:vAlign w:val="center"/>
          </w:tcPr>
          <w:p w14:paraId="59D083AF">
            <w:pPr>
              <w:spacing w:line="560" w:lineRule="exact"/>
              <w:jc w:val="center"/>
              <w:rPr>
                <w:color w:val="auto"/>
                <w:sz w:val="28"/>
                <w:highlight w:val="none"/>
              </w:rPr>
            </w:pPr>
            <w:r>
              <w:rPr>
                <w:color w:val="auto"/>
                <w:highlight w:val="none"/>
              </w:rPr>
              <w:t>3</w:t>
            </w:r>
          </w:p>
        </w:tc>
        <w:tc>
          <w:tcPr>
            <w:tcW w:w="2134" w:type="dxa"/>
            <w:tcBorders>
              <w:bottom w:val="single" w:color="000000" w:sz="4" w:space="0"/>
              <w:right w:val="single" w:color="000000" w:sz="4" w:space="0"/>
            </w:tcBorders>
            <w:vAlign w:val="center"/>
          </w:tcPr>
          <w:p w14:paraId="5D3E93CD">
            <w:pPr>
              <w:spacing w:line="560" w:lineRule="exact"/>
              <w:jc w:val="center"/>
              <w:rPr>
                <w:color w:val="auto"/>
                <w:sz w:val="28"/>
                <w:highlight w:val="none"/>
              </w:rPr>
            </w:pPr>
          </w:p>
        </w:tc>
        <w:tc>
          <w:tcPr>
            <w:tcW w:w="2848" w:type="dxa"/>
            <w:tcBorders>
              <w:bottom w:val="single" w:color="000000" w:sz="4" w:space="0"/>
            </w:tcBorders>
            <w:vAlign w:val="center"/>
          </w:tcPr>
          <w:p w14:paraId="4308224B">
            <w:pPr>
              <w:spacing w:line="560" w:lineRule="exact"/>
              <w:jc w:val="left"/>
              <w:rPr>
                <w:color w:val="auto"/>
                <w:sz w:val="28"/>
                <w:highlight w:val="none"/>
              </w:rPr>
            </w:pPr>
          </w:p>
        </w:tc>
        <w:tc>
          <w:tcPr>
            <w:tcW w:w="1027" w:type="dxa"/>
            <w:tcBorders>
              <w:bottom w:val="single" w:color="000000" w:sz="4" w:space="0"/>
              <w:right w:val="single" w:color="000000" w:sz="4" w:space="0"/>
            </w:tcBorders>
            <w:vAlign w:val="center"/>
          </w:tcPr>
          <w:p w14:paraId="41B04E1D">
            <w:pPr>
              <w:spacing w:line="560" w:lineRule="exact"/>
              <w:jc w:val="center"/>
              <w:rPr>
                <w:color w:val="auto"/>
                <w:sz w:val="28"/>
                <w:highlight w:val="none"/>
              </w:rPr>
            </w:pPr>
          </w:p>
        </w:tc>
        <w:tc>
          <w:tcPr>
            <w:tcW w:w="711" w:type="dxa"/>
            <w:tcBorders>
              <w:bottom w:val="single" w:color="000000" w:sz="4" w:space="0"/>
              <w:right w:val="single" w:color="000000" w:sz="4" w:space="0"/>
            </w:tcBorders>
            <w:vAlign w:val="center"/>
          </w:tcPr>
          <w:p w14:paraId="538E148E">
            <w:pPr>
              <w:spacing w:line="560" w:lineRule="exact"/>
              <w:jc w:val="center"/>
              <w:rPr>
                <w:color w:val="auto"/>
                <w:sz w:val="28"/>
                <w:highlight w:val="none"/>
              </w:rPr>
            </w:pPr>
          </w:p>
        </w:tc>
        <w:tc>
          <w:tcPr>
            <w:tcW w:w="948" w:type="dxa"/>
            <w:tcBorders>
              <w:bottom w:val="single" w:color="000000" w:sz="4" w:space="0"/>
              <w:right w:val="single" w:color="000000" w:sz="4" w:space="0"/>
            </w:tcBorders>
            <w:vAlign w:val="center"/>
          </w:tcPr>
          <w:p w14:paraId="1D20BBA1">
            <w:pPr>
              <w:spacing w:line="560" w:lineRule="exact"/>
              <w:jc w:val="center"/>
              <w:rPr>
                <w:color w:val="auto"/>
                <w:sz w:val="28"/>
                <w:highlight w:val="none"/>
              </w:rPr>
            </w:pPr>
          </w:p>
        </w:tc>
        <w:tc>
          <w:tcPr>
            <w:tcW w:w="1177" w:type="dxa"/>
            <w:tcBorders>
              <w:bottom w:val="single" w:color="000000" w:sz="4" w:space="0"/>
              <w:right w:val="single" w:color="000000" w:sz="8" w:space="0"/>
            </w:tcBorders>
            <w:vAlign w:val="center"/>
          </w:tcPr>
          <w:p w14:paraId="7D7F123E">
            <w:pPr>
              <w:spacing w:line="560" w:lineRule="exact"/>
              <w:jc w:val="center"/>
              <w:rPr>
                <w:color w:val="auto"/>
                <w:sz w:val="28"/>
                <w:highlight w:val="none"/>
              </w:rPr>
            </w:pPr>
          </w:p>
        </w:tc>
      </w:tr>
      <w:tr w14:paraId="040A5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trPr>
        <w:tc>
          <w:tcPr>
            <w:tcW w:w="608" w:type="dxa"/>
            <w:tcBorders>
              <w:left w:val="single" w:color="000000" w:sz="8" w:space="0"/>
              <w:bottom w:val="single" w:color="000000" w:sz="4" w:space="0"/>
              <w:right w:val="single" w:color="000000" w:sz="4" w:space="0"/>
            </w:tcBorders>
            <w:vAlign w:val="center"/>
          </w:tcPr>
          <w:p w14:paraId="6C7B59A5">
            <w:pPr>
              <w:spacing w:line="560" w:lineRule="exact"/>
              <w:jc w:val="center"/>
              <w:rPr>
                <w:color w:val="auto"/>
                <w:sz w:val="28"/>
                <w:highlight w:val="none"/>
              </w:rPr>
            </w:pPr>
            <w:r>
              <w:rPr>
                <w:color w:val="auto"/>
                <w:highlight w:val="none"/>
              </w:rPr>
              <w:t>4</w:t>
            </w:r>
          </w:p>
        </w:tc>
        <w:tc>
          <w:tcPr>
            <w:tcW w:w="2134" w:type="dxa"/>
            <w:tcBorders>
              <w:bottom w:val="single" w:color="000000" w:sz="4" w:space="0"/>
              <w:right w:val="single" w:color="000000" w:sz="4" w:space="0"/>
            </w:tcBorders>
            <w:vAlign w:val="center"/>
          </w:tcPr>
          <w:p w14:paraId="45B8B6B9">
            <w:pPr>
              <w:spacing w:line="560" w:lineRule="exact"/>
              <w:jc w:val="center"/>
              <w:rPr>
                <w:color w:val="auto"/>
                <w:sz w:val="28"/>
                <w:highlight w:val="none"/>
              </w:rPr>
            </w:pPr>
          </w:p>
        </w:tc>
        <w:tc>
          <w:tcPr>
            <w:tcW w:w="2848" w:type="dxa"/>
            <w:tcBorders>
              <w:bottom w:val="single" w:color="000000" w:sz="4" w:space="0"/>
            </w:tcBorders>
            <w:vAlign w:val="center"/>
          </w:tcPr>
          <w:p w14:paraId="05408555">
            <w:pPr>
              <w:spacing w:line="560" w:lineRule="exact"/>
              <w:jc w:val="center"/>
              <w:rPr>
                <w:color w:val="auto"/>
                <w:sz w:val="28"/>
                <w:highlight w:val="none"/>
              </w:rPr>
            </w:pPr>
          </w:p>
        </w:tc>
        <w:tc>
          <w:tcPr>
            <w:tcW w:w="1027" w:type="dxa"/>
            <w:tcBorders>
              <w:bottom w:val="single" w:color="000000" w:sz="4" w:space="0"/>
              <w:right w:val="single" w:color="000000" w:sz="4" w:space="0"/>
            </w:tcBorders>
            <w:vAlign w:val="center"/>
          </w:tcPr>
          <w:p w14:paraId="54064CCA">
            <w:pPr>
              <w:spacing w:line="560" w:lineRule="exact"/>
              <w:jc w:val="center"/>
              <w:rPr>
                <w:color w:val="auto"/>
                <w:sz w:val="28"/>
                <w:highlight w:val="none"/>
              </w:rPr>
            </w:pPr>
          </w:p>
        </w:tc>
        <w:tc>
          <w:tcPr>
            <w:tcW w:w="711" w:type="dxa"/>
            <w:tcBorders>
              <w:bottom w:val="single" w:color="000000" w:sz="4" w:space="0"/>
              <w:right w:val="single" w:color="000000" w:sz="4" w:space="0"/>
            </w:tcBorders>
            <w:vAlign w:val="center"/>
          </w:tcPr>
          <w:p w14:paraId="36DC4E18">
            <w:pPr>
              <w:spacing w:line="560" w:lineRule="exact"/>
              <w:jc w:val="center"/>
              <w:rPr>
                <w:color w:val="auto"/>
                <w:sz w:val="28"/>
                <w:highlight w:val="none"/>
              </w:rPr>
            </w:pPr>
          </w:p>
        </w:tc>
        <w:tc>
          <w:tcPr>
            <w:tcW w:w="948" w:type="dxa"/>
            <w:tcBorders>
              <w:bottom w:val="single" w:color="000000" w:sz="4" w:space="0"/>
              <w:right w:val="single" w:color="000000" w:sz="4" w:space="0"/>
            </w:tcBorders>
            <w:vAlign w:val="center"/>
          </w:tcPr>
          <w:p w14:paraId="6DB90F88">
            <w:pPr>
              <w:spacing w:line="560" w:lineRule="exact"/>
              <w:jc w:val="center"/>
              <w:rPr>
                <w:color w:val="auto"/>
                <w:sz w:val="28"/>
                <w:highlight w:val="none"/>
              </w:rPr>
            </w:pPr>
          </w:p>
        </w:tc>
        <w:tc>
          <w:tcPr>
            <w:tcW w:w="1177" w:type="dxa"/>
            <w:tcBorders>
              <w:bottom w:val="single" w:color="000000" w:sz="4" w:space="0"/>
              <w:right w:val="single" w:color="000000" w:sz="8" w:space="0"/>
            </w:tcBorders>
            <w:vAlign w:val="center"/>
          </w:tcPr>
          <w:p w14:paraId="0E9880FB">
            <w:pPr>
              <w:spacing w:line="560" w:lineRule="exact"/>
              <w:jc w:val="center"/>
              <w:rPr>
                <w:color w:val="auto"/>
                <w:sz w:val="28"/>
                <w:highlight w:val="none"/>
              </w:rPr>
            </w:pPr>
          </w:p>
        </w:tc>
      </w:tr>
      <w:tr w14:paraId="29B78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atLeast"/>
        </w:trPr>
        <w:tc>
          <w:tcPr>
            <w:tcW w:w="608" w:type="dxa"/>
            <w:tcBorders>
              <w:left w:val="single" w:color="000000" w:sz="8" w:space="0"/>
              <w:bottom w:val="single" w:color="000000" w:sz="4" w:space="0"/>
              <w:right w:val="single" w:color="000000" w:sz="4" w:space="0"/>
            </w:tcBorders>
            <w:vAlign w:val="center"/>
          </w:tcPr>
          <w:p w14:paraId="1A3D288D">
            <w:pPr>
              <w:spacing w:line="560" w:lineRule="exact"/>
              <w:jc w:val="center"/>
              <w:rPr>
                <w:color w:val="auto"/>
                <w:sz w:val="28"/>
                <w:highlight w:val="none"/>
              </w:rPr>
            </w:pPr>
            <w:r>
              <w:rPr>
                <w:color w:val="auto"/>
                <w:highlight w:val="none"/>
              </w:rPr>
              <w:t>5</w:t>
            </w:r>
          </w:p>
        </w:tc>
        <w:tc>
          <w:tcPr>
            <w:tcW w:w="2134" w:type="dxa"/>
            <w:tcBorders>
              <w:bottom w:val="single" w:color="000000" w:sz="4" w:space="0"/>
              <w:right w:val="single" w:color="000000" w:sz="4" w:space="0"/>
            </w:tcBorders>
            <w:vAlign w:val="center"/>
          </w:tcPr>
          <w:p w14:paraId="2E040566">
            <w:pPr>
              <w:spacing w:line="560" w:lineRule="exact"/>
              <w:jc w:val="center"/>
              <w:rPr>
                <w:color w:val="auto"/>
                <w:sz w:val="28"/>
                <w:highlight w:val="none"/>
              </w:rPr>
            </w:pPr>
          </w:p>
        </w:tc>
        <w:tc>
          <w:tcPr>
            <w:tcW w:w="2848" w:type="dxa"/>
            <w:tcBorders>
              <w:bottom w:val="single" w:color="000000" w:sz="4" w:space="0"/>
            </w:tcBorders>
            <w:vAlign w:val="center"/>
          </w:tcPr>
          <w:p w14:paraId="7DE675F5">
            <w:pPr>
              <w:spacing w:line="560" w:lineRule="exact"/>
              <w:jc w:val="center"/>
              <w:rPr>
                <w:color w:val="auto"/>
                <w:sz w:val="28"/>
                <w:highlight w:val="none"/>
              </w:rPr>
            </w:pPr>
          </w:p>
        </w:tc>
        <w:tc>
          <w:tcPr>
            <w:tcW w:w="1027" w:type="dxa"/>
            <w:tcBorders>
              <w:bottom w:val="single" w:color="000000" w:sz="4" w:space="0"/>
              <w:right w:val="single" w:color="000000" w:sz="4" w:space="0"/>
            </w:tcBorders>
            <w:vAlign w:val="center"/>
          </w:tcPr>
          <w:p w14:paraId="01EF1AB7">
            <w:pPr>
              <w:spacing w:line="560" w:lineRule="exact"/>
              <w:jc w:val="center"/>
              <w:rPr>
                <w:color w:val="auto"/>
                <w:sz w:val="28"/>
                <w:highlight w:val="none"/>
              </w:rPr>
            </w:pPr>
          </w:p>
        </w:tc>
        <w:tc>
          <w:tcPr>
            <w:tcW w:w="711" w:type="dxa"/>
            <w:tcBorders>
              <w:bottom w:val="single" w:color="000000" w:sz="4" w:space="0"/>
              <w:right w:val="single" w:color="000000" w:sz="4" w:space="0"/>
            </w:tcBorders>
            <w:vAlign w:val="center"/>
          </w:tcPr>
          <w:p w14:paraId="0DFFD0A8">
            <w:pPr>
              <w:spacing w:line="560" w:lineRule="exact"/>
              <w:jc w:val="center"/>
              <w:rPr>
                <w:color w:val="auto"/>
                <w:sz w:val="28"/>
                <w:highlight w:val="none"/>
              </w:rPr>
            </w:pPr>
          </w:p>
        </w:tc>
        <w:tc>
          <w:tcPr>
            <w:tcW w:w="948" w:type="dxa"/>
            <w:tcBorders>
              <w:bottom w:val="single" w:color="000000" w:sz="4" w:space="0"/>
              <w:right w:val="single" w:color="000000" w:sz="4" w:space="0"/>
            </w:tcBorders>
            <w:vAlign w:val="center"/>
          </w:tcPr>
          <w:p w14:paraId="1432358F">
            <w:pPr>
              <w:spacing w:line="560" w:lineRule="exact"/>
              <w:jc w:val="center"/>
              <w:rPr>
                <w:color w:val="auto"/>
                <w:sz w:val="28"/>
                <w:highlight w:val="none"/>
              </w:rPr>
            </w:pPr>
          </w:p>
        </w:tc>
        <w:tc>
          <w:tcPr>
            <w:tcW w:w="1177" w:type="dxa"/>
            <w:tcBorders>
              <w:bottom w:val="single" w:color="000000" w:sz="4" w:space="0"/>
              <w:right w:val="single" w:color="000000" w:sz="8" w:space="0"/>
            </w:tcBorders>
            <w:vAlign w:val="center"/>
          </w:tcPr>
          <w:p w14:paraId="0EF37ADD">
            <w:pPr>
              <w:spacing w:line="560" w:lineRule="exact"/>
              <w:jc w:val="center"/>
              <w:rPr>
                <w:color w:val="auto"/>
                <w:sz w:val="28"/>
                <w:highlight w:val="none"/>
              </w:rPr>
            </w:pPr>
          </w:p>
        </w:tc>
      </w:tr>
      <w:tr w14:paraId="1D6D0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trPr>
        <w:tc>
          <w:tcPr>
            <w:tcW w:w="608" w:type="dxa"/>
            <w:tcBorders>
              <w:left w:val="single" w:color="000000" w:sz="8" w:space="0"/>
              <w:bottom w:val="single" w:color="000000" w:sz="4" w:space="0"/>
              <w:right w:val="single" w:color="000000" w:sz="4" w:space="0"/>
            </w:tcBorders>
            <w:vAlign w:val="center"/>
          </w:tcPr>
          <w:p w14:paraId="16CE1FB3">
            <w:pPr>
              <w:spacing w:line="560" w:lineRule="exact"/>
              <w:jc w:val="center"/>
              <w:rPr>
                <w:color w:val="auto"/>
                <w:sz w:val="28"/>
                <w:highlight w:val="none"/>
              </w:rPr>
            </w:pPr>
            <w:r>
              <w:rPr>
                <w:color w:val="auto"/>
                <w:highlight w:val="none"/>
              </w:rPr>
              <w:t>6</w:t>
            </w:r>
          </w:p>
        </w:tc>
        <w:tc>
          <w:tcPr>
            <w:tcW w:w="2134" w:type="dxa"/>
            <w:tcBorders>
              <w:bottom w:val="single" w:color="000000" w:sz="4" w:space="0"/>
              <w:right w:val="single" w:color="000000" w:sz="4" w:space="0"/>
            </w:tcBorders>
            <w:vAlign w:val="center"/>
          </w:tcPr>
          <w:p w14:paraId="1D0D5226">
            <w:pPr>
              <w:spacing w:line="560" w:lineRule="exact"/>
              <w:jc w:val="center"/>
              <w:rPr>
                <w:color w:val="auto"/>
                <w:sz w:val="28"/>
                <w:highlight w:val="none"/>
              </w:rPr>
            </w:pPr>
          </w:p>
        </w:tc>
        <w:tc>
          <w:tcPr>
            <w:tcW w:w="2848" w:type="dxa"/>
            <w:tcBorders>
              <w:bottom w:val="single" w:color="000000" w:sz="4" w:space="0"/>
            </w:tcBorders>
            <w:vAlign w:val="center"/>
          </w:tcPr>
          <w:p w14:paraId="1B3C250D">
            <w:pPr>
              <w:spacing w:line="560" w:lineRule="exact"/>
              <w:jc w:val="center"/>
              <w:rPr>
                <w:color w:val="auto"/>
                <w:sz w:val="28"/>
                <w:highlight w:val="none"/>
              </w:rPr>
            </w:pPr>
          </w:p>
        </w:tc>
        <w:tc>
          <w:tcPr>
            <w:tcW w:w="1027" w:type="dxa"/>
            <w:tcBorders>
              <w:bottom w:val="single" w:color="000000" w:sz="4" w:space="0"/>
              <w:right w:val="single" w:color="000000" w:sz="4" w:space="0"/>
            </w:tcBorders>
            <w:vAlign w:val="center"/>
          </w:tcPr>
          <w:p w14:paraId="50C072D8">
            <w:pPr>
              <w:spacing w:line="560" w:lineRule="exact"/>
              <w:jc w:val="center"/>
              <w:rPr>
                <w:color w:val="auto"/>
                <w:sz w:val="28"/>
                <w:highlight w:val="none"/>
              </w:rPr>
            </w:pPr>
          </w:p>
        </w:tc>
        <w:tc>
          <w:tcPr>
            <w:tcW w:w="711" w:type="dxa"/>
            <w:tcBorders>
              <w:bottom w:val="single" w:color="000000" w:sz="4" w:space="0"/>
              <w:right w:val="single" w:color="000000" w:sz="4" w:space="0"/>
            </w:tcBorders>
            <w:vAlign w:val="center"/>
          </w:tcPr>
          <w:p w14:paraId="5E97827C">
            <w:pPr>
              <w:spacing w:line="560" w:lineRule="exact"/>
              <w:jc w:val="center"/>
              <w:rPr>
                <w:color w:val="auto"/>
                <w:sz w:val="28"/>
                <w:highlight w:val="none"/>
              </w:rPr>
            </w:pPr>
          </w:p>
        </w:tc>
        <w:tc>
          <w:tcPr>
            <w:tcW w:w="948" w:type="dxa"/>
            <w:tcBorders>
              <w:bottom w:val="single" w:color="000000" w:sz="4" w:space="0"/>
              <w:right w:val="single" w:color="000000" w:sz="4" w:space="0"/>
            </w:tcBorders>
            <w:vAlign w:val="center"/>
          </w:tcPr>
          <w:p w14:paraId="01AC8BBD">
            <w:pPr>
              <w:spacing w:line="560" w:lineRule="exact"/>
              <w:jc w:val="center"/>
              <w:rPr>
                <w:color w:val="auto"/>
                <w:sz w:val="28"/>
                <w:highlight w:val="none"/>
              </w:rPr>
            </w:pPr>
          </w:p>
        </w:tc>
        <w:tc>
          <w:tcPr>
            <w:tcW w:w="1177" w:type="dxa"/>
            <w:tcBorders>
              <w:bottom w:val="single" w:color="000000" w:sz="4" w:space="0"/>
              <w:right w:val="single" w:color="000000" w:sz="8" w:space="0"/>
            </w:tcBorders>
            <w:vAlign w:val="center"/>
          </w:tcPr>
          <w:p w14:paraId="0F987C37">
            <w:pPr>
              <w:spacing w:line="560" w:lineRule="exact"/>
              <w:jc w:val="center"/>
              <w:rPr>
                <w:color w:val="auto"/>
                <w:sz w:val="28"/>
                <w:highlight w:val="none"/>
              </w:rPr>
            </w:pPr>
          </w:p>
        </w:tc>
      </w:tr>
      <w:tr w14:paraId="2A422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 w:hRule="atLeast"/>
        </w:trPr>
        <w:tc>
          <w:tcPr>
            <w:tcW w:w="608" w:type="dxa"/>
            <w:tcBorders>
              <w:left w:val="single" w:color="000000" w:sz="8" w:space="0"/>
              <w:bottom w:val="single" w:color="000000" w:sz="4" w:space="0"/>
              <w:right w:val="single" w:color="000000" w:sz="4" w:space="0"/>
            </w:tcBorders>
            <w:vAlign w:val="center"/>
          </w:tcPr>
          <w:p w14:paraId="22330110">
            <w:pPr>
              <w:spacing w:line="560" w:lineRule="exact"/>
              <w:jc w:val="center"/>
              <w:rPr>
                <w:color w:val="auto"/>
                <w:sz w:val="28"/>
                <w:highlight w:val="none"/>
              </w:rPr>
            </w:pPr>
            <w:r>
              <w:rPr>
                <w:color w:val="auto"/>
                <w:highlight w:val="none"/>
              </w:rPr>
              <w:t>7</w:t>
            </w:r>
          </w:p>
        </w:tc>
        <w:tc>
          <w:tcPr>
            <w:tcW w:w="2134" w:type="dxa"/>
            <w:tcBorders>
              <w:bottom w:val="single" w:color="000000" w:sz="4" w:space="0"/>
              <w:right w:val="single" w:color="000000" w:sz="4" w:space="0"/>
            </w:tcBorders>
            <w:vAlign w:val="center"/>
          </w:tcPr>
          <w:p w14:paraId="793AD94E">
            <w:pPr>
              <w:spacing w:line="560" w:lineRule="exact"/>
              <w:jc w:val="center"/>
              <w:rPr>
                <w:color w:val="auto"/>
                <w:sz w:val="28"/>
                <w:highlight w:val="none"/>
              </w:rPr>
            </w:pPr>
          </w:p>
        </w:tc>
        <w:tc>
          <w:tcPr>
            <w:tcW w:w="2848" w:type="dxa"/>
            <w:tcBorders>
              <w:bottom w:val="single" w:color="000000" w:sz="4" w:space="0"/>
            </w:tcBorders>
            <w:vAlign w:val="center"/>
          </w:tcPr>
          <w:p w14:paraId="531C4FDF">
            <w:pPr>
              <w:spacing w:line="560" w:lineRule="exact"/>
              <w:jc w:val="center"/>
              <w:rPr>
                <w:color w:val="auto"/>
                <w:sz w:val="28"/>
                <w:highlight w:val="none"/>
              </w:rPr>
            </w:pPr>
          </w:p>
        </w:tc>
        <w:tc>
          <w:tcPr>
            <w:tcW w:w="1027" w:type="dxa"/>
            <w:tcBorders>
              <w:bottom w:val="single" w:color="000000" w:sz="4" w:space="0"/>
              <w:right w:val="single" w:color="000000" w:sz="4" w:space="0"/>
            </w:tcBorders>
            <w:vAlign w:val="center"/>
          </w:tcPr>
          <w:p w14:paraId="06BFFD61">
            <w:pPr>
              <w:spacing w:line="560" w:lineRule="exact"/>
              <w:jc w:val="center"/>
              <w:rPr>
                <w:color w:val="auto"/>
                <w:sz w:val="28"/>
                <w:highlight w:val="none"/>
              </w:rPr>
            </w:pPr>
          </w:p>
        </w:tc>
        <w:tc>
          <w:tcPr>
            <w:tcW w:w="711" w:type="dxa"/>
            <w:tcBorders>
              <w:bottom w:val="single" w:color="000000" w:sz="4" w:space="0"/>
              <w:right w:val="single" w:color="000000" w:sz="4" w:space="0"/>
            </w:tcBorders>
            <w:vAlign w:val="center"/>
          </w:tcPr>
          <w:p w14:paraId="5E10CAD9">
            <w:pPr>
              <w:spacing w:line="560" w:lineRule="exact"/>
              <w:jc w:val="center"/>
              <w:rPr>
                <w:color w:val="auto"/>
                <w:sz w:val="28"/>
                <w:highlight w:val="none"/>
              </w:rPr>
            </w:pPr>
          </w:p>
        </w:tc>
        <w:tc>
          <w:tcPr>
            <w:tcW w:w="948" w:type="dxa"/>
            <w:tcBorders>
              <w:bottom w:val="single" w:color="000000" w:sz="4" w:space="0"/>
              <w:right w:val="single" w:color="000000" w:sz="4" w:space="0"/>
            </w:tcBorders>
            <w:vAlign w:val="center"/>
          </w:tcPr>
          <w:p w14:paraId="164258C0">
            <w:pPr>
              <w:spacing w:line="560" w:lineRule="exact"/>
              <w:jc w:val="center"/>
              <w:rPr>
                <w:color w:val="auto"/>
                <w:sz w:val="28"/>
                <w:highlight w:val="none"/>
              </w:rPr>
            </w:pPr>
          </w:p>
        </w:tc>
        <w:tc>
          <w:tcPr>
            <w:tcW w:w="1177" w:type="dxa"/>
            <w:tcBorders>
              <w:bottom w:val="single" w:color="000000" w:sz="4" w:space="0"/>
              <w:right w:val="single" w:color="000000" w:sz="8" w:space="0"/>
            </w:tcBorders>
            <w:vAlign w:val="center"/>
          </w:tcPr>
          <w:p w14:paraId="3173CD47">
            <w:pPr>
              <w:spacing w:line="560" w:lineRule="exact"/>
              <w:jc w:val="center"/>
              <w:rPr>
                <w:color w:val="auto"/>
                <w:sz w:val="28"/>
                <w:highlight w:val="none"/>
              </w:rPr>
            </w:pPr>
          </w:p>
        </w:tc>
      </w:tr>
      <w:tr w14:paraId="4AD5C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trPr>
        <w:tc>
          <w:tcPr>
            <w:tcW w:w="608" w:type="dxa"/>
            <w:tcBorders>
              <w:left w:val="single" w:color="000000" w:sz="8" w:space="0"/>
              <w:bottom w:val="single" w:color="000000" w:sz="4" w:space="0"/>
              <w:right w:val="single" w:color="000000" w:sz="4" w:space="0"/>
            </w:tcBorders>
            <w:vAlign w:val="center"/>
          </w:tcPr>
          <w:p w14:paraId="13412952">
            <w:pPr>
              <w:spacing w:line="560" w:lineRule="exact"/>
              <w:jc w:val="center"/>
              <w:rPr>
                <w:color w:val="auto"/>
                <w:sz w:val="28"/>
                <w:highlight w:val="none"/>
              </w:rPr>
            </w:pPr>
            <w:r>
              <w:rPr>
                <w:color w:val="auto"/>
                <w:highlight w:val="none"/>
              </w:rPr>
              <w:t>8</w:t>
            </w:r>
          </w:p>
        </w:tc>
        <w:tc>
          <w:tcPr>
            <w:tcW w:w="2134" w:type="dxa"/>
            <w:tcBorders>
              <w:bottom w:val="single" w:color="000000" w:sz="4" w:space="0"/>
              <w:right w:val="single" w:color="000000" w:sz="4" w:space="0"/>
            </w:tcBorders>
            <w:vAlign w:val="center"/>
          </w:tcPr>
          <w:p w14:paraId="565AEDC3">
            <w:pPr>
              <w:spacing w:line="560" w:lineRule="exact"/>
              <w:jc w:val="center"/>
              <w:rPr>
                <w:color w:val="auto"/>
                <w:sz w:val="28"/>
                <w:highlight w:val="none"/>
              </w:rPr>
            </w:pPr>
          </w:p>
        </w:tc>
        <w:tc>
          <w:tcPr>
            <w:tcW w:w="2848" w:type="dxa"/>
            <w:tcBorders>
              <w:bottom w:val="single" w:color="000000" w:sz="4" w:space="0"/>
            </w:tcBorders>
            <w:vAlign w:val="center"/>
          </w:tcPr>
          <w:p w14:paraId="626782A5">
            <w:pPr>
              <w:spacing w:line="560" w:lineRule="exact"/>
              <w:jc w:val="center"/>
              <w:rPr>
                <w:color w:val="auto"/>
                <w:sz w:val="28"/>
                <w:highlight w:val="none"/>
              </w:rPr>
            </w:pPr>
          </w:p>
        </w:tc>
        <w:tc>
          <w:tcPr>
            <w:tcW w:w="1027" w:type="dxa"/>
            <w:tcBorders>
              <w:bottom w:val="single" w:color="000000" w:sz="4" w:space="0"/>
              <w:right w:val="single" w:color="000000" w:sz="4" w:space="0"/>
            </w:tcBorders>
            <w:vAlign w:val="center"/>
          </w:tcPr>
          <w:p w14:paraId="33BDA038">
            <w:pPr>
              <w:spacing w:line="560" w:lineRule="exact"/>
              <w:jc w:val="center"/>
              <w:rPr>
                <w:color w:val="auto"/>
                <w:sz w:val="28"/>
                <w:highlight w:val="none"/>
              </w:rPr>
            </w:pPr>
          </w:p>
        </w:tc>
        <w:tc>
          <w:tcPr>
            <w:tcW w:w="711" w:type="dxa"/>
            <w:tcBorders>
              <w:bottom w:val="single" w:color="000000" w:sz="4" w:space="0"/>
              <w:right w:val="single" w:color="000000" w:sz="4" w:space="0"/>
            </w:tcBorders>
            <w:vAlign w:val="center"/>
          </w:tcPr>
          <w:p w14:paraId="6952D4BD">
            <w:pPr>
              <w:spacing w:line="560" w:lineRule="exact"/>
              <w:jc w:val="center"/>
              <w:rPr>
                <w:color w:val="auto"/>
                <w:sz w:val="28"/>
                <w:highlight w:val="none"/>
              </w:rPr>
            </w:pPr>
          </w:p>
        </w:tc>
        <w:tc>
          <w:tcPr>
            <w:tcW w:w="948" w:type="dxa"/>
            <w:tcBorders>
              <w:bottom w:val="single" w:color="000000" w:sz="4" w:space="0"/>
              <w:right w:val="single" w:color="000000" w:sz="4" w:space="0"/>
            </w:tcBorders>
            <w:vAlign w:val="center"/>
          </w:tcPr>
          <w:p w14:paraId="76AAF13F">
            <w:pPr>
              <w:spacing w:line="560" w:lineRule="exact"/>
              <w:jc w:val="center"/>
              <w:rPr>
                <w:color w:val="auto"/>
                <w:sz w:val="28"/>
                <w:highlight w:val="none"/>
              </w:rPr>
            </w:pPr>
          </w:p>
        </w:tc>
        <w:tc>
          <w:tcPr>
            <w:tcW w:w="1177" w:type="dxa"/>
            <w:tcBorders>
              <w:bottom w:val="single" w:color="000000" w:sz="4" w:space="0"/>
              <w:right w:val="single" w:color="000000" w:sz="8" w:space="0"/>
            </w:tcBorders>
            <w:vAlign w:val="center"/>
          </w:tcPr>
          <w:p w14:paraId="34172D27">
            <w:pPr>
              <w:spacing w:line="560" w:lineRule="exact"/>
              <w:jc w:val="center"/>
              <w:rPr>
                <w:color w:val="auto"/>
                <w:sz w:val="28"/>
                <w:highlight w:val="none"/>
              </w:rPr>
            </w:pPr>
          </w:p>
        </w:tc>
      </w:tr>
      <w:tr w14:paraId="2E3BB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8" w:hRule="atLeast"/>
        </w:trPr>
        <w:tc>
          <w:tcPr>
            <w:tcW w:w="608" w:type="dxa"/>
            <w:tcBorders>
              <w:left w:val="single" w:color="000000" w:sz="8" w:space="0"/>
              <w:bottom w:val="single" w:color="000000" w:sz="4" w:space="0"/>
              <w:right w:val="single" w:color="000000" w:sz="4" w:space="0"/>
            </w:tcBorders>
            <w:vAlign w:val="center"/>
          </w:tcPr>
          <w:p w14:paraId="6633D6F0">
            <w:pPr>
              <w:spacing w:line="560" w:lineRule="exact"/>
              <w:jc w:val="center"/>
              <w:rPr>
                <w:color w:val="auto"/>
                <w:sz w:val="28"/>
                <w:highlight w:val="none"/>
              </w:rPr>
            </w:pPr>
            <w:r>
              <w:rPr>
                <w:color w:val="auto"/>
                <w:highlight w:val="none"/>
              </w:rPr>
              <w:t>9</w:t>
            </w:r>
          </w:p>
        </w:tc>
        <w:tc>
          <w:tcPr>
            <w:tcW w:w="2134" w:type="dxa"/>
            <w:tcBorders>
              <w:bottom w:val="single" w:color="000000" w:sz="4" w:space="0"/>
              <w:right w:val="single" w:color="000000" w:sz="4" w:space="0"/>
            </w:tcBorders>
            <w:vAlign w:val="center"/>
          </w:tcPr>
          <w:p w14:paraId="01C477CB">
            <w:pPr>
              <w:spacing w:line="560" w:lineRule="exact"/>
              <w:jc w:val="center"/>
              <w:rPr>
                <w:color w:val="auto"/>
                <w:sz w:val="28"/>
                <w:highlight w:val="none"/>
              </w:rPr>
            </w:pPr>
          </w:p>
        </w:tc>
        <w:tc>
          <w:tcPr>
            <w:tcW w:w="2848" w:type="dxa"/>
            <w:tcBorders>
              <w:bottom w:val="single" w:color="000000" w:sz="4" w:space="0"/>
            </w:tcBorders>
            <w:vAlign w:val="center"/>
          </w:tcPr>
          <w:p w14:paraId="5DCF3FDC">
            <w:pPr>
              <w:spacing w:line="560" w:lineRule="exact"/>
              <w:jc w:val="center"/>
              <w:rPr>
                <w:color w:val="auto"/>
                <w:sz w:val="28"/>
                <w:highlight w:val="none"/>
              </w:rPr>
            </w:pPr>
          </w:p>
        </w:tc>
        <w:tc>
          <w:tcPr>
            <w:tcW w:w="1027" w:type="dxa"/>
            <w:tcBorders>
              <w:bottom w:val="single" w:color="000000" w:sz="4" w:space="0"/>
              <w:right w:val="single" w:color="000000" w:sz="4" w:space="0"/>
            </w:tcBorders>
            <w:vAlign w:val="center"/>
          </w:tcPr>
          <w:p w14:paraId="6E2628FD">
            <w:pPr>
              <w:spacing w:line="560" w:lineRule="exact"/>
              <w:jc w:val="center"/>
              <w:rPr>
                <w:color w:val="auto"/>
                <w:sz w:val="28"/>
                <w:highlight w:val="none"/>
              </w:rPr>
            </w:pPr>
          </w:p>
        </w:tc>
        <w:tc>
          <w:tcPr>
            <w:tcW w:w="711" w:type="dxa"/>
            <w:tcBorders>
              <w:bottom w:val="single" w:color="000000" w:sz="4" w:space="0"/>
              <w:right w:val="single" w:color="000000" w:sz="4" w:space="0"/>
            </w:tcBorders>
            <w:vAlign w:val="center"/>
          </w:tcPr>
          <w:p w14:paraId="19B61126">
            <w:pPr>
              <w:spacing w:line="560" w:lineRule="exact"/>
              <w:jc w:val="center"/>
              <w:rPr>
                <w:color w:val="auto"/>
                <w:sz w:val="28"/>
                <w:highlight w:val="none"/>
              </w:rPr>
            </w:pPr>
          </w:p>
        </w:tc>
        <w:tc>
          <w:tcPr>
            <w:tcW w:w="948" w:type="dxa"/>
            <w:tcBorders>
              <w:bottom w:val="single" w:color="000000" w:sz="4" w:space="0"/>
              <w:right w:val="single" w:color="000000" w:sz="4" w:space="0"/>
            </w:tcBorders>
            <w:vAlign w:val="center"/>
          </w:tcPr>
          <w:p w14:paraId="5D3C8B33">
            <w:pPr>
              <w:spacing w:line="560" w:lineRule="exact"/>
              <w:jc w:val="center"/>
              <w:rPr>
                <w:color w:val="auto"/>
                <w:sz w:val="28"/>
                <w:highlight w:val="none"/>
              </w:rPr>
            </w:pPr>
          </w:p>
        </w:tc>
        <w:tc>
          <w:tcPr>
            <w:tcW w:w="1177" w:type="dxa"/>
            <w:tcBorders>
              <w:bottom w:val="single" w:color="000000" w:sz="4" w:space="0"/>
              <w:right w:val="single" w:color="000000" w:sz="8" w:space="0"/>
            </w:tcBorders>
            <w:vAlign w:val="center"/>
          </w:tcPr>
          <w:p w14:paraId="7A0CBABE">
            <w:pPr>
              <w:spacing w:line="560" w:lineRule="exact"/>
              <w:jc w:val="center"/>
              <w:rPr>
                <w:color w:val="auto"/>
                <w:sz w:val="28"/>
                <w:highlight w:val="none"/>
              </w:rPr>
            </w:pPr>
          </w:p>
        </w:tc>
      </w:tr>
      <w:tr w14:paraId="13DFA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8" w:hRule="atLeast"/>
        </w:trPr>
        <w:tc>
          <w:tcPr>
            <w:tcW w:w="608" w:type="dxa"/>
            <w:tcBorders>
              <w:left w:val="single" w:color="000000" w:sz="8" w:space="0"/>
              <w:bottom w:val="single" w:color="000000" w:sz="4" w:space="0"/>
              <w:right w:val="single" w:color="000000" w:sz="4" w:space="0"/>
            </w:tcBorders>
            <w:vAlign w:val="center"/>
          </w:tcPr>
          <w:p w14:paraId="46AF6CBE">
            <w:pPr>
              <w:spacing w:line="560" w:lineRule="exact"/>
              <w:jc w:val="center"/>
              <w:rPr>
                <w:color w:val="auto"/>
                <w:sz w:val="28"/>
                <w:highlight w:val="none"/>
              </w:rPr>
            </w:pPr>
            <w:r>
              <w:rPr>
                <w:color w:val="auto"/>
                <w:highlight w:val="none"/>
              </w:rPr>
              <w:t>......</w:t>
            </w:r>
          </w:p>
        </w:tc>
        <w:tc>
          <w:tcPr>
            <w:tcW w:w="2134" w:type="dxa"/>
            <w:tcBorders>
              <w:bottom w:val="single" w:color="000000" w:sz="4" w:space="0"/>
              <w:right w:val="single" w:color="000000" w:sz="4" w:space="0"/>
            </w:tcBorders>
            <w:vAlign w:val="center"/>
          </w:tcPr>
          <w:p w14:paraId="5521F66D">
            <w:pPr>
              <w:spacing w:line="560" w:lineRule="exact"/>
              <w:jc w:val="center"/>
              <w:rPr>
                <w:color w:val="auto"/>
                <w:sz w:val="28"/>
                <w:highlight w:val="none"/>
              </w:rPr>
            </w:pPr>
          </w:p>
        </w:tc>
        <w:tc>
          <w:tcPr>
            <w:tcW w:w="2848" w:type="dxa"/>
            <w:tcBorders>
              <w:bottom w:val="single" w:color="000000" w:sz="4" w:space="0"/>
            </w:tcBorders>
            <w:vAlign w:val="center"/>
          </w:tcPr>
          <w:p w14:paraId="72C23654">
            <w:pPr>
              <w:spacing w:line="560" w:lineRule="exact"/>
              <w:jc w:val="center"/>
              <w:rPr>
                <w:color w:val="auto"/>
                <w:sz w:val="28"/>
                <w:highlight w:val="none"/>
              </w:rPr>
            </w:pPr>
          </w:p>
        </w:tc>
        <w:tc>
          <w:tcPr>
            <w:tcW w:w="1027" w:type="dxa"/>
            <w:tcBorders>
              <w:bottom w:val="single" w:color="000000" w:sz="4" w:space="0"/>
              <w:right w:val="single" w:color="000000" w:sz="4" w:space="0"/>
            </w:tcBorders>
            <w:vAlign w:val="center"/>
          </w:tcPr>
          <w:p w14:paraId="4AB11778">
            <w:pPr>
              <w:spacing w:line="560" w:lineRule="exact"/>
              <w:jc w:val="center"/>
              <w:rPr>
                <w:color w:val="auto"/>
                <w:sz w:val="28"/>
                <w:highlight w:val="none"/>
              </w:rPr>
            </w:pPr>
          </w:p>
        </w:tc>
        <w:tc>
          <w:tcPr>
            <w:tcW w:w="711" w:type="dxa"/>
            <w:tcBorders>
              <w:bottom w:val="single" w:color="000000" w:sz="4" w:space="0"/>
              <w:right w:val="single" w:color="000000" w:sz="4" w:space="0"/>
            </w:tcBorders>
            <w:vAlign w:val="center"/>
          </w:tcPr>
          <w:p w14:paraId="3D36E02C">
            <w:pPr>
              <w:spacing w:line="560" w:lineRule="exact"/>
              <w:jc w:val="center"/>
              <w:rPr>
                <w:color w:val="auto"/>
                <w:sz w:val="28"/>
                <w:highlight w:val="none"/>
              </w:rPr>
            </w:pPr>
          </w:p>
        </w:tc>
        <w:tc>
          <w:tcPr>
            <w:tcW w:w="948" w:type="dxa"/>
            <w:tcBorders>
              <w:bottom w:val="single" w:color="000000" w:sz="4" w:space="0"/>
              <w:right w:val="single" w:color="000000" w:sz="4" w:space="0"/>
            </w:tcBorders>
            <w:vAlign w:val="center"/>
          </w:tcPr>
          <w:p w14:paraId="123ADF9F">
            <w:pPr>
              <w:spacing w:line="560" w:lineRule="exact"/>
              <w:jc w:val="center"/>
              <w:rPr>
                <w:color w:val="auto"/>
                <w:sz w:val="28"/>
                <w:highlight w:val="none"/>
              </w:rPr>
            </w:pPr>
          </w:p>
        </w:tc>
        <w:tc>
          <w:tcPr>
            <w:tcW w:w="1177" w:type="dxa"/>
            <w:tcBorders>
              <w:bottom w:val="single" w:color="000000" w:sz="4" w:space="0"/>
              <w:right w:val="single" w:color="000000" w:sz="8" w:space="0"/>
            </w:tcBorders>
            <w:vAlign w:val="center"/>
          </w:tcPr>
          <w:p w14:paraId="0A0FA6CB">
            <w:pPr>
              <w:spacing w:line="560" w:lineRule="exact"/>
              <w:jc w:val="center"/>
              <w:rPr>
                <w:color w:val="auto"/>
                <w:sz w:val="28"/>
                <w:highlight w:val="none"/>
              </w:rPr>
            </w:pPr>
          </w:p>
        </w:tc>
      </w:tr>
      <w:tr w14:paraId="42FA7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trPr>
        <w:tc>
          <w:tcPr>
            <w:tcW w:w="9453" w:type="dxa"/>
            <w:gridSpan w:val="7"/>
            <w:tcBorders>
              <w:left w:val="single" w:color="000000" w:sz="8" w:space="0"/>
              <w:bottom w:val="single" w:color="000000" w:sz="8" w:space="0"/>
              <w:right w:val="single" w:color="000000" w:sz="8" w:space="0"/>
            </w:tcBorders>
            <w:vAlign w:val="center"/>
          </w:tcPr>
          <w:p w14:paraId="5587BF6D">
            <w:pPr>
              <w:spacing w:line="560" w:lineRule="exact"/>
              <w:jc w:val="left"/>
              <w:rPr>
                <w:color w:val="auto"/>
                <w:highlight w:val="none"/>
              </w:rPr>
            </w:pPr>
            <w:r>
              <w:rPr>
                <w:rFonts w:hint="eastAsia"/>
                <w:color w:val="auto"/>
                <w:highlight w:val="none"/>
              </w:rPr>
              <w:t>投标报价：万仟佰拾元整</w:t>
            </w:r>
          </w:p>
          <w:p w14:paraId="62C12E34">
            <w:pPr>
              <w:spacing w:line="560" w:lineRule="exact"/>
              <w:jc w:val="center"/>
              <w:rPr>
                <w:color w:val="auto"/>
                <w:sz w:val="28"/>
                <w:highlight w:val="none"/>
              </w:rPr>
            </w:pPr>
            <w:r>
              <w:rPr>
                <w:rFonts w:hint="eastAsia"/>
                <w:color w:val="auto"/>
                <w:highlight w:val="none"/>
              </w:rPr>
              <w:t>（小写：￥　　　　元）</w:t>
            </w:r>
          </w:p>
        </w:tc>
      </w:tr>
    </w:tbl>
    <w:p w14:paraId="045F3367">
      <w:pPr>
        <w:pStyle w:val="17"/>
        <w:adjustRightInd w:val="0"/>
        <w:snapToGrid w:val="0"/>
        <w:spacing w:before="0" w:beforeAutospacing="0" w:after="0" w:afterAutospacing="0"/>
        <w:rPr>
          <w:color w:val="auto"/>
          <w:sz w:val="21"/>
          <w:szCs w:val="21"/>
          <w:highlight w:val="none"/>
        </w:rPr>
      </w:pPr>
      <w:r>
        <w:rPr>
          <w:rFonts w:hint="eastAsia"/>
          <w:color w:val="auto"/>
          <w:sz w:val="21"/>
          <w:szCs w:val="21"/>
          <w:highlight w:val="none"/>
        </w:rPr>
        <w:t>注：投标报价明细表应按第二章“基本技术要求”列示内容及主要工程量清单逐一填列。</w:t>
      </w:r>
    </w:p>
    <w:p w14:paraId="7809BE20">
      <w:pPr>
        <w:widowControl w:val="0"/>
        <w:tabs>
          <w:tab w:val="left" w:pos="9365"/>
        </w:tabs>
        <w:snapToGrid w:val="0"/>
        <w:spacing w:after="56" w:line="360" w:lineRule="exact"/>
        <w:ind w:right="85" w:firstLine="601"/>
        <w:textAlignment w:val="top"/>
        <w:rPr>
          <w:color w:val="auto"/>
          <w:highlight w:val="none"/>
        </w:rPr>
      </w:pPr>
    </w:p>
    <w:p w14:paraId="7D1CE29D">
      <w:pPr>
        <w:widowControl w:val="0"/>
        <w:tabs>
          <w:tab w:val="left" w:pos="9365"/>
        </w:tabs>
        <w:snapToGrid w:val="0"/>
        <w:spacing w:after="56" w:line="360" w:lineRule="exact"/>
        <w:ind w:right="85" w:firstLine="601"/>
        <w:textAlignment w:val="top"/>
        <w:rPr>
          <w:b/>
          <w:color w:val="auto"/>
          <w:highlight w:val="none"/>
        </w:rPr>
      </w:pPr>
    </w:p>
    <w:p w14:paraId="78ABD3E4">
      <w:pPr>
        <w:autoSpaceDE w:val="0"/>
        <w:autoSpaceDN w:val="0"/>
        <w:adjustRightInd w:val="0"/>
        <w:spacing w:line="360" w:lineRule="auto"/>
        <w:rPr>
          <w:rFonts w:ascii="宋体" w:cs="楷体_GB2312"/>
          <w:color w:val="auto"/>
          <w:sz w:val="24"/>
          <w:highlight w:val="none"/>
          <w:lang w:val="zh-CN"/>
        </w:rPr>
      </w:pPr>
      <w:r>
        <w:rPr>
          <w:rFonts w:hint="eastAsia" w:ascii="宋体" w:hAnsi="宋体"/>
          <w:color w:val="auto"/>
          <w:sz w:val="24"/>
          <w:highlight w:val="none"/>
        </w:rPr>
        <w:t>投标人</w:t>
      </w:r>
      <w:r>
        <w:rPr>
          <w:rFonts w:hint="eastAsia"/>
          <w:color w:val="auto"/>
          <w:sz w:val="24"/>
          <w:szCs w:val="24"/>
          <w:highlight w:val="none"/>
        </w:rPr>
        <w:t>（电子签</w:t>
      </w:r>
      <w:r>
        <w:rPr>
          <w:rFonts w:hint="eastAsia" w:ascii="宋体" w:hAnsi="宋体"/>
          <w:color w:val="auto"/>
          <w:sz w:val="24"/>
          <w:szCs w:val="24"/>
          <w:highlight w:val="none"/>
        </w:rPr>
        <w:t>章</w:t>
      </w:r>
      <w:r>
        <w:rPr>
          <w:rFonts w:hint="eastAsia"/>
          <w:color w:val="auto"/>
          <w:sz w:val="24"/>
          <w:szCs w:val="24"/>
          <w:highlight w:val="none"/>
        </w:rPr>
        <w:t>）</w:t>
      </w:r>
      <w:r>
        <w:rPr>
          <w:rFonts w:hint="eastAsia" w:ascii="宋体" w:hAnsi="宋体" w:cs="楷体_GB2312"/>
          <w:color w:val="auto"/>
          <w:sz w:val="24"/>
          <w:highlight w:val="none"/>
          <w:lang w:val="zh-CN"/>
        </w:rPr>
        <w:t>：</w:t>
      </w:r>
    </w:p>
    <w:p w14:paraId="2069463F">
      <w:pPr>
        <w:autoSpaceDE w:val="0"/>
        <w:autoSpaceDN w:val="0"/>
        <w:adjustRightInd w:val="0"/>
        <w:spacing w:line="360" w:lineRule="auto"/>
        <w:ind w:left="-2" w:right="-817" w:firstLine="2"/>
        <w:rPr>
          <w:rFonts w:ascii="宋体" w:cs="楷体_GB2312"/>
          <w:color w:val="auto"/>
          <w:sz w:val="24"/>
          <w:highlight w:val="none"/>
          <w:lang w:val="zh-CN"/>
        </w:rPr>
      </w:pPr>
      <w:r>
        <w:rPr>
          <w:rFonts w:hint="eastAsia" w:ascii="宋体" w:hAnsi="宋体" w:cs="楷体_GB2312"/>
          <w:color w:val="auto"/>
          <w:sz w:val="24"/>
          <w:highlight w:val="none"/>
          <w:lang w:val="zh-CN"/>
        </w:rPr>
        <w:t>法定代表人（电子签名或签章）：</w:t>
      </w:r>
      <w:r>
        <w:rPr>
          <w:rFonts w:ascii="宋体" w:hAnsi="宋体" w:cs="楷体_GB2312"/>
          <w:color w:val="auto"/>
          <w:sz w:val="24"/>
          <w:highlight w:val="none"/>
          <w:lang w:val="zh-CN"/>
        </w:rPr>
        <w:t xml:space="preserve">  </w:t>
      </w:r>
    </w:p>
    <w:p w14:paraId="75F90216">
      <w:pPr>
        <w:widowControl w:val="0"/>
        <w:tabs>
          <w:tab w:val="left" w:pos="9365"/>
        </w:tabs>
        <w:snapToGrid w:val="0"/>
        <w:spacing w:after="56" w:line="360" w:lineRule="exact"/>
        <w:ind w:right="85"/>
        <w:textAlignment w:val="top"/>
        <w:rPr>
          <w:b/>
          <w:color w:val="auto"/>
          <w:highlight w:val="none"/>
        </w:rPr>
      </w:pPr>
      <w:r>
        <w:rPr>
          <w:rFonts w:hint="eastAsia" w:ascii="宋体" w:hAnsi="宋体" w:cs="楷体_GB2312"/>
          <w:color w:val="auto"/>
          <w:sz w:val="24"/>
          <w:highlight w:val="none"/>
          <w:lang w:val="zh-CN"/>
        </w:rPr>
        <w:t>日期：</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14:paraId="6E0CD885">
      <w:pPr>
        <w:widowControl w:val="0"/>
        <w:snapToGrid w:val="0"/>
        <w:spacing w:line="560" w:lineRule="exact"/>
        <w:jc w:val="left"/>
        <w:rPr>
          <w:color w:val="auto"/>
          <w:sz w:val="28"/>
          <w:highlight w:val="none"/>
        </w:rPr>
      </w:pPr>
      <w:r>
        <w:rPr>
          <w:color w:val="auto"/>
          <w:sz w:val="28"/>
          <w:highlight w:val="none"/>
        </w:rPr>
        <w:br w:type="page"/>
      </w:r>
    </w:p>
    <w:p w14:paraId="489D1865">
      <w:pPr>
        <w:widowControl w:val="0"/>
        <w:snapToGrid w:val="0"/>
        <w:spacing w:line="560" w:lineRule="exact"/>
        <w:jc w:val="center"/>
        <w:rPr>
          <w:rFonts w:ascii="黑体" w:hAnsi="黑体" w:eastAsia="黑体"/>
          <w:color w:val="auto"/>
          <w:sz w:val="30"/>
          <w:szCs w:val="30"/>
          <w:highlight w:val="none"/>
        </w:rPr>
      </w:pPr>
      <w:r>
        <w:rPr>
          <w:rFonts w:hint="eastAsia" w:ascii="黑体" w:hAnsi="黑体" w:eastAsia="黑体"/>
          <w:b/>
          <w:color w:val="auto"/>
          <w:sz w:val="30"/>
          <w:szCs w:val="30"/>
          <w:highlight w:val="none"/>
        </w:rPr>
        <w:t>四、施工方案</w:t>
      </w:r>
    </w:p>
    <w:p w14:paraId="5144F1C1">
      <w:pPr>
        <w:widowControl w:val="0"/>
        <w:snapToGrid w:val="0"/>
        <w:spacing w:line="560" w:lineRule="exact"/>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（格式自拟）</w:t>
      </w:r>
    </w:p>
    <w:p w14:paraId="12C56603">
      <w:pPr>
        <w:tabs>
          <w:tab w:val="left" w:pos="720"/>
        </w:tabs>
        <w:spacing w:line="360" w:lineRule="auto"/>
        <w:ind w:firstLine="537" w:firstLineChars="192"/>
        <w:outlineLvl w:val="1"/>
        <w:rPr>
          <w:color w:val="auto"/>
          <w:sz w:val="28"/>
          <w:szCs w:val="28"/>
          <w:highlight w:val="none"/>
        </w:rPr>
      </w:pPr>
    </w:p>
    <w:p w14:paraId="5D09E1F6">
      <w:pPr>
        <w:widowControl w:val="0"/>
        <w:snapToGrid w:val="0"/>
        <w:spacing w:line="560" w:lineRule="exact"/>
        <w:jc w:val="center"/>
        <w:rPr>
          <w:color w:val="auto"/>
          <w:sz w:val="28"/>
          <w:highlight w:val="none"/>
        </w:rPr>
      </w:pPr>
    </w:p>
    <w:p w14:paraId="2C32C599">
      <w:pPr>
        <w:widowControl w:val="0"/>
        <w:snapToGrid w:val="0"/>
        <w:spacing w:line="560" w:lineRule="exact"/>
        <w:jc w:val="center"/>
        <w:rPr>
          <w:color w:val="auto"/>
          <w:sz w:val="28"/>
          <w:highlight w:val="none"/>
        </w:rPr>
      </w:pPr>
    </w:p>
    <w:p w14:paraId="1393E4B4">
      <w:pPr>
        <w:widowControl w:val="0"/>
        <w:snapToGrid w:val="0"/>
        <w:spacing w:line="560" w:lineRule="exact"/>
        <w:jc w:val="center"/>
        <w:rPr>
          <w:color w:val="auto"/>
          <w:sz w:val="28"/>
          <w:highlight w:val="none"/>
        </w:rPr>
      </w:pPr>
    </w:p>
    <w:p w14:paraId="77DB6503">
      <w:pPr>
        <w:widowControl w:val="0"/>
        <w:snapToGrid w:val="0"/>
        <w:spacing w:line="560" w:lineRule="exact"/>
        <w:jc w:val="center"/>
        <w:rPr>
          <w:color w:val="auto"/>
          <w:sz w:val="28"/>
          <w:highlight w:val="none"/>
        </w:rPr>
      </w:pPr>
    </w:p>
    <w:p w14:paraId="6B15451E">
      <w:pPr>
        <w:widowControl w:val="0"/>
        <w:snapToGrid w:val="0"/>
        <w:spacing w:line="560" w:lineRule="exact"/>
        <w:jc w:val="center"/>
        <w:rPr>
          <w:color w:val="auto"/>
          <w:sz w:val="28"/>
          <w:highlight w:val="none"/>
        </w:rPr>
      </w:pPr>
    </w:p>
    <w:p w14:paraId="76A2F506">
      <w:pPr>
        <w:widowControl w:val="0"/>
        <w:snapToGrid w:val="0"/>
        <w:spacing w:line="560" w:lineRule="exact"/>
        <w:jc w:val="center"/>
        <w:rPr>
          <w:color w:val="auto"/>
          <w:sz w:val="28"/>
          <w:highlight w:val="none"/>
        </w:rPr>
      </w:pPr>
    </w:p>
    <w:p w14:paraId="12073BE7">
      <w:pPr>
        <w:widowControl w:val="0"/>
        <w:snapToGrid w:val="0"/>
        <w:spacing w:line="560" w:lineRule="exact"/>
        <w:jc w:val="center"/>
        <w:rPr>
          <w:color w:val="auto"/>
          <w:sz w:val="28"/>
          <w:highlight w:val="none"/>
        </w:rPr>
      </w:pPr>
    </w:p>
    <w:p w14:paraId="73A2CE08">
      <w:pPr>
        <w:widowControl w:val="0"/>
        <w:snapToGrid w:val="0"/>
        <w:spacing w:line="560" w:lineRule="exact"/>
        <w:jc w:val="center"/>
        <w:rPr>
          <w:color w:val="auto"/>
          <w:sz w:val="28"/>
          <w:highlight w:val="none"/>
        </w:rPr>
      </w:pPr>
    </w:p>
    <w:p w14:paraId="5032A004">
      <w:pPr>
        <w:widowControl w:val="0"/>
        <w:snapToGrid w:val="0"/>
        <w:spacing w:line="560" w:lineRule="exact"/>
        <w:jc w:val="center"/>
        <w:rPr>
          <w:color w:val="auto"/>
          <w:sz w:val="28"/>
          <w:highlight w:val="none"/>
        </w:rPr>
      </w:pPr>
    </w:p>
    <w:p w14:paraId="49D3C5A1">
      <w:pPr>
        <w:widowControl w:val="0"/>
        <w:snapToGrid w:val="0"/>
        <w:spacing w:line="560" w:lineRule="exact"/>
        <w:jc w:val="center"/>
        <w:rPr>
          <w:color w:val="auto"/>
          <w:sz w:val="28"/>
          <w:highlight w:val="none"/>
        </w:rPr>
      </w:pPr>
    </w:p>
    <w:p w14:paraId="44D211C0">
      <w:pPr>
        <w:widowControl w:val="0"/>
        <w:snapToGrid w:val="0"/>
        <w:spacing w:line="560" w:lineRule="exact"/>
        <w:jc w:val="center"/>
        <w:rPr>
          <w:color w:val="auto"/>
          <w:sz w:val="28"/>
          <w:highlight w:val="none"/>
        </w:rPr>
      </w:pPr>
    </w:p>
    <w:p w14:paraId="6358A1D0">
      <w:pPr>
        <w:widowControl w:val="0"/>
        <w:snapToGrid w:val="0"/>
        <w:spacing w:line="560" w:lineRule="exact"/>
        <w:jc w:val="center"/>
        <w:rPr>
          <w:color w:val="auto"/>
          <w:sz w:val="28"/>
          <w:highlight w:val="none"/>
        </w:rPr>
      </w:pPr>
    </w:p>
    <w:p w14:paraId="74302B78">
      <w:pPr>
        <w:widowControl w:val="0"/>
        <w:snapToGrid w:val="0"/>
        <w:spacing w:line="560" w:lineRule="exact"/>
        <w:jc w:val="center"/>
        <w:rPr>
          <w:color w:val="auto"/>
          <w:sz w:val="28"/>
          <w:highlight w:val="none"/>
        </w:rPr>
      </w:pPr>
    </w:p>
    <w:p w14:paraId="4F7860C0">
      <w:pPr>
        <w:widowControl w:val="0"/>
        <w:snapToGrid w:val="0"/>
        <w:spacing w:line="560" w:lineRule="exact"/>
        <w:jc w:val="center"/>
        <w:rPr>
          <w:color w:val="auto"/>
          <w:sz w:val="28"/>
          <w:highlight w:val="none"/>
        </w:rPr>
      </w:pPr>
    </w:p>
    <w:p w14:paraId="12D99C77">
      <w:pPr>
        <w:widowControl w:val="0"/>
        <w:tabs>
          <w:tab w:val="left" w:pos="9365"/>
        </w:tabs>
        <w:snapToGrid w:val="0"/>
        <w:spacing w:after="56" w:line="560" w:lineRule="exact"/>
        <w:ind w:right="85"/>
        <w:jc w:val="left"/>
        <w:textAlignment w:val="top"/>
        <w:rPr>
          <w:color w:val="auto"/>
          <w:sz w:val="24"/>
          <w:szCs w:val="24"/>
          <w:highlight w:val="none"/>
        </w:rPr>
      </w:pPr>
      <w:r>
        <w:rPr>
          <w:rFonts w:hint="eastAsia" w:ascii="宋体" w:hAnsi="宋体"/>
          <w:color w:val="auto"/>
          <w:sz w:val="24"/>
          <w:highlight w:val="none"/>
        </w:rPr>
        <w:t>供应商</w:t>
      </w:r>
      <w:r>
        <w:rPr>
          <w:rFonts w:hint="eastAsia"/>
          <w:color w:val="auto"/>
          <w:sz w:val="24"/>
          <w:szCs w:val="24"/>
          <w:highlight w:val="none"/>
        </w:rPr>
        <w:t>（电子签</w:t>
      </w:r>
      <w:r>
        <w:rPr>
          <w:rFonts w:hint="eastAsia" w:ascii="宋体" w:hAnsi="宋体"/>
          <w:color w:val="auto"/>
          <w:sz w:val="24"/>
          <w:szCs w:val="24"/>
          <w:highlight w:val="none"/>
        </w:rPr>
        <w:t>章</w:t>
      </w:r>
      <w:r>
        <w:rPr>
          <w:rFonts w:hint="eastAsia"/>
          <w:color w:val="auto"/>
          <w:sz w:val="24"/>
          <w:szCs w:val="24"/>
          <w:highlight w:val="none"/>
        </w:rPr>
        <w:t>）：</w:t>
      </w:r>
    </w:p>
    <w:p w14:paraId="21DE979B">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法定代表人（电子签名或签章）：</w:t>
      </w:r>
    </w:p>
    <w:p w14:paraId="00E9FCCE">
      <w:pPr>
        <w:widowControl w:val="0"/>
        <w:tabs>
          <w:tab w:val="left" w:pos="9365"/>
        </w:tabs>
        <w:snapToGrid w:val="0"/>
        <w:spacing w:after="56" w:line="560" w:lineRule="exact"/>
        <w:ind w:right="56"/>
        <w:jc w:val="left"/>
        <w:textAlignment w:val="top"/>
        <w:rPr>
          <w:color w:val="auto"/>
          <w:highlight w:val="none"/>
        </w:rPr>
      </w:pPr>
      <w:r>
        <w:rPr>
          <w:rFonts w:hint="eastAsia" w:ascii="宋体" w:hAnsi="宋体" w:cs="楷体_GB2312"/>
          <w:color w:val="auto"/>
          <w:sz w:val="24"/>
          <w:highlight w:val="none"/>
          <w:lang w:val="zh-CN"/>
        </w:rPr>
        <w:t>日期：</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14:paraId="2E7B28A5">
      <w:pPr>
        <w:spacing w:line="240" w:lineRule="auto"/>
        <w:rPr>
          <w:color w:val="auto"/>
          <w:sz w:val="24"/>
          <w:highlight w:val="none"/>
        </w:rPr>
      </w:pPr>
    </w:p>
    <w:p w14:paraId="7F33A812">
      <w:pPr>
        <w:spacing w:line="440" w:lineRule="exact"/>
        <w:jc w:val="center"/>
        <w:rPr>
          <w:rFonts w:eastAsia="方正黑体简体"/>
          <w:b/>
          <w:color w:val="auto"/>
          <w:sz w:val="30"/>
          <w:szCs w:val="30"/>
          <w:highlight w:val="none"/>
        </w:rPr>
      </w:pPr>
      <w:r>
        <w:rPr>
          <w:rFonts w:eastAsia="方正黑体简体"/>
          <w:b/>
          <w:color w:val="auto"/>
          <w:sz w:val="30"/>
          <w:szCs w:val="30"/>
          <w:highlight w:val="none"/>
        </w:rPr>
        <w:br w:type="page"/>
      </w:r>
      <w:bookmarkStart w:id="71" w:name="OLE_LINK22"/>
    </w:p>
    <w:p w14:paraId="188AA929">
      <w:pPr>
        <w:spacing w:line="440" w:lineRule="exact"/>
        <w:jc w:val="center"/>
        <w:rPr>
          <w:rFonts w:ascii="黑体" w:hAnsi="黑体" w:eastAsia="黑体"/>
          <w:b/>
          <w:color w:val="auto"/>
          <w:spacing w:val="36"/>
          <w:sz w:val="30"/>
          <w:szCs w:val="30"/>
          <w:highlight w:val="none"/>
        </w:rPr>
      </w:pPr>
      <w:r>
        <w:rPr>
          <w:rFonts w:hint="eastAsia" w:ascii="黑体" w:hAnsi="黑体" w:eastAsia="黑体"/>
          <w:b/>
          <w:color w:val="auto"/>
          <w:sz w:val="30"/>
          <w:szCs w:val="30"/>
          <w:highlight w:val="none"/>
        </w:rPr>
        <w:t>五、</w:t>
      </w:r>
      <w:bookmarkEnd w:id="71"/>
      <w:r>
        <w:rPr>
          <w:rFonts w:hint="eastAsia" w:ascii="黑体" w:hAnsi="黑体" w:eastAsia="黑体"/>
          <w:b/>
          <w:color w:val="auto"/>
          <w:spacing w:val="36"/>
          <w:sz w:val="30"/>
          <w:szCs w:val="30"/>
          <w:highlight w:val="none"/>
        </w:rPr>
        <w:t>工程质量保修书</w:t>
      </w:r>
    </w:p>
    <w:p w14:paraId="533C0A21">
      <w:pPr>
        <w:spacing w:line="440" w:lineRule="exact"/>
        <w:jc w:val="center"/>
        <w:rPr>
          <w:rFonts w:ascii="黑体" w:eastAsia="黑体"/>
          <w:b/>
          <w:color w:val="auto"/>
          <w:spacing w:val="36"/>
          <w:sz w:val="28"/>
          <w:szCs w:val="28"/>
          <w:highlight w:val="none"/>
        </w:rPr>
      </w:pPr>
    </w:p>
    <w:p w14:paraId="32350F75">
      <w:pPr>
        <w:autoSpaceDE w:val="0"/>
        <w:autoSpaceDN w:val="0"/>
        <w:adjustRightInd w:val="0"/>
        <w:spacing w:line="360" w:lineRule="auto"/>
        <w:rPr>
          <w:rFonts w:ascii="宋体"/>
          <w:color w:val="auto"/>
          <w:sz w:val="24"/>
          <w:highlight w:val="none"/>
        </w:rPr>
      </w:pPr>
      <w:r>
        <w:rPr>
          <w:rFonts w:hint="eastAsia" w:ascii="宋体" w:hAnsi="宋体"/>
          <w:color w:val="auto"/>
          <w:sz w:val="24"/>
          <w:highlight w:val="none"/>
        </w:rPr>
        <w:t>一、工程质量保修范围和内容</w:t>
      </w:r>
    </w:p>
    <w:p w14:paraId="11102EA2">
      <w:pPr>
        <w:autoSpaceDE w:val="0"/>
        <w:autoSpaceDN w:val="0"/>
        <w:adjustRightInd w:val="0"/>
        <w:spacing w:line="360" w:lineRule="auto"/>
        <w:rPr>
          <w:rFonts w:ascii="宋体"/>
          <w:color w:val="auto"/>
          <w:sz w:val="24"/>
          <w:highlight w:val="none"/>
        </w:rPr>
      </w:pPr>
      <w:r>
        <w:rPr>
          <w:rFonts w:hint="eastAsia" w:ascii="宋体" w:hAnsi="宋体"/>
          <w:color w:val="auto"/>
          <w:sz w:val="24"/>
          <w:highlight w:val="none"/>
        </w:rPr>
        <w:t>中标人在质量保修期内，按照有关法律、法规、规章的管理规定和双方约定，承担本工程质量保修责任。质量保修范围包括</w:t>
      </w:r>
      <w:r>
        <w:rPr>
          <w:rFonts w:hint="eastAsia" w:ascii="宋体" w:hAnsi="宋体"/>
          <w:color w:val="auto"/>
          <w:sz w:val="24"/>
          <w:highlight w:val="none"/>
          <w:u w:val="single"/>
        </w:rPr>
        <w:t>：，</w:t>
      </w:r>
      <w:r>
        <w:rPr>
          <w:rFonts w:hint="eastAsia" w:ascii="宋体" w:hAnsi="宋体"/>
          <w:color w:val="auto"/>
          <w:sz w:val="24"/>
          <w:highlight w:val="none"/>
        </w:rPr>
        <w:t>以及双方约定的其他项目。具体保修的内容如下：</w:t>
      </w:r>
    </w:p>
    <w:p w14:paraId="2BA4A90B">
      <w:pPr>
        <w:autoSpaceDE w:val="0"/>
        <w:autoSpaceDN w:val="0"/>
        <w:adjustRightInd w:val="0"/>
        <w:spacing w:line="360" w:lineRule="auto"/>
        <w:rPr>
          <w:rFonts w:ascii="宋体"/>
          <w:color w:val="auto"/>
          <w:sz w:val="24"/>
          <w:highlight w:val="none"/>
        </w:rPr>
      </w:pPr>
      <w:r>
        <w:rPr>
          <w:rFonts w:hint="eastAsia" w:ascii="宋体" w:hAnsi="宋体"/>
          <w:color w:val="auto"/>
          <w:sz w:val="24"/>
          <w:highlight w:val="none"/>
        </w:rPr>
        <w:t>１、</w:t>
      </w:r>
    </w:p>
    <w:p w14:paraId="4D48BE64">
      <w:pPr>
        <w:autoSpaceDE w:val="0"/>
        <w:autoSpaceDN w:val="0"/>
        <w:adjustRightInd w:val="0"/>
        <w:spacing w:line="360" w:lineRule="auto"/>
        <w:rPr>
          <w:rFonts w:ascii="宋体"/>
          <w:color w:val="auto"/>
          <w:sz w:val="24"/>
          <w:highlight w:val="none"/>
        </w:rPr>
      </w:pPr>
      <w:r>
        <w:rPr>
          <w:rFonts w:hint="eastAsia" w:ascii="宋体" w:hAnsi="宋体"/>
          <w:color w:val="auto"/>
          <w:sz w:val="24"/>
          <w:highlight w:val="none"/>
        </w:rPr>
        <w:t>２、</w:t>
      </w:r>
    </w:p>
    <w:p w14:paraId="4C56AFB4">
      <w:pPr>
        <w:autoSpaceDE w:val="0"/>
        <w:autoSpaceDN w:val="0"/>
        <w:adjustRightInd w:val="0"/>
        <w:spacing w:line="360" w:lineRule="auto"/>
        <w:rPr>
          <w:rFonts w:ascii="宋体"/>
          <w:color w:val="auto"/>
          <w:sz w:val="24"/>
          <w:highlight w:val="none"/>
        </w:rPr>
      </w:pPr>
      <w:r>
        <w:rPr>
          <w:rFonts w:hint="eastAsia" w:ascii="宋体" w:hAnsi="宋体"/>
          <w:color w:val="auto"/>
          <w:sz w:val="24"/>
          <w:highlight w:val="none"/>
        </w:rPr>
        <w:t>３、</w:t>
      </w:r>
    </w:p>
    <w:p w14:paraId="5D6C10E8">
      <w:pPr>
        <w:autoSpaceDE w:val="0"/>
        <w:autoSpaceDN w:val="0"/>
        <w:adjustRightInd w:val="0"/>
        <w:spacing w:line="360" w:lineRule="auto"/>
        <w:rPr>
          <w:rFonts w:ascii="宋体"/>
          <w:color w:val="auto"/>
          <w:sz w:val="24"/>
          <w:highlight w:val="none"/>
        </w:rPr>
      </w:pPr>
      <w:r>
        <w:rPr>
          <w:rFonts w:hint="eastAsia" w:ascii="宋体" w:hAnsi="宋体"/>
          <w:color w:val="auto"/>
          <w:sz w:val="24"/>
          <w:highlight w:val="none"/>
        </w:rPr>
        <w:t>４、</w:t>
      </w:r>
    </w:p>
    <w:p w14:paraId="5B396645">
      <w:pPr>
        <w:autoSpaceDE w:val="0"/>
        <w:autoSpaceDN w:val="0"/>
        <w:adjustRightInd w:val="0"/>
        <w:spacing w:line="360" w:lineRule="auto"/>
        <w:rPr>
          <w:rFonts w:ascii="宋体"/>
          <w:color w:val="auto"/>
          <w:sz w:val="24"/>
          <w:highlight w:val="none"/>
        </w:rPr>
      </w:pPr>
      <w:r>
        <w:rPr>
          <w:rFonts w:hint="eastAsia" w:ascii="宋体" w:hAnsi="宋体"/>
          <w:color w:val="auto"/>
          <w:sz w:val="24"/>
          <w:highlight w:val="none"/>
        </w:rPr>
        <w:t>二、质量保修期：</w:t>
      </w:r>
      <w:r>
        <w:rPr>
          <w:rFonts w:hint="eastAsia" w:ascii="宋体" w:hAnsi="宋体"/>
          <w:color w:val="auto"/>
          <w:sz w:val="24"/>
          <w:highlight w:val="none"/>
          <w:u w:val="single"/>
        </w:rPr>
        <w:t xml:space="preserve">       </w:t>
      </w:r>
      <w:r>
        <w:rPr>
          <w:rFonts w:hint="eastAsia" w:ascii="宋体" w:hAnsi="宋体"/>
          <w:color w:val="auto"/>
          <w:sz w:val="24"/>
          <w:highlight w:val="none"/>
        </w:rPr>
        <w:t>年。（应符合或优于国家、地方或行业相关质量保修期规定，符合或优于本文件有关质量保修期规定；如质量保修期有各类别规定的，供应商可以按不同类别分别填列各类别质量保修期。）</w:t>
      </w:r>
    </w:p>
    <w:p w14:paraId="4E638768">
      <w:pPr>
        <w:autoSpaceDE w:val="0"/>
        <w:autoSpaceDN w:val="0"/>
        <w:adjustRightInd w:val="0"/>
        <w:spacing w:line="360" w:lineRule="auto"/>
        <w:rPr>
          <w:rFonts w:ascii="宋体"/>
          <w:color w:val="auto"/>
          <w:sz w:val="24"/>
          <w:highlight w:val="none"/>
        </w:rPr>
      </w:pPr>
      <w:r>
        <w:rPr>
          <w:rFonts w:hint="eastAsia" w:ascii="宋体" w:hAnsi="宋体"/>
          <w:color w:val="auto"/>
          <w:sz w:val="24"/>
          <w:highlight w:val="none"/>
        </w:rPr>
        <w:t>注：质量保修期自工程竣工验收合格之日起计算。</w:t>
      </w:r>
    </w:p>
    <w:p w14:paraId="1CD4B713">
      <w:pPr>
        <w:autoSpaceDE w:val="0"/>
        <w:autoSpaceDN w:val="0"/>
        <w:adjustRightInd w:val="0"/>
        <w:spacing w:line="360" w:lineRule="auto"/>
        <w:rPr>
          <w:rFonts w:ascii="宋体"/>
          <w:color w:val="auto"/>
          <w:sz w:val="24"/>
          <w:highlight w:val="none"/>
        </w:rPr>
      </w:pPr>
      <w:r>
        <w:rPr>
          <w:rFonts w:hint="eastAsia" w:ascii="宋体" w:hAnsi="宋体"/>
          <w:color w:val="auto"/>
          <w:sz w:val="24"/>
          <w:highlight w:val="none"/>
        </w:rPr>
        <w:t>三、质量保修责任</w:t>
      </w:r>
    </w:p>
    <w:p w14:paraId="239DE480">
      <w:pPr>
        <w:autoSpaceDE w:val="0"/>
        <w:autoSpaceDN w:val="0"/>
        <w:adjustRightInd w:val="0"/>
        <w:spacing w:line="360" w:lineRule="auto"/>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、属于保修范围、内容的项目，中标人应当在接到保修通知之日起</w:t>
      </w:r>
      <w:r>
        <w:rPr>
          <w:rFonts w:ascii="宋体" w:hAnsi="宋体"/>
          <w:color w:val="auto"/>
          <w:sz w:val="24"/>
          <w:highlight w:val="none"/>
        </w:rPr>
        <w:t>7</w:t>
      </w:r>
      <w:r>
        <w:rPr>
          <w:rFonts w:hint="eastAsia" w:ascii="宋体" w:hAnsi="宋体"/>
          <w:color w:val="auto"/>
          <w:sz w:val="24"/>
          <w:highlight w:val="none"/>
        </w:rPr>
        <w:t>天内派人保修。中标人不在约定期限内派人保修的，采购人可以委托他人修理。</w:t>
      </w:r>
    </w:p>
    <w:p w14:paraId="2A6710B6">
      <w:pPr>
        <w:autoSpaceDE w:val="0"/>
        <w:autoSpaceDN w:val="0"/>
        <w:adjustRightInd w:val="0"/>
        <w:spacing w:line="360" w:lineRule="auto"/>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、发生紧急抢修事故的，中标人在接到事故通知后，应当立即到达事故现场抢修。</w:t>
      </w:r>
    </w:p>
    <w:p w14:paraId="1D07E3E5">
      <w:pPr>
        <w:autoSpaceDE w:val="0"/>
        <w:autoSpaceDN w:val="0"/>
        <w:adjustRightInd w:val="0"/>
        <w:spacing w:line="360" w:lineRule="auto"/>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对于涉及结构安全的质量问题，应当按照《房屋建筑工程质量保修办法》的规定，立即向当地建设行政主管部门报告，采取安全防范措施；由原设计单位或者具有相应资质等级的设计单位提出保修方案，中标人实施保修。</w:t>
      </w:r>
    </w:p>
    <w:p w14:paraId="5A95EEA8">
      <w:pPr>
        <w:autoSpaceDE w:val="0"/>
        <w:autoSpaceDN w:val="0"/>
        <w:adjustRightInd w:val="0"/>
        <w:spacing w:line="360" w:lineRule="auto"/>
        <w:rPr>
          <w:rFonts w:ascii="宋体"/>
          <w:color w:val="auto"/>
          <w:sz w:val="24"/>
          <w:highlight w:val="none"/>
        </w:rPr>
      </w:pPr>
      <w:r>
        <w:rPr>
          <w:rFonts w:ascii="宋体" w:hAnsi="宋体"/>
          <w:color w:val="auto"/>
          <w:sz w:val="24"/>
          <w:highlight w:val="none"/>
        </w:rPr>
        <w:t>4</w:t>
      </w:r>
      <w:r>
        <w:rPr>
          <w:rFonts w:hint="eastAsia" w:ascii="宋体" w:hAnsi="宋体"/>
          <w:color w:val="auto"/>
          <w:sz w:val="24"/>
          <w:highlight w:val="none"/>
        </w:rPr>
        <w:t>、质量保修完成后，由采购人组织验收。</w:t>
      </w:r>
    </w:p>
    <w:p w14:paraId="58764A7E">
      <w:pPr>
        <w:autoSpaceDE w:val="0"/>
        <w:autoSpaceDN w:val="0"/>
        <w:adjustRightInd w:val="0"/>
        <w:spacing w:line="360" w:lineRule="auto"/>
        <w:rPr>
          <w:rFonts w:ascii="宋体"/>
          <w:color w:val="auto"/>
          <w:sz w:val="24"/>
          <w:highlight w:val="none"/>
        </w:rPr>
      </w:pPr>
      <w:r>
        <w:rPr>
          <w:rFonts w:hint="eastAsia" w:ascii="宋体" w:hAnsi="宋体"/>
          <w:color w:val="auto"/>
          <w:sz w:val="24"/>
          <w:highlight w:val="none"/>
        </w:rPr>
        <w:t>四、保修费用</w:t>
      </w:r>
    </w:p>
    <w:p w14:paraId="55B5CD64">
      <w:pPr>
        <w:autoSpaceDE w:val="0"/>
        <w:autoSpaceDN w:val="0"/>
        <w:adjustRightInd w:val="0"/>
        <w:spacing w:line="360" w:lineRule="auto"/>
        <w:rPr>
          <w:rFonts w:ascii="宋体"/>
          <w:color w:val="auto"/>
          <w:sz w:val="24"/>
          <w:highlight w:val="none"/>
        </w:rPr>
      </w:pPr>
      <w:r>
        <w:rPr>
          <w:rFonts w:hint="eastAsia" w:ascii="宋体" w:hAnsi="宋体"/>
          <w:color w:val="auto"/>
          <w:sz w:val="24"/>
          <w:highlight w:val="none"/>
        </w:rPr>
        <w:t>保修费用由造成质量缺陷的责任方承担。</w:t>
      </w:r>
    </w:p>
    <w:p w14:paraId="759844B7">
      <w:pPr>
        <w:autoSpaceDE w:val="0"/>
        <w:autoSpaceDN w:val="0"/>
        <w:adjustRightInd w:val="0"/>
        <w:spacing w:line="360" w:lineRule="auto"/>
        <w:rPr>
          <w:rFonts w:ascii="宋体"/>
          <w:color w:val="auto"/>
          <w:sz w:val="24"/>
          <w:highlight w:val="none"/>
        </w:rPr>
      </w:pPr>
      <w:r>
        <w:rPr>
          <w:rFonts w:hint="eastAsia" w:ascii="宋体" w:hAnsi="宋体"/>
          <w:color w:val="auto"/>
          <w:sz w:val="24"/>
          <w:highlight w:val="none"/>
        </w:rPr>
        <w:t>五、其他</w:t>
      </w:r>
    </w:p>
    <w:p w14:paraId="770F94DC">
      <w:pPr>
        <w:autoSpaceDE w:val="0"/>
        <w:autoSpaceDN w:val="0"/>
        <w:adjustRightInd w:val="0"/>
        <w:spacing w:line="360" w:lineRule="auto"/>
        <w:rPr>
          <w:rFonts w:ascii="宋体"/>
          <w:color w:val="auto"/>
          <w:sz w:val="24"/>
          <w:highlight w:val="none"/>
        </w:rPr>
      </w:pPr>
      <w:r>
        <w:rPr>
          <w:rFonts w:hint="eastAsia" w:ascii="宋体" w:hAnsi="宋体"/>
          <w:color w:val="auto"/>
          <w:sz w:val="24"/>
          <w:highlight w:val="none"/>
        </w:rPr>
        <w:t>双方约定的其他工程质量保修事项。</w:t>
      </w:r>
    </w:p>
    <w:p w14:paraId="61893E94">
      <w:pPr>
        <w:widowControl w:val="0"/>
        <w:snapToGrid w:val="0"/>
        <w:spacing w:line="560" w:lineRule="exact"/>
        <w:jc w:val="center"/>
        <w:rPr>
          <w:rFonts w:ascii="宋体"/>
          <w:color w:val="auto"/>
          <w:sz w:val="24"/>
          <w:highlight w:val="none"/>
        </w:rPr>
      </w:pPr>
    </w:p>
    <w:p w14:paraId="3711E990">
      <w:pPr>
        <w:autoSpaceDE w:val="0"/>
        <w:autoSpaceDN w:val="0"/>
        <w:adjustRightInd w:val="0"/>
        <w:spacing w:line="360" w:lineRule="auto"/>
        <w:jc w:val="left"/>
        <w:rPr>
          <w:rFonts w:ascii="宋体" w:cs="楷体_GB2312"/>
          <w:color w:val="auto"/>
          <w:sz w:val="24"/>
          <w:highlight w:val="none"/>
          <w:lang w:val="zh-CN"/>
        </w:rPr>
      </w:pPr>
      <w:r>
        <w:rPr>
          <w:rFonts w:hint="eastAsia" w:ascii="宋体" w:hAnsi="宋体"/>
          <w:color w:val="auto"/>
          <w:sz w:val="24"/>
          <w:highlight w:val="none"/>
        </w:rPr>
        <w:t>投标人</w:t>
      </w:r>
      <w:r>
        <w:rPr>
          <w:rFonts w:hint="eastAsia"/>
          <w:color w:val="auto"/>
          <w:sz w:val="24"/>
          <w:szCs w:val="24"/>
          <w:highlight w:val="none"/>
        </w:rPr>
        <w:t>（电子签</w:t>
      </w:r>
      <w:r>
        <w:rPr>
          <w:rFonts w:hint="eastAsia" w:ascii="宋体" w:hAnsi="宋体"/>
          <w:color w:val="auto"/>
          <w:sz w:val="24"/>
          <w:szCs w:val="24"/>
          <w:highlight w:val="none"/>
        </w:rPr>
        <w:t>章</w:t>
      </w:r>
      <w:r>
        <w:rPr>
          <w:rFonts w:hint="eastAsia"/>
          <w:color w:val="auto"/>
          <w:sz w:val="24"/>
          <w:szCs w:val="24"/>
          <w:highlight w:val="none"/>
        </w:rPr>
        <w:t>）</w:t>
      </w:r>
      <w:r>
        <w:rPr>
          <w:rFonts w:hint="eastAsia" w:ascii="宋体" w:hAnsi="宋体" w:cs="楷体_GB2312"/>
          <w:color w:val="auto"/>
          <w:sz w:val="24"/>
          <w:highlight w:val="none"/>
          <w:lang w:val="zh-CN"/>
        </w:rPr>
        <w:t>：</w:t>
      </w:r>
    </w:p>
    <w:p w14:paraId="318F0D20">
      <w:pPr>
        <w:autoSpaceDE w:val="0"/>
        <w:autoSpaceDN w:val="0"/>
        <w:adjustRightInd w:val="0"/>
        <w:spacing w:line="360" w:lineRule="auto"/>
        <w:ind w:left="-2" w:right="-817" w:firstLine="2"/>
        <w:jc w:val="left"/>
        <w:rPr>
          <w:rFonts w:ascii="宋体" w:cs="楷体_GB2312"/>
          <w:color w:val="auto"/>
          <w:sz w:val="24"/>
          <w:highlight w:val="none"/>
          <w:lang w:val="zh-CN"/>
        </w:rPr>
      </w:pPr>
      <w:r>
        <w:rPr>
          <w:rFonts w:hint="eastAsia" w:ascii="宋体" w:hAnsi="宋体" w:cs="楷体_GB2312"/>
          <w:color w:val="auto"/>
          <w:sz w:val="24"/>
          <w:highlight w:val="none"/>
          <w:lang w:val="zh-CN"/>
        </w:rPr>
        <w:t>法定代表人（电子签名或签章）：</w:t>
      </w:r>
      <w:r>
        <w:rPr>
          <w:rFonts w:ascii="宋体" w:hAnsi="宋体" w:cs="楷体_GB2312"/>
          <w:color w:val="auto"/>
          <w:sz w:val="24"/>
          <w:highlight w:val="none"/>
          <w:lang w:val="zh-CN"/>
        </w:rPr>
        <w:t xml:space="preserve">  </w:t>
      </w:r>
    </w:p>
    <w:p w14:paraId="0E14E31C">
      <w:pPr>
        <w:autoSpaceDE w:val="0"/>
        <w:autoSpaceDN w:val="0"/>
        <w:adjustRightInd w:val="0"/>
        <w:spacing w:line="360" w:lineRule="auto"/>
        <w:ind w:right="-817"/>
        <w:jc w:val="left"/>
        <w:rPr>
          <w:rFonts w:ascii="宋体" w:cs="楷体_GB2312"/>
          <w:color w:val="auto"/>
          <w:sz w:val="24"/>
          <w:highlight w:val="none"/>
          <w:lang w:val="zh-CN"/>
        </w:rPr>
      </w:pPr>
      <w:r>
        <w:rPr>
          <w:rFonts w:hint="eastAsia" w:ascii="宋体" w:hAnsi="宋体" w:cs="楷体_GB2312"/>
          <w:color w:val="auto"/>
          <w:sz w:val="24"/>
          <w:highlight w:val="none"/>
          <w:lang w:val="zh-CN"/>
        </w:rPr>
        <w:t>日期：</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14:paraId="733B371C">
      <w:pPr>
        <w:spacing w:line="240" w:lineRule="auto"/>
        <w:jc w:val="left"/>
        <w:textAlignment w:val="auto"/>
        <w:rPr>
          <w:rFonts w:eastAsia="方正黑体简体"/>
          <w:b/>
          <w:color w:val="auto"/>
          <w:sz w:val="30"/>
          <w:szCs w:val="30"/>
          <w:highlight w:val="none"/>
        </w:rPr>
      </w:pPr>
      <w:r>
        <w:rPr>
          <w:rFonts w:eastAsia="方正黑体简体"/>
          <w:b/>
          <w:color w:val="auto"/>
          <w:sz w:val="30"/>
          <w:szCs w:val="30"/>
          <w:highlight w:val="none"/>
        </w:rPr>
        <w:br w:type="page"/>
      </w:r>
    </w:p>
    <w:p w14:paraId="0FD6125B">
      <w:pPr>
        <w:widowControl w:val="0"/>
        <w:snapToGrid w:val="0"/>
        <w:spacing w:line="560" w:lineRule="exact"/>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六、质量、工期、安全承诺书</w:t>
      </w:r>
    </w:p>
    <w:p w14:paraId="747CF232">
      <w:pPr>
        <w:widowControl w:val="0"/>
        <w:tabs>
          <w:tab w:val="left" w:pos="9365"/>
        </w:tabs>
        <w:snapToGrid w:val="0"/>
        <w:spacing w:after="56" w:line="240" w:lineRule="auto"/>
        <w:ind w:right="85"/>
        <w:jc w:val="left"/>
        <w:textAlignment w:val="top"/>
        <w:rPr>
          <w:color w:val="auto"/>
          <w:sz w:val="28"/>
          <w:highlight w:val="none"/>
        </w:rPr>
      </w:pPr>
    </w:p>
    <w:p w14:paraId="523CA9A2">
      <w:pPr>
        <w:pStyle w:val="17"/>
        <w:adjustRightInd w:val="0"/>
        <w:snapToGrid w:val="0"/>
        <w:spacing w:before="0" w:beforeAutospacing="0" w:after="0" w:afterAutospacing="0"/>
        <w:rPr>
          <w:color w:val="auto"/>
          <w:highlight w:val="none"/>
        </w:rPr>
      </w:pPr>
    </w:p>
    <w:p w14:paraId="191BB792">
      <w:pPr>
        <w:pStyle w:val="17"/>
        <w:adjustRightInd w:val="0"/>
        <w:snapToGrid w:val="0"/>
        <w:spacing w:before="0" w:beforeAutospacing="0" w:after="0" w:afterAutospacing="0"/>
        <w:rPr>
          <w:color w:val="auto"/>
          <w:highlight w:val="none"/>
        </w:rPr>
      </w:pPr>
      <w:r>
        <w:rPr>
          <w:rFonts w:hint="eastAsia"/>
          <w:color w:val="auto"/>
          <w:highlight w:val="none"/>
        </w:rPr>
        <w:t>项目名称：</w:t>
      </w:r>
    </w:p>
    <w:p w14:paraId="5F164C49">
      <w:pPr>
        <w:pStyle w:val="17"/>
        <w:adjustRightInd w:val="0"/>
        <w:snapToGrid w:val="0"/>
        <w:spacing w:before="0" w:beforeAutospacing="0" w:after="0" w:afterAutospacing="0"/>
        <w:rPr>
          <w:color w:val="auto"/>
          <w:highlight w:val="none"/>
        </w:rPr>
      </w:pPr>
      <w:r>
        <w:rPr>
          <w:rFonts w:hint="eastAsia"/>
          <w:color w:val="auto"/>
          <w:highlight w:val="none"/>
        </w:rPr>
        <w:t>项目编号：</w:t>
      </w:r>
    </w:p>
    <w:p w14:paraId="626B7D30">
      <w:pPr>
        <w:spacing w:line="240" w:lineRule="auto"/>
        <w:rPr>
          <w:color w:val="auto"/>
          <w:sz w:val="28"/>
          <w:highlight w:val="none"/>
        </w:rPr>
      </w:pPr>
    </w:p>
    <w:p w14:paraId="79D282C9">
      <w:pPr>
        <w:pStyle w:val="6"/>
        <w:rPr>
          <w:color w:val="auto"/>
          <w:sz w:val="24"/>
          <w:highlight w:val="none"/>
        </w:rPr>
      </w:pPr>
    </w:p>
    <w:p w14:paraId="69F1DEA2">
      <w:pPr>
        <w:spacing w:line="440" w:lineRule="exact"/>
        <w:jc w:val="center"/>
        <w:rPr>
          <w:rFonts w:ascii="宋体"/>
          <w:b/>
          <w:color w:val="auto"/>
          <w:sz w:val="30"/>
          <w:szCs w:val="30"/>
          <w:highlight w:val="none"/>
        </w:rPr>
      </w:pPr>
      <w:r>
        <w:rPr>
          <w:rFonts w:hint="eastAsia" w:ascii="宋体" w:hAnsi="宋体"/>
          <w:color w:val="auto"/>
          <w:sz w:val="24"/>
          <w:szCs w:val="24"/>
          <w:highlight w:val="none"/>
        </w:rPr>
        <w:t>（对工程质量、工期、安全进行承诺，并描述责任承担。）</w:t>
      </w:r>
    </w:p>
    <w:p w14:paraId="6E10A711">
      <w:pPr>
        <w:pStyle w:val="6"/>
        <w:rPr>
          <w:color w:val="auto"/>
          <w:sz w:val="24"/>
          <w:highlight w:val="none"/>
        </w:rPr>
      </w:pPr>
    </w:p>
    <w:p w14:paraId="5E921DA0">
      <w:pPr>
        <w:pStyle w:val="6"/>
        <w:rPr>
          <w:color w:val="auto"/>
          <w:sz w:val="24"/>
          <w:highlight w:val="none"/>
        </w:rPr>
      </w:pPr>
    </w:p>
    <w:p w14:paraId="7C305863">
      <w:pPr>
        <w:autoSpaceDE w:val="0"/>
        <w:autoSpaceDN w:val="0"/>
        <w:adjustRightInd w:val="0"/>
        <w:spacing w:line="360" w:lineRule="auto"/>
        <w:rPr>
          <w:rFonts w:ascii="宋体"/>
          <w:color w:val="auto"/>
          <w:sz w:val="24"/>
          <w:highlight w:val="none"/>
        </w:rPr>
      </w:pPr>
    </w:p>
    <w:p w14:paraId="2FE140A3">
      <w:pPr>
        <w:widowControl w:val="0"/>
        <w:snapToGrid w:val="0"/>
        <w:spacing w:line="560" w:lineRule="exact"/>
        <w:jc w:val="center"/>
        <w:rPr>
          <w:rFonts w:ascii="宋体"/>
          <w:color w:val="auto"/>
          <w:spacing w:val="8"/>
          <w:szCs w:val="21"/>
          <w:highlight w:val="none"/>
        </w:rPr>
      </w:pPr>
    </w:p>
    <w:p w14:paraId="5BD0CC99">
      <w:pPr>
        <w:autoSpaceDE w:val="0"/>
        <w:autoSpaceDN w:val="0"/>
        <w:adjustRightInd w:val="0"/>
        <w:spacing w:line="360" w:lineRule="auto"/>
        <w:jc w:val="center"/>
        <w:rPr>
          <w:rFonts w:ascii="宋体"/>
          <w:color w:val="auto"/>
          <w:spacing w:val="8"/>
          <w:szCs w:val="21"/>
          <w:highlight w:val="none"/>
        </w:rPr>
      </w:pPr>
    </w:p>
    <w:p w14:paraId="5CA8795A">
      <w:pPr>
        <w:autoSpaceDE w:val="0"/>
        <w:autoSpaceDN w:val="0"/>
        <w:adjustRightInd w:val="0"/>
        <w:spacing w:line="360" w:lineRule="auto"/>
        <w:jc w:val="center"/>
        <w:rPr>
          <w:rFonts w:ascii="宋体"/>
          <w:color w:val="auto"/>
          <w:spacing w:val="8"/>
          <w:szCs w:val="21"/>
          <w:highlight w:val="none"/>
        </w:rPr>
      </w:pPr>
    </w:p>
    <w:p w14:paraId="1B82D68A">
      <w:pPr>
        <w:autoSpaceDE w:val="0"/>
        <w:autoSpaceDN w:val="0"/>
        <w:adjustRightInd w:val="0"/>
        <w:spacing w:line="360" w:lineRule="auto"/>
        <w:jc w:val="center"/>
        <w:rPr>
          <w:rFonts w:ascii="宋体"/>
          <w:color w:val="auto"/>
          <w:spacing w:val="8"/>
          <w:szCs w:val="21"/>
          <w:highlight w:val="none"/>
        </w:rPr>
      </w:pPr>
    </w:p>
    <w:p w14:paraId="707B11C8">
      <w:pPr>
        <w:autoSpaceDE w:val="0"/>
        <w:autoSpaceDN w:val="0"/>
        <w:adjustRightInd w:val="0"/>
        <w:spacing w:line="360" w:lineRule="auto"/>
        <w:jc w:val="center"/>
        <w:rPr>
          <w:rFonts w:ascii="宋体"/>
          <w:color w:val="auto"/>
          <w:spacing w:val="8"/>
          <w:szCs w:val="21"/>
          <w:highlight w:val="none"/>
        </w:rPr>
      </w:pPr>
    </w:p>
    <w:p w14:paraId="60E57718">
      <w:pPr>
        <w:autoSpaceDE w:val="0"/>
        <w:autoSpaceDN w:val="0"/>
        <w:adjustRightInd w:val="0"/>
        <w:spacing w:line="360" w:lineRule="auto"/>
        <w:jc w:val="center"/>
        <w:rPr>
          <w:rFonts w:ascii="宋体"/>
          <w:color w:val="auto"/>
          <w:spacing w:val="8"/>
          <w:szCs w:val="21"/>
          <w:highlight w:val="none"/>
        </w:rPr>
      </w:pPr>
    </w:p>
    <w:p w14:paraId="766641A7">
      <w:pPr>
        <w:autoSpaceDE w:val="0"/>
        <w:autoSpaceDN w:val="0"/>
        <w:adjustRightInd w:val="0"/>
        <w:spacing w:line="360" w:lineRule="auto"/>
        <w:jc w:val="center"/>
        <w:rPr>
          <w:rFonts w:ascii="宋体"/>
          <w:color w:val="auto"/>
          <w:spacing w:val="8"/>
          <w:szCs w:val="21"/>
          <w:highlight w:val="none"/>
        </w:rPr>
      </w:pPr>
    </w:p>
    <w:p w14:paraId="56053709">
      <w:pPr>
        <w:autoSpaceDE w:val="0"/>
        <w:autoSpaceDN w:val="0"/>
        <w:adjustRightInd w:val="0"/>
        <w:spacing w:line="360" w:lineRule="auto"/>
        <w:jc w:val="center"/>
        <w:rPr>
          <w:rFonts w:ascii="宋体"/>
          <w:color w:val="auto"/>
          <w:spacing w:val="8"/>
          <w:szCs w:val="21"/>
          <w:highlight w:val="none"/>
        </w:rPr>
      </w:pPr>
    </w:p>
    <w:p w14:paraId="22494111">
      <w:pPr>
        <w:autoSpaceDE w:val="0"/>
        <w:autoSpaceDN w:val="0"/>
        <w:adjustRightInd w:val="0"/>
        <w:spacing w:line="360" w:lineRule="auto"/>
        <w:jc w:val="center"/>
        <w:rPr>
          <w:rFonts w:ascii="宋体"/>
          <w:color w:val="auto"/>
          <w:spacing w:val="8"/>
          <w:szCs w:val="21"/>
          <w:highlight w:val="none"/>
        </w:rPr>
      </w:pPr>
    </w:p>
    <w:p w14:paraId="66E96784">
      <w:pPr>
        <w:autoSpaceDE w:val="0"/>
        <w:autoSpaceDN w:val="0"/>
        <w:adjustRightInd w:val="0"/>
        <w:spacing w:line="360" w:lineRule="auto"/>
        <w:jc w:val="center"/>
        <w:rPr>
          <w:rFonts w:ascii="宋体"/>
          <w:color w:val="auto"/>
          <w:spacing w:val="8"/>
          <w:szCs w:val="21"/>
          <w:highlight w:val="none"/>
        </w:rPr>
      </w:pPr>
    </w:p>
    <w:p w14:paraId="35C57AED">
      <w:pPr>
        <w:autoSpaceDE w:val="0"/>
        <w:autoSpaceDN w:val="0"/>
        <w:adjustRightInd w:val="0"/>
        <w:spacing w:line="360" w:lineRule="auto"/>
        <w:jc w:val="center"/>
        <w:rPr>
          <w:rFonts w:ascii="宋体"/>
          <w:color w:val="auto"/>
          <w:spacing w:val="8"/>
          <w:szCs w:val="21"/>
          <w:highlight w:val="none"/>
        </w:rPr>
      </w:pPr>
    </w:p>
    <w:p w14:paraId="641EFAB4">
      <w:pPr>
        <w:autoSpaceDE w:val="0"/>
        <w:autoSpaceDN w:val="0"/>
        <w:adjustRightInd w:val="0"/>
        <w:spacing w:line="360" w:lineRule="auto"/>
        <w:jc w:val="center"/>
        <w:rPr>
          <w:rFonts w:ascii="宋体"/>
          <w:color w:val="auto"/>
          <w:spacing w:val="8"/>
          <w:szCs w:val="21"/>
          <w:highlight w:val="none"/>
        </w:rPr>
      </w:pPr>
    </w:p>
    <w:p w14:paraId="61BC482B">
      <w:pPr>
        <w:autoSpaceDE w:val="0"/>
        <w:autoSpaceDN w:val="0"/>
        <w:adjustRightInd w:val="0"/>
        <w:spacing w:line="360" w:lineRule="auto"/>
        <w:jc w:val="center"/>
        <w:rPr>
          <w:rFonts w:ascii="宋体"/>
          <w:color w:val="auto"/>
          <w:spacing w:val="8"/>
          <w:szCs w:val="21"/>
          <w:highlight w:val="none"/>
        </w:rPr>
      </w:pPr>
    </w:p>
    <w:p w14:paraId="4931BE9E">
      <w:pPr>
        <w:autoSpaceDE w:val="0"/>
        <w:autoSpaceDN w:val="0"/>
        <w:adjustRightInd w:val="0"/>
        <w:spacing w:line="360" w:lineRule="auto"/>
        <w:jc w:val="center"/>
        <w:rPr>
          <w:rFonts w:ascii="宋体"/>
          <w:color w:val="auto"/>
          <w:spacing w:val="8"/>
          <w:szCs w:val="21"/>
          <w:highlight w:val="none"/>
        </w:rPr>
      </w:pPr>
    </w:p>
    <w:p w14:paraId="2A7980CC">
      <w:pPr>
        <w:autoSpaceDE w:val="0"/>
        <w:autoSpaceDN w:val="0"/>
        <w:adjustRightInd w:val="0"/>
        <w:spacing w:line="360" w:lineRule="auto"/>
        <w:jc w:val="center"/>
        <w:rPr>
          <w:rFonts w:ascii="宋体"/>
          <w:color w:val="auto"/>
          <w:spacing w:val="8"/>
          <w:szCs w:val="21"/>
          <w:highlight w:val="none"/>
        </w:rPr>
      </w:pPr>
    </w:p>
    <w:p w14:paraId="22FED568">
      <w:pPr>
        <w:tabs>
          <w:tab w:val="left" w:pos="0"/>
        </w:tabs>
        <w:adjustRightInd w:val="0"/>
        <w:snapToGrid w:val="0"/>
        <w:spacing w:before="156" w:beforeLines="50" w:line="300" w:lineRule="auto"/>
        <w:ind w:right="510"/>
        <w:rPr>
          <w:rFonts w:ascii="宋体"/>
          <w:color w:val="auto"/>
          <w:spacing w:val="8"/>
          <w:szCs w:val="21"/>
          <w:highlight w:val="none"/>
        </w:rPr>
      </w:pPr>
    </w:p>
    <w:p w14:paraId="00235E28">
      <w:pPr>
        <w:tabs>
          <w:tab w:val="left" w:pos="0"/>
        </w:tabs>
        <w:spacing w:line="480" w:lineRule="auto"/>
        <w:ind w:right="512"/>
        <w:rPr>
          <w:rFonts w:ascii="宋体"/>
          <w:color w:val="auto"/>
          <w:spacing w:val="8"/>
          <w:sz w:val="24"/>
          <w:highlight w:val="none"/>
        </w:rPr>
      </w:pPr>
      <w:r>
        <w:rPr>
          <w:rFonts w:hint="eastAsia" w:ascii="宋体" w:hAnsi="宋体"/>
          <w:color w:val="auto"/>
          <w:sz w:val="24"/>
          <w:highlight w:val="none"/>
        </w:rPr>
        <w:t>投标人</w:t>
      </w:r>
      <w:r>
        <w:rPr>
          <w:rFonts w:hint="eastAsia"/>
          <w:color w:val="auto"/>
          <w:sz w:val="24"/>
          <w:szCs w:val="24"/>
          <w:highlight w:val="none"/>
        </w:rPr>
        <w:t>（电子签</w:t>
      </w:r>
      <w:r>
        <w:rPr>
          <w:rFonts w:hint="eastAsia" w:ascii="宋体" w:hAnsi="宋体"/>
          <w:color w:val="auto"/>
          <w:sz w:val="24"/>
          <w:szCs w:val="24"/>
          <w:highlight w:val="none"/>
        </w:rPr>
        <w:t>章</w:t>
      </w:r>
      <w:r>
        <w:rPr>
          <w:rFonts w:hint="eastAsia"/>
          <w:color w:val="auto"/>
          <w:sz w:val="24"/>
          <w:szCs w:val="24"/>
          <w:highlight w:val="none"/>
        </w:rPr>
        <w:t>）</w:t>
      </w:r>
      <w:r>
        <w:rPr>
          <w:rFonts w:hint="eastAsia" w:ascii="宋体" w:hAnsi="宋体"/>
          <w:color w:val="auto"/>
          <w:spacing w:val="8"/>
          <w:sz w:val="24"/>
          <w:highlight w:val="none"/>
        </w:rPr>
        <w:t>：</w:t>
      </w:r>
    </w:p>
    <w:p w14:paraId="1FB87C51">
      <w:pPr>
        <w:tabs>
          <w:tab w:val="left" w:pos="0"/>
        </w:tabs>
        <w:spacing w:line="480" w:lineRule="auto"/>
        <w:ind w:right="768"/>
        <w:jc w:val="left"/>
        <w:rPr>
          <w:rFonts w:ascii="宋体"/>
          <w:color w:val="auto"/>
          <w:spacing w:val="8"/>
          <w:sz w:val="24"/>
          <w:highlight w:val="none"/>
        </w:rPr>
      </w:pPr>
      <w:r>
        <w:rPr>
          <w:rFonts w:hint="eastAsia" w:ascii="宋体" w:hAnsi="宋体"/>
          <w:color w:val="auto"/>
          <w:spacing w:val="8"/>
          <w:sz w:val="24"/>
          <w:highlight w:val="none"/>
        </w:rPr>
        <w:t>法定代表人（电子签名或签章）：</w:t>
      </w:r>
    </w:p>
    <w:p w14:paraId="54D2A597">
      <w:pPr>
        <w:autoSpaceDE w:val="0"/>
        <w:autoSpaceDN w:val="0"/>
        <w:adjustRightInd w:val="0"/>
        <w:spacing w:line="480" w:lineRule="auto"/>
        <w:rPr>
          <w:rFonts w:ascii="宋体"/>
          <w:color w:val="auto"/>
          <w:sz w:val="24"/>
          <w:highlight w:val="none"/>
        </w:rPr>
      </w:pPr>
      <w:r>
        <w:rPr>
          <w:rFonts w:hint="eastAsia" w:ascii="宋体" w:hAnsi="宋体"/>
          <w:color w:val="auto"/>
          <w:spacing w:val="8"/>
          <w:sz w:val="24"/>
          <w:highlight w:val="none"/>
        </w:rPr>
        <w:t>日期</w:t>
      </w:r>
      <w:r>
        <w:rPr>
          <w:rFonts w:ascii="宋体" w:hAnsi="宋体"/>
          <w:color w:val="auto"/>
          <w:spacing w:val="8"/>
          <w:sz w:val="24"/>
          <w:highlight w:val="none"/>
        </w:rPr>
        <w:t xml:space="preserve"> </w:t>
      </w:r>
      <w:r>
        <w:rPr>
          <w:rFonts w:hint="eastAsia" w:ascii="宋体" w:hAnsi="宋体"/>
          <w:color w:val="auto"/>
          <w:spacing w:val="8"/>
          <w:sz w:val="24"/>
          <w:highlight w:val="none"/>
        </w:rPr>
        <w:t>：</w:t>
      </w:r>
      <w:r>
        <w:rPr>
          <w:rFonts w:ascii="宋体" w:hAnsi="宋体" w:cs="楷体_GB2312"/>
          <w:color w:val="auto"/>
          <w:sz w:val="24"/>
          <w:highlight w:val="none"/>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rPr>
        <w:t xml:space="preserve">   </w:t>
      </w:r>
      <w:r>
        <w:rPr>
          <w:rFonts w:hint="eastAsia" w:ascii="宋体" w:hAnsi="宋体" w:cs="楷体_GB2312"/>
          <w:color w:val="auto"/>
          <w:sz w:val="24"/>
          <w:highlight w:val="none"/>
          <w:lang w:val="zh-CN"/>
        </w:rPr>
        <w:t>日</w:t>
      </w:r>
    </w:p>
    <w:p w14:paraId="56BDA866">
      <w:pPr>
        <w:widowControl w:val="0"/>
        <w:snapToGrid w:val="0"/>
        <w:spacing w:line="560" w:lineRule="exact"/>
        <w:jc w:val="center"/>
        <w:rPr>
          <w:rFonts w:ascii="黑体" w:hAnsi="黑体" w:eastAsia="黑体"/>
          <w:b/>
          <w:color w:val="auto"/>
          <w:sz w:val="28"/>
          <w:szCs w:val="28"/>
          <w:highlight w:val="none"/>
        </w:rPr>
      </w:pPr>
      <w:r>
        <w:rPr>
          <w:rFonts w:hint="eastAsia" w:ascii="黑体" w:hAnsi="黑体" w:eastAsia="黑体"/>
          <w:b/>
          <w:color w:val="auto"/>
          <w:sz w:val="30"/>
          <w:szCs w:val="30"/>
          <w:highlight w:val="none"/>
        </w:rPr>
        <w:t>七、偏差表</w:t>
      </w:r>
    </w:p>
    <w:p w14:paraId="5132426E">
      <w:pPr>
        <w:widowControl w:val="0"/>
        <w:snapToGrid w:val="0"/>
        <w:spacing w:line="276" w:lineRule="auto"/>
        <w:jc w:val="center"/>
        <w:rPr>
          <w:rFonts w:ascii="Adobe 宋体 Std L" w:hAnsi="Adobe 宋体 Std L" w:eastAsia="Adobe 宋体 Std L"/>
          <w:b/>
          <w:color w:val="auto"/>
          <w:sz w:val="28"/>
          <w:szCs w:val="28"/>
          <w:highlight w:val="none"/>
        </w:rPr>
      </w:pPr>
    </w:p>
    <w:p w14:paraId="3BD051CE">
      <w:pPr>
        <w:pStyle w:val="17"/>
        <w:adjustRightInd w:val="0"/>
        <w:snapToGrid w:val="0"/>
        <w:spacing w:before="0" w:beforeAutospacing="0" w:after="0" w:afterAutospacing="0"/>
        <w:rPr>
          <w:color w:val="auto"/>
          <w:highlight w:val="none"/>
          <w:u w:val="single"/>
        </w:rPr>
      </w:pPr>
      <w:r>
        <w:rPr>
          <w:rFonts w:hint="eastAsia"/>
          <w:color w:val="auto"/>
          <w:highlight w:val="none"/>
        </w:rPr>
        <w:t>项目名称：</w:t>
      </w:r>
      <w:r>
        <w:rPr>
          <w:color w:val="auto"/>
          <w:highlight w:val="none"/>
          <w:u w:val="single"/>
        </w:rPr>
        <w:t xml:space="preserve">           </w:t>
      </w:r>
    </w:p>
    <w:p w14:paraId="248B7265">
      <w:pPr>
        <w:pStyle w:val="17"/>
        <w:adjustRightInd w:val="0"/>
        <w:snapToGrid w:val="0"/>
        <w:spacing w:before="0" w:beforeAutospacing="0" w:after="0" w:afterAutospacing="0"/>
        <w:rPr>
          <w:color w:val="auto"/>
          <w:highlight w:val="none"/>
        </w:rPr>
      </w:pPr>
      <w:r>
        <w:rPr>
          <w:rFonts w:hint="eastAsia"/>
          <w:color w:val="auto"/>
          <w:highlight w:val="none"/>
        </w:rPr>
        <w:t>项目编号：</w:t>
      </w:r>
      <w:r>
        <w:rPr>
          <w:color w:val="auto"/>
          <w:highlight w:val="none"/>
          <w:u w:val="single"/>
        </w:rPr>
        <w:t xml:space="preserve">           </w:t>
      </w:r>
    </w:p>
    <w:tbl>
      <w:tblPr>
        <w:tblStyle w:val="20"/>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7"/>
        <w:gridCol w:w="3098"/>
        <w:gridCol w:w="2947"/>
        <w:gridCol w:w="2638"/>
      </w:tblGrid>
      <w:tr w14:paraId="2B206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637" w:type="dxa"/>
            <w:tcBorders>
              <w:top w:val="single" w:color="000000" w:sz="8" w:space="0"/>
              <w:left w:val="single" w:color="000000" w:sz="8" w:space="0"/>
              <w:bottom w:val="single" w:color="000000" w:sz="4" w:space="0"/>
              <w:right w:val="single" w:color="000000" w:sz="4" w:space="0"/>
            </w:tcBorders>
            <w:vAlign w:val="center"/>
          </w:tcPr>
          <w:p w14:paraId="1074D819">
            <w:pPr>
              <w:spacing w:line="560" w:lineRule="exact"/>
              <w:jc w:val="center"/>
              <w:rPr>
                <w:b/>
                <w:color w:val="auto"/>
                <w:sz w:val="28"/>
                <w:highlight w:val="none"/>
              </w:rPr>
            </w:pPr>
            <w:r>
              <w:rPr>
                <w:rFonts w:hint="eastAsia"/>
                <w:b/>
                <w:color w:val="auto"/>
                <w:highlight w:val="none"/>
              </w:rPr>
              <w:t>序号</w:t>
            </w:r>
          </w:p>
        </w:tc>
        <w:tc>
          <w:tcPr>
            <w:tcW w:w="3098" w:type="dxa"/>
            <w:tcBorders>
              <w:top w:val="single" w:color="000000" w:sz="8" w:space="0"/>
              <w:bottom w:val="single" w:color="000000" w:sz="4" w:space="0"/>
              <w:right w:val="single" w:color="000000" w:sz="4" w:space="0"/>
            </w:tcBorders>
            <w:vAlign w:val="center"/>
          </w:tcPr>
          <w:p w14:paraId="0982037D">
            <w:pPr>
              <w:spacing w:line="560" w:lineRule="exact"/>
              <w:jc w:val="center"/>
              <w:rPr>
                <w:b/>
                <w:color w:val="auto"/>
                <w:sz w:val="28"/>
                <w:highlight w:val="none"/>
              </w:rPr>
            </w:pPr>
            <w:r>
              <w:rPr>
                <w:rFonts w:hint="eastAsia"/>
                <w:b/>
                <w:color w:val="auto"/>
                <w:highlight w:val="none"/>
              </w:rPr>
              <w:t>招标文件要求</w:t>
            </w:r>
          </w:p>
        </w:tc>
        <w:tc>
          <w:tcPr>
            <w:tcW w:w="2947" w:type="dxa"/>
            <w:tcBorders>
              <w:top w:val="single" w:color="000000" w:sz="8" w:space="0"/>
              <w:bottom w:val="single" w:color="000000" w:sz="4" w:space="0"/>
              <w:right w:val="single" w:color="000000" w:sz="4" w:space="0"/>
            </w:tcBorders>
            <w:vAlign w:val="center"/>
          </w:tcPr>
          <w:p w14:paraId="28E8A786">
            <w:pPr>
              <w:spacing w:line="560" w:lineRule="exact"/>
              <w:jc w:val="center"/>
              <w:rPr>
                <w:b/>
                <w:color w:val="auto"/>
                <w:sz w:val="28"/>
                <w:highlight w:val="none"/>
              </w:rPr>
            </w:pPr>
            <w:r>
              <w:rPr>
                <w:rFonts w:hint="eastAsia"/>
                <w:b/>
                <w:color w:val="auto"/>
                <w:highlight w:val="none"/>
              </w:rPr>
              <w:t>投标文件响应</w:t>
            </w:r>
          </w:p>
        </w:tc>
        <w:tc>
          <w:tcPr>
            <w:tcW w:w="2638" w:type="dxa"/>
            <w:tcBorders>
              <w:top w:val="single" w:color="000000" w:sz="8" w:space="0"/>
              <w:bottom w:val="single" w:color="000000" w:sz="4" w:space="0"/>
              <w:right w:val="single" w:color="000000" w:sz="8" w:space="0"/>
            </w:tcBorders>
            <w:vAlign w:val="center"/>
          </w:tcPr>
          <w:p w14:paraId="76E18756">
            <w:pPr>
              <w:spacing w:line="560" w:lineRule="exact"/>
              <w:jc w:val="center"/>
              <w:rPr>
                <w:b/>
                <w:color w:val="auto"/>
                <w:sz w:val="28"/>
                <w:highlight w:val="none"/>
              </w:rPr>
            </w:pPr>
            <w:r>
              <w:rPr>
                <w:rFonts w:hint="eastAsia"/>
                <w:b/>
                <w:color w:val="auto"/>
                <w:highlight w:val="none"/>
              </w:rPr>
              <w:t>偏差描述</w:t>
            </w:r>
          </w:p>
        </w:tc>
      </w:tr>
      <w:tr w14:paraId="1A6DF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14:paraId="4EA05286">
            <w:pPr>
              <w:spacing w:line="560" w:lineRule="exact"/>
              <w:jc w:val="center"/>
              <w:rPr>
                <w:color w:val="auto"/>
                <w:sz w:val="28"/>
                <w:highlight w:val="none"/>
              </w:rPr>
            </w:pPr>
            <w:r>
              <w:rPr>
                <w:color w:val="auto"/>
                <w:highlight w:val="none"/>
              </w:rPr>
              <w:t>1</w:t>
            </w:r>
          </w:p>
        </w:tc>
        <w:tc>
          <w:tcPr>
            <w:tcW w:w="3098" w:type="dxa"/>
            <w:tcBorders>
              <w:bottom w:val="single" w:color="000000" w:sz="4" w:space="0"/>
              <w:right w:val="single" w:color="000000" w:sz="4" w:space="0"/>
            </w:tcBorders>
            <w:vAlign w:val="center"/>
          </w:tcPr>
          <w:p w14:paraId="19FDCB1A">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14:paraId="6A19F7D8">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14:paraId="6968BFF6">
            <w:pPr>
              <w:spacing w:line="560" w:lineRule="exact"/>
              <w:jc w:val="center"/>
              <w:rPr>
                <w:color w:val="auto"/>
                <w:sz w:val="28"/>
                <w:highlight w:val="none"/>
              </w:rPr>
            </w:pPr>
          </w:p>
        </w:tc>
      </w:tr>
      <w:tr w14:paraId="0BB5F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14:paraId="726376A7">
            <w:pPr>
              <w:spacing w:line="560" w:lineRule="exact"/>
              <w:jc w:val="center"/>
              <w:rPr>
                <w:color w:val="auto"/>
                <w:sz w:val="28"/>
                <w:highlight w:val="none"/>
              </w:rPr>
            </w:pPr>
            <w:r>
              <w:rPr>
                <w:color w:val="auto"/>
                <w:highlight w:val="none"/>
              </w:rPr>
              <w:t>2</w:t>
            </w:r>
          </w:p>
        </w:tc>
        <w:tc>
          <w:tcPr>
            <w:tcW w:w="3098" w:type="dxa"/>
            <w:tcBorders>
              <w:bottom w:val="single" w:color="000000" w:sz="4" w:space="0"/>
              <w:right w:val="single" w:color="000000" w:sz="4" w:space="0"/>
            </w:tcBorders>
            <w:vAlign w:val="center"/>
          </w:tcPr>
          <w:p w14:paraId="2915E84B">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14:paraId="52340A24">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14:paraId="78BC02A4">
            <w:pPr>
              <w:spacing w:line="560" w:lineRule="exact"/>
              <w:jc w:val="center"/>
              <w:rPr>
                <w:color w:val="auto"/>
                <w:sz w:val="28"/>
                <w:highlight w:val="none"/>
              </w:rPr>
            </w:pPr>
          </w:p>
        </w:tc>
      </w:tr>
      <w:tr w14:paraId="1A23F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14:paraId="6EE91DC4">
            <w:pPr>
              <w:spacing w:line="560" w:lineRule="exact"/>
              <w:jc w:val="center"/>
              <w:rPr>
                <w:color w:val="auto"/>
                <w:sz w:val="28"/>
                <w:highlight w:val="none"/>
              </w:rPr>
            </w:pPr>
            <w:r>
              <w:rPr>
                <w:color w:val="auto"/>
                <w:highlight w:val="none"/>
              </w:rPr>
              <w:t>3</w:t>
            </w:r>
          </w:p>
        </w:tc>
        <w:tc>
          <w:tcPr>
            <w:tcW w:w="3098" w:type="dxa"/>
            <w:tcBorders>
              <w:bottom w:val="single" w:color="000000" w:sz="4" w:space="0"/>
              <w:right w:val="single" w:color="000000" w:sz="4" w:space="0"/>
            </w:tcBorders>
            <w:vAlign w:val="center"/>
          </w:tcPr>
          <w:p w14:paraId="2AC5D9AB">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14:paraId="5D188DBD">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14:paraId="46EC0CF1">
            <w:pPr>
              <w:spacing w:line="560" w:lineRule="exact"/>
              <w:jc w:val="center"/>
              <w:rPr>
                <w:color w:val="auto"/>
                <w:sz w:val="28"/>
                <w:highlight w:val="none"/>
              </w:rPr>
            </w:pPr>
          </w:p>
        </w:tc>
      </w:tr>
      <w:tr w14:paraId="4AAD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14:paraId="4DAE2EA0">
            <w:pPr>
              <w:spacing w:line="560" w:lineRule="exact"/>
              <w:jc w:val="center"/>
              <w:rPr>
                <w:color w:val="auto"/>
                <w:sz w:val="28"/>
                <w:highlight w:val="none"/>
              </w:rPr>
            </w:pPr>
            <w:r>
              <w:rPr>
                <w:color w:val="auto"/>
                <w:highlight w:val="none"/>
              </w:rPr>
              <w:t>4</w:t>
            </w:r>
          </w:p>
        </w:tc>
        <w:tc>
          <w:tcPr>
            <w:tcW w:w="3098" w:type="dxa"/>
            <w:tcBorders>
              <w:bottom w:val="single" w:color="000000" w:sz="4" w:space="0"/>
              <w:right w:val="single" w:color="000000" w:sz="4" w:space="0"/>
            </w:tcBorders>
            <w:vAlign w:val="center"/>
          </w:tcPr>
          <w:p w14:paraId="04642B21">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14:paraId="6D3204C9">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14:paraId="244DD541">
            <w:pPr>
              <w:spacing w:line="560" w:lineRule="exact"/>
              <w:jc w:val="center"/>
              <w:rPr>
                <w:color w:val="auto"/>
                <w:sz w:val="28"/>
                <w:highlight w:val="none"/>
              </w:rPr>
            </w:pPr>
          </w:p>
        </w:tc>
      </w:tr>
      <w:tr w14:paraId="515EA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trPr>
        <w:tc>
          <w:tcPr>
            <w:tcW w:w="637" w:type="dxa"/>
            <w:tcBorders>
              <w:left w:val="single" w:color="000000" w:sz="8" w:space="0"/>
              <w:bottom w:val="single" w:color="000000" w:sz="4" w:space="0"/>
              <w:right w:val="single" w:color="000000" w:sz="4" w:space="0"/>
            </w:tcBorders>
            <w:vAlign w:val="center"/>
          </w:tcPr>
          <w:p w14:paraId="24743B00">
            <w:pPr>
              <w:spacing w:line="560" w:lineRule="exact"/>
              <w:jc w:val="center"/>
              <w:rPr>
                <w:color w:val="auto"/>
                <w:sz w:val="28"/>
                <w:highlight w:val="none"/>
              </w:rPr>
            </w:pPr>
            <w:r>
              <w:rPr>
                <w:color w:val="auto"/>
                <w:highlight w:val="none"/>
              </w:rPr>
              <w:t>5</w:t>
            </w:r>
          </w:p>
        </w:tc>
        <w:tc>
          <w:tcPr>
            <w:tcW w:w="3098" w:type="dxa"/>
            <w:tcBorders>
              <w:bottom w:val="single" w:color="000000" w:sz="4" w:space="0"/>
              <w:right w:val="single" w:color="000000" w:sz="4" w:space="0"/>
            </w:tcBorders>
            <w:vAlign w:val="center"/>
          </w:tcPr>
          <w:p w14:paraId="40494B8B">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14:paraId="6F4C451F">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14:paraId="255FE4B4">
            <w:pPr>
              <w:spacing w:line="560" w:lineRule="exact"/>
              <w:jc w:val="center"/>
              <w:rPr>
                <w:color w:val="auto"/>
                <w:sz w:val="28"/>
                <w:highlight w:val="none"/>
              </w:rPr>
            </w:pPr>
          </w:p>
        </w:tc>
      </w:tr>
      <w:tr w14:paraId="5FEBD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637" w:type="dxa"/>
            <w:tcBorders>
              <w:left w:val="single" w:color="000000" w:sz="8" w:space="0"/>
              <w:bottom w:val="single" w:color="000000" w:sz="4" w:space="0"/>
              <w:right w:val="single" w:color="000000" w:sz="4" w:space="0"/>
            </w:tcBorders>
            <w:vAlign w:val="center"/>
          </w:tcPr>
          <w:p w14:paraId="21390AE3">
            <w:pPr>
              <w:spacing w:line="560" w:lineRule="exact"/>
              <w:jc w:val="center"/>
              <w:rPr>
                <w:color w:val="auto"/>
                <w:sz w:val="28"/>
                <w:highlight w:val="none"/>
              </w:rPr>
            </w:pPr>
            <w:r>
              <w:rPr>
                <w:color w:val="auto"/>
                <w:highlight w:val="none"/>
              </w:rPr>
              <w:t>6</w:t>
            </w:r>
          </w:p>
        </w:tc>
        <w:tc>
          <w:tcPr>
            <w:tcW w:w="3098" w:type="dxa"/>
            <w:tcBorders>
              <w:bottom w:val="single" w:color="000000" w:sz="4" w:space="0"/>
              <w:right w:val="single" w:color="000000" w:sz="4" w:space="0"/>
            </w:tcBorders>
            <w:vAlign w:val="center"/>
          </w:tcPr>
          <w:p w14:paraId="69F5ACF4">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14:paraId="5A381D53">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14:paraId="02A2BA44">
            <w:pPr>
              <w:spacing w:line="560" w:lineRule="exact"/>
              <w:jc w:val="center"/>
              <w:rPr>
                <w:color w:val="auto"/>
                <w:sz w:val="28"/>
                <w:highlight w:val="none"/>
              </w:rPr>
            </w:pPr>
          </w:p>
        </w:tc>
      </w:tr>
      <w:tr w14:paraId="37662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637" w:type="dxa"/>
            <w:tcBorders>
              <w:left w:val="single" w:color="000000" w:sz="8" w:space="0"/>
              <w:bottom w:val="single" w:color="000000" w:sz="4" w:space="0"/>
              <w:right w:val="single" w:color="000000" w:sz="4" w:space="0"/>
            </w:tcBorders>
            <w:vAlign w:val="center"/>
          </w:tcPr>
          <w:p w14:paraId="3A014616">
            <w:pPr>
              <w:spacing w:line="560" w:lineRule="exact"/>
              <w:jc w:val="center"/>
              <w:rPr>
                <w:color w:val="auto"/>
                <w:sz w:val="28"/>
                <w:highlight w:val="none"/>
              </w:rPr>
            </w:pPr>
            <w:r>
              <w:rPr>
                <w:color w:val="auto"/>
                <w:highlight w:val="none"/>
              </w:rPr>
              <w:t>7</w:t>
            </w:r>
          </w:p>
        </w:tc>
        <w:tc>
          <w:tcPr>
            <w:tcW w:w="3098" w:type="dxa"/>
            <w:tcBorders>
              <w:bottom w:val="single" w:color="000000" w:sz="4" w:space="0"/>
              <w:right w:val="single" w:color="000000" w:sz="4" w:space="0"/>
            </w:tcBorders>
            <w:vAlign w:val="center"/>
          </w:tcPr>
          <w:p w14:paraId="1596EB29">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14:paraId="2A75E991">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14:paraId="6DF668BA">
            <w:pPr>
              <w:spacing w:line="560" w:lineRule="exact"/>
              <w:jc w:val="center"/>
              <w:rPr>
                <w:color w:val="auto"/>
                <w:sz w:val="28"/>
                <w:highlight w:val="none"/>
              </w:rPr>
            </w:pPr>
          </w:p>
        </w:tc>
      </w:tr>
      <w:tr w14:paraId="13ADA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637" w:type="dxa"/>
            <w:tcBorders>
              <w:left w:val="single" w:color="000000" w:sz="8" w:space="0"/>
              <w:bottom w:val="single" w:color="000000" w:sz="4" w:space="0"/>
              <w:right w:val="single" w:color="000000" w:sz="4" w:space="0"/>
            </w:tcBorders>
            <w:vAlign w:val="center"/>
          </w:tcPr>
          <w:p w14:paraId="78997229">
            <w:pPr>
              <w:spacing w:line="560" w:lineRule="exact"/>
              <w:jc w:val="center"/>
              <w:rPr>
                <w:color w:val="auto"/>
                <w:sz w:val="28"/>
                <w:highlight w:val="none"/>
              </w:rPr>
            </w:pPr>
            <w:r>
              <w:rPr>
                <w:color w:val="auto"/>
                <w:highlight w:val="none"/>
              </w:rPr>
              <w:t>8</w:t>
            </w:r>
          </w:p>
        </w:tc>
        <w:tc>
          <w:tcPr>
            <w:tcW w:w="3098" w:type="dxa"/>
            <w:tcBorders>
              <w:bottom w:val="single" w:color="000000" w:sz="4" w:space="0"/>
              <w:right w:val="single" w:color="000000" w:sz="4" w:space="0"/>
            </w:tcBorders>
            <w:vAlign w:val="center"/>
          </w:tcPr>
          <w:p w14:paraId="6B5CB1B5">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14:paraId="0C385316">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14:paraId="036FC79B">
            <w:pPr>
              <w:spacing w:line="560" w:lineRule="exact"/>
              <w:jc w:val="center"/>
              <w:rPr>
                <w:color w:val="auto"/>
                <w:sz w:val="28"/>
                <w:highlight w:val="none"/>
              </w:rPr>
            </w:pPr>
          </w:p>
        </w:tc>
      </w:tr>
      <w:tr w14:paraId="58083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trPr>
        <w:tc>
          <w:tcPr>
            <w:tcW w:w="637" w:type="dxa"/>
            <w:tcBorders>
              <w:left w:val="single" w:color="000000" w:sz="8" w:space="0"/>
              <w:bottom w:val="single" w:color="000000" w:sz="4" w:space="0"/>
              <w:right w:val="single" w:color="000000" w:sz="4" w:space="0"/>
            </w:tcBorders>
            <w:vAlign w:val="center"/>
          </w:tcPr>
          <w:p w14:paraId="369C6454">
            <w:pPr>
              <w:spacing w:line="560" w:lineRule="exact"/>
              <w:jc w:val="center"/>
              <w:rPr>
                <w:color w:val="auto"/>
                <w:sz w:val="28"/>
                <w:highlight w:val="none"/>
              </w:rPr>
            </w:pPr>
            <w:r>
              <w:rPr>
                <w:color w:val="auto"/>
                <w:highlight w:val="none"/>
              </w:rPr>
              <w:t>9</w:t>
            </w:r>
          </w:p>
        </w:tc>
        <w:tc>
          <w:tcPr>
            <w:tcW w:w="3098" w:type="dxa"/>
            <w:tcBorders>
              <w:bottom w:val="single" w:color="000000" w:sz="4" w:space="0"/>
              <w:right w:val="single" w:color="000000" w:sz="4" w:space="0"/>
            </w:tcBorders>
            <w:vAlign w:val="center"/>
          </w:tcPr>
          <w:p w14:paraId="44653A50">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14:paraId="37E64222">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14:paraId="49B63A6B">
            <w:pPr>
              <w:spacing w:line="560" w:lineRule="exact"/>
              <w:jc w:val="center"/>
              <w:rPr>
                <w:color w:val="auto"/>
                <w:sz w:val="28"/>
                <w:highlight w:val="none"/>
              </w:rPr>
            </w:pPr>
          </w:p>
        </w:tc>
      </w:tr>
      <w:tr w14:paraId="610A4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637" w:type="dxa"/>
            <w:tcBorders>
              <w:left w:val="single" w:color="000000" w:sz="8" w:space="0"/>
              <w:bottom w:val="single" w:color="000000" w:sz="8" w:space="0"/>
              <w:right w:val="single" w:color="000000" w:sz="4" w:space="0"/>
            </w:tcBorders>
            <w:vAlign w:val="center"/>
          </w:tcPr>
          <w:p w14:paraId="4C4F9267">
            <w:pPr>
              <w:spacing w:line="560" w:lineRule="exact"/>
              <w:jc w:val="center"/>
              <w:rPr>
                <w:color w:val="auto"/>
                <w:sz w:val="28"/>
                <w:highlight w:val="none"/>
              </w:rPr>
            </w:pPr>
            <w:r>
              <w:rPr>
                <w:color w:val="auto"/>
                <w:highlight w:val="none"/>
              </w:rPr>
              <w:t>......</w:t>
            </w:r>
          </w:p>
        </w:tc>
        <w:tc>
          <w:tcPr>
            <w:tcW w:w="3098" w:type="dxa"/>
            <w:tcBorders>
              <w:bottom w:val="single" w:color="000000" w:sz="8" w:space="0"/>
              <w:right w:val="single" w:color="000000" w:sz="4" w:space="0"/>
            </w:tcBorders>
            <w:vAlign w:val="center"/>
          </w:tcPr>
          <w:p w14:paraId="23D5DF95">
            <w:pPr>
              <w:spacing w:line="560" w:lineRule="exact"/>
              <w:jc w:val="center"/>
              <w:rPr>
                <w:color w:val="auto"/>
                <w:sz w:val="28"/>
                <w:highlight w:val="none"/>
              </w:rPr>
            </w:pPr>
          </w:p>
        </w:tc>
        <w:tc>
          <w:tcPr>
            <w:tcW w:w="2947" w:type="dxa"/>
            <w:tcBorders>
              <w:bottom w:val="single" w:color="000000" w:sz="8" w:space="0"/>
              <w:right w:val="single" w:color="000000" w:sz="4" w:space="0"/>
            </w:tcBorders>
            <w:vAlign w:val="center"/>
          </w:tcPr>
          <w:p w14:paraId="66E8BA72">
            <w:pPr>
              <w:spacing w:line="560" w:lineRule="exact"/>
              <w:jc w:val="center"/>
              <w:rPr>
                <w:color w:val="auto"/>
                <w:sz w:val="28"/>
                <w:highlight w:val="none"/>
              </w:rPr>
            </w:pPr>
          </w:p>
        </w:tc>
        <w:tc>
          <w:tcPr>
            <w:tcW w:w="2638" w:type="dxa"/>
            <w:tcBorders>
              <w:bottom w:val="single" w:color="000000" w:sz="8" w:space="0"/>
              <w:right w:val="single" w:color="000000" w:sz="8" w:space="0"/>
            </w:tcBorders>
            <w:vAlign w:val="center"/>
          </w:tcPr>
          <w:p w14:paraId="7360E259">
            <w:pPr>
              <w:spacing w:line="560" w:lineRule="exact"/>
              <w:jc w:val="center"/>
              <w:rPr>
                <w:color w:val="auto"/>
                <w:sz w:val="28"/>
                <w:highlight w:val="none"/>
              </w:rPr>
            </w:pPr>
          </w:p>
        </w:tc>
      </w:tr>
    </w:tbl>
    <w:p w14:paraId="4A7345FD">
      <w:pPr>
        <w:tabs>
          <w:tab w:val="left" w:pos="0"/>
        </w:tabs>
        <w:adjustRightInd w:val="0"/>
        <w:snapToGrid w:val="0"/>
        <w:spacing w:before="156" w:beforeLines="50" w:line="300" w:lineRule="auto"/>
        <w:ind w:right="25" w:firstLine="452" w:firstLineChars="200"/>
        <w:rPr>
          <w:rFonts w:ascii="宋体"/>
          <w:color w:val="auto"/>
          <w:spacing w:val="8"/>
          <w:szCs w:val="21"/>
          <w:highlight w:val="none"/>
        </w:rPr>
      </w:pPr>
      <w:r>
        <w:rPr>
          <w:rFonts w:hint="eastAsia" w:ascii="宋体" w:hAnsi="宋体"/>
          <w:color w:val="auto"/>
          <w:spacing w:val="8"/>
          <w:szCs w:val="21"/>
          <w:highlight w:val="none"/>
        </w:rPr>
        <w:t>注：</w:t>
      </w:r>
      <w:r>
        <w:rPr>
          <w:rFonts w:ascii="宋体" w:hAnsi="宋体"/>
          <w:color w:val="auto"/>
          <w:spacing w:val="8"/>
          <w:szCs w:val="21"/>
          <w:highlight w:val="none"/>
        </w:rPr>
        <w:t>1</w:t>
      </w:r>
      <w:r>
        <w:rPr>
          <w:rFonts w:hint="eastAsia" w:ascii="宋体" w:hAnsi="宋体"/>
          <w:color w:val="auto"/>
          <w:spacing w:val="8"/>
          <w:szCs w:val="21"/>
          <w:highlight w:val="none"/>
        </w:rPr>
        <w:t>、“偏差表”应详细注明与《招标文件》中各项要求有何不同，并说明其符合性（优于、或低于《招标文件》要求）。</w:t>
      </w:r>
    </w:p>
    <w:p w14:paraId="36C086FD">
      <w:pPr>
        <w:tabs>
          <w:tab w:val="left" w:pos="0"/>
        </w:tabs>
        <w:adjustRightInd w:val="0"/>
        <w:snapToGrid w:val="0"/>
        <w:spacing w:before="156" w:beforeLines="50" w:line="300" w:lineRule="auto"/>
        <w:ind w:right="25" w:firstLine="452" w:firstLineChars="200"/>
        <w:rPr>
          <w:rFonts w:ascii="宋体"/>
          <w:color w:val="auto"/>
          <w:spacing w:val="8"/>
          <w:szCs w:val="21"/>
          <w:highlight w:val="none"/>
        </w:rPr>
      </w:pPr>
      <w:r>
        <w:rPr>
          <w:rFonts w:ascii="宋体" w:hAnsi="宋体"/>
          <w:color w:val="auto"/>
          <w:spacing w:val="8"/>
          <w:szCs w:val="21"/>
          <w:highlight w:val="none"/>
        </w:rPr>
        <w:t>2</w:t>
      </w:r>
      <w:r>
        <w:rPr>
          <w:rFonts w:hint="eastAsia" w:ascii="宋体" w:hAnsi="宋体"/>
          <w:color w:val="auto"/>
          <w:spacing w:val="8"/>
          <w:szCs w:val="21"/>
          <w:highlight w:val="none"/>
        </w:rPr>
        <w:t>、如投标条款与《招标文件》要求一致，仍需在本表填列“与《招标文件》所有条款要求一致，无偏差”等相似表述。</w:t>
      </w:r>
    </w:p>
    <w:p w14:paraId="2F87F9F2">
      <w:pPr>
        <w:tabs>
          <w:tab w:val="left" w:pos="540"/>
        </w:tabs>
        <w:spacing w:line="440" w:lineRule="exact"/>
        <w:jc w:val="center"/>
        <w:rPr>
          <w:color w:val="auto"/>
          <w:sz w:val="28"/>
          <w:highlight w:val="none"/>
        </w:rPr>
      </w:pPr>
    </w:p>
    <w:p w14:paraId="5EDAD3CA">
      <w:pPr>
        <w:tabs>
          <w:tab w:val="left" w:pos="540"/>
        </w:tabs>
        <w:spacing w:line="440" w:lineRule="exact"/>
        <w:jc w:val="center"/>
        <w:rPr>
          <w:color w:val="auto"/>
          <w:sz w:val="28"/>
          <w:highlight w:val="none"/>
        </w:rPr>
      </w:pPr>
    </w:p>
    <w:p w14:paraId="4A1F9595">
      <w:pPr>
        <w:tabs>
          <w:tab w:val="left" w:pos="0"/>
        </w:tabs>
        <w:spacing w:line="480" w:lineRule="auto"/>
        <w:ind w:right="512"/>
        <w:rPr>
          <w:rFonts w:ascii="宋体"/>
          <w:color w:val="auto"/>
          <w:spacing w:val="8"/>
          <w:sz w:val="24"/>
          <w:highlight w:val="none"/>
        </w:rPr>
      </w:pPr>
      <w:r>
        <w:rPr>
          <w:rFonts w:hint="eastAsia" w:ascii="宋体" w:hAnsi="宋体"/>
          <w:color w:val="auto"/>
          <w:sz w:val="24"/>
          <w:highlight w:val="none"/>
        </w:rPr>
        <w:t>供应商</w:t>
      </w:r>
      <w:r>
        <w:rPr>
          <w:rFonts w:hint="eastAsia"/>
          <w:color w:val="auto"/>
          <w:sz w:val="24"/>
          <w:szCs w:val="24"/>
          <w:highlight w:val="none"/>
        </w:rPr>
        <w:t>（电子签</w:t>
      </w:r>
      <w:r>
        <w:rPr>
          <w:rFonts w:hint="eastAsia" w:ascii="宋体" w:hAnsi="宋体"/>
          <w:color w:val="auto"/>
          <w:sz w:val="24"/>
          <w:szCs w:val="24"/>
          <w:highlight w:val="none"/>
        </w:rPr>
        <w:t>章</w:t>
      </w:r>
      <w:r>
        <w:rPr>
          <w:rFonts w:hint="eastAsia"/>
          <w:color w:val="auto"/>
          <w:sz w:val="24"/>
          <w:szCs w:val="24"/>
          <w:highlight w:val="none"/>
        </w:rPr>
        <w:t>）</w:t>
      </w:r>
      <w:r>
        <w:rPr>
          <w:rFonts w:hint="eastAsia" w:ascii="宋体" w:hAnsi="宋体"/>
          <w:color w:val="auto"/>
          <w:spacing w:val="8"/>
          <w:sz w:val="24"/>
          <w:highlight w:val="none"/>
        </w:rPr>
        <w:t>：</w:t>
      </w:r>
    </w:p>
    <w:p w14:paraId="68556137">
      <w:pPr>
        <w:tabs>
          <w:tab w:val="left" w:pos="0"/>
        </w:tabs>
        <w:spacing w:line="480" w:lineRule="auto"/>
        <w:ind w:right="768"/>
        <w:jc w:val="left"/>
        <w:rPr>
          <w:rFonts w:ascii="宋体"/>
          <w:color w:val="auto"/>
          <w:spacing w:val="8"/>
          <w:sz w:val="24"/>
          <w:highlight w:val="none"/>
        </w:rPr>
      </w:pPr>
      <w:r>
        <w:rPr>
          <w:rFonts w:hint="eastAsia" w:ascii="宋体" w:hAnsi="宋体"/>
          <w:color w:val="auto"/>
          <w:spacing w:val="8"/>
          <w:sz w:val="24"/>
          <w:highlight w:val="none"/>
        </w:rPr>
        <w:t>法定代表人（电子签名或签章）：</w:t>
      </w:r>
    </w:p>
    <w:p w14:paraId="4C28C6F8">
      <w:pPr>
        <w:autoSpaceDE w:val="0"/>
        <w:autoSpaceDN w:val="0"/>
        <w:adjustRightInd w:val="0"/>
        <w:spacing w:line="480" w:lineRule="auto"/>
        <w:rPr>
          <w:rFonts w:ascii="宋体"/>
          <w:color w:val="auto"/>
          <w:sz w:val="24"/>
          <w:highlight w:val="none"/>
        </w:rPr>
      </w:pPr>
      <w:r>
        <w:rPr>
          <w:rFonts w:hint="eastAsia" w:ascii="宋体" w:hAnsi="宋体"/>
          <w:color w:val="auto"/>
          <w:spacing w:val="8"/>
          <w:sz w:val="24"/>
          <w:highlight w:val="none"/>
        </w:rPr>
        <w:t>日期</w:t>
      </w:r>
      <w:r>
        <w:rPr>
          <w:rFonts w:ascii="宋体" w:hAnsi="宋体"/>
          <w:color w:val="auto"/>
          <w:spacing w:val="8"/>
          <w:sz w:val="24"/>
          <w:highlight w:val="none"/>
        </w:rPr>
        <w:t xml:space="preserve"> </w:t>
      </w:r>
      <w:r>
        <w:rPr>
          <w:rFonts w:hint="eastAsia" w:ascii="宋体" w:hAnsi="宋体"/>
          <w:color w:val="auto"/>
          <w:spacing w:val="8"/>
          <w:sz w:val="24"/>
          <w:highlight w:val="none"/>
        </w:rPr>
        <w:t>：</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14:paraId="7904958D">
      <w:pPr>
        <w:tabs>
          <w:tab w:val="left" w:pos="540"/>
        </w:tabs>
        <w:spacing w:line="440" w:lineRule="exact"/>
        <w:jc w:val="center"/>
        <w:rPr>
          <w:color w:val="auto"/>
          <w:sz w:val="28"/>
          <w:highlight w:val="none"/>
        </w:rPr>
      </w:pPr>
      <w:r>
        <w:rPr>
          <w:color w:val="auto"/>
          <w:sz w:val="28"/>
          <w:highlight w:val="none"/>
        </w:rPr>
        <w:br w:type="page"/>
      </w:r>
      <w:bookmarkStart w:id="72" w:name="OLE_LINK28"/>
    </w:p>
    <w:bookmarkEnd w:id="72"/>
    <w:p w14:paraId="29CA51D3">
      <w:pPr>
        <w:tabs>
          <w:tab w:val="left" w:pos="540"/>
        </w:tabs>
        <w:spacing w:line="440" w:lineRule="exact"/>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八、反商业贿赂承诺书</w:t>
      </w:r>
    </w:p>
    <w:p w14:paraId="6BDA9203">
      <w:pPr>
        <w:rPr>
          <w:b/>
          <w:color w:val="auto"/>
          <w:sz w:val="48"/>
          <w:szCs w:val="48"/>
          <w:highlight w:val="none"/>
        </w:rPr>
      </w:pPr>
    </w:p>
    <w:p w14:paraId="1134E79B">
      <w:pPr>
        <w:snapToGrid w:val="0"/>
        <w:spacing w:line="560" w:lineRule="atLeast"/>
        <w:ind w:right="56" w:firstLine="555"/>
        <w:rPr>
          <w:color w:val="auto"/>
          <w:sz w:val="24"/>
          <w:highlight w:val="none"/>
        </w:rPr>
      </w:pPr>
      <w:r>
        <w:rPr>
          <w:rFonts w:hint="eastAsia"/>
          <w:color w:val="auto"/>
          <w:sz w:val="24"/>
          <w:highlight w:val="none"/>
        </w:rPr>
        <w:t>我公司承诺：</w:t>
      </w:r>
    </w:p>
    <w:p w14:paraId="2E94F8A5">
      <w:pPr>
        <w:snapToGrid w:val="0"/>
        <w:spacing w:line="560" w:lineRule="atLeast"/>
        <w:ind w:right="56" w:firstLine="555"/>
        <w:rPr>
          <w:color w:val="auto"/>
          <w:sz w:val="24"/>
          <w:highlight w:val="none"/>
        </w:rPr>
      </w:pPr>
      <w:r>
        <w:rPr>
          <w:rFonts w:hint="eastAsia"/>
          <w:color w:val="auto"/>
          <w:sz w:val="24"/>
          <w:highlight w:val="none"/>
        </w:rPr>
        <w:t>在采购活动中，我公司保证做到：</w:t>
      </w:r>
    </w:p>
    <w:p w14:paraId="4ACDC361">
      <w:pPr>
        <w:snapToGrid w:val="0"/>
        <w:spacing w:line="560" w:lineRule="atLeast"/>
        <w:ind w:right="56" w:firstLine="555"/>
        <w:rPr>
          <w:color w:val="auto"/>
          <w:sz w:val="24"/>
          <w:highlight w:val="none"/>
        </w:rPr>
      </w:pPr>
      <w:r>
        <w:rPr>
          <w:rFonts w:hint="eastAsia"/>
          <w:color w:val="auto"/>
          <w:sz w:val="24"/>
          <w:highlight w:val="none"/>
        </w:rPr>
        <w:t>一、公平竞争参加本次采购活动。</w:t>
      </w:r>
    </w:p>
    <w:p w14:paraId="090C13B1">
      <w:pPr>
        <w:snapToGrid w:val="0"/>
        <w:spacing w:line="560" w:lineRule="atLeast"/>
        <w:ind w:right="56" w:firstLine="555"/>
        <w:rPr>
          <w:color w:val="auto"/>
          <w:sz w:val="24"/>
          <w:highlight w:val="none"/>
        </w:rPr>
      </w:pPr>
      <w:r>
        <w:rPr>
          <w:rFonts w:hint="eastAsia"/>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56E399F5">
      <w:pPr>
        <w:snapToGrid w:val="0"/>
        <w:spacing w:line="560" w:lineRule="atLeast"/>
        <w:ind w:right="56" w:firstLine="555"/>
        <w:rPr>
          <w:color w:val="auto"/>
          <w:sz w:val="24"/>
          <w:highlight w:val="none"/>
        </w:rPr>
      </w:pPr>
      <w:r>
        <w:rPr>
          <w:rFonts w:hint="eastAsia"/>
          <w:color w:val="auto"/>
          <w:sz w:val="24"/>
          <w:highlight w:val="none"/>
        </w:rPr>
        <w:t>三、若出现上述行为，我公司及其参与投标的工作人员愿意接受按照国家法律法规等有关规定给予的处罚。</w:t>
      </w:r>
    </w:p>
    <w:p w14:paraId="52D4245A">
      <w:pPr>
        <w:snapToGrid w:val="0"/>
        <w:spacing w:line="560" w:lineRule="atLeast"/>
        <w:ind w:right="56" w:firstLine="555"/>
        <w:rPr>
          <w:color w:val="auto"/>
          <w:sz w:val="24"/>
          <w:highlight w:val="none"/>
        </w:rPr>
      </w:pPr>
    </w:p>
    <w:p w14:paraId="757F262B">
      <w:pPr>
        <w:snapToGrid w:val="0"/>
        <w:spacing w:line="560" w:lineRule="atLeast"/>
        <w:ind w:right="56" w:firstLine="555"/>
        <w:rPr>
          <w:color w:val="auto"/>
          <w:sz w:val="24"/>
          <w:highlight w:val="none"/>
        </w:rPr>
      </w:pPr>
    </w:p>
    <w:p w14:paraId="7BF3B626">
      <w:pPr>
        <w:tabs>
          <w:tab w:val="left" w:pos="0"/>
        </w:tabs>
        <w:spacing w:line="480" w:lineRule="auto"/>
        <w:ind w:right="512"/>
        <w:rPr>
          <w:rFonts w:ascii="宋体"/>
          <w:color w:val="auto"/>
          <w:spacing w:val="8"/>
          <w:sz w:val="24"/>
          <w:highlight w:val="none"/>
        </w:rPr>
      </w:pPr>
      <w:r>
        <w:rPr>
          <w:rFonts w:hint="eastAsia" w:ascii="宋体" w:hAnsi="宋体"/>
          <w:color w:val="auto"/>
          <w:sz w:val="24"/>
          <w:highlight w:val="none"/>
        </w:rPr>
        <w:t>投标人</w:t>
      </w:r>
      <w:r>
        <w:rPr>
          <w:rFonts w:hint="eastAsia"/>
          <w:color w:val="auto"/>
          <w:sz w:val="24"/>
          <w:szCs w:val="24"/>
          <w:highlight w:val="none"/>
        </w:rPr>
        <w:t>（电子签</w:t>
      </w:r>
      <w:r>
        <w:rPr>
          <w:rFonts w:hint="eastAsia" w:ascii="宋体" w:hAnsi="宋体"/>
          <w:color w:val="auto"/>
          <w:sz w:val="24"/>
          <w:szCs w:val="24"/>
          <w:highlight w:val="none"/>
        </w:rPr>
        <w:t>章</w:t>
      </w:r>
      <w:r>
        <w:rPr>
          <w:rFonts w:hint="eastAsia"/>
          <w:color w:val="auto"/>
          <w:sz w:val="24"/>
          <w:szCs w:val="24"/>
          <w:highlight w:val="none"/>
        </w:rPr>
        <w:t>）</w:t>
      </w:r>
      <w:r>
        <w:rPr>
          <w:rFonts w:hint="eastAsia" w:ascii="宋体" w:hAnsi="宋体"/>
          <w:color w:val="auto"/>
          <w:spacing w:val="8"/>
          <w:sz w:val="24"/>
          <w:highlight w:val="none"/>
        </w:rPr>
        <w:t>：</w:t>
      </w:r>
    </w:p>
    <w:p w14:paraId="1D2E8773">
      <w:pPr>
        <w:tabs>
          <w:tab w:val="left" w:pos="0"/>
        </w:tabs>
        <w:spacing w:line="480" w:lineRule="auto"/>
        <w:ind w:right="768"/>
        <w:jc w:val="left"/>
        <w:rPr>
          <w:rFonts w:ascii="宋体"/>
          <w:color w:val="auto"/>
          <w:spacing w:val="8"/>
          <w:sz w:val="24"/>
          <w:highlight w:val="none"/>
        </w:rPr>
      </w:pPr>
      <w:r>
        <w:rPr>
          <w:rFonts w:hint="eastAsia" w:ascii="宋体" w:hAnsi="宋体"/>
          <w:color w:val="auto"/>
          <w:spacing w:val="8"/>
          <w:sz w:val="24"/>
          <w:highlight w:val="none"/>
        </w:rPr>
        <w:t>法定代表人（电子签名或签章）：</w:t>
      </w:r>
    </w:p>
    <w:p w14:paraId="13230F6C">
      <w:pPr>
        <w:autoSpaceDE w:val="0"/>
        <w:autoSpaceDN w:val="0"/>
        <w:adjustRightInd w:val="0"/>
        <w:spacing w:line="480" w:lineRule="auto"/>
        <w:rPr>
          <w:rFonts w:ascii="宋体"/>
          <w:color w:val="auto"/>
          <w:sz w:val="24"/>
          <w:highlight w:val="none"/>
        </w:rPr>
      </w:pPr>
      <w:r>
        <w:rPr>
          <w:rFonts w:hint="eastAsia" w:ascii="宋体" w:hAnsi="宋体"/>
          <w:color w:val="auto"/>
          <w:spacing w:val="8"/>
          <w:sz w:val="24"/>
          <w:highlight w:val="none"/>
        </w:rPr>
        <w:t>日期</w:t>
      </w:r>
      <w:r>
        <w:rPr>
          <w:rFonts w:ascii="宋体" w:hAnsi="宋体"/>
          <w:color w:val="auto"/>
          <w:spacing w:val="8"/>
          <w:sz w:val="24"/>
          <w:highlight w:val="none"/>
        </w:rPr>
        <w:t xml:space="preserve"> </w:t>
      </w:r>
      <w:r>
        <w:rPr>
          <w:rFonts w:hint="eastAsia" w:ascii="宋体" w:hAnsi="宋体"/>
          <w:color w:val="auto"/>
          <w:spacing w:val="8"/>
          <w:sz w:val="24"/>
          <w:highlight w:val="none"/>
        </w:rPr>
        <w:t>：</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14:paraId="35DB9AB4">
      <w:pPr>
        <w:tabs>
          <w:tab w:val="left" w:pos="540"/>
        </w:tabs>
        <w:spacing w:line="440" w:lineRule="exact"/>
        <w:jc w:val="center"/>
        <w:rPr>
          <w:color w:val="auto"/>
          <w:highlight w:val="none"/>
        </w:rPr>
      </w:pPr>
      <w:r>
        <w:rPr>
          <w:color w:val="auto"/>
          <w:highlight w:val="none"/>
        </w:rPr>
        <w:br w:type="page"/>
      </w:r>
    </w:p>
    <w:p w14:paraId="2683778E">
      <w:pPr>
        <w:tabs>
          <w:tab w:val="left" w:pos="540"/>
        </w:tabs>
        <w:spacing w:line="440" w:lineRule="exact"/>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九、</w:t>
      </w:r>
      <w:bookmarkStart w:id="73" w:name="OLE_LINK19"/>
      <w:r>
        <w:rPr>
          <w:rFonts w:hint="eastAsia" w:ascii="黑体" w:hAnsi="黑体" w:eastAsia="黑体"/>
          <w:b/>
          <w:color w:val="auto"/>
          <w:sz w:val="30"/>
          <w:szCs w:val="30"/>
          <w:highlight w:val="none"/>
        </w:rPr>
        <w:t>履约承诺书</w:t>
      </w:r>
      <w:bookmarkEnd w:id="73"/>
    </w:p>
    <w:p w14:paraId="47D5F318">
      <w:pPr>
        <w:adjustRightInd w:val="0"/>
        <w:snapToGrid w:val="0"/>
        <w:spacing w:before="156" w:beforeLines="50" w:line="300" w:lineRule="auto"/>
        <w:ind w:right="56" w:firstLine="555"/>
        <w:rPr>
          <w:color w:val="auto"/>
          <w:sz w:val="24"/>
          <w:highlight w:val="none"/>
        </w:rPr>
      </w:pPr>
      <w:r>
        <w:rPr>
          <w:rFonts w:hint="eastAsia"/>
          <w:color w:val="auto"/>
          <w:sz w:val="24"/>
          <w:highlight w:val="none"/>
        </w:rPr>
        <w:t>一、我单位承诺：</w:t>
      </w:r>
    </w:p>
    <w:p w14:paraId="27F6C534">
      <w:pPr>
        <w:adjustRightInd w:val="0"/>
        <w:snapToGrid w:val="0"/>
        <w:spacing w:before="156" w:beforeLines="50" w:line="300" w:lineRule="auto"/>
        <w:ind w:firstLine="555"/>
        <w:rPr>
          <w:color w:val="auto"/>
          <w:sz w:val="24"/>
          <w:highlight w:val="none"/>
        </w:rPr>
      </w:pPr>
      <w:r>
        <w:rPr>
          <w:rFonts w:hint="eastAsia"/>
          <w:color w:val="auto"/>
          <w:sz w:val="24"/>
          <w:highlight w:val="none"/>
        </w:rPr>
        <w:t>（一）我单位已详细阅读并完全理解、同意《招标文件》的全部内容，包括修改补充文件以及全部参考资料和有关附件；除我单位在《招标文件》规定期间内书面提出的疑问外，我单位放弃对这方面不明及误解的权力，并严格按采购人确定的技术及商务要求等履行。</w:t>
      </w:r>
    </w:p>
    <w:p w14:paraId="3CA6FBB9">
      <w:pPr>
        <w:tabs>
          <w:tab w:val="left" w:pos="9354"/>
        </w:tabs>
        <w:adjustRightInd w:val="0"/>
        <w:snapToGrid w:val="0"/>
        <w:spacing w:before="156" w:beforeLines="50" w:line="300" w:lineRule="auto"/>
        <w:ind w:firstLine="480" w:firstLineChars="200"/>
        <w:rPr>
          <w:color w:val="auto"/>
          <w:sz w:val="24"/>
          <w:highlight w:val="none"/>
        </w:rPr>
      </w:pPr>
      <w:r>
        <w:rPr>
          <w:rFonts w:hint="eastAsia"/>
          <w:color w:val="auto"/>
          <w:sz w:val="24"/>
          <w:highlight w:val="none"/>
        </w:rPr>
        <w:t>（二）我单位《投标文件》开启前已详细勘察现场，并按采购人现场条件及采购要求编制投标报价；我单位的投标报价括《招标文件》所述报价组成的所有内容、并包括《招标文件》未列明而与采购项目相关的、必须的所有款项及费用等达到交付使用及验收条件的所有一切风险、责任和义务的费用。</w:t>
      </w:r>
    </w:p>
    <w:p w14:paraId="6B5AA6D0">
      <w:pPr>
        <w:tabs>
          <w:tab w:val="left" w:pos="9354"/>
        </w:tabs>
        <w:adjustRightInd w:val="0"/>
        <w:snapToGrid w:val="0"/>
        <w:spacing w:before="156" w:beforeLines="50" w:line="300" w:lineRule="auto"/>
        <w:ind w:firstLine="480" w:firstLineChars="200"/>
        <w:rPr>
          <w:color w:val="auto"/>
          <w:sz w:val="24"/>
          <w:highlight w:val="none"/>
        </w:rPr>
      </w:pPr>
      <w:r>
        <w:rPr>
          <w:rFonts w:hint="eastAsia"/>
          <w:color w:val="auto"/>
          <w:sz w:val="24"/>
          <w:highlight w:val="none"/>
        </w:rPr>
        <w:t>我单位保证按《招标文件》要求及投标承诺的质量诚信履约。</w:t>
      </w:r>
    </w:p>
    <w:p w14:paraId="57066937">
      <w:pPr>
        <w:tabs>
          <w:tab w:val="left" w:pos="9354"/>
        </w:tabs>
        <w:adjustRightInd w:val="0"/>
        <w:snapToGrid w:val="0"/>
        <w:spacing w:before="156" w:beforeLines="50" w:line="300" w:lineRule="auto"/>
        <w:ind w:firstLine="480" w:firstLineChars="200"/>
        <w:rPr>
          <w:color w:val="auto"/>
          <w:sz w:val="24"/>
          <w:highlight w:val="none"/>
        </w:rPr>
      </w:pPr>
      <w:r>
        <w:rPr>
          <w:rFonts w:hint="eastAsia"/>
          <w:color w:val="auto"/>
          <w:sz w:val="24"/>
          <w:highlight w:val="none"/>
        </w:rPr>
        <w:t>（三）我单位保证在《招标文件》要求的时间内按期、保质完成中标项目。我单位在推荐中标结果公示后，将积极、主动的与采购人联系合同签订事宜，合同签订中如有任何的问题，我单位保证及时书面反映情况，否则视为我单位责任、按违约处理。</w:t>
      </w:r>
    </w:p>
    <w:p w14:paraId="088CE330">
      <w:pPr>
        <w:tabs>
          <w:tab w:val="left" w:pos="9354"/>
        </w:tabs>
        <w:adjustRightInd w:val="0"/>
        <w:snapToGrid w:val="0"/>
        <w:spacing w:before="156" w:beforeLines="50" w:line="300" w:lineRule="auto"/>
        <w:ind w:firstLine="480" w:firstLineChars="200"/>
        <w:rPr>
          <w:color w:val="auto"/>
          <w:sz w:val="24"/>
          <w:highlight w:val="none"/>
        </w:rPr>
      </w:pPr>
      <w:r>
        <w:rPr>
          <w:rFonts w:hint="eastAsia"/>
          <w:color w:val="auto"/>
          <w:sz w:val="24"/>
          <w:highlight w:val="none"/>
        </w:rPr>
        <w:t>二、我单位承诺：</w:t>
      </w:r>
    </w:p>
    <w:p w14:paraId="34940665">
      <w:pPr>
        <w:tabs>
          <w:tab w:val="left" w:pos="9354"/>
        </w:tabs>
        <w:adjustRightInd w:val="0"/>
        <w:snapToGrid w:val="0"/>
        <w:spacing w:before="156" w:beforeLines="50" w:line="300" w:lineRule="auto"/>
        <w:ind w:firstLine="480" w:firstLineChars="200"/>
        <w:rPr>
          <w:color w:val="auto"/>
          <w:sz w:val="24"/>
          <w:highlight w:val="none"/>
        </w:rPr>
      </w:pPr>
      <w:r>
        <w:rPr>
          <w:rFonts w:hint="eastAsia"/>
          <w:color w:val="auto"/>
          <w:sz w:val="24"/>
          <w:highlight w:val="none"/>
        </w:rPr>
        <w:t>除法律规定的不可抗力因素外，我单位中标后以任何理由（包括违背上述承诺的事项）提出不能满足《招标文件》技术、工期等要求或不能实现投标承诺的或提出变更的，我单位将无条件接受违约处理、并放弃我单位中标资格。我单位知悉违约责任及其处理，并无条件接受：</w:t>
      </w:r>
      <w:r>
        <w:rPr>
          <w:rFonts w:hint="eastAsia"/>
          <w:color w:val="auto"/>
          <w:sz w:val="24"/>
          <w:szCs w:val="24"/>
          <w:highlight w:val="none"/>
        </w:rPr>
        <w:t>依据招标文件“第三章3.5.5 违背承诺的责任追究措施”，供应商承担相应法律责任及违约责任</w:t>
      </w:r>
      <w:r>
        <w:rPr>
          <w:rFonts w:hint="eastAsia"/>
          <w:color w:val="auto"/>
          <w:sz w:val="24"/>
          <w:highlight w:val="none"/>
        </w:rPr>
        <w:t>；情节严重的，由财政部门列入不良行为记录名单，在一至三年内禁止参加政府采购活动，并予以通报，处以罚金，给采购人及他人造成损失的，承担相应的赔偿责任。</w:t>
      </w:r>
    </w:p>
    <w:p w14:paraId="1523B054">
      <w:pPr>
        <w:tabs>
          <w:tab w:val="left" w:pos="9354"/>
        </w:tabs>
        <w:adjustRightInd w:val="0"/>
        <w:snapToGrid w:val="0"/>
        <w:spacing w:before="156" w:beforeLines="50" w:line="300" w:lineRule="auto"/>
        <w:ind w:firstLine="480" w:firstLineChars="200"/>
        <w:rPr>
          <w:color w:val="auto"/>
          <w:sz w:val="24"/>
          <w:highlight w:val="none"/>
        </w:rPr>
      </w:pPr>
    </w:p>
    <w:p w14:paraId="691EAC89">
      <w:pPr>
        <w:tabs>
          <w:tab w:val="left" w:pos="9354"/>
        </w:tabs>
        <w:adjustRightInd w:val="0"/>
        <w:snapToGrid w:val="0"/>
        <w:spacing w:before="156" w:beforeLines="50" w:line="300" w:lineRule="auto"/>
        <w:ind w:firstLine="480" w:firstLineChars="200"/>
        <w:rPr>
          <w:color w:val="auto"/>
          <w:sz w:val="24"/>
          <w:highlight w:val="none"/>
        </w:rPr>
      </w:pPr>
    </w:p>
    <w:p w14:paraId="735F1B64">
      <w:pPr>
        <w:tabs>
          <w:tab w:val="left" w:pos="0"/>
        </w:tabs>
        <w:spacing w:line="500" w:lineRule="exact"/>
        <w:ind w:right="512"/>
        <w:rPr>
          <w:rFonts w:ascii="宋体"/>
          <w:color w:val="auto"/>
          <w:spacing w:val="8"/>
          <w:sz w:val="24"/>
          <w:highlight w:val="none"/>
        </w:rPr>
      </w:pPr>
      <w:r>
        <w:rPr>
          <w:rFonts w:hint="eastAsia" w:ascii="宋体" w:hAnsi="宋体"/>
          <w:color w:val="auto"/>
          <w:sz w:val="24"/>
          <w:highlight w:val="none"/>
        </w:rPr>
        <w:t>投标人</w:t>
      </w:r>
      <w:r>
        <w:rPr>
          <w:rFonts w:hint="eastAsia"/>
          <w:color w:val="auto"/>
          <w:sz w:val="24"/>
          <w:szCs w:val="24"/>
          <w:highlight w:val="none"/>
        </w:rPr>
        <w:t>（电子签</w:t>
      </w:r>
      <w:r>
        <w:rPr>
          <w:rFonts w:hint="eastAsia" w:ascii="宋体" w:hAnsi="宋体"/>
          <w:color w:val="auto"/>
          <w:sz w:val="24"/>
          <w:szCs w:val="24"/>
          <w:highlight w:val="none"/>
        </w:rPr>
        <w:t>章</w:t>
      </w:r>
      <w:r>
        <w:rPr>
          <w:rFonts w:hint="eastAsia"/>
          <w:color w:val="auto"/>
          <w:sz w:val="24"/>
          <w:szCs w:val="24"/>
          <w:highlight w:val="none"/>
        </w:rPr>
        <w:t>）</w:t>
      </w:r>
      <w:r>
        <w:rPr>
          <w:rFonts w:hint="eastAsia" w:ascii="宋体" w:hAnsi="宋体"/>
          <w:color w:val="auto"/>
          <w:spacing w:val="8"/>
          <w:sz w:val="24"/>
          <w:highlight w:val="none"/>
        </w:rPr>
        <w:t>：</w:t>
      </w:r>
    </w:p>
    <w:p w14:paraId="7C21C413">
      <w:pPr>
        <w:tabs>
          <w:tab w:val="left" w:pos="0"/>
        </w:tabs>
        <w:spacing w:line="500" w:lineRule="exact"/>
        <w:ind w:right="768"/>
        <w:jc w:val="left"/>
        <w:rPr>
          <w:rFonts w:ascii="宋体"/>
          <w:color w:val="auto"/>
          <w:spacing w:val="8"/>
          <w:sz w:val="24"/>
          <w:highlight w:val="none"/>
        </w:rPr>
      </w:pPr>
      <w:r>
        <w:rPr>
          <w:rFonts w:hint="eastAsia" w:ascii="宋体" w:hAnsi="宋体"/>
          <w:color w:val="auto"/>
          <w:spacing w:val="8"/>
          <w:sz w:val="24"/>
          <w:highlight w:val="none"/>
        </w:rPr>
        <w:t>法定代表人（电子签名或签章）：</w:t>
      </w:r>
    </w:p>
    <w:p w14:paraId="3A7A42D6">
      <w:pPr>
        <w:autoSpaceDE w:val="0"/>
        <w:autoSpaceDN w:val="0"/>
        <w:adjustRightInd w:val="0"/>
        <w:spacing w:line="360" w:lineRule="auto"/>
        <w:jc w:val="left"/>
        <w:rPr>
          <w:rFonts w:ascii="宋体"/>
          <w:color w:val="auto"/>
          <w:sz w:val="24"/>
          <w:highlight w:val="none"/>
        </w:rPr>
      </w:pPr>
      <w:r>
        <w:rPr>
          <w:rFonts w:hint="eastAsia" w:ascii="宋体" w:hAnsi="宋体"/>
          <w:color w:val="auto"/>
          <w:spacing w:val="8"/>
          <w:sz w:val="24"/>
          <w:highlight w:val="none"/>
        </w:rPr>
        <w:t>日期</w:t>
      </w:r>
      <w:r>
        <w:rPr>
          <w:rFonts w:ascii="宋体" w:hAnsi="宋体"/>
          <w:color w:val="auto"/>
          <w:spacing w:val="8"/>
          <w:sz w:val="24"/>
          <w:highlight w:val="none"/>
        </w:rPr>
        <w:t xml:space="preserve"> </w:t>
      </w:r>
      <w:r>
        <w:rPr>
          <w:rFonts w:hint="eastAsia" w:ascii="宋体" w:hAnsi="宋体"/>
          <w:color w:val="auto"/>
          <w:spacing w:val="8"/>
          <w:sz w:val="24"/>
          <w:highlight w:val="none"/>
        </w:rPr>
        <w:t>：</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14:paraId="66A5A10A">
      <w:pPr>
        <w:autoSpaceDE w:val="0"/>
        <w:autoSpaceDN w:val="0"/>
        <w:adjustRightInd w:val="0"/>
        <w:spacing w:line="360" w:lineRule="auto"/>
        <w:rPr>
          <w:rFonts w:ascii="宋体" w:cs="楷体_GB2312"/>
          <w:b/>
          <w:color w:val="auto"/>
          <w:sz w:val="30"/>
          <w:szCs w:val="30"/>
          <w:highlight w:val="none"/>
          <w:lang w:val="zh-CN"/>
        </w:rPr>
      </w:pPr>
      <w:r>
        <w:rPr>
          <w:rFonts w:ascii="宋体" w:cs="楷体_GB2312"/>
          <w:b/>
          <w:bCs/>
          <w:color w:val="auto"/>
          <w:sz w:val="24"/>
          <w:highlight w:val="none"/>
          <w:lang w:val="zh-CN"/>
        </w:rPr>
        <w:br w:type="page"/>
      </w:r>
    </w:p>
    <w:p w14:paraId="6FE0859D">
      <w:pPr>
        <w:autoSpaceDE w:val="0"/>
        <w:autoSpaceDN w:val="0"/>
        <w:adjustRightInd w:val="0"/>
        <w:spacing w:line="360" w:lineRule="auto"/>
        <w:rPr>
          <w:rFonts w:ascii="黑体" w:hAnsi="黑体" w:eastAsia="黑体"/>
          <w:b/>
          <w:color w:val="auto"/>
          <w:sz w:val="30"/>
          <w:szCs w:val="30"/>
          <w:highlight w:val="none"/>
        </w:rPr>
      </w:pPr>
      <w:r>
        <w:rPr>
          <w:rFonts w:hint="eastAsia" w:ascii="黑体" w:hAnsi="黑体" w:eastAsia="黑体"/>
          <w:b/>
          <w:color w:val="auto"/>
          <w:sz w:val="30"/>
          <w:szCs w:val="30"/>
          <w:highlight w:val="none"/>
        </w:rPr>
        <w:t>十、采购项目及技术服务要求所需的其他材料</w:t>
      </w:r>
    </w:p>
    <w:p w14:paraId="3AB0AD0D">
      <w:pPr>
        <w:widowControl w:val="0"/>
        <w:snapToGrid w:val="0"/>
        <w:spacing w:line="560" w:lineRule="exact"/>
        <w:ind w:firstLine="555"/>
        <w:rPr>
          <w:rFonts w:ascii="宋体"/>
          <w:color w:val="auto"/>
          <w:sz w:val="24"/>
          <w:szCs w:val="24"/>
          <w:highlight w:val="none"/>
        </w:rPr>
      </w:pPr>
      <w:r>
        <w:rPr>
          <w:rFonts w:hint="eastAsia" w:ascii="宋体" w:hAnsi="宋体"/>
          <w:color w:val="auto"/>
          <w:sz w:val="24"/>
          <w:szCs w:val="24"/>
          <w:highlight w:val="none"/>
        </w:rPr>
        <w:t>（按条款需要填列；并按条款要求</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章&gt;。条款中对</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章&gt;未作明确要求的，由法定代表人</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章&gt;或供应商</w:t>
      </w:r>
      <w:r>
        <w:rPr>
          <w:rFonts w:hint="eastAsia" w:ascii="宋体" w:hAnsi="宋体" w:cs="楷体_GB2312"/>
          <w:color w:val="auto"/>
          <w:sz w:val="24"/>
          <w:highlight w:val="none"/>
          <w:lang w:val="zh-CN"/>
        </w:rPr>
        <w:t>电子签</w:t>
      </w:r>
      <w:r>
        <w:rPr>
          <w:rFonts w:hint="eastAsia" w:ascii="宋体" w:hAnsi="宋体"/>
          <w:color w:val="auto"/>
          <w:sz w:val="24"/>
          <w:szCs w:val="24"/>
          <w:highlight w:val="none"/>
        </w:rPr>
        <w:t>章）</w:t>
      </w:r>
    </w:p>
    <w:p w14:paraId="3081C0D1">
      <w:pPr>
        <w:widowControl w:val="0"/>
        <w:snapToGrid w:val="0"/>
        <w:spacing w:line="560" w:lineRule="exact"/>
        <w:ind w:firstLine="555"/>
        <w:rPr>
          <w:rFonts w:ascii="宋体"/>
          <w:color w:val="auto"/>
          <w:sz w:val="24"/>
          <w:szCs w:val="24"/>
          <w:highlight w:val="none"/>
        </w:rPr>
      </w:pPr>
    </w:p>
    <w:p w14:paraId="39F2CE46">
      <w:pPr>
        <w:widowControl w:val="0"/>
        <w:snapToGrid w:val="0"/>
        <w:spacing w:line="560" w:lineRule="exact"/>
        <w:ind w:firstLine="555"/>
        <w:rPr>
          <w:rFonts w:ascii="宋体"/>
          <w:color w:val="auto"/>
          <w:sz w:val="24"/>
          <w:szCs w:val="24"/>
          <w:highlight w:val="none"/>
        </w:rPr>
      </w:pPr>
    </w:p>
    <w:p w14:paraId="6F85B120">
      <w:pPr>
        <w:widowControl w:val="0"/>
        <w:snapToGrid w:val="0"/>
        <w:spacing w:line="560" w:lineRule="exact"/>
        <w:ind w:firstLine="555"/>
        <w:rPr>
          <w:rFonts w:ascii="宋体"/>
          <w:color w:val="auto"/>
          <w:sz w:val="24"/>
          <w:szCs w:val="24"/>
          <w:highlight w:val="none"/>
        </w:rPr>
      </w:pPr>
    </w:p>
    <w:p w14:paraId="4FB1AE0E">
      <w:pPr>
        <w:autoSpaceDE w:val="0"/>
        <w:autoSpaceDN w:val="0"/>
        <w:adjustRightInd w:val="0"/>
        <w:spacing w:line="360" w:lineRule="auto"/>
        <w:jc w:val="center"/>
        <w:rPr>
          <w:rFonts w:eastAsia="方正黑体简体"/>
          <w:b/>
          <w:color w:val="auto"/>
          <w:sz w:val="30"/>
          <w:szCs w:val="30"/>
          <w:highlight w:val="none"/>
        </w:rPr>
      </w:pPr>
    </w:p>
    <w:p w14:paraId="29488A81">
      <w:pPr>
        <w:autoSpaceDE w:val="0"/>
        <w:autoSpaceDN w:val="0"/>
        <w:adjustRightInd w:val="0"/>
        <w:spacing w:line="360" w:lineRule="auto"/>
        <w:rPr>
          <w:rFonts w:ascii="黑体" w:hAnsi="黑体" w:eastAsia="黑体"/>
          <w:b/>
          <w:color w:val="auto"/>
          <w:sz w:val="30"/>
          <w:szCs w:val="30"/>
          <w:highlight w:val="none"/>
        </w:rPr>
      </w:pPr>
      <w:r>
        <w:rPr>
          <w:rFonts w:hint="eastAsia" w:ascii="黑体" w:hAnsi="黑体" w:eastAsia="黑体"/>
          <w:b/>
          <w:color w:val="auto"/>
          <w:sz w:val="30"/>
          <w:szCs w:val="30"/>
          <w:highlight w:val="none"/>
        </w:rPr>
        <w:t>十一、投标人须知所需的其他材料</w:t>
      </w:r>
    </w:p>
    <w:p w14:paraId="34C217DC">
      <w:pPr>
        <w:widowControl w:val="0"/>
        <w:snapToGrid w:val="0"/>
        <w:spacing w:line="560" w:lineRule="exact"/>
        <w:ind w:firstLine="555"/>
        <w:rPr>
          <w:rFonts w:ascii="宋体"/>
          <w:color w:val="auto"/>
          <w:sz w:val="24"/>
          <w:szCs w:val="24"/>
          <w:highlight w:val="none"/>
        </w:rPr>
      </w:pPr>
      <w:r>
        <w:rPr>
          <w:rFonts w:hint="eastAsia" w:ascii="宋体" w:hAnsi="宋体"/>
          <w:color w:val="auto"/>
          <w:sz w:val="24"/>
          <w:szCs w:val="24"/>
          <w:highlight w:val="none"/>
        </w:rPr>
        <w:t>（按条款需要填列；并按条款要求</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章&gt;。条款中对</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章&gt;未作明确要求的，由法定代表人</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章&gt;或供应商</w:t>
      </w:r>
      <w:r>
        <w:rPr>
          <w:rFonts w:hint="eastAsia" w:ascii="宋体" w:hAnsi="宋体" w:cs="楷体_GB2312"/>
          <w:color w:val="auto"/>
          <w:sz w:val="24"/>
          <w:highlight w:val="none"/>
          <w:lang w:val="zh-CN"/>
        </w:rPr>
        <w:t>电子签</w:t>
      </w:r>
      <w:r>
        <w:rPr>
          <w:rFonts w:hint="eastAsia" w:ascii="宋体" w:hAnsi="宋体"/>
          <w:color w:val="auto"/>
          <w:sz w:val="24"/>
          <w:szCs w:val="24"/>
          <w:highlight w:val="none"/>
        </w:rPr>
        <w:t>章）</w:t>
      </w:r>
    </w:p>
    <w:p w14:paraId="7B17FA07">
      <w:pPr>
        <w:autoSpaceDE w:val="0"/>
        <w:autoSpaceDN w:val="0"/>
        <w:adjustRightInd w:val="0"/>
        <w:spacing w:line="360" w:lineRule="auto"/>
        <w:jc w:val="center"/>
        <w:rPr>
          <w:rFonts w:ascii="宋体"/>
          <w:color w:val="auto"/>
          <w:sz w:val="24"/>
          <w:szCs w:val="24"/>
          <w:highlight w:val="none"/>
        </w:rPr>
      </w:pPr>
    </w:p>
    <w:p w14:paraId="32ED154D">
      <w:pPr>
        <w:autoSpaceDE w:val="0"/>
        <w:autoSpaceDN w:val="0"/>
        <w:adjustRightInd w:val="0"/>
        <w:spacing w:line="360" w:lineRule="auto"/>
        <w:jc w:val="center"/>
        <w:rPr>
          <w:rFonts w:ascii="宋体"/>
          <w:color w:val="auto"/>
          <w:sz w:val="24"/>
          <w:szCs w:val="24"/>
          <w:highlight w:val="none"/>
        </w:rPr>
      </w:pPr>
    </w:p>
    <w:p w14:paraId="3B3BAF06">
      <w:pPr>
        <w:autoSpaceDE w:val="0"/>
        <w:autoSpaceDN w:val="0"/>
        <w:adjustRightInd w:val="0"/>
        <w:spacing w:line="360" w:lineRule="auto"/>
        <w:jc w:val="center"/>
        <w:rPr>
          <w:rFonts w:ascii="宋体"/>
          <w:color w:val="auto"/>
          <w:sz w:val="24"/>
          <w:szCs w:val="24"/>
          <w:highlight w:val="none"/>
        </w:rPr>
      </w:pPr>
    </w:p>
    <w:p w14:paraId="7B09AB1B">
      <w:pPr>
        <w:autoSpaceDE w:val="0"/>
        <w:autoSpaceDN w:val="0"/>
        <w:adjustRightInd w:val="0"/>
        <w:spacing w:line="360" w:lineRule="auto"/>
        <w:jc w:val="center"/>
        <w:rPr>
          <w:rFonts w:eastAsia="方正黑体简体"/>
          <w:b/>
          <w:color w:val="auto"/>
          <w:sz w:val="30"/>
          <w:szCs w:val="30"/>
          <w:highlight w:val="none"/>
        </w:rPr>
      </w:pPr>
    </w:p>
    <w:p w14:paraId="732898F6">
      <w:pPr>
        <w:autoSpaceDE w:val="0"/>
        <w:autoSpaceDN w:val="0"/>
        <w:adjustRightInd w:val="0"/>
        <w:spacing w:line="360" w:lineRule="auto"/>
        <w:rPr>
          <w:rFonts w:ascii="黑体" w:hAnsi="黑体" w:eastAsia="黑体"/>
          <w:b/>
          <w:color w:val="auto"/>
          <w:sz w:val="30"/>
          <w:szCs w:val="30"/>
          <w:highlight w:val="none"/>
        </w:rPr>
      </w:pPr>
      <w:r>
        <w:rPr>
          <w:rFonts w:hint="eastAsia" w:ascii="黑体" w:hAnsi="黑体" w:eastAsia="黑体"/>
          <w:b/>
          <w:color w:val="auto"/>
          <w:sz w:val="30"/>
          <w:szCs w:val="30"/>
          <w:highlight w:val="none"/>
        </w:rPr>
        <w:t>十二、评审办法所需的其他材料</w:t>
      </w:r>
    </w:p>
    <w:p w14:paraId="391343C2">
      <w:pPr>
        <w:widowControl w:val="0"/>
        <w:snapToGrid w:val="0"/>
        <w:spacing w:line="560" w:lineRule="exact"/>
        <w:ind w:firstLine="555"/>
        <w:rPr>
          <w:rFonts w:ascii="宋体"/>
          <w:color w:val="auto"/>
          <w:sz w:val="24"/>
          <w:szCs w:val="24"/>
          <w:highlight w:val="none"/>
        </w:rPr>
      </w:pPr>
      <w:r>
        <w:rPr>
          <w:rFonts w:hint="eastAsia" w:ascii="宋体" w:hAnsi="宋体"/>
          <w:color w:val="auto"/>
          <w:sz w:val="24"/>
          <w:szCs w:val="24"/>
          <w:highlight w:val="none"/>
        </w:rPr>
        <w:t>（按条款需要填列；并按条款要求</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章&gt;。条款中对</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章&gt;未作明确要求的，由法定代表人</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章&gt;或供应商</w:t>
      </w:r>
      <w:r>
        <w:rPr>
          <w:rFonts w:hint="eastAsia" w:ascii="宋体" w:hAnsi="宋体" w:cs="楷体_GB2312"/>
          <w:color w:val="auto"/>
          <w:sz w:val="24"/>
          <w:highlight w:val="none"/>
          <w:lang w:val="zh-CN"/>
        </w:rPr>
        <w:t>电子签</w:t>
      </w:r>
      <w:r>
        <w:rPr>
          <w:rFonts w:hint="eastAsia" w:ascii="宋体" w:hAnsi="宋体"/>
          <w:color w:val="auto"/>
          <w:sz w:val="24"/>
          <w:szCs w:val="24"/>
          <w:highlight w:val="none"/>
        </w:rPr>
        <w:t>章）</w:t>
      </w:r>
    </w:p>
    <w:p w14:paraId="2415B85D">
      <w:pPr>
        <w:autoSpaceDE w:val="0"/>
        <w:autoSpaceDN w:val="0"/>
        <w:adjustRightInd w:val="0"/>
        <w:spacing w:line="360" w:lineRule="auto"/>
        <w:jc w:val="center"/>
        <w:rPr>
          <w:rFonts w:ascii="宋体"/>
          <w:color w:val="auto"/>
          <w:sz w:val="24"/>
          <w:szCs w:val="24"/>
          <w:highlight w:val="none"/>
        </w:rPr>
      </w:pPr>
    </w:p>
    <w:p w14:paraId="13BCE704">
      <w:pPr>
        <w:adjustRightInd w:val="0"/>
        <w:snapToGrid w:val="0"/>
        <w:spacing w:line="300" w:lineRule="auto"/>
        <w:textAlignment w:val="top"/>
        <w:rPr>
          <w:rFonts w:ascii="宋体"/>
          <w:color w:val="auto"/>
          <w:sz w:val="24"/>
          <w:szCs w:val="24"/>
          <w:highlight w:val="none"/>
        </w:rPr>
      </w:pPr>
    </w:p>
    <w:p w14:paraId="4CED3904">
      <w:pPr>
        <w:widowControl w:val="0"/>
        <w:snapToGrid w:val="0"/>
        <w:spacing w:line="560" w:lineRule="exact"/>
        <w:rPr>
          <w:rFonts w:ascii="黑体" w:hAnsi="黑体" w:eastAsia="黑体"/>
          <w:b/>
          <w:color w:val="auto"/>
          <w:sz w:val="30"/>
          <w:szCs w:val="30"/>
          <w:highlight w:val="none"/>
        </w:rPr>
      </w:pPr>
      <w:r>
        <w:rPr>
          <w:rFonts w:ascii="黑体" w:hAnsi="黑体" w:eastAsia="黑体"/>
          <w:b/>
          <w:color w:val="auto"/>
          <w:sz w:val="30"/>
          <w:szCs w:val="30"/>
          <w:highlight w:val="none"/>
        </w:rPr>
        <w:br w:type="page"/>
      </w:r>
      <w:r>
        <w:rPr>
          <w:rFonts w:hint="eastAsia" w:ascii="黑体" w:hAnsi="黑体" w:eastAsia="黑体"/>
          <w:b/>
          <w:color w:val="auto"/>
          <w:sz w:val="30"/>
          <w:szCs w:val="30"/>
          <w:highlight w:val="none"/>
        </w:rPr>
        <w:t>12-1附件：</w:t>
      </w:r>
    </w:p>
    <w:p w14:paraId="32B52924">
      <w:pPr>
        <w:spacing w:line="360" w:lineRule="auto"/>
        <w:ind w:firstLine="562" w:firstLineChars="200"/>
        <w:jc w:val="left"/>
        <w:rPr>
          <w:rFonts w:ascii="宋体" w:hAnsi="宋体"/>
          <w:b/>
          <w:color w:val="auto"/>
          <w:sz w:val="28"/>
          <w:szCs w:val="28"/>
          <w:highlight w:val="none"/>
        </w:rPr>
      </w:pPr>
      <w:r>
        <w:rPr>
          <w:rFonts w:hint="eastAsia" w:ascii="宋体" w:hAnsi="宋体"/>
          <w:b/>
          <w:color w:val="auto"/>
          <w:sz w:val="28"/>
          <w:szCs w:val="28"/>
          <w:highlight w:val="none"/>
        </w:rPr>
        <w:t>投标人按照 “证明材料查询核验工作的清单及要求” （下述）提供核验材料。</w:t>
      </w:r>
    </w:p>
    <w:p w14:paraId="1BADB98C">
      <w:pPr>
        <w:spacing w:line="520" w:lineRule="exact"/>
        <w:jc w:val="center"/>
        <w:rPr>
          <w:rFonts w:ascii="宋体" w:hAnsi="宋体"/>
          <w:color w:val="auto"/>
          <w:sz w:val="28"/>
          <w:szCs w:val="28"/>
          <w:highlight w:val="none"/>
        </w:rPr>
      </w:pPr>
      <w:r>
        <w:rPr>
          <w:rFonts w:hint="eastAsia" w:ascii="宋体" w:hAnsi="宋体"/>
          <w:color w:val="auto"/>
          <w:sz w:val="28"/>
          <w:szCs w:val="28"/>
          <w:highlight w:val="none"/>
        </w:rPr>
        <w:t>（核验材料需加盖供应商电子签章）</w:t>
      </w:r>
    </w:p>
    <w:p w14:paraId="776BFECA">
      <w:pPr>
        <w:spacing w:line="520" w:lineRule="exact"/>
        <w:rPr>
          <w:rFonts w:ascii="宋体" w:hAnsi="宋体"/>
          <w:color w:val="auto"/>
          <w:sz w:val="28"/>
          <w:szCs w:val="28"/>
          <w:highlight w:val="none"/>
        </w:rPr>
      </w:pPr>
    </w:p>
    <w:p w14:paraId="6802CB55">
      <w:pPr>
        <w:spacing w:line="520" w:lineRule="exact"/>
        <w:jc w:val="center"/>
        <w:rPr>
          <w:rFonts w:ascii="黑体" w:hAnsi="黑体" w:eastAsia="黑体"/>
          <w:color w:val="auto"/>
          <w:sz w:val="36"/>
          <w:szCs w:val="36"/>
          <w:highlight w:val="none"/>
        </w:rPr>
      </w:pPr>
      <w:r>
        <w:rPr>
          <w:rFonts w:hint="eastAsia" w:ascii="黑体" w:hAnsi="黑体" w:eastAsia="黑体"/>
          <w:color w:val="auto"/>
          <w:sz w:val="36"/>
          <w:szCs w:val="36"/>
          <w:highlight w:val="none"/>
        </w:rPr>
        <w:t>证明材料查询核验工作的清单及要求</w:t>
      </w:r>
    </w:p>
    <w:p w14:paraId="734D95C8">
      <w:pPr>
        <w:spacing w:line="360" w:lineRule="auto"/>
        <w:ind w:firstLine="560" w:firstLineChars="200"/>
        <w:jc w:val="left"/>
        <w:rPr>
          <w:rFonts w:ascii="宋体" w:hAnsi="宋体"/>
          <w:color w:val="auto"/>
          <w:sz w:val="28"/>
          <w:szCs w:val="28"/>
          <w:highlight w:val="none"/>
        </w:rPr>
      </w:pPr>
    </w:p>
    <w:p w14:paraId="1004781D">
      <w:pPr>
        <w:spacing w:line="360" w:lineRule="auto"/>
        <w:ind w:firstLine="607" w:firstLineChars="253"/>
        <w:jc w:val="left"/>
        <w:rPr>
          <w:rFonts w:ascii="宋体" w:hAnsi="宋体"/>
          <w:color w:val="auto"/>
          <w:sz w:val="24"/>
          <w:szCs w:val="24"/>
          <w:highlight w:val="none"/>
        </w:rPr>
      </w:pPr>
      <w:r>
        <w:rPr>
          <w:rFonts w:hint="eastAsia" w:ascii="宋体" w:hAnsi="宋体"/>
          <w:color w:val="auto"/>
          <w:sz w:val="24"/>
          <w:szCs w:val="24"/>
          <w:highlight w:val="none"/>
        </w:rPr>
        <w:t>一、投标文件所提供的证明材料中 、需网上公开查询核验的材料清单（依据2023年度监督检查工作指引网上公开查验网址）</w:t>
      </w:r>
    </w:p>
    <w:tbl>
      <w:tblPr>
        <w:tblStyle w:val="20"/>
        <w:tblW w:w="9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3119"/>
        <w:gridCol w:w="5699"/>
      </w:tblGrid>
      <w:tr w14:paraId="28E23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shd w:val="clear" w:color="auto" w:fill="auto"/>
            <w:vAlign w:val="center"/>
          </w:tcPr>
          <w:p w14:paraId="4070B7A8">
            <w:pPr>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序号</w:t>
            </w:r>
          </w:p>
        </w:tc>
        <w:tc>
          <w:tcPr>
            <w:tcW w:w="3119" w:type="dxa"/>
            <w:shd w:val="clear" w:color="auto" w:fill="auto"/>
            <w:vAlign w:val="center"/>
          </w:tcPr>
          <w:p w14:paraId="398C2598">
            <w:pPr>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名称</w:t>
            </w:r>
          </w:p>
        </w:tc>
        <w:tc>
          <w:tcPr>
            <w:tcW w:w="5699" w:type="dxa"/>
            <w:shd w:val="clear" w:color="auto" w:fill="auto"/>
            <w:vAlign w:val="center"/>
          </w:tcPr>
          <w:p w14:paraId="55827AE3">
            <w:pPr>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查验网址</w:t>
            </w:r>
          </w:p>
        </w:tc>
      </w:tr>
      <w:tr w14:paraId="454C0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shd w:val="clear" w:color="auto" w:fill="auto"/>
            <w:vAlign w:val="center"/>
          </w:tcPr>
          <w:p w14:paraId="2BC8ACF7">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1</w:t>
            </w:r>
          </w:p>
        </w:tc>
        <w:tc>
          <w:tcPr>
            <w:tcW w:w="3119" w:type="dxa"/>
            <w:shd w:val="clear" w:color="auto" w:fill="auto"/>
            <w:vAlign w:val="center"/>
          </w:tcPr>
          <w:p w14:paraId="73E8A3F8">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建设工程类相关资质</w:t>
            </w:r>
          </w:p>
        </w:tc>
        <w:tc>
          <w:tcPr>
            <w:tcW w:w="5699" w:type="dxa"/>
            <w:shd w:val="clear" w:color="auto" w:fill="auto"/>
          </w:tcPr>
          <w:p w14:paraId="159C6784">
            <w:pPr>
              <w:spacing w:line="360" w:lineRule="auto"/>
              <w:rPr>
                <w:rFonts w:ascii="宋体" w:hAnsi="宋体"/>
                <w:color w:val="auto"/>
                <w:sz w:val="24"/>
                <w:szCs w:val="24"/>
                <w:highlight w:val="none"/>
              </w:rPr>
            </w:pPr>
            <w:r>
              <w:rPr>
                <w:color w:val="auto"/>
                <w:highlight w:val="none"/>
              </w:rPr>
              <w:fldChar w:fldCharType="begin"/>
            </w:r>
            <w:r>
              <w:rPr>
                <w:color w:val="auto"/>
                <w:highlight w:val="none"/>
              </w:rPr>
              <w:instrText xml:space="preserve"> HYPERLINK "https://www.mohurd.gov.cn" </w:instrText>
            </w:r>
            <w:r>
              <w:rPr>
                <w:color w:val="auto"/>
                <w:highlight w:val="none"/>
              </w:rPr>
              <w:fldChar w:fldCharType="separate"/>
            </w:r>
            <w:r>
              <w:rPr>
                <w:rStyle w:val="26"/>
                <w:rFonts w:ascii="宋体" w:hAnsi="宋体"/>
                <w:color w:val="auto"/>
                <w:sz w:val="24"/>
                <w:szCs w:val="24"/>
                <w:highlight w:val="none"/>
              </w:rPr>
              <w:t>https</w:t>
            </w:r>
            <w:r>
              <w:rPr>
                <w:rStyle w:val="26"/>
                <w:rFonts w:hint="eastAsia" w:ascii="宋体" w:hAnsi="宋体"/>
                <w:color w:val="auto"/>
                <w:sz w:val="24"/>
                <w:szCs w:val="24"/>
                <w:highlight w:val="none"/>
              </w:rPr>
              <w:t>：</w:t>
            </w:r>
            <w:r>
              <w:rPr>
                <w:rStyle w:val="26"/>
                <w:rFonts w:ascii="宋体" w:hAnsi="宋体"/>
                <w:color w:val="auto"/>
                <w:sz w:val="24"/>
                <w:szCs w:val="24"/>
                <w:highlight w:val="none"/>
              </w:rPr>
              <w:t>//</w:t>
            </w:r>
            <w:r>
              <w:rPr>
                <w:rStyle w:val="26"/>
                <w:rFonts w:hint="eastAsia" w:ascii="宋体" w:hAnsi="宋体"/>
                <w:color w:val="auto"/>
                <w:sz w:val="24"/>
                <w:szCs w:val="24"/>
                <w:highlight w:val="none"/>
              </w:rPr>
              <w:t>www</w:t>
            </w:r>
            <w:r>
              <w:rPr>
                <w:rStyle w:val="26"/>
                <w:rFonts w:ascii="宋体" w:hAnsi="宋体"/>
                <w:color w:val="auto"/>
                <w:sz w:val="24"/>
                <w:szCs w:val="24"/>
                <w:highlight w:val="none"/>
              </w:rPr>
              <w:t>.mohurd.gov.cn</w:t>
            </w:r>
            <w:r>
              <w:rPr>
                <w:rStyle w:val="26"/>
                <w:rFonts w:ascii="宋体" w:hAnsi="宋体"/>
                <w:color w:val="auto"/>
                <w:sz w:val="24"/>
                <w:szCs w:val="24"/>
                <w:highlight w:val="none"/>
              </w:rPr>
              <w:fldChar w:fldCharType="end"/>
            </w:r>
          </w:p>
        </w:tc>
      </w:tr>
      <w:tr w14:paraId="7C36F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shd w:val="clear" w:color="auto" w:fill="auto"/>
            <w:vAlign w:val="center"/>
          </w:tcPr>
          <w:p w14:paraId="71B922E5">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2</w:t>
            </w:r>
          </w:p>
        </w:tc>
        <w:tc>
          <w:tcPr>
            <w:tcW w:w="8818" w:type="dxa"/>
            <w:gridSpan w:val="2"/>
            <w:shd w:val="clear" w:color="auto" w:fill="auto"/>
            <w:vAlign w:val="center"/>
          </w:tcPr>
          <w:p w14:paraId="60F0E4B1">
            <w:p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除上述外，投标人认为有必要的相关核实官方证明材料。（可选）</w:t>
            </w:r>
          </w:p>
        </w:tc>
      </w:tr>
    </w:tbl>
    <w:p w14:paraId="177D2EB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二、对投标文件所提供的证明材料中、需网上查询核验的说明及要求。</w:t>
      </w:r>
    </w:p>
    <w:p w14:paraId="77BDCEEB">
      <w:pPr>
        <w:spacing w:line="360" w:lineRule="auto"/>
        <w:ind w:firstLine="532" w:firstLineChars="222"/>
        <w:rPr>
          <w:rFonts w:ascii="宋体" w:hAnsi="宋体"/>
          <w:color w:val="auto"/>
          <w:sz w:val="24"/>
          <w:szCs w:val="24"/>
          <w:highlight w:val="none"/>
        </w:rPr>
      </w:pPr>
      <w:r>
        <w:rPr>
          <w:rFonts w:hint="eastAsia" w:ascii="宋体" w:hAnsi="宋体"/>
          <w:color w:val="auto"/>
          <w:sz w:val="24"/>
          <w:szCs w:val="24"/>
          <w:highlight w:val="none"/>
        </w:rPr>
        <w:t>（一）投标文件中</w:t>
      </w:r>
    </w:p>
    <w:p w14:paraId="6DB24B51">
      <w:pPr>
        <w:spacing w:line="360" w:lineRule="auto"/>
        <w:ind w:firstLine="532" w:firstLineChars="222"/>
        <w:rPr>
          <w:rFonts w:ascii="宋体" w:hAnsi="宋体"/>
          <w:color w:val="auto"/>
          <w:sz w:val="24"/>
          <w:szCs w:val="24"/>
          <w:highlight w:val="none"/>
        </w:rPr>
      </w:pPr>
      <w:r>
        <w:rPr>
          <w:rFonts w:hint="eastAsia" w:ascii="宋体" w:hAnsi="宋体"/>
          <w:color w:val="auto"/>
          <w:sz w:val="24"/>
          <w:szCs w:val="24"/>
          <w:highlight w:val="none"/>
        </w:rPr>
        <w:t>1、基于当前监督检查工作要求，为防范虚假材料，投标人应按本12-1附件“证明材料查询核验工作的清单及要求”列示的证明材料及对应网址（监督检查工作指引列示的网上公开查询核验网址）、对投标文件中所提供证明材料进行核验，并将查询结果截图作为所提供证明材料的附件，以佐证所提供证明材料的真实性。</w:t>
      </w:r>
    </w:p>
    <w:p w14:paraId="00B50557">
      <w:pPr>
        <w:spacing w:line="360" w:lineRule="auto"/>
        <w:ind w:firstLine="532" w:firstLineChars="222"/>
        <w:rPr>
          <w:rFonts w:ascii="宋体" w:hAnsi="宋体"/>
          <w:color w:val="auto"/>
          <w:sz w:val="24"/>
          <w:szCs w:val="24"/>
          <w:highlight w:val="none"/>
        </w:rPr>
      </w:pPr>
      <w:r>
        <w:rPr>
          <w:rFonts w:hint="eastAsia" w:ascii="宋体" w:hAnsi="宋体"/>
          <w:color w:val="auto"/>
          <w:sz w:val="24"/>
          <w:szCs w:val="24"/>
          <w:highlight w:val="none"/>
        </w:rPr>
        <w:t>投标文件中、对本12-1附件“证明材料查询核验工作的清单及要求”中的每份证明材料，均应在该证明材料后附对应的查询结果截图（并注明该截图的对应网址）、或查询异常情况说明资料。否则，评标委员会按缺少要件不予认可该份证明材料。</w:t>
      </w:r>
    </w:p>
    <w:p w14:paraId="5CC1E73C">
      <w:pPr>
        <w:spacing w:line="360" w:lineRule="auto"/>
        <w:ind w:firstLine="532" w:firstLineChars="222"/>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、投标人查询异常情况的处理</w:t>
      </w:r>
    </w:p>
    <w:p w14:paraId="2302F5BF">
      <w:pPr>
        <w:spacing w:line="360" w:lineRule="auto"/>
        <w:ind w:firstLine="532" w:firstLineChars="222"/>
        <w:rPr>
          <w:rFonts w:ascii="宋体" w:hAnsi="宋体"/>
          <w:color w:val="auto"/>
          <w:sz w:val="24"/>
          <w:szCs w:val="24"/>
          <w:highlight w:val="none"/>
        </w:rPr>
      </w:pPr>
      <w:r>
        <w:rPr>
          <w:rFonts w:hint="eastAsia" w:ascii="宋体" w:hAnsi="宋体"/>
          <w:color w:val="auto"/>
          <w:sz w:val="24"/>
          <w:szCs w:val="24"/>
          <w:highlight w:val="none"/>
        </w:rPr>
        <w:t>（1）投标人按本附件列示网址查询异常的，但投标人确保其真实性的，投标人应当单独对异常情况作出说明解释，并可提供同等及以上权威部门（政府职能部门或下属机构、或其公开的认可机构）的可公开验证的查询资料、以证实证明材料的真实性。</w:t>
      </w:r>
    </w:p>
    <w:p w14:paraId="5B49C6AA">
      <w:pPr>
        <w:spacing w:line="360" w:lineRule="auto"/>
        <w:ind w:firstLine="532" w:firstLineChars="222"/>
        <w:rPr>
          <w:rFonts w:ascii="宋体" w:hAnsi="宋体"/>
          <w:color w:val="auto"/>
          <w:sz w:val="24"/>
          <w:szCs w:val="24"/>
          <w:highlight w:val="none"/>
        </w:rPr>
      </w:pPr>
      <w:r>
        <w:rPr>
          <w:rFonts w:hint="eastAsia" w:ascii="宋体" w:hAnsi="宋体"/>
          <w:color w:val="auto"/>
          <w:sz w:val="24"/>
          <w:szCs w:val="24"/>
          <w:highlight w:val="none"/>
        </w:rPr>
        <w:t>投标人无法按本附件列示网址（监督检查工作指引列示的网上公开查询核验网址）核验投标文件中所提供证明材料的真实性的，无法确保证明材料真实性的，不建议投标，以免中标（成交）后，在质疑处理、监督检查等工作中核验不一致、被视为虚假材料而承责。</w:t>
      </w:r>
    </w:p>
    <w:p w14:paraId="7F888AC6">
      <w:pPr>
        <w:spacing w:line="360" w:lineRule="auto"/>
        <w:ind w:firstLine="532" w:firstLineChars="222"/>
        <w:rPr>
          <w:rFonts w:ascii="宋体" w:hAnsi="宋体"/>
          <w:color w:val="auto"/>
          <w:sz w:val="24"/>
          <w:szCs w:val="24"/>
          <w:highlight w:val="none"/>
        </w:rPr>
      </w:pPr>
      <w:r>
        <w:rPr>
          <w:rFonts w:hint="eastAsia" w:ascii="宋体" w:hAnsi="宋体"/>
          <w:color w:val="auto"/>
          <w:sz w:val="24"/>
          <w:szCs w:val="24"/>
          <w:highlight w:val="none"/>
        </w:rPr>
        <w:t>（2）网站异常</w:t>
      </w:r>
    </w:p>
    <w:p w14:paraId="5CB1D6A7">
      <w:pPr>
        <w:spacing w:line="360" w:lineRule="auto"/>
        <w:ind w:firstLine="532" w:firstLineChars="222"/>
        <w:rPr>
          <w:rFonts w:ascii="宋体" w:hAnsi="宋体"/>
          <w:color w:val="auto"/>
          <w:sz w:val="24"/>
          <w:szCs w:val="24"/>
          <w:highlight w:val="none"/>
        </w:rPr>
      </w:pPr>
      <w:r>
        <w:rPr>
          <w:rFonts w:hint="eastAsia" w:ascii="宋体" w:hAnsi="宋体"/>
          <w:color w:val="auto"/>
          <w:sz w:val="24"/>
          <w:szCs w:val="24"/>
          <w:highlight w:val="none"/>
        </w:rPr>
        <w:t>基于全国政务持续发展、持续革新的大好局面，投标人在按本附件列示网址查询核验时，如遇部分网站更新等无法查询情况时，需及时书面反馈（请按第一章采购公告联系方式书面反馈）。经核实会商、将对此证明材料的查询核验事项发布澄清修改公告。</w:t>
      </w:r>
    </w:p>
    <w:p w14:paraId="74E6AE06">
      <w:pPr>
        <w:spacing w:line="360" w:lineRule="auto"/>
        <w:ind w:firstLine="532" w:firstLineChars="222"/>
        <w:rPr>
          <w:rFonts w:ascii="宋体" w:hAnsi="宋体"/>
          <w:color w:val="auto"/>
          <w:sz w:val="24"/>
          <w:szCs w:val="24"/>
          <w:highlight w:val="none"/>
        </w:rPr>
      </w:pPr>
      <w:r>
        <w:rPr>
          <w:rFonts w:hint="eastAsia" w:ascii="宋体" w:hAnsi="宋体"/>
          <w:color w:val="auto"/>
          <w:sz w:val="24"/>
          <w:szCs w:val="24"/>
          <w:highlight w:val="none"/>
        </w:rPr>
        <w:t>未发布查询核验事项的澄清修改公告的，为投标人自身原因的查询异常，请该投标人深入认真自查自身原因或向相应网站反馈解决。</w:t>
      </w:r>
    </w:p>
    <w:p w14:paraId="372AE997">
      <w:pPr>
        <w:spacing w:line="360" w:lineRule="auto"/>
        <w:ind w:firstLine="532" w:firstLineChars="222"/>
        <w:rPr>
          <w:rFonts w:ascii="宋体" w:hAnsi="宋体"/>
          <w:color w:val="auto"/>
          <w:sz w:val="24"/>
          <w:szCs w:val="24"/>
          <w:highlight w:val="none"/>
        </w:rPr>
      </w:pPr>
      <w:r>
        <w:rPr>
          <w:rFonts w:hint="eastAsia" w:ascii="宋体" w:hAnsi="宋体"/>
          <w:color w:val="auto"/>
          <w:sz w:val="24"/>
          <w:szCs w:val="24"/>
          <w:highlight w:val="none"/>
        </w:rPr>
        <w:t>（3）网站异常产生的外在投标风险由投标人自行承担。</w:t>
      </w:r>
    </w:p>
    <w:p w14:paraId="5163F798">
      <w:pPr>
        <w:spacing w:line="360" w:lineRule="auto"/>
        <w:ind w:firstLine="532" w:firstLineChars="222"/>
        <w:rPr>
          <w:rFonts w:ascii="宋体" w:hAnsi="宋体"/>
          <w:color w:val="auto"/>
          <w:sz w:val="24"/>
          <w:szCs w:val="24"/>
          <w:highlight w:val="none"/>
        </w:rPr>
      </w:pPr>
      <w:r>
        <w:rPr>
          <w:rFonts w:hint="eastAsia" w:ascii="宋体" w:hAnsi="宋体"/>
          <w:color w:val="auto"/>
          <w:sz w:val="24"/>
          <w:szCs w:val="24"/>
          <w:highlight w:val="none"/>
        </w:rPr>
        <w:t>（二）评审时的要件审核</w:t>
      </w:r>
    </w:p>
    <w:p w14:paraId="50E37F70">
      <w:pPr>
        <w:spacing w:line="360" w:lineRule="auto"/>
        <w:ind w:firstLine="532" w:firstLineChars="222"/>
        <w:rPr>
          <w:rFonts w:ascii="宋体" w:hAnsi="宋体"/>
          <w:color w:val="auto"/>
          <w:sz w:val="24"/>
          <w:szCs w:val="24"/>
          <w:highlight w:val="none"/>
        </w:rPr>
      </w:pPr>
      <w:r>
        <w:rPr>
          <w:rFonts w:hint="eastAsia" w:ascii="宋体" w:hAnsi="宋体"/>
          <w:color w:val="auto"/>
          <w:sz w:val="24"/>
          <w:szCs w:val="24"/>
          <w:highlight w:val="none"/>
        </w:rPr>
        <w:t>基于部分证明材料的查询核验需投标人（或个人）相关信息登录查询，基于评审工作保密性不具备查询条件等客观因素，评审中，评标委员会只对核验材料进行形式要件审核（评委对证明材料按采购文件要求进行详细评审），对核验材料的形式要件审核为：核对有无查询结果截图（或查询异常情况说明资料）、核对证明材料与查询结果截图的对应一致性。</w:t>
      </w:r>
    </w:p>
    <w:p w14:paraId="65563952">
      <w:pPr>
        <w:spacing w:line="360" w:lineRule="auto"/>
        <w:ind w:firstLine="532" w:firstLineChars="222"/>
        <w:rPr>
          <w:rFonts w:ascii="宋体" w:hAnsi="宋体"/>
          <w:color w:val="auto"/>
          <w:sz w:val="24"/>
          <w:szCs w:val="24"/>
          <w:highlight w:val="none"/>
        </w:rPr>
      </w:pPr>
      <w:r>
        <w:rPr>
          <w:rFonts w:hint="eastAsia" w:ascii="宋体" w:hAnsi="宋体"/>
          <w:color w:val="auto"/>
          <w:sz w:val="24"/>
          <w:szCs w:val="24"/>
          <w:highlight w:val="none"/>
        </w:rPr>
        <w:t>证明材料未附查询结果截图或查询异常情况说明资料的，评标委员会按缺少要件不予认可该份证明材料。</w:t>
      </w:r>
    </w:p>
    <w:p w14:paraId="3978549E">
      <w:pPr>
        <w:spacing w:line="360" w:lineRule="auto"/>
        <w:ind w:firstLine="532" w:firstLineChars="222"/>
        <w:rPr>
          <w:rFonts w:ascii="宋体" w:hAnsi="宋体"/>
          <w:color w:val="auto"/>
          <w:sz w:val="24"/>
          <w:szCs w:val="24"/>
          <w:highlight w:val="none"/>
        </w:rPr>
      </w:pPr>
      <w:r>
        <w:rPr>
          <w:rFonts w:hint="eastAsia" w:ascii="宋体" w:hAnsi="宋体"/>
          <w:color w:val="auto"/>
          <w:sz w:val="24"/>
          <w:szCs w:val="24"/>
          <w:highlight w:val="none"/>
        </w:rPr>
        <w:t>（三）在质疑处理（或其他工作要求）中，中标人（被质疑方）应当配合提供相应信息，以对投标文件中所提供证明材料进行核验工作（按照监督检查工作指引列示的网上公开查询核验网址进行核验）。如查询异常或虚假，均将上报监督部门按提供虚假材料规定给予处罚。</w:t>
      </w:r>
    </w:p>
    <w:p w14:paraId="042195CD">
      <w:pPr>
        <w:spacing w:line="360" w:lineRule="auto"/>
        <w:ind w:firstLine="532" w:firstLineChars="222"/>
        <w:rPr>
          <w:rFonts w:ascii="宋体" w:hAnsi="宋体"/>
          <w:color w:val="auto"/>
          <w:sz w:val="24"/>
          <w:szCs w:val="24"/>
          <w:highlight w:val="none"/>
        </w:rPr>
      </w:pPr>
      <w:r>
        <w:rPr>
          <w:rFonts w:hint="eastAsia" w:ascii="宋体" w:hAnsi="宋体"/>
          <w:color w:val="auto"/>
          <w:sz w:val="24"/>
          <w:szCs w:val="24"/>
          <w:highlight w:val="none"/>
        </w:rPr>
        <w:t>查询异常的，中标人如无其他权威证明，将视作提供虚假材料。</w:t>
      </w:r>
    </w:p>
    <w:p w14:paraId="4AFC131D">
      <w:pPr>
        <w:spacing w:line="360" w:lineRule="auto"/>
        <w:ind w:firstLine="532" w:firstLineChars="222"/>
        <w:rPr>
          <w:rFonts w:ascii="宋体" w:hAnsi="宋体"/>
          <w:color w:val="auto"/>
          <w:sz w:val="24"/>
          <w:szCs w:val="24"/>
          <w:highlight w:val="none"/>
        </w:rPr>
      </w:pPr>
      <w:r>
        <w:rPr>
          <w:rFonts w:hint="eastAsia" w:ascii="宋体" w:hAnsi="宋体"/>
          <w:color w:val="auto"/>
          <w:sz w:val="24"/>
          <w:szCs w:val="24"/>
          <w:highlight w:val="none"/>
        </w:rPr>
        <w:t>四、除本12-1附件列示的网上公开查询核验的材料清单外，对其他证明材料，在质疑处理（或其他工作要求）中，中标人应当提供证明材料原件以证实证明材料的真实性。</w:t>
      </w:r>
    </w:p>
    <w:p w14:paraId="5D481F7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除本12-1附件列示的网上公开查询核验的材料清单外，对其他证明材料，基于质疑处理（或其他工作要求）的法定时效，调查取证的权限，依据政府采购相关法规依据书面材料评审的规定，对没有提供发证机关（单位）等相应权威机构证伪书面材料的质疑，对怀疑猜测事项，经核对原件后、将视为缺乏事实依据处理。</w:t>
      </w:r>
    </w:p>
    <w:p w14:paraId="5CB182A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注：投标人对投标文件中所提供证明材料及核验证明材料的真实性负责、自行承担相应责任。</w:t>
      </w:r>
    </w:p>
    <w:p w14:paraId="7D2539C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核验过程中涉及投标人（或个人）自身账号、密码等信息时，投标人（或个人）应积极配合核验工作。</w:t>
      </w:r>
    </w:p>
    <w:p w14:paraId="0DB9CE23">
      <w:pPr>
        <w:adjustRightInd w:val="0"/>
        <w:snapToGrid w:val="0"/>
        <w:spacing w:line="300" w:lineRule="auto"/>
        <w:ind w:firstLine="976" w:firstLineChars="324"/>
        <w:jc w:val="center"/>
        <w:textAlignment w:val="top"/>
        <w:rPr>
          <w:rFonts w:ascii="宋体" w:hAnsi="宋体" w:cs="楷体_GB2312"/>
          <w:color w:val="auto"/>
          <w:sz w:val="24"/>
          <w:highlight w:val="none"/>
          <w:lang w:val="zh-CN"/>
        </w:rPr>
      </w:pPr>
      <w:r>
        <w:rPr>
          <w:rFonts w:ascii="黑体" w:hAnsi="黑体" w:eastAsia="黑体"/>
          <w:b/>
          <w:color w:val="auto"/>
          <w:sz w:val="30"/>
          <w:szCs w:val="30"/>
          <w:highlight w:val="none"/>
        </w:rPr>
        <w:br w:type="page"/>
      </w:r>
      <w:r>
        <w:rPr>
          <w:rFonts w:hint="eastAsia" w:ascii="黑体" w:hAnsi="黑体" w:eastAsia="黑体"/>
          <w:b/>
          <w:color w:val="auto"/>
          <w:sz w:val="30"/>
          <w:szCs w:val="30"/>
          <w:highlight w:val="none"/>
        </w:rPr>
        <w:t>12-2其他材料</w:t>
      </w:r>
    </w:p>
    <w:p w14:paraId="2E510FF4">
      <w:pPr>
        <w:widowControl w:val="0"/>
        <w:snapToGrid w:val="0"/>
        <w:spacing w:line="560" w:lineRule="exact"/>
        <w:jc w:val="left"/>
        <w:rPr>
          <w:rFonts w:ascii="黑体" w:hAnsi="黑体" w:eastAsia="黑体"/>
          <w:b/>
          <w:color w:val="auto"/>
          <w:sz w:val="30"/>
          <w:szCs w:val="30"/>
          <w:highlight w:val="none"/>
        </w:rPr>
      </w:pPr>
    </w:p>
    <w:p w14:paraId="6F498B11">
      <w:pPr>
        <w:widowControl w:val="0"/>
        <w:snapToGrid w:val="0"/>
        <w:spacing w:line="560" w:lineRule="exact"/>
        <w:jc w:val="left"/>
        <w:rPr>
          <w:rFonts w:ascii="黑体" w:hAnsi="黑体" w:eastAsia="黑体"/>
          <w:b/>
          <w:color w:val="auto"/>
          <w:sz w:val="30"/>
          <w:szCs w:val="30"/>
          <w:highlight w:val="none"/>
        </w:rPr>
      </w:pPr>
      <w:r>
        <w:rPr>
          <w:rFonts w:ascii="黑体" w:hAnsi="黑体" w:eastAsia="黑体"/>
          <w:b/>
          <w:color w:val="auto"/>
          <w:sz w:val="30"/>
          <w:szCs w:val="30"/>
          <w:highlight w:val="none"/>
        </w:rPr>
        <w:br w:type="page"/>
      </w:r>
    </w:p>
    <w:p w14:paraId="434D5F69">
      <w:pPr>
        <w:widowControl w:val="0"/>
        <w:snapToGrid w:val="0"/>
        <w:spacing w:line="560" w:lineRule="exact"/>
        <w:jc w:val="left"/>
        <w:rPr>
          <w:rFonts w:ascii="黑体" w:hAnsi="黑体" w:eastAsia="黑体"/>
          <w:b/>
          <w:color w:val="auto"/>
          <w:sz w:val="30"/>
          <w:szCs w:val="30"/>
          <w:highlight w:val="none"/>
        </w:rPr>
      </w:pPr>
      <w:r>
        <w:rPr>
          <w:rFonts w:hint="eastAsia" w:ascii="黑体" w:hAnsi="黑体" w:eastAsia="黑体"/>
          <w:b/>
          <w:color w:val="auto"/>
          <w:sz w:val="30"/>
          <w:szCs w:val="30"/>
          <w:highlight w:val="none"/>
        </w:rPr>
        <w:t>十三、投标人认为有必要提交的其它材料</w:t>
      </w:r>
    </w:p>
    <w:p w14:paraId="58E99000">
      <w:pPr>
        <w:autoSpaceDE w:val="0"/>
        <w:autoSpaceDN w:val="0"/>
        <w:adjustRightInd w:val="0"/>
        <w:spacing w:line="360" w:lineRule="auto"/>
        <w:jc w:val="center"/>
        <w:rPr>
          <w:rFonts w:ascii="宋体"/>
          <w:color w:val="auto"/>
          <w:sz w:val="24"/>
          <w:szCs w:val="24"/>
          <w:highlight w:val="none"/>
        </w:rPr>
      </w:pPr>
      <w:r>
        <w:rPr>
          <w:rFonts w:hint="eastAsia" w:ascii="宋体" w:hAnsi="宋体"/>
          <w:color w:val="auto"/>
          <w:sz w:val="24"/>
          <w:szCs w:val="24"/>
          <w:highlight w:val="none"/>
        </w:rPr>
        <w:t>（由法定代表人</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章&gt;或供应商</w:t>
      </w:r>
      <w:r>
        <w:rPr>
          <w:rFonts w:hint="eastAsia" w:ascii="宋体" w:hAnsi="宋体" w:cs="楷体_GB2312"/>
          <w:color w:val="auto"/>
          <w:sz w:val="24"/>
          <w:highlight w:val="none"/>
          <w:lang w:val="zh-CN"/>
        </w:rPr>
        <w:t>电子签</w:t>
      </w:r>
      <w:r>
        <w:rPr>
          <w:rFonts w:hint="eastAsia" w:ascii="宋体" w:hAnsi="宋体"/>
          <w:color w:val="auto"/>
          <w:sz w:val="24"/>
          <w:szCs w:val="24"/>
          <w:highlight w:val="none"/>
        </w:rPr>
        <w:t>章）</w:t>
      </w:r>
    </w:p>
    <w:p w14:paraId="5F7DC2B0">
      <w:pPr>
        <w:autoSpaceDE w:val="0"/>
        <w:autoSpaceDN w:val="0"/>
        <w:adjustRightInd w:val="0"/>
        <w:spacing w:line="360" w:lineRule="auto"/>
        <w:ind w:left="-2" w:right="-817" w:hanging="149"/>
        <w:rPr>
          <w:rFonts w:ascii="宋体" w:cs="楷体_GB2312"/>
          <w:color w:val="auto"/>
          <w:sz w:val="24"/>
          <w:highlight w:val="none"/>
        </w:rPr>
      </w:pPr>
    </w:p>
    <w:p w14:paraId="74200FD8">
      <w:pPr>
        <w:autoSpaceDE w:val="0"/>
        <w:autoSpaceDN w:val="0"/>
        <w:adjustRightInd w:val="0"/>
        <w:spacing w:line="360" w:lineRule="auto"/>
        <w:jc w:val="center"/>
        <w:rPr>
          <w:rFonts w:ascii="黑体" w:hAnsi="黑体" w:eastAsia="黑体"/>
          <w:b/>
          <w:color w:val="auto"/>
          <w:sz w:val="30"/>
          <w:szCs w:val="30"/>
          <w:highlight w:val="none"/>
        </w:rPr>
      </w:pPr>
      <w:r>
        <w:rPr>
          <w:rFonts w:ascii="黑体" w:hAnsi="黑体" w:eastAsia="黑体"/>
          <w:b/>
          <w:color w:val="auto"/>
          <w:sz w:val="30"/>
          <w:szCs w:val="30"/>
          <w:highlight w:val="none"/>
        </w:rPr>
        <w:br w:type="page"/>
      </w:r>
    </w:p>
    <w:p w14:paraId="3B555B8E">
      <w:pPr>
        <w:spacing w:line="588" w:lineRule="exact"/>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13-1、</w:t>
      </w:r>
      <w:r>
        <w:rPr>
          <w:rFonts w:ascii="黑体" w:hAnsi="黑体" w:eastAsia="黑体"/>
          <w:b/>
          <w:color w:val="auto"/>
          <w:sz w:val="30"/>
          <w:szCs w:val="30"/>
          <w:highlight w:val="none"/>
        </w:rPr>
        <w:t>中小企业声明函</w:t>
      </w:r>
      <w:r>
        <w:rPr>
          <w:rFonts w:hint="eastAsia" w:ascii="宋体" w:hAnsi="宋体" w:cs="MingLiU"/>
          <w:color w:val="auto"/>
          <w:spacing w:val="30"/>
          <w:sz w:val="24"/>
          <w:szCs w:val="24"/>
          <w:highlight w:val="none"/>
        </w:rPr>
        <w:t>(如有)</w:t>
      </w:r>
    </w:p>
    <w:p w14:paraId="0638B170">
      <w:pPr>
        <w:pStyle w:val="73"/>
        <w:shd w:val="clear" w:color="auto" w:fill="auto"/>
        <w:spacing w:after="0" w:line="518" w:lineRule="exact"/>
        <w:ind w:firstLine="680"/>
        <w:jc w:val="both"/>
        <w:rPr>
          <w:rFonts w:ascii="宋体" w:hAnsi="宋体" w:eastAsia="宋体"/>
          <w:color w:val="auto"/>
          <w:sz w:val="24"/>
          <w:szCs w:val="24"/>
          <w:highlight w:val="none"/>
        </w:rPr>
      </w:pPr>
      <w:r>
        <w:rPr>
          <w:rFonts w:ascii="宋体" w:hAnsi="宋体" w:eastAsia="宋体"/>
          <w:color w:val="auto"/>
          <w:sz w:val="24"/>
          <w:szCs w:val="24"/>
          <w:highlight w:val="none"/>
        </w:rPr>
        <w:t>本公司（联合体）郑重声明，根据《政府采购促进中小企业发展管理办法》（财库〔2020〕46号）的规定，本公司 (联合体）</w:t>
      </w:r>
      <w:r>
        <w:rPr>
          <w:rStyle w:val="83"/>
          <w:rFonts w:ascii="宋体" w:hAnsi="宋体" w:eastAsia="宋体"/>
          <w:color w:val="auto"/>
          <w:sz w:val="24"/>
          <w:szCs w:val="24"/>
          <w:highlight w:val="none"/>
        </w:rPr>
        <w:t>参加</w:t>
      </w:r>
      <w:r>
        <w:rPr>
          <w:rStyle w:val="83"/>
          <w:rFonts w:ascii="宋体" w:hAnsi="宋体" w:eastAsia="宋体"/>
          <w:color w:val="auto"/>
          <w:sz w:val="24"/>
          <w:szCs w:val="24"/>
          <w:highlight w:val="none"/>
          <w:u w:val="single"/>
        </w:rPr>
        <w:t>（单位名称）</w:t>
      </w:r>
      <w:r>
        <w:rPr>
          <w:rStyle w:val="83"/>
          <w:rFonts w:ascii="宋体" w:hAnsi="宋体" w:eastAsia="宋体"/>
          <w:color w:val="auto"/>
          <w:sz w:val="24"/>
          <w:szCs w:val="24"/>
          <w:highlight w:val="none"/>
        </w:rPr>
        <w:t>的</w:t>
      </w:r>
      <w:r>
        <w:rPr>
          <w:rStyle w:val="83"/>
          <w:rFonts w:ascii="宋体" w:hAnsi="宋体" w:eastAsia="宋体"/>
          <w:color w:val="auto"/>
          <w:sz w:val="24"/>
          <w:szCs w:val="24"/>
          <w:highlight w:val="none"/>
          <w:u w:val="single"/>
        </w:rPr>
        <w:t>（项目名称）</w:t>
      </w:r>
      <w:r>
        <w:rPr>
          <w:rStyle w:val="83"/>
          <w:rFonts w:ascii="宋体" w:hAnsi="宋体" w:eastAsia="宋体"/>
          <w:color w:val="auto"/>
          <w:sz w:val="24"/>
          <w:szCs w:val="24"/>
          <w:highlight w:val="none"/>
        </w:rPr>
        <w:t>采购活动，</w:t>
      </w:r>
      <w:r>
        <w:rPr>
          <w:rFonts w:ascii="宋体" w:hAnsi="宋体" w:eastAsia="宋体"/>
          <w:color w:val="auto"/>
          <w:sz w:val="24"/>
          <w:szCs w:val="24"/>
          <w:highlight w:val="none"/>
        </w:rPr>
        <w:t>工程的施工单位全部为符合政策要求的中小企业。相关企业</w:t>
      </w:r>
      <w:r>
        <w:rPr>
          <w:rFonts w:ascii="宋体" w:hAnsi="宋体" w:eastAsia="宋体"/>
          <w:color w:val="auto"/>
          <w:sz w:val="24"/>
          <w:szCs w:val="24"/>
          <w:highlight w:val="none"/>
          <w:lang w:bidi="en-US"/>
        </w:rPr>
        <w:t>（</w:t>
      </w:r>
      <w:r>
        <w:rPr>
          <w:rFonts w:ascii="宋体" w:hAnsi="宋体" w:eastAsia="宋体"/>
          <w:color w:val="auto"/>
          <w:sz w:val="24"/>
          <w:szCs w:val="24"/>
          <w:highlight w:val="none"/>
        </w:rPr>
        <w:t>含联合体中的中小企业、签订分包意向协议的中小企业）的具体情况如下：</w:t>
      </w:r>
    </w:p>
    <w:p w14:paraId="5E3F62E6">
      <w:pPr>
        <w:spacing w:line="588"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iCs/>
          <w:color w:val="auto"/>
          <w:sz w:val="24"/>
          <w:szCs w:val="24"/>
          <w:highlight w:val="none"/>
          <w:u w:val="single"/>
        </w:rPr>
        <w:t>(标的名称)</w:t>
      </w:r>
      <w:r>
        <w:rPr>
          <w:rFonts w:ascii="宋体" w:hAnsi="宋体"/>
          <w:iCs/>
          <w:color w:val="auto"/>
          <w:sz w:val="24"/>
          <w:szCs w:val="24"/>
          <w:highlight w:val="none"/>
        </w:rPr>
        <w:t>，</w:t>
      </w:r>
      <w:r>
        <w:rPr>
          <w:rFonts w:ascii="宋体" w:hAnsi="宋体"/>
          <w:color w:val="auto"/>
          <w:sz w:val="24"/>
          <w:szCs w:val="24"/>
          <w:highlight w:val="none"/>
        </w:rPr>
        <w:t>属于</w:t>
      </w:r>
      <w:r>
        <w:rPr>
          <w:rFonts w:ascii="宋体" w:hAnsi="宋体"/>
          <w:iCs/>
          <w:color w:val="auto"/>
          <w:sz w:val="24"/>
          <w:szCs w:val="24"/>
          <w:highlight w:val="none"/>
          <w:u w:val="single"/>
        </w:rPr>
        <w:t>（采购文件中明确的所属行业)</w:t>
      </w:r>
      <w:r>
        <w:rPr>
          <w:rFonts w:hint="eastAsia" w:ascii="宋体" w:hAnsi="宋体"/>
          <w:iCs/>
          <w:color w:val="auto"/>
          <w:sz w:val="24"/>
          <w:szCs w:val="24"/>
          <w:highlight w:val="none"/>
        </w:rPr>
        <w:t>，</w:t>
      </w:r>
      <w:r>
        <w:rPr>
          <w:rFonts w:ascii="宋体" w:hAnsi="宋体"/>
          <w:color w:val="auto"/>
          <w:sz w:val="24"/>
          <w:szCs w:val="24"/>
          <w:highlight w:val="none"/>
        </w:rPr>
        <w:t>承建</w:t>
      </w:r>
      <w:r>
        <w:rPr>
          <w:rFonts w:ascii="宋体" w:hAnsi="宋体"/>
          <w:iCs/>
          <w:color w:val="auto"/>
          <w:sz w:val="24"/>
          <w:szCs w:val="24"/>
          <w:highlight w:val="none"/>
        </w:rPr>
        <w:t>企业为</w:t>
      </w:r>
      <w:r>
        <w:rPr>
          <w:rFonts w:ascii="宋体" w:hAnsi="宋体"/>
          <w:color w:val="auto"/>
          <w:sz w:val="24"/>
          <w:szCs w:val="24"/>
          <w:highlight w:val="none"/>
          <w:u w:val="single"/>
        </w:rPr>
        <w:t>（企业名称)</w:t>
      </w:r>
      <w:r>
        <w:rPr>
          <w:rFonts w:ascii="宋体" w:hAnsi="宋体"/>
          <w:color w:val="auto"/>
          <w:sz w:val="24"/>
          <w:szCs w:val="24"/>
          <w:highlight w:val="none"/>
        </w:rPr>
        <w:t>，从业人员</w:t>
      </w:r>
      <w:r>
        <w:rPr>
          <w:rFonts w:hint="eastAsia" w:ascii="宋体" w:hAnsi="宋体"/>
          <w:color w:val="auto"/>
          <w:sz w:val="24"/>
          <w:szCs w:val="24"/>
          <w:highlight w:val="none"/>
          <w:u w:val="single"/>
        </w:rPr>
        <w:t xml:space="preserve">    </w:t>
      </w:r>
      <w:r>
        <w:rPr>
          <w:rFonts w:ascii="宋体" w:hAnsi="宋体"/>
          <w:color w:val="auto"/>
          <w:sz w:val="24"/>
          <w:szCs w:val="24"/>
          <w:highlight w:val="none"/>
        </w:rPr>
        <w:t>人，营业收</w:t>
      </w:r>
      <w:r>
        <w:rPr>
          <w:rFonts w:ascii="宋体" w:hAnsi="宋体"/>
          <w:iCs/>
          <w:color w:val="auto"/>
          <w:sz w:val="24"/>
          <w:szCs w:val="24"/>
          <w:highlight w:val="none"/>
        </w:rPr>
        <w:t>入为</w:t>
      </w:r>
      <w:r>
        <w:rPr>
          <w:rFonts w:ascii="宋体" w:hAnsi="宋体"/>
          <w:iCs/>
          <w:color w:val="auto"/>
          <w:sz w:val="24"/>
          <w:szCs w:val="24"/>
          <w:highlight w:val="none"/>
          <w:u w:val="single"/>
        </w:rPr>
        <w:t>_</w:t>
      </w:r>
      <w:r>
        <w:rPr>
          <w:rFonts w:hint="eastAsia" w:ascii="宋体" w:hAnsi="宋体"/>
          <w:iCs/>
          <w:color w:val="auto"/>
          <w:sz w:val="24"/>
          <w:szCs w:val="24"/>
          <w:highlight w:val="none"/>
          <w:u w:val="single"/>
        </w:rPr>
        <w:t xml:space="preserve">    </w:t>
      </w:r>
      <w:r>
        <w:rPr>
          <w:rFonts w:ascii="宋体" w:hAnsi="宋体"/>
          <w:iCs/>
          <w:color w:val="auto"/>
          <w:sz w:val="24"/>
          <w:szCs w:val="24"/>
          <w:highlight w:val="none"/>
        </w:rPr>
        <w:t>万元，资产总额为</w:t>
      </w:r>
      <w:r>
        <w:rPr>
          <w:rFonts w:hint="eastAsia" w:ascii="宋体" w:hAnsi="宋体"/>
          <w:iCs/>
          <w:color w:val="auto"/>
          <w:sz w:val="24"/>
          <w:szCs w:val="24"/>
          <w:highlight w:val="none"/>
          <w:u w:val="single"/>
        </w:rPr>
        <w:t xml:space="preserve">    </w:t>
      </w:r>
      <w:r>
        <w:rPr>
          <w:rFonts w:ascii="宋体" w:hAnsi="宋体"/>
          <w:iCs/>
          <w:color w:val="auto"/>
          <w:sz w:val="24"/>
          <w:szCs w:val="24"/>
          <w:highlight w:val="none"/>
          <w:u w:val="single"/>
        </w:rPr>
        <w:t>_</w:t>
      </w:r>
      <w:r>
        <w:rPr>
          <w:rFonts w:ascii="宋体" w:hAnsi="宋体"/>
          <w:iCs/>
          <w:color w:val="auto"/>
          <w:sz w:val="24"/>
          <w:szCs w:val="24"/>
          <w:highlight w:val="none"/>
        </w:rPr>
        <w:t>万元</w:t>
      </w:r>
      <w:r>
        <w:rPr>
          <w:rFonts w:hint="eastAsia" w:ascii="宋体" w:hAnsi="宋体"/>
          <w:iCs/>
          <w:color w:val="auto"/>
          <w:sz w:val="24"/>
          <w:szCs w:val="24"/>
          <w:highlight w:val="none"/>
          <w:vertAlign w:val="superscript"/>
        </w:rPr>
        <w:t>1</w:t>
      </w:r>
      <w:r>
        <w:rPr>
          <w:rFonts w:hint="eastAsia" w:ascii="宋体" w:hAnsi="宋体"/>
          <w:iCs/>
          <w:color w:val="auto"/>
          <w:sz w:val="24"/>
          <w:szCs w:val="24"/>
          <w:highlight w:val="none"/>
        </w:rPr>
        <w:t>，按采购文件中明确的所属行业</w:t>
      </w:r>
      <w:r>
        <w:rPr>
          <w:rFonts w:ascii="宋体" w:hAnsi="宋体"/>
          <w:color w:val="auto"/>
          <w:sz w:val="24"/>
          <w:szCs w:val="24"/>
          <w:highlight w:val="none"/>
        </w:rPr>
        <w:t>属于</w:t>
      </w:r>
      <w:r>
        <w:rPr>
          <w:rFonts w:ascii="宋体" w:hAnsi="宋体"/>
          <w:iCs/>
          <w:color w:val="auto"/>
          <w:sz w:val="24"/>
          <w:szCs w:val="24"/>
          <w:highlight w:val="none"/>
          <w:u w:val="single"/>
        </w:rPr>
        <w:t>（中型企业、小型企业、微型企业）</w:t>
      </w:r>
      <w:r>
        <w:rPr>
          <w:rFonts w:hint="eastAsia" w:ascii="宋体" w:hAnsi="宋体"/>
          <w:color w:val="auto"/>
          <w:sz w:val="24"/>
          <w:szCs w:val="24"/>
          <w:highlight w:val="none"/>
        </w:rPr>
        <w:t>；</w:t>
      </w:r>
    </w:p>
    <w:p w14:paraId="2959A523">
      <w:pPr>
        <w:spacing w:line="588"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iCs/>
          <w:color w:val="auto"/>
          <w:sz w:val="24"/>
          <w:szCs w:val="24"/>
          <w:highlight w:val="none"/>
          <w:u w:val="single"/>
        </w:rPr>
        <w:t>(标的名称)</w:t>
      </w:r>
      <w:r>
        <w:rPr>
          <w:rFonts w:ascii="宋体" w:hAnsi="宋体"/>
          <w:iCs/>
          <w:color w:val="auto"/>
          <w:sz w:val="24"/>
          <w:szCs w:val="24"/>
          <w:highlight w:val="none"/>
        </w:rPr>
        <w:t>，</w:t>
      </w:r>
      <w:r>
        <w:rPr>
          <w:rFonts w:ascii="宋体" w:hAnsi="宋体"/>
          <w:color w:val="auto"/>
          <w:sz w:val="24"/>
          <w:szCs w:val="24"/>
          <w:highlight w:val="none"/>
        </w:rPr>
        <w:t>属于</w:t>
      </w:r>
      <w:r>
        <w:rPr>
          <w:rFonts w:ascii="宋体" w:hAnsi="宋体"/>
          <w:iCs/>
          <w:color w:val="auto"/>
          <w:sz w:val="24"/>
          <w:szCs w:val="24"/>
          <w:highlight w:val="none"/>
          <w:u w:val="single"/>
        </w:rPr>
        <w:t>（采购文件中明确的所属行业)</w:t>
      </w:r>
      <w:r>
        <w:rPr>
          <w:rFonts w:hint="eastAsia" w:ascii="宋体" w:hAnsi="宋体"/>
          <w:iCs/>
          <w:color w:val="auto"/>
          <w:sz w:val="24"/>
          <w:szCs w:val="24"/>
          <w:highlight w:val="none"/>
        </w:rPr>
        <w:t>，</w:t>
      </w:r>
      <w:r>
        <w:rPr>
          <w:rFonts w:ascii="宋体" w:hAnsi="宋体"/>
          <w:color w:val="auto"/>
          <w:sz w:val="24"/>
          <w:szCs w:val="24"/>
          <w:highlight w:val="none"/>
        </w:rPr>
        <w:t>承建</w:t>
      </w:r>
      <w:r>
        <w:rPr>
          <w:rFonts w:ascii="宋体" w:hAnsi="宋体"/>
          <w:iCs/>
          <w:color w:val="auto"/>
          <w:sz w:val="24"/>
          <w:szCs w:val="24"/>
          <w:highlight w:val="none"/>
        </w:rPr>
        <w:t>企业为</w:t>
      </w:r>
      <w:r>
        <w:rPr>
          <w:rFonts w:ascii="宋体" w:hAnsi="宋体"/>
          <w:color w:val="auto"/>
          <w:sz w:val="24"/>
          <w:szCs w:val="24"/>
          <w:highlight w:val="none"/>
          <w:u w:val="single"/>
        </w:rPr>
        <w:t>（企业名称)</w:t>
      </w:r>
      <w:r>
        <w:rPr>
          <w:rFonts w:ascii="宋体" w:hAnsi="宋体"/>
          <w:color w:val="auto"/>
          <w:sz w:val="24"/>
          <w:szCs w:val="24"/>
          <w:highlight w:val="none"/>
        </w:rPr>
        <w:t>，从业人员</w:t>
      </w:r>
      <w:r>
        <w:rPr>
          <w:rFonts w:hint="eastAsia" w:ascii="宋体" w:hAnsi="宋体"/>
          <w:color w:val="auto"/>
          <w:sz w:val="24"/>
          <w:szCs w:val="24"/>
          <w:highlight w:val="none"/>
          <w:u w:val="single"/>
        </w:rPr>
        <w:t xml:space="preserve">    </w:t>
      </w:r>
      <w:r>
        <w:rPr>
          <w:rFonts w:ascii="宋体" w:hAnsi="宋体"/>
          <w:color w:val="auto"/>
          <w:sz w:val="24"/>
          <w:szCs w:val="24"/>
          <w:highlight w:val="none"/>
        </w:rPr>
        <w:t>人，营业收</w:t>
      </w:r>
      <w:r>
        <w:rPr>
          <w:rFonts w:ascii="宋体" w:hAnsi="宋体"/>
          <w:iCs/>
          <w:color w:val="auto"/>
          <w:sz w:val="24"/>
          <w:szCs w:val="24"/>
          <w:highlight w:val="none"/>
        </w:rPr>
        <w:t>入为</w:t>
      </w:r>
      <w:r>
        <w:rPr>
          <w:rFonts w:ascii="宋体" w:hAnsi="宋体"/>
          <w:iCs/>
          <w:color w:val="auto"/>
          <w:sz w:val="24"/>
          <w:szCs w:val="24"/>
          <w:highlight w:val="none"/>
          <w:u w:val="single"/>
        </w:rPr>
        <w:t>_</w:t>
      </w:r>
      <w:r>
        <w:rPr>
          <w:rFonts w:hint="eastAsia" w:ascii="宋体" w:hAnsi="宋体"/>
          <w:iCs/>
          <w:color w:val="auto"/>
          <w:sz w:val="24"/>
          <w:szCs w:val="24"/>
          <w:highlight w:val="none"/>
          <w:u w:val="single"/>
        </w:rPr>
        <w:t xml:space="preserve">    </w:t>
      </w:r>
      <w:r>
        <w:rPr>
          <w:rFonts w:ascii="宋体" w:hAnsi="宋体"/>
          <w:iCs/>
          <w:color w:val="auto"/>
          <w:sz w:val="24"/>
          <w:szCs w:val="24"/>
          <w:highlight w:val="none"/>
        </w:rPr>
        <w:t>万元，资产总额为</w:t>
      </w:r>
      <w:r>
        <w:rPr>
          <w:rFonts w:hint="eastAsia" w:ascii="宋体" w:hAnsi="宋体"/>
          <w:iCs/>
          <w:color w:val="auto"/>
          <w:sz w:val="24"/>
          <w:szCs w:val="24"/>
          <w:highlight w:val="none"/>
          <w:u w:val="single"/>
        </w:rPr>
        <w:t xml:space="preserve">    </w:t>
      </w:r>
      <w:r>
        <w:rPr>
          <w:rFonts w:ascii="宋体" w:hAnsi="宋体"/>
          <w:iCs/>
          <w:color w:val="auto"/>
          <w:sz w:val="24"/>
          <w:szCs w:val="24"/>
          <w:highlight w:val="none"/>
          <w:u w:val="single"/>
        </w:rPr>
        <w:t>_</w:t>
      </w:r>
      <w:r>
        <w:rPr>
          <w:rFonts w:ascii="宋体" w:hAnsi="宋体"/>
          <w:iCs/>
          <w:color w:val="auto"/>
          <w:sz w:val="24"/>
          <w:szCs w:val="24"/>
          <w:highlight w:val="none"/>
        </w:rPr>
        <w:t>万元</w:t>
      </w:r>
      <w:r>
        <w:rPr>
          <w:rFonts w:hint="eastAsia" w:ascii="宋体" w:hAnsi="宋体"/>
          <w:iCs/>
          <w:color w:val="auto"/>
          <w:sz w:val="24"/>
          <w:szCs w:val="24"/>
          <w:highlight w:val="none"/>
        </w:rPr>
        <w:t>，按采购文件中明确的所属行业</w:t>
      </w:r>
      <w:r>
        <w:rPr>
          <w:rFonts w:ascii="宋体" w:hAnsi="宋体"/>
          <w:color w:val="auto"/>
          <w:sz w:val="24"/>
          <w:szCs w:val="24"/>
          <w:highlight w:val="none"/>
        </w:rPr>
        <w:t>属于</w:t>
      </w:r>
      <w:r>
        <w:rPr>
          <w:rFonts w:ascii="宋体" w:hAnsi="宋体"/>
          <w:iCs/>
          <w:color w:val="auto"/>
          <w:sz w:val="24"/>
          <w:szCs w:val="24"/>
          <w:highlight w:val="none"/>
          <w:u w:val="single"/>
        </w:rPr>
        <w:t>（中型企业、小型企业、微型企业）</w:t>
      </w:r>
      <w:r>
        <w:rPr>
          <w:rFonts w:hint="eastAsia" w:ascii="宋体" w:hAnsi="宋体"/>
          <w:color w:val="auto"/>
          <w:sz w:val="24"/>
          <w:szCs w:val="24"/>
          <w:highlight w:val="none"/>
        </w:rPr>
        <w:t>；</w:t>
      </w:r>
    </w:p>
    <w:p w14:paraId="0151378E">
      <w:pPr>
        <w:pStyle w:val="73"/>
        <w:shd w:val="clear" w:color="auto" w:fill="auto"/>
        <w:spacing w:after="0" w:line="518" w:lineRule="exact"/>
        <w:ind w:firstLine="680"/>
        <w:jc w:val="both"/>
        <w:rPr>
          <w:rFonts w:ascii="宋体" w:hAnsi="宋体" w:eastAsia="宋体"/>
          <w:color w:val="auto"/>
          <w:sz w:val="24"/>
          <w:szCs w:val="24"/>
          <w:highlight w:val="none"/>
        </w:rPr>
      </w:pPr>
      <w:r>
        <w:rPr>
          <w:rFonts w:hint="eastAsia" w:ascii="宋体" w:hAnsi="宋体" w:eastAsia="宋体"/>
          <w:color w:val="auto"/>
          <w:sz w:val="24"/>
          <w:szCs w:val="24"/>
          <w:highlight w:val="none"/>
        </w:rPr>
        <w:t>……</w:t>
      </w:r>
    </w:p>
    <w:p w14:paraId="019EAE38">
      <w:pPr>
        <w:pStyle w:val="73"/>
        <w:shd w:val="clear" w:color="auto" w:fill="auto"/>
        <w:spacing w:after="0" w:line="518" w:lineRule="exact"/>
        <w:ind w:firstLine="680"/>
        <w:jc w:val="both"/>
        <w:rPr>
          <w:rFonts w:ascii="宋体" w:hAnsi="宋体" w:eastAsia="宋体"/>
          <w:color w:val="auto"/>
          <w:sz w:val="24"/>
          <w:szCs w:val="24"/>
          <w:highlight w:val="none"/>
        </w:rPr>
      </w:pPr>
      <w:r>
        <w:rPr>
          <w:rFonts w:ascii="宋体" w:hAnsi="宋体" w:eastAsia="宋体"/>
          <w:color w:val="auto"/>
          <w:sz w:val="24"/>
          <w:szCs w:val="24"/>
          <w:highlight w:val="none"/>
        </w:rPr>
        <w:t>以上企业，不属于大企业的分支机构，不存在控股股东为大企业的情形，也不存在与大企业的负责人为同一人的情形。</w:t>
      </w:r>
    </w:p>
    <w:p w14:paraId="18D7918C">
      <w:pPr>
        <w:pStyle w:val="73"/>
        <w:shd w:val="clear" w:color="auto" w:fill="auto"/>
        <w:spacing w:after="0" w:line="518" w:lineRule="exact"/>
        <w:ind w:firstLine="680"/>
        <w:jc w:val="both"/>
        <w:rPr>
          <w:rFonts w:ascii="宋体" w:hAnsi="宋体" w:eastAsia="宋体"/>
          <w:color w:val="auto"/>
          <w:sz w:val="24"/>
          <w:szCs w:val="24"/>
          <w:highlight w:val="none"/>
        </w:rPr>
      </w:pPr>
      <w:r>
        <w:rPr>
          <w:rFonts w:ascii="宋体" w:hAnsi="宋体" w:eastAsia="宋体"/>
          <w:color w:val="auto"/>
          <w:sz w:val="24"/>
          <w:szCs w:val="24"/>
          <w:highlight w:val="none"/>
        </w:rPr>
        <w:t>本企业对上述声明内容的真实性负责。如有虚假，将依法承担相应责任。</w:t>
      </w:r>
    </w:p>
    <w:p w14:paraId="59C3CD25">
      <w:pPr>
        <w:pStyle w:val="73"/>
        <w:shd w:val="clear" w:color="auto" w:fill="auto"/>
        <w:spacing w:after="228" w:line="300" w:lineRule="exact"/>
        <w:ind w:left="3900"/>
        <w:rPr>
          <w:rFonts w:ascii="宋体" w:hAnsi="宋体" w:eastAsia="宋体"/>
          <w:color w:val="auto"/>
          <w:sz w:val="24"/>
          <w:szCs w:val="24"/>
          <w:highlight w:val="none"/>
        </w:rPr>
      </w:pPr>
    </w:p>
    <w:p w14:paraId="768940B0">
      <w:pPr>
        <w:pStyle w:val="73"/>
        <w:shd w:val="clear" w:color="auto" w:fill="auto"/>
        <w:spacing w:after="228" w:line="300" w:lineRule="exact"/>
        <w:ind w:left="3900"/>
        <w:rPr>
          <w:rFonts w:ascii="宋体" w:hAnsi="宋体" w:eastAsia="宋体"/>
          <w:color w:val="auto"/>
          <w:sz w:val="24"/>
          <w:szCs w:val="24"/>
          <w:highlight w:val="none"/>
        </w:rPr>
      </w:pPr>
    </w:p>
    <w:p w14:paraId="57C4ADE2">
      <w:pPr>
        <w:pStyle w:val="73"/>
        <w:shd w:val="clear" w:color="auto" w:fill="auto"/>
        <w:spacing w:after="228" w:line="300" w:lineRule="exact"/>
        <w:ind w:firstLine="4536" w:firstLineChars="1512"/>
        <w:rPr>
          <w:rFonts w:ascii="宋体" w:hAnsi="宋体" w:eastAsia="宋体"/>
          <w:color w:val="auto"/>
          <w:sz w:val="24"/>
          <w:szCs w:val="24"/>
          <w:highlight w:val="none"/>
        </w:rPr>
      </w:pPr>
      <w:r>
        <w:rPr>
          <w:rFonts w:ascii="宋体" w:hAnsi="宋体" w:eastAsia="宋体"/>
          <w:color w:val="auto"/>
          <w:sz w:val="24"/>
          <w:szCs w:val="24"/>
          <w:highlight w:val="none"/>
        </w:rPr>
        <w:t>企业名称（盖章</w:t>
      </w:r>
      <w:r>
        <w:rPr>
          <w:rFonts w:ascii="宋体" w:hAnsi="宋体" w:eastAsia="宋体"/>
          <w:color w:val="auto"/>
          <w:sz w:val="24"/>
          <w:szCs w:val="24"/>
          <w:highlight w:val="none"/>
          <w:lang w:bidi="en-US"/>
        </w:rPr>
        <w:t>）</w:t>
      </w:r>
    </w:p>
    <w:p w14:paraId="4877F4A5">
      <w:pPr>
        <w:autoSpaceDE w:val="0"/>
        <w:autoSpaceDN w:val="0"/>
        <w:adjustRightInd w:val="0"/>
        <w:spacing w:line="360" w:lineRule="auto"/>
        <w:ind w:firstLine="4536" w:firstLineChars="1890"/>
        <w:jc w:val="left"/>
        <w:rPr>
          <w:rFonts w:ascii="宋体" w:hAnsi="宋体"/>
          <w:color w:val="auto"/>
          <w:sz w:val="24"/>
          <w:szCs w:val="24"/>
          <w:highlight w:val="none"/>
        </w:rPr>
      </w:pPr>
      <w:r>
        <w:rPr>
          <w:rFonts w:ascii="宋体" w:hAnsi="宋体"/>
          <w:color w:val="auto"/>
          <w:sz w:val="24"/>
          <w:szCs w:val="24"/>
          <w:highlight w:val="none"/>
        </w:rPr>
        <w:t>日期：</w:t>
      </w:r>
    </w:p>
    <w:p w14:paraId="1BF801BF">
      <w:pPr>
        <w:autoSpaceDE w:val="0"/>
        <w:autoSpaceDN w:val="0"/>
        <w:adjustRightInd w:val="0"/>
        <w:spacing w:line="360" w:lineRule="auto"/>
        <w:jc w:val="center"/>
        <w:rPr>
          <w:rFonts w:ascii="宋体" w:hAnsi="宋体"/>
          <w:color w:val="auto"/>
          <w:sz w:val="24"/>
          <w:szCs w:val="24"/>
          <w:highlight w:val="none"/>
        </w:rPr>
      </w:pPr>
    </w:p>
    <w:p w14:paraId="45DA7934">
      <w:pPr>
        <w:autoSpaceDE w:val="0"/>
        <w:autoSpaceDN w:val="0"/>
        <w:adjustRightInd w:val="0"/>
        <w:spacing w:line="360" w:lineRule="auto"/>
        <w:jc w:val="center"/>
        <w:rPr>
          <w:rFonts w:ascii="宋体" w:hAnsi="宋体"/>
          <w:color w:val="auto"/>
          <w:sz w:val="24"/>
          <w:szCs w:val="24"/>
          <w:highlight w:val="none"/>
        </w:rPr>
      </w:pPr>
    </w:p>
    <w:p w14:paraId="56BBCEEB">
      <w:pPr>
        <w:spacing w:line="240" w:lineRule="auto"/>
        <w:rPr>
          <w:rStyle w:val="72"/>
          <w:rFonts w:ascii="宋体" w:hAnsi="宋体"/>
          <w:color w:val="auto"/>
          <w:highlight w:val="none"/>
        </w:rPr>
      </w:pPr>
      <w:r>
        <w:rPr>
          <w:rFonts w:hint="eastAsia" w:ascii="宋体" w:hAnsi="宋体"/>
          <w:color w:val="auto"/>
          <w:sz w:val="18"/>
          <w:szCs w:val="18"/>
          <w:highlight w:val="none"/>
        </w:rPr>
        <w:t>注：</w:t>
      </w:r>
      <w:r>
        <w:rPr>
          <w:rStyle w:val="71"/>
          <w:rFonts w:ascii="宋体" w:hAnsi="宋体" w:eastAsia="宋体"/>
          <w:color w:val="auto"/>
          <w:sz w:val="18"/>
          <w:szCs w:val="18"/>
          <w:highlight w:val="none"/>
          <w:vertAlign w:val="superscript"/>
        </w:rPr>
        <w:t>1</w:t>
      </w:r>
      <w:r>
        <w:rPr>
          <w:rStyle w:val="72"/>
          <w:rFonts w:ascii="宋体" w:hAnsi="宋体"/>
          <w:color w:val="auto"/>
          <w:highlight w:val="none"/>
        </w:rPr>
        <w:t>从业人员、营业收入、资产总额填报上一年度数据，无上一年度数据的新成立企业可不填报</w:t>
      </w:r>
      <w:r>
        <w:rPr>
          <w:rStyle w:val="72"/>
          <w:rFonts w:hint="eastAsia" w:ascii="宋体" w:hAnsi="宋体"/>
          <w:color w:val="auto"/>
          <w:highlight w:val="none"/>
        </w:rPr>
        <w:t>。</w:t>
      </w:r>
    </w:p>
    <w:p w14:paraId="22296A67">
      <w:pPr>
        <w:spacing w:line="240" w:lineRule="auto"/>
        <w:ind w:left="181" w:leftChars="86" w:firstLine="270" w:firstLineChars="150"/>
        <w:rPr>
          <w:rFonts w:ascii="宋体" w:hAnsi="宋体"/>
          <w:color w:val="auto"/>
          <w:sz w:val="18"/>
          <w:szCs w:val="18"/>
          <w:highlight w:val="none"/>
        </w:rPr>
      </w:pPr>
      <w:r>
        <w:rPr>
          <w:rStyle w:val="72"/>
          <w:rFonts w:hint="eastAsia" w:ascii="宋体" w:hAnsi="宋体"/>
          <w:color w:val="auto"/>
          <w:highlight w:val="none"/>
        </w:rPr>
        <w:t>2、招标文件中未标注“专门面向中小企业采购”的未预留（非预留）项目，供应商可以根据自身情况提供《中小企业声明函》，未提供《中小企业声明函》的、将不享受小微企业价格扣除扶持政策。</w:t>
      </w:r>
    </w:p>
    <w:p w14:paraId="14451FBF">
      <w:pPr>
        <w:spacing w:line="240" w:lineRule="auto"/>
        <w:rPr>
          <w:rFonts w:ascii="宋体" w:hAnsi="宋体"/>
          <w:color w:val="auto"/>
          <w:szCs w:val="21"/>
          <w:highlight w:val="none"/>
        </w:rPr>
      </w:pPr>
    </w:p>
    <w:p w14:paraId="70F6176D">
      <w:pPr>
        <w:autoSpaceDE w:val="0"/>
        <w:autoSpaceDN w:val="0"/>
        <w:adjustRightInd w:val="0"/>
        <w:spacing w:line="360" w:lineRule="auto"/>
        <w:rPr>
          <w:rFonts w:ascii="黑体" w:hAnsi="黑体" w:eastAsia="黑体"/>
          <w:b/>
          <w:color w:val="auto"/>
          <w:sz w:val="30"/>
          <w:szCs w:val="30"/>
          <w:highlight w:val="none"/>
        </w:rPr>
      </w:pPr>
    </w:p>
    <w:p w14:paraId="1B3BEA41">
      <w:pPr>
        <w:spacing w:line="588" w:lineRule="exact"/>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残疾人福利性单位声明函</w:t>
      </w:r>
      <w:r>
        <w:rPr>
          <w:rFonts w:hint="eastAsia" w:ascii="宋体" w:hAnsi="宋体"/>
          <w:color w:val="auto"/>
          <w:spacing w:val="6"/>
          <w:sz w:val="24"/>
          <w:szCs w:val="24"/>
          <w:highlight w:val="none"/>
        </w:rPr>
        <w:t>（如符合条件时填写</w:t>
      </w:r>
      <w:r>
        <w:rPr>
          <w:rFonts w:hint="eastAsia" w:ascii="宋体" w:hAnsi="宋体"/>
          <w:color w:val="auto"/>
          <w:spacing w:val="6"/>
          <w:sz w:val="28"/>
          <w:szCs w:val="28"/>
          <w:highlight w:val="none"/>
          <w:vertAlign w:val="superscript"/>
        </w:rPr>
        <w:t>*</w:t>
      </w:r>
      <w:r>
        <w:rPr>
          <w:rFonts w:hint="eastAsia" w:ascii="宋体" w:hAnsi="宋体"/>
          <w:color w:val="auto"/>
          <w:spacing w:val="6"/>
          <w:sz w:val="24"/>
          <w:szCs w:val="24"/>
          <w:highlight w:val="none"/>
        </w:rPr>
        <w:t>）</w:t>
      </w:r>
    </w:p>
    <w:p w14:paraId="21A7DE33">
      <w:pPr>
        <w:spacing w:line="588" w:lineRule="exact"/>
        <w:rPr>
          <w:rFonts w:ascii="仿宋_GB2312" w:eastAsia="仿宋_GB2312"/>
          <w:b/>
          <w:color w:val="auto"/>
          <w:spacing w:val="6"/>
          <w:sz w:val="30"/>
          <w:szCs w:val="30"/>
          <w:highlight w:val="none"/>
        </w:rPr>
      </w:pPr>
    </w:p>
    <w:p w14:paraId="3796645F">
      <w:pPr>
        <w:spacing w:line="588" w:lineRule="exact"/>
        <w:ind w:firstLine="504" w:firstLineChars="200"/>
        <w:rPr>
          <w:rFonts w:ascii="宋体" w:hAnsi="宋体"/>
          <w:color w:val="auto"/>
          <w:spacing w:val="6"/>
          <w:sz w:val="24"/>
          <w:szCs w:val="24"/>
          <w:highlight w:val="none"/>
        </w:rPr>
      </w:pPr>
      <w:r>
        <w:rPr>
          <w:rFonts w:hint="eastAsia" w:ascii="宋体" w:hAnsi="宋体"/>
          <w:color w:val="auto"/>
          <w:spacing w:val="6"/>
          <w:sz w:val="24"/>
          <w:szCs w:val="24"/>
          <w:highlight w:val="none"/>
        </w:rPr>
        <w:t>本单位郑重声明，根据《财政部 民政部 中国残疾人联合会关于促进残疾人就业政府采购政策的通知》（财库</w:t>
      </w:r>
      <w:r>
        <w:rPr>
          <w:rFonts w:hint="eastAsia" w:ascii="宋体" w:hAnsi="宋体"/>
          <w:color w:val="auto"/>
          <w:sz w:val="24"/>
          <w:szCs w:val="24"/>
          <w:highlight w:val="none"/>
        </w:rPr>
        <w:t>〔2017〕141</w:t>
      </w:r>
      <w:r>
        <w:rPr>
          <w:rFonts w:hint="eastAsia" w:ascii="宋体" w:hAnsi="宋体"/>
          <w:color w:val="auto"/>
          <w:spacing w:val="6"/>
          <w:sz w:val="24"/>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40E5C90">
      <w:pPr>
        <w:spacing w:line="588" w:lineRule="exact"/>
        <w:ind w:firstLine="504" w:firstLineChars="200"/>
        <w:rPr>
          <w:rFonts w:ascii="宋体" w:hAnsi="宋体"/>
          <w:color w:val="auto"/>
          <w:spacing w:val="6"/>
          <w:sz w:val="24"/>
          <w:szCs w:val="24"/>
          <w:highlight w:val="none"/>
        </w:rPr>
      </w:pPr>
      <w:r>
        <w:rPr>
          <w:rFonts w:hint="eastAsia" w:ascii="宋体" w:hAnsi="宋体"/>
          <w:color w:val="auto"/>
          <w:spacing w:val="6"/>
          <w:sz w:val="24"/>
          <w:szCs w:val="24"/>
          <w:highlight w:val="none"/>
        </w:rPr>
        <w:t>本单位对上述声明的真实性负责。如有虚假，将依法承担相应责任。</w:t>
      </w:r>
    </w:p>
    <w:p w14:paraId="7BD541B2">
      <w:pPr>
        <w:spacing w:line="588" w:lineRule="exact"/>
        <w:ind w:firstLine="504" w:firstLineChars="200"/>
        <w:rPr>
          <w:rFonts w:ascii="宋体" w:hAnsi="宋体"/>
          <w:color w:val="auto"/>
          <w:spacing w:val="6"/>
          <w:sz w:val="24"/>
          <w:szCs w:val="24"/>
          <w:highlight w:val="none"/>
        </w:rPr>
      </w:pPr>
    </w:p>
    <w:p w14:paraId="7F61DD7C">
      <w:pPr>
        <w:spacing w:line="588" w:lineRule="exact"/>
        <w:ind w:firstLine="504" w:firstLineChars="200"/>
        <w:rPr>
          <w:rFonts w:ascii="宋体" w:hAnsi="宋体"/>
          <w:color w:val="auto"/>
          <w:spacing w:val="6"/>
          <w:sz w:val="24"/>
          <w:szCs w:val="24"/>
          <w:highlight w:val="none"/>
        </w:rPr>
      </w:pPr>
    </w:p>
    <w:p w14:paraId="4BC5A568">
      <w:pPr>
        <w:spacing w:line="588" w:lineRule="exact"/>
        <w:ind w:firstLine="504" w:firstLineChars="200"/>
        <w:rPr>
          <w:rFonts w:ascii="宋体" w:hAnsi="宋体"/>
          <w:color w:val="auto"/>
          <w:spacing w:val="6"/>
          <w:sz w:val="24"/>
          <w:szCs w:val="24"/>
          <w:highlight w:val="none"/>
        </w:rPr>
      </w:pPr>
    </w:p>
    <w:p w14:paraId="0AD49168">
      <w:pPr>
        <w:snapToGrid w:val="0"/>
        <w:spacing w:before="100" w:beforeAutospacing="1" w:after="100" w:afterAutospacing="1" w:line="700" w:lineRule="exact"/>
        <w:ind w:right="641" w:firstLine="4960" w:firstLineChars="2067"/>
        <w:rPr>
          <w:rFonts w:ascii="宋体" w:hAnsi="宋体"/>
          <w:color w:val="auto"/>
          <w:sz w:val="24"/>
          <w:szCs w:val="24"/>
          <w:highlight w:val="none"/>
        </w:rPr>
      </w:pPr>
      <w:r>
        <w:rPr>
          <w:rFonts w:hint="eastAsia" w:ascii="宋体" w:hAnsi="宋体"/>
          <w:color w:val="auto"/>
          <w:sz w:val="24"/>
          <w:szCs w:val="24"/>
          <w:highlight w:val="none"/>
        </w:rPr>
        <w:t>单位名称</w:t>
      </w:r>
      <w:r>
        <w:rPr>
          <w:rFonts w:ascii="宋体" w:hAnsi="宋体"/>
          <w:color w:val="auto"/>
          <w:sz w:val="24"/>
          <w:szCs w:val="24"/>
          <w:highlight w:val="none"/>
        </w:rPr>
        <w:t>（盖章</w:t>
      </w:r>
      <w:r>
        <w:rPr>
          <w:rFonts w:ascii="宋体" w:hAnsi="宋体"/>
          <w:color w:val="auto"/>
          <w:sz w:val="24"/>
          <w:szCs w:val="24"/>
          <w:highlight w:val="none"/>
          <w:lang w:bidi="en-US"/>
        </w:rPr>
        <w:t>）</w:t>
      </w:r>
      <w:r>
        <w:rPr>
          <w:rFonts w:hint="eastAsia" w:ascii="宋体" w:hAnsi="宋体"/>
          <w:color w:val="auto"/>
          <w:sz w:val="24"/>
          <w:szCs w:val="24"/>
          <w:highlight w:val="none"/>
        </w:rPr>
        <w:t>：</w:t>
      </w:r>
    </w:p>
    <w:p w14:paraId="2054A3D5">
      <w:pPr>
        <w:snapToGrid w:val="0"/>
        <w:spacing w:before="100" w:beforeAutospacing="1" w:after="100" w:afterAutospacing="1" w:line="540" w:lineRule="exact"/>
        <w:ind w:right="85" w:firstLine="5016" w:firstLineChars="2090"/>
        <w:jc w:val="left"/>
        <w:textAlignment w:val="top"/>
        <w:rPr>
          <w:rFonts w:ascii="宋体" w:hAnsi="宋体"/>
          <w:color w:val="auto"/>
          <w:sz w:val="24"/>
          <w:szCs w:val="24"/>
          <w:highlight w:val="none"/>
        </w:rPr>
      </w:pPr>
      <w:r>
        <w:rPr>
          <w:rFonts w:hint="eastAsia" w:ascii="宋体" w:hAnsi="宋体"/>
          <w:color w:val="auto"/>
          <w:sz w:val="24"/>
          <w:szCs w:val="24"/>
          <w:highlight w:val="none"/>
        </w:rPr>
        <w:t>日期：</w:t>
      </w:r>
    </w:p>
    <w:p w14:paraId="11033870">
      <w:pPr>
        <w:autoSpaceDE w:val="0"/>
        <w:autoSpaceDN w:val="0"/>
        <w:adjustRightInd w:val="0"/>
        <w:spacing w:line="360" w:lineRule="auto"/>
        <w:jc w:val="center"/>
        <w:rPr>
          <w:rFonts w:ascii="宋体" w:cs="楷体_GB2312"/>
          <w:b/>
          <w:color w:val="auto"/>
          <w:sz w:val="30"/>
          <w:szCs w:val="30"/>
          <w:highlight w:val="none"/>
        </w:rPr>
      </w:pPr>
    </w:p>
    <w:p w14:paraId="235FEF3F">
      <w:pPr>
        <w:autoSpaceDE w:val="0"/>
        <w:autoSpaceDN w:val="0"/>
        <w:adjustRightInd w:val="0"/>
        <w:spacing w:line="360" w:lineRule="auto"/>
        <w:jc w:val="center"/>
        <w:rPr>
          <w:rFonts w:ascii="宋体" w:cs="楷体_GB2312"/>
          <w:b/>
          <w:color w:val="auto"/>
          <w:sz w:val="30"/>
          <w:szCs w:val="30"/>
          <w:highlight w:val="none"/>
          <w:lang w:val="zh-CN"/>
        </w:rPr>
      </w:pPr>
    </w:p>
    <w:p w14:paraId="0C6448A7">
      <w:pPr>
        <w:autoSpaceDE w:val="0"/>
        <w:autoSpaceDN w:val="0"/>
        <w:adjustRightInd w:val="0"/>
        <w:spacing w:line="360" w:lineRule="auto"/>
        <w:jc w:val="center"/>
        <w:rPr>
          <w:rFonts w:ascii="宋体" w:cs="楷体_GB2312"/>
          <w:b/>
          <w:color w:val="auto"/>
          <w:sz w:val="30"/>
          <w:szCs w:val="30"/>
          <w:highlight w:val="none"/>
          <w:lang w:val="zh-CN"/>
        </w:rPr>
      </w:pPr>
    </w:p>
    <w:p w14:paraId="1B45D59A">
      <w:pPr>
        <w:autoSpaceDE w:val="0"/>
        <w:autoSpaceDN w:val="0"/>
        <w:adjustRightInd w:val="0"/>
        <w:spacing w:line="360" w:lineRule="auto"/>
        <w:jc w:val="center"/>
        <w:rPr>
          <w:rFonts w:ascii="宋体" w:cs="楷体_GB2312"/>
          <w:b/>
          <w:color w:val="auto"/>
          <w:sz w:val="30"/>
          <w:szCs w:val="30"/>
          <w:highlight w:val="none"/>
          <w:lang w:val="zh-CN"/>
        </w:rPr>
      </w:pPr>
    </w:p>
    <w:p w14:paraId="032F393E">
      <w:pPr>
        <w:autoSpaceDE w:val="0"/>
        <w:autoSpaceDN w:val="0"/>
        <w:adjustRightInd w:val="0"/>
        <w:spacing w:line="360" w:lineRule="auto"/>
        <w:jc w:val="center"/>
        <w:rPr>
          <w:rFonts w:ascii="宋体" w:cs="楷体_GB2312"/>
          <w:b/>
          <w:color w:val="auto"/>
          <w:sz w:val="30"/>
          <w:szCs w:val="30"/>
          <w:highlight w:val="none"/>
          <w:lang w:val="zh-CN"/>
        </w:rPr>
      </w:pPr>
    </w:p>
    <w:p w14:paraId="1246B3B7">
      <w:pPr>
        <w:shd w:val="clear" w:color="auto" w:fill="FFFFFF"/>
        <w:spacing w:line="240" w:lineRule="auto"/>
        <w:rPr>
          <w:rFonts w:ascii="宋体" w:hAnsi="宋体"/>
          <w:color w:val="auto"/>
          <w:sz w:val="18"/>
          <w:szCs w:val="18"/>
          <w:highlight w:val="none"/>
        </w:rPr>
      </w:pPr>
      <w:r>
        <w:rPr>
          <w:rFonts w:hint="eastAsia" w:ascii="宋体" w:hAnsi="宋体"/>
          <w:color w:val="auto"/>
          <w:sz w:val="18"/>
          <w:szCs w:val="18"/>
          <w:highlight w:val="none"/>
        </w:rPr>
        <w:t>注：1、按政策规定：符合条件的残疾人福利性单位视同小型、微型企业，享受评审价格扣除等促进中小企业发展的政府采购政策。残疾人福利性单位属于小型、微型企业的，不重复享受政策。</w:t>
      </w:r>
    </w:p>
    <w:p w14:paraId="6330CBA7">
      <w:pPr>
        <w:spacing w:line="240" w:lineRule="auto"/>
        <w:ind w:firstLine="450" w:firstLineChars="250"/>
        <w:rPr>
          <w:rFonts w:ascii="宋体" w:hAnsi="宋体"/>
          <w:color w:val="auto"/>
          <w:sz w:val="18"/>
          <w:szCs w:val="18"/>
          <w:highlight w:val="none"/>
        </w:rPr>
      </w:pPr>
      <w:r>
        <w:rPr>
          <w:rFonts w:hint="eastAsia" w:ascii="宋体" w:hAnsi="宋体"/>
          <w:color w:val="auto"/>
          <w:sz w:val="18"/>
          <w:szCs w:val="18"/>
          <w:highlight w:val="none"/>
        </w:rPr>
        <w:t>2、</w:t>
      </w:r>
      <w:r>
        <w:rPr>
          <w:rFonts w:hint="eastAsia" w:ascii="宋体" w:hAnsi="宋体"/>
          <w:b/>
          <w:color w:val="auto"/>
          <w:spacing w:val="6"/>
          <w:sz w:val="18"/>
          <w:szCs w:val="18"/>
          <w:highlight w:val="none"/>
          <w:vertAlign w:val="superscript"/>
        </w:rPr>
        <w:t>*</w:t>
      </w:r>
      <w:r>
        <w:rPr>
          <w:rFonts w:hint="eastAsia" w:ascii="宋体" w:hAnsi="宋体"/>
          <w:color w:val="auto"/>
          <w:sz w:val="18"/>
          <w:szCs w:val="18"/>
          <w:highlight w:val="none"/>
        </w:rPr>
        <w:t>本格式在残疾人福利性单位申请报价格扣除时填写，未填写不享受小微价格扣除，但不作为无效投标。</w:t>
      </w:r>
    </w:p>
    <w:p w14:paraId="4C0DCA87">
      <w:pPr>
        <w:spacing w:line="240" w:lineRule="auto"/>
        <w:ind w:firstLine="450" w:firstLineChars="250"/>
        <w:rPr>
          <w:rFonts w:ascii="宋体" w:hAnsi="宋体"/>
          <w:color w:val="auto"/>
          <w:sz w:val="18"/>
          <w:szCs w:val="18"/>
          <w:highlight w:val="none"/>
        </w:rPr>
      </w:pPr>
      <w:r>
        <w:rPr>
          <w:rFonts w:hint="eastAsia" w:ascii="宋体" w:hAnsi="宋体"/>
          <w:color w:val="auto"/>
          <w:sz w:val="18"/>
          <w:szCs w:val="18"/>
          <w:highlight w:val="none"/>
        </w:rPr>
        <w:t>残疾人福利性单位属于小型、微型企业的，可只填写“</w:t>
      </w:r>
      <w:r>
        <w:rPr>
          <w:rFonts w:ascii="宋体" w:hAnsi="宋体"/>
          <w:color w:val="auto"/>
          <w:sz w:val="18"/>
          <w:szCs w:val="18"/>
          <w:highlight w:val="none"/>
        </w:rPr>
        <w:t xml:space="preserve"> 中小企业声明函</w:t>
      </w:r>
      <w:r>
        <w:rPr>
          <w:rFonts w:hint="eastAsia" w:ascii="宋体" w:hAnsi="宋体"/>
          <w:color w:val="auto"/>
          <w:sz w:val="18"/>
          <w:szCs w:val="18"/>
          <w:highlight w:val="none"/>
        </w:rPr>
        <w:t>”，不再填写“残疾人福利性单位</w:t>
      </w:r>
      <w:r>
        <w:rPr>
          <w:rFonts w:ascii="宋体" w:hAnsi="宋体"/>
          <w:color w:val="auto"/>
          <w:sz w:val="18"/>
          <w:szCs w:val="18"/>
          <w:highlight w:val="none"/>
        </w:rPr>
        <w:t>声明函</w:t>
      </w:r>
      <w:r>
        <w:rPr>
          <w:rFonts w:hint="eastAsia" w:ascii="宋体" w:hAnsi="宋体"/>
          <w:color w:val="auto"/>
          <w:sz w:val="18"/>
          <w:szCs w:val="18"/>
          <w:highlight w:val="none"/>
        </w:rPr>
        <w:t>”。</w:t>
      </w:r>
    </w:p>
    <w:p w14:paraId="6631314F">
      <w:pPr>
        <w:spacing w:line="240" w:lineRule="auto"/>
        <w:ind w:firstLine="450" w:firstLineChars="250"/>
        <w:rPr>
          <w:rFonts w:ascii="宋体" w:hAnsi="宋体"/>
          <w:color w:val="auto"/>
          <w:sz w:val="18"/>
          <w:szCs w:val="18"/>
          <w:highlight w:val="none"/>
        </w:rPr>
      </w:pPr>
      <w:r>
        <w:rPr>
          <w:rFonts w:hint="eastAsia" w:ascii="宋体" w:hAnsi="宋体"/>
          <w:color w:val="auto"/>
          <w:sz w:val="18"/>
          <w:szCs w:val="18"/>
          <w:highlight w:val="none"/>
        </w:rPr>
        <w:t>3、残疾人福利性单位填写“残疾人福利性单位</w:t>
      </w:r>
      <w:r>
        <w:rPr>
          <w:rFonts w:ascii="宋体" w:hAnsi="宋体"/>
          <w:color w:val="auto"/>
          <w:sz w:val="18"/>
          <w:szCs w:val="18"/>
          <w:highlight w:val="none"/>
        </w:rPr>
        <w:t>声明函</w:t>
      </w:r>
      <w:r>
        <w:rPr>
          <w:rFonts w:hint="eastAsia" w:ascii="宋体" w:hAnsi="宋体"/>
          <w:color w:val="auto"/>
          <w:sz w:val="18"/>
          <w:szCs w:val="18"/>
          <w:highlight w:val="none"/>
        </w:rPr>
        <w:t>”后，仍需同时填写“</w:t>
      </w:r>
      <w:r>
        <w:rPr>
          <w:rFonts w:ascii="宋体" w:hAnsi="宋体"/>
          <w:color w:val="auto"/>
          <w:sz w:val="18"/>
          <w:szCs w:val="18"/>
          <w:highlight w:val="none"/>
        </w:rPr>
        <w:t>中小企业声明函</w:t>
      </w:r>
      <w:r>
        <w:rPr>
          <w:rFonts w:hint="eastAsia" w:ascii="宋体" w:hAnsi="宋体"/>
          <w:color w:val="auto"/>
          <w:sz w:val="18"/>
          <w:szCs w:val="18"/>
          <w:highlight w:val="none"/>
        </w:rPr>
        <w:t>”、可在“</w:t>
      </w:r>
      <w:r>
        <w:rPr>
          <w:rFonts w:ascii="宋体" w:hAnsi="宋体"/>
          <w:color w:val="auto"/>
          <w:sz w:val="18"/>
          <w:szCs w:val="18"/>
          <w:highlight w:val="none"/>
        </w:rPr>
        <w:t>中小企业声明函</w:t>
      </w:r>
      <w:r>
        <w:rPr>
          <w:rFonts w:hint="eastAsia" w:ascii="宋体" w:hAnsi="宋体"/>
          <w:color w:val="auto"/>
          <w:sz w:val="18"/>
          <w:szCs w:val="18"/>
          <w:highlight w:val="none"/>
        </w:rPr>
        <w:t>”注明“属于符合条件的残疾人福利性单位、视同小型、微型企业”。</w:t>
      </w:r>
    </w:p>
    <w:p w14:paraId="067CA318">
      <w:pPr>
        <w:widowControl w:val="0"/>
        <w:snapToGrid w:val="0"/>
        <w:spacing w:line="560" w:lineRule="exact"/>
        <w:rPr>
          <w:rFonts w:ascii="宋体" w:hAnsi="宋体" w:cs="宋体"/>
          <w:b/>
          <w:color w:val="auto"/>
          <w:sz w:val="24"/>
          <w:highlight w:val="none"/>
        </w:rPr>
      </w:pPr>
    </w:p>
    <w:p w14:paraId="6376358E">
      <w:pPr>
        <w:autoSpaceDE w:val="0"/>
        <w:autoSpaceDN w:val="0"/>
        <w:adjustRightInd w:val="0"/>
        <w:spacing w:line="360" w:lineRule="auto"/>
        <w:jc w:val="center"/>
        <w:rPr>
          <w:rFonts w:ascii="黑体" w:hAnsi="黑体" w:eastAsia="黑体"/>
          <w:b/>
          <w:color w:val="auto"/>
          <w:sz w:val="30"/>
          <w:szCs w:val="30"/>
          <w:highlight w:val="none"/>
        </w:rPr>
      </w:pPr>
      <w:r>
        <w:rPr>
          <w:rFonts w:ascii="宋体" w:cs="楷体_GB2312"/>
          <w:b/>
          <w:color w:val="auto"/>
          <w:sz w:val="30"/>
          <w:szCs w:val="30"/>
          <w:highlight w:val="none"/>
        </w:rPr>
        <w:br w:type="page"/>
      </w:r>
      <w:r>
        <w:rPr>
          <w:rFonts w:hint="eastAsia" w:ascii="黑体" w:hAnsi="黑体" w:eastAsia="黑体"/>
          <w:b/>
          <w:color w:val="auto"/>
          <w:sz w:val="30"/>
          <w:szCs w:val="30"/>
          <w:highlight w:val="none"/>
        </w:rPr>
        <w:t>1</w:t>
      </w:r>
      <w:r>
        <w:rPr>
          <w:rFonts w:ascii="黑体" w:hAnsi="黑体" w:eastAsia="黑体"/>
          <w:b/>
          <w:color w:val="auto"/>
          <w:sz w:val="30"/>
          <w:szCs w:val="30"/>
          <w:highlight w:val="none"/>
        </w:rPr>
        <w:t>3-2</w:t>
      </w:r>
      <w:r>
        <w:rPr>
          <w:rFonts w:hint="eastAsia" w:ascii="黑体" w:hAnsi="黑体" w:eastAsia="黑体"/>
          <w:b/>
          <w:color w:val="auto"/>
          <w:sz w:val="30"/>
          <w:szCs w:val="30"/>
          <w:highlight w:val="none"/>
        </w:rPr>
        <w:t>、其它材料</w:t>
      </w:r>
    </w:p>
    <w:p w14:paraId="505DAA65">
      <w:pPr>
        <w:adjustRightInd w:val="0"/>
        <w:snapToGrid w:val="0"/>
        <w:spacing w:line="300" w:lineRule="auto"/>
        <w:textAlignment w:val="top"/>
        <w:rPr>
          <w:rFonts w:ascii="宋体" w:cs="楷体_GB2312"/>
          <w:b/>
          <w:color w:val="auto"/>
          <w:sz w:val="30"/>
          <w:szCs w:val="30"/>
          <w:highlight w:val="none"/>
        </w:rPr>
      </w:pPr>
      <w:r>
        <w:rPr>
          <w:rFonts w:ascii="宋体" w:cs="楷体_GB2312"/>
          <w:b/>
          <w:color w:val="auto"/>
          <w:sz w:val="30"/>
          <w:szCs w:val="30"/>
          <w:highlight w:val="none"/>
        </w:rPr>
        <w:br w:type="page"/>
      </w:r>
    </w:p>
    <w:p w14:paraId="17622D68">
      <w:pPr>
        <w:adjustRightInd w:val="0"/>
        <w:snapToGrid w:val="0"/>
        <w:spacing w:line="300" w:lineRule="auto"/>
        <w:textAlignment w:val="top"/>
        <w:rPr>
          <w:rFonts w:ascii="宋体" w:cs="楷体_GB2312"/>
          <w:b/>
          <w:color w:val="auto"/>
          <w:sz w:val="30"/>
          <w:szCs w:val="30"/>
          <w:highlight w:val="none"/>
        </w:rPr>
      </w:pPr>
    </w:p>
    <w:p w14:paraId="12EF217A">
      <w:pPr>
        <w:adjustRightInd w:val="0"/>
        <w:snapToGrid w:val="0"/>
        <w:spacing w:line="300" w:lineRule="auto"/>
        <w:textAlignment w:val="top"/>
        <w:rPr>
          <w:rFonts w:ascii="宋体" w:cs="楷体_GB2312"/>
          <w:b/>
          <w:color w:val="auto"/>
          <w:sz w:val="30"/>
          <w:szCs w:val="30"/>
          <w:highlight w:val="none"/>
        </w:rPr>
      </w:pPr>
    </w:p>
    <w:p w14:paraId="221C89B9">
      <w:pPr>
        <w:spacing w:before="936" w:beforeLines="300" w:after="312" w:afterLines="100" w:line="360" w:lineRule="auto"/>
        <w:rPr>
          <w:rFonts w:ascii="宋体" w:hAnsi="宋体"/>
          <w:b/>
          <w:bCs/>
          <w:color w:val="auto"/>
          <w:spacing w:val="100"/>
          <w:sz w:val="72"/>
          <w:szCs w:val="72"/>
          <w:highlight w:val="none"/>
        </w:rPr>
      </w:pPr>
      <w:r>
        <w:rPr>
          <w:rFonts w:hint="eastAsia" w:ascii="宋体" w:hAnsi="宋体"/>
          <w:b/>
          <w:bCs/>
          <w:color w:val="auto"/>
          <w:spacing w:val="100"/>
          <w:sz w:val="36"/>
          <w:szCs w:val="36"/>
          <w:highlight w:val="none"/>
          <w:u w:val="single"/>
        </w:rPr>
        <w:t xml:space="preserve">                  </w:t>
      </w:r>
      <w:r>
        <w:rPr>
          <w:rFonts w:hint="eastAsia" w:ascii="黑体" w:hAnsi="黑体" w:eastAsia="黑体"/>
          <w:b/>
          <w:color w:val="auto"/>
          <w:spacing w:val="60"/>
          <w:sz w:val="72"/>
          <w:szCs w:val="72"/>
          <w:highlight w:val="none"/>
        </w:rPr>
        <w:t>项目</w:t>
      </w:r>
    </w:p>
    <w:p w14:paraId="32D84EFB">
      <w:pPr>
        <w:spacing w:line="360" w:lineRule="auto"/>
        <w:ind w:left="4350" w:leftChars="1500" w:hanging="1200" w:hangingChars="166"/>
        <w:rPr>
          <w:rFonts w:ascii="黑体" w:hAnsi="黑体" w:eastAsia="黑体"/>
          <w:b/>
          <w:color w:val="auto"/>
          <w:sz w:val="72"/>
          <w:szCs w:val="72"/>
          <w:highlight w:val="none"/>
          <w:u w:val="single"/>
        </w:rPr>
      </w:pPr>
      <w:r>
        <w:rPr>
          <w:rFonts w:hint="eastAsia" w:ascii="黑体" w:hAnsi="黑体" w:eastAsia="黑体"/>
          <w:b/>
          <w:color w:val="auto"/>
          <w:sz w:val="72"/>
          <w:szCs w:val="72"/>
          <w:highlight w:val="none"/>
        </w:rPr>
        <w:t>包</w:t>
      </w:r>
      <w:r>
        <w:rPr>
          <w:rFonts w:hint="eastAsia" w:ascii="黑体" w:hAnsi="黑体" w:eastAsia="黑体"/>
          <w:b/>
          <w:color w:val="auto"/>
          <w:sz w:val="72"/>
          <w:szCs w:val="72"/>
          <w:highlight w:val="none"/>
          <w:u w:val="single"/>
        </w:rPr>
        <w:t xml:space="preserve">  2  </w:t>
      </w:r>
    </w:p>
    <w:p w14:paraId="3FD0C9C6">
      <w:pPr>
        <w:spacing w:line="360" w:lineRule="auto"/>
        <w:ind w:left="4544" w:leftChars="1500" w:hanging="1394" w:hangingChars="166"/>
        <w:rPr>
          <w:rFonts w:ascii="宋体" w:hAnsi="宋体"/>
          <w:color w:val="auto"/>
          <w:sz w:val="84"/>
          <w:szCs w:val="84"/>
          <w:highlight w:val="none"/>
        </w:rPr>
      </w:pPr>
    </w:p>
    <w:p w14:paraId="3982C0B1">
      <w:pPr>
        <w:spacing w:after="624" w:afterLines="200" w:line="360" w:lineRule="auto"/>
        <w:ind w:left="3996" w:leftChars="299" w:hanging="3368" w:hangingChars="466"/>
        <w:jc w:val="center"/>
        <w:rPr>
          <w:rFonts w:ascii="黑体" w:hAnsi="黑体" w:eastAsia="黑体"/>
          <w:b/>
          <w:color w:val="auto"/>
          <w:sz w:val="72"/>
          <w:szCs w:val="72"/>
          <w:highlight w:val="none"/>
          <w:lang w:val="zh-CN"/>
        </w:rPr>
      </w:pPr>
      <w:r>
        <w:rPr>
          <w:rFonts w:hint="eastAsia" w:ascii="黑体" w:hAnsi="黑体" w:eastAsia="黑体"/>
          <w:b/>
          <w:color w:val="auto"/>
          <w:sz w:val="72"/>
          <w:szCs w:val="72"/>
          <w:highlight w:val="none"/>
          <w:lang w:val="zh-CN"/>
        </w:rPr>
        <w:t>投标文件—资格性证明文件</w:t>
      </w:r>
    </w:p>
    <w:p w14:paraId="44258AA3">
      <w:pPr>
        <w:spacing w:before="156" w:beforeLines="50" w:after="156" w:afterLines="50" w:line="360" w:lineRule="auto"/>
        <w:ind w:firstLine="1751" w:firstLineChars="545"/>
        <w:rPr>
          <w:rFonts w:ascii="宋体" w:hAnsi="宋体"/>
          <w:b/>
          <w:color w:val="auto"/>
          <w:sz w:val="32"/>
          <w:szCs w:val="32"/>
          <w:highlight w:val="none"/>
        </w:rPr>
      </w:pPr>
      <w:r>
        <w:rPr>
          <w:rFonts w:hint="eastAsia" w:ascii="宋体" w:hAnsi="宋体"/>
          <w:b/>
          <w:color w:val="auto"/>
          <w:sz w:val="32"/>
          <w:szCs w:val="32"/>
          <w:highlight w:val="none"/>
        </w:rPr>
        <w:t xml:space="preserve">项目编号： </w:t>
      </w:r>
      <w:r>
        <w:rPr>
          <w:rFonts w:hint="eastAsia" w:ascii="宋体" w:hAnsi="宋体"/>
          <w:b/>
          <w:color w:val="auto"/>
          <w:sz w:val="32"/>
          <w:szCs w:val="32"/>
          <w:highlight w:val="none"/>
          <w:u w:val="single"/>
        </w:rPr>
        <w:t xml:space="preserve">                     </w:t>
      </w:r>
    </w:p>
    <w:p w14:paraId="425D733A">
      <w:pPr>
        <w:spacing w:line="360" w:lineRule="auto"/>
        <w:rPr>
          <w:rFonts w:ascii="宋体" w:hAnsi="宋体"/>
          <w:b/>
          <w:color w:val="auto"/>
          <w:sz w:val="36"/>
          <w:szCs w:val="36"/>
          <w:highlight w:val="none"/>
        </w:rPr>
      </w:pPr>
    </w:p>
    <w:p w14:paraId="0A1C7837">
      <w:pPr>
        <w:spacing w:line="360" w:lineRule="auto"/>
        <w:rPr>
          <w:rFonts w:ascii="宋体" w:hAnsi="宋体"/>
          <w:b/>
          <w:color w:val="auto"/>
          <w:sz w:val="36"/>
          <w:szCs w:val="36"/>
          <w:highlight w:val="none"/>
        </w:rPr>
      </w:pPr>
    </w:p>
    <w:p w14:paraId="0DF3F033">
      <w:pPr>
        <w:spacing w:line="360" w:lineRule="auto"/>
        <w:rPr>
          <w:rFonts w:ascii="宋体" w:hAnsi="宋体"/>
          <w:b/>
          <w:color w:val="auto"/>
          <w:sz w:val="36"/>
          <w:szCs w:val="36"/>
          <w:highlight w:val="none"/>
        </w:rPr>
      </w:pPr>
    </w:p>
    <w:p w14:paraId="6565994F">
      <w:pPr>
        <w:spacing w:line="360" w:lineRule="auto"/>
        <w:rPr>
          <w:rFonts w:ascii="宋体" w:hAnsi="宋体"/>
          <w:b/>
          <w:color w:val="auto"/>
          <w:sz w:val="36"/>
          <w:szCs w:val="36"/>
          <w:highlight w:val="none"/>
        </w:rPr>
      </w:pPr>
    </w:p>
    <w:p w14:paraId="0FBB6BB5">
      <w:pPr>
        <w:pStyle w:val="58"/>
        <w:spacing w:before="468" w:beforeLines="150" w:after="468" w:afterLines="150" w:line="360" w:lineRule="auto"/>
        <w:jc w:val="both"/>
        <w:rPr>
          <w:rFonts w:hAnsi="宋体"/>
          <w:color w:val="auto"/>
          <w:sz w:val="28"/>
          <w:szCs w:val="28"/>
          <w:highlight w:val="none"/>
        </w:rPr>
      </w:pPr>
      <w:r>
        <w:rPr>
          <w:rFonts w:hint="eastAsia" w:hAnsi="宋体"/>
          <w:color w:val="auto"/>
          <w:sz w:val="28"/>
          <w:szCs w:val="28"/>
          <w:highlight w:val="none"/>
        </w:rPr>
        <w:t>投标人：</w:t>
      </w:r>
      <w:r>
        <w:rPr>
          <w:rFonts w:hint="eastAsia" w:hAnsi="宋体"/>
          <w:color w:val="auto"/>
          <w:sz w:val="28"/>
          <w:szCs w:val="28"/>
          <w:highlight w:val="none"/>
          <w:u w:val="single"/>
        </w:rPr>
        <w:t xml:space="preserve">                                    </w:t>
      </w:r>
      <w:r>
        <w:rPr>
          <w:rFonts w:hint="eastAsia" w:hAnsi="宋体"/>
          <w:color w:val="auto"/>
          <w:sz w:val="28"/>
          <w:szCs w:val="28"/>
          <w:highlight w:val="none"/>
        </w:rPr>
        <w:t>（加盖电子签章）</w:t>
      </w:r>
    </w:p>
    <w:p w14:paraId="34BA6381">
      <w:pPr>
        <w:pStyle w:val="58"/>
        <w:spacing w:before="468" w:beforeLines="150" w:after="468" w:afterLines="150" w:line="360" w:lineRule="auto"/>
        <w:jc w:val="both"/>
        <w:rPr>
          <w:rFonts w:hAnsi="宋体"/>
          <w:color w:val="auto"/>
          <w:sz w:val="28"/>
          <w:szCs w:val="28"/>
          <w:highlight w:val="none"/>
          <w:u w:val="single"/>
        </w:rPr>
      </w:pPr>
      <w:r>
        <w:rPr>
          <w:rFonts w:hint="eastAsia" w:hAnsi="宋体"/>
          <w:color w:val="auto"/>
          <w:sz w:val="28"/>
          <w:szCs w:val="28"/>
          <w:highlight w:val="none"/>
        </w:rPr>
        <w:t>法定代表人：</w:t>
      </w:r>
      <w:r>
        <w:rPr>
          <w:rFonts w:hAnsi="宋体"/>
          <w:color w:val="auto"/>
          <w:sz w:val="28"/>
          <w:szCs w:val="28"/>
          <w:highlight w:val="none"/>
          <w:u w:val="single"/>
        </w:rPr>
        <w:t xml:space="preserve">                       </w:t>
      </w:r>
      <w:r>
        <w:rPr>
          <w:rFonts w:hint="eastAsia" w:hAnsi="宋体"/>
          <w:color w:val="auto"/>
          <w:sz w:val="28"/>
          <w:szCs w:val="28"/>
          <w:highlight w:val="none"/>
          <w:u w:val="single"/>
        </w:rPr>
        <w:t xml:space="preserve">      </w:t>
      </w:r>
      <w:r>
        <w:rPr>
          <w:rFonts w:hAnsi="宋体"/>
          <w:color w:val="auto"/>
          <w:sz w:val="28"/>
          <w:szCs w:val="28"/>
          <w:highlight w:val="none"/>
          <w:u w:val="single"/>
        </w:rPr>
        <w:t xml:space="preserve">   </w:t>
      </w:r>
      <w:r>
        <w:rPr>
          <w:rFonts w:hint="eastAsia" w:hAnsi="宋体"/>
          <w:color w:val="auto"/>
          <w:sz w:val="28"/>
          <w:szCs w:val="28"/>
          <w:highlight w:val="none"/>
        </w:rPr>
        <w:t>（加盖电子签名或签章）</w:t>
      </w:r>
    </w:p>
    <w:p w14:paraId="735E94D5">
      <w:pPr>
        <w:spacing w:before="468" w:beforeLines="150" w:after="468" w:afterLines="150" w:line="586" w:lineRule="atLeast"/>
        <w:rPr>
          <w:rFonts w:ascii="宋体" w:hAnsi="宋体"/>
          <w:color w:val="auto"/>
          <w:sz w:val="28"/>
          <w:szCs w:val="28"/>
          <w:highlight w:val="none"/>
        </w:rPr>
      </w:pPr>
      <w:r>
        <w:rPr>
          <w:rFonts w:hint="eastAsia" w:ascii="宋体" w:hAnsi="宋体"/>
          <w:color w:val="auto"/>
          <w:sz w:val="28"/>
          <w:szCs w:val="28"/>
          <w:highlight w:val="none"/>
        </w:rPr>
        <w:t>投标日期：</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年</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月</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日</w:t>
      </w:r>
    </w:p>
    <w:p w14:paraId="24B345E9">
      <w:pPr>
        <w:tabs>
          <w:tab w:val="left" w:pos="540"/>
        </w:tabs>
        <w:spacing w:line="440" w:lineRule="exact"/>
        <w:jc w:val="center"/>
        <w:rPr>
          <w:rFonts w:ascii="黑体" w:hAnsi="黑体" w:eastAsia="黑体"/>
          <w:b/>
          <w:color w:val="auto"/>
          <w:sz w:val="30"/>
          <w:szCs w:val="30"/>
          <w:highlight w:val="none"/>
        </w:rPr>
      </w:pPr>
      <w:r>
        <w:rPr>
          <w:rFonts w:ascii="黑体" w:hAnsi="黑体" w:eastAsia="黑体"/>
          <w:b/>
          <w:color w:val="auto"/>
          <w:sz w:val="30"/>
          <w:szCs w:val="30"/>
          <w:highlight w:val="none"/>
        </w:rPr>
        <w:br w:type="page"/>
      </w:r>
    </w:p>
    <w:p w14:paraId="3E7A0510">
      <w:pPr>
        <w:tabs>
          <w:tab w:val="left" w:pos="540"/>
        </w:tabs>
        <w:spacing w:line="440" w:lineRule="exact"/>
        <w:jc w:val="center"/>
        <w:rPr>
          <w:rFonts w:ascii="黑体" w:hAnsi="黑体" w:eastAsia="黑体"/>
          <w:b/>
          <w:color w:val="auto"/>
          <w:sz w:val="30"/>
          <w:szCs w:val="30"/>
          <w:highlight w:val="none"/>
        </w:rPr>
      </w:pPr>
    </w:p>
    <w:p w14:paraId="5D99792C">
      <w:pPr>
        <w:spacing w:line="351" w:lineRule="atLeast"/>
        <w:ind w:left="419"/>
        <w:jc w:val="center"/>
        <w:rPr>
          <w:rFonts w:ascii="黑体" w:eastAsia="黑体"/>
          <w:b/>
          <w:color w:val="auto"/>
          <w:spacing w:val="60"/>
          <w:sz w:val="36"/>
          <w:szCs w:val="36"/>
          <w:highlight w:val="none"/>
        </w:rPr>
      </w:pPr>
      <w:r>
        <w:rPr>
          <w:rFonts w:hint="eastAsia" w:ascii="黑体" w:eastAsia="黑体"/>
          <w:b/>
          <w:color w:val="auto"/>
          <w:spacing w:val="60"/>
          <w:sz w:val="36"/>
          <w:szCs w:val="36"/>
          <w:highlight w:val="none"/>
        </w:rPr>
        <w:t>目录</w:t>
      </w:r>
    </w:p>
    <w:p w14:paraId="6F3655D2">
      <w:pPr>
        <w:spacing w:line="351" w:lineRule="atLeast"/>
        <w:ind w:left="419"/>
        <w:jc w:val="center"/>
        <w:rPr>
          <w:rFonts w:ascii="黑体" w:eastAsia="黑体"/>
          <w:b/>
          <w:color w:val="auto"/>
          <w:spacing w:val="60"/>
          <w:sz w:val="36"/>
          <w:szCs w:val="36"/>
          <w:highlight w:val="none"/>
        </w:rPr>
      </w:pPr>
    </w:p>
    <w:p w14:paraId="6702EB8E">
      <w:pPr>
        <w:snapToGrid w:val="0"/>
        <w:spacing w:line="560" w:lineRule="atLeast"/>
        <w:textAlignment w:val="top"/>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r>
        <w:rPr>
          <w:rFonts w:asciiTheme="minorEastAsia" w:hAnsiTheme="minorEastAsia" w:eastAsiaTheme="minorEastAsia"/>
          <w:color w:val="auto"/>
          <w:sz w:val="24"/>
          <w:szCs w:val="24"/>
          <w:highlight w:val="none"/>
        </w:rPr>
        <w:t>4</w:t>
      </w:r>
      <w:r>
        <w:rPr>
          <w:rFonts w:hint="eastAsia" w:asciiTheme="minorEastAsia" w:hAnsiTheme="minorEastAsia" w:eastAsiaTheme="minorEastAsia"/>
          <w:color w:val="auto"/>
          <w:sz w:val="24"/>
          <w:szCs w:val="24"/>
          <w:highlight w:val="none"/>
        </w:rPr>
        <w:t>、关于资格的声明函</w:t>
      </w:r>
    </w:p>
    <w:p w14:paraId="2709FF5A">
      <w:pPr>
        <w:snapToGrid w:val="0"/>
        <w:spacing w:line="560" w:lineRule="atLeast"/>
        <w:textAlignment w:val="top"/>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15</w:t>
      </w:r>
      <w:r>
        <w:rPr>
          <w:rFonts w:hint="eastAsia" w:asciiTheme="minorEastAsia" w:hAnsiTheme="minorEastAsia" w:eastAsiaTheme="minorEastAsia"/>
          <w:color w:val="auto"/>
          <w:sz w:val="24"/>
          <w:szCs w:val="24"/>
          <w:highlight w:val="none"/>
        </w:rPr>
        <w:t>、《招</w:t>
      </w:r>
      <w:r>
        <w:rPr>
          <w:rFonts w:asciiTheme="minorEastAsia" w:hAnsiTheme="minorEastAsia" w:eastAsiaTheme="minorEastAsia"/>
          <w:color w:val="auto"/>
          <w:sz w:val="24"/>
          <w:szCs w:val="24"/>
          <w:highlight w:val="none"/>
        </w:rPr>
        <w:t>标文件》</w:t>
      </w:r>
      <w:r>
        <w:rPr>
          <w:rFonts w:hint="eastAsia" w:asciiTheme="minorEastAsia" w:hAnsiTheme="minorEastAsia" w:eastAsiaTheme="minorEastAsia"/>
          <w:color w:val="auto"/>
          <w:sz w:val="24"/>
          <w:szCs w:val="24"/>
          <w:highlight w:val="none"/>
        </w:rPr>
        <w:t>第</w:t>
      </w:r>
      <w:r>
        <w:rPr>
          <w:rFonts w:asciiTheme="minorEastAsia" w:hAnsiTheme="minorEastAsia" w:eastAsiaTheme="minorEastAsia"/>
          <w:color w:val="auto"/>
          <w:sz w:val="24"/>
          <w:szCs w:val="24"/>
          <w:highlight w:val="none"/>
        </w:rPr>
        <w:t>一章</w:t>
      </w:r>
      <w:r>
        <w:rPr>
          <w:rFonts w:hint="eastAsia" w:asciiTheme="minorEastAsia" w:hAnsiTheme="minorEastAsia" w:eastAsiaTheme="minorEastAsia"/>
          <w:color w:val="auto"/>
          <w:sz w:val="24"/>
          <w:szCs w:val="24"/>
          <w:highlight w:val="none"/>
        </w:rPr>
        <w:t>“招</w:t>
      </w:r>
      <w:r>
        <w:rPr>
          <w:rFonts w:asciiTheme="minorEastAsia" w:hAnsiTheme="minorEastAsia" w:eastAsiaTheme="minorEastAsia"/>
          <w:color w:val="auto"/>
          <w:sz w:val="24"/>
          <w:szCs w:val="24"/>
          <w:highlight w:val="none"/>
        </w:rPr>
        <w:t>标公</w:t>
      </w:r>
      <w:r>
        <w:rPr>
          <w:rFonts w:hint="eastAsia" w:asciiTheme="minorEastAsia" w:hAnsiTheme="minorEastAsia" w:eastAsiaTheme="minorEastAsia"/>
          <w:color w:val="auto"/>
          <w:sz w:val="24"/>
          <w:szCs w:val="24"/>
          <w:highlight w:val="none"/>
        </w:rPr>
        <w:t>告”</w:t>
      </w:r>
      <w:r>
        <w:rPr>
          <w:rFonts w:asciiTheme="minorEastAsia" w:hAnsiTheme="minorEastAsia" w:eastAsiaTheme="minorEastAsia"/>
          <w:color w:val="auto"/>
          <w:sz w:val="24"/>
          <w:szCs w:val="24"/>
          <w:highlight w:val="none"/>
        </w:rPr>
        <w:t>第二条所要求的</w:t>
      </w:r>
      <w:r>
        <w:rPr>
          <w:rFonts w:hint="eastAsia" w:asciiTheme="minorEastAsia" w:hAnsiTheme="minorEastAsia" w:eastAsiaTheme="minorEastAsia"/>
          <w:color w:val="auto"/>
          <w:sz w:val="24"/>
          <w:szCs w:val="24"/>
          <w:highlight w:val="none"/>
        </w:rPr>
        <w:t>资格性证明文件</w:t>
      </w:r>
    </w:p>
    <w:p w14:paraId="693E85A2">
      <w:pPr>
        <w:snapToGrid w:val="0"/>
        <w:spacing w:line="560" w:lineRule="atLeast"/>
        <w:textAlignment w:val="top"/>
        <w:rPr>
          <w:rFonts w:asciiTheme="minorEastAsia" w:hAnsiTheme="minorEastAsia" w:eastAsiaTheme="minorEastAsia"/>
          <w:color w:val="auto"/>
          <w:sz w:val="24"/>
          <w:szCs w:val="24"/>
          <w:highlight w:val="none"/>
        </w:rPr>
      </w:pPr>
    </w:p>
    <w:p w14:paraId="0839C3DF">
      <w:pPr>
        <w:snapToGrid w:val="0"/>
        <w:spacing w:line="560" w:lineRule="atLeast"/>
        <w:ind w:firstLine="708" w:firstLineChars="295"/>
        <w:textAlignment w:val="top"/>
        <w:rPr>
          <w:rFonts w:ascii="宋体" w:hAnsi="宋体"/>
          <w:color w:val="auto"/>
          <w:sz w:val="24"/>
          <w:highlight w:val="none"/>
        </w:rPr>
      </w:pPr>
      <w:r>
        <w:rPr>
          <w:rFonts w:hint="eastAsia" w:asciiTheme="minorEastAsia" w:hAnsiTheme="minorEastAsia" w:eastAsiaTheme="minorEastAsia"/>
          <w:color w:val="auto"/>
          <w:sz w:val="24"/>
          <w:szCs w:val="24"/>
          <w:highlight w:val="none"/>
        </w:rPr>
        <w:t>1</w:t>
      </w:r>
      <w:r>
        <w:rPr>
          <w:rFonts w:asciiTheme="minorEastAsia" w:hAnsiTheme="minorEastAsia" w:eastAsiaTheme="minorEastAsia"/>
          <w:color w:val="auto"/>
          <w:sz w:val="24"/>
          <w:szCs w:val="24"/>
          <w:highlight w:val="none"/>
        </w:rPr>
        <w:t>5</w:t>
      </w:r>
      <w:r>
        <w:rPr>
          <w:rFonts w:hint="eastAsia" w:asciiTheme="minorEastAsia" w:hAnsiTheme="minorEastAsia" w:eastAsiaTheme="minorEastAsia"/>
          <w:color w:val="auto"/>
          <w:sz w:val="24"/>
          <w:szCs w:val="24"/>
          <w:highlight w:val="none"/>
        </w:rPr>
        <w:t>-1、</w:t>
      </w:r>
      <w:r>
        <w:rPr>
          <w:rFonts w:hint="eastAsia" w:ascii="宋体" w:hAnsi="宋体"/>
          <w:color w:val="auto"/>
          <w:sz w:val="24"/>
          <w:highlight w:val="none"/>
        </w:rPr>
        <w:t>《政府采购法》第二十二条第一款规定的供应商基础性资格的</w:t>
      </w:r>
    </w:p>
    <w:p w14:paraId="1BACBD8D">
      <w:pPr>
        <w:snapToGrid w:val="0"/>
        <w:spacing w:line="560" w:lineRule="atLeast"/>
        <w:ind w:firstLine="708" w:firstLineChars="295"/>
        <w:textAlignment w:val="top"/>
        <w:rPr>
          <w:rFonts w:ascii="宋体" w:hAnsi="宋体"/>
          <w:color w:val="auto"/>
          <w:sz w:val="24"/>
          <w:highlight w:val="none"/>
        </w:rPr>
      </w:pPr>
      <w:r>
        <w:rPr>
          <w:rFonts w:hint="eastAsia" w:ascii="宋体" w:hAnsi="宋体"/>
          <w:color w:val="auto"/>
          <w:sz w:val="24"/>
          <w:highlight w:val="none"/>
        </w:rPr>
        <w:t>承诺函</w:t>
      </w:r>
    </w:p>
    <w:p w14:paraId="6E19BF7D">
      <w:pPr>
        <w:snapToGrid w:val="0"/>
        <w:spacing w:line="560" w:lineRule="atLeast"/>
        <w:ind w:firstLine="708" w:firstLineChars="295"/>
        <w:textAlignment w:val="top"/>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r>
        <w:rPr>
          <w:rFonts w:asciiTheme="minorEastAsia" w:hAnsiTheme="minorEastAsia" w:eastAsiaTheme="minorEastAsia"/>
          <w:color w:val="auto"/>
          <w:sz w:val="24"/>
          <w:szCs w:val="24"/>
          <w:highlight w:val="none"/>
        </w:rPr>
        <w:t>5</w:t>
      </w:r>
      <w:r>
        <w:rPr>
          <w:rFonts w:hint="eastAsia" w:asciiTheme="minorEastAsia" w:hAnsiTheme="minorEastAsia" w:eastAsiaTheme="minorEastAsia"/>
          <w:color w:val="auto"/>
          <w:sz w:val="24"/>
          <w:szCs w:val="24"/>
          <w:highlight w:val="none"/>
        </w:rPr>
        <w:t>-2、供应商负责人控股、设计等相关承诺书</w:t>
      </w:r>
    </w:p>
    <w:p w14:paraId="684605F7">
      <w:pPr>
        <w:snapToGrid w:val="0"/>
        <w:spacing w:line="560" w:lineRule="atLeast"/>
        <w:ind w:firstLine="708" w:firstLineChars="295"/>
        <w:textAlignment w:val="top"/>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r>
        <w:rPr>
          <w:rFonts w:asciiTheme="minorEastAsia" w:hAnsiTheme="minorEastAsia" w:eastAsiaTheme="minorEastAsia"/>
          <w:color w:val="auto"/>
          <w:sz w:val="24"/>
          <w:szCs w:val="24"/>
          <w:highlight w:val="none"/>
        </w:rPr>
        <w:t>5</w:t>
      </w:r>
      <w:r>
        <w:rPr>
          <w:rFonts w:hint="eastAsia" w:asciiTheme="minorEastAsia" w:hAnsiTheme="minorEastAsia" w:eastAsiaTheme="minorEastAsia"/>
          <w:color w:val="auto"/>
          <w:sz w:val="24"/>
          <w:szCs w:val="24"/>
          <w:highlight w:val="none"/>
        </w:rPr>
        <w:t>-3、投标承诺函(替代投标保证金)</w:t>
      </w:r>
    </w:p>
    <w:p w14:paraId="117E1CAB">
      <w:pPr>
        <w:snapToGrid w:val="0"/>
        <w:spacing w:line="560" w:lineRule="atLeast"/>
        <w:ind w:firstLine="708" w:firstLineChars="295"/>
        <w:textAlignment w:val="top"/>
        <w:rPr>
          <w:rFonts w:asciiTheme="minorEastAsia" w:hAnsiTheme="minorEastAsia" w:eastAsiaTheme="minorEastAsia"/>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5</w:t>
      </w:r>
      <w:r>
        <w:rPr>
          <w:rFonts w:hint="eastAsia" w:ascii="宋体" w:hAnsi="宋体"/>
          <w:color w:val="auto"/>
          <w:sz w:val="24"/>
          <w:szCs w:val="24"/>
          <w:highlight w:val="none"/>
        </w:rPr>
        <w:t>-4、</w:t>
      </w:r>
      <w:r>
        <w:rPr>
          <w:rFonts w:hint="eastAsia" w:asciiTheme="minorEastAsia" w:hAnsiTheme="minorEastAsia" w:eastAsiaTheme="minorEastAsia"/>
          <w:color w:val="auto"/>
          <w:sz w:val="24"/>
          <w:szCs w:val="24"/>
          <w:highlight w:val="none"/>
        </w:rPr>
        <w:t>其他资格证明材料</w:t>
      </w:r>
    </w:p>
    <w:p w14:paraId="21DF383F">
      <w:pPr>
        <w:snapToGrid w:val="0"/>
        <w:spacing w:line="560" w:lineRule="atLeast"/>
        <w:ind w:firstLine="708" w:firstLineChars="295"/>
        <w:textAlignment w:val="top"/>
        <w:rPr>
          <w:rFonts w:asciiTheme="minorEastAsia" w:hAnsiTheme="minorEastAsia" w:eastAsiaTheme="minorEastAsia"/>
          <w:color w:val="auto"/>
          <w:sz w:val="24"/>
          <w:szCs w:val="24"/>
          <w:highlight w:val="none"/>
        </w:rPr>
      </w:pPr>
    </w:p>
    <w:p w14:paraId="2C6635AA">
      <w:pPr>
        <w:tabs>
          <w:tab w:val="left" w:pos="540"/>
        </w:tabs>
        <w:spacing w:line="440" w:lineRule="exact"/>
        <w:jc w:val="center"/>
        <w:rPr>
          <w:rFonts w:ascii="黑体" w:hAnsi="黑体" w:eastAsia="黑体"/>
          <w:b/>
          <w:color w:val="auto"/>
          <w:sz w:val="30"/>
          <w:szCs w:val="30"/>
          <w:highlight w:val="none"/>
        </w:rPr>
      </w:pPr>
      <w:r>
        <w:rPr>
          <w:rFonts w:ascii="黑体" w:hAnsi="黑体" w:eastAsia="黑体"/>
          <w:b/>
          <w:color w:val="auto"/>
          <w:sz w:val="30"/>
          <w:szCs w:val="30"/>
          <w:highlight w:val="none"/>
        </w:rPr>
        <w:br w:type="page"/>
      </w:r>
    </w:p>
    <w:p w14:paraId="345283F2">
      <w:pPr>
        <w:tabs>
          <w:tab w:val="left" w:pos="540"/>
        </w:tabs>
        <w:spacing w:line="440" w:lineRule="exact"/>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14、关于资格的声明函</w:t>
      </w:r>
    </w:p>
    <w:p w14:paraId="16848868">
      <w:pPr>
        <w:snapToGrid w:val="0"/>
        <w:spacing w:line="560" w:lineRule="exact"/>
        <w:ind w:firstLine="839"/>
        <w:rPr>
          <w:color w:val="auto"/>
          <w:highlight w:val="none"/>
        </w:rPr>
      </w:pPr>
    </w:p>
    <w:p w14:paraId="23EDAF36">
      <w:pPr>
        <w:snapToGrid w:val="0"/>
        <w:spacing w:line="560" w:lineRule="exact"/>
        <w:rPr>
          <w:rFonts w:ascii="宋体"/>
          <w:color w:val="auto"/>
          <w:sz w:val="24"/>
          <w:highlight w:val="none"/>
        </w:rPr>
      </w:pPr>
      <w:r>
        <w:rPr>
          <w:rFonts w:hint="eastAsia" w:ascii="宋体" w:hAnsi="宋体"/>
          <w:color w:val="auto"/>
          <w:sz w:val="24"/>
          <w:highlight w:val="none"/>
        </w:rPr>
        <w:t>安阳市方正招标采购服务有限责任公司：</w:t>
      </w:r>
    </w:p>
    <w:p w14:paraId="4794A7B3">
      <w:pPr>
        <w:snapToGrid w:val="0"/>
        <w:spacing w:line="560" w:lineRule="exact"/>
        <w:ind w:firstLine="555"/>
        <w:rPr>
          <w:rFonts w:ascii="宋体"/>
          <w:color w:val="auto"/>
          <w:sz w:val="24"/>
          <w:highlight w:val="none"/>
        </w:rPr>
      </w:pPr>
      <w:r>
        <w:rPr>
          <w:rFonts w:hint="eastAsia" w:ascii="宋体" w:hAnsi="宋体"/>
          <w:color w:val="auto"/>
          <w:sz w:val="24"/>
          <w:highlight w:val="none"/>
        </w:rPr>
        <w:t>关于贵方项目编号为</w:t>
      </w:r>
      <w:r>
        <w:rPr>
          <w:rFonts w:ascii="宋体" w:hAnsi="宋体"/>
          <w:color w:val="auto"/>
          <w:sz w:val="24"/>
          <w:highlight w:val="none"/>
          <w:u w:val="single"/>
        </w:rPr>
        <w:t xml:space="preserve">          </w:t>
      </w:r>
      <w:r>
        <w:rPr>
          <w:rFonts w:hint="eastAsia" w:ascii="宋体" w:hAnsi="宋体"/>
          <w:color w:val="auto"/>
          <w:sz w:val="24"/>
          <w:highlight w:val="none"/>
        </w:rPr>
        <w:t>的投标邀请，本签字人愿意参加投标，提供《招标文件》中规定的产品及服务，并声明提交下列文件是准确的、真实的和有效的。</w:t>
      </w:r>
    </w:p>
    <w:p w14:paraId="626ADAC9">
      <w:pPr>
        <w:numPr>
          <w:ilvl w:val="0"/>
          <w:numId w:val="9"/>
        </w:numPr>
        <w:snapToGrid w:val="0"/>
        <w:spacing w:line="560" w:lineRule="exact"/>
        <w:ind w:firstLine="555"/>
        <w:rPr>
          <w:rFonts w:ascii="宋体" w:hAnsi="宋体"/>
          <w:color w:val="auto"/>
          <w:sz w:val="24"/>
          <w:highlight w:val="none"/>
        </w:rPr>
      </w:pPr>
      <w:r>
        <w:rPr>
          <w:rFonts w:hint="eastAsia" w:ascii="宋体" w:hAnsi="宋体"/>
          <w:color w:val="auto"/>
          <w:sz w:val="24"/>
          <w:highlight w:val="none"/>
        </w:rPr>
        <w:t>《招标文件》第一章“招标公告”第二条所要求的资格性证明文件（证件或证明资料或承诺）</w:t>
      </w:r>
    </w:p>
    <w:p w14:paraId="5D38A425">
      <w:pPr>
        <w:snapToGrid w:val="0"/>
        <w:spacing w:line="560" w:lineRule="exact"/>
        <w:ind w:firstLine="555"/>
        <w:rPr>
          <w:rFonts w:asci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采购项目中必须的其他证件。</w:t>
      </w:r>
    </w:p>
    <w:p w14:paraId="31EC5C56">
      <w:pPr>
        <w:snapToGrid w:val="0"/>
        <w:spacing w:line="560" w:lineRule="exact"/>
        <w:ind w:firstLine="555"/>
        <w:rPr>
          <w:rFonts w:ascii="宋体"/>
          <w:color w:val="auto"/>
          <w:sz w:val="24"/>
          <w:highlight w:val="none"/>
        </w:rPr>
      </w:pPr>
      <w:r>
        <w:rPr>
          <w:rFonts w:hint="eastAsia" w:ascii="宋体" w:hAnsi="宋体"/>
          <w:color w:val="auto"/>
          <w:sz w:val="24"/>
          <w:highlight w:val="none"/>
        </w:rPr>
        <w:t>3</w:t>
      </w:r>
      <w:r>
        <w:rPr>
          <w:rFonts w:ascii="宋体" w:hAnsi="宋体"/>
          <w:color w:val="auto"/>
          <w:sz w:val="24"/>
          <w:highlight w:val="none"/>
        </w:rPr>
        <w:t xml:space="preserve">. </w:t>
      </w:r>
      <w:r>
        <w:rPr>
          <w:rFonts w:hint="eastAsia" w:ascii="宋体" w:hAnsi="宋体"/>
          <w:color w:val="auto"/>
          <w:sz w:val="24"/>
          <w:highlight w:val="none"/>
        </w:rPr>
        <w:t>本签字人确认资格文件中的说明是真实的、准确的。</w:t>
      </w:r>
    </w:p>
    <w:p w14:paraId="61F8025F">
      <w:pPr>
        <w:snapToGrid w:val="0"/>
        <w:spacing w:line="560" w:lineRule="exact"/>
        <w:ind w:firstLine="555"/>
        <w:rPr>
          <w:rFonts w:ascii="宋体"/>
          <w:color w:val="auto"/>
          <w:sz w:val="24"/>
          <w:highlight w:val="none"/>
        </w:rPr>
      </w:pPr>
    </w:p>
    <w:p w14:paraId="25BCA489">
      <w:pPr>
        <w:snapToGrid w:val="0"/>
        <w:spacing w:line="560" w:lineRule="exact"/>
        <w:ind w:firstLine="555"/>
        <w:rPr>
          <w:rFonts w:ascii="宋体"/>
          <w:color w:val="auto"/>
          <w:sz w:val="24"/>
          <w:highlight w:val="none"/>
        </w:rPr>
      </w:pPr>
    </w:p>
    <w:p w14:paraId="578F540C">
      <w:pPr>
        <w:snapToGrid w:val="0"/>
        <w:spacing w:line="560" w:lineRule="exact"/>
        <w:ind w:firstLine="555"/>
        <w:rPr>
          <w:rFonts w:ascii="宋体"/>
          <w:color w:val="auto"/>
          <w:sz w:val="24"/>
          <w:highlight w:val="none"/>
        </w:rPr>
      </w:pPr>
    </w:p>
    <w:p w14:paraId="4D0DE40F">
      <w:pPr>
        <w:snapToGrid w:val="0"/>
        <w:spacing w:line="560" w:lineRule="exact"/>
        <w:ind w:firstLine="555"/>
        <w:rPr>
          <w:rFonts w:ascii="宋体"/>
          <w:color w:val="auto"/>
          <w:sz w:val="24"/>
          <w:highlight w:val="none"/>
        </w:rPr>
      </w:pPr>
    </w:p>
    <w:p w14:paraId="0201829E">
      <w:pPr>
        <w:snapToGrid w:val="0"/>
        <w:spacing w:line="560" w:lineRule="exact"/>
        <w:ind w:firstLine="555"/>
        <w:rPr>
          <w:rFonts w:ascii="宋体"/>
          <w:color w:val="auto"/>
          <w:sz w:val="24"/>
          <w:highlight w:val="none"/>
        </w:rPr>
      </w:pPr>
    </w:p>
    <w:p w14:paraId="5D3C14DC">
      <w:pPr>
        <w:widowControl w:val="0"/>
        <w:tabs>
          <w:tab w:val="left" w:pos="9365"/>
        </w:tabs>
        <w:snapToGrid w:val="0"/>
        <w:spacing w:after="56" w:line="560" w:lineRule="exact"/>
        <w:ind w:right="85"/>
        <w:jc w:val="left"/>
        <w:textAlignment w:val="top"/>
        <w:rPr>
          <w:color w:val="auto"/>
          <w:sz w:val="24"/>
          <w:szCs w:val="24"/>
          <w:highlight w:val="none"/>
        </w:rPr>
      </w:pPr>
      <w:r>
        <w:rPr>
          <w:rFonts w:hint="eastAsia" w:ascii="宋体" w:hAnsi="宋体"/>
          <w:color w:val="auto"/>
          <w:sz w:val="24"/>
          <w:highlight w:val="none"/>
        </w:rPr>
        <w:t>投标人</w:t>
      </w:r>
      <w:r>
        <w:rPr>
          <w:rFonts w:hint="eastAsia"/>
          <w:color w:val="auto"/>
          <w:sz w:val="24"/>
          <w:szCs w:val="24"/>
          <w:highlight w:val="none"/>
        </w:rPr>
        <w:t>（电子签</w:t>
      </w:r>
      <w:r>
        <w:rPr>
          <w:rFonts w:hint="eastAsia" w:ascii="宋体" w:hAnsi="宋体"/>
          <w:color w:val="auto"/>
          <w:sz w:val="24"/>
          <w:szCs w:val="24"/>
          <w:highlight w:val="none"/>
        </w:rPr>
        <w:t>章</w:t>
      </w:r>
      <w:r>
        <w:rPr>
          <w:rFonts w:hint="eastAsia"/>
          <w:color w:val="auto"/>
          <w:sz w:val="24"/>
          <w:szCs w:val="24"/>
          <w:highlight w:val="none"/>
        </w:rPr>
        <w:t>）：</w:t>
      </w:r>
    </w:p>
    <w:p w14:paraId="24303AA6">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法定代表人（电子签名或签章）：</w:t>
      </w:r>
    </w:p>
    <w:p w14:paraId="65BD634D">
      <w:pPr>
        <w:widowControl w:val="0"/>
        <w:tabs>
          <w:tab w:val="left" w:pos="9365"/>
        </w:tabs>
        <w:snapToGrid w:val="0"/>
        <w:spacing w:after="56" w:line="560" w:lineRule="exact"/>
        <w:ind w:right="85"/>
        <w:jc w:val="left"/>
        <w:textAlignment w:val="top"/>
        <w:rPr>
          <w:rFonts w:ascii="宋体" w:hAnsi="宋体" w:cs="楷体_GB2312"/>
          <w:color w:val="auto"/>
          <w:sz w:val="24"/>
          <w:highlight w:val="none"/>
          <w:lang w:val="zh-CN"/>
        </w:rPr>
      </w:pPr>
      <w:r>
        <w:rPr>
          <w:rFonts w:hint="eastAsia" w:ascii="宋体" w:hAnsi="宋体"/>
          <w:color w:val="auto"/>
          <w:spacing w:val="8"/>
          <w:sz w:val="24"/>
          <w:highlight w:val="none"/>
        </w:rPr>
        <w:t>日期</w:t>
      </w:r>
      <w:r>
        <w:rPr>
          <w:rFonts w:ascii="宋体" w:hAnsi="宋体"/>
          <w:color w:val="auto"/>
          <w:spacing w:val="8"/>
          <w:sz w:val="24"/>
          <w:highlight w:val="none"/>
        </w:rPr>
        <w:t xml:space="preserve"> </w:t>
      </w:r>
      <w:r>
        <w:rPr>
          <w:rFonts w:hint="eastAsia" w:ascii="宋体" w:hAnsi="宋体"/>
          <w:color w:val="auto"/>
          <w:spacing w:val="8"/>
          <w:sz w:val="24"/>
          <w:highlight w:val="none"/>
        </w:rPr>
        <w:t>：</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14:paraId="2DF904A1">
      <w:pPr>
        <w:snapToGrid w:val="0"/>
        <w:spacing w:line="560" w:lineRule="exact"/>
        <w:rPr>
          <w:rFonts w:ascii="宋体"/>
          <w:color w:val="auto"/>
          <w:sz w:val="24"/>
          <w:highlight w:val="none"/>
        </w:rPr>
      </w:pPr>
    </w:p>
    <w:p w14:paraId="6C2B9743">
      <w:pPr>
        <w:snapToGrid w:val="0"/>
        <w:spacing w:line="560" w:lineRule="exact"/>
        <w:ind w:firstLine="555"/>
        <w:rPr>
          <w:rFonts w:ascii="宋体" w:hAnsi="宋体"/>
          <w:color w:val="auto"/>
          <w:sz w:val="24"/>
          <w:highlight w:val="none"/>
        </w:rPr>
      </w:pPr>
    </w:p>
    <w:p w14:paraId="53ABFA0B">
      <w:pPr>
        <w:widowControl w:val="0"/>
        <w:tabs>
          <w:tab w:val="left" w:pos="9365"/>
        </w:tabs>
        <w:snapToGrid w:val="0"/>
        <w:spacing w:after="56" w:line="560" w:lineRule="exact"/>
        <w:ind w:right="85"/>
        <w:jc w:val="center"/>
        <w:textAlignment w:val="top"/>
        <w:rPr>
          <w:rFonts w:ascii="宋体" w:hAnsi="宋体"/>
          <w:color w:val="auto"/>
          <w:sz w:val="24"/>
          <w:highlight w:val="none"/>
        </w:rPr>
      </w:pPr>
      <w:r>
        <w:rPr>
          <w:rFonts w:ascii="宋体" w:hAnsi="宋体"/>
          <w:color w:val="auto"/>
          <w:sz w:val="24"/>
          <w:highlight w:val="none"/>
        </w:rPr>
        <w:t xml:space="preserve">   </w:t>
      </w:r>
    </w:p>
    <w:p w14:paraId="3CCDC076">
      <w:pPr>
        <w:widowControl w:val="0"/>
        <w:tabs>
          <w:tab w:val="left" w:pos="9365"/>
        </w:tabs>
        <w:snapToGrid w:val="0"/>
        <w:spacing w:after="56" w:line="560" w:lineRule="exact"/>
        <w:ind w:right="85"/>
        <w:jc w:val="center"/>
        <w:textAlignment w:val="top"/>
        <w:rPr>
          <w:rFonts w:ascii="宋体" w:hAnsi="宋体"/>
          <w:color w:val="auto"/>
          <w:sz w:val="24"/>
          <w:highlight w:val="none"/>
        </w:rPr>
      </w:pPr>
    </w:p>
    <w:p w14:paraId="268D7463">
      <w:pPr>
        <w:widowControl w:val="0"/>
        <w:tabs>
          <w:tab w:val="left" w:pos="9365"/>
        </w:tabs>
        <w:snapToGrid w:val="0"/>
        <w:spacing w:after="56" w:line="560" w:lineRule="exact"/>
        <w:ind w:right="85"/>
        <w:jc w:val="center"/>
        <w:textAlignment w:val="top"/>
        <w:rPr>
          <w:rFonts w:ascii="宋体" w:hAnsi="宋体"/>
          <w:color w:val="auto"/>
          <w:sz w:val="24"/>
          <w:highlight w:val="none"/>
        </w:rPr>
      </w:pPr>
    </w:p>
    <w:p w14:paraId="52AA4924">
      <w:pPr>
        <w:widowControl w:val="0"/>
        <w:tabs>
          <w:tab w:val="left" w:pos="9365"/>
        </w:tabs>
        <w:snapToGrid w:val="0"/>
        <w:spacing w:after="56" w:line="560" w:lineRule="exact"/>
        <w:ind w:right="85"/>
        <w:jc w:val="center"/>
        <w:textAlignment w:val="top"/>
        <w:rPr>
          <w:rFonts w:ascii="宋体" w:hAnsi="宋体"/>
          <w:color w:val="auto"/>
          <w:sz w:val="24"/>
          <w:highlight w:val="none"/>
        </w:rPr>
      </w:pPr>
    </w:p>
    <w:p w14:paraId="298A0001">
      <w:pPr>
        <w:widowControl w:val="0"/>
        <w:tabs>
          <w:tab w:val="left" w:pos="9365"/>
        </w:tabs>
        <w:snapToGrid w:val="0"/>
        <w:spacing w:after="56" w:line="560" w:lineRule="exact"/>
        <w:ind w:right="85"/>
        <w:jc w:val="center"/>
        <w:textAlignment w:val="top"/>
        <w:rPr>
          <w:rFonts w:ascii="宋体" w:hAnsi="宋体"/>
          <w:color w:val="auto"/>
          <w:sz w:val="24"/>
          <w:highlight w:val="none"/>
        </w:rPr>
      </w:pPr>
    </w:p>
    <w:p w14:paraId="7FF8FB11">
      <w:pPr>
        <w:autoSpaceDE w:val="0"/>
        <w:autoSpaceDN w:val="0"/>
        <w:adjustRightInd w:val="0"/>
        <w:spacing w:line="360" w:lineRule="auto"/>
        <w:rPr>
          <w:rFonts w:ascii="黑体" w:hAnsi="黑体" w:eastAsia="黑体"/>
          <w:b/>
          <w:color w:val="auto"/>
          <w:sz w:val="30"/>
          <w:szCs w:val="30"/>
          <w:highlight w:val="none"/>
        </w:rPr>
      </w:pPr>
    </w:p>
    <w:p w14:paraId="21E3EEE6">
      <w:pPr>
        <w:widowControl w:val="0"/>
        <w:tabs>
          <w:tab w:val="left" w:pos="9365"/>
        </w:tabs>
        <w:snapToGrid w:val="0"/>
        <w:spacing w:after="56" w:line="560" w:lineRule="exact"/>
        <w:ind w:right="85"/>
        <w:jc w:val="left"/>
        <w:textAlignment w:val="top"/>
        <w:rPr>
          <w:rFonts w:ascii="黑体" w:hAnsi="黑体" w:eastAsia="黑体"/>
          <w:b/>
          <w:color w:val="auto"/>
          <w:sz w:val="30"/>
          <w:szCs w:val="30"/>
          <w:highlight w:val="none"/>
        </w:rPr>
      </w:pPr>
      <w:r>
        <w:rPr>
          <w:rFonts w:ascii="黑体" w:hAnsi="黑体" w:eastAsia="黑体"/>
          <w:b/>
          <w:color w:val="auto"/>
          <w:sz w:val="30"/>
          <w:szCs w:val="30"/>
          <w:highlight w:val="none"/>
        </w:rPr>
        <w:t>15</w:t>
      </w:r>
      <w:r>
        <w:rPr>
          <w:rFonts w:hint="eastAsia" w:ascii="黑体" w:hAnsi="黑体" w:eastAsia="黑体"/>
          <w:b/>
          <w:color w:val="auto"/>
          <w:sz w:val="30"/>
          <w:szCs w:val="30"/>
          <w:highlight w:val="none"/>
        </w:rPr>
        <w:t>、《招</w:t>
      </w:r>
      <w:r>
        <w:rPr>
          <w:rFonts w:ascii="黑体" w:hAnsi="黑体" w:eastAsia="黑体"/>
          <w:b/>
          <w:color w:val="auto"/>
          <w:sz w:val="30"/>
          <w:szCs w:val="30"/>
          <w:highlight w:val="none"/>
        </w:rPr>
        <w:t>标文件》</w:t>
      </w:r>
      <w:r>
        <w:rPr>
          <w:rFonts w:hint="eastAsia" w:ascii="黑体" w:hAnsi="黑体" w:eastAsia="黑体"/>
          <w:b/>
          <w:color w:val="auto"/>
          <w:sz w:val="30"/>
          <w:szCs w:val="30"/>
          <w:highlight w:val="none"/>
        </w:rPr>
        <w:t>第</w:t>
      </w:r>
      <w:r>
        <w:rPr>
          <w:rFonts w:ascii="黑体" w:hAnsi="黑体" w:eastAsia="黑体"/>
          <w:b/>
          <w:color w:val="auto"/>
          <w:sz w:val="30"/>
          <w:szCs w:val="30"/>
          <w:highlight w:val="none"/>
        </w:rPr>
        <w:t>一章</w:t>
      </w:r>
      <w:r>
        <w:rPr>
          <w:rFonts w:hint="eastAsia" w:ascii="黑体" w:hAnsi="黑体" w:eastAsia="黑体"/>
          <w:b/>
          <w:color w:val="auto"/>
          <w:sz w:val="30"/>
          <w:szCs w:val="30"/>
          <w:highlight w:val="none"/>
        </w:rPr>
        <w:t>“招</w:t>
      </w:r>
      <w:r>
        <w:rPr>
          <w:rFonts w:ascii="黑体" w:hAnsi="黑体" w:eastAsia="黑体"/>
          <w:b/>
          <w:color w:val="auto"/>
          <w:sz w:val="30"/>
          <w:szCs w:val="30"/>
          <w:highlight w:val="none"/>
        </w:rPr>
        <w:t>标公</w:t>
      </w:r>
      <w:r>
        <w:rPr>
          <w:rFonts w:hint="eastAsia" w:ascii="黑体" w:hAnsi="黑体" w:eastAsia="黑体"/>
          <w:b/>
          <w:color w:val="auto"/>
          <w:sz w:val="30"/>
          <w:szCs w:val="30"/>
          <w:highlight w:val="none"/>
        </w:rPr>
        <w:t>告”</w:t>
      </w:r>
      <w:r>
        <w:rPr>
          <w:rFonts w:ascii="黑体" w:hAnsi="黑体" w:eastAsia="黑体"/>
          <w:b/>
          <w:color w:val="auto"/>
          <w:sz w:val="30"/>
          <w:szCs w:val="30"/>
          <w:highlight w:val="none"/>
        </w:rPr>
        <w:t>第二条所要求的</w:t>
      </w:r>
      <w:r>
        <w:rPr>
          <w:rFonts w:hint="eastAsia" w:ascii="黑体" w:hAnsi="黑体" w:eastAsia="黑体"/>
          <w:b/>
          <w:color w:val="auto"/>
          <w:sz w:val="30"/>
          <w:szCs w:val="30"/>
          <w:highlight w:val="none"/>
        </w:rPr>
        <w:t>资格性证明文件</w:t>
      </w:r>
    </w:p>
    <w:p w14:paraId="79350AAC">
      <w:pPr>
        <w:widowControl w:val="0"/>
        <w:tabs>
          <w:tab w:val="left" w:pos="9365"/>
        </w:tabs>
        <w:snapToGrid w:val="0"/>
        <w:spacing w:after="56" w:line="560" w:lineRule="exact"/>
        <w:ind w:right="85"/>
        <w:jc w:val="left"/>
        <w:textAlignment w:val="top"/>
        <w:rPr>
          <w:rFonts w:ascii="宋体" w:hAnsi="宋体" w:cs="楷体_GB2312"/>
          <w:color w:val="auto"/>
          <w:sz w:val="24"/>
          <w:highlight w:val="none"/>
          <w:lang w:val="zh-CN"/>
        </w:rPr>
      </w:pPr>
    </w:p>
    <w:p w14:paraId="29FE5DD3">
      <w:pPr>
        <w:widowControl w:val="0"/>
        <w:tabs>
          <w:tab w:val="left" w:pos="9365"/>
        </w:tabs>
        <w:snapToGrid w:val="0"/>
        <w:spacing w:after="56" w:line="560" w:lineRule="exact"/>
        <w:ind w:right="85"/>
        <w:jc w:val="center"/>
        <w:textAlignment w:val="top"/>
        <w:rPr>
          <w:rFonts w:ascii="黑体" w:hAnsi="黑体" w:eastAsia="黑体"/>
          <w:b/>
          <w:color w:val="auto"/>
          <w:sz w:val="30"/>
          <w:szCs w:val="30"/>
          <w:highlight w:val="none"/>
        </w:rPr>
      </w:pPr>
      <w:r>
        <w:rPr>
          <w:rFonts w:hint="eastAsia" w:ascii="黑体" w:hAnsi="黑体" w:eastAsia="黑体"/>
          <w:b/>
          <w:color w:val="auto"/>
          <w:sz w:val="30"/>
          <w:szCs w:val="30"/>
          <w:highlight w:val="none"/>
        </w:rPr>
        <w:t>1</w:t>
      </w:r>
      <w:r>
        <w:rPr>
          <w:rFonts w:ascii="黑体" w:hAnsi="黑体" w:eastAsia="黑体"/>
          <w:b/>
          <w:color w:val="auto"/>
          <w:sz w:val="30"/>
          <w:szCs w:val="30"/>
          <w:highlight w:val="none"/>
        </w:rPr>
        <w:t>5</w:t>
      </w:r>
      <w:r>
        <w:rPr>
          <w:rFonts w:hint="eastAsia" w:ascii="黑体" w:hAnsi="黑体" w:eastAsia="黑体"/>
          <w:b/>
          <w:color w:val="auto"/>
          <w:sz w:val="30"/>
          <w:szCs w:val="30"/>
          <w:highlight w:val="none"/>
        </w:rPr>
        <w:t>-1、《政府采购法》第二十二条第一款规定的供</w:t>
      </w:r>
      <w:r>
        <w:rPr>
          <w:rFonts w:ascii="黑体" w:hAnsi="黑体" w:eastAsia="黑体"/>
          <w:b/>
          <w:color w:val="auto"/>
          <w:sz w:val="30"/>
          <w:szCs w:val="30"/>
          <w:highlight w:val="none"/>
        </w:rPr>
        <w:t>应商基础性资</w:t>
      </w:r>
      <w:r>
        <w:rPr>
          <w:rFonts w:hint="eastAsia" w:ascii="黑体" w:hAnsi="黑体" w:eastAsia="黑体"/>
          <w:b/>
          <w:color w:val="auto"/>
          <w:sz w:val="30"/>
          <w:szCs w:val="30"/>
          <w:highlight w:val="none"/>
        </w:rPr>
        <w:t>格</w:t>
      </w:r>
      <w:r>
        <w:rPr>
          <w:rFonts w:ascii="黑体" w:hAnsi="黑体" w:eastAsia="黑体"/>
          <w:b/>
          <w:color w:val="auto"/>
          <w:sz w:val="30"/>
          <w:szCs w:val="30"/>
          <w:highlight w:val="none"/>
        </w:rPr>
        <w:t>的</w:t>
      </w:r>
    </w:p>
    <w:p w14:paraId="2430DA05">
      <w:pPr>
        <w:widowControl w:val="0"/>
        <w:tabs>
          <w:tab w:val="left" w:pos="9365"/>
        </w:tabs>
        <w:snapToGrid w:val="0"/>
        <w:spacing w:after="56" w:line="560" w:lineRule="exact"/>
        <w:ind w:right="85"/>
        <w:jc w:val="center"/>
        <w:textAlignment w:val="top"/>
        <w:rPr>
          <w:rFonts w:ascii="黑体" w:hAnsi="黑体" w:eastAsia="黑体"/>
          <w:b/>
          <w:color w:val="auto"/>
          <w:sz w:val="30"/>
          <w:szCs w:val="30"/>
          <w:highlight w:val="none"/>
        </w:rPr>
      </w:pPr>
      <w:r>
        <w:rPr>
          <w:rFonts w:hint="eastAsia" w:ascii="黑体" w:hAnsi="黑体" w:eastAsia="黑体"/>
          <w:b/>
          <w:color w:val="auto"/>
          <w:sz w:val="30"/>
          <w:szCs w:val="30"/>
          <w:highlight w:val="none"/>
        </w:rPr>
        <w:t>承诺函</w:t>
      </w:r>
    </w:p>
    <w:p w14:paraId="65044521">
      <w:pPr>
        <w:tabs>
          <w:tab w:val="left" w:pos="9365"/>
        </w:tabs>
        <w:spacing w:before="57" w:after="57" w:line="586" w:lineRule="atLeast"/>
        <w:ind w:right="85" w:firstLine="480" w:firstLineChars="200"/>
        <w:jc w:val="left"/>
        <w:textAlignment w:val="top"/>
        <w:rPr>
          <w:rFonts w:ascii="宋体" w:hAnsi="宋体"/>
          <w:color w:val="auto"/>
          <w:sz w:val="24"/>
          <w:szCs w:val="24"/>
          <w:highlight w:val="none"/>
        </w:rPr>
      </w:pPr>
    </w:p>
    <w:p w14:paraId="23E6F4B2">
      <w:pPr>
        <w:tabs>
          <w:tab w:val="left" w:pos="9365"/>
        </w:tabs>
        <w:spacing w:before="57" w:after="57" w:line="586" w:lineRule="atLeast"/>
        <w:ind w:right="85" w:firstLine="480" w:firstLineChars="200"/>
        <w:jc w:val="left"/>
        <w:textAlignment w:val="top"/>
        <w:rPr>
          <w:rFonts w:ascii="宋体" w:hAnsi="宋体"/>
          <w:color w:val="auto"/>
          <w:sz w:val="24"/>
          <w:szCs w:val="24"/>
          <w:highlight w:val="none"/>
        </w:rPr>
      </w:pPr>
      <w:r>
        <w:rPr>
          <w:rFonts w:hint="eastAsia" w:ascii="宋体" w:hAnsi="宋体"/>
          <w:color w:val="auto"/>
          <w:sz w:val="24"/>
          <w:szCs w:val="24"/>
          <w:highlight w:val="none"/>
        </w:rPr>
        <w:t>一</w:t>
      </w:r>
      <w:r>
        <w:rPr>
          <w:rFonts w:ascii="宋体" w:hAnsi="宋体"/>
          <w:color w:val="auto"/>
          <w:sz w:val="24"/>
          <w:szCs w:val="24"/>
          <w:highlight w:val="none"/>
        </w:rPr>
        <w:t>、</w:t>
      </w:r>
      <w:r>
        <w:rPr>
          <w:rFonts w:hint="eastAsia" w:ascii="宋体" w:hAnsi="宋体"/>
          <w:color w:val="auto"/>
          <w:sz w:val="24"/>
          <w:szCs w:val="24"/>
          <w:highlight w:val="none"/>
        </w:rPr>
        <w:t>我公司郑重承诺，我公司符合《政府采购法》第二十二条第一款规定的供应商基础性资格条件，具体如下：</w:t>
      </w:r>
    </w:p>
    <w:p w14:paraId="15748F72">
      <w:pPr>
        <w:tabs>
          <w:tab w:val="left" w:pos="9365"/>
        </w:tabs>
        <w:spacing w:before="57" w:after="57" w:line="586" w:lineRule="atLeast"/>
        <w:ind w:right="85" w:firstLine="424" w:firstLineChars="177"/>
        <w:jc w:val="left"/>
        <w:textAlignment w:val="top"/>
        <w:rPr>
          <w:rFonts w:ascii="宋体" w:hAnsi="宋体"/>
          <w:color w:val="auto"/>
          <w:sz w:val="24"/>
          <w:szCs w:val="24"/>
          <w:highlight w:val="none"/>
        </w:rPr>
      </w:pPr>
      <w:r>
        <w:rPr>
          <w:rFonts w:hint="eastAsia" w:ascii="宋体" w:hAnsi="宋体"/>
          <w:color w:val="auto"/>
          <w:sz w:val="24"/>
          <w:szCs w:val="24"/>
          <w:highlight w:val="none"/>
        </w:rPr>
        <w:t>1、我公司承诺具有独立承担民事责任能力；</w:t>
      </w:r>
    </w:p>
    <w:p w14:paraId="6E8E05BA">
      <w:pPr>
        <w:tabs>
          <w:tab w:val="left" w:pos="9365"/>
        </w:tabs>
        <w:spacing w:before="57" w:after="57" w:line="586" w:lineRule="atLeast"/>
        <w:ind w:right="85" w:firstLine="424" w:firstLineChars="177"/>
        <w:jc w:val="left"/>
        <w:textAlignment w:val="top"/>
        <w:rPr>
          <w:rFonts w:ascii="宋体" w:hAnsi="宋体"/>
          <w:color w:val="auto"/>
          <w:sz w:val="24"/>
          <w:szCs w:val="24"/>
          <w:highlight w:val="none"/>
        </w:rPr>
      </w:pPr>
      <w:r>
        <w:rPr>
          <w:rFonts w:hint="eastAsia" w:ascii="宋体" w:hAnsi="宋体"/>
          <w:color w:val="auto"/>
          <w:sz w:val="24"/>
          <w:szCs w:val="24"/>
          <w:highlight w:val="none"/>
        </w:rPr>
        <w:t>2、我公司承诺具有良好的商业信誉和健全的财务会计制度；</w:t>
      </w:r>
    </w:p>
    <w:p w14:paraId="45AF0DF9">
      <w:pPr>
        <w:tabs>
          <w:tab w:val="left" w:pos="9365"/>
        </w:tabs>
        <w:spacing w:before="57" w:after="57" w:line="586" w:lineRule="atLeast"/>
        <w:ind w:right="85" w:firstLine="424" w:firstLineChars="177"/>
        <w:jc w:val="left"/>
        <w:textAlignment w:val="top"/>
        <w:rPr>
          <w:rFonts w:ascii="宋体" w:hAnsi="宋体"/>
          <w:color w:val="auto"/>
          <w:sz w:val="24"/>
          <w:szCs w:val="24"/>
          <w:highlight w:val="none"/>
        </w:rPr>
      </w:pPr>
      <w:r>
        <w:rPr>
          <w:rFonts w:hint="eastAsia" w:ascii="宋体" w:hAnsi="宋体"/>
          <w:color w:val="auto"/>
          <w:sz w:val="24"/>
          <w:szCs w:val="24"/>
          <w:highlight w:val="none"/>
        </w:rPr>
        <w:t>3、我公司承诺具备履行合同所必需的设备和专业技术能力；</w:t>
      </w:r>
    </w:p>
    <w:p w14:paraId="3C26ECDB">
      <w:pPr>
        <w:tabs>
          <w:tab w:val="left" w:pos="9365"/>
        </w:tabs>
        <w:spacing w:before="57" w:after="57" w:line="586" w:lineRule="atLeast"/>
        <w:ind w:right="85" w:firstLine="424" w:firstLineChars="177"/>
        <w:jc w:val="left"/>
        <w:textAlignment w:val="top"/>
        <w:rPr>
          <w:rFonts w:ascii="宋体" w:hAnsi="宋体"/>
          <w:color w:val="auto"/>
          <w:sz w:val="24"/>
          <w:szCs w:val="24"/>
          <w:highlight w:val="none"/>
        </w:rPr>
      </w:pPr>
      <w:r>
        <w:rPr>
          <w:rFonts w:hint="eastAsia" w:ascii="宋体" w:hAnsi="宋体"/>
          <w:color w:val="auto"/>
          <w:sz w:val="24"/>
          <w:szCs w:val="24"/>
          <w:highlight w:val="none"/>
        </w:rPr>
        <w:t>4、我公司承诺具有依法缴纳税收和社会保障资金的良好记录；</w:t>
      </w:r>
    </w:p>
    <w:p w14:paraId="06F4CCEA">
      <w:pPr>
        <w:tabs>
          <w:tab w:val="left" w:pos="9365"/>
        </w:tabs>
        <w:spacing w:before="57" w:after="57" w:line="586" w:lineRule="atLeast"/>
        <w:ind w:right="85" w:firstLine="424" w:firstLineChars="177"/>
        <w:jc w:val="left"/>
        <w:textAlignment w:val="top"/>
        <w:rPr>
          <w:rFonts w:ascii="宋体" w:hAnsi="宋体"/>
          <w:color w:val="auto"/>
          <w:sz w:val="24"/>
          <w:szCs w:val="24"/>
          <w:highlight w:val="none"/>
        </w:rPr>
      </w:pPr>
      <w:r>
        <w:rPr>
          <w:rFonts w:hint="eastAsia" w:ascii="宋体" w:hAnsi="宋体"/>
          <w:color w:val="auto"/>
          <w:sz w:val="24"/>
          <w:szCs w:val="24"/>
          <w:highlight w:val="none"/>
        </w:rPr>
        <w:t>5、我公司承诺在参加政府采购活动前三年内，在经营活动中没有重大违法记录。</w:t>
      </w:r>
    </w:p>
    <w:p w14:paraId="2FE4798F">
      <w:pPr>
        <w:tabs>
          <w:tab w:val="left" w:pos="9365"/>
        </w:tabs>
        <w:spacing w:before="156" w:beforeLines="50" w:line="240" w:lineRule="auto"/>
        <w:ind w:right="85"/>
        <w:jc w:val="left"/>
        <w:textAlignment w:val="top"/>
        <w:rPr>
          <w:rFonts w:ascii="宋体"/>
          <w:color w:val="auto"/>
          <w:sz w:val="24"/>
          <w:szCs w:val="24"/>
          <w:highlight w:val="none"/>
        </w:rPr>
      </w:pPr>
      <w:r>
        <w:rPr>
          <w:rFonts w:hint="eastAsia" w:ascii="宋体"/>
          <w:color w:val="auto"/>
          <w:sz w:val="24"/>
          <w:szCs w:val="24"/>
          <w:highlight w:val="none"/>
        </w:rPr>
        <w:t xml:space="preserve">    二</w:t>
      </w:r>
      <w:r>
        <w:rPr>
          <w:rFonts w:ascii="宋体"/>
          <w:color w:val="auto"/>
          <w:sz w:val="24"/>
          <w:szCs w:val="24"/>
          <w:highlight w:val="none"/>
        </w:rPr>
        <w:t>、</w:t>
      </w:r>
      <w:r>
        <w:rPr>
          <w:rFonts w:hint="eastAsia" w:ascii="宋体"/>
          <w:color w:val="auto"/>
          <w:sz w:val="24"/>
          <w:szCs w:val="24"/>
          <w:highlight w:val="none"/>
        </w:rPr>
        <w:t>我公司保证上述承诺事项的真实性，如有虚假或其他违规违法行为，我公司愿意</w:t>
      </w:r>
      <w:r>
        <w:rPr>
          <w:rFonts w:hint="eastAsia" w:ascii="宋体" w:hAnsi="宋体"/>
          <w:color w:val="auto"/>
          <w:sz w:val="24"/>
          <w:szCs w:val="24"/>
          <w:highlight w:val="none"/>
        </w:rPr>
        <w:t>按《政府采购法》提供虚假材料的有关规定</w:t>
      </w:r>
      <w:r>
        <w:rPr>
          <w:rFonts w:hint="eastAsia" w:ascii="宋体"/>
          <w:color w:val="auto"/>
          <w:sz w:val="24"/>
          <w:szCs w:val="24"/>
          <w:highlight w:val="none"/>
        </w:rPr>
        <w:t>承担法律责任，并承担因此造成的一切损失。</w:t>
      </w:r>
    </w:p>
    <w:p w14:paraId="4C1F9055">
      <w:pPr>
        <w:widowControl w:val="0"/>
        <w:tabs>
          <w:tab w:val="left" w:pos="9365"/>
        </w:tabs>
        <w:snapToGrid w:val="0"/>
        <w:spacing w:before="156" w:beforeLines="50" w:line="240" w:lineRule="auto"/>
        <w:ind w:right="85"/>
        <w:jc w:val="left"/>
        <w:textAlignment w:val="top"/>
        <w:rPr>
          <w:rFonts w:ascii="宋体" w:hAnsi="宋体"/>
          <w:color w:val="auto"/>
          <w:sz w:val="24"/>
          <w:szCs w:val="24"/>
          <w:highlight w:val="none"/>
        </w:rPr>
      </w:pPr>
      <w:r>
        <w:rPr>
          <w:rFonts w:hint="eastAsia" w:ascii="宋体"/>
          <w:color w:val="auto"/>
          <w:sz w:val="24"/>
          <w:szCs w:val="24"/>
          <w:highlight w:val="none"/>
        </w:rPr>
        <w:t xml:space="preserve">   三</w:t>
      </w:r>
      <w:r>
        <w:rPr>
          <w:rFonts w:ascii="宋体"/>
          <w:color w:val="auto"/>
          <w:sz w:val="24"/>
          <w:szCs w:val="24"/>
          <w:highlight w:val="none"/>
        </w:rPr>
        <w:t>、</w:t>
      </w:r>
      <w:r>
        <w:rPr>
          <w:rFonts w:hint="eastAsia" w:ascii="宋体"/>
          <w:color w:val="auto"/>
          <w:sz w:val="24"/>
          <w:szCs w:val="24"/>
          <w:highlight w:val="none"/>
        </w:rPr>
        <w:t xml:space="preserve"> 我</w:t>
      </w:r>
      <w:r>
        <w:rPr>
          <w:rFonts w:ascii="宋体"/>
          <w:color w:val="auto"/>
          <w:sz w:val="24"/>
          <w:szCs w:val="24"/>
          <w:highlight w:val="none"/>
        </w:rPr>
        <w:t>公司认同</w:t>
      </w:r>
      <w:r>
        <w:rPr>
          <w:rFonts w:hint="eastAsia" w:ascii="宋体"/>
          <w:color w:val="auto"/>
          <w:sz w:val="24"/>
          <w:szCs w:val="24"/>
          <w:highlight w:val="none"/>
        </w:rPr>
        <w:t>按</w:t>
      </w:r>
      <w:r>
        <w:rPr>
          <w:rFonts w:ascii="宋体"/>
          <w:color w:val="auto"/>
          <w:sz w:val="24"/>
          <w:szCs w:val="24"/>
          <w:highlight w:val="none"/>
        </w:rPr>
        <w:t>照</w:t>
      </w:r>
      <w:r>
        <w:rPr>
          <w:rFonts w:hint="eastAsia" w:ascii="宋体"/>
          <w:color w:val="auto"/>
          <w:sz w:val="24"/>
          <w:szCs w:val="24"/>
          <w:highlight w:val="none"/>
        </w:rPr>
        <w:t>《招标文件》“</w:t>
      </w:r>
      <w:r>
        <w:rPr>
          <w:rFonts w:hint="eastAsia" w:ascii="宋体" w:hAnsi="宋体"/>
          <w:color w:val="auto"/>
          <w:sz w:val="24"/>
          <w:szCs w:val="24"/>
          <w:highlight w:val="none"/>
        </w:rPr>
        <w:t>《政府采购法》第二十二条第一款规定的供</w:t>
      </w:r>
      <w:r>
        <w:rPr>
          <w:rFonts w:ascii="宋体" w:hAnsi="宋体"/>
          <w:color w:val="auto"/>
          <w:sz w:val="24"/>
          <w:szCs w:val="24"/>
          <w:highlight w:val="none"/>
        </w:rPr>
        <w:t>应商基础性资</w:t>
      </w:r>
      <w:r>
        <w:rPr>
          <w:rFonts w:hint="eastAsia" w:ascii="宋体" w:hAnsi="宋体"/>
          <w:color w:val="auto"/>
          <w:sz w:val="24"/>
          <w:szCs w:val="24"/>
          <w:highlight w:val="none"/>
        </w:rPr>
        <w:t>格</w:t>
      </w:r>
      <w:r>
        <w:rPr>
          <w:rFonts w:ascii="宋体" w:hAnsi="宋体"/>
          <w:color w:val="auto"/>
          <w:sz w:val="24"/>
          <w:szCs w:val="24"/>
          <w:highlight w:val="none"/>
        </w:rPr>
        <w:t>的</w:t>
      </w:r>
      <w:r>
        <w:rPr>
          <w:rFonts w:hint="eastAsia" w:ascii="宋体" w:hAnsi="宋体"/>
          <w:color w:val="auto"/>
          <w:sz w:val="24"/>
          <w:szCs w:val="24"/>
          <w:highlight w:val="none"/>
        </w:rPr>
        <w:t>承诺认定标准</w:t>
      </w:r>
      <w:r>
        <w:rPr>
          <w:rFonts w:hint="eastAsia" w:ascii="宋体"/>
          <w:color w:val="auto"/>
          <w:sz w:val="24"/>
          <w:szCs w:val="24"/>
          <w:highlight w:val="none"/>
        </w:rPr>
        <w:t>”对</w:t>
      </w:r>
      <w:r>
        <w:rPr>
          <w:rFonts w:ascii="宋体"/>
          <w:color w:val="auto"/>
          <w:sz w:val="24"/>
          <w:szCs w:val="24"/>
          <w:highlight w:val="none"/>
        </w:rPr>
        <w:t>我公司或其他公司</w:t>
      </w:r>
      <w:r>
        <w:rPr>
          <w:rFonts w:hint="eastAsia" w:ascii="宋体"/>
          <w:color w:val="auto"/>
          <w:sz w:val="24"/>
          <w:szCs w:val="24"/>
          <w:highlight w:val="none"/>
        </w:rPr>
        <w:t>进行的</w:t>
      </w:r>
      <w:r>
        <w:rPr>
          <w:rFonts w:hint="eastAsia" w:ascii="宋体" w:hAnsi="宋体"/>
          <w:color w:val="auto"/>
          <w:sz w:val="24"/>
          <w:szCs w:val="24"/>
          <w:highlight w:val="none"/>
        </w:rPr>
        <w:t>供</w:t>
      </w:r>
      <w:r>
        <w:rPr>
          <w:rFonts w:ascii="宋体" w:hAnsi="宋体"/>
          <w:color w:val="auto"/>
          <w:sz w:val="24"/>
          <w:szCs w:val="24"/>
          <w:highlight w:val="none"/>
        </w:rPr>
        <w:t>应商基础性资</w:t>
      </w:r>
      <w:r>
        <w:rPr>
          <w:rFonts w:hint="eastAsia" w:ascii="宋体" w:hAnsi="宋体"/>
          <w:color w:val="auto"/>
          <w:sz w:val="24"/>
          <w:szCs w:val="24"/>
          <w:highlight w:val="none"/>
        </w:rPr>
        <w:t>格的</w:t>
      </w:r>
      <w:r>
        <w:rPr>
          <w:rFonts w:ascii="宋体" w:hAnsi="宋体"/>
          <w:color w:val="auto"/>
          <w:sz w:val="24"/>
          <w:szCs w:val="24"/>
          <w:highlight w:val="none"/>
        </w:rPr>
        <w:t>审查</w:t>
      </w:r>
      <w:r>
        <w:rPr>
          <w:rFonts w:hint="eastAsia" w:ascii="宋体" w:hAnsi="宋体"/>
          <w:color w:val="auto"/>
          <w:sz w:val="24"/>
          <w:szCs w:val="24"/>
          <w:highlight w:val="none"/>
        </w:rPr>
        <w:t>，</w:t>
      </w:r>
      <w:r>
        <w:rPr>
          <w:rFonts w:ascii="宋体" w:hAnsi="宋体"/>
          <w:color w:val="auto"/>
          <w:sz w:val="24"/>
          <w:szCs w:val="24"/>
          <w:highlight w:val="none"/>
        </w:rPr>
        <w:t>对</w:t>
      </w:r>
      <w:r>
        <w:rPr>
          <w:rFonts w:hint="eastAsia" w:ascii="宋体"/>
          <w:color w:val="auto"/>
          <w:sz w:val="24"/>
          <w:szCs w:val="24"/>
          <w:highlight w:val="none"/>
        </w:rPr>
        <w:t>按</w:t>
      </w:r>
      <w:r>
        <w:rPr>
          <w:rFonts w:ascii="宋体"/>
          <w:color w:val="auto"/>
          <w:sz w:val="24"/>
          <w:szCs w:val="24"/>
          <w:highlight w:val="none"/>
        </w:rPr>
        <w:t>照</w:t>
      </w:r>
      <w:r>
        <w:rPr>
          <w:rFonts w:hint="eastAsia" w:ascii="宋体" w:hAnsi="宋体"/>
          <w:color w:val="auto"/>
          <w:sz w:val="24"/>
          <w:szCs w:val="24"/>
          <w:highlight w:val="none"/>
        </w:rPr>
        <w:t>认定标准得</w:t>
      </w:r>
      <w:r>
        <w:rPr>
          <w:rFonts w:ascii="宋体" w:hAnsi="宋体"/>
          <w:color w:val="auto"/>
          <w:sz w:val="24"/>
          <w:szCs w:val="24"/>
          <w:highlight w:val="none"/>
        </w:rPr>
        <w:t>出的审查结果无异</w:t>
      </w:r>
      <w:r>
        <w:rPr>
          <w:rFonts w:hint="eastAsia" w:ascii="宋体" w:hAnsi="宋体"/>
          <w:color w:val="auto"/>
          <w:sz w:val="24"/>
          <w:szCs w:val="24"/>
          <w:highlight w:val="none"/>
        </w:rPr>
        <w:t>议。</w:t>
      </w:r>
    </w:p>
    <w:p w14:paraId="30F6ACE4">
      <w:pPr>
        <w:widowControl w:val="0"/>
        <w:tabs>
          <w:tab w:val="left" w:pos="9365"/>
        </w:tabs>
        <w:snapToGrid w:val="0"/>
        <w:spacing w:before="156" w:beforeLines="50" w:line="240" w:lineRule="auto"/>
        <w:ind w:right="85"/>
        <w:jc w:val="left"/>
        <w:textAlignment w:val="top"/>
        <w:rPr>
          <w:rFonts w:ascii="宋体" w:hAnsi="宋体"/>
          <w:color w:val="auto"/>
          <w:sz w:val="24"/>
          <w:szCs w:val="24"/>
          <w:highlight w:val="none"/>
        </w:rPr>
      </w:pPr>
      <w:r>
        <w:rPr>
          <w:rFonts w:hint="eastAsia" w:ascii="宋体" w:hAnsi="宋体"/>
          <w:color w:val="auto"/>
          <w:sz w:val="24"/>
          <w:szCs w:val="24"/>
          <w:highlight w:val="none"/>
        </w:rPr>
        <w:t xml:space="preserve">    四、</w:t>
      </w:r>
      <w:r>
        <w:rPr>
          <w:rFonts w:hint="eastAsia" w:ascii="宋体"/>
          <w:color w:val="auto"/>
          <w:sz w:val="24"/>
          <w:szCs w:val="24"/>
          <w:highlight w:val="none"/>
        </w:rPr>
        <w:t>我公司投标</w:t>
      </w:r>
      <w:r>
        <w:rPr>
          <w:rFonts w:ascii="宋体"/>
          <w:color w:val="auto"/>
          <w:sz w:val="24"/>
          <w:szCs w:val="24"/>
          <w:highlight w:val="none"/>
        </w:rPr>
        <w:t>文件或</w:t>
      </w:r>
      <w:r>
        <w:rPr>
          <w:rFonts w:hint="eastAsia" w:ascii="宋体"/>
          <w:color w:val="auto"/>
          <w:sz w:val="24"/>
          <w:szCs w:val="24"/>
          <w:highlight w:val="none"/>
        </w:rPr>
        <w:t>公</w:t>
      </w:r>
      <w:r>
        <w:rPr>
          <w:rFonts w:ascii="宋体"/>
          <w:color w:val="auto"/>
          <w:sz w:val="24"/>
          <w:szCs w:val="24"/>
          <w:highlight w:val="none"/>
        </w:rPr>
        <w:t>开资</w:t>
      </w:r>
      <w:r>
        <w:rPr>
          <w:rFonts w:hint="eastAsia" w:ascii="宋体"/>
          <w:color w:val="auto"/>
          <w:sz w:val="24"/>
          <w:szCs w:val="24"/>
          <w:highlight w:val="none"/>
        </w:rPr>
        <w:t>料或</w:t>
      </w:r>
      <w:r>
        <w:rPr>
          <w:rFonts w:ascii="宋体"/>
          <w:color w:val="auto"/>
          <w:sz w:val="24"/>
          <w:szCs w:val="24"/>
          <w:highlight w:val="none"/>
        </w:rPr>
        <w:t>备</w:t>
      </w:r>
      <w:r>
        <w:rPr>
          <w:rFonts w:hint="eastAsia" w:ascii="宋体"/>
          <w:color w:val="auto"/>
          <w:sz w:val="24"/>
          <w:szCs w:val="24"/>
          <w:highlight w:val="none"/>
        </w:rPr>
        <w:t>案</w:t>
      </w:r>
      <w:r>
        <w:rPr>
          <w:rFonts w:ascii="宋体"/>
          <w:color w:val="auto"/>
          <w:sz w:val="24"/>
          <w:szCs w:val="24"/>
          <w:highlight w:val="none"/>
        </w:rPr>
        <w:t>资</w:t>
      </w:r>
      <w:r>
        <w:rPr>
          <w:rFonts w:hint="eastAsia" w:ascii="宋体"/>
          <w:color w:val="auto"/>
          <w:sz w:val="24"/>
          <w:szCs w:val="24"/>
          <w:highlight w:val="none"/>
        </w:rPr>
        <w:t>料</w:t>
      </w:r>
      <w:r>
        <w:rPr>
          <w:rFonts w:ascii="宋体"/>
          <w:color w:val="auto"/>
          <w:sz w:val="24"/>
          <w:szCs w:val="24"/>
          <w:highlight w:val="none"/>
        </w:rPr>
        <w:t>中，有不符合</w:t>
      </w:r>
      <w:r>
        <w:rPr>
          <w:rFonts w:hint="eastAsia" w:ascii="宋体"/>
          <w:color w:val="auto"/>
          <w:sz w:val="24"/>
          <w:szCs w:val="24"/>
          <w:highlight w:val="none"/>
        </w:rPr>
        <w:t>《招标文件》“</w:t>
      </w:r>
      <w:r>
        <w:rPr>
          <w:rFonts w:hint="eastAsia" w:ascii="宋体" w:hAnsi="宋体"/>
          <w:color w:val="auto"/>
          <w:sz w:val="24"/>
          <w:szCs w:val="24"/>
          <w:highlight w:val="none"/>
        </w:rPr>
        <w:t>《政府采购法》第二十二条第一款规定的供</w:t>
      </w:r>
      <w:r>
        <w:rPr>
          <w:rFonts w:ascii="宋体" w:hAnsi="宋体"/>
          <w:color w:val="auto"/>
          <w:sz w:val="24"/>
          <w:szCs w:val="24"/>
          <w:highlight w:val="none"/>
        </w:rPr>
        <w:t>应商基础性资</w:t>
      </w:r>
      <w:r>
        <w:rPr>
          <w:rFonts w:hint="eastAsia" w:ascii="宋体" w:hAnsi="宋体"/>
          <w:color w:val="auto"/>
          <w:sz w:val="24"/>
          <w:szCs w:val="24"/>
          <w:highlight w:val="none"/>
        </w:rPr>
        <w:t>格</w:t>
      </w:r>
      <w:r>
        <w:rPr>
          <w:rFonts w:ascii="宋体" w:hAnsi="宋体"/>
          <w:color w:val="auto"/>
          <w:sz w:val="24"/>
          <w:szCs w:val="24"/>
          <w:highlight w:val="none"/>
        </w:rPr>
        <w:t>的</w:t>
      </w:r>
      <w:r>
        <w:rPr>
          <w:rFonts w:hint="eastAsia" w:ascii="宋体" w:hAnsi="宋体"/>
          <w:color w:val="auto"/>
          <w:sz w:val="24"/>
          <w:szCs w:val="24"/>
          <w:highlight w:val="none"/>
        </w:rPr>
        <w:t>承诺认定标准</w:t>
      </w:r>
      <w:r>
        <w:rPr>
          <w:rFonts w:hint="eastAsia" w:ascii="宋体"/>
          <w:color w:val="auto"/>
          <w:sz w:val="24"/>
          <w:szCs w:val="24"/>
          <w:highlight w:val="none"/>
        </w:rPr>
        <w:t>”的</w:t>
      </w:r>
      <w:r>
        <w:rPr>
          <w:rFonts w:ascii="宋体"/>
          <w:color w:val="auto"/>
          <w:sz w:val="24"/>
          <w:szCs w:val="24"/>
          <w:highlight w:val="none"/>
        </w:rPr>
        <w:t>，</w:t>
      </w:r>
      <w:r>
        <w:rPr>
          <w:rFonts w:hint="eastAsia" w:ascii="宋体"/>
          <w:color w:val="auto"/>
          <w:sz w:val="24"/>
          <w:szCs w:val="24"/>
          <w:highlight w:val="none"/>
        </w:rPr>
        <w:t>我公司</w:t>
      </w:r>
      <w:r>
        <w:rPr>
          <w:rFonts w:ascii="宋体"/>
          <w:color w:val="auto"/>
          <w:sz w:val="24"/>
          <w:szCs w:val="24"/>
          <w:highlight w:val="none"/>
        </w:rPr>
        <w:t>认同</w:t>
      </w:r>
      <w:r>
        <w:rPr>
          <w:rFonts w:hint="eastAsia" w:ascii="宋体"/>
          <w:color w:val="auto"/>
          <w:sz w:val="24"/>
          <w:szCs w:val="24"/>
          <w:highlight w:val="none"/>
        </w:rPr>
        <w:t>判</w:t>
      </w:r>
      <w:r>
        <w:rPr>
          <w:rFonts w:ascii="宋体"/>
          <w:color w:val="auto"/>
          <w:sz w:val="24"/>
          <w:szCs w:val="24"/>
          <w:highlight w:val="none"/>
        </w:rPr>
        <w:t>定为无</w:t>
      </w:r>
      <w:r>
        <w:rPr>
          <w:rFonts w:hint="eastAsia" w:ascii="宋体"/>
          <w:color w:val="auto"/>
          <w:sz w:val="24"/>
          <w:szCs w:val="24"/>
          <w:highlight w:val="none"/>
        </w:rPr>
        <w:t>效</w:t>
      </w:r>
      <w:r>
        <w:rPr>
          <w:rFonts w:ascii="宋体"/>
          <w:color w:val="auto"/>
          <w:sz w:val="24"/>
          <w:szCs w:val="24"/>
          <w:highlight w:val="none"/>
        </w:rPr>
        <w:t>投标</w:t>
      </w:r>
      <w:r>
        <w:rPr>
          <w:rFonts w:hint="eastAsia" w:ascii="宋体"/>
          <w:color w:val="auto"/>
          <w:sz w:val="24"/>
          <w:szCs w:val="24"/>
          <w:highlight w:val="none"/>
        </w:rPr>
        <w:t>、承担</w:t>
      </w:r>
      <w:r>
        <w:rPr>
          <w:rFonts w:hint="eastAsia" w:ascii="宋体" w:hAnsi="宋体"/>
          <w:color w:val="auto"/>
          <w:sz w:val="24"/>
          <w:szCs w:val="24"/>
          <w:highlight w:val="none"/>
        </w:rPr>
        <w:t>虚假</w:t>
      </w:r>
      <w:r>
        <w:rPr>
          <w:rFonts w:hint="eastAsia" w:ascii="宋体"/>
          <w:color w:val="auto"/>
          <w:sz w:val="24"/>
          <w:szCs w:val="24"/>
          <w:highlight w:val="none"/>
        </w:rPr>
        <w:t>承诺责任。</w:t>
      </w:r>
    </w:p>
    <w:p w14:paraId="569F609F">
      <w:pPr>
        <w:tabs>
          <w:tab w:val="left" w:pos="9365"/>
        </w:tabs>
        <w:spacing w:before="156" w:beforeLines="50" w:line="240" w:lineRule="auto"/>
        <w:ind w:right="85" w:firstLine="480"/>
        <w:jc w:val="left"/>
        <w:textAlignment w:val="top"/>
        <w:rPr>
          <w:rFonts w:ascii="宋体"/>
          <w:color w:val="auto"/>
          <w:sz w:val="24"/>
          <w:szCs w:val="24"/>
          <w:highlight w:val="none"/>
        </w:rPr>
      </w:pPr>
      <w:r>
        <w:rPr>
          <w:rFonts w:hint="eastAsia" w:ascii="宋体"/>
          <w:color w:val="auto"/>
          <w:sz w:val="24"/>
          <w:szCs w:val="24"/>
          <w:highlight w:val="none"/>
        </w:rPr>
        <w:t>五</w:t>
      </w:r>
      <w:r>
        <w:rPr>
          <w:rFonts w:ascii="宋体"/>
          <w:color w:val="auto"/>
          <w:sz w:val="24"/>
          <w:szCs w:val="24"/>
          <w:highlight w:val="none"/>
        </w:rPr>
        <w:t>、</w:t>
      </w:r>
      <w:r>
        <w:rPr>
          <w:rFonts w:hint="eastAsia" w:ascii="宋体"/>
          <w:color w:val="auto"/>
          <w:sz w:val="24"/>
          <w:szCs w:val="24"/>
          <w:highlight w:val="none"/>
        </w:rPr>
        <w:t>我公司</w:t>
      </w:r>
      <w:r>
        <w:rPr>
          <w:rFonts w:ascii="宋体"/>
          <w:color w:val="auto"/>
          <w:sz w:val="24"/>
          <w:szCs w:val="24"/>
          <w:highlight w:val="none"/>
        </w:rPr>
        <w:t>在</w:t>
      </w:r>
      <w:r>
        <w:rPr>
          <w:rFonts w:hint="eastAsia" w:ascii="宋体"/>
          <w:color w:val="auto"/>
          <w:sz w:val="24"/>
          <w:szCs w:val="24"/>
          <w:highlight w:val="none"/>
        </w:rPr>
        <w:t>没</w:t>
      </w:r>
      <w:r>
        <w:rPr>
          <w:rFonts w:ascii="宋体"/>
          <w:color w:val="auto"/>
          <w:sz w:val="24"/>
          <w:szCs w:val="24"/>
          <w:highlight w:val="none"/>
        </w:rPr>
        <w:t>有有效的证明材</w:t>
      </w:r>
      <w:r>
        <w:rPr>
          <w:rFonts w:hint="eastAsia" w:ascii="宋体"/>
          <w:color w:val="auto"/>
          <w:sz w:val="24"/>
          <w:szCs w:val="24"/>
          <w:highlight w:val="none"/>
        </w:rPr>
        <w:t>料，以</w:t>
      </w:r>
      <w:r>
        <w:rPr>
          <w:rFonts w:ascii="宋体"/>
          <w:color w:val="auto"/>
          <w:sz w:val="24"/>
          <w:szCs w:val="24"/>
          <w:highlight w:val="none"/>
        </w:rPr>
        <w:t>证明其他</w:t>
      </w:r>
      <w:r>
        <w:rPr>
          <w:rFonts w:hint="eastAsia" w:ascii="宋体"/>
          <w:color w:val="auto"/>
          <w:sz w:val="24"/>
          <w:szCs w:val="24"/>
          <w:highlight w:val="none"/>
        </w:rPr>
        <w:t>供应商</w:t>
      </w:r>
      <w:r>
        <w:rPr>
          <w:rFonts w:ascii="宋体"/>
          <w:color w:val="auto"/>
          <w:sz w:val="24"/>
          <w:szCs w:val="24"/>
          <w:highlight w:val="none"/>
        </w:rPr>
        <w:t>不符合</w:t>
      </w:r>
      <w:r>
        <w:rPr>
          <w:rFonts w:hint="eastAsia" w:ascii="宋体"/>
          <w:color w:val="auto"/>
          <w:sz w:val="24"/>
          <w:szCs w:val="24"/>
          <w:highlight w:val="none"/>
        </w:rPr>
        <w:t>《招标文件》“</w:t>
      </w:r>
      <w:r>
        <w:rPr>
          <w:rFonts w:hint="eastAsia" w:ascii="宋体" w:hAnsi="宋体"/>
          <w:color w:val="auto"/>
          <w:sz w:val="24"/>
          <w:szCs w:val="24"/>
          <w:highlight w:val="none"/>
        </w:rPr>
        <w:t>《政府采购法》第二十二条第一款规定的供</w:t>
      </w:r>
      <w:r>
        <w:rPr>
          <w:rFonts w:ascii="宋体" w:hAnsi="宋体"/>
          <w:color w:val="auto"/>
          <w:sz w:val="24"/>
          <w:szCs w:val="24"/>
          <w:highlight w:val="none"/>
        </w:rPr>
        <w:t>应商基础性资</w:t>
      </w:r>
      <w:r>
        <w:rPr>
          <w:rFonts w:hint="eastAsia" w:ascii="宋体" w:hAnsi="宋体"/>
          <w:color w:val="auto"/>
          <w:sz w:val="24"/>
          <w:szCs w:val="24"/>
          <w:highlight w:val="none"/>
        </w:rPr>
        <w:t>格</w:t>
      </w:r>
      <w:r>
        <w:rPr>
          <w:rFonts w:ascii="宋体" w:hAnsi="宋体"/>
          <w:color w:val="auto"/>
          <w:sz w:val="24"/>
          <w:szCs w:val="24"/>
          <w:highlight w:val="none"/>
        </w:rPr>
        <w:t>的</w:t>
      </w:r>
      <w:r>
        <w:rPr>
          <w:rFonts w:hint="eastAsia" w:ascii="宋体" w:hAnsi="宋体"/>
          <w:color w:val="auto"/>
          <w:sz w:val="24"/>
          <w:szCs w:val="24"/>
          <w:highlight w:val="none"/>
        </w:rPr>
        <w:t>承诺认定标准</w:t>
      </w:r>
      <w:r>
        <w:rPr>
          <w:rFonts w:hint="eastAsia" w:ascii="宋体"/>
          <w:color w:val="auto"/>
          <w:sz w:val="24"/>
          <w:szCs w:val="24"/>
          <w:highlight w:val="none"/>
        </w:rPr>
        <w:t>”时，我公司承诺不</w:t>
      </w:r>
      <w:r>
        <w:rPr>
          <w:rFonts w:ascii="宋体"/>
          <w:color w:val="auto"/>
          <w:sz w:val="24"/>
          <w:szCs w:val="24"/>
          <w:highlight w:val="none"/>
        </w:rPr>
        <w:t>对其他</w:t>
      </w:r>
      <w:r>
        <w:rPr>
          <w:rFonts w:hint="eastAsia" w:ascii="宋体"/>
          <w:color w:val="auto"/>
          <w:sz w:val="24"/>
          <w:szCs w:val="24"/>
          <w:highlight w:val="none"/>
        </w:rPr>
        <w:t>供应商的承诺函提</w:t>
      </w:r>
      <w:r>
        <w:rPr>
          <w:rFonts w:ascii="宋体"/>
          <w:color w:val="auto"/>
          <w:sz w:val="24"/>
          <w:szCs w:val="24"/>
          <w:highlight w:val="none"/>
        </w:rPr>
        <w:t>起质疑投诉，</w:t>
      </w:r>
      <w:r>
        <w:rPr>
          <w:rFonts w:hint="eastAsia" w:ascii="宋体"/>
          <w:color w:val="auto"/>
          <w:sz w:val="24"/>
          <w:szCs w:val="24"/>
          <w:highlight w:val="none"/>
        </w:rPr>
        <w:t>同</w:t>
      </w:r>
      <w:r>
        <w:rPr>
          <w:rFonts w:ascii="宋体"/>
          <w:color w:val="auto"/>
          <w:sz w:val="24"/>
          <w:szCs w:val="24"/>
          <w:highlight w:val="none"/>
        </w:rPr>
        <w:t>意对已</w:t>
      </w:r>
      <w:r>
        <w:rPr>
          <w:rFonts w:hint="eastAsia" w:ascii="宋体"/>
          <w:color w:val="auto"/>
          <w:sz w:val="24"/>
          <w:szCs w:val="24"/>
          <w:highlight w:val="none"/>
        </w:rPr>
        <w:t>提</w:t>
      </w:r>
      <w:r>
        <w:rPr>
          <w:rFonts w:ascii="宋体"/>
          <w:color w:val="auto"/>
          <w:sz w:val="24"/>
          <w:szCs w:val="24"/>
          <w:highlight w:val="none"/>
        </w:rPr>
        <w:t>起</w:t>
      </w:r>
      <w:r>
        <w:rPr>
          <w:rFonts w:hint="eastAsia" w:ascii="宋体"/>
          <w:color w:val="auto"/>
          <w:sz w:val="24"/>
          <w:szCs w:val="24"/>
          <w:highlight w:val="none"/>
        </w:rPr>
        <w:t>的</w:t>
      </w:r>
      <w:r>
        <w:rPr>
          <w:rFonts w:ascii="宋体"/>
          <w:color w:val="auto"/>
          <w:sz w:val="24"/>
          <w:szCs w:val="24"/>
          <w:highlight w:val="none"/>
        </w:rPr>
        <w:t>质疑投诉</w:t>
      </w:r>
      <w:r>
        <w:rPr>
          <w:rFonts w:hint="eastAsia" w:ascii="宋体"/>
          <w:color w:val="auto"/>
          <w:sz w:val="24"/>
          <w:szCs w:val="24"/>
          <w:highlight w:val="none"/>
        </w:rPr>
        <w:t>按缺</w:t>
      </w:r>
      <w:r>
        <w:rPr>
          <w:rFonts w:ascii="宋体"/>
          <w:color w:val="auto"/>
          <w:sz w:val="24"/>
          <w:szCs w:val="24"/>
          <w:highlight w:val="none"/>
        </w:rPr>
        <w:t>乏</w:t>
      </w:r>
      <w:r>
        <w:rPr>
          <w:rFonts w:hint="eastAsia" w:ascii="宋体" w:hAnsi="宋体"/>
          <w:color w:val="auto"/>
          <w:sz w:val="24"/>
          <w:szCs w:val="24"/>
          <w:highlight w:val="none"/>
        </w:rPr>
        <w:t>事实依据、</w:t>
      </w:r>
      <w:r>
        <w:rPr>
          <w:rFonts w:hint="eastAsia" w:ascii="宋体"/>
          <w:color w:val="auto"/>
          <w:sz w:val="24"/>
          <w:szCs w:val="24"/>
          <w:highlight w:val="none"/>
        </w:rPr>
        <w:t>按</w:t>
      </w:r>
      <w:r>
        <w:rPr>
          <w:rFonts w:ascii="宋体"/>
          <w:color w:val="auto"/>
          <w:sz w:val="24"/>
          <w:szCs w:val="24"/>
          <w:highlight w:val="none"/>
        </w:rPr>
        <w:t>无</w:t>
      </w:r>
      <w:r>
        <w:rPr>
          <w:rFonts w:hint="eastAsia" w:ascii="宋体"/>
          <w:color w:val="auto"/>
          <w:sz w:val="24"/>
          <w:szCs w:val="24"/>
          <w:highlight w:val="none"/>
        </w:rPr>
        <w:t>效</w:t>
      </w:r>
      <w:r>
        <w:rPr>
          <w:rFonts w:ascii="宋体"/>
          <w:color w:val="auto"/>
          <w:sz w:val="24"/>
          <w:szCs w:val="24"/>
          <w:highlight w:val="none"/>
        </w:rPr>
        <w:t>质疑投诉</w:t>
      </w:r>
      <w:r>
        <w:rPr>
          <w:rFonts w:hint="eastAsia" w:ascii="宋体"/>
          <w:color w:val="auto"/>
          <w:sz w:val="24"/>
          <w:szCs w:val="24"/>
          <w:highlight w:val="none"/>
        </w:rPr>
        <w:t>处</w:t>
      </w:r>
      <w:r>
        <w:rPr>
          <w:rFonts w:ascii="宋体"/>
          <w:color w:val="auto"/>
          <w:sz w:val="24"/>
          <w:szCs w:val="24"/>
          <w:highlight w:val="none"/>
        </w:rPr>
        <w:t>理。</w:t>
      </w:r>
    </w:p>
    <w:p w14:paraId="1AC4C9AA">
      <w:pPr>
        <w:tabs>
          <w:tab w:val="left" w:pos="9365"/>
        </w:tabs>
        <w:spacing w:before="57" w:after="57" w:line="586" w:lineRule="atLeast"/>
        <w:ind w:right="85"/>
        <w:jc w:val="left"/>
        <w:textAlignment w:val="top"/>
        <w:rPr>
          <w:rFonts w:ascii="宋体" w:hAnsi="宋体"/>
          <w:color w:val="auto"/>
          <w:sz w:val="24"/>
          <w:szCs w:val="24"/>
          <w:highlight w:val="none"/>
        </w:rPr>
      </w:pPr>
    </w:p>
    <w:p w14:paraId="6E5C1A6B">
      <w:pPr>
        <w:widowControl w:val="0"/>
        <w:snapToGrid w:val="0"/>
        <w:spacing w:line="360" w:lineRule="auto"/>
        <w:textAlignment w:val="top"/>
        <w:rPr>
          <w:color w:val="auto"/>
          <w:sz w:val="24"/>
          <w:szCs w:val="24"/>
          <w:highlight w:val="none"/>
        </w:rPr>
      </w:pPr>
      <w:r>
        <w:rPr>
          <w:rFonts w:hint="eastAsia" w:ascii="宋体" w:hAnsi="宋体"/>
          <w:color w:val="auto"/>
          <w:sz w:val="24"/>
          <w:highlight w:val="none"/>
        </w:rPr>
        <w:t>供应商</w:t>
      </w:r>
      <w:r>
        <w:rPr>
          <w:rFonts w:hint="eastAsia"/>
          <w:color w:val="auto"/>
          <w:sz w:val="24"/>
          <w:szCs w:val="24"/>
          <w:highlight w:val="none"/>
        </w:rPr>
        <w:t>（电子签章）：</w:t>
      </w:r>
    </w:p>
    <w:p w14:paraId="2AFA89A0">
      <w:pPr>
        <w:widowControl w:val="0"/>
        <w:snapToGrid w:val="0"/>
        <w:spacing w:line="360" w:lineRule="auto"/>
        <w:textAlignment w:val="top"/>
        <w:rPr>
          <w:color w:val="auto"/>
          <w:sz w:val="24"/>
          <w:szCs w:val="24"/>
          <w:highlight w:val="none"/>
        </w:rPr>
      </w:pPr>
      <w:r>
        <w:rPr>
          <w:rFonts w:hint="eastAsia"/>
          <w:color w:val="auto"/>
          <w:sz w:val="24"/>
          <w:szCs w:val="24"/>
          <w:highlight w:val="none"/>
        </w:rPr>
        <w:t>法定代表人（电子签名或签章）：</w:t>
      </w:r>
    </w:p>
    <w:p w14:paraId="12696E41">
      <w:pPr>
        <w:widowControl w:val="0"/>
        <w:snapToGrid w:val="0"/>
        <w:spacing w:line="360" w:lineRule="auto"/>
        <w:textAlignment w:val="top"/>
        <w:rPr>
          <w:color w:val="auto"/>
          <w:sz w:val="24"/>
          <w:szCs w:val="24"/>
          <w:highlight w:val="none"/>
        </w:rPr>
      </w:pPr>
      <w:r>
        <w:rPr>
          <w:rFonts w:hint="eastAsia"/>
          <w:color w:val="auto"/>
          <w:sz w:val="24"/>
          <w:szCs w:val="24"/>
          <w:highlight w:val="none"/>
        </w:rPr>
        <w:t>日期：</w:t>
      </w:r>
      <w:r>
        <w:rPr>
          <w:color w:val="auto"/>
          <w:sz w:val="24"/>
          <w:szCs w:val="24"/>
          <w:highlight w:val="none"/>
        </w:rPr>
        <w:t xml:space="preserve">  </w:t>
      </w:r>
      <w:r>
        <w:rPr>
          <w:rFonts w:hint="eastAsia"/>
          <w:color w:val="auto"/>
          <w:sz w:val="24"/>
          <w:szCs w:val="24"/>
          <w:highlight w:val="none"/>
        </w:rPr>
        <w:t>年</w:t>
      </w:r>
      <w:r>
        <w:rPr>
          <w:color w:val="auto"/>
          <w:sz w:val="24"/>
          <w:szCs w:val="24"/>
          <w:highlight w:val="none"/>
        </w:rPr>
        <w:t xml:space="preserve">   </w:t>
      </w:r>
      <w:r>
        <w:rPr>
          <w:rFonts w:hint="eastAsia"/>
          <w:color w:val="auto"/>
          <w:sz w:val="24"/>
          <w:szCs w:val="24"/>
          <w:highlight w:val="none"/>
        </w:rPr>
        <w:t>月</w:t>
      </w:r>
      <w:r>
        <w:rPr>
          <w:color w:val="auto"/>
          <w:sz w:val="24"/>
          <w:szCs w:val="24"/>
          <w:highlight w:val="none"/>
        </w:rPr>
        <w:t xml:space="preserve">   </w:t>
      </w:r>
      <w:r>
        <w:rPr>
          <w:rFonts w:hint="eastAsia"/>
          <w:color w:val="auto"/>
          <w:sz w:val="24"/>
          <w:szCs w:val="24"/>
          <w:highlight w:val="none"/>
        </w:rPr>
        <w:t>日</w:t>
      </w:r>
    </w:p>
    <w:p w14:paraId="7F5C6A18">
      <w:pPr>
        <w:snapToGrid w:val="0"/>
        <w:spacing w:line="560" w:lineRule="exact"/>
        <w:ind w:firstLine="555"/>
        <w:rPr>
          <w:rFonts w:ascii="宋体"/>
          <w:color w:val="auto"/>
          <w:sz w:val="24"/>
          <w:highlight w:val="none"/>
        </w:rPr>
      </w:pPr>
      <w:r>
        <w:rPr>
          <w:rFonts w:ascii="宋体" w:hAnsi="宋体"/>
          <w:color w:val="auto"/>
          <w:sz w:val="24"/>
          <w:highlight w:val="none"/>
        </w:rPr>
        <w:t xml:space="preserve">        </w:t>
      </w:r>
    </w:p>
    <w:p w14:paraId="483E82EA">
      <w:pPr>
        <w:widowControl w:val="0"/>
        <w:tabs>
          <w:tab w:val="left" w:pos="9365"/>
        </w:tabs>
        <w:snapToGrid w:val="0"/>
        <w:spacing w:after="56" w:line="560" w:lineRule="exact"/>
        <w:ind w:right="85"/>
        <w:jc w:val="center"/>
        <w:textAlignment w:val="top"/>
        <w:rPr>
          <w:rFonts w:ascii="宋体"/>
          <w:color w:val="auto"/>
          <w:sz w:val="24"/>
          <w:highlight w:val="none"/>
        </w:rPr>
      </w:pPr>
      <w:r>
        <w:rPr>
          <w:rFonts w:hint="eastAsia" w:ascii="黑体" w:hAnsi="黑体" w:eastAsia="黑体"/>
          <w:b/>
          <w:color w:val="auto"/>
          <w:sz w:val="30"/>
          <w:szCs w:val="30"/>
          <w:highlight w:val="none"/>
        </w:rPr>
        <w:t>《政府采购法》第二十二条第一款规定的供</w:t>
      </w:r>
      <w:r>
        <w:rPr>
          <w:rFonts w:ascii="黑体" w:hAnsi="黑体" w:eastAsia="黑体"/>
          <w:b/>
          <w:color w:val="auto"/>
          <w:sz w:val="30"/>
          <w:szCs w:val="30"/>
          <w:highlight w:val="none"/>
        </w:rPr>
        <w:t>应商基础性资</w:t>
      </w:r>
      <w:r>
        <w:rPr>
          <w:rFonts w:hint="eastAsia" w:ascii="黑体" w:hAnsi="黑体" w:eastAsia="黑体"/>
          <w:b/>
          <w:color w:val="auto"/>
          <w:sz w:val="30"/>
          <w:szCs w:val="30"/>
          <w:highlight w:val="none"/>
        </w:rPr>
        <w:t>格</w:t>
      </w:r>
      <w:r>
        <w:rPr>
          <w:rFonts w:ascii="黑体" w:hAnsi="黑体" w:eastAsia="黑体"/>
          <w:b/>
          <w:color w:val="auto"/>
          <w:sz w:val="30"/>
          <w:szCs w:val="30"/>
          <w:highlight w:val="none"/>
        </w:rPr>
        <w:t>的</w:t>
      </w:r>
    </w:p>
    <w:p w14:paraId="01B4A7A7">
      <w:pPr>
        <w:widowControl w:val="0"/>
        <w:tabs>
          <w:tab w:val="left" w:pos="9365"/>
        </w:tabs>
        <w:snapToGrid w:val="0"/>
        <w:spacing w:after="56" w:line="560" w:lineRule="exact"/>
        <w:ind w:right="85"/>
        <w:jc w:val="center"/>
        <w:textAlignment w:val="top"/>
        <w:rPr>
          <w:rFonts w:ascii="黑体" w:hAnsi="黑体" w:eastAsia="黑体"/>
          <w:b/>
          <w:color w:val="auto"/>
          <w:sz w:val="30"/>
          <w:szCs w:val="30"/>
          <w:highlight w:val="none"/>
        </w:rPr>
      </w:pPr>
      <w:r>
        <w:rPr>
          <w:rFonts w:hint="eastAsia" w:ascii="黑体" w:hAnsi="黑体" w:eastAsia="黑体"/>
          <w:b/>
          <w:color w:val="auto"/>
          <w:sz w:val="30"/>
          <w:szCs w:val="30"/>
          <w:highlight w:val="none"/>
        </w:rPr>
        <w:t>承诺事</w:t>
      </w:r>
      <w:r>
        <w:rPr>
          <w:rFonts w:ascii="黑体" w:hAnsi="黑体" w:eastAsia="黑体"/>
          <w:b/>
          <w:color w:val="auto"/>
          <w:sz w:val="30"/>
          <w:szCs w:val="30"/>
          <w:highlight w:val="none"/>
        </w:rPr>
        <w:t>项的</w:t>
      </w:r>
      <w:r>
        <w:rPr>
          <w:rFonts w:hint="eastAsia" w:ascii="黑体" w:hAnsi="黑体" w:eastAsia="黑体"/>
          <w:b/>
          <w:color w:val="auto"/>
          <w:sz w:val="30"/>
          <w:szCs w:val="30"/>
          <w:highlight w:val="none"/>
        </w:rPr>
        <w:t>认定标准</w:t>
      </w:r>
    </w:p>
    <w:p w14:paraId="1DCAB48D">
      <w:pPr>
        <w:widowControl w:val="0"/>
        <w:tabs>
          <w:tab w:val="left" w:pos="9365"/>
        </w:tabs>
        <w:snapToGrid w:val="0"/>
        <w:spacing w:after="56" w:line="560" w:lineRule="exact"/>
        <w:ind w:right="85"/>
        <w:jc w:val="center"/>
        <w:textAlignment w:val="top"/>
        <w:rPr>
          <w:rFonts w:ascii="黑体" w:hAnsi="黑体" w:eastAsia="黑体"/>
          <w:b/>
          <w:color w:val="auto"/>
          <w:sz w:val="30"/>
          <w:szCs w:val="30"/>
          <w:highlight w:val="none"/>
        </w:rPr>
      </w:pPr>
    </w:p>
    <w:p w14:paraId="1D4EF062">
      <w:pPr>
        <w:widowControl w:val="0"/>
        <w:adjustRightInd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政府采购监督检查、质疑投诉及政府采购行政处罚等</w:t>
      </w:r>
      <w:r>
        <w:rPr>
          <w:rFonts w:ascii="宋体" w:hAnsi="宋体"/>
          <w:color w:val="auto"/>
          <w:sz w:val="24"/>
          <w:szCs w:val="24"/>
          <w:highlight w:val="none"/>
        </w:rPr>
        <w:t>情形</w:t>
      </w:r>
      <w:r>
        <w:rPr>
          <w:rFonts w:hint="eastAsia" w:ascii="宋体" w:hAnsi="宋体"/>
          <w:color w:val="auto"/>
          <w:sz w:val="24"/>
          <w:szCs w:val="24"/>
          <w:highlight w:val="none"/>
        </w:rPr>
        <w:t>中，需要对资格承诺的真实性的进</w:t>
      </w:r>
      <w:r>
        <w:rPr>
          <w:rFonts w:ascii="宋体" w:hAnsi="宋体"/>
          <w:color w:val="auto"/>
          <w:sz w:val="24"/>
          <w:szCs w:val="24"/>
          <w:highlight w:val="none"/>
        </w:rPr>
        <w:t>行</w:t>
      </w:r>
      <w:r>
        <w:rPr>
          <w:rFonts w:hint="eastAsia" w:ascii="宋体" w:hAnsi="宋体"/>
          <w:color w:val="auto"/>
          <w:sz w:val="24"/>
          <w:szCs w:val="24"/>
          <w:highlight w:val="none"/>
        </w:rPr>
        <w:t>认定时，相</w:t>
      </w:r>
      <w:r>
        <w:rPr>
          <w:rFonts w:ascii="宋体" w:hAnsi="宋体"/>
          <w:color w:val="auto"/>
          <w:sz w:val="24"/>
          <w:szCs w:val="24"/>
          <w:highlight w:val="none"/>
        </w:rPr>
        <w:t>关</w:t>
      </w:r>
      <w:r>
        <w:rPr>
          <w:rFonts w:hint="eastAsia" w:ascii="宋体" w:hAnsi="宋体"/>
          <w:color w:val="auto"/>
          <w:sz w:val="24"/>
          <w:szCs w:val="24"/>
          <w:highlight w:val="none"/>
        </w:rPr>
        <w:t>供应商应提供如下关</w:t>
      </w:r>
      <w:r>
        <w:rPr>
          <w:rFonts w:ascii="宋体" w:hAnsi="宋体"/>
          <w:color w:val="auto"/>
          <w:sz w:val="24"/>
          <w:szCs w:val="24"/>
          <w:highlight w:val="none"/>
        </w:rPr>
        <w:t>于基础</w:t>
      </w:r>
      <w:r>
        <w:rPr>
          <w:rFonts w:hint="eastAsia" w:ascii="宋体" w:hAnsi="宋体"/>
          <w:color w:val="auto"/>
          <w:sz w:val="24"/>
          <w:szCs w:val="24"/>
          <w:highlight w:val="none"/>
        </w:rPr>
        <w:t>性资格的证明材料：</w:t>
      </w:r>
    </w:p>
    <w:p w14:paraId="0DF25BEE">
      <w:pPr>
        <w:widowControl w:val="0"/>
        <w:snapToGrid w:val="0"/>
        <w:spacing w:line="360" w:lineRule="auto"/>
        <w:ind w:firstLine="540" w:firstLineChars="225"/>
        <w:rPr>
          <w:rFonts w:ascii="宋体"/>
          <w:color w:val="auto"/>
          <w:szCs w:val="21"/>
          <w:highlight w:val="none"/>
        </w:rPr>
      </w:pPr>
      <w:r>
        <w:rPr>
          <w:rFonts w:hint="eastAsia" w:ascii="宋体" w:hAnsi="宋体"/>
          <w:color w:val="auto"/>
          <w:sz w:val="24"/>
          <w:szCs w:val="24"/>
          <w:highlight w:val="none"/>
        </w:rPr>
        <w:t>（一）具有独立承担民事责任的能力。■提供营业执照或事业单位法人证书，■提供税务登记证（三证合一的只需提供三证合一的营业执照）</w:t>
      </w:r>
      <w:r>
        <w:rPr>
          <w:rFonts w:hint="eastAsia" w:ascii="微软雅黑" w:hAnsi="微软雅黑" w:eastAsia="微软雅黑"/>
          <w:color w:val="auto"/>
          <w:szCs w:val="21"/>
          <w:highlight w:val="none"/>
          <w:shd w:val="clear" w:color="auto" w:fill="FFFFFF"/>
        </w:rPr>
        <w:t>。</w:t>
      </w:r>
    </w:p>
    <w:p w14:paraId="1C0C1E28">
      <w:pPr>
        <w:widowControl w:val="0"/>
        <w:snapToGrid w:val="0"/>
        <w:spacing w:line="360" w:lineRule="auto"/>
        <w:ind w:firstLine="540" w:firstLineChars="225"/>
        <w:rPr>
          <w:rFonts w:ascii="宋体"/>
          <w:color w:val="auto"/>
          <w:sz w:val="24"/>
          <w:szCs w:val="24"/>
          <w:highlight w:val="none"/>
        </w:rPr>
      </w:pPr>
      <w:r>
        <w:rPr>
          <w:rFonts w:hint="eastAsia" w:ascii="宋体" w:hAnsi="宋体"/>
          <w:color w:val="auto"/>
          <w:sz w:val="24"/>
          <w:szCs w:val="24"/>
          <w:highlight w:val="none"/>
        </w:rPr>
        <w:t>（二）具有良好的商业信誉和健全的财务会计制度。■提供银行出具的近</w:t>
      </w:r>
      <w:r>
        <w:rPr>
          <w:rFonts w:ascii="宋体" w:hAnsi="宋体"/>
          <w:color w:val="auto"/>
          <w:sz w:val="24"/>
          <w:szCs w:val="24"/>
          <w:highlight w:val="none"/>
        </w:rPr>
        <w:t>1</w:t>
      </w:r>
      <w:r>
        <w:rPr>
          <w:rFonts w:hint="eastAsia" w:ascii="宋体" w:hAnsi="宋体"/>
          <w:color w:val="auto"/>
          <w:sz w:val="24"/>
          <w:szCs w:val="24"/>
          <w:highlight w:val="none"/>
        </w:rPr>
        <w:t>年内资信证明（法人为基本开户行）、或2023年度以来（任一年度）经审计的财务报告、或银行（保险公司）出具的投标担保函。</w:t>
      </w:r>
    </w:p>
    <w:p w14:paraId="5ACE462A">
      <w:pPr>
        <w:widowControl w:val="0"/>
        <w:snapToGrid w:val="0"/>
        <w:spacing w:line="360" w:lineRule="auto"/>
        <w:ind w:firstLine="540" w:firstLineChars="225"/>
        <w:rPr>
          <w:rFonts w:ascii="宋体"/>
          <w:color w:val="auto"/>
          <w:sz w:val="24"/>
          <w:szCs w:val="24"/>
          <w:highlight w:val="none"/>
        </w:rPr>
      </w:pPr>
      <w:r>
        <w:rPr>
          <w:rFonts w:hint="eastAsia" w:ascii="宋体" w:hAnsi="宋体"/>
          <w:color w:val="auto"/>
          <w:sz w:val="24"/>
          <w:szCs w:val="24"/>
          <w:highlight w:val="none"/>
        </w:rPr>
        <w:t>（三）具备履行合同所必需的设备和专业技术能力。■提供相关设备或设施的购置发票或单据（任一），■专业人员用工合同（任一人），或技术人员的职称证书或职业（执业）资格证或等级证书等相关证书（任一人）等的证明材料。</w:t>
      </w:r>
    </w:p>
    <w:p w14:paraId="34709F09">
      <w:pPr>
        <w:widowControl w:val="0"/>
        <w:snapToGrid w:val="0"/>
        <w:spacing w:line="360" w:lineRule="auto"/>
        <w:ind w:firstLine="540" w:firstLineChars="225"/>
        <w:rPr>
          <w:rFonts w:ascii="宋体"/>
          <w:color w:val="auto"/>
          <w:sz w:val="24"/>
          <w:szCs w:val="24"/>
          <w:highlight w:val="none"/>
        </w:rPr>
      </w:pPr>
      <w:r>
        <w:rPr>
          <w:rFonts w:hint="eastAsia" w:ascii="宋体" w:hAnsi="宋体"/>
          <w:color w:val="auto"/>
          <w:sz w:val="24"/>
          <w:szCs w:val="24"/>
          <w:highlight w:val="none"/>
        </w:rPr>
        <w:t>（四）有依法缴纳税收和社会保障资金的良好记录。■提供近</w:t>
      </w:r>
      <w:r>
        <w:rPr>
          <w:rFonts w:ascii="宋体" w:hAnsi="宋体"/>
          <w:color w:val="auto"/>
          <w:sz w:val="24"/>
          <w:szCs w:val="24"/>
          <w:highlight w:val="none"/>
        </w:rPr>
        <w:t>12</w:t>
      </w:r>
      <w:r>
        <w:rPr>
          <w:rFonts w:hint="eastAsia" w:ascii="宋体" w:hAnsi="宋体"/>
          <w:color w:val="auto"/>
          <w:sz w:val="24"/>
          <w:szCs w:val="24"/>
          <w:highlight w:val="none"/>
        </w:rPr>
        <w:t>个月内（任意</w:t>
      </w:r>
      <w:r>
        <w:rPr>
          <w:rFonts w:ascii="宋体" w:hAnsi="宋体"/>
          <w:color w:val="auto"/>
          <w:sz w:val="24"/>
          <w:szCs w:val="24"/>
          <w:highlight w:val="none"/>
        </w:rPr>
        <w:t>1</w:t>
      </w:r>
      <w:r>
        <w:rPr>
          <w:rFonts w:hint="eastAsia" w:ascii="宋体" w:hAnsi="宋体"/>
          <w:color w:val="auto"/>
          <w:sz w:val="24"/>
          <w:szCs w:val="24"/>
          <w:highlight w:val="none"/>
        </w:rPr>
        <w:t>个月）已依法缴纳税收的凭据；■提供近</w:t>
      </w:r>
      <w:r>
        <w:rPr>
          <w:rFonts w:ascii="宋体" w:hAnsi="宋体"/>
          <w:color w:val="auto"/>
          <w:sz w:val="24"/>
          <w:szCs w:val="24"/>
          <w:highlight w:val="none"/>
        </w:rPr>
        <w:t>12</w:t>
      </w:r>
      <w:r>
        <w:rPr>
          <w:rFonts w:hint="eastAsia" w:ascii="宋体" w:hAnsi="宋体"/>
          <w:color w:val="auto"/>
          <w:sz w:val="24"/>
          <w:szCs w:val="24"/>
          <w:highlight w:val="none"/>
        </w:rPr>
        <w:t>个月内（任意</w:t>
      </w:r>
      <w:r>
        <w:rPr>
          <w:rFonts w:ascii="宋体" w:hAnsi="宋体"/>
          <w:color w:val="auto"/>
          <w:sz w:val="24"/>
          <w:szCs w:val="24"/>
          <w:highlight w:val="none"/>
        </w:rPr>
        <w:t>1</w:t>
      </w:r>
      <w:r>
        <w:rPr>
          <w:rFonts w:hint="eastAsia" w:ascii="宋体" w:hAnsi="宋体"/>
          <w:color w:val="auto"/>
          <w:sz w:val="24"/>
          <w:szCs w:val="24"/>
          <w:highlight w:val="none"/>
        </w:rPr>
        <w:t>个月）已依法缴纳社会保险的凭据。依法免税或不需要缴纳社会保障资金的供应商，应提供相应证明文件。</w:t>
      </w:r>
    </w:p>
    <w:p w14:paraId="759D4B2F">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（五）参加政府采购活动前</w:t>
      </w:r>
      <w:r>
        <w:rPr>
          <w:rFonts w:ascii="宋体" w:hAnsi="宋体"/>
          <w:color w:val="auto"/>
          <w:sz w:val="24"/>
          <w:szCs w:val="24"/>
          <w:highlight w:val="none"/>
        </w:rPr>
        <w:t>3</w:t>
      </w:r>
      <w:r>
        <w:rPr>
          <w:rFonts w:hint="eastAsia" w:ascii="宋体" w:hAnsi="宋体"/>
          <w:color w:val="auto"/>
          <w:sz w:val="24"/>
          <w:szCs w:val="24"/>
          <w:highlight w:val="none"/>
        </w:rPr>
        <w:t>年内在经营活动中没有重大违法记录。</w:t>
      </w:r>
    </w:p>
    <w:p w14:paraId="24C0FB89">
      <w:pPr>
        <w:widowControl w:val="0"/>
        <w:snapToGrid w:val="0"/>
        <w:spacing w:line="360" w:lineRule="auto"/>
        <w:ind w:firstLine="540" w:firstLineChars="225"/>
        <w:rPr>
          <w:rFonts w:ascii="宋体" w:hAnsi="宋体"/>
          <w:color w:val="auto"/>
          <w:sz w:val="24"/>
          <w:szCs w:val="24"/>
          <w:highlight w:val="none"/>
        </w:rPr>
      </w:pPr>
    </w:p>
    <w:p w14:paraId="1EF88660">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投标人提供的证明材料不</w:t>
      </w:r>
      <w:r>
        <w:rPr>
          <w:rFonts w:ascii="宋体" w:hAnsi="宋体"/>
          <w:color w:val="auto"/>
          <w:sz w:val="24"/>
          <w:szCs w:val="24"/>
          <w:highlight w:val="none"/>
        </w:rPr>
        <w:t>符合上述认定标准的</w:t>
      </w:r>
      <w:r>
        <w:rPr>
          <w:rFonts w:hint="eastAsia" w:ascii="宋体" w:hAnsi="宋体"/>
          <w:color w:val="auto"/>
          <w:sz w:val="24"/>
          <w:szCs w:val="24"/>
          <w:highlight w:val="none"/>
        </w:rPr>
        <w:t>，评定该</w:t>
      </w:r>
      <w:r>
        <w:rPr>
          <w:rFonts w:hint="eastAsia" w:ascii="宋体"/>
          <w:color w:val="auto"/>
          <w:sz w:val="24"/>
          <w:szCs w:val="24"/>
          <w:highlight w:val="none"/>
        </w:rPr>
        <w:t>供应商</w:t>
      </w:r>
      <w:r>
        <w:rPr>
          <w:rFonts w:hint="eastAsia" w:ascii="宋体" w:hAnsi="宋体"/>
          <w:color w:val="auto"/>
          <w:sz w:val="24"/>
          <w:szCs w:val="24"/>
          <w:highlight w:val="none"/>
        </w:rPr>
        <w:t>不满足《政府采购法》</w:t>
      </w:r>
      <w:r>
        <w:rPr>
          <w:rFonts w:hint="eastAsia" w:ascii="宋体"/>
          <w:color w:val="auto"/>
          <w:sz w:val="24"/>
          <w:szCs w:val="24"/>
          <w:highlight w:val="none"/>
        </w:rPr>
        <w:t>供应商</w:t>
      </w:r>
      <w:r>
        <w:rPr>
          <w:rFonts w:hint="eastAsia" w:ascii="宋体" w:hAnsi="宋体"/>
          <w:color w:val="auto"/>
          <w:sz w:val="24"/>
          <w:szCs w:val="24"/>
          <w:highlight w:val="none"/>
        </w:rPr>
        <w:t>资格要求，为提供虚假承诺，投标、中标无效，并上报财政部门对其违规违法行为作进一步处理。</w:t>
      </w:r>
    </w:p>
    <w:p w14:paraId="4E155E9D">
      <w:pPr>
        <w:tabs>
          <w:tab w:val="left" w:pos="540"/>
        </w:tabs>
        <w:spacing w:line="440" w:lineRule="exact"/>
        <w:rPr>
          <w:rFonts w:ascii="宋体"/>
          <w:color w:val="auto"/>
          <w:sz w:val="24"/>
          <w:szCs w:val="24"/>
          <w:highlight w:val="none"/>
        </w:rPr>
      </w:pPr>
      <w:r>
        <w:rPr>
          <w:rFonts w:hint="eastAsia" w:ascii="宋体"/>
          <w:color w:val="auto"/>
          <w:sz w:val="24"/>
          <w:szCs w:val="24"/>
          <w:highlight w:val="none"/>
        </w:rPr>
        <w:t xml:space="preserve">    </w:t>
      </w:r>
    </w:p>
    <w:p w14:paraId="01773350">
      <w:pPr>
        <w:snapToGrid w:val="0"/>
        <w:spacing w:line="560" w:lineRule="atLeast"/>
        <w:jc w:val="center"/>
        <w:rPr>
          <w:rFonts w:ascii="宋体"/>
          <w:color w:val="auto"/>
          <w:sz w:val="24"/>
          <w:highlight w:val="none"/>
        </w:rPr>
      </w:pPr>
    </w:p>
    <w:p w14:paraId="370202C8">
      <w:pPr>
        <w:widowControl w:val="0"/>
        <w:snapToGrid w:val="0"/>
        <w:spacing w:line="360" w:lineRule="auto"/>
        <w:textAlignment w:val="top"/>
        <w:rPr>
          <w:color w:val="auto"/>
          <w:sz w:val="24"/>
          <w:szCs w:val="24"/>
          <w:highlight w:val="none"/>
        </w:rPr>
      </w:pPr>
      <w:r>
        <w:rPr>
          <w:rFonts w:hint="eastAsia" w:ascii="宋体" w:hAnsi="宋体"/>
          <w:color w:val="auto"/>
          <w:sz w:val="24"/>
          <w:highlight w:val="none"/>
        </w:rPr>
        <w:t>投标人</w:t>
      </w:r>
      <w:r>
        <w:rPr>
          <w:rFonts w:hint="eastAsia"/>
          <w:color w:val="auto"/>
          <w:sz w:val="24"/>
          <w:szCs w:val="24"/>
          <w:highlight w:val="none"/>
        </w:rPr>
        <w:t>（电子签章）：</w:t>
      </w:r>
    </w:p>
    <w:p w14:paraId="45BD218A">
      <w:pPr>
        <w:widowControl w:val="0"/>
        <w:snapToGrid w:val="0"/>
        <w:spacing w:line="360" w:lineRule="auto"/>
        <w:textAlignment w:val="top"/>
        <w:rPr>
          <w:color w:val="auto"/>
          <w:sz w:val="24"/>
          <w:szCs w:val="24"/>
          <w:highlight w:val="none"/>
        </w:rPr>
      </w:pPr>
      <w:r>
        <w:rPr>
          <w:rFonts w:hint="eastAsia"/>
          <w:color w:val="auto"/>
          <w:sz w:val="24"/>
          <w:szCs w:val="24"/>
          <w:highlight w:val="none"/>
        </w:rPr>
        <w:t>法定代表人（电子签名或签章）：</w:t>
      </w:r>
    </w:p>
    <w:p w14:paraId="6472D29B">
      <w:pPr>
        <w:widowControl w:val="0"/>
        <w:snapToGrid w:val="0"/>
        <w:spacing w:line="360" w:lineRule="auto"/>
        <w:textAlignment w:val="top"/>
        <w:rPr>
          <w:color w:val="auto"/>
          <w:sz w:val="24"/>
          <w:szCs w:val="24"/>
          <w:highlight w:val="none"/>
        </w:rPr>
      </w:pPr>
      <w:r>
        <w:rPr>
          <w:rFonts w:hint="eastAsia"/>
          <w:color w:val="auto"/>
          <w:sz w:val="24"/>
          <w:szCs w:val="24"/>
          <w:highlight w:val="none"/>
        </w:rPr>
        <w:t>日期：</w:t>
      </w:r>
      <w:r>
        <w:rPr>
          <w:color w:val="auto"/>
          <w:sz w:val="24"/>
          <w:szCs w:val="24"/>
          <w:highlight w:val="none"/>
        </w:rPr>
        <w:t xml:space="preserve">  </w:t>
      </w:r>
      <w:r>
        <w:rPr>
          <w:rFonts w:hint="eastAsia"/>
          <w:color w:val="auto"/>
          <w:sz w:val="24"/>
          <w:szCs w:val="24"/>
          <w:highlight w:val="none"/>
        </w:rPr>
        <w:t>年</w:t>
      </w:r>
      <w:r>
        <w:rPr>
          <w:color w:val="auto"/>
          <w:sz w:val="24"/>
          <w:szCs w:val="24"/>
          <w:highlight w:val="none"/>
        </w:rPr>
        <w:t xml:space="preserve">   </w:t>
      </w:r>
      <w:r>
        <w:rPr>
          <w:rFonts w:hint="eastAsia"/>
          <w:color w:val="auto"/>
          <w:sz w:val="24"/>
          <w:szCs w:val="24"/>
          <w:highlight w:val="none"/>
        </w:rPr>
        <w:t>月</w:t>
      </w:r>
      <w:r>
        <w:rPr>
          <w:color w:val="auto"/>
          <w:sz w:val="24"/>
          <w:szCs w:val="24"/>
          <w:highlight w:val="none"/>
        </w:rPr>
        <w:t xml:space="preserve">   </w:t>
      </w:r>
      <w:r>
        <w:rPr>
          <w:rFonts w:hint="eastAsia"/>
          <w:color w:val="auto"/>
          <w:sz w:val="24"/>
          <w:szCs w:val="24"/>
          <w:highlight w:val="none"/>
        </w:rPr>
        <w:t>日</w:t>
      </w:r>
    </w:p>
    <w:p w14:paraId="287306AC">
      <w:pPr>
        <w:snapToGrid w:val="0"/>
        <w:spacing w:line="560" w:lineRule="exact"/>
        <w:ind w:firstLine="555"/>
        <w:rPr>
          <w:rFonts w:ascii="宋体"/>
          <w:color w:val="auto"/>
          <w:sz w:val="24"/>
          <w:highlight w:val="none"/>
        </w:rPr>
      </w:pPr>
      <w:r>
        <w:rPr>
          <w:rFonts w:ascii="宋体" w:hAnsi="宋体"/>
          <w:color w:val="auto"/>
          <w:sz w:val="24"/>
          <w:highlight w:val="none"/>
        </w:rPr>
        <w:t xml:space="preserve">        </w:t>
      </w:r>
    </w:p>
    <w:p w14:paraId="394AAAF9">
      <w:pPr>
        <w:snapToGrid w:val="0"/>
        <w:spacing w:line="560" w:lineRule="atLeast"/>
        <w:jc w:val="center"/>
        <w:rPr>
          <w:rFonts w:ascii="宋体"/>
          <w:color w:val="auto"/>
          <w:sz w:val="24"/>
          <w:highlight w:val="none"/>
        </w:rPr>
      </w:pPr>
      <w:r>
        <w:rPr>
          <w:rFonts w:ascii="宋体"/>
          <w:color w:val="auto"/>
          <w:sz w:val="24"/>
          <w:highlight w:val="none"/>
        </w:rPr>
        <w:br w:type="page"/>
      </w:r>
    </w:p>
    <w:p w14:paraId="3D09432F">
      <w:pPr>
        <w:snapToGrid w:val="0"/>
        <w:spacing w:line="560" w:lineRule="atLeast"/>
        <w:jc w:val="center"/>
        <w:rPr>
          <w:rFonts w:ascii="黑体" w:hAnsi="黑体" w:eastAsia="黑体"/>
          <w:b/>
          <w:color w:val="auto"/>
          <w:sz w:val="30"/>
          <w:szCs w:val="30"/>
          <w:highlight w:val="none"/>
        </w:rPr>
      </w:pPr>
    </w:p>
    <w:p w14:paraId="44B05E14">
      <w:pPr>
        <w:snapToGrid w:val="0"/>
        <w:spacing w:line="560" w:lineRule="atLeast"/>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1</w:t>
      </w:r>
      <w:r>
        <w:rPr>
          <w:rFonts w:ascii="黑体" w:hAnsi="黑体" w:eastAsia="黑体"/>
          <w:b/>
          <w:color w:val="auto"/>
          <w:sz w:val="30"/>
          <w:szCs w:val="30"/>
          <w:highlight w:val="none"/>
        </w:rPr>
        <w:t>5-</w:t>
      </w:r>
      <w:r>
        <w:rPr>
          <w:rFonts w:hint="eastAsia" w:ascii="黑体" w:hAnsi="黑体" w:eastAsia="黑体"/>
          <w:b/>
          <w:color w:val="auto"/>
          <w:sz w:val="30"/>
          <w:szCs w:val="30"/>
          <w:highlight w:val="none"/>
        </w:rPr>
        <w:t>2、供应商负责人控股、设计等相关承诺书</w:t>
      </w:r>
    </w:p>
    <w:p w14:paraId="0A61B7BE">
      <w:pPr>
        <w:tabs>
          <w:tab w:val="left" w:pos="9365"/>
        </w:tabs>
        <w:spacing w:before="360" w:after="360" w:line="586" w:lineRule="atLeast"/>
        <w:ind w:right="85"/>
        <w:jc w:val="left"/>
        <w:textAlignment w:val="top"/>
        <w:rPr>
          <w:rFonts w:ascii="宋体" w:hAnsi="宋体"/>
          <w:color w:val="auto"/>
          <w:sz w:val="24"/>
          <w:szCs w:val="24"/>
          <w:highlight w:val="none"/>
        </w:rPr>
      </w:pPr>
      <w:r>
        <w:rPr>
          <w:rFonts w:hint="eastAsia" w:ascii="宋体" w:hAnsi="宋体"/>
          <w:color w:val="auto"/>
          <w:sz w:val="24"/>
          <w:szCs w:val="24"/>
          <w:highlight w:val="none"/>
        </w:rPr>
        <w:t>致：</w:t>
      </w:r>
      <w:r>
        <w:rPr>
          <w:rFonts w:hint="eastAsia" w:ascii="宋体" w:hAnsi="宋体"/>
          <w:color w:val="auto"/>
          <w:sz w:val="24"/>
          <w:szCs w:val="24"/>
          <w:highlight w:val="none"/>
          <w:u w:val="single"/>
        </w:rPr>
        <w:t xml:space="preserve">    </w:t>
      </w:r>
      <w:r>
        <w:rPr>
          <w:rFonts w:hint="eastAsia" w:ascii="宋体" w:hAnsi="宋体"/>
          <w:color w:val="auto"/>
          <w:spacing w:val="11"/>
          <w:sz w:val="24"/>
          <w:szCs w:val="24"/>
          <w:highlight w:val="none"/>
          <w:u w:val="single"/>
        </w:rPr>
        <w:t xml:space="preserve">(采购人名称）    </w:t>
      </w:r>
    </w:p>
    <w:p w14:paraId="21009772">
      <w:pPr>
        <w:tabs>
          <w:tab w:val="left" w:pos="65"/>
        </w:tabs>
        <w:spacing w:line="7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在项目编号为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的</w:t>
      </w:r>
      <w:r>
        <w:rPr>
          <w:rFonts w:hint="eastAsia" w:ascii="宋体" w:hAnsi="宋体"/>
          <w:color w:val="auto"/>
          <w:sz w:val="24"/>
          <w:szCs w:val="24"/>
          <w:highlight w:val="none"/>
          <w:u w:val="single"/>
        </w:rPr>
        <w:t xml:space="preserve">    （项目名称）  </w:t>
      </w:r>
      <w:r>
        <w:rPr>
          <w:rFonts w:hint="eastAsia" w:ascii="宋体" w:hAnsi="宋体"/>
          <w:color w:val="auto"/>
          <w:sz w:val="24"/>
          <w:szCs w:val="24"/>
          <w:highlight w:val="none"/>
        </w:rPr>
        <w:t xml:space="preserve"> 采购活动中，我单位承诺满足以下要求：</w:t>
      </w:r>
    </w:p>
    <w:p w14:paraId="1B4BDBAA">
      <w:pPr>
        <w:tabs>
          <w:tab w:val="left" w:pos="65"/>
        </w:tabs>
        <w:spacing w:line="7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一、单位负责人为同一人或者存在直接控股、管理关系的不同供应商，不参加同一合同项下的政府采购活动。</w:t>
      </w:r>
    </w:p>
    <w:p w14:paraId="4021DE6E">
      <w:pPr>
        <w:tabs>
          <w:tab w:val="left" w:pos="65"/>
        </w:tabs>
        <w:spacing w:line="7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二、没有为本项目提供整体设计、规范编制或者项目管理、监理、检测等服务。</w:t>
      </w:r>
    </w:p>
    <w:p w14:paraId="2DE8EF26">
      <w:pPr>
        <w:tabs>
          <w:tab w:val="left" w:pos="9365"/>
        </w:tabs>
        <w:spacing w:before="57" w:after="57" w:line="586" w:lineRule="atLeast"/>
        <w:ind w:right="85" w:firstLine="480" w:firstLineChars="200"/>
        <w:jc w:val="left"/>
        <w:textAlignment w:val="top"/>
        <w:rPr>
          <w:rFonts w:ascii="宋体" w:hAnsi="宋体"/>
          <w:color w:val="auto"/>
          <w:sz w:val="24"/>
          <w:szCs w:val="24"/>
          <w:highlight w:val="none"/>
        </w:rPr>
      </w:pPr>
      <w:r>
        <w:rPr>
          <w:rFonts w:hint="eastAsia" w:ascii="宋体" w:hAnsi="宋体"/>
          <w:color w:val="auto"/>
          <w:sz w:val="24"/>
          <w:szCs w:val="24"/>
          <w:highlight w:val="none"/>
        </w:rPr>
        <w:t>三、若出现上述行为，我单位确</w:t>
      </w:r>
      <w:r>
        <w:rPr>
          <w:rFonts w:ascii="宋体" w:hAnsi="宋体"/>
          <w:color w:val="auto"/>
          <w:sz w:val="24"/>
          <w:szCs w:val="24"/>
          <w:highlight w:val="none"/>
        </w:rPr>
        <w:t>认投标无</w:t>
      </w:r>
      <w:r>
        <w:rPr>
          <w:rFonts w:hint="eastAsia" w:ascii="宋体" w:hAnsi="宋体"/>
          <w:color w:val="auto"/>
          <w:sz w:val="24"/>
          <w:szCs w:val="24"/>
          <w:highlight w:val="none"/>
        </w:rPr>
        <w:t>效、</w:t>
      </w:r>
      <w:r>
        <w:rPr>
          <w:rFonts w:ascii="宋体" w:hAnsi="宋体"/>
          <w:color w:val="auto"/>
          <w:sz w:val="24"/>
          <w:szCs w:val="24"/>
          <w:highlight w:val="none"/>
        </w:rPr>
        <w:t>承诺</w:t>
      </w:r>
      <w:r>
        <w:rPr>
          <w:rFonts w:hint="eastAsia" w:ascii="宋体" w:hAnsi="宋体"/>
          <w:color w:val="auto"/>
          <w:sz w:val="24"/>
          <w:szCs w:val="24"/>
          <w:highlight w:val="none"/>
        </w:rPr>
        <w:t>书</w:t>
      </w:r>
      <w:r>
        <w:rPr>
          <w:rFonts w:ascii="宋体" w:hAnsi="宋体"/>
          <w:color w:val="auto"/>
          <w:sz w:val="24"/>
          <w:szCs w:val="24"/>
          <w:highlight w:val="none"/>
        </w:rPr>
        <w:t>虚假</w:t>
      </w:r>
      <w:r>
        <w:rPr>
          <w:rFonts w:hint="eastAsia" w:ascii="宋体" w:hAnsi="宋体"/>
          <w:color w:val="auto"/>
          <w:sz w:val="24"/>
          <w:szCs w:val="24"/>
          <w:highlight w:val="none"/>
        </w:rPr>
        <w:t>，接受相关部门按照国家法律法规等有关规定对</w:t>
      </w:r>
      <w:r>
        <w:rPr>
          <w:rFonts w:ascii="宋体" w:hAnsi="宋体"/>
          <w:color w:val="auto"/>
          <w:sz w:val="24"/>
          <w:szCs w:val="24"/>
          <w:highlight w:val="none"/>
        </w:rPr>
        <w:t>我单位虚假承诺所</w:t>
      </w:r>
      <w:r>
        <w:rPr>
          <w:rFonts w:hint="eastAsia" w:ascii="宋体" w:hAnsi="宋体"/>
          <w:color w:val="auto"/>
          <w:sz w:val="24"/>
          <w:szCs w:val="24"/>
          <w:highlight w:val="none"/>
        </w:rPr>
        <w:t>给予的处理。</w:t>
      </w:r>
    </w:p>
    <w:p w14:paraId="771C0061">
      <w:pPr>
        <w:tabs>
          <w:tab w:val="left" w:pos="9365"/>
        </w:tabs>
        <w:spacing w:before="57" w:after="57" w:line="586" w:lineRule="atLeast"/>
        <w:ind w:right="85"/>
        <w:jc w:val="left"/>
        <w:textAlignment w:val="top"/>
        <w:rPr>
          <w:rFonts w:ascii="宋体" w:hAnsi="宋体"/>
          <w:color w:val="auto"/>
          <w:sz w:val="24"/>
          <w:szCs w:val="24"/>
          <w:highlight w:val="none"/>
        </w:rPr>
      </w:pPr>
      <w:r>
        <w:rPr>
          <w:rFonts w:ascii="宋体" w:hAnsi="宋体"/>
          <w:color w:val="auto"/>
          <w:sz w:val="24"/>
          <w:szCs w:val="24"/>
          <w:highlight w:val="none"/>
        </w:rPr>
        <w:t> </w:t>
      </w:r>
    </w:p>
    <w:p w14:paraId="07685DC0">
      <w:pPr>
        <w:snapToGrid w:val="0"/>
        <w:spacing w:before="100" w:beforeAutospacing="1" w:after="100" w:afterAutospacing="1" w:line="700" w:lineRule="exact"/>
        <w:ind w:right="641"/>
        <w:rPr>
          <w:rFonts w:ascii="宋体" w:hAnsi="宋体"/>
          <w:color w:val="auto"/>
          <w:sz w:val="24"/>
          <w:szCs w:val="24"/>
          <w:highlight w:val="none"/>
        </w:rPr>
      </w:pPr>
      <w:r>
        <w:rPr>
          <w:rFonts w:hint="eastAsia" w:ascii="宋体" w:hAnsi="宋体"/>
          <w:color w:val="auto"/>
          <w:sz w:val="24"/>
          <w:highlight w:val="none"/>
        </w:rPr>
        <w:t>投标人</w:t>
      </w:r>
      <w:r>
        <w:rPr>
          <w:rFonts w:hint="eastAsia" w:ascii="宋体" w:hAnsi="宋体"/>
          <w:color w:val="auto"/>
          <w:sz w:val="24"/>
          <w:szCs w:val="24"/>
          <w:highlight w:val="none"/>
        </w:rPr>
        <w:t>（电子签章）：</w:t>
      </w:r>
    </w:p>
    <w:p w14:paraId="2FDF5CC9">
      <w:pPr>
        <w:snapToGrid w:val="0"/>
        <w:spacing w:before="100" w:beforeAutospacing="1" w:after="100" w:afterAutospacing="1" w:line="700" w:lineRule="exact"/>
        <w:ind w:right="641"/>
        <w:rPr>
          <w:rFonts w:ascii="宋体" w:hAnsi="宋体"/>
          <w:color w:val="auto"/>
          <w:sz w:val="24"/>
          <w:szCs w:val="24"/>
          <w:highlight w:val="none"/>
        </w:rPr>
      </w:pPr>
      <w:r>
        <w:rPr>
          <w:rFonts w:hint="eastAsia" w:ascii="宋体" w:hAnsi="宋体"/>
          <w:color w:val="auto"/>
          <w:sz w:val="24"/>
          <w:szCs w:val="24"/>
          <w:highlight w:val="none"/>
        </w:rPr>
        <w:t>法定代表人（电子签名或签章）：</w:t>
      </w:r>
    </w:p>
    <w:p w14:paraId="2D69DAF3">
      <w:pPr>
        <w:widowControl w:val="0"/>
        <w:tabs>
          <w:tab w:val="left" w:pos="9365"/>
        </w:tabs>
        <w:snapToGrid w:val="0"/>
        <w:spacing w:after="56" w:line="560" w:lineRule="exact"/>
        <w:ind w:right="85"/>
        <w:jc w:val="left"/>
        <w:textAlignment w:val="top"/>
        <w:rPr>
          <w:color w:val="auto"/>
          <w:sz w:val="24"/>
          <w:szCs w:val="24"/>
          <w:highlight w:val="none"/>
        </w:rPr>
      </w:pPr>
      <w:r>
        <w:rPr>
          <w:rFonts w:hint="eastAsia" w:ascii="宋体" w:hAnsi="宋体"/>
          <w:color w:val="auto"/>
          <w:sz w:val="24"/>
          <w:szCs w:val="24"/>
          <w:highlight w:val="none"/>
        </w:rPr>
        <w:t>日期：</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14:paraId="3CE998A6">
      <w:pPr>
        <w:autoSpaceDE w:val="0"/>
        <w:autoSpaceDN w:val="0"/>
        <w:adjustRightInd w:val="0"/>
        <w:spacing w:line="360" w:lineRule="auto"/>
        <w:jc w:val="center"/>
        <w:rPr>
          <w:rFonts w:ascii="宋体"/>
          <w:color w:val="auto"/>
          <w:sz w:val="24"/>
          <w:szCs w:val="24"/>
          <w:highlight w:val="none"/>
        </w:rPr>
      </w:pPr>
    </w:p>
    <w:p w14:paraId="4A01816E">
      <w:pPr>
        <w:autoSpaceDE w:val="0"/>
        <w:autoSpaceDN w:val="0"/>
        <w:adjustRightInd w:val="0"/>
        <w:spacing w:line="360" w:lineRule="auto"/>
        <w:jc w:val="center"/>
        <w:rPr>
          <w:rFonts w:ascii="宋体"/>
          <w:color w:val="auto"/>
          <w:sz w:val="24"/>
          <w:szCs w:val="24"/>
          <w:highlight w:val="none"/>
        </w:rPr>
      </w:pPr>
    </w:p>
    <w:p w14:paraId="3830843D">
      <w:pPr>
        <w:autoSpaceDE w:val="0"/>
        <w:autoSpaceDN w:val="0"/>
        <w:adjustRightInd w:val="0"/>
        <w:spacing w:line="360" w:lineRule="auto"/>
        <w:jc w:val="center"/>
        <w:rPr>
          <w:rFonts w:ascii="宋体"/>
          <w:color w:val="auto"/>
          <w:sz w:val="24"/>
          <w:szCs w:val="24"/>
          <w:highlight w:val="none"/>
        </w:rPr>
      </w:pPr>
    </w:p>
    <w:p w14:paraId="6D414476">
      <w:pPr>
        <w:autoSpaceDE w:val="0"/>
        <w:autoSpaceDN w:val="0"/>
        <w:adjustRightInd w:val="0"/>
        <w:spacing w:line="360" w:lineRule="auto"/>
        <w:jc w:val="center"/>
        <w:rPr>
          <w:rFonts w:ascii="宋体"/>
          <w:color w:val="auto"/>
          <w:sz w:val="24"/>
          <w:szCs w:val="24"/>
          <w:highlight w:val="none"/>
        </w:rPr>
      </w:pPr>
    </w:p>
    <w:p w14:paraId="42A151B9">
      <w:pPr>
        <w:autoSpaceDE w:val="0"/>
        <w:autoSpaceDN w:val="0"/>
        <w:adjustRightInd w:val="0"/>
        <w:spacing w:line="360" w:lineRule="auto"/>
        <w:jc w:val="center"/>
        <w:rPr>
          <w:rFonts w:ascii="宋体"/>
          <w:color w:val="auto"/>
          <w:sz w:val="24"/>
          <w:szCs w:val="24"/>
          <w:highlight w:val="none"/>
        </w:rPr>
      </w:pPr>
      <w:r>
        <w:rPr>
          <w:rFonts w:ascii="宋体"/>
          <w:color w:val="auto"/>
          <w:sz w:val="24"/>
          <w:szCs w:val="24"/>
          <w:highlight w:val="none"/>
        </w:rPr>
        <w:br w:type="page"/>
      </w:r>
    </w:p>
    <w:p w14:paraId="2EF7D24F">
      <w:pPr>
        <w:autoSpaceDE w:val="0"/>
        <w:autoSpaceDN w:val="0"/>
        <w:adjustRightInd w:val="0"/>
        <w:spacing w:line="360" w:lineRule="auto"/>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15-3、投标承诺函</w:t>
      </w:r>
    </w:p>
    <w:p w14:paraId="2662C269">
      <w:pPr>
        <w:widowControl w:val="0"/>
        <w:autoSpaceDE w:val="0"/>
        <w:autoSpaceDN w:val="0"/>
        <w:adjustRightInd w:val="0"/>
        <w:spacing w:line="240" w:lineRule="auto"/>
        <w:jc w:val="center"/>
        <w:textAlignment w:val="auto"/>
        <w:rPr>
          <w:rFonts w:ascii="黑体" w:hAnsi="黑体" w:eastAsia="黑体"/>
          <w:b/>
          <w:color w:val="auto"/>
          <w:sz w:val="30"/>
          <w:szCs w:val="30"/>
          <w:highlight w:val="none"/>
        </w:rPr>
      </w:pPr>
      <w:r>
        <w:rPr>
          <w:rFonts w:hint="eastAsia" w:ascii="黑体" w:hAnsi="黑体" w:eastAsia="黑体"/>
          <w:b/>
          <w:color w:val="auto"/>
          <w:sz w:val="30"/>
          <w:szCs w:val="30"/>
          <w:highlight w:val="none"/>
        </w:rPr>
        <w:t>（以投标承诺函形式，替代投标保证金的相关承诺事项）</w:t>
      </w:r>
    </w:p>
    <w:p w14:paraId="6AAB3D7F">
      <w:pPr>
        <w:widowControl w:val="0"/>
        <w:tabs>
          <w:tab w:val="left" w:pos="9365"/>
        </w:tabs>
        <w:spacing w:before="360" w:after="360" w:line="360" w:lineRule="auto"/>
        <w:ind w:right="85"/>
        <w:jc w:val="left"/>
        <w:textAlignment w:val="top"/>
        <w:rPr>
          <w:rFonts w:ascii="宋体" w:hAnsi="宋体"/>
          <w:color w:val="auto"/>
          <w:sz w:val="24"/>
          <w:szCs w:val="24"/>
          <w:highlight w:val="none"/>
        </w:rPr>
      </w:pPr>
      <w:r>
        <w:rPr>
          <w:rFonts w:hint="eastAsia" w:ascii="宋体" w:hAnsi="宋体"/>
          <w:color w:val="auto"/>
          <w:sz w:val="24"/>
          <w:szCs w:val="24"/>
          <w:highlight w:val="none"/>
        </w:rPr>
        <w:t>致：</w:t>
      </w:r>
      <w:r>
        <w:rPr>
          <w:rFonts w:hint="eastAsia" w:ascii="宋体" w:hAnsi="宋体"/>
          <w:color w:val="auto"/>
          <w:sz w:val="24"/>
          <w:szCs w:val="24"/>
          <w:highlight w:val="none"/>
          <w:u w:val="single"/>
        </w:rPr>
        <w:t xml:space="preserve">    </w:t>
      </w:r>
      <w:r>
        <w:rPr>
          <w:rFonts w:hint="eastAsia" w:ascii="宋体" w:hAnsi="宋体"/>
          <w:color w:val="auto"/>
          <w:spacing w:val="11"/>
          <w:sz w:val="24"/>
          <w:szCs w:val="24"/>
          <w:highlight w:val="none"/>
          <w:u w:val="single"/>
        </w:rPr>
        <w:t>(采购人名称） 、</w:t>
      </w:r>
      <w:r>
        <w:rPr>
          <w:rFonts w:hint="eastAsia"/>
          <w:color w:val="auto"/>
          <w:sz w:val="24"/>
          <w:szCs w:val="24"/>
          <w:highlight w:val="none"/>
        </w:rPr>
        <w:t>安阳市方正招标采购服务有限责任公司</w:t>
      </w:r>
    </w:p>
    <w:p w14:paraId="34013540">
      <w:pPr>
        <w:widowControl w:val="0"/>
        <w:tabs>
          <w:tab w:val="left" w:pos="65"/>
        </w:tabs>
        <w:spacing w:line="460" w:lineRule="atLeast"/>
        <w:ind w:firstLine="480" w:firstLineChars="200"/>
        <w:textAlignment w:val="auto"/>
        <w:rPr>
          <w:rFonts w:ascii="宋体" w:hAnsi="宋体"/>
          <w:color w:val="auto"/>
          <w:sz w:val="24"/>
          <w:szCs w:val="24"/>
          <w:highlight w:val="none"/>
          <w:lang w:val="zh-CN"/>
        </w:rPr>
      </w:pPr>
      <w:r>
        <w:rPr>
          <w:rFonts w:hint="eastAsia" w:ascii="宋体" w:hAnsi="宋体"/>
          <w:color w:val="auto"/>
          <w:sz w:val="24"/>
          <w:szCs w:val="24"/>
          <w:highlight w:val="none"/>
        </w:rPr>
        <w:t>在项目编号为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的</w:t>
      </w:r>
      <w:r>
        <w:rPr>
          <w:rFonts w:hint="eastAsia" w:ascii="宋体" w:hAnsi="宋体"/>
          <w:color w:val="auto"/>
          <w:sz w:val="24"/>
          <w:szCs w:val="24"/>
          <w:highlight w:val="none"/>
          <w:u w:val="single"/>
        </w:rPr>
        <w:t xml:space="preserve">    （项目名称）  </w:t>
      </w:r>
      <w:r>
        <w:rPr>
          <w:rFonts w:hint="eastAsia" w:ascii="宋体" w:hAnsi="宋体"/>
          <w:color w:val="auto"/>
          <w:sz w:val="24"/>
          <w:szCs w:val="24"/>
          <w:highlight w:val="none"/>
        </w:rPr>
        <w:t xml:space="preserve"> 采购活动中，我</w:t>
      </w:r>
      <w:r>
        <w:rPr>
          <w:rFonts w:hint="eastAsia"/>
          <w:color w:val="auto"/>
          <w:sz w:val="24"/>
          <w:highlight w:val="none"/>
        </w:rPr>
        <w:t>单位</w:t>
      </w:r>
      <w:r>
        <w:rPr>
          <w:rFonts w:hint="eastAsia" w:ascii="宋体" w:hAnsi="宋体"/>
          <w:color w:val="auto"/>
          <w:sz w:val="24"/>
          <w:szCs w:val="24"/>
          <w:highlight w:val="none"/>
        </w:rPr>
        <w:t>承诺：</w:t>
      </w:r>
    </w:p>
    <w:p w14:paraId="251073F2">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一、遵循公开、公平、公正和</w:t>
      </w:r>
      <w:r>
        <w:rPr>
          <w:color w:val="auto"/>
          <w:highlight w:val="none"/>
        </w:rPr>
        <w:fldChar w:fldCharType="begin"/>
      </w:r>
      <w:r>
        <w:rPr>
          <w:color w:val="auto"/>
          <w:highlight w:val="none"/>
        </w:rPr>
        <w:instrText xml:space="preserve"> HYPERLINK "http://www.so.com/s?q=%E8%AF%9A%E5%AE%9E%E4%BF%A1%E7%94%A8&amp;ie=utf-8&amp;src=internal_wenda_recommend_textn" \t "https://wenda.so.com/q/_blank" </w:instrText>
      </w:r>
      <w:r>
        <w:rPr>
          <w:color w:val="auto"/>
          <w:highlight w:val="none"/>
        </w:rPr>
        <w:fldChar w:fldCharType="separate"/>
      </w:r>
      <w:r>
        <w:rPr>
          <w:rFonts w:hint="eastAsia" w:ascii="宋体" w:hAnsi="宋体"/>
          <w:color w:val="auto"/>
          <w:sz w:val="24"/>
          <w:szCs w:val="24"/>
          <w:highlight w:val="none"/>
        </w:rPr>
        <w:t>诚实信用</w:t>
      </w:r>
      <w:r>
        <w:rPr>
          <w:rFonts w:hint="eastAsia" w:ascii="宋体" w:hAnsi="宋体"/>
          <w:color w:val="auto"/>
          <w:sz w:val="24"/>
          <w:szCs w:val="24"/>
          <w:highlight w:val="none"/>
        </w:rPr>
        <w:fldChar w:fldCharType="end"/>
      </w:r>
      <w:r>
        <w:rPr>
          <w:rFonts w:hint="eastAsia" w:ascii="宋体" w:hAnsi="宋体"/>
          <w:color w:val="auto"/>
          <w:sz w:val="24"/>
          <w:szCs w:val="24"/>
          <w:highlight w:val="none"/>
        </w:rPr>
        <w:t>的原则自愿参加本项目投标；</w:t>
      </w:r>
      <w:r>
        <w:rPr>
          <w:rFonts w:hint="eastAsia" w:ascii="宋体" w:hAnsi="宋体"/>
          <w:color w:val="auto"/>
          <w:sz w:val="24"/>
          <w:szCs w:val="24"/>
          <w:highlight w:val="none"/>
        </w:rPr>
        <w:br w:type="textWrapping"/>
      </w:r>
      <w:r>
        <w:rPr>
          <w:rFonts w:hint="eastAsia" w:ascii="宋体" w:hAnsi="宋体"/>
          <w:color w:val="auto"/>
          <w:sz w:val="24"/>
          <w:szCs w:val="24"/>
          <w:highlight w:val="none"/>
        </w:rPr>
        <w:t xml:space="preserve">    二、在政府采购活动中提供真实、准确、有效、合法的材料，不</w:t>
      </w:r>
      <w:r>
        <w:rPr>
          <w:rFonts w:hint="eastAsia" w:ascii="宋体" w:hAnsi="宋体"/>
          <w:color w:val="auto"/>
          <w:sz w:val="24"/>
          <w:szCs w:val="24"/>
          <w:highlight w:val="none"/>
          <w:lang w:val="zh-CN"/>
        </w:rPr>
        <w:t>提供虚假材料；</w:t>
      </w:r>
    </w:p>
    <w:p w14:paraId="4F4633F7">
      <w:pPr>
        <w:widowControl w:val="0"/>
        <w:tabs>
          <w:tab w:val="left" w:pos="65"/>
        </w:tabs>
        <w:spacing w:line="460" w:lineRule="atLeast"/>
        <w:ind w:firstLine="480" w:firstLineChars="200"/>
        <w:textAlignment w:val="auto"/>
        <w:rPr>
          <w:rFonts w:ascii="宋体" w:hAnsi="宋体"/>
          <w:color w:val="auto"/>
          <w:sz w:val="24"/>
          <w:szCs w:val="24"/>
          <w:highlight w:val="none"/>
          <w:lang w:val="zh-CN"/>
        </w:rPr>
      </w:pPr>
      <w:r>
        <w:rPr>
          <w:rFonts w:hint="eastAsia" w:ascii="宋体" w:hAnsi="宋体"/>
          <w:color w:val="auto"/>
          <w:sz w:val="24"/>
          <w:szCs w:val="24"/>
          <w:highlight w:val="none"/>
        </w:rPr>
        <w:t>三、</w:t>
      </w:r>
      <w:r>
        <w:rPr>
          <w:rFonts w:hint="eastAsia" w:ascii="宋体" w:hAnsi="宋体"/>
          <w:color w:val="auto"/>
          <w:sz w:val="24"/>
          <w:szCs w:val="24"/>
          <w:highlight w:val="none"/>
          <w:lang w:val="zh-CN"/>
        </w:rPr>
        <w:t>按照</w:t>
      </w:r>
      <w:r>
        <w:rPr>
          <w:rFonts w:hint="eastAsia" w:ascii="宋体" w:hAnsi="宋体"/>
          <w:color w:val="auto"/>
          <w:sz w:val="24"/>
          <w:szCs w:val="24"/>
          <w:highlight w:val="none"/>
        </w:rPr>
        <w:t>招标文件</w:t>
      </w:r>
      <w:r>
        <w:rPr>
          <w:rFonts w:hint="eastAsia" w:ascii="宋体" w:hAnsi="宋体"/>
          <w:color w:val="auto"/>
          <w:sz w:val="24"/>
          <w:szCs w:val="24"/>
          <w:highlight w:val="none"/>
          <w:lang w:val="zh-CN"/>
        </w:rPr>
        <w:t>规定，在提交投标文件截止时间后，在</w:t>
      </w:r>
      <w:r>
        <w:rPr>
          <w:rFonts w:hint="eastAsia" w:ascii="宋体" w:hAnsi="宋体"/>
          <w:color w:val="auto"/>
          <w:sz w:val="24"/>
          <w:szCs w:val="24"/>
          <w:highlight w:val="none"/>
        </w:rPr>
        <w:t>招标文件</w:t>
      </w:r>
      <w:r>
        <w:rPr>
          <w:rFonts w:hint="eastAsia" w:ascii="宋体" w:hAnsi="宋体"/>
          <w:color w:val="auto"/>
          <w:sz w:val="24"/>
          <w:szCs w:val="24"/>
          <w:highlight w:val="none"/>
          <w:lang w:val="zh-CN"/>
        </w:rPr>
        <w:t>规定的投标有效期限内不撤回投标文件；</w:t>
      </w:r>
    </w:p>
    <w:p w14:paraId="1B2A1AC4">
      <w:pPr>
        <w:widowControl w:val="0"/>
        <w:tabs>
          <w:tab w:val="left" w:pos="65"/>
        </w:tabs>
        <w:spacing w:line="460" w:lineRule="atLeast"/>
        <w:ind w:firstLine="480" w:firstLineChars="200"/>
        <w:textAlignment w:val="auto"/>
        <w:rPr>
          <w:rFonts w:ascii="宋体" w:hAnsi="宋体"/>
          <w:color w:val="auto"/>
          <w:sz w:val="24"/>
          <w:szCs w:val="24"/>
          <w:highlight w:val="none"/>
          <w:lang w:val="zh-CN"/>
        </w:rPr>
      </w:pPr>
      <w:r>
        <w:rPr>
          <w:rFonts w:hint="eastAsia" w:ascii="宋体" w:hAnsi="宋体"/>
          <w:color w:val="auto"/>
          <w:sz w:val="24"/>
          <w:szCs w:val="24"/>
          <w:highlight w:val="none"/>
        </w:rPr>
        <w:t>四、不</w:t>
      </w:r>
      <w:r>
        <w:rPr>
          <w:rFonts w:hint="eastAsia" w:ascii="宋体" w:hAnsi="宋体"/>
          <w:color w:val="auto"/>
          <w:sz w:val="24"/>
          <w:szCs w:val="24"/>
          <w:highlight w:val="none"/>
          <w:lang w:val="zh-CN"/>
        </w:rPr>
        <w:t>与其他供应商、采购人或采购代理机构串通或恶意串通。</w:t>
      </w:r>
    </w:p>
    <w:p w14:paraId="3816E5D8">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五、如我单位中标，</w:t>
      </w:r>
      <w:r>
        <w:rPr>
          <w:rFonts w:hint="eastAsia" w:ascii="宋体" w:hAnsi="宋体"/>
          <w:color w:val="auto"/>
          <w:sz w:val="24"/>
          <w:szCs w:val="24"/>
          <w:highlight w:val="none"/>
          <w:lang w:val="zh-CN"/>
        </w:rPr>
        <w:t>除不可抗拒力或</w:t>
      </w:r>
      <w:r>
        <w:rPr>
          <w:rFonts w:hint="eastAsia" w:ascii="宋体" w:hAnsi="宋体"/>
          <w:color w:val="auto"/>
          <w:sz w:val="24"/>
          <w:szCs w:val="24"/>
          <w:highlight w:val="none"/>
        </w:rPr>
        <w:t>招标文件</w:t>
      </w:r>
      <w:r>
        <w:rPr>
          <w:rFonts w:hint="eastAsia" w:ascii="宋体" w:hAnsi="宋体"/>
          <w:color w:val="auto"/>
          <w:sz w:val="24"/>
          <w:szCs w:val="24"/>
          <w:highlight w:val="none"/>
          <w:lang w:val="zh-CN"/>
        </w:rPr>
        <w:t>认可的情形外</w:t>
      </w:r>
      <w:r>
        <w:rPr>
          <w:rFonts w:hint="eastAsia" w:ascii="宋体" w:hAnsi="宋体"/>
          <w:color w:val="auto"/>
          <w:sz w:val="24"/>
          <w:szCs w:val="24"/>
          <w:highlight w:val="none"/>
        </w:rPr>
        <w:t>，我单位承诺及时领取中标通知书，</w:t>
      </w:r>
      <w:r>
        <w:rPr>
          <w:rFonts w:hint="eastAsia" w:ascii="宋体" w:hAnsi="宋体"/>
          <w:color w:val="auto"/>
          <w:sz w:val="24"/>
          <w:szCs w:val="24"/>
          <w:highlight w:val="none"/>
          <w:lang w:val="zh-CN"/>
        </w:rPr>
        <w:t>在成交通知书规定时间、地点与采购人签订合同；</w:t>
      </w:r>
      <w:r>
        <w:rPr>
          <w:rFonts w:hint="eastAsia" w:ascii="宋体" w:hAnsi="宋体"/>
          <w:color w:val="auto"/>
          <w:sz w:val="24"/>
          <w:szCs w:val="24"/>
          <w:highlight w:val="none"/>
        </w:rPr>
        <w:br w:type="textWrapping"/>
      </w:r>
      <w:r>
        <w:rPr>
          <w:rFonts w:hint="eastAsia" w:ascii="宋体" w:hAnsi="宋体"/>
          <w:color w:val="auto"/>
          <w:sz w:val="24"/>
          <w:szCs w:val="24"/>
          <w:highlight w:val="none"/>
        </w:rPr>
        <w:t xml:space="preserve">    六、</w:t>
      </w:r>
      <w:r>
        <w:rPr>
          <w:rFonts w:hint="eastAsia" w:ascii="宋体" w:hAnsi="宋体"/>
          <w:color w:val="auto"/>
          <w:sz w:val="24"/>
          <w:szCs w:val="24"/>
          <w:highlight w:val="none"/>
          <w:lang w:val="zh-CN"/>
        </w:rPr>
        <w:t>遵守法律法规及</w:t>
      </w:r>
      <w:r>
        <w:rPr>
          <w:rFonts w:hint="eastAsia" w:ascii="宋体" w:hAnsi="宋体"/>
          <w:color w:val="auto"/>
          <w:sz w:val="24"/>
          <w:szCs w:val="24"/>
          <w:highlight w:val="none"/>
        </w:rPr>
        <w:t>招标文件</w:t>
      </w:r>
      <w:r>
        <w:rPr>
          <w:rFonts w:hint="eastAsia" w:ascii="宋体" w:hAnsi="宋体"/>
          <w:color w:val="auto"/>
          <w:sz w:val="24"/>
          <w:szCs w:val="24"/>
          <w:highlight w:val="none"/>
          <w:lang w:val="zh-CN"/>
        </w:rPr>
        <w:t>规定的其他情况；</w:t>
      </w:r>
    </w:p>
    <w:p w14:paraId="14BA6744">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七、按招标文件规定及时缴纳中标服务费。</w:t>
      </w:r>
    </w:p>
    <w:p w14:paraId="5A74BEBB">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八、违背上述承诺事项的，我单位无条件接受以下责任追究：</w:t>
      </w:r>
    </w:p>
    <w:p w14:paraId="108F6DA4">
      <w:pPr>
        <w:widowControl w:val="0"/>
        <w:tabs>
          <w:tab w:val="left" w:pos="65"/>
        </w:tabs>
        <w:spacing w:line="460" w:lineRule="atLeast"/>
        <w:ind w:firstLine="480" w:firstLineChars="200"/>
        <w:textAlignment w:val="auto"/>
        <w:rPr>
          <w:rFonts w:ascii="宋体" w:hAnsi="宋体"/>
          <w:color w:val="auto"/>
          <w:sz w:val="24"/>
          <w:szCs w:val="24"/>
          <w:highlight w:val="none"/>
          <w:lang w:val="zh-CN"/>
        </w:rPr>
      </w:pPr>
      <w:r>
        <w:rPr>
          <w:rFonts w:hint="eastAsia" w:ascii="宋体" w:hAnsi="宋体"/>
          <w:color w:val="auto"/>
          <w:sz w:val="24"/>
          <w:szCs w:val="24"/>
          <w:highlight w:val="none"/>
          <w:lang w:val="zh-CN"/>
        </w:rPr>
        <w:t>（一）法定责任：</w:t>
      </w:r>
      <w:r>
        <w:rPr>
          <w:rFonts w:hint="eastAsia" w:ascii="宋体" w:hAnsi="宋体"/>
          <w:color w:val="auto"/>
          <w:sz w:val="24"/>
          <w:szCs w:val="24"/>
          <w:highlight w:val="none"/>
        </w:rPr>
        <w:t>按照政府采购相关法规，</w:t>
      </w:r>
      <w:r>
        <w:rPr>
          <w:rFonts w:hint="eastAsia" w:ascii="宋体" w:hAnsi="宋体"/>
          <w:color w:val="auto"/>
          <w:sz w:val="24"/>
          <w:szCs w:val="24"/>
          <w:highlight w:val="none"/>
          <w:lang w:val="zh-CN"/>
        </w:rPr>
        <w:t>处以罚款，列入不良行为记录名单，在一至三年内禁止参加政府采购活动，有违法所得的，并处没收违法所得，情节严重的，由工商行政管理机关（市场监督机关）吊销营业执照；构成犯罪的，依法追究刑事责任。</w:t>
      </w:r>
    </w:p>
    <w:p w14:paraId="4F6B91BC">
      <w:pPr>
        <w:widowControl w:val="0"/>
        <w:tabs>
          <w:tab w:val="left" w:pos="65"/>
        </w:tabs>
        <w:spacing w:line="460" w:lineRule="atLeast"/>
        <w:ind w:firstLine="480" w:firstLineChars="200"/>
        <w:textAlignment w:val="auto"/>
        <w:rPr>
          <w:rFonts w:ascii="宋体" w:hAnsi="宋体"/>
          <w:color w:val="auto"/>
          <w:sz w:val="24"/>
          <w:szCs w:val="24"/>
          <w:highlight w:val="none"/>
          <w:lang w:val="zh-CN"/>
        </w:rPr>
      </w:pPr>
      <w:r>
        <w:rPr>
          <w:rFonts w:hint="eastAsia" w:ascii="宋体" w:hAnsi="宋体"/>
          <w:color w:val="auto"/>
          <w:sz w:val="24"/>
          <w:szCs w:val="24"/>
          <w:highlight w:val="none"/>
        </w:rPr>
        <w:t>给采购人及他人造成损失的，愿承担相应的赔偿责任。</w:t>
      </w:r>
    </w:p>
    <w:p w14:paraId="02B49B96">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val="zh-CN"/>
        </w:rPr>
        <w:t>（二）违约责任：</w:t>
      </w:r>
      <w:r>
        <w:rPr>
          <w:rFonts w:hint="eastAsia" w:ascii="宋体" w:hAnsi="宋体"/>
          <w:color w:val="auto"/>
          <w:sz w:val="24"/>
          <w:szCs w:val="24"/>
          <w:highlight w:val="none"/>
        </w:rPr>
        <w:t xml:space="preserve"> </w:t>
      </w:r>
    </w:p>
    <w:p w14:paraId="07F0610E">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1、已中标的，中标（成交）无效；</w:t>
      </w:r>
    </w:p>
    <w:p w14:paraId="3A3879A3">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2、支付采购人违约标的预算金额2%的</w:t>
      </w:r>
      <w:r>
        <w:rPr>
          <w:rFonts w:hint="eastAsia" w:ascii="宋体" w:hAnsi="宋体"/>
          <w:color w:val="auto"/>
          <w:sz w:val="24"/>
          <w:szCs w:val="24"/>
          <w:highlight w:val="none"/>
          <w:lang w:val="zh-CN"/>
        </w:rPr>
        <w:t>违约金</w:t>
      </w:r>
      <w:r>
        <w:rPr>
          <w:rFonts w:hint="eastAsia" w:ascii="宋体" w:hAnsi="宋体"/>
          <w:color w:val="auto"/>
          <w:sz w:val="24"/>
          <w:szCs w:val="24"/>
          <w:highlight w:val="none"/>
        </w:rPr>
        <w:t>；</w:t>
      </w:r>
    </w:p>
    <w:p w14:paraId="1F4A34D6">
      <w:pPr>
        <w:widowControl w:val="0"/>
        <w:tabs>
          <w:tab w:val="left" w:pos="65"/>
        </w:tabs>
        <w:spacing w:line="460" w:lineRule="atLeast"/>
        <w:ind w:firstLine="480" w:firstLineChars="200"/>
        <w:textAlignment w:val="auto"/>
        <w:rPr>
          <w:rFonts w:ascii="宋体" w:hAnsi="宋体"/>
          <w:color w:val="auto"/>
          <w:sz w:val="24"/>
          <w:szCs w:val="24"/>
          <w:highlight w:val="none"/>
          <w:lang w:val="zh-CN"/>
        </w:rPr>
      </w:pPr>
      <w:r>
        <w:rPr>
          <w:rFonts w:hint="eastAsia" w:ascii="宋体" w:hAnsi="宋体"/>
          <w:color w:val="auto"/>
          <w:sz w:val="24"/>
          <w:szCs w:val="24"/>
          <w:highlight w:val="none"/>
        </w:rPr>
        <w:t>3、中标后未缴中标服务费的，作为违约及违背</w:t>
      </w:r>
      <w:r>
        <w:rPr>
          <w:color w:val="auto"/>
          <w:highlight w:val="none"/>
        </w:rPr>
        <w:fldChar w:fldCharType="begin"/>
      </w:r>
      <w:r>
        <w:rPr>
          <w:color w:val="auto"/>
          <w:highlight w:val="none"/>
        </w:rPr>
        <w:instrText xml:space="preserve"> HYPERLINK "http://www.so.com/s?q=%E8%AF%9A%E5%AE%9E%E4%BF%A1%E7%94%A8&amp;ie=utf-8&amp;src=internal_wenda_recommend_textn" \t "https://wenda.so.com/q/_blank" </w:instrText>
      </w:r>
      <w:r>
        <w:rPr>
          <w:color w:val="auto"/>
          <w:highlight w:val="none"/>
        </w:rPr>
        <w:fldChar w:fldCharType="separate"/>
      </w:r>
      <w:r>
        <w:rPr>
          <w:rFonts w:hint="eastAsia" w:ascii="宋体" w:hAnsi="宋体"/>
          <w:color w:val="auto"/>
          <w:sz w:val="24"/>
          <w:szCs w:val="24"/>
          <w:highlight w:val="none"/>
        </w:rPr>
        <w:t>诚实信用</w:t>
      </w:r>
      <w:r>
        <w:rPr>
          <w:rFonts w:hint="eastAsia" w:ascii="宋体" w:hAnsi="宋体"/>
          <w:color w:val="auto"/>
          <w:sz w:val="24"/>
          <w:szCs w:val="24"/>
          <w:highlight w:val="none"/>
        </w:rPr>
        <w:fldChar w:fldCharType="end"/>
      </w:r>
      <w:r>
        <w:rPr>
          <w:rFonts w:hint="eastAsia" w:ascii="宋体" w:hAnsi="宋体"/>
          <w:color w:val="auto"/>
          <w:sz w:val="24"/>
          <w:szCs w:val="24"/>
          <w:highlight w:val="none"/>
        </w:rPr>
        <w:t>原则，在履行承诺前，代理机构将视我单位为失信企业、不予办理其后相关业务。</w:t>
      </w:r>
    </w:p>
    <w:p w14:paraId="083F1F83">
      <w:pPr>
        <w:widowControl w:val="0"/>
        <w:autoSpaceDE w:val="0"/>
        <w:autoSpaceDN w:val="0"/>
        <w:adjustRightInd w:val="0"/>
        <w:spacing w:line="460" w:lineRule="atLeast"/>
        <w:ind w:left="-2" w:right="-817" w:hanging="149"/>
        <w:textAlignment w:val="auto"/>
        <w:rPr>
          <w:rFonts w:ascii="宋体" w:cs="楷体_GB2312"/>
          <w:color w:val="auto"/>
          <w:sz w:val="24"/>
          <w:highlight w:val="none"/>
          <w:lang w:val="zh-CN"/>
        </w:rPr>
      </w:pPr>
    </w:p>
    <w:p w14:paraId="2600C623">
      <w:pPr>
        <w:widowControl w:val="0"/>
        <w:tabs>
          <w:tab w:val="left" w:pos="9365"/>
        </w:tabs>
        <w:snapToGrid w:val="0"/>
        <w:spacing w:after="56" w:line="560" w:lineRule="exact"/>
        <w:ind w:right="85"/>
        <w:jc w:val="left"/>
        <w:textAlignment w:val="top"/>
        <w:rPr>
          <w:color w:val="auto"/>
          <w:sz w:val="24"/>
          <w:szCs w:val="24"/>
          <w:highlight w:val="none"/>
        </w:rPr>
      </w:pPr>
      <w:r>
        <w:rPr>
          <w:rFonts w:hint="eastAsia" w:ascii="宋体" w:hAnsi="宋体"/>
          <w:color w:val="auto"/>
          <w:sz w:val="24"/>
          <w:highlight w:val="none"/>
        </w:rPr>
        <w:t>投标人</w:t>
      </w:r>
      <w:r>
        <w:rPr>
          <w:rFonts w:hint="eastAsia"/>
          <w:color w:val="auto"/>
          <w:sz w:val="24"/>
          <w:szCs w:val="24"/>
          <w:highlight w:val="none"/>
        </w:rPr>
        <w:t>（电子签</w:t>
      </w:r>
      <w:r>
        <w:rPr>
          <w:rFonts w:hint="eastAsia" w:ascii="宋体" w:hAnsi="宋体"/>
          <w:color w:val="auto"/>
          <w:sz w:val="24"/>
          <w:szCs w:val="24"/>
          <w:highlight w:val="none"/>
        </w:rPr>
        <w:t>章</w:t>
      </w:r>
      <w:r>
        <w:rPr>
          <w:rFonts w:hint="eastAsia"/>
          <w:color w:val="auto"/>
          <w:sz w:val="24"/>
          <w:szCs w:val="24"/>
          <w:highlight w:val="none"/>
        </w:rPr>
        <w:t>）：</w:t>
      </w:r>
    </w:p>
    <w:p w14:paraId="4A65ECB6">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法定代表人（电子签名或签章）：</w:t>
      </w:r>
    </w:p>
    <w:p w14:paraId="70083AF1">
      <w:pPr>
        <w:widowControl w:val="0"/>
        <w:autoSpaceDE w:val="0"/>
        <w:autoSpaceDN w:val="0"/>
        <w:adjustRightInd w:val="0"/>
        <w:spacing w:line="240" w:lineRule="auto"/>
        <w:ind w:right="-816"/>
        <w:textAlignment w:val="auto"/>
        <w:rPr>
          <w:color w:val="auto"/>
          <w:sz w:val="24"/>
          <w:szCs w:val="24"/>
          <w:highlight w:val="none"/>
          <w:lang w:val="zh-CN"/>
        </w:rPr>
      </w:pPr>
      <w:r>
        <w:rPr>
          <w:rFonts w:hint="eastAsia" w:ascii="宋体" w:hAnsi="宋体" w:cs="楷体_GB2312"/>
          <w:color w:val="auto"/>
          <w:sz w:val="24"/>
          <w:highlight w:val="none"/>
          <w:lang w:val="zh-CN"/>
        </w:rPr>
        <w:t>日期：</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14:paraId="7FEF2607">
      <w:pPr>
        <w:autoSpaceDE w:val="0"/>
        <w:autoSpaceDN w:val="0"/>
        <w:adjustRightInd w:val="0"/>
        <w:spacing w:line="360" w:lineRule="auto"/>
        <w:jc w:val="center"/>
        <w:rPr>
          <w:rFonts w:ascii="宋体"/>
          <w:color w:val="auto"/>
          <w:sz w:val="24"/>
          <w:szCs w:val="24"/>
          <w:highlight w:val="none"/>
        </w:rPr>
      </w:pPr>
      <w:r>
        <w:rPr>
          <w:rFonts w:ascii="宋体"/>
          <w:color w:val="auto"/>
          <w:sz w:val="24"/>
          <w:szCs w:val="24"/>
          <w:highlight w:val="none"/>
        </w:rPr>
        <w:br w:type="page"/>
      </w:r>
    </w:p>
    <w:p w14:paraId="71276712">
      <w:pPr>
        <w:snapToGrid w:val="0"/>
        <w:spacing w:line="560" w:lineRule="atLeast"/>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1</w:t>
      </w:r>
      <w:r>
        <w:rPr>
          <w:rFonts w:ascii="黑体" w:hAnsi="黑体" w:eastAsia="黑体"/>
          <w:b/>
          <w:color w:val="auto"/>
          <w:sz w:val="30"/>
          <w:szCs w:val="30"/>
          <w:highlight w:val="none"/>
        </w:rPr>
        <w:t>5</w:t>
      </w:r>
      <w:r>
        <w:rPr>
          <w:rFonts w:hint="eastAsia" w:ascii="黑体" w:hAnsi="黑体" w:eastAsia="黑体"/>
          <w:b/>
          <w:color w:val="auto"/>
          <w:sz w:val="30"/>
          <w:szCs w:val="30"/>
          <w:highlight w:val="none"/>
        </w:rPr>
        <w:t>-4、其他资格证明材料</w:t>
      </w:r>
    </w:p>
    <w:p w14:paraId="66D60201">
      <w:pPr>
        <w:snapToGrid w:val="0"/>
        <w:spacing w:line="560" w:lineRule="atLeast"/>
        <w:ind w:firstLine="480" w:firstLineChars="200"/>
        <w:rPr>
          <w:rFonts w:ascii="宋体" w:hAnsi="宋体"/>
          <w:b/>
          <w:color w:val="auto"/>
          <w:sz w:val="24"/>
          <w:szCs w:val="24"/>
          <w:highlight w:val="none"/>
        </w:rPr>
      </w:pPr>
      <w:r>
        <w:rPr>
          <w:rFonts w:hint="eastAsia" w:ascii="宋体" w:hAnsi="宋体"/>
          <w:color w:val="auto"/>
          <w:sz w:val="24"/>
          <w:szCs w:val="24"/>
          <w:highlight w:val="none"/>
        </w:rPr>
        <w:t>按招标文件要求提供的其他资格证明材料或供应商认为有必要提供的其他证明材料。（按招标文件要求</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w:t>
      </w:r>
    </w:p>
    <w:p w14:paraId="7BFF201B">
      <w:pPr>
        <w:tabs>
          <w:tab w:val="left" w:pos="9365"/>
        </w:tabs>
        <w:spacing w:before="360" w:after="360" w:line="586" w:lineRule="atLeast"/>
        <w:ind w:right="85" w:firstLine="600" w:firstLineChars="250"/>
        <w:jc w:val="left"/>
        <w:textAlignment w:val="top"/>
        <w:rPr>
          <w:rFonts w:ascii="宋体" w:hAnsi="宋体"/>
          <w:color w:val="auto"/>
          <w:sz w:val="24"/>
          <w:szCs w:val="24"/>
          <w:highlight w:val="none"/>
        </w:rPr>
      </w:pPr>
    </w:p>
    <w:p w14:paraId="5DD5645A">
      <w:pPr>
        <w:autoSpaceDE w:val="0"/>
        <w:autoSpaceDN w:val="0"/>
        <w:adjustRightInd w:val="0"/>
        <w:spacing w:line="360" w:lineRule="auto"/>
        <w:jc w:val="center"/>
        <w:rPr>
          <w:rFonts w:ascii="宋体"/>
          <w:color w:val="auto"/>
          <w:sz w:val="24"/>
          <w:szCs w:val="24"/>
          <w:highlight w:val="none"/>
        </w:rPr>
      </w:pPr>
    </w:p>
    <w:sectPr>
      <w:pgSz w:w="11905" w:h="16837"/>
      <w:pgMar w:top="1091" w:right="1106" w:bottom="993" w:left="1418" w:header="850" w:footer="992"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MingLiU">
    <w:altName w:val="PMingLiU-ExtB"/>
    <w:panose1 w:val="02020509000000000000"/>
    <w:charset w:val="88"/>
    <w:family w:val="modern"/>
    <w:pitch w:val="default"/>
    <w:sig w:usb0="00000000" w:usb1="00000000" w:usb2="00000016" w:usb3="00000000" w:csb0="00100001" w:csb1="00000000"/>
  </w:font>
  <w:font w:name="华文楷体">
    <w:altName w:val="宋体"/>
    <w:panose1 w:val="02010600040101010101"/>
    <w:charset w:val="86"/>
    <w:family w:val="auto"/>
    <w:pitch w:val="default"/>
    <w:sig w:usb0="00000000" w:usb1="00000000" w:usb2="00000010" w:usb3="00000000" w:csb0="0004009F" w:csb1="00000000"/>
  </w:font>
  <w:font w:name="华文新魏">
    <w:altName w:val="宋体"/>
    <w:panose1 w:val="0201080004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方正黑体简体">
    <w:altName w:val="微软雅黑"/>
    <w:panose1 w:val="02010601030101010101"/>
    <w:charset w:val="86"/>
    <w:family w:val="auto"/>
    <w:pitch w:val="default"/>
    <w:sig w:usb0="00000000" w:usb1="0000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汉仪书宋二S">
    <w:altName w:val="Times New Roman"/>
    <w:panose1 w:val="00000000000000000000"/>
    <w:charset w:val="00"/>
    <w:family w:val="auto"/>
    <w:pitch w:val="default"/>
    <w:sig w:usb0="00000000" w:usb1="00000000" w:usb2="00000000" w:usb3="00000000" w:csb0="00000000" w:csb1="00000000"/>
  </w:font>
  <w:font w:name="Adobe 宋体 Std L">
    <w:altName w:val="宋体"/>
    <w:panose1 w:val="00000000000000000000"/>
    <w:charset w:val="86"/>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FE8CF">
    <w:pPr>
      <w:widowControl w:val="0"/>
      <w:snapToGrid w:val="0"/>
      <w:spacing w:line="240" w:lineRule="atLeast"/>
      <w:ind w:right="21" w:firstLine="105" w:firstLineChars="50"/>
      <w:jc w:val="left"/>
      <w:rPr>
        <w:rFonts w:ascii="宋体" w:hAnsi="宋体"/>
        <w:szCs w:val="21"/>
        <w:u w:val="single"/>
      </w:rPr>
    </w:pPr>
    <w:r>
      <w:rPr>
        <w:rFonts w:hint="eastAsia" w:ascii="宋体" w:hAnsi="宋体"/>
        <w:szCs w:val="21"/>
        <w:u w:val="single"/>
      </w:rPr>
      <w:t>《招标文件》</w:t>
    </w:r>
    <w:r>
      <w:rPr>
        <w:rFonts w:ascii="宋体" w:hAnsi="宋体"/>
        <w:szCs w:val="21"/>
        <w:u w:val="single"/>
      </w:rPr>
      <w:t xml:space="preserve">                                                          </w:t>
    </w:r>
    <w:r>
      <w:rPr>
        <w:rFonts w:ascii="宋体" w:hAnsi="宋体"/>
        <w:szCs w:val="21"/>
        <w:u w:val="single"/>
      </w:rPr>
      <w:fldChar w:fldCharType="begin"/>
    </w:r>
    <w:r>
      <w:rPr>
        <w:rFonts w:ascii="宋体" w:hAnsi="宋体"/>
        <w:szCs w:val="21"/>
        <w:u w:val="single"/>
      </w:rPr>
      <w:instrText xml:space="preserve"> NUMPAGES-1 \* MERGEFORMAT </w:instrText>
    </w:r>
    <w:r>
      <w:rPr>
        <w:rFonts w:ascii="宋体" w:hAnsi="宋体"/>
        <w:szCs w:val="21"/>
        <w:u w:val="single"/>
      </w:rPr>
      <w:fldChar w:fldCharType="end"/>
    </w:r>
    <w:r>
      <w:rPr>
        <w:rFonts w:ascii="宋体" w:hAnsi="宋体"/>
        <w:szCs w:val="21"/>
        <w:u w:val="single"/>
      </w:rPr>
      <w:fldChar w:fldCharType="begin"/>
    </w:r>
    <w:r>
      <w:rPr>
        <w:rFonts w:ascii="宋体" w:hAnsi="宋体"/>
        <w:szCs w:val="21"/>
        <w:u w:val="single"/>
      </w:rPr>
      <w:instrText xml:space="preserve">NUMPAGES-1\* Arabic \* MERGEFORMAT</w:instrText>
    </w:r>
    <w:r>
      <w:rPr>
        <w:rFonts w:ascii="宋体" w:hAnsi="宋体"/>
        <w:szCs w:val="21"/>
        <w:u w:val="single"/>
      </w:rPr>
      <w:fldChar w:fldCharType="end"/>
    </w:r>
    <w:r>
      <w:rPr>
        <w:rFonts w:ascii="宋体" w:hAnsi="宋体"/>
        <w:szCs w:val="21"/>
        <w:u w:val="single"/>
      </w:rPr>
      <w:fldChar w:fldCharType="begin"/>
    </w:r>
    <w:r>
      <w:rPr>
        <w:rFonts w:ascii="宋体" w:hAnsi="宋体"/>
        <w:szCs w:val="21"/>
        <w:u w:val="single"/>
      </w:rPr>
      <w:instrText xml:space="preserve"> NUMPAGES-1   \* MERGEFORMAT </w:instrText>
    </w:r>
    <w:r>
      <w:rPr>
        <w:rFonts w:ascii="宋体" w:hAnsi="宋体"/>
        <w:szCs w:val="21"/>
        <w:u w:val="single"/>
      </w:rPr>
      <w:fldChar w:fldCharType="end"/>
    </w:r>
    <w:r>
      <w:rPr>
        <w:rStyle w:val="24"/>
        <w:rFonts w:ascii="宋体" w:hAnsi="宋体"/>
        <w:szCs w:val="21"/>
        <w:u w:val="single"/>
      </w:rPr>
      <w:fldChar w:fldCharType="begin"/>
    </w:r>
    <w:r>
      <w:rPr>
        <w:rStyle w:val="24"/>
        <w:rFonts w:ascii="宋体" w:hAnsi="宋体"/>
        <w:szCs w:val="21"/>
        <w:u w:val="single"/>
      </w:rPr>
      <w:instrText xml:space="preserve"> PAGE </w:instrText>
    </w:r>
    <w:r>
      <w:rPr>
        <w:rStyle w:val="24"/>
        <w:rFonts w:ascii="宋体" w:hAnsi="宋体"/>
        <w:szCs w:val="21"/>
        <w:u w:val="single"/>
      </w:rPr>
      <w:fldChar w:fldCharType="separate"/>
    </w:r>
    <w:r>
      <w:rPr>
        <w:rStyle w:val="24"/>
        <w:rFonts w:ascii="宋体" w:hAnsi="宋体"/>
        <w:szCs w:val="21"/>
        <w:u w:val="single"/>
      </w:rPr>
      <w:t>- 151 -</w:t>
    </w:r>
    <w:r>
      <w:rPr>
        <w:rStyle w:val="24"/>
        <w:rFonts w:ascii="宋体" w:hAnsi="宋体"/>
        <w:szCs w:val="21"/>
        <w:u w:val="single"/>
      </w:rPr>
      <w:fldChar w:fldCharType="end"/>
    </w:r>
    <w:r>
      <w:rPr>
        <w:rStyle w:val="24"/>
        <w:rFonts w:ascii="宋体" w:hAnsi="宋体"/>
        <w:szCs w:val="21"/>
        <w:u w:val="single"/>
      </w:rPr>
      <w:t xml:space="preserve"> </w:t>
    </w:r>
    <w:r>
      <w:rPr>
        <w:rStyle w:val="24"/>
        <w:rFonts w:hint="eastAsia" w:ascii="宋体" w:hAnsi="宋体"/>
        <w:szCs w:val="21"/>
        <w:u w:val="single"/>
      </w:rPr>
      <w:t>（</w:t>
    </w:r>
    <w:r>
      <w:rPr>
        <w:rFonts w:hint="eastAsia" w:ascii="宋体" w:hAnsi="宋体"/>
        <w:szCs w:val="21"/>
        <w:u w:val="single"/>
      </w:rPr>
      <w:t>共</w:t>
    </w:r>
    <w:r>
      <w:rPr>
        <w:rFonts w:hint="eastAsia"/>
        <w:u w:val="single"/>
      </w:rPr>
      <w:t>1</w:t>
    </w:r>
    <w:r>
      <w:rPr>
        <w:rFonts w:hint="eastAsia"/>
        <w:u w:val="single"/>
        <w:lang w:val="en-US" w:eastAsia="zh-CN"/>
      </w:rPr>
      <w:t>5</w:t>
    </w:r>
    <w:r>
      <w:rPr>
        <w:rFonts w:hint="eastAsia"/>
        <w:u w:val="single"/>
      </w:rPr>
      <w:t>0</w:t>
    </w:r>
    <w:r>
      <w:rPr>
        <w:rFonts w:hint="eastAsia" w:ascii="宋体" w:hAnsi="宋体"/>
        <w:szCs w:val="21"/>
        <w:u w:val="single"/>
      </w:rPr>
      <w:t>页</w:t>
    </w:r>
    <w:r>
      <w:rPr>
        <w:rFonts w:ascii="宋体" w:hAnsi="宋体"/>
        <w:szCs w:val="21"/>
        <w:u w:val="single"/>
      </w:rPr>
      <w:t>)</w:t>
    </w:r>
    <w:r>
      <w:rPr>
        <w:rFonts w:ascii="宋体" w:hAnsi="宋体"/>
      </w:rPr>
      <mc:AlternateContent>
        <mc:Choice Requires="wps">
          <w:drawing>
            <wp:anchor distT="0" distB="0" distL="114300" distR="114300" simplePos="0" relativeHeight="251661312" behindDoc="1" locked="0" layoutInCell="0" allowOverlap="1">
              <wp:simplePos x="0" y="0"/>
              <wp:positionH relativeFrom="page">
                <wp:posOffset>899795</wp:posOffset>
              </wp:positionH>
              <wp:positionV relativeFrom="page">
                <wp:posOffset>10151745</wp:posOffset>
              </wp:positionV>
              <wp:extent cx="5759450" cy="179705"/>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5759450" cy="179705"/>
                      </a:xfrm>
                      <a:prstGeom prst="rect">
                        <a:avLst/>
                      </a:prstGeom>
                      <a:noFill/>
                      <a:ln>
                        <a:noFill/>
                      </a:ln>
                      <a:effectLst/>
                    </wps:spPr>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70.85pt;margin-top:799.35pt;height:14.15pt;width:453.5pt;mso-position-horizontal-relative:page;mso-position-vertical-relative:page;z-index:-251655168;mso-width-relative:page;mso-height-relative:page;" filled="f" stroked="f" coordsize="21600,21600" o:allowincell="f" o:gfxdata="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Sd7nI2QAAAA4BAAAPAAAAAAAAAAEAIAAAACIAAABkcnMvZG93bnJl&#10;di54bWxQSwECFAAUAAAACACHTuJAeq5/2vwBAAAHBAAADgAAAAAAAAABACAAAAAoAQAAZHJzL2Uy&#10;b0RvYy54bWxQSwUGAAAAAAYABgBZAQAAlgUAAAAA&#10;">
              <v:fill on="f" focussize="0,0"/>
              <v:stroke on="f"/>
              <v:imagedata o:title=""/>
              <o:lock v:ext="edit" aspectratio="f"/>
              <v:textbox inset="0mm,0mm,0mm,0mm"/>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8C681">
    <w:pPr>
      <w:pStyle w:val="11"/>
      <w:framePr w:wrap="around" w:vAnchor="text" w:hAnchor="margin" w:xAlign="right" w:y="1"/>
      <w:rPr>
        <w:rStyle w:val="24"/>
      </w:rPr>
    </w:pPr>
    <w:r>
      <w:rPr>
        <w:rStyle w:val="24"/>
      </w:rPr>
      <w:fldChar w:fldCharType="begin"/>
    </w:r>
    <w:r>
      <w:rPr>
        <w:rStyle w:val="24"/>
      </w:rPr>
      <w:instrText xml:space="preserve">PAGE  </w:instrText>
    </w:r>
    <w:r>
      <w:rPr>
        <w:rStyle w:val="24"/>
      </w:rPr>
      <w:fldChar w:fldCharType="end"/>
    </w:r>
  </w:p>
  <w:p w14:paraId="74F27AF4">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DF324">
    <w:pPr>
      <w:pStyle w:val="1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7F1E9">
    <w:pPr>
      <w:widowControl w:val="0"/>
      <w:snapToGrid w:val="0"/>
      <w:spacing w:line="240" w:lineRule="atLeast"/>
      <w:rPr>
        <w:rFonts w:ascii="宋体" w:hAnsi="宋体"/>
        <w:szCs w:val="21"/>
      </w:rPr>
    </w:pPr>
    <w:r>
      <w:rPr>
        <w:rFonts w:hint="eastAsia" w:ascii="宋体" w:hAnsi="宋体"/>
        <w:szCs w:val="21"/>
        <w:u w:val="single"/>
      </w:rPr>
      <w:t>安阳市方正招标采购服务有限责任公司</w:t>
    </w:r>
    <w:r>
      <w:rPr>
        <w:rFonts w:ascii="宋体" w:hAnsi="宋体"/>
        <w:szCs w:val="21"/>
        <w:u w:val="single"/>
      </w:rPr>
      <w:t xml:space="preserve">       </w:t>
    </w:r>
    <w:r>
      <w:rPr>
        <w:rFonts w:hint="eastAsia" w:ascii="宋体" w:hAnsi="宋体"/>
        <w:szCs w:val="21"/>
        <w:u w:val="single"/>
      </w:rPr>
      <w:t>电话及传真：</w:t>
    </w:r>
    <w:r>
      <w:rPr>
        <w:rFonts w:ascii="宋体" w:hAnsi="宋体"/>
        <w:szCs w:val="21"/>
        <w:u w:val="single"/>
      </w:rPr>
      <w:t>0372—2283981</w:t>
    </w:r>
    <w:r>
      <w:rPr>
        <w:rFonts w:hint="eastAsia" w:ascii="宋体" w:hAnsi="宋体"/>
        <w:szCs w:val="21"/>
        <w:u w:val="single"/>
      </w:rPr>
      <w:t>、</w:t>
    </w:r>
    <w:r>
      <w:rPr>
        <w:rFonts w:ascii="宋体" w:hAnsi="宋体"/>
        <w:szCs w:val="21"/>
        <w:u w:val="single"/>
      </w:rPr>
      <w:t>2283982</w:t>
    </w:r>
    <w:r>
      <w:rPr>
        <w:rFonts w:hint="eastAsia" w:ascii="宋体" w:hAnsi="宋体"/>
        <w:szCs w:val="21"/>
        <w:u w:val="single"/>
      </w:rPr>
      <w:t>、</w:t>
    </w:r>
    <w:r>
      <w:rPr>
        <w:rFonts w:ascii="宋体" w:hAnsi="宋体"/>
        <w:szCs w:val="21"/>
        <w:u w:val="single"/>
      </w:rPr>
      <w:t>2283983 .</w:t>
    </w:r>
    <w:r>
      <w:rPr>
        <w:rFonts w:ascii="宋体" w:hAnsi="宋体"/>
      </w:rPr>
      <mc:AlternateContent>
        <mc:Choice Requires="wps">
          <w:drawing>
            <wp:anchor distT="0" distB="0" distL="114300" distR="114300" simplePos="0" relativeHeight="251660288" behindDoc="1" locked="0" layoutInCell="0" allowOverlap="1">
              <wp:simplePos x="0" y="0"/>
              <wp:positionH relativeFrom="page">
                <wp:posOffset>899795</wp:posOffset>
              </wp:positionH>
              <wp:positionV relativeFrom="page">
                <wp:posOffset>359410</wp:posOffset>
              </wp:positionV>
              <wp:extent cx="5759450" cy="179705"/>
              <wp:effectExtent l="0" t="0" r="0"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5759450" cy="179705"/>
                      </a:xfrm>
                      <a:prstGeom prst="rect">
                        <a:avLst/>
                      </a:prstGeom>
                      <a:noFill/>
                      <a:ln>
                        <a:noFill/>
                      </a:ln>
                      <a:effectLst/>
                    </wps:spPr>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70.85pt;margin-top:28.3pt;height:14.15pt;width:453.5pt;mso-position-horizontal-relative:page;mso-position-vertical-relative:page;z-index:-251656192;mso-width-relative:page;mso-height-relative:page;" filled="f" stroked="f" coordsize="21600,21600" o:allowincell="f" o:gfxdata="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dN05x2AAAAAoBAAAPAAAAAAAAAAEAIAAAACIAAABkcnMvZG93bnJl&#10;di54bWxQSwECFAAUAAAACACHTuJASBUMNP0BAAAHBAAADgAAAAAAAAABACAAAAAnAQAAZHJzL2Uy&#10;b0RvYy54bWxQSwUGAAAAAAYABgBZAQAAlgUAAAAA&#10;">
              <v:fill on="f" focussize="0,0"/>
              <v:stroke on="f"/>
              <v:imagedata o:title=""/>
              <o:lock v:ext="edit" aspectratio="f"/>
              <v:textbox inset="0mm,0mm,0mm,0mm"/>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22A0E">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805C1B"/>
    <w:multiLevelType w:val="singleLevel"/>
    <w:tmpl w:val="B3805C1B"/>
    <w:lvl w:ilvl="0" w:tentative="0">
      <w:start w:val="1"/>
      <w:numFmt w:val="decimal"/>
      <w:suff w:val="space"/>
      <w:lvlText w:val="%1."/>
      <w:lvlJc w:val="left"/>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387B79CE"/>
    <w:multiLevelType w:val="multilevel"/>
    <w:tmpl w:val="387B79CE"/>
    <w:lvl w:ilvl="0" w:tentative="0">
      <w:start w:val="1"/>
      <w:numFmt w:val="decimal"/>
      <w:lvlText w:val="%1."/>
      <w:lvlJc w:val="left"/>
      <w:pPr>
        <w:ind w:left="928" w:hanging="360"/>
      </w:pPr>
      <w:rPr>
        <w:rFonts w:hint="default"/>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8">
    <w:nsid w:val="7A0F6431"/>
    <w:multiLevelType w:val="singleLevel"/>
    <w:tmpl w:val="7A0F6431"/>
    <w:lvl w:ilvl="0" w:tentative="0">
      <w:start w:val="1"/>
      <w:numFmt w:val="decimal"/>
      <w:suff w:val="space"/>
      <w:lvlText w:val="%1."/>
      <w:lvlJc w:val="left"/>
    </w:lvl>
  </w:abstractNum>
  <w:num w:numId="1">
    <w:abstractNumId w:val="8"/>
  </w:num>
  <w:num w:numId="2">
    <w:abstractNumId w:val="2"/>
  </w:num>
  <w:num w:numId="3">
    <w:abstractNumId w:val="6"/>
  </w:num>
  <w:num w:numId="4">
    <w:abstractNumId w:val="4"/>
  </w:num>
  <w:num w:numId="5">
    <w:abstractNumId w:val="3"/>
  </w:num>
  <w:num w:numId="6">
    <w:abstractNumId w:val="1"/>
  </w:num>
  <w:num w:numId="7">
    <w:abstractNumId w:val="5"/>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cumentProtection w:edit="forms" w:formatting="1" w:enforcement="1" w:cryptProviderType="rsaFull" w:cryptAlgorithmClass="hash" w:cryptAlgorithmType="typeAny" w:cryptAlgorithmSid="4" w:cryptSpinCount="0" w:hash="c2PTPKjchFdunKpzRLl8iUdz4xM=" w:salt="GhOUqzyXOrK/2+DX9R0Wsg=="/>
  <w:defaultTabStop w:val="420"/>
  <w:drawingGridHorizontalSpacing w:val="105"/>
  <w:drawingGridVerticalSpacing w:val="156"/>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xMTUwNDk1M2RmZDExMGM3NDQ3N2I3NzBhM2IwMDQifQ=="/>
  </w:docVars>
  <w:rsids>
    <w:rsidRoot w:val="00172A27"/>
    <w:rsid w:val="00001AFE"/>
    <w:rsid w:val="00001D7A"/>
    <w:rsid w:val="00004FEA"/>
    <w:rsid w:val="00006184"/>
    <w:rsid w:val="00010A0D"/>
    <w:rsid w:val="000118FF"/>
    <w:rsid w:val="00011F9D"/>
    <w:rsid w:val="000129C4"/>
    <w:rsid w:val="00013814"/>
    <w:rsid w:val="00013DB2"/>
    <w:rsid w:val="00014CB5"/>
    <w:rsid w:val="00014FA0"/>
    <w:rsid w:val="00015C36"/>
    <w:rsid w:val="00016334"/>
    <w:rsid w:val="00017560"/>
    <w:rsid w:val="0001783F"/>
    <w:rsid w:val="00017E1E"/>
    <w:rsid w:val="00020336"/>
    <w:rsid w:val="00023676"/>
    <w:rsid w:val="000241D3"/>
    <w:rsid w:val="00024608"/>
    <w:rsid w:val="00025438"/>
    <w:rsid w:val="00025F1E"/>
    <w:rsid w:val="0002701F"/>
    <w:rsid w:val="0002737B"/>
    <w:rsid w:val="0003123D"/>
    <w:rsid w:val="00031B9F"/>
    <w:rsid w:val="0003321D"/>
    <w:rsid w:val="000339BC"/>
    <w:rsid w:val="000339BD"/>
    <w:rsid w:val="00035408"/>
    <w:rsid w:val="0003567F"/>
    <w:rsid w:val="00036AA4"/>
    <w:rsid w:val="00040523"/>
    <w:rsid w:val="0004137D"/>
    <w:rsid w:val="00041891"/>
    <w:rsid w:val="00042CA8"/>
    <w:rsid w:val="00042F27"/>
    <w:rsid w:val="000435E8"/>
    <w:rsid w:val="000437D6"/>
    <w:rsid w:val="00043821"/>
    <w:rsid w:val="00043CBA"/>
    <w:rsid w:val="00043D90"/>
    <w:rsid w:val="000441FD"/>
    <w:rsid w:val="00045899"/>
    <w:rsid w:val="000458E7"/>
    <w:rsid w:val="00046D33"/>
    <w:rsid w:val="00047D2A"/>
    <w:rsid w:val="00050832"/>
    <w:rsid w:val="00050E05"/>
    <w:rsid w:val="000522FF"/>
    <w:rsid w:val="00052D79"/>
    <w:rsid w:val="00053112"/>
    <w:rsid w:val="000532EB"/>
    <w:rsid w:val="00054B93"/>
    <w:rsid w:val="00056986"/>
    <w:rsid w:val="00056C7E"/>
    <w:rsid w:val="00057BA0"/>
    <w:rsid w:val="00057F78"/>
    <w:rsid w:val="0006134B"/>
    <w:rsid w:val="0006136F"/>
    <w:rsid w:val="000622B5"/>
    <w:rsid w:val="00062784"/>
    <w:rsid w:val="00062821"/>
    <w:rsid w:val="00065301"/>
    <w:rsid w:val="00067F66"/>
    <w:rsid w:val="00070DCC"/>
    <w:rsid w:val="00071C34"/>
    <w:rsid w:val="00072834"/>
    <w:rsid w:val="00072ABE"/>
    <w:rsid w:val="000732AB"/>
    <w:rsid w:val="0007358E"/>
    <w:rsid w:val="0007390E"/>
    <w:rsid w:val="00073A45"/>
    <w:rsid w:val="00073DDE"/>
    <w:rsid w:val="00074985"/>
    <w:rsid w:val="00075FAC"/>
    <w:rsid w:val="00076901"/>
    <w:rsid w:val="00077629"/>
    <w:rsid w:val="00080161"/>
    <w:rsid w:val="00080AE9"/>
    <w:rsid w:val="0008112C"/>
    <w:rsid w:val="00081801"/>
    <w:rsid w:val="00081C6C"/>
    <w:rsid w:val="000823AD"/>
    <w:rsid w:val="0008258F"/>
    <w:rsid w:val="000829A8"/>
    <w:rsid w:val="000829DB"/>
    <w:rsid w:val="00083869"/>
    <w:rsid w:val="00084C56"/>
    <w:rsid w:val="00085435"/>
    <w:rsid w:val="00086B70"/>
    <w:rsid w:val="000872DA"/>
    <w:rsid w:val="000906F2"/>
    <w:rsid w:val="00090D6B"/>
    <w:rsid w:val="00090EB6"/>
    <w:rsid w:val="00091C5E"/>
    <w:rsid w:val="0009268E"/>
    <w:rsid w:val="000929AC"/>
    <w:rsid w:val="00093A6B"/>
    <w:rsid w:val="00093D85"/>
    <w:rsid w:val="000956CE"/>
    <w:rsid w:val="000962DF"/>
    <w:rsid w:val="000A1949"/>
    <w:rsid w:val="000A1EF0"/>
    <w:rsid w:val="000A2F4F"/>
    <w:rsid w:val="000A3CB1"/>
    <w:rsid w:val="000A3FE8"/>
    <w:rsid w:val="000A4640"/>
    <w:rsid w:val="000A4A99"/>
    <w:rsid w:val="000A4C64"/>
    <w:rsid w:val="000A55EE"/>
    <w:rsid w:val="000A61F5"/>
    <w:rsid w:val="000A688B"/>
    <w:rsid w:val="000A6C0A"/>
    <w:rsid w:val="000A70A2"/>
    <w:rsid w:val="000A7A3C"/>
    <w:rsid w:val="000B1334"/>
    <w:rsid w:val="000B2559"/>
    <w:rsid w:val="000B3DD8"/>
    <w:rsid w:val="000B4150"/>
    <w:rsid w:val="000B4758"/>
    <w:rsid w:val="000B535A"/>
    <w:rsid w:val="000B5412"/>
    <w:rsid w:val="000B6571"/>
    <w:rsid w:val="000C0072"/>
    <w:rsid w:val="000C0358"/>
    <w:rsid w:val="000C17C5"/>
    <w:rsid w:val="000C1BB9"/>
    <w:rsid w:val="000C2AA6"/>
    <w:rsid w:val="000C418B"/>
    <w:rsid w:val="000C5E57"/>
    <w:rsid w:val="000D06C5"/>
    <w:rsid w:val="000D1898"/>
    <w:rsid w:val="000D2631"/>
    <w:rsid w:val="000E02FC"/>
    <w:rsid w:val="000E127A"/>
    <w:rsid w:val="000E3874"/>
    <w:rsid w:val="000E41D5"/>
    <w:rsid w:val="000E54A0"/>
    <w:rsid w:val="000E6E96"/>
    <w:rsid w:val="000F0906"/>
    <w:rsid w:val="000F108C"/>
    <w:rsid w:val="000F3188"/>
    <w:rsid w:val="000F3282"/>
    <w:rsid w:val="000F3D46"/>
    <w:rsid w:val="000F3E7E"/>
    <w:rsid w:val="000F4146"/>
    <w:rsid w:val="000F49BD"/>
    <w:rsid w:val="000F4C91"/>
    <w:rsid w:val="000F71A3"/>
    <w:rsid w:val="000F756B"/>
    <w:rsid w:val="000F7917"/>
    <w:rsid w:val="000F79CB"/>
    <w:rsid w:val="000F7BE8"/>
    <w:rsid w:val="0010005D"/>
    <w:rsid w:val="00101F3C"/>
    <w:rsid w:val="00103958"/>
    <w:rsid w:val="00103B89"/>
    <w:rsid w:val="001056D3"/>
    <w:rsid w:val="00107435"/>
    <w:rsid w:val="0010797B"/>
    <w:rsid w:val="00110434"/>
    <w:rsid w:val="001106D7"/>
    <w:rsid w:val="00110916"/>
    <w:rsid w:val="00110E80"/>
    <w:rsid w:val="00111476"/>
    <w:rsid w:val="001118D4"/>
    <w:rsid w:val="00112AEB"/>
    <w:rsid w:val="00113D0A"/>
    <w:rsid w:val="00115075"/>
    <w:rsid w:val="001163D8"/>
    <w:rsid w:val="00117724"/>
    <w:rsid w:val="00120466"/>
    <w:rsid w:val="00123128"/>
    <w:rsid w:val="00124C33"/>
    <w:rsid w:val="00124FA8"/>
    <w:rsid w:val="0012536B"/>
    <w:rsid w:val="00126132"/>
    <w:rsid w:val="00126947"/>
    <w:rsid w:val="00126CF1"/>
    <w:rsid w:val="001301F8"/>
    <w:rsid w:val="00130EF5"/>
    <w:rsid w:val="00131B13"/>
    <w:rsid w:val="00131CCB"/>
    <w:rsid w:val="00132364"/>
    <w:rsid w:val="001331D2"/>
    <w:rsid w:val="001336BC"/>
    <w:rsid w:val="001342A5"/>
    <w:rsid w:val="00135227"/>
    <w:rsid w:val="0013534D"/>
    <w:rsid w:val="001364C3"/>
    <w:rsid w:val="001373F3"/>
    <w:rsid w:val="001376B5"/>
    <w:rsid w:val="001378C9"/>
    <w:rsid w:val="001401E4"/>
    <w:rsid w:val="001403FB"/>
    <w:rsid w:val="001409F2"/>
    <w:rsid w:val="00142AE3"/>
    <w:rsid w:val="00143774"/>
    <w:rsid w:val="00144530"/>
    <w:rsid w:val="00146816"/>
    <w:rsid w:val="00151942"/>
    <w:rsid w:val="00152B6A"/>
    <w:rsid w:val="001531FB"/>
    <w:rsid w:val="001532B2"/>
    <w:rsid w:val="001537D5"/>
    <w:rsid w:val="0015450A"/>
    <w:rsid w:val="00157A88"/>
    <w:rsid w:val="00157DA4"/>
    <w:rsid w:val="00161EAD"/>
    <w:rsid w:val="00163F02"/>
    <w:rsid w:val="00164338"/>
    <w:rsid w:val="00166938"/>
    <w:rsid w:val="0016693E"/>
    <w:rsid w:val="00167109"/>
    <w:rsid w:val="0016783C"/>
    <w:rsid w:val="001708C3"/>
    <w:rsid w:val="00170AE1"/>
    <w:rsid w:val="00171587"/>
    <w:rsid w:val="0017176A"/>
    <w:rsid w:val="001717B5"/>
    <w:rsid w:val="001719D7"/>
    <w:rsid w:val="00172A27"/>
    <w:rsid w:val="00172A7E"/>
    <w:rsid w:val="0017328C"/>
    <w:rsid w:val="00174A16"/>
    <w:rsid w:val="00175E3A"/>
    <w:rsid w:val="00177F44"/>
    <w:rsid w:val="00182CA9"/>
    <w:rsid w:val="00186884"/>
    <w:rsid w:val="00187C84"/>
    <w:rsid w:val="001918A1"/>
    <w:rsid w:val="00191971"/>
    <w:rsid w:val="00192DD9"/>
    <w:rsid w:val="00194451"/>
    <w:rsid w:val="001965DC"/>
    <w:rsid w:val="0019697C"/>
    <w:rsid w:val="00196E5D"/>
    <w:rsid w:val="001A01A7"/>
    <w:rsid w:val="001A02B0"/>
    <w:rsid w:val="001A1BB5"/>
    <w:rsid w:val="001A1D5B"/>
    <w:rsid w:val="001A2564"/>
    <w:rsid w:val="001A2827"/>
    <w:rsid w:val="001A46D0"/>
    <w:rsid w:val="001A5D00"/>
    <w:rsid w:val="001A733E"/>
    <w:rsid w:val="001A7935"/>
    <w:rsid w:val="001B3387"/>
    <w:rsid w:val="001B353D"/>
    <w:rsid w:val="001B4202"/>
    <w:rsid w:val="001B5626"/>
    <w:rsid w:val="001B598B"/>
    <w:rsid w:val="001B6072"/>
    <w:rsid w:val="001B7085"/>
    <w:rsid w:val="001B7B35"/>
    <w:rsid w:val="001C015C"/>
    <w:rsid w:val="001C050D"/>
    <w:rsid w:val="001C078C"/>
    <w:rsid w:val="001C2106"/>
    <w:rsid w:val="001C219F"/>
    <w:rsid w:val="001C2389"/>
    <w:rsid w:val="001C2D34"/>
    <w:rsid w:val="001C397C"/>
    <w:rsid w:val="001C4B92"/>
    <w:rsid w:val="001C56BF"/>
    <w:rsid w:val="001C58DB"/>
    <w:rsid w:val="001C6505"/>
    <w:rsid w:val="001C6FC8"/>
    <w:rsid w:val="001D14A1"/>
    <w:rsid w:val="001D17A7"/>
    <w:rsid w:val="001D292F"/>
    <w:rsid w:val="001D2CF7"/>
    <w:rsid w:val="001D2F63"/>
    <w:rsid w:val="001D3921"/>
    <w:rsid w:val="001D3B0B"/>
    <w:rsid w:val="001D6772"/>
    <w:rsid w:val="001D6C63"/>
    <w:rsid w:val="001D742A"/>
    <w:rsid w:val="001D79E1"/>
    <w:rsid w:val="001D7FC1"/>
    <w:rsid w:val="001E04F2"/>
    <w:rsid w:val="001E0A3F"/>
    <w:rsid w:val="001E1A46"/>
    <w:rsid w:val="001E25BA"/>
    <w:rsid w:val="001E25FA"/>
    <w:rsid w:val="001E2ED6"/>
    <w:rsid w:val="001E30AE"/>
    <w:rsid w:val="001E364B"/>
    <w:rsid w:val="001E3FE7"/>
    <w:rsid w:val="001E45BE"/>
    <w:rsid w:val="001F6921"/>
    <w:rsid w:val="001F6FFB"/>
    <w:rsid w:val="001F7D39"/>
    <w:rsid w:val="001F7ECB"/>
    <w:rsid w:val="00201557"/>
    <w:rsid w:val="0020164F"/>
    <w:rsid w:val="00202D93"/>
    <w:rsid w:val="00202E2A"/>
    <w:rsid w:val="00203933"/>
    <w:rsid w:val="00204C09"/>
    <w:rsid w:val="002052BF"/>
    <w:rsid w:val="0020536F"/>
    <w:rsid w:val="002053E8"/>
    <w:rsid w:val="00205594"/>
    <w:rsid w:val="00205670"/>
    <w:rsid w:val="002057B6"/>
    <w:rsid w:val="00205DC9"/>
    <w:rsid w:val="0020635B"/>
    <w:rsid w:val="002064E1"/>
    <w:rsid w:val="00207968"/>
    <w:rsid w:val="00207B50"/>
    <w:rsid w:val="00212022"/>
    <w:rsid w:val="00214144"/>
    <w:rsid w:val="00214228"/>
    <w:rsid w:val="0021493D"/>
    <w:rsid w:val="00214DD7"/>
    <w:rsid w:val="00214E67"/>
    <w:rsid w:val="00214F54"/>
    <w:rsid w:val="002155C5"/>
    <w:rsid w:val="0021708F"/>
    <w:rsid w:val="002228C6"/>
    <w:rsid w:val="002238AE"/>
    <w:rsid w:val="002238BD"/>
    <w:rsid w:val="002247B5"/>
    <w:rsid w:val="00225E50"/>
    <w:rsid w:val="0022623B"/>
    <w:rsid w:val="0022680B"/>
    <w:rsid w:val="00227CB1"/>
    <w:rsid w:val="00227CBD"/>
    <w:rsid w:val="0023012A"/>
    <w:rsid w:val="00231D21"/>
    <w:rsid w:val="0023225F"/>
    <w:rsid w:val="0023255F"/>
    <w:rsid w:val="00233A21"/>
    <w:rsid w:val="00235797"/>
    <w:rsid w:val="0023589D"/>
    <w:rsid w:val="00235F2B"/>
    <w:rsid w:val="00235F6E"/>
    <w:rsid w:val="00236EE2"/>
    <w:rsid w:val="00237A15"/>
    <w:rsid w:val="00240733"/>
    <w:rsid w:val="00241D3A"/>
    <w:rsid w:val="002423AD"/>
    <w:rsid w:val="0024269B"/>
    <w:rsid w:val="002441A6"/>
    <w:rsid w:val="00244532"/>
    <w:rsid w:val="00244845"/>
    <w:rsid w:val="00244B40"/>
    <w:rsid w:val="00246A36"/>
    <w:rsid w:val="00247523"/>
    <w:rsid w:val="002475F4"/>
    <w:rsid w:val="00247993"/>
    <w:rsid w:val="00247F59"/>
    <w:rsid w:val="0025043E"/>
    <w:rsid w:val="00250D5C"/>
    <w:rsid w:val="0025169E"/>
    <w:rsid w:val="00252B80"/>
    <w:rsid w:val="00253446"/>
    <w:rsid w:val="00253479"/>
    <w:rsid w:val="00253701"/>
    <w:rsid w:val="00253A7C"/>
    <w:rsid w:val="00254149"/>
    <w:rsid w:val="00254F6E"/>
    <w:rsid w:val="0025656F"/>
    <w:rsid w:val="002567DD"/>
    <w:rsid w:val="002574D7"/>
    <w:rsid w:val="00257B22"/>
    <w:rsid w:val="00262FD4"/>
    <w:rsid w:val="002665E4"/>
    <w:rsid w:val="002673AF"/>
    <w:rsid w:val="00270437"/>
    <w:rsid w:val="0027067C"/>
    <w:rsid w:val="00270D09"/>
    <w:rsid w:val="00270FE1"/>
    <w:rsid w:val="00271ABB"/>
    <w:rsid w:val="0027281A"/>
    <w:rsid w:val="00272DEC"/>
    <w:rsid w:val="002759A2"/>
    <w:rsid w:val="00275EA8"/>
    <w:rsid w:val="00276204"/>
    <w:rsid w:val="0027648D"/>
    <w:rsid w:val="00276C58"/>
    <w:rsid w:val="00280E45"/>
    <w:rsid w:val="002810F8"/>
    <w:rsid w:val="00282504"/>
    <w:rsid w:val="0028262D"/>
    <w:rsid w:val="00283767"/>
    <w:rsid w:val="00287D26"/>
    <w:rsid w:val="002901A4"/>
    <w:rsid w:val="00290D50"/>
    <w:rsid w:val="00291105"/>
    <w:rsid w:val="002936B7"/>
    <w:rsid w:val="0029442F"/>
    <w:rsid w:val="0029595B"/>
    <w:rsid w:val="00295A34"/>
    <w:rsid w:val="0029638B"/>
    <w:rsid w:val="00296501"/>
    <w:rsid w:val="00297034"/>
    <w:rsid w:val="002975BF"/>
    <w:rsid w:val="0029799B"/>
    <w:rsid w:val="002A0906"/>
    <w:rsid w:val="002A1CD2"/>
    <w:rsid w:val="002A2B5C"/>
    <w:rsid w:val="002A2B93"/>
    <w:rsid w:val="002A4898"/>
    <w:rsid w:val="002A4F6F"/>
    <w:rsid w:val="002A5411"/>
    <w:rsid w:val="002A5D4C"/>
    <w:rsid w:val="002A6206"/>
    <w:rsid w:val="002B01D6"/>
    <w:rsid w:val="002B2CE9"/>
    <w:rsid w:val="002B2F3A"/>
    <w:rsid w:val="002B5E0D"/>
    <w:rsid w:val="002B6471"/>
    <w:rsid w:val="002B7A62"/>
    <w:rsid w:val="002C00FF"/>
    <w:rsid w:val="002C30F7"/>
    <w:rsid w:val="002C4340"/>
    <w:rsid w:val="002C4F66"/>
    <w:rsid w:val="002C61E4"/>
    <w:rsid w:val="002C65FF"/>
    <w:rsid w:val="002C698C"/>
    <w:rsid w:val="002C75BE"/>
    <w:rsid w:val="002D157C"/>
    <w:rsid w:val="002D3A86"/>
    <w:rsid w:val="002D40BF"/>
    <w:rsid w:val="002D6B6F"/>
    <w:rsid w:val="002D7A77"/>
    <w:rsid w:val="002D7BE8"/>
    <w:rsid w:val="002E098C"/>
    <w:rsid w:val="002E22C8"/>
    <w:rsid w:val="002E3E40"/>
    <w:rsid w:val="002E474B"/>
    <w:rsid w:val="002E76EF"/>
    <w:rsid w:val="002E7E70"/>
    <w:rsid w:val="002F08C6"/>
    <w:rsid w:val="002F14E3"/>
    <w:rsid w:val="002F24F3"/>
    <w:rsid w:val="002F2754"/>
    <w:rsid w:val="002F27B6"/>
    <w:rsid w:val="002F2CD7"/>
    <w:rsid w:val="002F37CB"/>
    <w:rsid w:val="002F4ADA"/>
    <w:rsid w:val="002F5465"/>
    <w:rsid w:val="002F7AD0"/>
    <w:rsid w:val="002F7EF3"/>
    <w:rsid w:val="0030169A"/>
    <w:rsid w:val="003018BC"/>
    <w:rsid w:val="0030198D"/>
    <w:rsid w:val="00303A7C"/>
    <w:rsid w:val="00306123"/>
    <w:rsid w:val="00307CF1"/>
    <w:rsid w:val="0031007D"/>
    <w:rsid w:val="003107DD"/>
    <w:rsid w:val="00311B9B"/>
    <w:rsid w:val="00311CDC"/>
    <w:rsid w:val="0031279C"/>
    <w:rsid w:val="00313380"/>
    <w:rsid w:val="00313E93"/>
    <w:rsid w:val="003142BE"/>
    <w:rsid w:val="0031536A"/>
    <w:rsid w:val="003157D1"/>
    <w:rsid w:val="00317222"/>
    <w:rsid w:val="0031763C"/>
    <w:rsid w:val="00321555"/>
    <w:rsid w:val="00322799"/>
    <w:rsid w:val="003241F1"/>
    <w:rsid w:val="00324777"/>
    <w:rsid w:val="00324984"/>
    <w:rsid w:val="00325619"/>
    <w:rsid w:val="00325EB2"/>
    <w:rsid w:val="00327A4C"/>
    <w:rsid w:val="003301E5"/>
    <w:rsid w:val="00333BB7"/>
    <w:rsid w:val="00334CC7"/>
    <w:rsid w:val="003355B7"/>
    <w:rsid w:val="00335844"/>
    <w:rsid w:val="00336333"/>
    <w:rsid w:val="00336C72"/>
    <w:rsid w:val="0034044F"/>
    <w:rsid w:val="00343634"/>
    <w:rsid w:val="00343A1D"/>
    <w:rsid w:val="00343D9C"/>
    <w:rsid w:val="00344987"/>
    <w:rsid w:val="003459A8"/>
    <w:rsid w:val="003463EF"/>
    <w:rsid w:val="00346AF1"/>
    <w:rsid w:val="00347CFE"/>
    <w:rsid w:val="0035121B"/>
    <w:rsid w:val="003527A5"/>
    <w:rsid w:val="00352A69"/>
    <w:rsid w:val="00352D4E"/>
    <w:rsid w:val="00353D74"/>
    <w:rsid w:val="0035556C"/>
    <w:rsid w:val="0035574A"/>
    <w:rsid w:val="00356466"/>
    <w:rsid w:val="00357CF3"/>
    <w:rsid w:val="00360A1D"/>
    <w:rsid w:val="00360ACB"/>
    <w:rsid w:val="00360D1D"/>
    <w:rsid w:val="00361670"/>
    <w:rsid w:val="00361811"/>
    <w:rsid w:val="00363155"/>
    <w:rsid w:val="00363B02"/>
    <w:rsid w:val="00364024"/>
    <w:rsid w:val="003642B6"/>
    <w:rsid w:val="003649C7"/>
    <w:rsid w:val="00365BD8"/>
    <w:rsid w:val="0036763F"/>
    <w:rsid w:val="003676C5"/>
    <w:rsid w:val="00370999"/>
    <w:rsid w:val="0037102A"/>
    <w:rsid w:val="003716BF"/>
    <w:rsid w:val="00371760"/>
    <w:rsid w:val="00372E14"/>
    <w:rsid w:val="00372FB1"/>
    <w:rsid w:val="003758BE"/>
    <w:rsid w:val="00375BC2"/>
    <w:rsid w:val="00376869"/>
    <w:rsid w:val="003768B2"/>
    <w:rsid w:val="003778E8"/>
    <w:rsid w:val="00377CBF"/>
    <w:rsid w:val="00380598"/>
    <w:rsid w:val="00380ED1"/>
    <w:rsid w:val="00381B01"/>
    <w:rsid w:val="00382099"/>
    <w:rsid w:val="00382317"/>
    <w:rsid w:val="003829D9"/>
    <w:rsid w:val="00383B17"/>
    <w:rsid w:val="00384A92"/>
    <w:rsid w:val="00385156"/>
    <w:rsid w:val="003854F3"/>
    <w:rsid w:val="00385956"/>
    <w:rsid w:val="00386518"/>
    <w:rsid w:val="00391A61"/>
    <w:rsid w:val="00397B1C"/>
    <w:rsid w:val="00397E86"/>
    <w:rsid w:val="003A01CC"/>
    <w:rsid w:val="003A027C"/>
    <w:rsid w:val="003A054C"/>
    <w:rsid w:val="003A0ECA"/>
    <w:rsid w:val="003A1388"/>
    <w:rsid w:val="003A14BA"/>
    <w:rsid w:val="003A1D20"/>
    <w:rsid w:val="003A258C"/>
    <w:rsid w:val="003A40E7"/>
    <w:rsid w:val="003A4472"/>
    <w:rsid w:val="003A51A7"/>
    <w:rsid w:val="003A5DC1"/>
    <w:rsid w:val="003A66AB"/>
    <w:rsid w:val="003A7840"/>
    <w:rsid w:val="003A78B7"/>
    <w:rsid w:val="003B06A2"/>
    <w:rsid w:val="003B0EA2"/>
    <w:rsid w:val="003B1380"/>
    <w:rsid w:val="003B13BE"/>
    <w:rsid w:val="003B24AF"/>
    <w:rsid w:val="003B5B12"/>
    <w:rsid w:val="003B5BD6"/>
    <w:rsid w:val="003B5D7B"/>
    <w:rsid w:val="003B5F19"/>
    <w:rsid w:val="003B6A79"/>
    <w:rsid w:val="003B72E5"/>
    <w:rsid w:val="003C0E0B"/>
    <w:rsid w:val="003C1220"/>
    <w:rsid w:val="003C2C2C"/>
    <w:rsid w:val="003C3A7B"/>
    <w:rsid w:val="003C5333"/>
    <w:rsid w:val="003C5626"/>
    <w:rsid w:val="003C6339"/>
    <w:rsid w:val="003C6B76"/>
    <w:rsid w:val="003C6D3A"/>
    <w:rsid w:val="003D0DB0"/>
    <w:rsid w:val="003D3B92"/>
    <w:rsid w:val="003D4056"/>
    <w:rsid w:val="003D415D"/>
    <w:rsid w:val="003D46D1"/>
    <w:rsid w:val="003E1356"/>
    <w:rsid w:val="003E4925"/>
    <w:rsid w:val="003E58E5"/>
    <w:rsid w:val="003E67CA"/>
    <w:rsid w:val="003E7C9B"/>
    <w:rsid w:val="003E7D25"/>
    <w:rsid w:val="003F0417"/>
    <w:rsid w:val="003F19AA"/>
    <w:rsid w:val="003F36ED"/>
    <w:rsid w:val="003F428A"/>
    <w:rsid w:val="003F5AB0"/>
    <w:rsid w:val="003F5BC2"/>
    <w:rsid w:val="003F6324"/>
    <w:rsid w:val="00400F91"/>
    <w:rsid w:val="00402338"/>
    <w:rsid w:val="00403958"/>
    <w:rsid w:val="00404C6D"/>
    <w:rsid w:val="00405A9D"/>
    <w:rsid w:val="00406843"/>
    <w:rsid w:val="00406CCB"/>
    <w:rsid w:val="00406E3F"/>
    <w:rsid w:val="00406E48"/>
    <w:rsid w:val="004137F3"/>
    <w:rsid w:val="00415470"/>
    <w:rsid w:val="00416388"/>
    <w:rsid w:val="0041692D"/>
    <w:rsid w:val="00417D4F"/>
    <w:rsid w:val="004207AF"/>
    <w:rsid w:val="004208A8"/>
    <w:rsid w:val="00420D65"/>
    <w:rsid w:val="00421D71"/>
    <w:rsid w:val="004223F4"/>
    <w:rsid w:val="004224DB"/>
    <w:rsid w:val="00424E3C"/>
    <w:rsid w:val="00427087"/>
    <w:rsid w:val="004278A9"/>
    <w:rsid w:val="004300B5"/>
    <w:rsid w:val="00430E6B"/>
    <w:rsid w:val="0043103D"/>
    <w:rsid w:val="0043171C"/>
    <w:rsid w:val="00431912"/>
    <w:rsid w:val="004342C9"/>
    <w:rsid w:val="00435B06"/>
    <w:rsid w:val="00436A49"/>
    <w:rsid w:val="00436DE1"/>
    <w:rsid w:val="00440412"/>
    <w:rsid w:val="00443674"/>
    <w:rsid w:val="00443769"/>
    <w:rsid w:val="00443935"/>
    <w:rsid w:val="004442B3"/>
    <w:rsid w:val="00444A73"/>
    <w:rsid w:val="00445986"/>
    <w:rsid w:val="00446613"/>
    <w:rsid w:val="0044662E"/>
    <w:rsid w:val="00447654"/>
    <w:rsid w:val="004476BD"/>
    <w:rsid w:val="004476E6"/>
    <w:rsid w:val="004513F9"/>
    <w:rsid w:val="004529F7"/>
    <w:rsid w:val="00452F36"/>
    <w:rsid w:val="00453130"/>
    <w:rsid w:val="0045394E"/>
    <w:rsid w:val="00453C73"/>
    <w:rsid w:val="00454B5D"/>
    <w:rsid w:val="00455B44"/>
    <w:rsid w:val="00456FA3"/>
    <w:rsid w:val="0045754E"/>
    <w:rsid w:val="0046086D"/>
    <w:rsid w:val="00461466"/>
    <w:rsid w:val="004621FC"/>
    <w:rsid w:val="004624DE"/>
    <w:rsid w:val="00462CC5"/>
    <w:rsid w:val="004640E1"/>
    <w:rsid w:val="00464491"/>
    <w:rsid w:val="004653E9"/>
    <w:rsid w:val="00465DE3"/>
    <w:rsid w:val="004668C7"/>
    <w:rsid w:val="00466DE1"/>
    <w:rsid w:val="0047305B"/>
    <w:rsid w:val="004755C3"/>
    <w:rsid w:val="00475A0F"/>
    <w:rsid w:val="00475FF7"/>
    <w:rsid w:val="004766C8"/>
    <w:rsid w:val="00476B16"/>
    <w:rsid w:val="0047719F"/>
    <w:rsid w:val="004771A7"/>
    <w:rsid w:val="00477DF1"/>
    <w:rsid w:val="004805E1"/>
    <w:rsid w:val="0048088F"/>
    <w:rsid w:val="0048194E"/>
    <w:rsid w:val="00481A4B"/>
    <w:rsid w:val="004852F8"/>
    <w:rsid w:val="004864A7"/>
    <w:rsid w:val="00486D4E"/>
    <w:rsid w:val="00492B91"/>
    <w:rsid w:val="0049352F"/>
    <w:rsid w:val="00493D28"/>
    <w:rsid w:val="00495099"/>
    <w:rsid w:val="00495C08"/>
    <w:rsid w:val="004964CB"/>
    <w:rsid w:val="004A1557"/>
    <w:rsid w:val="004A16EE"/>
    <w:rsid w:val="004A40B9"/>
    <w:rsid w:val="004A465C"/>
    <w:rsid w:val="004A6204"/>
    <w:rsid w:val="004A67AF"/>
    <w:rsid w:val="004A73CD"/>
    <w:rsid w:val="004A791C"/>
    <w:rsid w:val="004B0C70"/>
    <w:rsid w:val="004B10CD"/>
    <w:rsid w:val="004B2765"/>
    <w:rsid w:val="004B2A37"/>
    <w:rsid w:val="004B30E9"/>
    <w:rsid w:val="004B3309"/>
    <w:rsid w:val="004B362E"/>
    <w:rsid w:val="004B3835"/>
    <w:rsid w:val="004B43B7"/>
    <w:rsid w:val="004B6984"/>
    <w:rsid w:val="004C01CB"/>
    <w:rsid w:val="004C05F2"/>
    <w:rsid w:val="004C223F"/>
    <w:rsid w:val="004C2689"/>
    <w:rsid w:val="004C2B0F"/>
    <w:rsid w:val="004C407E"/>
    <w:rsid w:val="004C4AB1"/>
    <w:rsid w:val="004C7A15"/>
    <w:rsid w:val="004D11B7"/>
    <w:rsid w:val="004D2154"/>
    <w:rsid w:val="004D3F97"/>
    <w:rsid w:val="004D52E2"/>
    <w:rsid w:val="004D55CE"/>
    <w:rsid w:val="004D57A0"/>
    <w:rsid w:val="004D61D0"/>
    <w:rsid w:val="004D69B9"/>
    <w:rsid w:val="004E0448"/>
    <w:rsid w:val="004E0508"/>
    <w:rsid w:val="004E0791"/>
    <w:rsid w:val="004E0DB8"/>
    <w:rsid w:val="004E1C15"/>
    <w:rsid w:val="004E44CC"/>
    <w:rsid w:val="004E4850"/>
    <w:rsid w:val="004E57E6"/>
    <w:rsid w:val="004E5CA5"/>
    <w:rsid w:val="004E60AA"/>
    <w:rsid w:val="004E635C"/>
    <w:rsid w:val="004E640D"/>
    <w:rsid w:val="004E7D70"/>
    <w:rsid w:val="004F0E19"/>
    <w:rsid w:val="004F176F"/>
    <w:rsid w:val="004F276D"/>
    <w:rsid w:val="004F345D"/>
    <w:rsid w:val="004F354D"/>
    <w:rsid w:val="004F4B83"/>
    <w:rsid w:val="004F6977"/>
    <w:rsid w:val="004F7B32"/>
    <w:rsid w:val="00500F3C"/>
    <w:rsid w:val="0050132B"/>
    <w:rsid w:val="00501FA2"/>
    <w:rsid w:val="00503313"/>
    <w:rsid w:val="005034FC"/>
    <w:rsid w:val="00503F67"/>
    <w:rsid w:val="005045FB"/>
    <w:rsid w:val="005055E2"/>
    <w:rsid w:val="00506448"/>
    <w:rsid w:val="005067CF"/>
    <w:rsid w:val="005106D5"/>
    <w:rsid w:val="00510994"/>
    <w:rsid w:val="005112F3"/>
    <w:rsid w:val="005126E8"/>
    <w:rsid w:val="0051591D"/>
    <w:rsid w:val="005171DA"/>
    <w:rsid w:val="00517BF1"/>
    <w:rsid w:val="00520645"/>
    <w:rsid w:val="00520920"/>
    <w:rsid w:val="0052107B"/>
    <w:rsid w:val="00521372"/>
    <w:rsid w:val="00523184"/>
    <w:rsid w:val="0052357A"/>
    <w:rsid w:val="00523AEC"/>
    <w:rsid w:val="00530CE7"/>
    <w:rsid w:val="005316A8"/>
    <w:rsid w:val="00531DBF"/>
    <w:rsid w:val="00535C65"/>
    <w:rsid w:val="005366E1"/>
    <w:rsid w:val="00536DF1"/>
    <w:rsid w:val="00540FEC"/>
    <w:rsid w:val="005414D6"/>
    <w:rsid w:val="00541F83"/>
    <w:rsid w:val="00542867"/>
    <w:rsid w:val="00542CC8"/>
    <w:rsid w:val="00542E00"/>
    <w:rsid w:val="005430C7"/>
    <w:rsid w:val="00543809"/>
    <w:rsid w:val="00543CB6"/>
    <w:rsid w:val="005446B0"/>
    <w:rsid w:val="005465AC"/>
    <w:rsid w:val="0054690E"/>
    <w:rsid w:val="00546B8F"/>
    <w:rsid w:val="005475A9"/>
    <w:rsid w:val="00547E4F"/>
    <w:rsid w:val="00550074"/>
    <w:rsid w:val="00551DFC"/>
    <w:rsid w:val="0055211A"/>
    <w:rsid w:val="005526CA"/>
    <w:rsid w:val="00552F55"/>
    <w:rsid w:val="00554113"/>
    <w:rsid w:val="0055455F"/>
    <w:rsid w:val="00555BCD"/>
    <w:rsid w:val="005605F8"/>
    <w:rsid w:val="005633D7"/>
    <w:rsid w:val="0056343B"/>
    <w:rsid w:val="00563DD5"/>
    <w:rsid w:val="005650C2"/>
    <w:rsid w:val="00565484"/>
    <w:rsid w:val="00565A8C"/>
    <w:rsid w:val="00565EF8"/>
    <w:rsid w:val="0056701E"/>
    <w:rsid w:val="005727B7"/>
    <w:rsid w:val="00574068"/>
    <w:rsid w:val="00574682"/>
    <w:rsid w:val="0057682D"/>
    <w:rsid w:val="005807B2"/>
    <w:rsid w:val="00580954"/>
    <w:rsid w:val="00581DAF"/>
    <w:rsid w:val="00582FCA"/>
    <w:rsid w:val="00583A5C"/>
    <w:rsid w:val="00583C23"/>
    <w:rsid w:val="00584238"/>
    <w:rsid w:val="005850D6"/>
    <w:rsid w:val="0058565E"/>
    <w:rsid w:val="0058643C"/>
    <w:rsid w:val="00586EDA"/>
    <w:rsid w:val="0058757D"/>
    <w:rsid w:val="005927CD"/>
    <w:rsid w:val="00592F0D"/>
    <w:rsid w:val="00592FF3"/>
    <w:rsid w:val="0059343A"/>
    <w:rsid w:val="005946B8"/>
    <w:rsid w:val="00595F94"/>
    <w:rsid w:val="00596297"/>
    <w:rsid w:val="005964EC"/>
    <w:rsid w:val="00596E98"/>
    <w:rsid w:val="005971FD"/>
    <w:rsid w:val="005972CC"/>
    <w:rsid w:val="0059746C"/>
    <w:rsid w:val="005A0661"/>
    <w:rsid w:val="005A129B"/>
    <w:rsid w:val="005A14B2"/>
    <w:rsid w:val="005A1DA9"/>
    <w:rsid w:val="005A1FDF"/>
    <w:rsid w:val="005A4F1F"/>
    <w:rsid w:val="005A536E"/>
    <w:rsid w:val="005A5411"/>
    <w:rsid w:val="005A6732"/>
    <w:rsid w:val="005A6BD9"/>
    <w:rsid w:val="005A6F0F"/>
    <w:rsid w:val="005B0458"/>
    <w:rsid w:val="005B098C"/>
    <w:rsid w:val="005B143F"/>
    <w:rsid w:val="005B1DF6"/>
    <w:rsid w:val="005B213E"/>
    <w:rsid w:val="005B216A"/>
    <w:rsid w:val="005B2AC3"/>
    <w:rsid w:val="005B49EB"/>
    <w:rsid w:val="005B6992"/>
    <w:rsid w:val="005B7AC1"/>
    <w:rsid w:val="005B7FA4"/>
    <w:rsid w:val="005C043C"/>
    <w:rsid w:val="005C3296"/>
    <w:rsid w:val="005C528B"/>
    <w:rsid w:val="005C5EEC"/>
    <w:rsid w:val="005C70CC"/>
    <w:rsid w:val="005D2CB5"/>
    <w:rsid w:val="005D37A8"/>
    <w:rsid w:val="005D386F"/>
    <w:rsid w:val="005D3969"/>
    <w:rsid w:val="005D72C1"/>
    <w:rsid w:val="005E1AFA"/>
    <w:rsid w:val="005E28E6"/>
    <w:rsid w:val="005E4813"/>
    <w:rsid w:val="005E6E82"/>
    <w:rsid w:val="005E7DDA"/>
    <w:rsid w:val="005F0A97"/>
    <w:rsid w:val="005F1051"/>
    <w:rsid w:val="005F6167"/>
    <w:rsid w:val="005F7150"/>
    <w:rsid w:val="005F7CCD"/>
    <w:rsid w:val="00601855"/>
    <w:rsid w:val="006026FD"/>
    <w:rsid w:val="006031DC"/>
    <w:rsid w:val="00604425"/>
    <w:rsid w:val="0060535C"/>
    <w:rsid w:val="0060542A"/>
    <w:rsid w:val="006061C8"/>
    <w:rsid w:val="00607010"/>
    <w:rsid w:val="00607538"/>
    <w:rsid w:val="00607F04"/>
    <w:rsid w:val="006102B7"/>
    <w:rsid w:val="00611F62"/>
    <w:rsid w:val="00613C39"/>
    <w:rsid w:val="00613D71"/>
    <w:rsid w:val="00613EF8"/>
    <w:rsid w:val="0061459D"/>
    <w:rsid w:val="00617C18"/>
    <w:rsid w:val="006243E7"/>
    <w:rsid w:val="006254F3"/>
    <w:rsid w:val="00625C51"/>
    <w:rsid w:val="00625F00"/>
    <w:rsid w:val="006266EB"/>
    <w:rsid w:val="00627144"/>
    <w:rsid w:val="00627321"/>
    <w:rsid w:val="00627D30"/>
    <w:rsid w:val="006313EC"/>
    <w:rsid w:val="006326CB"/>
    <w:rsid w:val="0063507E"/>
    <w:rsid w:val="00635319"/>
    <w:rsid w:val="0063603C"/>
    <w:rsid w:val="00636176"/>
    <w:rsid w:val="0063697C"/>
    <w:rsid w:val="006369CC"/>
    <w:rsid w:val="006374EF"/>
    <w:rsid w:val="00640E45"/>
    <w:rsid w:val="006428C7"/>
    <w:rsid w:val="00642EAE"/>
    <w:rsid w:val="00643275"/>
    <w:rsid w:val="00643E16"/>
    <w:rsid w:val="00645391"/>
    <w:rsid w:val="00646631"/>
    <w:rsid w:val="00646BFA"/>
    <w:rsid w:val="00646F06"/>
    <w:rsid w:val="00647F26"/>
    <w:rsid w:val="00651697"/>
    <w:rsid w:val="00652737"/>
    <w:rsid w:val="006536D6"/>
    <w:rsid w:val="00654653"/>
    <w:rsid w:val="006555AD"/>
    <w:rsid w:val="006560FF"/>
    <w:rsid w:val="00657569"/>
    <w:rsid w:val="00661118"/>
    <w:rsid w:val="00662875"/>
    <w:rsid w:val="00663399"/>
    <w:rsid w:val="00663870"/>
    <w:rsid w:val="00663C71"/>
    <w:rsid w:val="006640F9"/>
    <w:rsid w:val="006641C6"/>
    <w:rsid w:val="006647CF"/>
    <w:rsid w:val="00664E25"/>
    <w:rsid w:val="006656A2"/>
    <w:rsid w:val="00665738"/>
    <w:rsid w:val="00666247"/>
    <w:rsid w:val="006679EB"/>
    <w:rsid w:val="00671BB4"/>
    <w:rsid w:val="00672A26"/>
    <w:rsid w:val="00674C5F"/>
    <w:rsid w:val="00674F5E"/>
    <w:rsid w:val="00675866"/>
    <w:rsid w:val="006763B3"/>
    <w:rsid w:val="006765BB"/>
    <w:rsid w:val="006778A5"/>
    <w:rsid w:val="00677A19"/>
    <w:rsid w:val="00680491"/>
    <w:rsid w:val="00682F0F"/>
    <w:rsid w:val="006830A1"/>
    <w:rsid w:val="00683222"/>
    <w:rsid w:val="00683387"/>
    <w:rsid w:val="006869A1"/>
    <w:rsid w:val="00686A7A"/>
    <w:rsid w:val="00686F46"/>
    <w:rsid w:val="00687B51"/>
    <w:rsid w:val="006900BC"/>
    <w:rsid w:val="006907CD"/>
    <w:rsid w:val="00690B47"/>
    <w:rsid w:val="006919C3"/>
    <w:rsid w:val="00692DDF"/>
    <w:rsid w:val="0069376A"/>
    <w:rsid w:val="00694AAB"/>
    <w:rsid w:val="00694BF0"/>
    <w:rsid w:val="00697F32"/>
    <w:rsid w:val="006A14CE"/>
    <w:rsid w:val="006A1725"/>
    <w:rsid w:val="006A1854"/>
    <w:rsid w:val="006A5EAE"/>
    <w:rsid w:val="006A61E5"/>
    <w:rsid w:val="006A7616"/>
    <w:rsid w:val="006A76FE"/>
    <w:rsid w:val="006B46DC"/>
    <w:rsid w:val="006B666A"/>
    <w:rsid w:val="006B74E9"/>
    <w:rsid w:val="006B755E"/>
    <w:rsid w:val="006B7F89"/>
    <w:rsid w:val="006C05F3"/>
    <w:rsid w:val="006C0C8E"/>
    <w:rsid w:val="006C2A54"/>
    <w:rsid w:val="006C352D"/>
    <w:rsid w:val="006C3815"/>
    <w:rsid w:val="006C3846"/>
    <w:rsid w:val="006C4725"/>
    <w:rsid w:val="006C6025"/>
    <w:rsid w:val="006D13F5"/>
    <w:rsid w:val="006D1FA6"/>
    <w:rsid w:val="006D21F0"/>
    <w:rsid w:val="006D2952"/>
    <w:rsid w:val="006D3090"/>
    <w:rsid w:val="006D386C"/>
    <w:rsid w:val="006D3EDC"/>
    <w:rsid w:val="006D4845"/>
    <w:rsid w:val="006D5CDB"/>
    <w:rsid w:val="006D6ADF"/>
    <w:rsid w:val="006D6BD7"/>
    <w:rsid w:val="006D7839"/>
    <w:rsid w:val="006E02B1"/>
    <w:rsid w:val="006E0414"/>
    <w:rsid w:val="006E06C4"/>
    <w:rsid w:val="006E0DE7"/>
    <w:rsid w:val="006E1084"/>
    <w:rsid w:val="006E157D"/>
    <w:rsid w:val="006E34FF"/>
    <w:rsid w:val="006E60D0"/>
    <w:rsid w:val="006E6DDB"/>
    <w:rsid w:val="006F0AC4"/>
    <w:rsid w:val="006F2128"/>
    <w:rsid w:val="006F2CEE"/>
    <w:rsid w:val="006F4297"/>
    <w:rsid w:val="006F5195"/>
    <w:rsid w:val="006F58E8"/>
    <w:rsid w:val="006F61C3"/>
    <w:rsid w:val="006F730A"/>
    <w:rsid w:val="006F7546"/>
    <w:rsid w:val="00700495"/>
    <w:rsid w:val="00701907"/>
    <w:rsid w:val="00702B70"/>
    <w:rsid w:val="0070375B"/>
    <w:rsid w:val="00703818"/>
    <w:rsid w:val="00704686"/>
    <w:rsid w:val="007064D1"/>
    <w:rsid w:val="00706C75"/>
    <w:rsid w:val="00707EEA"/>
    <w:rsid w:val="007106FF"/>
    <w:rsid w:val="00710932"/>
    <w:rsid w:val="00711C46"/>
    <w:rsid w:val="0071220C"/>
    <w:rsid w:val="00714BDB"/>
    <w:rsid w:val="00714E63"/>
    <w:rsid w:val="00714F75"/>
    <w:rsid w:val="007155EB"/>
    <w:rsid w:val="0071751C"/>
    <w:rsid w:val="007178AF"/>
    <w:rsid w:val="007224D3"/>
    <w:rsid w:val="007259AE"/>
    <w:rsid w:val="00725BFA"/>
    <w:rsid w:val="00726131"/>
    <w:rsid w:val="007269A4"/>
    <w:rsid w:val="00732632"/>
    <w:rsid w:val="00732BD2"/>
    <w:rsid w:val="00733AA3"/>
    <w:rsid w:val="00733D68"/>
    <w:rsid w:val="00733E60"/>
    <w:rsid w:val="00734BF0"/>
    <w:rsid w:val="007358D4"/>
    <w:rsid w:val="00737B33"/>
    <w:rsid w:val="00737D3F"/>
    <w:rsid w:val="0074025C"/>
    <w:rsid w:val="00742808"/>
    <w:rsid w:val="0074297D"/>
    <w:rsid w:val="00743951"/>
    <w:rsid w:val="0074407F"/>
    <w:rsid w:val="007453C6"/>
    <w:rsid w:val="00745C40"/>
    <w:rsid w:val="00746488"/>
    <w:rsid w:val="00746653"/>
    <w:rsid w:val="0074680B"/>
    <w:rsid w:val="007475D7"/>
    <w:rsid w:val="00750CFD"/>
    <w:rsid w:val="007532C7"/>
    <w:rsid w:val="00753442"/>
    <w:rsid w:val="00754000"/>
    <w:rsid w:val="0075534B"/>
    <w:rsid w:val="0075586C"/>
    <w:rsid w:val="007561EF"/>
    <w:rsid w:val="0075646B"/>
    <w:rsid w:val="00757C0C"/>
    <w:rsid w:val="00760447"/>
    <w:rsid w:val="00760C76"/>
    <w:rsid w:val="0076115B"/>
    <w:rsid w:val="007623A6"/>
    <w:rsid w:val="007644D4"/>
    <w:rsid w:val="007676D8"/>
    <w:rsid w:val="00767E50"/>
    <w:rsid w:val="00770BE0"/>
    <w:rsid w:val="00771BDB"/>
    <w:rsid w:val="00774DD6"/>
    <w:rsid w:val="007773D4"/>
    <w:rsid w:val="0077782A"/>
    <w:rsid w:val="007806EF"/>
    <w:rsid w:val="007830DD"/>
    <w:rsid w:val="0078437C"/>
    <w:rsid w:val="00784AE6"/>
    <w:rsid w:val="00784CA4"/>
    <w:rsid w:val="00784D51"/>
    <w:rsid w:val="0078521D"/>
    <w:rsid w:val="0078535A"/>
    <w:rsid w:val="007859D4"/>
    <w:rsid w:val="007864CA"/>
    <w:rsid w:val="007868FA"/>
    <w:rsid w:val="00787769"/>
    <w:rsid w:val="007909DF"/>
    <w:rsid w:val="00794040"/>
    <w:rsid w:val="0079507F"/>
    <w:rsid w:val="00797162"/>
    <w:rsid w:val="007A030A"/>
    <w:rsid w:val="007A0608"/>
    <w:rsid w:val="007A1A61"/>
    <w:rsid w:val="007A2172"/>
    <w:rsid w:val="007A2E2A"/>
    <w:rsid w:val="007A31E6"/>
    <w:rsid w:val="007A3201"/>
    <w:rsid w:val="007A4296"/>
    <w:rsid w:val="007A4477"/>
    <w:rsid w:val="007A4951"/>
    <w:rsid w:val="007A69E3"/>
    <w:rsid w:val="007A7D92"/>
    <w:rsid w:val="007B1D8C"/>
    <w:rsid w:val="007B2424"/>
    <w:rsid w:val="007B38EE"/>
    <w:rsid w:val="007B39B5"/>
    <w:rsid w:val="007B44B7"/>
    <w:rsid w:val="007B47F3"/>
    <w:rsid w:val="007B5BCE"/>
    <w:rsid w:val="007B76CF"/>
    <w:rsid w:val="007C06DB"/>
    <w:rsid w:val="007C07F2"/>
    <w:rsid w:val="007C1F9B"/>
    <w:rsid w:val="007C2442"/>
    <w:rsid w:val="007C442F"/>
    <w:rsid w:val="007C6029"/>
    <w:rsid w:val="007C7F1C"/>
    <w:rsid w:val="007D194E"/>
    <w:rsid w:val="007D19D1"/>
    <w:rsid w:val="007D212C"/>
    <w:rsid w:val="007D26D0"/>
    <w:rsid w:val="007D2F6E"/>
    <w:rsid w:val="007D31FD"/>
    <w:rsid w:val="007D4096"/>
    <w:rsid w:val="007D47F1"/>
    <w:rsid w:val="007D502C"/>
    <w:rsid w:val="007D5FE6"/>
    <w:rsid w:val="007D71B9"/>
    <w:rsid w:val="007D79F3"/>
    <w:rsid w:val="007E03DA"/>
    <w:rsid w:val="007E21C1"/>
    <w:rsid w:val="007E37B6"/>
    <w:rsid w:val="007E4EEF"/>
    <w:rsid w:val="007E5380"/>
    <w:rsid w:val="007E7CC7"/>
    <w:rsid w:val="007F0892"/>
    <w:rsid w:val="007F12B7"/>
    <w:rsid w:val="007F1647"/>
    <w:rsid w:val="007F1AEC"/>
    <w:rsid w:val="007F1EC8"/>
    <w:rsid w:val="007F25A9"/>
    <w:rsid w:val="007F33A7"/>
    <w:rsid w:val="007F40D3"/>
    <w:rsid w:val="007F539D"/>
    <w:rsid w:val="007F5717"/>
    <w:rsid w:val="007F5EF2"/>
    <w:rsid w:val="007F7B1F"/>
    <w:rsid w:val="00800944"/>
    <w:rsid w:val="00801036"/>
    <w:rsid w:val="00801575"/>
    <w:rsid w:val="00804AE3"/>
    <w:rsid w:val="00804B83"/>
    <w:rsid w:val="00804F81"/>
    <w:rsid w:val="00805853"/>
    <w:rsid w:val="00805A55"/>
    <w:rsid w:val="00807AA6"/>
    <w:rsid w:val="00810FF6"/>
    <w:rsid w:val="0081368C"/>
    <w:rsid w:val="00813C37"/>
    <w:rsid w:val="00813D5B"/>
    <w:rsid w:val="008147EC"/>
    <w:rsid w:val="00815D71"/>
    <w:rsid w:val="008164DC"/>
    <w:rsid w:val="00817DF4"/>
    <w:rsid w:val="00820836"/>
    <w:rsid w:val="008231BA"/>
    <w:rsid w:val="00824841"/>
    <w:rsid w:val="00824E2B"/>
    <w:rsid w:val="00826980"/>
    <w:rsid w:val="00826D2F"/>
    <w:rsid w:val="008306DE"/>
    <w:rsid w:val="008313B2"/>
    <w:rsid w:val="00832276"/>
    <w:rsid w:val="00832B98"/>
    <w:rsid w:val="00833512"/>
    <w:rsid w:val="00834549"/>
    <w:rsid w:val="00835309"/>
    <w:rsid w:val="00837F0A"/>
    <w:rsid w:val="00840112"/>
    <w:rsid w:val="00840140"/>
    <w:rsid w:val="00840199"/>
    <w:rsid w:val="008405A7"/>
    <w:rsid w:val="00841134"/>
    <w:rsid w:val="0084151A"/>
    <w:rsid w:val="0084231E"/>
    <w:rsid w:val="00842423"/>
    <w:rsid w:val="00843DEE"/>
    <w:rsid w:val="00844086"/>
    <w:rsid w:val="00845419"/>
    <w:rsid w:val="00846055"/>
    <w:rsid w:val="00847405"/>
    <w:rsid w:val="00850132"/>
    <w:rsid w:val="008516FA"/>
    <w:rsid w:val="00853B1B"/>
    <w:rsid w:val="00855A00"/>
    <w:rsid w:val="00856495"/>
    <w:rsid w:val="0085721D"/>
    <w:rsid w:val="008577D4"/>
    <w:rsid w:val="0086059E"/>
    <w:rsid w:val="00860DDC"/>
    <w:rsid w:val="00862065"/>
    <w:rsid w:val="00863DB6"/>
    <w:rsid w:val="00863FD0"/>
    <w:rsid w:val="008644A7"/>
    <w:rsid w:val="008657F9"/>
    <w:rsid w:val="00865B14"/>
    <w:rsid w:val="00866479"/>
    <w:rsid w:val="00866FAD"/>
    <w:rsid w:val="00871667"/>
    <w:rsid w:val="008720D8"/>
    <w:rsid w:val="0087367F"/>
    <w:rsid w:val="00873A06"/>
    <w:rsid w:val="00874650"/>
    <w:rsid w:val="00874D70"/>
    <w:rsid w:val="00875555"/>
    <w:rsid w:val="00876C5D"/>
    <w:rsid w:val="00876F74"/>
    <w:rsid w:val="00880915"/>
    <w:rsid w:val="00881282"/>
    <w:rsid w:val="00883E6C"/>
    <w:rsid w:val="00885AD4"/>
    <w:rsid w:val="008862B5"/>
    <w:rsid w:val="0088721E"/>
    <w:rsid w:val="0088740B"/>
    <w:rsid w:val="00887544"/>
    <w:rsid w:val="0089060D"/>
    <w:rsid w:val="008908F5"/>
    <w:rsid w:val="00890A4C"/>
    <w:rsid w:val="00890DDA"/>
    <w:rsid w:val="00891513"/>
    <w:rsid w:val="00891914"/>
    <w:rsid w:val="008945FD"/>
    <w:rsid w:val="008951AC"/>
    <w:rsid w:val="00895402"/>
    <w:rsid w:val="008961B7"/>
    <w:rsid w:val="0089654C"/>
    <w:rsid w:val="00896708"/>
    <w:rsid w:val="0089677E"/>
    <w:rsid w:val="008978CC"/>
    <w:rsid w:val="00897E6F"/>
    <w:rsid w:val="008A0D16"/>
    <w:rsid w:val="008A1673"/>
    <w:rsid w:val="008A1F71"/>
    <w:rsid w:val="008A226B"/>
    <w:rsid w:val="008A2808"/>
    <w:rsid w:val="008A694E"/>
    <w:rsid w:val="008B0AA0"/>
    <w:rsid w:val="008B354A"/>
    <w:rsid w:val="008B5987"/>
    <w:rsid w:val="008B6B10"/>
    <w:rsid w:val="008C2E65"/>
    <w:rsid w:val="008C34DE"/>
    <w:rsid w:val="008C37C8"/>
    <w:rsid w:val="008C4DFD"/>
    <w:rsid w:val="008C5BD8"/>
    <w:rsid w:val="008C5C8C"/>
    <w:rsid w:val="008D0BF5"/>
    <w:rsid w:val="008D114B"/>
    <w:rsid w:val="008D34FE"/>
    <w:rsid w:val="008D4E68"/>
    <w:rsid w:val="008D52D6"/>
    <w:rsid w:val="008D6987"/>
    <w:rsid w:val="008D7DDB"/>
    <w:rsid w:val="008D7E3A"/>
    <w:rsid w:val="008E08F8"/>
    <w:rsid w:val="008E1F19"/>
    <w:rsid w:val="008E5912"/>
    <w:rsid w:val="008F075C"/>
    <w:rsid w:val="008F0AF1"/>
    <w:rsid w:val="008F0B32"/>
    <w:rsid w:val="008F11E2"/>
    <w:rsid w:val="008F208A"/>
    <w:rsid w:val="008F3660"/>
    <w:rsid w:val="008F3B03"/>
    <w:rsid w:val="008F3F09"/>
    <w:rsid w:val="008F436E"/>
    <w:rsid w:val="008F6FA5"/>
    <w:rsid w:val="008F7180"/>
    <w:rsid w:val="008F7B87"/>
    <w:rsid w:val="009005F8"/>
    <w:rsid w:val="00901F97"/>
    <w:rsid w:val="009025A6"/>
    <w:rsid w:val="009027DA"/>
    <w:rsid w:val="00902C55"/>
    <w:rsid w:val="00904F5A"/>
    <w:rsid w:val="00905B60"/>
    <w:rsid w:val="00906098"/>
    <w:rsid w:val="00907206"/>
    <w:rsid w:val="00907611"/>
    <w:rsid w:val="00910BF0"/>
    <w:rsid w:val="00911C69"/>
    <w:rsid w:val="009121CD"/>
    <w:rsid w:val="009129DD"/>
    <w:rsid w:val="00912DEC"/>
    <w:rsid w:val="0091364C"/>
    <w:rsid w:val="00913806"/>
    <w:rsid w:val="009149A9"/>
    <w:rsid w:val="009152A2"/>
    <w:rsid w:val="00915D80"/>
    <w:rsid w:val="0092040D"/>
    <w:rsid w:val="009205BD"/>
    <w:rsid w:val="00924E28"/>
    <w:rsid w:val="00925384"/>
    <w:rsid w:val="00926348"/>
    <w:rsid w:val="00926F34"/>
    <w:rsid w:val="0092735E"/>
    <w:rsid w:val="009301F1"/>
    <w:rsid w:val="00930D8F"/>
    <w:rsid w:val="00932CBC"/>
    <w:rsid w:val="00933311"/>
    <w:rsid w:val="0093472B"/>
    <w:rsid w:val="00934A69"/>
    <w:rsid w:val="00935197"/>
    <w:rsid w:val="009353BF"/>
    <w:rsid w:val="009356A4"/>
    <w:rsid w:val="00936722"/>
    <w:rsid w:val="009376A3"/>
    <w:rsid w:val="00937A0D"/>
    <w:rsid w:val="00940195"/>
    <w:rsid w:val="009405F0"/>
    <w:rsid w:val="00940F46"/>
    <w:rsid w:val="009443BC"/>
    <w:rsid w:val="00944696"/>
    <w:rsid w:val="009451C2"/>
    <w:rsid w:val="0095018E"/>
    <w:rsid w:val="009503C4"/>
    <w:rsid w:val="00950C28"/>
    <w:rsid w:val="00951019"/>
    <w:rsid w:val="009528ED"/>
    <w:rsid w:val="00952920"/>
    <w:rsid w:val="00954212"/>
    <w:rsid w:val="009546D8"/>
    <w:rsid w:val="009548FE"/>
    <w:rsid w:val="00954B36"/>
    <w:rsid w:val="009558F0"/>
    <w:rsid w:val="00962347"/>
    <w:rsid w:val="00962BA0"/>
    <w:rsid w:val="009632D7"/>
    <w:rsid w:val="00963962"/>
    <w:rsid w:val="00964509"/>
    <w:rsid w:val="00965A62"/>
    <w:rsid w:val="00965A8D"/>
    <w:rsid w:val="00966C54"/>
    <w:rsid w:val="009678FD"/>
    <w:rsid w:val="0097123A"/>
    <w:rsid w:val="00972789"/>
    <w:rsid w:val="00972CB3"/>
    <w:rsid w:val="0097416F"/>
    <w:rsid w:val="009751AB"/>
    <w:rsid w:val="0097541B"/>
    <w:rsid w:val="00975828"/>
    <w:rsid w:val="00975A6A"/>
    <w:rsid w:val="00975DA4"/>
    <w:rsid w:val="0097649D"/>
    <w:rsid w:val="009764F8"/>
    <w:rsid w:val="00976B02"/>
    <w:rsid w:val="00977987"/>
    <w:rsid w:val="00984598"/>
    <w:rsid w:val="00984C44"/>
    <w:rsid w:val="00984F86"/>
    <w:rsid w:val="009853EE"/>
    <w:rsid w:val="00987B06"/>
    <w:rsid w:val="00987D47"/>
    <w:rsid w:val="00990D29"/>
    <w:rsid w:val="009916C7"/>
    <w:rsid w:val="00991914"/>
    <w:rsid w:val="00992DFF"/>
    <w:rsid w:val="0099417E"/>
    <w:rsid w:val="009944E0"/>
    <w:rsid w:val="00994E8C"/>
    <w:rsid w:val="00995613"/>
    <w:rsid w:val="00995CE5"/>
    <w:rsid w:val="009969FD"/>
    <w:rsid w:val="009A2117"/>
    <w:rsid w:val="009A23E0"/>
    <w:rsid w:val="009A32F5"/>
    <w:rsid w:val="009A42A8"/>
    <w:rsid w:val="009A4397"/>
    <w:rsid w:val="009A4FA2"/>
    <w:rsid w:val="009A5462"/>
    <w:rsid w:val="009A58EC"/>
    <w:rsid w:val="009A5BBB"/>
    <w:rsid w:val="009A5EF9"/>
    <w:rsid w:val="009A6073"/>
    <w:rsid w:val="009A70D7"/>
    <w:rsid w:val="009A7DF7"/>
    <w:rsid w:val="009B09C6"/>
    <w:rsid w:val="009B0DC4"/>
    <w:rsid w:val="009B1ACA"/>
    <w:rsid w:val="009B4A2A"/>
    <w:rsid w:val="009B5B0A"/>
    <w:rsid w:val="009B717A"/>
    <w:rsid w:val="009C0A02"/>
    <w:rsid w:val="009C0FC8"/>
    <w:rsid w:val="009C149E"/>
    <w:rsid w:val="009C2256"/>
    <w:rsid w:val="009C3479"/>
    <w:rsid w:val="009C3782"/>
    <w:rsid w:val="009C3E2A"/>
    <w:rsid w:val="009C4B02"/>
    <w:rsid w:val="009C53AF"/>
    <w:rsid w:val="009C5A69"/>
    <w:rsid w:val="009C7062"/>
    <w:rsid w:val="009D0BFE"/>
    <w:rsid w:val="009D182C"/>
    <w:rsid w:val="009D41CA"/>
    <w:rsid w:val="009D4C29"/>
    <w:rsid w:val="009D4ED5"/>
    <w:rsid w:val="009D5001"/>
    <w:rsid w:val="009D5869"/>
    <w:rsid w:val="009D6688"/>
    <w:rsid w:val="009E1151"/>
    <w:rsid w:val="009E26B9"/>
    <w:rsid w:val="009E3018"/>
    <w:rsid w:val="009E3502"/>
    <w:rsid w:val="009E3B58"/>
    <w:rsid w:val="009E40DD"/>
    <w:rsid w:val="009E45C9"/>
    <w:rsid w:val="009E56B5"/>
    <w:rsid w:val="009E56F4"/>
    <w:rsid w:val="009E662A"/>
    <w:rsid w:val="009E6BFC"/>
    <w:rsid w:val="009E74C5"/>
    <w:rsid w:val="009E776F"/>
    <w:rsid w:val="009F0DB1"/>
    <w:rsid w:val="009F1936"/>
    <w:rsid w:val="009F2040"/>
    <w:rsid w:val="009F2104"/>
    <w:rsid w:val="009F2584"/>
    <w:rsid w:val="009F278F"/>
    <w:rsid w:val="009F2800"/>
    <w:rsid w:val="009F412B"/>
    <w:rsid w:val="009F4407"/>
    <w:rsid w:val="009F47A2"/>
    <w:rsid w:val="009F6808"/>
    <w:rsid w:val="009F6A0B"/>
    <w:rsid w:val="009F7BBD"/>
    <w:rsid w:val="009F7BF9"/>
    <w:rsid w:val="009F7D1D"/>
    <w:rsid w:val="00A00951"/>
    <w:rsid w:val="00A009A2"/>
    <w:rsid w:val="00A02E8A"/>
    <w:rsid w:val="00A03446"/>
    <w:rsid w:val="00A03AF5"/>
    <w:rsid w:val="00A03BF8"/>
    <w:rsid w:val="00A049F9"/>
    <w:rsid w:val="00A051C8"/>
    <w:rsid w:val="00A061F5"/>
    <w:rsid w:val="00A06B44"/>
    <w:rsid w:val="00A10960"/>
    <w:rsid w:val="00A141B7"/>
    <w:rsid w:val="00A14D5E"/>
    <w:rsid w:val="00A17418"/>
    <w:rsid w:val="00A2298C"/>
    <w:rsid w:val="00A24267"/>
    <w:rsid w:val="00A2594E"/>
    <w:rsid w:val="00A26BE5"/>
    <w:rsid w:val="00A26C1C"/>
    <w:rsid w:val="00A30F8F"/>
    <w:rsid w:val="00A31EB5"/>
    <w:rsid w:val="00A323CC"/>
    <w:rsid w:val="00A32C0E"/>
    <w:rsid w:val="00A32EFD"/>
    <w:rsid w:val="00A33522"/>
    <w:rsid w:val="00A3358B"/>
    <w:rsid w:val="00A34916"/>
    <w:rsid w:val="00A34F62"/>
    <w:rsid w:val="00A35B95"/>
    <w:rsid w:val="00A35F40"/>
    <w:rsid w:val="00A360FE"/>
    <w:rsid w:val="00A363CB"/>
    <w:rsid w:val="00A37D99"/>
    <w:rsid w:val="00A37E06"/>
    <w:rsid w:val="00A4131F"/>
    <w:rsid w:val="00A4203C"/>
    <w:rsid w:val="00A42C6D"/>
    <w:rsid w:val="00A44252"/>
    <w:rsid w:val="00A4766A"/>
    <w:rsid w:val="00A50F48"/>
    <w:rsid w:val="00A51BDF"/>
    <w:rsid w:val="00A527BC"/>
    <w:rsid w:val="00A52A90"/>
    <w:rsid w:val="00A52E90"/>
    <w:rsid w:val="00A53099"/>
    <w:rsid w:val="00A562C0"/>
    <w:rsid w:val="00A60D25"/>
    <w:rsid w:val="00A61370"/>
    <w:rsid w:val="00A61F5D"/>
    <w:rsid w:val="00A6310F"/>
    <w:rsid w:val="00A636CF"/>
    <w:rsid w:val="00A6575E"/>
    <w:rsid w:val="00A65AB3"/>
    <w:rsid w:val="00A65D09"/>
    <w:rsid w:val="00A65E12"/>
    <w:rsid w:val="00A66C80"/>
    <w:rsid w:val="00A66FC6"/>
    <w:rsid w:val="00A67467"/>
    <w:rsid w:val="00A712E2"/>
    <w:rsid w:val="00A722B9"/>
    <w:rsid w:val="00A74655"/>
    <w:rsid w:val="00A74B2E"/>
    <w:rsid w:val="00A74F6E"/>
    <w:rsid w:val="00A758F4"/>
    <w:rsid w:val="00A75E9A"/>
    <w:rsid w:val="00A8086D"/>
    <w:rsid w:val="00A80C48"/>
    <w:rsid w:val="00A81916"/>
    <w:rsid w:val="00A82897"/>
    <w:rsid w:val="00A8399D"/>
    <w:rsid w:val="00A919AE"/>
    <w:rsid w:val="00A9310B"/>
    <w:rsid w:val="00A9411B"/>
    <w:rsid w:val="00A94213"/>
    <w:rsid w:val="00A94A12"/>
    <w:rsid w:val="00A96FC8"/>
    <w:rsid w:val="00A975AF"/>
    <w:rsid w:val="00AA0467"/>
    <w:rsid w:val="00AA0A0E"/>
    <w:rsid w:val="00AA19AA"/>
    <w:rsid w:val="00AA2110"/>
    <w:rsid w:val="00AA236A"/>
    <w:rsid w:val="00AA2E8C"/>
    <w:rsid w:val="00AA2EB8"/>
    <w:rsid w:val="00AA33E7"/>
    <w:rsid w:val="00AA347C"/>
    <w:rsid w:val="00AA4AFD"/>
    <w:rsid w:val="00AA51FF"/>
    <w:rsid w:val="00AA5D90"/>
    <w:rsid w:val="00AA66A4"/>
    <w:rsid w:val="00AA6CAA"/>
    <w:rsid w:val="00AA7C31"/>
    <w:rsid w:val="00AB03EF"/>
    <w:rsid w:val="00AB0BFA"/>
    <w:rsid w:val="00AB3041"/>
    <w:rsid w:val="00AB3D2E"/>
    <w:rsid w:val="00AB4415"/>
    <w:rsid w:val="00AB6C79"/>
    <w:rsid w:val="00AC01EA"/>
    <w:rsid w:val="00AC09DC"/>
    <w:rsid w:val="00AC298F"/>
    <w:rsid w:val="00AC5D36"/>
    <w:rsid w:val="00AC6D00"/>
    <w:rsid w:val="00AD067A"/>
    <w:rsid w:val="00AD50CA"/>
    <w:rsid w:val="00AD5870"/>
    <w:rsid w:val="00AD5C4D"/>
    <w:rsid w:val="00AE0A58"/>
    <w:rsid w:val="00AE1BD0"/>
    <w:rsid w:val="00AE317D"/>
    <w:rsid w:val="00AE35E2"/>
    <w:rsid w:val="00AE3BA1"/>
    <w:rsid w:val="00AE42DB"/>
    <w:rsid w:val="00AE4B00"/>
    <w:rsid w:val="00AE5250"/>
    <w:rsid w:val="00AE5259"/>
    <w:rsid w:val="00AE5C8E"/>
    <w:rsid w:val="00AE6B15"/>
    <w:rsid w:val="00AE6FD6"/>
    <w:rsid w:val="00AE7253"/>
    <w:rsid w:val="00AF08D6"/>
    <w:rsid w:val="00AF0B6C"/>
    <w:rsid w:val="00AF2763"/>
    <w:rsid w:val="00AF2881"/>
    <w:rsid w:val="00AF384E"/>
    <w:rsid w:val="00AF6CDF"/>
    <w:rsid w:val="00B010E4"/>
    <w:rsid w:val="00B029B7"/>
    <w:rsid w:val="00B0328B"/>
    <w:rsid w:val="00B03E26"/>
    <w:rsid w:val="00B04199"/>
    <w:rsid w:val="00B0583F"/>
    <w:rsid w:val="00B05932"/>
    <w:rsid w:val="00B0669C"/>
    <w:rsid w:val="00B11780"/>
    <w:rsid w:val="00B11E69"/>
    <w:rsid w:val="00B120D1"/>
    <w:rsid w:val="00B125E0"/>
    <w:rsid w:val="00B12E1D"/>
    <w:rsid w:val="00B134AB"/>
    <w:rsid w:val="00B14377"/>
    <w:rsid w:val="00B14C3D"/>
    <w:rsid w:val="00B15AE4"/>
    <w:rsid w:val="00B20054"/>
    <w:rsid w:val="00B25C02"/>
    <w:rsid w:val="00B275F1"/>
    <w:rsid w:val="00B30674"/>
    <w:rsid w:val="00B308A3"/>
    <w:rsid w:val="00B316E4"/>
    <w:rsid w:val="00B31F02"/>
    <w:rsid w:val="00B32E6F"/>
    <w:rsid w:val="00B32FFC"/>
    <w:rsid w:val="00B33002"/>
    <w:rsid w:val="00B33815"/>
    <w:rsid w:val="00B342C1"/>
    <w:rsid w:val="00B35E7F"/>
    <w:rsid w:val="00B36561"/>
    <w:rsid w:val="00B400EA"/>
    <w:rsid w:val="00B40A75"/>
    <w:rsid w:val="00B40D41"/>
    <w:rsid w:val="00B41904"/>
    <w:rsid w:val="00B4199E"/>
    <w:rsid w:val="00B434EE"/>
    <w:rsid w:val="00B46129"/>
    <w:rsid w:val="00B46A8B"/>
    <w:rsid w:val="00B46ADD"/>
    <w:rsid w:val="00B46C85"/>
    <w:rsid w:val="00B46CD8"/>
    <w:rsid w:val="00B520F3"/>
    <w:rsid w:val="00B535E8"/>
    <w:rsid w:val="00B54394"/>
    <w:rsid w:val="00B547C8"/>
    <w:rsid w:val="00B55839"/>
    <w:rsid w:val="00B57631"/>
    <w:rsid w:val="00B57C55"/>
    <w:rsid w:val="00B6146A"/>
    <w:rsid w:val="00B62F25"/>
    <w:rsid w:val="00B630CF"/>
    <w:rsid w:val="00B635EB"/>
    <w:rsid w:val="00B65358"/>
    <w:rsid w:val="00B65ACE"/>
    <w:rsid w:val="00B65C97"/>
    <w:rsid w:val="00B65EC2"/>
    <w:rsid w:val="00B66FE1"/>
    <w:rsid w:val="00B7007B"/>
    <w:rsid w:val="00B70732"/>
    <w:rsid w:val="00B71476"/>
    <w:rsid w:val="00B71E2B"/>
    <w:rsid w:val="00B728F3"/>
    <w:rsid w:val="00B73982"/>
    <w:rsid w:val="00B73ECE"/>
    <w:rsid w:val="00B75424"/>
    <w:rsid w:val="00B764F7"/>
    <w:rsid w:val="00B77029"/>
    <w:rsid w:val="00B77183"/>
    <w:rsid w:val="00B77648"/>
    <w:rsid w:val="00B817E0"/>
    <w:rsid w:val="00B82363"/>
    <w:rsid w:val="00B83416"/>
    <w:rsid w:val="00B83455"/>
    <w:rsid w:val="00B83578"/>
    <w:rsid w:val="00B843CD"/>
    <w:rsid w:val="00B84BD5"/>
    <w:rsid w:val="00B85057"/>
    <w:rsid w:val="00B853C2"/>
    <w:rsid w:val="00B86B05"/>
    <w:rsid w:val="00B86B09"/>
    <w:rsid w:val="00B86B7A"/>
    <w:rsid w:val="00B87698"/>
    <w:rsid w:val="00B876EF"/>
    <w:rsid w:val="00B877C1"/>
    <w:rsid w:val="00B917AD"/>
    <w:rsid w:val="00B92014"/>
    <w:rsid w:val="00B93713"/>
    <w:rsid w:val="00B94616"/>
    <w:rsid w:val="00B96979"/>
    <w:rsid w:val="00B96A9D"/>
    <w:rsid w:val="00BA19EC"/>
    <w:rsid w:val="00BA2225"/>
    <w:rsid w:val="00BA39C4"/>
    <w:rsid w:val="00BA3BB4"/>
    <w:rsid w:val="00BA474B"/>
    <w:rsid w:val="00BA65F2"/>
    <w:rsid w:val="00BA799B"/>
    <w:rsid w:val="00BB18CF"/>
    <w:rsid w:val="00BB3AEE"/>
    <w:rsid w:val="00BB417F"/>
    <w:rsid w:val="00BB444A"/>
    <w:rsid w:val="00BB455E"/>
    <w:rsid w:val="00BB4D12"/>
    <w:rsid w:val="00BB6334"/>
    <w:rsid w:val="00BB64EA"/>
    <w:rsid w:val="00BB6C2F"/>
    <w:rsid w:val="00BB6D83"/>
    <w:rsid w:val="00BB79F9"/>
    <w:rsid w:val="00BC1E7E"/>
    <w:rsid w:val="00BC2AA4"/>
    <w:rsid w:val="00BC2C37"/>
    <w:rsid w:val="00BC34D5"/>
    <w:rsid w:val="00BC3593"/>
    <w:rsid w:val="00BC375A"/>
    <w:rsid w:val="00BC4B4D"/>
    <w:rsid w:val="00BC4BEB"/>
    <w:rsid w:val="00BC55A1"/>
    <w:rsid w:val="00BC5AAD"/>
    <w:rsid w:val="00BC680C"/>
    <w:rsid w:val="00BC7D96"/>
    <w:rsid w:val="00BC7EF5"/>
    <w:rsid w:val="00BD1050"/>
    <w:rsid w:val="00BD2099"/>
    <w:rsid w:val="00BD25BF"/>
    <w:rsid w:val="00BD32FA"/>
    <w:rsid w:val="00BD39BD"/>
    <w:rsid w:val="00BD4FAA"/>
    <w:rsid w:val="00BD79D8"/>
    <w:rsid w:val="00BE0054"/>
    <w:rsid w:val="00BE0F2C"/>
    <w:rsid w:val="00BE0F82"/>
    <w:rsid w:val="00BE309E"/>
    <w:rsid w:val="00BE312A"/>
    <w:rsid w:val="00BE4694"/>
    <w:rsid w:val="00BE51FD"/>
    <w:rsid w:val="00BE5CD8"/>
    <w:rsid w:val="00BE5D49"/>
    <w:rsid w:val="00BE73F0"/>
    <w:rsid w:val="00BF00E3"/>
    <w:rsid w:val="00BF0778"/>
    <w:rsid w:val="00BF13A5"/>
    <w:rsid w:val="00BF16D5"/>
    <w:rsid w:val="00BF2689"/>
    <w:rsid w:val="00BF3213"/>
    <w:rsid w:val="00BF3DEE"/>
    <w:rsid w:val="00BF44BF"/>
    <w:rsid w:val="00BF64E4"/>
    <w:rsid w:val="00BF760E"/>
    <w:rsid w:val="00BF7F71"/>
    <w:rsid w:val="00C00872"/>
    <w:rsid w:val="00C00F07"/>
    <w:rsid w:val="00C02817"/>
    <w:rsid w:val="00C029DF"/>
    <w:rsid w:val="00C04198"/>
    <w:rsid w:val="00C0489E"/>
    <w:rsid w:val="00C04E48"/>
    <w:rsid w:val="00C055C3"/>
    <w:rsid w:val="00C05B72"/>
    <w:rsid w:val="00C066DE"/>
    <w:rsid w:val="00C0725D"/>
    <w:rsid w:val="00C0742D"/>
    <w:rsid w:val="00C116D2"/>
    <w:rsid w:val="00C126FA"/>
    <w:rsid w:val="00C12952"/>
    <w:rsid w:val="00C13BAD"/>
    <w:rsid w:val="00C14230"/>
    <w:rsid w:val="00C149E5"/>
    <w:rsid w:val="00C15A1F"/>
    <w:rsid w:val="00C164A8"/>
    <w:rsid w:val="00C167AC"/>
    <w:rsid w:val="00C169E4"/>
    <w:rsid w:val="00C16B96"/>
    <w:rsid w:val="00C17BF6"/>
    <w:rsid w:val="00C20E2F"/>
    <w:rsid w:val="00C20F53"/>
    <w:rsid w:val="00C21346"/>
    <w:rsid w:val="00C2265D"/>
    <w:rsid w:val="00C22776"/>
    <w:rsid w:val="00C2476B"/>
    <w:rsid w:val="00C250DA"/>
    <w:rsid w:val="00C25E5D"/>
    <w:rsid w:val="00C3000A"/>
    <w:rsid w:val="00C307C0"/>
    <w:rsid w:val="00C31CCC"/>
    <w:rsid w:val="00C322D5"/>
    <w:rsid w:val="00C32997"/>
    <w:rsid w:val="00C32FDE"/>
    <w:rsid w:val="00C335EC"/>
    <w:rsid w:val="00C33918"/>
    <w:rsid w:val="00C34C50"/>
    <w:rsid w:val="00C35819"/>
    <w:rsid w:val="00C35C66"/>
    <w:rsid w:val="00C3716D"/>
    <w:rsid w:val="00C374B1"/>
    <w:rsid w:val="00C37A1C"/>
    <w:rsid w:val="00C45049"/>
    <w:rsid w:val="00C45F57"/>
    <w:rsid w:val="00C46500"/>
    <w:rsid w:val="00C47957"/>
    <w:rsid w:val="00C50250"/>
    <w:rsid w:val="00C51A8A"/>
    <w:rsid w:val="00C51EDF"/>
    <w:rsid w:val="00C52165"/>
    <w:rsid w:val="00C5250C"/>
    <w:rsid w:val="00C529FC"/>
    <w:rsid w:val="00C56001"/>
    <w:rsid w:val="00C57D0B"/>
    <w:rsid w:val="00C60395"/>
    <w:rsid w:val="00C62CB0"/>
    <w:rsid w:val="00C63D24"/>
    <w:rsid w:val="00C640CD"/>
    <w:rsid w:val="00C65CD9"/>
    <w:rsid w:val="00C65E89"/>
    <w:rsid w:val="00C671F1"/>
    <w:rsid w:val="00C700AE"/>
    <w:rsid w:val="00C712D1"/>
    <w:rsid w:val="00C729BA"/>
    <w:rsid w:val="00C72A14"/>
    <w:rsid w:val="00C72DC4"/>
    <w:rsid w:val="00C72E5F"/>
    <w:rsid w:val="00C73520"/>
    <w:rsid w:val="00C73CA6"/>
    <w:rsid w:val="00C743D6"/>
    <w:rsid w:val="00C77175"/>
    <w:rsid w:val="00C77745"/>
    <w:rsid w:val="00C8002B"/>
    <w:rsid w:val="00C800DB"/>
    <w:rsid w:val="00C80DF8"/>
    <w:rsid w:val="00C8142C"/>
    <w:rsid w:val="00C8145D"/>
    <w:rsid w:val="00C81498"/>
    <w:rsid w:val="00C82F40"/>
    <w:rsid w:val="00C839B4"/>
    <w:rsid w:val="00C8592B"/>
    <w:rsid w:val="00C8660A"/>
    <w:rsid w:val="00C90D17"/>
    <w:rsid w:val="00C91DD7"/>
    <w:rsid w:val="00C92DFF"/>
    <w:rsid w:val="00C92F61"/>
    <w:rsid w:val="00C96F31"/>
    <w:rsid w:val="00C978AA"/>
    <w:rsid w:val="00CA0D24"/>
    <w:rsid w:val="00CA2033"/>
    <w:rsid w:val="00CA279F"/>
    <w:rsid w:val="00CA49C2"/>
    <w:rsid w:val="00CA4B22"/>
    <w:rsid w:val="00CA569B"/>
    <w:rsid w:val="00CA652B"/>
    <w:rsid w:val="00CA6FFD"/>
    <w:rsid w:val="00CA7199"/>
    <w:rsid w:val="00CB0D0F"/>
    <w:rsid w:val="00CB3BE0"/>
    <w:rsid w:val="00CB3E0F"/>
    <w:rsid w:val="00CB407E"/>
    <w:rsid w:val="00CB43E4"/>
    <w:rsid w:val="00CB5FD7"/>
    <w:rsid w:val="00CB68AF"/>
    <w:rsid w:val="00CB74C4"/>
    <w:rsid w:val="00CB7BB9"/>
    <w:rsid w:val="00CB7F74"/>
    <w:rsid w:val="00CC14C1"/>
    <w:rsid w:val="00CC157B"/>
    <w:rsid w:val="00CC1804"/>
    <w:rsid w:val="00CC1D59"/>
    <w:rsid w:val="00CC25EB"/>
    <w:rsid w:val="00CC4269"/>
    <w:rsid w:val="00CC5A42"/>
    <w:rsid w:val="00CC6ED1"/>
    <w:rsid w:val="00CC7CE2"/>
    <w:rsid w:val="00CD05FD"/>
    <w:rsid w:val="00CD12D7"/>
    <w:rsid w:val="00CD160A"/>
    <w:rsid w:val="00CD1819"/>
    <w:rsid w:val="00CD1B8D"/>
    <w:rsid w:val="00CD2730"/>
    <w:rsid w:val="00CD2896"/>
    <w:rsid w:val="00CD2BB2"/>
    <w:rsid w:val="00CD413A"/>
    <w:rsid w:val="00CD44A9"/>
    <w:rsid w:val="00CD57D3"/>
    <w:rsid w:val="00CD6149"/>
    <w:rsid w:val="00CD69B2"/>
    <w:rsid w:val="00CD6FD1"/>
    <w:rsid w:val="00CD7D98"/>
    <w:rsid w:val="00CE3598"/>
    <w:rsid w:val="00CE4865"/>
    <w:rsid w:val="00CE5B3A"/>
    <w:rsid w:val="00CE6A45"/>
    <w:rsid w:val="00CE6D22"/>
    <w:rsid w:val="00CE73E6"/>
    <w:rsid w:val="00CE79BB"/>
    <w:rsid w:val="00CF0A0F"/>
    <w:rsid w:val="00CF23E3"/>
    <w:rsid w:val="00CF2623"/>
    <w:rsid w:val="00CF2968"/>
    <w:rsid w:val="00CF328E"/>
    <w:rsid w:val="00CF42A0"/>
    <w:rsid w:val="00CF605E"/>
    <w:rsid w:val="00CF7E15"/>
    <w:rsid w:val="00D01398"/>
    <w:rsid w:val="00D032D8"/>
    <w:rsid w:val="00D034F3"/>
    <w:rsid w:val="00D03688"/>
    <w:rsid w:val="00D067CA"/>
    <w:rsid w:val="00D06DA0"/>
    <w:rsid w:val="00D06DA1"/>
    <w:rsid w:val="00D06FA6"/>
    <w:rsid w:val="00D070C2"/>
    <w:rsid w:val="00D136A9"/>
    <w:rsid w:val="00D14E9B"/>
    <w:rsid w:val="00D15166"/>
    <w:rsid w:val="00D166F3"/>
    <w:rsid w:val="00D17DC1"/>
    <w:rsid w:val="00D20263"/>
    <w:rsid w:val="00D20859"/>
    <w:rsid w:val="00D21F09"/>
    <w:rsid w:val="00D22BD0"/>
    <w:rsid w:val="00D22EDD"/>
    <w:rsid w:val="00D24305"/>
    <w:rsid w:val="00D2454F"/>
    <w:rsid w:val="00D30C94"/>
    <w:rsid w:val="00D3146C"/>
    <w:rsid w:val="00D31AD2"/>
    <w:rsid w:val="00D32503"/>
    <w:rsid w:val="00D32A20"/>
    <w:rsid w:val="00D32F52"/>
    <w:rsid w:val="00D343A6"/>
    <w:rsid w:val="00D34909"/>
    <w:rsid w:val="00D34B0E"/>
    <w:rsid w:val="00D35F61"/>
    <w:rsid w:val="00D363F6"/>
    <w:rsid w:val="00D36D1E"/>
    <w:rsid w:val="00D37296"/>
    <w:rsid w:val="00D37B8E"/>
    <w:rsid w:val="00D4118C"/>
    <w:rsid w:val="00D43C1D"/>
    <w:rsid w:val="00D43D85"/>
    <w:rsid w:val="00D44FF9"/>
    <w:rsid w:val="00D450F5"/>
    <w:rsid w:val="00D4654C"/>
    <w:rsid w:val="00D46CDB"/>
    <w:rsid w:val="00D46DF1"/>
    <w:rsid w:val="00D47338"/>
    <w:rsid w:val="00D4786B"/>
    <w:rsid w:val="00D50964"/>
    <w:rsid w:val="00D50FE7"/>
    <w:rsid w:val="00D51C9A"/>
    <w:rsid w:val="00D5414D"/>
    <w:rsid w:val="00D541DC"/>
    <w:rsid w:val="00D55412"/>
    <w:rsid w:val="00D55508"/>
    <w:rsid w:val="00D56AFD"/>
    <w:rsid w:val="00D571D9"/>
    <w:rsid w:val="00D6227C"/>
    <w:rsid w:val="00D62645"/>
    <w:rsid w:val="00D631BC"/>
    <w:rsid w:val="00D63C60"/>
    <w:rsid w:val="00D64231"/>
    <w:rsid w:val="00D651DD"/>
    <w:rsid w:val="00D65269"/>
    <w:rsid w:val="00D70BC5"/>
    <w:rsid w:val="00D714C3"/>
    <w:rsid w:val="00D72021"/>
    <w:rsid w:val="00D72099"/>
    <w:rsid w:val="00D749BA"/>
    <w:rsid w:val="00D7649C"/>
    <w:rsid w:val="00D77666"/>
    <w:rsid w:val="00D810E8"/>
    <w:rsid w:val="00D82AD9"/>
    <w:rsid w:val="00D82E7A"/>
    <w:rsid w:val="00D83165"/>
    <w:rsid w:val="00D8376F"/>
    <w:rsid w:val="00D84055"/>
    <w:rsid w:val="00D86C21"/>
    <w:rsid w:val="00D87E6F"/>
    <w:rsid w:val="00D9014E"/>
    <w:rsid w:val="00D9279B"/>
    <w:rsid w:val="00D94630"/>
    <w:rsid w:val="00D94E6E"/>
    <w:rsid w:val="00D96227"/>
    <w:rsid w:val="00D96679"/>
    <w:rsid w:val="00D97347"/>
    <w:rsid w:val="00DA1BEE"/>
    <w:rsid w:val="00DA42EF"/>
    <w:rsid w:val="00DA43B9"/>
    <w:rsid w:val="00DA4B0E"/>
    <w:rsid w:val="00DA5D17"/>
    <w:rsid w:val="00DA6ACF"/>
    <w:rsid w:val="00DA73A9"/>
    <w:rsid w:val="00DA7DED"/>
    <w:rsid w:val="00DA7E96"/>
    <w:rsid w:val="00DB026F"/>
    <w:rsid w:val="00DB0C79"/>
    <w:rsid w:val="00DB11F4"/>
    <w:rsid w:val="00DB2C3E"/>
    <w:rsid w:val="00DB2DC1"/>
    <w:rsid w:val="00DB45ED"/>
    <w:rsid w:val="00DB6685"/>
    <w:rsid w:val="00DB6C15"/>
    <w:rsid w:val="00DB74DE"/>
    <w:rsid w:val="00DC13B7"/>
    <w:rsid w:val="00DC1CA3"/>
    <w:rsid w:val="00DC1FAF"/>
    <w:rsid w:val="00DC25CB"/>
    <w:rsid w:val="00DC361B"/>
    <w:rsid w:val="00DC393D"/>
    <w:rsid w:val="00DC4987"/>
    <w:rsid w:val="00DC4E08"/>
    <w:rsid w:val="00DC511E"/>
    <w:rsid w:val="00DC59C7"/>
    <w:rsid w:val="00DC6790"/>
    <w:rsid w:val="00DC7436"/>
    <w:rsid w:val="00DC7E3F"/>
    <w:rsid w:val="00DD091C"/>
    <w:rsid w:val="00DD427D"/>
    <w:rsid w:val="00DD45DA"/>
    <w:rsid w:val="00DD5A53"/>
    <w:rsid w:val="00DD72A0"/>
    <w:rsid w:val="00DE1263"/>
    <w:rsid w:val="00DE1A0A"/>
    <w:rsid w:val="00DE2088"/>
    <w:rsid w:val="00DE2698"/>
    <w:rsid w:val="00DE3DFD"/>
    <w:rsid w:val="00DE471B"/>
    <w:rsid w:val="00DE4A6B"/>
    <w:rsid w:val="00DE517F"/>
    <w:rsid w:val="00DE584B"/>
    <w:rsid w:val="00DF1BCB"/>
    <w:rsid w:val="00DF3462"/>
    <w:rsid w:val="00DF4A45"/>
    <w:rsid w:val="00DF4D6C"/>
    <w:rsid w:val="00DF5387"/>
    <w:rsid w:val="00DF57ED"/>
    <w:rsid w:val="00DF57F6"/>
    <w:rsid w:val="00DF6A98"/>
    <w:rsid w:val="00E002FF"/>
    <w:rsid w:val="00E03DFC"/>
    <w:rsid w:val="00E054BB"/>
    <w:rsid w:val="00E05876"/>
    <w:rsid w:val="00E05DE6"/>
    <w:rsid w:val="00E06B35"/>
    <w:rsid w:val="00E06CC8"/>
    <w:rsid w:val="00E071CC"/>
    <w:rsid w:val="00E107B3"/>
    <w:rsid w:val="00E10F19"/>
    <w:rsid w:val="00E1181B"/>
    <w:rsid w:val="00E11826"/>
    <w:rsid w:val="00E11AB5"/>
    <w:rsid w:val="00E11E49"/>
    <w:rsid w:val="00E14D21"/>
    <w:rsid w:val="00E15791"/>
    <w:rsid w:val="00E17330"/>
    <w:rsid w:val="00E1750C"/>
    <w:rsid w:val="00E200B1"/>
    <w:rsid w:val="00E20CA3"/>
    <w:rsid w:val="00E228EA"/>
    <w:rsid w:val="00E23D18"/>
    <w:rsid w:val="00E240A5"/>
    <w:rsid w:val="00E247F0"/>
    <w:rsid w:val="00E24FA1"/>
    <w:rsid w:val="00E25817"/>
    <w:rsid w:val="00E25E60"/>
    <w:rsid w:val="00E266D4"/>
    <w:rsid w:val="00E27F56"/>
    <w:rsid w:val="00E300EC"/>
    <w:rsid w:val="00E32747"/>
    <w:rsid w:val="00E36F26"/>
    <w:rsid w:val="00E37B70"/>
    <w:rsid w:val="00E4038B"/>
    <w:rsid w:val="00E40AF7"/>
    <w:rsid w:val="00E435C6"/>
    <w:rsid w:val="00E449A7"/>
    <w:rsid w:val="00E44BD5"/>
    <w:rsid w:val="00E454D5"/>
    <w:rsid w:val="00E459F7"/>
    <w:rsid w:val="00E45C76"/>
    <w:rsid w:val="00E465EC"/>
    <w:rsid w:val="00E46900"/>
    <w:rsid w:val="00E504E7"/>
    <w:rsid w:val="00E5153C"/>
    <w:rsid w:val="00E523E4"/>
    <w:rsid w:val="00E523EB"/>
    <w:rsid w:val="00E530DB"/>
    <w:rsid w:val="00E57728"/>
    <w:rsid w:val="00E57A7F"/>
    <w:rsid w:val="00E602CC"/>
    <w:rsid w:val="00E63CFB"/>
    <w:rsid w:val="00E644E0"/>
    <w:rsid w:val="00E655B9"/>
    <w:rsid w:val="00E65E72"/>
    <w:rsid w:val="00E66159"/>
    <w:rsid w:val="00E677EB"/>
    <w:rsid w:val="00E679D7"/>
    <w:rsid w:val="00E70AF7"/>
    <w:rsid w:val="00E70F72"/>
    <w:rsid w:val="00E71F55"/>
    <w:rsid w:val="00E722B9"/>
    <w:rsid w:val="00E72EFB"/>
    <w:rsid w:val="00E735F4"/>
    <w:rsid w:val="00E77002"/>
    <w:rsid w:val="00E770A3"/>
    <w:rsid w:val="00E77246"/>
    <w:rsid w:val="00E77661"/>
    <w:rsid w:val="00E80091"/>
    <w:rsid w:val="00E80344"/>
    <w:rsid w:val="00E80773"/>
    <w:rsid w:val="00E80B46"/>
    <w:rsid w:val="00E818AD"/>
    <w:rsid w:val="00E84974"/>
    <w:rsid w:val="00E85EB4"/>
    <w:rsid w:val="00E86344"/>
    <w:rsid w:val="00E86CC2"/>
    <w:rsid w:val="00E917E6"/>
    <w:rsid w:val="00E91CB8"/>
    <w:rsid w:val="00E95B75"/>
    <w:rsid w:val="00E968CB"/>
    <w:rsid w:val="00EA1510"/>
    <w:rsid w:val="00EA3B54"/>
    <w:rsid w:val="00EA499B"/>
    <w:rsid w:val="00EA4F20"/>
    <w:rsid w:val="00EA5100"/>
    <w:rsid w:val="00EA58BF"/>
    <w:rsid w:val="00EA6050"/>
    <w:rsid w:val="00EA6552"/>
    <w:rsid w:val="00EA73DB"/>
    <w:rsid w:val="00EA77E5"/>
    <w:rsid w:val="00EA7DE3"/>
    <w:rsid w:val="00EB0C2C"/>
    <w:rsid w:val="00EB0E5E"/>
    <w:rsid w:val="00EB0E68"/>
    <w:rsid w:val="00EB119F"/>
    <w:rsid w:val="00EB23AB"/>
    <w:rsid w:val="00EB52B2"/>
    <w:rsid w:val="00EB6D1C"/>
    <w:rsid w:val="00EB7072"/>
    <w:rsid w:val="00EB7C31"/>
    <w:rsid w:val="00EC2B31"/>
    <w:rsid w:val="00EC5B6B"/>
    <w:rsid w:val="00EC5BB3"/>
    <w:rsid w:val="00ED10F6"/>
    <w:rsid w:val="00ED1122"/>
    <w:rsid w:val="00ED11C2"/>
    <w:rsid w:val="00ED1498"/>
    <w:rsid w:val="00ED1EFC"/>
    <w:rsid w:val="00ED1FF5"/>
    <w:rsid w:val="00ED2770"/>
    <w:rsid w:val="00ED35DA"/>
    <w:rsid w:val="00ED4032"/>
    <w:rsid w:val="00ED4DC8"/>
    <w:rsid w:val="00ED567D"/>
    <w:rsid w:val="00ED61F8"/>
    <w:rsid w:val="00ED6BB4"/>
    <w:rsid w:val="00EE0013"/>
    <w:rsid w:val="00EE01E6"/>
    <w:rsid w:val="00EE3505"/>
    <w:rsid w:val="00EE43F3"/>
    <w:rsid w:val="00EE5CB2"/>
    <w:rsid w:val="00EE6E75"/>
    <w:rsid w:val="00EE6FDB"/>
    <w:rsid w:val="00EE749F"/>
    <w:rsid w:val="00EF1E03"/>
    <w:rsid w:val="00EF21EC"/>
    <w:rsid w:val="00EF38B4"/>
    <w:rsid w:val="00EF4C51"/>
    <w:rsid w:val="00EF57D8"/>
    <w:rsid w:val="00EF5D16"/>
    <w:rsid w:val="00EF607B"/>
    <w:rsid w:val="00EF7D5A"/>
    <w:rsid w:val="00EF7F19"/>
    <w:rsid w:val="00F03617"/>
    <w:rsid w:val="00F043E1"/>
    <w:rsid w:val="00F04AA0"/>
    <w:rsid w:val="00F04EF2"/>
    <w:rsid w:val="00F05110"/>
    <w:rsid w:val="00F05FA7"/>
    <w:rsid w:val="00F06EAB"/>
    <w:rsid w:val="00F0733C"/>
    <w:rsid w:val="00F112EA"/>
    <w:rsid w:val="00F114C9"/>
    <w:rsid w:val="00F11D35"/>
    <w:rsid w:val="00F134DA"/>
    <w:rsid w:val="00F13519"/>
    <w:rsid w:val="00F16C66"/>
    <w:rsid w:val="00F2010B"/>
    <w:rsid w:val="00F201B3"/>
    <w:rsid w:val="00F20320"/>
    <w:rsid w:val="00F2061F"/>
    <w:rsid w:val="00F20C89"/>
    <w:rsid w:val="00F225DC"/>
    <w:rsid w:val="00F22D7F"/>
    <w:rsid w:val="00F25C21"/>
    <w:rsid w:val="00F260BB"/>
    <w:rsid w:val="00F2626E"/>
    <w:rsid w:val="00F26B4C"/>
    <w:rsid w:val="00F27486"/>
    <w:rsid w:val="00F275C1"/>
    <w:rsid w:val="00F30426"/>
    <w:rsid w:val="00F31C39"/>
    <w:rsid w:val="00F33581"/>
    <w:rsid w:val="00F336E7"/>
    <w:rsid w:val="00F34DA5"/>
    <w:rsid w:val="00F34EF1"/>
    <w:rsid w:val="00F35EC8"/>
    <w:rsid w:val="00F3763D"/>
    <w:rsid w:val="00F3777C"/>
    <w:rsid w:val="00F377A4"/>
    <w:rsid w:val="00F409AF"/>
    <w:rsid w:val="00F41368"/>
    <w:rsid w:val="00F41834"/>
    <w:rsid w:val="00F41A16"/>
    <w:rsid w:val="00F425F4"/>
    <w:rsid w:val="00F44420"/>
    <w:rsid w:val="00F45A2E"/>
    <w:rsid w:val="00F45CFC"/>
    <w:rsid w:val="00F469BA"/>
    <w:rsid w:val="00F50BFB"/>
    <w:rsid w:val="00F52628"/>
    <w:rsid w:val="00F55FA6"/>
    <w:rsid w:val="00F56462"/>
    <w:rsid w:val="00F5774B"/>
    <w:rsid w:val="00F60480"/>
    <w:rsid w:val="00F616F9"/>
    <w:rsid w:val="00F61D17"/>
    <w:rsid w:val="00F635CC"/>
    <w:rsid w:val="00F646CF"/>
    <w:rsid w:val="00F64A08"/>
    <w:rsid w:val="00F64A51"/>
    <w:rsid w:val="00F672B8"/>
    <w:rsid w:val="00F678E0"/>
    <w:rsid w:val="00F703CA"/>
    <w:rsid w:val="00F715E6"/>
    <w:rsid w:val="00F71A6D"/>
    <w:rsid w:val="00F7263B"/>
    <w:rsid w:val="00F72C37"/>
    <w:rsid w:val="00F741D6"/>
    <w:rsid w:val="00F76B51"/>
    <w:rsid w:val="00F774B6"/>
    <w:rsid w:val="00F779CD"/>
    <w:rsid w:val="00F80A6A"/>
    <w:rsid w:val="00F8129F"/>
    <w:rsid w:val="00F81ED3"/>
    <w:rsid w:val="00F82D21"/>
    <w:rsid w:val="00F837B8"/>
    <w:rsid w:val="00F84D96"/>
    <w:rsid w:val="00F85108"/>
    <w:rsid w:val="00F86002"/>
    <w:rsid w:val="00F87808"/>
    <w:rsid w:val="00F9007D"/>
    <w:rsid w:val="00F91422"/>
    <w:rsid w:val="00F9159D"/>
    <w:rsid w:val="00F9167A"/>
    <w:rsid w:val="00F91D1F"/>
    <w:rsid w:val="00F91DBB"/>
    <w:rsid w:val="00F92EFE"/>
    <w:rsid w:val="00F9344F"/>
    <w:rsid w:val="00F961B9"/>
    <w:rsid w:val="00F97856"/>
    <w:rsid w:val="00FA1514"/>
    <w:rsid w:val="00FA1EC4"/>
    <w:rsid w:val="00FA207E"/>
    <w:rsid w:val="00FA3066"/>
    <w:rsid w:val="00FA347E"/>
    <w:rsid w:val="00FA3EAA"/>
    <w:rsid w:val="00FA5195"/>
    <w:rsid w:val="00FA6ED9"/>
    <w:rsid w:val="00FA7568"/>
    <w:rsid w:val="00FB1C42"/>
    <w:rsid w:val="00FB2B62"/>
    <w:rsid w:val="00FB3398"/>
    <w:rsid w:val="00FB38B9"/>
    <w:rsid w:val="00FB3EF3"/>
    <w:rsid w:val="00FB4C77"/>
    <w:rsid w:val="00FB4FC4"/>
    <w:rsid w:val="00FB50D6"/>
    <w:rsid w:val="00FB665C"/>
    <w:rsid w:val="00FB668B"/>
    <w:rsid w:val="00FB69A4"/>
    <w:rsid w:val="00FB71F7"/>
    <w:rsid w:val="00FC072E"/>
    <w:rsid w:val="00FC16C3"/>
    <w:rsid w:val="00FC22C3"/>
    <w:rsid w:val="00FC368D"/>
    <w:rsid w:val="00FC6962"/>
    <w:rsid w:val="00FD094D"/>
    <w:rsid w:val="00FD1533"/>
    <w:rsid w:val="00FD258F"/>
    <w:rsid w:val="00FD423D"/>
    <w:rsid w:val="00FD4348"/>
    <w:rsid w:val="00FD50B3"/>
    <w:rsid w:val="00FD56A3"/>
    <w:rsid w:val="00FD5E24"/>
    <w:rsid w:val="00FD7735"/>
    <w:rsid w:val="00FD7D5C"/>
    <w:rsid w:val="00FE0D99"/>
    <w:rsid w:val="00FE1080"/>
    <w:rsid w:val="00FE133D"/>
    <w:rsid w:val="00FE2E92"/>
    <w:rsid w:val="00FE4D17"/>
    <w:rsid w:val="00FE4F73"/>
    <w:rsid w:val="00FE5427"/>
    <w:rsid w:val="00FE63A1"/>
    <w:rsid w:val="00FE65B0"/>
    <w:rsid w:val="00FE6A29"/>
    <w:rsid w:val="00FF23BD"/>
    <w:rsid w:val="00FF2B7F"/>
    <w:rsid w:val="00FF4245"/>
    <w:rsid w:val="00FF536D"/>
    <w:rsid w:val="00FF623A"/>
    <w:rsid w:val="00FF6240"/>
    <w:rsid w:val="00FF680E"/>
    <w:rsid w:val="02CD0AE3"/>
    <w:rsid w:val="045A2047"/>
    <w:rsid w:val="04B200F6"/>
    <w:rsid w:val="05460430"/>
    <w:rsid w:val="0C546C46"/>
    <w:rsid w:val="0D1E1B74"/>
    <w:rsid w:val="0E6B10C2"/>
    <w:rsid w:val="0FA87BB9"/>
    <w:rsid w:val="10E17B3D"/>
    <w:rsid w:val="127F3126"/>
    <w:rsid w:val="1317EF15"/>
    <w:rsid w:val="13C938A2"/>
    <w:rsid w:val="16B17693"/>
    <w:rsid w:val="193667F5"/>
    <w:rsid w:val="1AC13E11"/>
    <w:rsid w:val="1B807468"/>
    <w:rsid w:val="1E1D74CF"/>
    <w:rsid w:val="220959C4"/>
    <w:rsid w:val="24187101"/>
    <w:rsid w:val="2475605F"/>
    <w:rsid w:val="28382C3A"/>
    <w:rsid w:val="28CB0335"/>
    <w:rsid w:val="297C1823"/>
    <w:rsid w:val="2ECB3AD2"/>
    <w:rsid w:val="2FD93C26"/>
    <w:rsid w:val="30C7032F"/>
    <w:rsid w:val="31AA6E34"/>
    <w:rsid w:val="3511D617"/>
    <w:rsid w:val="35E10098"/>
    <w:rsid w:val="3623352B"/>
    <w:rsid w:val="36A90B34"/>
    <w:rsid w:val="396F3A83"/>
    <w:rsid w:val="3984743C"/>
    <w:rsid w:val="40D72332"/>
    <w:rsid w:val="43050260"/>
    <w:rsid w:val="453827AF"/>
    <w:rsid w:val="47B3762B"/>
    <w:rsid w:val="48194922"/>
    <w:rsid w:val="48B10342"/>
    <w:rsid w:val="48E54FD0"/>
    <w:rsid w:val="48E71F50"/>
    <w:rsid w:val="4A104DDA"/>
    <w:rsid w:val="4BCC28C2"/>
    <w:rsid w:val="4BDD1FF5"/>
    <w:rsid w:val="4C87303B"/>
    <w:rsid w:val="4D730EE3"/>
    <w:rsid w:val="4E641252"/>
    <w:rsid w:val="5027336A"/>
    <w:rsid w:val="50DE50F1"/>
    <w:rsid w:val="525C37D5"/>
    <w:rsid w:val="53F57FF0"/>
    <w:rsid w:val="550F232E"/>
    <w:rsid w:val="56EF1FE3"/>
    <w:rsid w:val="58C42F23"/>
    <w:rsid w:val="59A31EA9"/>
    <w:rsid w:val="5AA664F1"/>
    <w:rsid w:val="5AB67F96"/>
    <w:rsid w:val="5BD8483D"/>
    <w:rsid w:val="5EC93A80"/>
    <w:rsid w:val="5F213DCC"/>
    <w:rsid w:val="5F7F6A36"/>
    <w:rsid w:val="5F8C4929"/>
    <w:rsid w:val="5FEF5588"/>
    <w:rsid w:val="60317FDF"/>
    <w:rsid w:val="62DB7F23"/>
    <w:rsid w:val="636D0703"/>
    <w:rsid w:val="637C49ED"/>
    <w:rsid w:val="651C0FAE"/>
    <w:rsid w:val="66126DD3"/>
    <w:rsid w:val="68636B44"/>
    <w:rsid w:val="68646F1F"/>
    <w:rsid w:val="6B6A046D"/>
    <w:rsid w:val="6EE252F2"/>
    <w:rsid w:val="710A3346"/>
    <w:rsid w:val="71FE76EC"/>
    <w:rsid w:val="721530FE"/>
    <w:rsid w:val="72930D4B"/>
    <w:rsid w:val="72C51FF7"/>
    <w:rsid w:val="75D601D8"/>
    <w:rsid w:val="77FA4C7A"/>
    <w:rsid w:val="783F1360"/>
    <w:rsid w:val="78455C34"/>
    <w:rsid w:val="7A321FA6"/>
    <w:rsid w:val="7A6502EF"/>
    <w:rsid w:val="7AF313DB"/>
    <w:rsid w:val="7B855226"/>
    <w:rsid w:val="7C6F7D55"/>
    <w:rsid w:val="7D517960"/>
    <w:rsid w:val="7E0B6632"/>
    <w:rsid w:val="7E93358B"/>
    <w:rsid w:val="7F1010DB"/>
    <w:rsid w:val="7F304EB3"/>
    <w:rsid w:val="FEE3249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qFormat="1" w:unhideWhenUsed="0" w:uiPriority="0" w:semiHidden="0"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iPriority="99"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qFormat="1" w:uiPriority="99" w:name="Body Text First Indent" w:locked="1"/>
    <w:lsdException w:uiPriority="99" w:name="Body Text First Indent 2" w:locked="1"/>
    <w:lsdException w:uiPriority="99" w:name="Note Heading" w:locked="1"/>
    <w:lsdException w:qFormat="1" w:unhideWhenUsed="0" w:uiPriority="99" w:semiHidden="0" w:name="Body Text 2"/>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iPriority="99" w:name="FollowedHyperlink" w:locked="1"/>
    <w:lsdException w:qFormat="1" w:unhideWhenUsed="0" w:uiPriority="99" w:semiHidden="0" w:name="Strong"/>
    <w:lsdException w:qFormat="1" w:unhideWhenUsed="0" w:uiPriority="0"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rFonts w:ascii="Times New Roman" w:hAnsi="Times New Roman" w:eastAsia="宋体" w:cs="Times New Roman"/>
      <w:color w:val="000000"/>
      <w:sz w:val="21"/>
      <w:u w:color="000000"/>
      <w:lang w:val="en-US" w:eastAsia="zh-CN" w:bidi="ar-SA"/>
    </w:rPr>
  </w:style>
  <w:style w:type="paragraph" w:styleId="2">
    <w:name w:val="heading 1"/>
    <w:basedOn w:val="1"/>
    <w:next w:val="1"/>
    <w:link w:val="28"/>
    <w:qFormat/>
    <w:uiPriority w:val="99"/>
    <w:pPr>
      <w:keepNext/>
      <w:keepLines/>
      <w:widowControl w:val="0"/>
      <w:spacing w:before="340" w:after="330" w:line="576" w:lineRule="auto"/>
      <w:textAlignment w:val="auto"/>
      <w:outlineLvl w:val="0"/>
    </w:pPr>
    <w:rPr>
      <w:b/>
      <w:bCs/>
      <w:kern w:val="44"/>
      <w:sz w:val="44"/>
      <w:szCs w:val="44"/>
    </w:rPr>
  </w:style>
  <w:style w:type="paragraph" w:styleId="3">
    <w:name w:val="heading 2"/>
    <w:basedOn w:val="1"/>
    <w:next w:val="1"/>
    <w:link w:val="29"/>
    <w:semiHidden/>
    <w:unhideWhenUsed/>
    <w:qFormat/>
    <w:uiPriority w:val="0"/>
    <w:pPr>
      <w:keepNext/>
      <w:keepLines/>
      <w:spacing w:before="260" w:after="260" w:line="416" w:lineRule="atLeast"/>
      <w:outlineLvl w:val="1"/>
    </w:pPr>
    <w:rPr>
      <w:rFonts w:asciiTheme="majorHAnsi" w:hAnsiTheme="majorHAnsi" w:eastAsiaTheme="majorEastAsia" w:cstheme="majorBidi"/>
      <w:b/>
      <w:bCs/>
      <w:sz w:val="32"/>
      <w:szCs w:val="32"/>
    </w:rPr>
  </w:style>
  <w:style w:type="paragraph" w:styleId="4">
    <w:name w:val="heading 3"/>
    <w:basedOn w:val="1"/>
    <w:next w:val="1"/>
    <w:link w:val="30"/>
    <w:qFormat/>
    <w:uiPriority w:val="99"/>
    <w:pPr>
      <w:keepNext/>
      <w:keepLines/>
      <w:spacing w:before="260" w:after="260" w:line="416" w:lineRule="atLeast"/>
      <w:outlineLvl w:val="2"/>
    </w:pPr>
    <w:rPr>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1"/>
    <w:semiHidden/>
    <w:qFormat/>
    <w:locked/>
    <w:uiPriority w:val="99"/>
    <w:pPr>
      <w:jc w:val="left"/>
    </w:pPr>
  </w:style>
  <w:style w:type="paragraph" w:styleId="6">
    <w:name w:val="Body Text"/>
    <w:basedOn w:val="1"/>
    <w:link w:val="68"/>
    <w:semiHidden/>
    <w:unhideWhenUsed/>
    <w:qFormat/>
    <w:locked/>
    <w:uiPriority w:val="99"/>
    <w:pPr>
      <w:spacing w:after="120"/>
    </w:pPr>
  </w:style>
  <w:style w:type="paragraph" w:styleId="7">
    <w:name w:val="Body Text Indent"/>
    <w:basedOn w:val="1"/>
    <w:link w:val="32"/>
    <w:qFormat/>
    <w:uiPriority w:val="99"/>
    <w:pPr>
      <w:widowControl w:val="0"/>
      <w:snapToGrid w:val="0"/>
      <w:spacing w:before="283" w:line="560" w:lineRule="exact"/>
      <w:ind w:firstLine="510"/>
    </w:pPr>
    <w:rPr>
      <w:sz w:val="20"/>
    </w:rPr>
  </w:style>
  <w:style w:type="paragraph" w:styleId="8">
    <w:name w:val="Plain Text"/>
    <w:basedOn w:val="1"/>
    <w:link w:val="33"/>
    <w:qFormat/>
    <w:uiPriority w:val="99"/>
    <w:pPr>
      <w:widowControl w:val="0"/>
      <w:spacing w:line="240" w:lineRule="auto"/>
      <w:textAlignment w:val="auto"/>
    </w:pPr>
    <w:rPr>
      <w:rFonts w:ascii="宋体" w:hAnsi="Courier New"/>
    </w:rPr>
  </w:style>
  <w:style w:type="paragraph" w:styleId="9">
    <w:name w:val="Date"/>
    <w:basedOn w:val="1"/>
    <w:next w:val="1"/>
    <w:link w:val="34"/>
    <w:qFormat/>
    <w:uiPriority w:val="99"/>
    <w:pPr>
      <w:ind w:left="100" w:leftChars="2500"/>
    </w:pPr>
  </w:style>
  <w:style w:type="paragraph" w:styleId="10">
    <w:name w:val="Balloon Text"/>
    <w:basedOn w:val="1"/>
    <w:link w:val="35"/>
    <w:qFormat/>
    <w:uiPriority w:val="99"/>
    <w:pPr>
      <w:spacing w:line="240" w:lineRule="auto"/>
    </w:pPr>
    <w:rPr>
      <w:sz w:val="18"/>
      <w:szCs w:val="18"/>
    </w:rPr>
  </w:style>
  <w:style w:type="paragraph" w:styleId="11">
    <w:name w:val="footer"/>
    <w:basedOn w:val="1"/>
    <w:link w:val="36"/>
    <w:qFormat/>
    <w:uiPriority w:val="99"/>
    <w:pPr>
      <w:tabs>
        <w:tab w:val="center" w:pos="4153"/>
        <w:tab w:val="right" w:pos="8306"/>
      </w:tabs>
      <w:snapToGrid w:val="0"/>
      <w:spacing w:line="240" w:lineRule="atLeast"/>
      <w:jc w:val="left"/>
    </w:pPr>
    <w:rPr>
      <w:sz w:val="18"/>
      <w:szCs w:val="18"/>
    </w:rPr>
  </w:style>
  <w:style w:type="paragraph" w:styleId="12">
    <w:name w:val="header"/>
    <w:basedOn w:val="1"/>
    <w:link w:val="37"/>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3">
    <w:name w:val="toc 1"/>
    <w:basedOn w:val="1"/>
    <w:next w:val="1"/>
    <w:qFormat/>
    <w:uiPriority w:val="39"/>
  </w:style>
  <w:style w:type="paragraph" w:styleId="14">
    <w:name w:val="table of figures"/>
    <w:basedOn w:val="1"/>
    <w:next w:val="1"/>
    <w:qFormat/>
    <w:locked/>
    <w:uiPriority w:val="0"/>
    <w:pPr>
      <w:ind w:left="200" w:leftChars="200" w:hanging="200" w:hangingChars="200"/>
    </w:pPr>
  </w:style>
  <w:style w:type="paragraph" w:styleId="15">
    <w:name w:val="toc 2"/>
    <w:basedOn w:val="1"/>
    <w:next w:val="1"/>
    <w:qFormat/>
    <w:uiPriority w:val="39"/>
    <w:pPr>
      <w:ind w:left="420" w:leftChars="200"/>
    </w:pPr>
  </w:style>
  <w:style w:type="paragraph" w:styleId="16">
    <w:name w:val="Body Text 2"/>
    <w:basedOn w:val="1"/>
    <w:link w:val="38"/>
    <w:qFormat/>
    <w:uiPriority w:val="99"/>
    <w:pPr>
      <w:spacing w:after="120" w:line="480" w:lineRule="auto"/>
    </w:pPr>
    <w:rPr>
      <w:sz w:val="20"/>
    </w:rPr>
  </w:style>
  <w:style w:type="paragraph" w:styleId="17">
    <w:name w:val="Normal (Web)"/>
    <w:basedOn w:val="1"/>
    <w:qFormat/>
    <w:uiPriority w:val="99"/>
    <w:pPr>
      <w:spacing w:before="100" w:beforeAutospacing="1" w:after="100" w:afterAutospacing="1" w:line="240" w:lineRule="auto"/>
      <w:jc w:val="left"/>
      <w:textAlignment w:val="auto"/>
    </w:pPr>
    <w:rPr>
      <w:rFonts w:ascii="宋体" w:hAnsi="宋体" w:cs="宋体"/>
      <w:sz w:val="24"/>
      <w:szCs w:val="24"/>
    </w:rPr>
  </w:style>
  <w:style w:type="paragraph" w:styleId="18">
    <w:name w:val="annotation subject"/>
    <w:basedOn w:val="5"/>
    <w:next w:val="5"/>
    <w:link w:val="39"/>
    <w:semiHidden/>
    <w:qFormat/>
    <w:locked/>
    <w:uiPriority w:val="99"/>
    <w:rPr>
      <w:b/>
      <w:bCs/>
    </w:rPr>
  </w:style>
  <w:style w:type="paragraph" w:styleId="19">
    <w:name w:val="Body Text First Indent"/>
    <w:basedOn w:val="6"/>
    <w:link w:val="69"/>
    <w:semiHidden/>
    <w:unhideWhenUsed/>
    <w:qFormat/>
    <w:locked/>
    <w:uiPriority w:val="99"/>
    <w:pPr>
      <w:ind w:firstLine="420" w:firstLineChars="100"/>
    </w:pPr>
  </w:style>
  <w:style w:type="table" w:styleId="21">
    <w:name w:val="Table Grid"/>
    <w:basedOn w:val="2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99"/>
    <w:rPr>
      <w:rFonts w:cs="Times New Roman"/>
      <w:b/>
    </w:rPr>
  </w:style>
  <w:style w:type="character" w:styleId="24">
    <w:name w:val="page number"/>
    <w:basedOn w:val="22"/>
    <w:qFormat/>
    <w:uiPriority w:val="99"/>
    <w:rPr>
      <w:rFonts w:cs="Times New Roman"/>
    </w:rPr>
  </w:style>
  <w:style w:type="character" w:styleId="25">
    <w:name w:val="FollowedHyperlink"/>
    <w:basedOn w:val="22"/>
    <w:semiHidden/>
    <w:unhideWhenUsed/>
    <w:qFormat/>
    <w:locked/>
    <w:uiPriority w:val="99"/>
    <w:rPr>
      <w:color w:val="800080"/>
      <w:u w:val="single"/>
    </w:rPr>
  </w:style>
  <w:style w:type="character" w:styleId="26">
    <w:name w:val="Hyperlink"/>
    <w:basedOn w:val="22"/>
    <w:qFormat/>
    <w:uiPriority w:val="99"/>
    <w:rPr>
      <w:rFonts w:cs="Times New Roman"/>
      <w:color w:val="0368A8"/>
      <w:u w:val="none"/>
    </w:rPr>
  </w:style>
  <w:style w:type="character" w:styleId="27">
    <w:name w:val="annotation reference"/>
    <w:basedOn w:val="22"/>
    <w:semiHidden/>
    <w:qFormat/>
    <w:locked/>
    <w:uiPriority w:val="99"/>
    <w:rPr>
      <w:rFonts w:cs="Times New Roman"/>
      <w:sz w:val="21"/>
      <w:szCs w:val="21"/>
    </w:rPr>
  </w:style>
  <w:style w:type="character" w:customStyle="1" w:styleId="28">
    <w:name w:val="标题 1 Char"/>
    <w:basedOn w:val="22"/>
    <w:link w:val="2"/>
    <w:qFormat/>
    <w:locked/>
    <w:uiPriority w:val="99"/>
    <w:rPr>
      <w:rFonts w:cs="Times New Roman"/>
      <w:b/>
      <w:color w:val="000000"/>
      <w:kern w:val="44"/>
      <w:sz w:val="44"/>
      <w:u w:val="none" w:color="000000"/>
    </w:rPr>
  </w:style>
  <w:style w:type="character" w:customStyle="1" w:styleId="29">
    <w:name w:val="标题 2 Char"/>
    <w:basedOn w:val="22"/>
    <w:link w:val="3"/>
    <w:semiHidden/>
    <w:qFormat/>
    <w:uiPriority w:val="0"/>
    <w:rPr>
      <w:rFonts w:asciiTheme="majorHAnsi" w:hAnsiTheme="majorHAnsi" w:eastAsiaTheme="majorEastAsia" w:cstheme="majorBidi"/>
      <w:b/>
      <w:bCs/>
      <w:color w:val="000000"/>
      <w:sz w:val="32"/>
      <w:szCs w:val="32"/>
      <w:u w:color="000000"/>
    </w:rPr>
  </w:style>
  <w:style w:type="character" w:customStyle="1" w:styleId="30">
    <w:name w:val="标题 3 Char"/>
    <w:basedOn w:val="22"/>
    <w:link w:val="4"/>
    <w:semiHidden/>
    <w:qFormat/>
    <w:locked/>
    <w:uiPriority w:val="99"/>
    <w:rPr>
      <w:rFonts w:cs="Times New Roman"/>
      <w:b/>
      <w:color w:val="000000"/>
      <w:sz w:val="32"/>
      <w:u w:val="none" w:color="000000"/>
    </w:rPr>
  </w:style>
  <w:style w:type="character" w:customStyle="1" w:styleId="31">
    <w:name w:val="批注文字 Char"/>
    <w:basedOn w:val="22"/>
    <w:link w:val="5"/>
    <w:semiHidden/>
    <w:qFormat/>
    <w:locked/>
    <w:uiPriority w:val="99"/>
    <w:rPr>
      <w:rFonts w:cs="Times New Roman"/>
      <w:color w:val="000000"/>
      <w:sz w:val="21"/>
      <w:u w:color="000000"/>
    </w:rPr>
  </w:style>
  <w:style w:type="character" w:customStyle="1" w:styleId="32">
    <w:name w:val="正文文本缩进 Char"/>
    <w:basedOn w:val="22"/>
    <w:link w:val="7"/>
    <w:semiHidden/>
    <w:qFormat/>
    <w:locked/>
    <w:uiPriority w:val="99"/>
    <w:rPr>
      <w:rFonts w:cs="Times New Roman"/>
      <w:color w:val="000000"/>
      <w:kern w:val="0"/>
      <w:sz w:val="20"/>
      <w:u w:val="none" w:color="000000"/>
    </w:rPr>
  </w:style>
  <w:style w:type="character" w:customStyle="1" w:styleId="33">
    <w:name w:val="纯文本 Char"/>
    <w:link w:val="8"/>
    <w:qFormat/>
    <w:locked/>
    <w:uiPriority w:val="99"/>
    <w:rPr>
      <w:rFonts w:ascii="宋体" w:hAnsi="Courier New"/>
      <w:color w:val="000000"/>
      <w:kern w:val="0"/>
      <w:sz w:val="21"/>
      <w:u w:val="none" w:color="000000"/>
    </w:rPr>
  </w:style>
  <w:style w:type="character" w:customStyle="1" w:styleId="34">
    <w:name w:val="日期 Char"/>
    <w:basedOn w:val="22"/>
    <w:link w:val="9"/>
    <w:qFormat/>
    <w:locked/>
    <w:uiPriority w:val="99"/>
    <w:rPr>
      <w:rFonts w:cs="Times New Roman"/>
      <w:color w:val="000000"/>
      <w:sz w:val="21"/>
      <w:u w:val="none" w:color="000000"/>
    </w:rPr>
  </w:style>
  <w:style w:type="character" w:customStyle="1" w:styleId="35">
    <w:name w:val="批注框文本 Char"/>
    <w:basedOn w:val="22"/>
    <w:link w:val="10"/>
    <w:qFormat/>
    <w:locked/>
    <w:uiPriority w:val="99"/>
    <w:rPr>
      <w:rFonts w:cs="Times New Roman"/>
      <w:color w:val="000000"/>
      <w:sz w:val="18"/>
      <w:u w:val="none" w:color="000000"/>
    </w:rPr>
  </w:style>
  <w:style w:type="character" w:customStyle="1" w:styleId="36">
    <w:name w:val="页脚 Char"/>
    <w:basedOn w:val="22"/>
    <w:link w:val="11"/>
    <w:semiHidden/>
    <w:qFormat/>
    <w:locked/>
    <w:uiPriority w:val="99"/>
    <w:rPr>
      <w:rFonts w:cs="Times New Roman"/>
      <w:color w:val="000000"/>
      <w:kern w:val="0"/>
      <w:sz w:val="18"/>
      <w:u w:val="none" w:color="000000"/>
    </w:rPr>
  </w:style>
  <w:style w:type="character" w:customStyle="1" w:styleId="37">
    <w:name w:val="页眉 Char"/>
    <w:basedOn w:val="22"/>
    <w:link w:val="12"/>
    <w:semiHidden/>
    <w:qFormat/>
    <w:locked/>
    <w:uiPriority w:val="99"/>
    <w:rPr>
      <w:rFonts w:cs="Times New Roman"/>
      <w:color w:val="000000"/>
      <w:kern w:val="0"/>
      <w:sz w:val="18"/>
      <w:u w:val="none" w:color="000000"/>
    </w:rPr>
  </w:style>
  <w:style w:type="character" w:customStyle="1" w:styleId="38">
    <w:name w:val="正文文本 2 Char"/>
    <w:basedOn w:val="22"/>
    <w:link w:val="16"/>
    <w:semiHidden/>
    <w:qFormat/>
    <w:locked/>
    <w:uiPriority w:val="99"/>
    <w:rPr>
      <w:rFonts w:cs="Times New Roman"/>
      <w:color w:val="000000"/>
      <w:kern w:val="0"/>
      <w:sz w:val="20"/>
      <w:u w:val="none" w:color="000000"/>
    </w:rPr>
  </w:style>
  <w:style w:type="character" w:customStyle="1" w:styleId="39">
    <w:name w:val="批注主题 Char"/>
    <w:basedOn w:val="31"/>
    <w:link w:val="18"/>
    <w:semiHidden/>
    <w:qFormat/>
    <w:locked/>
    <w:uiPriority w:val="99"/>
    <w:rPr>
      <w:rFonts w:cs="Times New Roman"/>
      <w:b/>
      <w:bCs/>
      <w:color w:val="000000"/>
      <w:sz w:val="21"/>
      <w:u w:color="000000"/>
    </w:rPr>
  </w:style>
  <w:style w:type="character" w:customStyle="1" w:styleId="40">
    <w:name w:val="Plain Text Char"/>
    <w:basedOn w:val="22"/>
    <w:qFormat/>
    <w:locked/>
    <w:uiPriority w:val="99"/>
    <w:rPr>
      <w:rFonts w:ascii="宋体" w:hAnsi="Courier New" w:eastAsia="宋体" w:cs="Times New Roman"/>
      <w:kern w:val="2"/>
      <w:sz w:val="21"/>
      <w:lang w:val="en-US" w:eastAsia="zh-CN"/>
    </w:rPr>
  </w:style>
  <w:style w:type="paragraph" w:customStyle="1" w:styleId="41">
    <w:name w:val="目录1"/>
    <w:basedOn w:val="1"/>
    <w:next w:val="1"/>
    <w:qFormat/>
    <w:uiPriority w:val="99"/>
    <w:pPr>
      <w:tabs>
        <w:tab w:val="left" w:leader="dot" w:pos="8503"/>
      </w:tabs>
      <w:spacing w:after="136" w:line="289" w:lineRule="atLeast"/>
      <w:jc w:val="left"/>
    </w:pPr>
    <w:rPr>
      <w:rFonts w:ascii="Arial" w:eastAsia="黑体"/>
      <w:sz w:val="28"/>
    </w:rPr>
  </w:style>
  <w:style w:type="paragraph" w:customStyle="1" w:styleId="42">
    <w:name w:val="章标题"/>
    <w:basedOn w:val="1"/>
    <w:next w:val="43"/>
    <w:qFormat/>
    <w:uiPriority w:val="99"/>
    <w:pPr>
      <w:spacing w:before="158" w:after="153" w:line="323" w:lineRule="atLeast"/>
      <w:jc w:val="center"/>
    </w:pPr>
    <w:rPr>
      <w:rFonts w:ascii="Arial" w:eastAsia="黑体"/>
      <w:sz w:val="31"/>
    </w:rPr>
  </w:style>
  <w:style w:type="paragraph" w:customStyle="1" w:styleId="43">
    <w:name w:val="节标题"/>
    <w:basedOn w:val="1"/>
    <w:next w:val="44"/>
    <w:qFormat/>
    <w:uiPriority w:val="99"/>
    <w:pPr>
      <w:spacing w:line="289" w:lineRule="atLeast"/>
      <w:jc w:val="center"/>
    </w:pPr>
    <w:rPr>
      <w:sz w:val="28"/>
    </w:rPr>
  </w:style>
  <w:style w:type="paragraph" w:customStyle="1" w:styleId="44">
    <w:name w:val="小节标题"/>
    <w:basedOn w:val="1"/>
    <w:next w:val="1"/>
    <w:qFormat/>
    <w:uiPriority w:val="99"/>
    <w:pPr>
      <w:spacing w:before="175" w:after="102" w:line="351" w:lineRule="atLeast"/>
    </w:pPr>
    <w:rPr>
      <w:rFonts w:eastAsia="黑体"/>
    </w:rPr>
  </w:style>
  <w:style w:type="paragraph" w:customStyle="1" w:styleId="45">
    <w:name w:val="目录2"/>
    <w:basedOn w:val="1"/>
    <w:next w:val="1"/>
    <w:qFormat/>
    <w:uiPriority w:val="99"/>
    <w:pPr>
      <w:tabs>
        <w:tab w:val="left" w:leader="dot" w:pos="8503"/>
      </w:tabs>
      <w:spacing w:line="317" w:lineRule="atLeast"/>
      <w:ind w:firstLine="209"/>
    </w:pPr>
  </w:style>
  <w:style w:type="paragraph" w:customStyle="1" w:styleId="46">
    <w:name w:val="目录4"/>
    <w:basedOn w:val="1"/>
    <w:next w:val="1"/>
    <w:qFormat/>
    <w:uiPriority w:val="99"/>
    <w:pPr>
      <w:tabs>
        <w:tab w:val="left" w:leader="dot" w:pos="8503"/>
      </w:tabs>
      <w:spacing w:line="317" w:lineRule="atLeast"/>
      <w:ind w:firstLine="629"/>
    </w:pPr>
  </w:style>
  <w:style w:type="paragraph" w:customStyle="1" w:styleId="47">
    <w:name w:val="1 Char Char Char Char"/>
    <w:basedOn w:val="1"/>
    <w:qFormat/>
    <w:uiPriority w:val="99"/>
    <w:pPr>
      <w:widowControl w:val="0"/>
      <w:spacing w:line="240" w:lineRule="auto"/>
      <w:textAlignment w:val="auto"/>
    </w:pPr>
    <w:rPr>
      <w:rFonts w:ascii="Tahoma" w:hAnsi="Tahoma" w:cs="Tahoma"/>
      <w:color w:val="auto"/>
      <w:kern w:val="2"/>
      <w:sz w:val="24"/>
      <w:szCs w:val="24"/>
    </w:rPr>
  </w:style>
  <w:style w:type="paragraph" w:customStyle="1" w:styleId="48">
    <w:name w:val="Char Char Char"/>
    <w:basedOn w:val="1"/>
    <w:qFormat/>
    <w:uiPriority w:val="99"/>
    <w:pPr>
      <w:widowControl w:val="0"/>
      <w:spacing w:line="240" w:lineRule="auto"/>
      <w:textAlignment w:val="auto"/>
    </w:pPr>
    <w:rPr>
      <w:rFonts w:ascii="Tahoma" w:hAnsi="Tahoma"/>
      <w:color w:val="auto"/>
      <w:kern w:val="2"/>
      <w:sz w:val="24"/>
    </w:rPr>
  </w:style>
  <w:style w:type="paragraph" w:customStyle="1" w:styleId="49">
    <w:name w:val="目录3"/>
    <w:basedOn w:val="1"/>
    <w:next w:val="1"/>
    <w:qFormat/>
    <w:uiPriority w:val="99"/>
    <w:pPr>
      <w:tabs>
        <w:tab w:val="left" w:leader="dot" w:pos="8503"/>
      </w:tabs>
      <w:spacing w:line="317" w:lineRule="atLeast"/>
      <w:ind w:firstLine="419"/>
    </w:pPr>
  </w:style>
  <w:style w:type="paragraph" w:customStyle="1" w:styleId="50">
    <w:name w:val="目录标题"/>
    <w:basedOn w:val="1"/>
    <w:next w:val="1"/>
    <w:qFormat/>
    <w:uiPriority w:val="99"/>
    <w:pPr>
      <w:spacing w:before="566" w:after="544" w:line="566" w:lineRule="atLeast"/>
      <w:ind w:firstLine="419"/>
      <w:jc w:val="center"/>
    </w:pPr>
    <w:rPr>
      <w:rFonts w:ascii="Arial" w:eastAsia="黑体"/>
      <w:spacing w:val="566"/>
      <w:sz w:val="54"/>
    </w:rPr>
  </w:style>
  <w:style w:type="paragraph" w:customStyle="1" w:styleId="51">
    <w:name w:val="文章总标题"/>
    <w:basedOn w:val="1"/>
    <w:next w:val="52"/>
    <w:qFormat/>
    <w:uiPriority w:val="99"/>
    <w:pPr>
      <w:spacing w:before="566" w:after="544" w:line="566" w:lineRule="atLeast"/>
      <w:jc w:val="center"/>
    </w:pPr>
    <w:rPr>
      <w:rFonts w:ascii="Arial" w:eastAsia="黑体"/>
      <w:sz w:val="54"/>
    </w:rPr>
  </w:style>
  <w:style w:type="paragraph" w:customStyle="1" w:styleId="52">
    <w:name w:val="文章附标题"/>
    <w:basedOn w:val="1"/>
    <w:next w:val="42"/>
    <w:qFormat/>
    <w:uiPriority w:val="99"/>
    <w:pPr>
      <w:spacing w:before="187" w:after="175" w:line="374" w:lineRule="atLeast"/>
      <w:jc w:val="center"/>
    </w:pPr>
    <w:rPr>
      <w:sz w:val="36"/>
    </w:rPr>
  </w:style>
  <w:style w:type="paragraph" w:customStyle="1" w:styleId="53">
    <w:name w:val="Char1"/>
    <w:basedOn w:val="1"/>
    <w:qFormat/>
    <w:uiPriority w:val="99"/>
    <w:pPr>
      <w:widowControl w:val="0"/>
      <w:spacing w:line="240" w:lineRule="auto"/>
      <w:textAlignment w:val="auto"/>
    </w:pPr>
    <w:rPr>
      <w:rFonts w:ascii="Tahoma" w:hAnsi="Tahoma"/>
      <w:color w:val="auto"/>
      <w:kern w:val="2"/>
      <w:sz w:val="24"/>
    </w:rPr>
  </w:style>
  <w:style w:type="paragraph" w:customStyle="1" w:styleId="54">
    <w:name w:val="Char11"/>
    <w:basedOn w:val="1"/>
    <w:qFormat/>
    <w:uiPriority w:val="99"/>
    <w:pPr>
      <w:widowControl w:val="0"/>
      <w:spacing w:line="240" w:lineRule="auto"/>
      <w:textAlignment w:val="auto"/>
    </w:pPr>
    <w:rPr>
      <w:rFonts w:ascii="Tahoma" w:hAnsi="Tahoma"/>
      <w:color w:val="auto"/>
      <w:kern w:val="2"/>
      <w:sz w:val="24"/>
    </w:rPr>
  </w:style>
  <w:style w:type="paragraph" w:customStyle="1" w:styleId="55">
    <w:name w:val="Char Char Char Char Char Char Char"/>
    <w:basedOn w:val="1"/>
    <w:qFormat/>
    <w:uiPriority w:val="99"/>
    <w:pPr>
      <w:widowControl w:val="0"/>
      <w:spacing w:line="240" w:lineRule="auto"/>
      <w:textAlignment w:val="auto"/>
    </w:pPr>
    <w:rPr>
      <w:rFonts w:ascii="Tahoma" w:hAnsi="Tahoma"/>
      <w:color w:val="auto"/>
      <w:kern w:val="2"/>
      <w:sz w:val="24"/>
    </w:rPr>
  </w:style>
  <w:style w:type="paragraph" w:customStyle="1" w:styleId="56">
    <w:name w:val="WPS Plain"/>
    <w:qFormat/>
    <w:uiPriority w:val="99"/>
    <w:rPr>
      <w:rFonts w:ascii="Times New Roman" w:hAnsi="Times New Roman" w:eastAsia="宋体" w:cs="Times New Roman"/>
      <w:lang w:val="en-US" w:eastAsia="zh-CN" w:bidi="ar-SA"/>
    </w:rPr>
  </w:style>
  <w:style w:type="paragraph" w:customStyle="1" w:styleId="57">
    <w:name w:val="cjk"/>
    <w:basedOn w:val="1"/>
    <w:qFormat/>
    <w:uiPriority w:val="99"/>
    <w:pPr>
      <w:spacing w:before="100" w:beforeAutospacing="1" w:after="100" w:afterAutospacing="1" w:line="240" w:lineRule="auto"/>
      <w:jc w:val="left"/>
      <w:textAlignment w:val="auto"/>
    </w:pPr>
    <w:rPr>
      <w:rFonts w:ascii="宋体" w:hAnsi="宋体" w:cs="宋体"/>
      <w:color w:val="auto"/>
      <w:sz w:val="18"/>
      <w:szCs w:val="18"/>
    </w:rPr>
  </w:style>
  <w:style w:type="paragraph" w:customStyle="1" w:styleId="58">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9">
    <w:name w:val="TOC Heading1"/>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60">
    <w:name w:val="List Paragraph1"/>
    <w:basedOn w:val="1"/>
    <w:qFormat/>
    <w:uiPriority w:val="99"/>
    <w:pPr>
      <w:ind w:firstLine="420" w:firstLineChars="200"/>
    </w:pPr>
  </w:style>
  <w:style w:type="character" w:customStyle="1" w:styleId="61">
    <w:name w:val="链接"/>
    <w:qFormat/>
    <w:uiPriority w:val="99"/>
    <w:rPr>
      <w:rFonts w:ascii="Times New Roman" w:eastAsia="宋体"/>
      <w:color w:val="0000FF"/>
      <w:sz w:val="21"/>
      <w:u w:val="single" w:color="0000FF"/>
      <w:lang w:val="en-US" w:eastAsia="zh-CN"/>
    </w:rPr>
  </w:style>
  <w:style w:type="character" w:customStyle="1" w:styleId="62">
    <w:name w:val="超级链接"/>
    <w:qFormat/>
    <w:uiPriority w:val="99"/>
    <w:rPr>
      <w:rFonts w:ascii="Times New Roman" w:eastAsia="宋体"/>
      <w:color w:val="0000FF"/>
      <w:sz w:val="21"/>
      <w:u w:val="single" w:color="0000FF"/>
      <w:lang w:val="en-US" w:eastAsia="zh-CN"/>
    </w:rPr>
  </w:style>
  <w:style w:type="character" w:customStyle="1" w:styleId="63">
    <w:name w:val="param_td12"/>
    <w:qFormat/>
    <w:uiPriority w:val="99"/>
  </w:style>
  <w:style w:type="character" w:customStyle="1" w:styleId="64">
    <w:name w:val="纯文本 Char Char"/>
    <w:qFormat/>
    <w:uiPriority w:val="99"/>
    <w:rPr>
      <w:rFonts w:ascii="宋体" w:hAnsi="Courier New" w:eastAsia="宋体"/>
      <w:kern w:val="2"/>
      <w:sz w:val="21"/>
      <w:lang w:val="en-US" w:eastAsia="zh-CN"/>
    </w:rPr>
  </w:style>
  <w:style w:type="character" w:customStyle="1" w:styleId="65">
    <w:name w:val="Char Char4"/>
    <w:qFormat/>
    <w:uiPriority w:val="99"/>
    <w:rPr>
      <w:rFonts w:ascii="宋体" w:eastAsia="宋体"/>
      <w:kern w:val="2"/>
      <w:sz w:val="28"/>
    </w:rPr>
  </w:style>
  <w:style w:type="character" w:customStyle="1" w:styleId="66">
    <w:name w:val="纯文本 Char1"/>
    <w:qFormat/>
    <w:locked/>
    <w:uiPriority w:val="99"/>
    <w:rPr>
      <w:rFonts w:ascii="宋体" w:hAnsi="Courier New"/>
      <w:kern w:val="2"/>
      <w:sz w:val="21"/>
      <w:u w:color="000000"/>
    </w:rPr>
  </w:style>
  <w:style w:type="character" w:customStyle="1" w:styleId="67">
    <w:name w:val="15"/>
    <w:basedOn w:val="22"/>
    <w:qFormat/>
    <w:uiPriority w:val="0"/>
    <w:rPr>
      <w:rFonts w:cs="Times New Roman"/>
    </w:rPr>
  </w:style>
  <w:style w:type="character" w:customStyle="1" w:styleId="68">
    <w:name w:val="正文文本 Char"/>
    <w:basedOn w:val="22"/>
    <w:link w:val="6"/>
    <w:semiHidden/>
    <w:qFormat/>
    <w:uiPriority w:val="99"/>
    <w:rPr>
      <w:color w:val="000000"/>
      <w:sz w:val="21"/>
      <w:u w:color="000000"/>
    </w:rPr>
  </w:style>
  <w:style w:type="character" w:customStyle="1" w:styleId="69">
    <w:name w:val="正文首行缩进 Char"/>
    <w:basedOn w:val="68"/>
    <w:link w:val="19"/>
    <w:semiHidden/>
    <w:qFormat/>
    <w:uiPriority w:val="99"/>
    <w:rPr>
      <w:color w:val="000000"/>
      <w:sz w:val="21"/>
      <w:u w:color="000000"/>
    </w:rPr>
  </w:style>
  <w:style w:type="paragraph" w:styleId="70">
    <w:name w:val="List Paragraph"/>
    <w:basedOn w:val="1"/>
    <w:unhideWhenUsed/>
    <w:qFormat/>
    <w:uiPriority w:val="99"/>
    <w:pPr>
      <w:ind w:firstLine="420" w:firstLineChars="200"/>
    </w:pPr>
  </w:style>
  <w:style w:type="character" w:customStyle="1" w:styleId="71">
    <w:name w:val="页眉或页脚 + Calibri"/>
    <w:qFormat/>
    <w:uiPriority w:val="0"/>
    <w:rPr>
      <w:rFonts w:ascii="Calibri" w:hAnsi="Calibri" w:eastAsia="Calibri" w:cs="Calibri"/>
      <w:color w:val="000000"/>
      <w:spacing w:val="0"/>
      <w:w w:val="100"/>
      <w:position w:val="0"/>
      <w:sz w:val="20"/>
      <w:szCs w:val="20"/>
      <w:u w:val="none"/>
      <w:lang w:val="zh-CN" w:eastAsia="zh-CN" w:bidi="zh-CN"/>
    </w:rPr>
  </w:style>
  <w:style w:type="character" w:customStyle="1" w:styleId="72">
    <w:name w:val="页眉或页脚"/>
    <w:qFormat/>
    <w:uiPriority w:val="0"/>
    <w:rPr>
      <w:rFonts w:ascii="MingLiU" w:hAnsi="MingLiU" w:eastAsia="MingLiU" w:cs="MingLiU"/>
      <w:color w:val="000000"/>
      <w:spacing w:val="0"/>
      <w:w w:val="100"/>
      <w:position w:val="0"/>
      <w:sz w:val="18"/>
      <w:szCs w:val="18"/>
      <w:u w:val="none"/>
      <w:lang w:val="zh-CN" w:eastAsia="zh-CN" w:bidi="zh-CN"/>
    </w:rPr>
  </w:style>
  <w:style w:type="paragraph" w:customStyle="1" w:styleId="73">
    <w:name w:val="正文文本 (2)"/>
    <w:basedOn w:val="1"/>
    <w:link w:val="74"/>
    <w:qFormat/>
    <w:uiPriority w:val="0"/>
    <w:pPr>
      <w:widowControl w:val="0"/>
      <w:shd w:val="clear" w:color="auto" w:fill="FFFFFF"/>
      <w:spacing w:after="660" w:line="0" w:lineRule="atLeast"/>
      <w:jc w:val="left"/>
      <w:textAlignment w:val="auto"/>
    </w:pPr>
    <w:rPr>
      <w:rFonts w:ascii="MingLiU" w:hAnsi="MingLiU" w:eastAsia="MingLiU" w:cs="MingLiU"/>
      <w:color w:val="auto"/>
      <w:spacing w:val="30"/>
      <w:sz w:val="30"/>
      <w:szCs w:val="30"/>
    </w:rPr>
  </w:style>
  <w:style w:type="character" w:customStyle="1" w:styleId="74">
    <w:name w:val="正文文本 (2)_"/>
    <w:link w:val="73"/>
    <w:qFormat/>
    <w:uiPriority w:val="0"/>
    <w:rPr>
      <w:rFonts w:ascii="MingLiU" w:hAnsi="MingLiU" w:eastAsia="MingLiU" w:cs="MingLiU"/>
      <w:spacing w:val="30"/>
      <w:sz w:val="30"/>
      <w:szCs w:val="30"/>
      <w:u w:color="000000"/>
      <w:shd w:val="clear" w:color="auto" w:fill="FFFFFF"/>
    </w:rPr>
  </w:style>
  <w:style w:type="character" w:customStyle="1" w:styleId="75">
    <w:name w:val="样式 首行缩进:  0 字符 Char"/>
    <w:link w:val="76"/>
    <w:qFormat/>
    <w:locked/>
    <w:uiPriority w:val="0"/>
    <w:rPr>
      <w:sz w:val="24"/>
    </w:rPr>
  </w:style>
  <w:style w:type="paragraph" w:customStyle="1" w:styleId="76">
    <w:name w:val="样式 首行缩进:  0 字符"/>
    <w:basedOn w:val="1"/>
    <w:link w:val="75"/>
    <w:qFormat/>
    <w:uiPriority w:val="0"/>
    <w:pPr>
      <w:widowControl w:val="0"/>
      <w:spacing w:line="360" w:lineRule="auto"/>
      <w:ind w:firstLine="200" w:firstLineChars="200"/>
      <w:textAlignment w:val="auto"/>
    </w:pPr>
    <w:rPr>
      <w:color w:val="auto"/>
      <w:sz w:val="24"/>
    </w:rPr>
  </w:style>
  <w:style w:type="paragraph" w:customStyle="1" w:styleId="7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8">
    <w:name w:val="列出段落1"/>
    <w:basedOn w:val="1"/>
    <w:qFormat/>
    <w:uiPriority w:val="0"/>
    <w:pPr>
      <w:widowControl w:val="0"/>
      <w:spacing w:line="240" w:lineRule="auto"/>
      <w:ind w:firstLine="420" w:firstLineChars="200"/>
      <w:textAlignment w:val="auto"/>
    </w:pPr>
    <w:rPr>
      <w:color w:val="auto"/>
      <w:kern w:val="2"/>
      <w:szCs w:val="21"/>
    </w:rPr>
  </w:style>
  <w:style w:type="character" w:customStyle="1" w:styleId="79">
    <w:name w:val="font51"/>
    <w:basedOn w:val="22"/>
    <w:qFormat/>
    <w:uiPriority w:val="0"/>
    <w:rPr>
      <w:rFonts w:hint="eastAsia" w:ascii="宋体" w:hAnsi="宋体" w:eastAsia="宋体" w:cs="宋体"/>
      <w:color w:val="000000"/>
      <w:sz w:val="24"/>
      <w:szCs w:val="24"/>
      <w:u w:val="none"/>
    </w:rPr>
  </w:style>
  <w:style w:type="character" w:customStyle="1" w:styleId="80">
    <w:name w:val="font71"/>
    <w:basedOn w:val="22"/>
    <w:qFormat/>
    <w:uiPriority w:val="0"/>
    <w:rPr>
      <w:rFonts w:ascii="Arial" w:hAnsi="Arial" w:cs="Arial"/>
      <w:color w:val="000000"/>
      <w:sz w:val="24"/>
      <w:szCs w:val="24"/>
      <w:u w:val="none"/>
    </w:rPr>
  </w:style>
  <w:style w:type="paragraph" w:customStyle="1" w:styleId="81">
    <w:name w:val="TOC 标题1"/>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82">
    <w:name w:val="无间隔1"/>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character" w:customStyle="1" w:styleId="83">
    <w:name w:val="正文文本 (2) + 斜体"/>
    <w:qFormat/>
    <w:uiPriority w:val="0"/>
    <w:rPr>
      <w:rFonts w:ascii="MingLiU" w:hAnsi="MingLiU" w:eastAsia="MingLiU" w:cs="MingLiU"/>
      <w:i/>
      <w:iCs/>
      <w:color w:val="000000"/>
      <w:spacing w:val="0"/>
      <w:w w:val="100"/>
      <w:position w:val="0"/>
      <w:sz w:val="30"/>
      <w:szCs w:val="30"/>
      <w:u w:val="none"/>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152</Pages>
  <Words>15711</Words>
  <Characters>17902</Characters>
  <Lines>132</Lines>
  <Paragraphs>186</Paragraphs>
  <TotalTime>6</TotalTime>
  <ScaleCrop>false</ScaleCrop>
  <LinksUpToDate>false</LinksUpToDate>
  <CharactersWithSpaces>18128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2025-10-23T08:21:00Z</dcterms:created>
  <dc:creator>ZM</dc:creator>
  <cp:lastModifiedBy>Administrator</cp:lastModifiedBy>
  <cp:lastPrinted>2025-11-13T02:47:00Z</cp:lastPrinted>
  <dcterms:modified xsi:type="dcterms:W3CDTF">2025-12-04T02:01:43Z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eyJoZGlkIjoiYWViYWFjMDEyOWIxMDRiMzJjNmM0MTE3OGZjYjA0YjkiLCJ1c2VySWQiOiIxOTY4MjQyNiJ9</vt:lpwstr>
  </property>
  <property fmtid="{D5CDD505-2E9C-101B-9397-08002B2CF9AE}" pid="4" name="ICV">
    <vt:lpwstr>CD49398D824B4E54905A56E093F93F25_13</vt:lpwstr>
  </property>
</Properties>
</file>