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343574">
      <w:pPr>
        <w:widowControl w:val="0"/>
        <w:snapToGrid w:val="0"/>
        <w:spacing w:line="560" w:lineRule="exact"/>
        <w:ind w:firstLine="241" w:firstLineChars="50"/>
        <w:jc w:val="center"/>
        <w:rPr>
          <w:rFonts w:eastAsia="黑体"/>
          <w:b/>
          <w:color w:val="auto"/>
          <w:spacing w:val="40"/>
          <w:sz w:val="40"/>
          <w:szCs w:val="40"/>
          <w:highlight w:val="none"/>
        </w:rPr>
      </w:pPr>
      <w:bookmarkStart w:id="69" w:name="_GoBack"/>
      <w:bookmarkEnd w:id="69"/>
    </w:p>
    <w:p w14:paraId="7E291F30">
      <w:pPr>
        <w:widowControl w:val="0"/>
        <w:snapToGrid w:val="0"/>
        <w:spacing w:line="560" w:lineRule="exact"/>
        <w:ind w:firstLine="241" w:firstLineChars="50"/>
        <w:jc w:val="center"/>
        <w:rPr>
          <w:rFonts w:eastAsia="黑体"/>
          <w:b/>
          <w:color w:val="auto"/>
          <w:spacing w:val="40"/>
          <w:sz w:val="40"/>
          <w:szCs w:val="40"/>
          <w:highlight w:val="none"/>
        </w:rPr>
      </w:pPr>
    </w:p>
    <w:p w14:paraId="170DE9F9">
      <w:pPr>
        <w:widowControl w:val="0"/>
        <w:snapToGrid w:val="0"/>
        <w:spacing w:line="560" w:lineRule="exact"/>
        <w:jc w:val="center"/>
        <w:rPr>
          <w:rFonts w:ascii="黑体" w:eastAsia="黑体"/>
          <w:b/>
          <w:color w:val="auto"/>
          <w:spacing w:val="-20"/>
          <w:sz w:val="44"/>
          <w:szCs w:val="44"/>
          <w:highlight w:val="none"/>
        </w:rPr>
      </w:pPr>
      <w:r>
        <w:rPr>
          <w:rFonts w:hint="eastAsia" w:ascii="黑体" w:eastAsia="黑体"/>
          <w:b/>
          <w:color w:val="auto"/>
          <w:spacing w:val="-20"/>
          <w:sz w:val="44"/>
          <w:szCs w:val="44"/>
          <w:highlight w:val="none"/>
        </w:rPr>
        <w:t>安阳县公安局安阳县看守所智能谈话教育系统项目</w:t>
      </w:r>
    </w:p>
    <w:p w14:paraId="1893E78A">
      <w:pPr>
        <w:widowControl w:val="0"/>
        <w:snapToGrid w:val="0"/>
        <w:spacing w:beforeLines="100" w:line="560" w:lineRule="exact"/>
        <w:jc w:val="center"/>
        <w:rPr>
          <w:rFonts w:eastAsia="黑体"/>
          <w:b/>
          <w:color w:val="auto"/>
          <w:sz w:val="44"/>
          <w:highlight w:val="none"/>
        </w:rPr>
      </w:pPr>
    </w:p>
    <w:p w14:paraId="54C9B38E">
      <w:pPr>
        <w:widowControl w:val="0"/>
        <w:snapToGrid w:val="0"/>
        <w:spacing w:beforeLines="100" w:line="560" w:lineRule="exact"/>
        <w:jc w:val="center"/>
        <w:rPr>
          <w:rFonts w:eastAsia="黑体"/>
          <w:b/>
          <w:color w:val="auto"/>
          <w:sz w:val="44"/>
          <w:highlight w:val="none"/>
        </w:rPr>
      </w:pPr>
    </w:p>
    <w:p w14:paraId="5F68A14F">
      <w:pPr>
        <w:widowControl w:val="0"/>
        <w:snapToGrid w:val="0"/>
        <w:spacing w:beforeLines="100" w:line="240" w:lineRule="auto"/>
        <w:jc w:val="center"/>
        <w:rPr>
          <w:rFonts w:eastAsia="黑体"/>
          <w:b/>
          <w:color w:val="auto"/>
          <w:sz w:val="44"/>
          <w:highlight w:val="none"/>
        </w:rPr>
      </w:pPr>
    </w:p>
    <w:p w14:paraId="4926A0B2">
      <w:pPr>
        <w:widowControl w:val="0"/>
        <w:snapToGrid w:val="0"/>
        <w:spacing w:beforeLines="100" w:line="240" w:lineRule="auto"/>
        <w:jc w:val="center"/>
        <w:rPr>
          <w:rFonts w:eastAsia="黑体"/>
          <w:b/>
          <w:color w:val="auto"/>
          <w:sz w:val="44"/>
          <w:highlight w:val="none"/>
        </w:rPr>
      </w:pPr>
    </w:p>
    <w:p w14:paraId="0F6491DD">
      <w:pPr>
        <w:widowControl w:val="0"/>
        <w:snapToGrid w:val="0"/>
        <w:spacing w:beforeLines="100" w:line="240" w:lineRule="auto"/>
        <w:jc w:val="center"/>
        <w:rPr>
          <w:rFonts w:ascii="华文新魏" w:hAnsi="微软雅黑" w:eastAsia="华文新魏"/>
          <w:b/>
          <w:color w:val="auto"/>
          <w:sz w:val="116"/>
          <w:szCs w:val="116"/>
          <w:highlight w:val="none"/>
        </w:rPr>
      </w:pPr>
      <w:r>
        <w:rPr>
          <w:rFonts w:hint="eastAsia" w:ascii="华文新魏" w:hAnsi="微软雅黑" w:eastAsia="华文新魏"/>
          <w:b/>
          <w:color w:val="auto"/>
          <w:sz w:val="116"/>
          <w:szCs w:val="116"/>
          <w:highlight w:val="none"/>
        </w:rPr>
        <w:t>谈判文件</w:t>
      </w:r>
    </w:p>
    <w:p w14:paraId="27ACBC22">
      <w:pPr>
        <w:widowControl w:val="0"/>
        <w:snapToGrid w:val="0"/>
        <w:spacing w:beforeLines="100" w:line="560" w:lineRule="exact"/>
        <w:jc w:val="center"/>
        <w:rPr>
          <w:rFonts w:eastAsia="黑体"/>
          <w:b/>
          <w:color w:val="auto"/>
          <w:sz w:val="30"/>
          <w:szCs w:val="30"/>
          <w:highlight w:val="none"/>
        </w:rPr>
      </w:pPr>
      <w:r>
        <w:rPr>
          <w:rFonts w:hint="eastAsia" w:ascii="宋体" w:hAnsi="宋体"/>
          <w:color w:val="auto"/>
          <w:sz w:val="32"/>
          <w:szCs w:val="32"/>
          <w:highlight w:val="none"/>
        </w:rPr>
        <w:t>项目编号：安县竞谈采购-2025-30</w:t>
      </w:r>
    </w:p>
    <w:p w14:paraId="7BDAB3D3">
      <w:pPr>
        <w:widowControl w:val="0"/>
        <w:snapToGrid w:val="0"/>
        <w:spacing w:beforeLines="100" w:line="560" w:lineRule="exact"/>
        <w:jc w:val="center"/>
        <w:rPr>
          <w:rFonts w:eastAsia="黑体"/>
          <w:b/>
          <w:color w:val="auto"/>
          <w:sz w:val="44"/>
          <w:highlight w:val="none"/>
        </w:rPr>
      </w:pPr>
    </w:p>
    <w:p w14:paraId="126D75F7">
      <w:pPr>
        <w:widowControl w:val="0"/>
        <w:snapToGrid w:val="0"/>
        <w:spacing w:beforeLines="100" w:line="560" w:lineRule="exact"/>
        <w:jc w:val="center"/>
        <w:rPr>
          <w:rFonts w:eastAsia="黑体"/>
          <w:b/>
          <w:color w:val="auto"/>
          <w:sz w:val="44"/>
          <w:highlight w:val="none"/>
        </w:rPr>
      </w:pPr>
    </w:p>
    <w:p w14:paraId="7A1DF14D">
      <w:pPr>
        <w:widowControl w:val="0"/>
        <w:snapToGrid w:val="0"/>
        <w:spacing w:beforeLines="100" w:line="560" w:lineRule="exact"/>
        <w:jc w:val="center"/>
        <w:rPr>
          <w:rFonts w:eastAsia="黑体"/>
          <w:b/>
          <w:color w:val="auto"/>
          <w:sz w:val="44"/>
          <w:highlight w:val="none"/>
        </w:rPr>
      </w:pPr>
    </w:p>
    <w:p w14:paraId="74643C12">
      <w:pPr>
        <w:widowControl w:val="0"/>
        <w:snapToGrid w:val="0"/>
        <w:spacing w:beforeLines="100" w:line="560" w:lineRule="exact"/>
        <w:jc w:val="center"/>
        <w:rPr>
          <w:rFonts w:eastAsia="黑体"/>
          <w:b/>
          <w:color w:val="auto"/>
          <w:sz w:val="44"/>
          <w:highlight w:val="none"/>
        </w:rPr>
      </w:pPr>
    </w:p>
    <w:p w14:paraId="5DEBF261">
      <w:pPr>
        <w:widowControl w:val="0"/>
        <w:snapToGrid w:val="0"/>
        <w:spacing w:beforeLines="100" w:line="560" w:lineRule="exact"/>
        <w:rPr>
          <w:rFonts w:eastAsia="黑体"/>
          <w:b/>
          <w:color w:val="auto"/>
          <w:sz w:val="44"/>
          <w:highlight w:val="none"/>
        </w:rPr>
      </w:pPr>
    </w:p>
    <w:p w14:paraId="307E7805">
      <w:pPr>
        <w:widowControl w:val="0"/>
        <w:snapToGrid w:val="0"/>
        <w:spacing w:line="660" w:lineRule="exact"/>
        <w:ind w:firstLine="540" w:firstLineChars="168"/>
        <w:rPr>
          <w:rFonts w:ascii="黑体" w:hAnsi="黑体" w:eastAsia="黑体"/>
          <w:b/>
          <w:color w:val="auto"/>
          <w:sz w:val="32"/>
          <w:szCs w:val="32"/>
          <w:highlight w:val="none"/>
        </w:rPr>
      </w:pPr>
      <w:r>
        <w:rPr>
          <w:rFonts w:hint="eastAsia" w:ascii="黑体" w:hAnsi="黑体" w:eastAsia="黑体"/>
          <w:b/>
          <w:color w:val="auto"/>
          <w:sz w:val="32"/>
          <w:szCs w:val="32"/>
          <w:highlight w:val="none"/>
        </w:rPr>
        <w:t>采购人：安阳县看守所</w:t>
      </w:r>
    </w:p>
    <w:p w14:paraId="664CACD3">
      <w:pPr>
        <w:widowControl w:val="0"/>
        <w:snapToGrid w:val="0"/>
        <w:spacing w:line="660" w:lineRule="exact"/>
        <w:ind w:firstLine="540" w:firstLineChars="168"/>
        <w:rPr>
          <w:rFonts w:ascii="黑体" w:hAnsi="黑体" w:eastAsia="黑体"/>
          <w:b/>
          <w:color w:val="auto"/>
          <w:sz w:val="32"/>
          <w:szCs w:val="32"/>
          <w:highlight w:val="none"/>
        </w:rPr>
        <w:sectPr>
          <w:footerReference r:id="rId9" w:type="first"/>
          <w:headerReference r:id="rId5" w:type="default"/>
          <w:footerReference r:id="rId7" w:type="default"/>
          <w:headerReference r:id="rId6" w:type="even"/>
          <w:footerReference r:id="rId8" w:type="even"/>
          <w:pgSz w:w="11905" w:h="16837"/>
          <w:pgMar w:top="1418" w:right="1106" w:bottom="1418" w:left="1418" w:header="567" w:footer="567" w:gutter="0"/>
          <w:pgNumType w:fmt="numberInDash" w:start="0"/>
          <w:cols w:space="720" w:num="1"/>
          <w:titlePg/>
        </w:sectPr>
      </w:pPr>
      <w:r>
        <w:rPr>
          <w:rFonts w:hint="eastAsia" w:ascii="黑体" w:hAnsi="黑体" w:eastAsia="黑体"/>
          <w:b/>
          <w:color w:val="auto"/>
          <w:sz w:val="32"/>
          <w:szCs w:val="32"/>
          <w:highlight w:val="none"/>
        </w:rPr>
        <w:t>代理机构：安阳市方正招标采购服务有限责任公司</w:t>
      </w:r>
    </w:p>
    <w:p w14:paraId="28A51B81">
      <w:pPr>
        <w:widowControl w:val="0"/>
        <w:snapToGrid w:val="0"/>
        <w:spacing w:line="660" w:lineRule="exact"/>
        <w:ind w:firstLine="540" w:firstLineChars="168"/>
        <w:rPr>
          <w:rFonts w:ascii="黑体" w:hAnsi="黑体" w:eastAsia="黑体"/>
          <w:b/>
          <w:color w:val="auto"/>
          <w:sz w:val="32"/>
          <w:szCs w:val="32"/>
          <w:highlight w:val="none"/>
        </w:rPr>
      </w:pPr>
    </w:p>
    <w:p w14:paraId="30B3881B">
      <w:pPr>
        <w:pStyle w:val="49"/>
        <w:jc w:val="center"/>
        <w:rPr>
          <w:rFonts w:ascii="黑体" w:hAnsi="黑体" w:eastAsia="黑体"/>
          <w:color w:val="auto"/>
          <w:sz w:val="36"/>
          <w:szCs w:val="36"/>
          <w:highlight w:val="none"/>
          <w:lang w:val="zh-CN"/>
        </w:rPr>
      </w:pPr>
      <w:r>
        <w:rPr>
          <w:rFonts w:hint="eastAsia" w:ascii="黑体" w:hAnsi="黑体" w:eastAsia="黑体"/>
          <w:color w:val="auto"/>
          <w:sz w:val="36"/>
          <w:szCs w:val="36"/>
          <w:highlight w:val="none"/>
          <w:lang w:val="zh-CN"/>
        </w:rPr>
        <w:t>目录</w:t>
      </w:r>
    </w:p>
    <w:p w14:paraId="7A9A2C25">
      <w:pPr>
        <w:pStyle w:val="12"/>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TOC \o "1-3" \h \z \u </w:instrText>
      </w:r>
      <w:r>
        <w:rPr>
          <w:color w:val="auto"/>
          <w:highlight w:val="none"/>
        </w:rPr>
        <w:fldChar w:fldCharType="separate"/>
      </w:r>
      <w:r>
        <w:rPr>
          <w:color w:val="auto"/>
          <w:highlight w:val="none"/>
        </w:rPr>
        <w:fldChar w:fldCharType="begin"/>
      </w:r>
      <w:r>
        <w:rPr>
          <w:color w:val="auto"/>
          <w:highlight w:val="none"/>
        </w:rPr>
        <w:instrText xml:space="preserve"> HYPERLINK \l "_Toc209083622" </w:instrText>
      </w:r>
      <w:r>
        <w:rPr>
          <w:color w:val="auto"/>
          <w:highlight w:val="none"/>
        </w:rPr>
        <w:fldChar w:fldCharType="separate"/>
      </w:r>
      <w:r>
        <w:rPr>
          <w:rStyle w:val="21"/>
          <w:rFonts w:hint="eastAsia" w:eastAsia="黑体"/>
          <w:b/>
          <w:color w:val="auto"/>
          <w:highlight w:val="none"/>
        </w:rPr>
        <w:t>第一章谈判公告</w:t>
      </w:r>
      <w:r>
        <w:rPr>
          <w:color w:val="auto"/>
          <w:highlight w:val="none"/>
        </w:rPr>
        <w:tab/>
      </w:r>
      <w:r>
        <w:rPr>
          <w:color w:val="auto"/>
          <w:highlight w:val="none"/>
        </w:rPr>
        <w:fldChar w:fldCharType="begin"/>
      </w:r>
      <w:r>
        <w:rPr>
          <w:color w:val="auto"/>
          <w:highlight w:val="none"/>
        </w:rPr>
        <w:instrText xml:space="preserve"> PAGEREF _Toc209083622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29EFE0F5">
      <w:pPr>
        <w:pStyle w:val="12"/>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"_Toc209083623" </w:instrText>
      </w:r>
      <w:r>
        <w:rPr>
          <w:color w:val="auto"/>
          <w:highlight w:val="none"/>
        </w:rPr>
        <w:fldChar w:fldCharType="separate"/>
      </w:r>
      <w:r>
        <w:rPr>
          <w:rStyle w:val="21"/>
          <w:rFonts w:hint="eastAsia" w:eastAsia="黑体"/>
          <w:b/>
          <w:color w:val="auto"/>
          <w:highlight w:val="none"/>
        </w:rPr>
        <w:t>第二章采购项目及技术服务要求</w:t>
      </w:r>
      <w:r>
        <w:rPr>
          <w:color w:val="auto"/>
          <w:highlight w:val="none"/>
        </w:rPr>
        <w:tab/>
      </w:r>
      <w:r>
        <w:rPr>
          <w:color w:val="auto"/>
          <w:highlight w:val="none"/>
        </w:rPr>
        <w:fldChar w:fldCharType="begin"/>
      </w:r>
      <w:r>
        <w:rPr>
          <w:color w:val="auto"/>
          <w:highlight w:val="none"/>
        </w:rPr>
        <w:instrText xml:space="preserve"> PAGEREF _Toc209083623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14:paraId="72D40135">
      <w:pPr>
        <w:pStyle w:val="13"/>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"_Toc209083624" </w:instrText>
      </w:r>
      <w:r>
        <w:rPr>
          <w:color w:val="auto"/>
          <w:highlight w:val="none"/>
        </w:rPr>
        <w:fldChar w:fldCharType="separate"/>
      </w:r>
      <w:r>
        <w:rPr>
          <w:rStyle w:val="21"/>
          <w:rFonts w:ascii="黑体" w:hAnsi="黑体" w:eastAsia="黑体"/>
          <w:b/>
          <w:color w:val="auto"/>
          <w:highlight w:val="none"/>
        </w:rPr>
        <w:t xml:space="preserve">1. </w:t>
      </w:r>
      <w:r>
        <w:rPr>
          <w:rStyle w:val="21"/>
          <w:rFonts w:hint="eastAsia" w:ascii="黑体" w:hAnsi="黑体" w:eastAsia="黑体"/>
          <w:b/>
          <w:color w:val="auto"/>
          <w:highlight w:val="none"/>
        </w:rPr>
        <w:t>采购项目、标段（包）划分、投标报价</w:t>
      </w:r>
      <w:r>
        <w:rPr>
          <w:color w:val="auto"/>
          <w:highlight w:val="none"/>
        </w:rPr>
        <w:tab/>
      </w:r>
      <w:r>
        <w:rPr>
          <w:color w:val="auto"/>
          <w:highlight w:val="none"/>
        </w:rPr>
        <w:fldChar w:fldCharType="begin"/>
      </w:r>
      <w:r>
        <w:rPr>
          <w:color w:val="auto"/>
          <w:highlight w:val="none"/>
        </w:rPr>
        <w:instrText xml:space="preserve"> PAGEREF _Toc209083624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14:paraId="1F3C5DC4">
      <w:pPr>
        <w:pStyle w:val="13"/>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"_Toc209083625" </w:instrText>
      </w:r>
      <w:r>
        <w:rPr>
          <w:color w:val="auto"/>
          <w:highlight w:val="none"/>
        </w:rPr>
        <w:fldChar w:fldCharType="separate"/>
      </w:r>
      <w:r>
        <w:rPr>
          <w:rStyle w:val="21"/>
          <w:rFonts w:ascii="黑体" w:hAnsi="黑体" w:eastAsia="黑体"/>
          <w:b/>
          <w:color w:val="auto"/>
          <w:highlight w:val="none"/>
        </w:rPr>
        <w:t xml:space="preserve">2. </w:t>
      </w:r>
      <w:r>
        <w:rPr>
          <w:rStyle w:val="21"/>
          <w:rFonts w:hint="eastAsia" w:ascii="黑体" w:hAnsi="黑体" w:eastAsia="黑体"/>
          <w:b/>
          <w:color w:val="auto"/>
          <w:highlight w:val="none"/>
        </w:rPr>
        <w:t>标段（包）内容（范围）及基本技术要求</w:t>
      </w:r>
      <w:r>
        <w:rPr>
          <w:color w:val="auto"/>
          <w:highlight w:val="none"/>
        </w:rPr>
        <w:tab/>
      </w:r>
      <w:r>
        <w:rPr>
          <w:color w:val="auto"/>
          <w:highlight w:val="none"/>
        </w:rPr>
        <w:fldChar w:fldCharType="begin"/>
      </w:r>
      <w:r>
        <w:rPr>
          <w:color w:val="auto"/>
          <w:highlight w:val="none"/>
        </w:rPr>
        <w:instrText xml:space="preserve"> PAGEREF _Toc209083625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14:paraId="56F2A8DC">
      <w:pPr>
        <w:pStyle w:val="13"/>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"_Toc209083626" </w:instrText>
      </w:r>
      <w:r>
        <w:rPr>
          <w:color w:val="auto"/>
          <w:highlight w:val="none"/>
        </w:rPr>
        <w:fldChar w:fldCharType="separate"/>
      </w:r>
      <w:r>
        <w:rPr>
          <w:rStyle w:val="21"/>
          <w:rFonts w:ascii="黑体" w:hAnsi="黑体" w:eastAsia="黑体"/>
          <w:b/>
          <w:color w:val="auto"/>
          <w:highlight w:val="none"/>
        </w:rPr>
        <w:t xml:space="preserve">2.8  </w:t>
      </w:r>
      <w:r>
        <w:rPr>
          <w:rStyle w:val="21"/>
          <w:rFonts w:hint="eastAsia" w:ascii="黑体" w:hAnsi="黑体" w:eastAsia="黑体"/>
          <w:b/>
          <w:color w:val="auto"/>
          <w:highlight w:val="none"/>
        </w:rPr>
        <w:t>售后服务的基本条款（采购标的需满足的服务标准、期限、效率等要求）</w:t>
      </w:r>
      <w:r>
        <w:rPr>
          <w:color w:val="auto"/>
          <w:highlight w:val="none"/>
        </w:rPr>
        <w:tab/>
      </w:r>
      <w:r>
        <w:rPr>
          <w:color w:val="auto"/>
          <w:highlight w:val="none"/>
        </w:rPr>
        <w:fldChar w:fldCharType="begin"/>
      </w:r>
      <w:r>
        <w:rPr>
          <w:color w:val="auto"/>
          <w:highlight w:val="none"/>
        </w:rPr>
        <w:instrText xml:space="preserve"> PAGEREF _Toc209083626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14:paraId="1075DA0E">
      <w:pPr>
        <w:pStyle w:val="13"/>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"_Toc209083627" </w:instrText>
      </w:r>
      <w:r>
        <w:rPr>
          <w:color w:val="auto"/>
          <w:highlight w:val="none"/>
        </w:rPr>
        <w:fldChar w:fldCharType="separate"/>
      </w:r>
      <w:r>
        <w:rPr>
          <w:rStyle w:val="21"/>
          <w:rFonts w:ascii="黑体" w:hAnsi="黑体" w:eastAsia="黑体"/>
          <w:b/>
          <w:color w:val="auto"/>
          <w:highlight w:val="none"/>
        </w:rPr>
        <w:t xml:space="preserve">3. </w:t>
      </w:r>
      <w:r>
        <w:rPr>
          <w:rStyle w:val="21"/>
          <w:rFonts w:hint="eastAsia" w:ascii="黑体" w:hAnsi="黑体" w:eastAsia="黑体"/>
          <w:b/>
          <w:color w:val="auto"/>
          <w:highlight w:val="none"/>
        </w:rPr>
        <w:t>项目其他要求</w:t>
      </w:r>
      <w:r>
        <w:rPr>
          <w:color w:val="auto"/>
          <w:highlight w:val="none"/>
        </w:rPr>
        <w:tab/>
      </w:r>
      <w:r>
        <w:rPr>
          <w:color w:val="auto"/>
          <w:highlight w:val="none"/>
        </w:rPr>
        <w:fldChar w:fldCharType="begin"/>
      </w:r>
      <w:r>
        <w:rPr>
          <w:color w:val="auto"/>
          <w:highlight w:val="none"/>
        </w:rPr>
        <w:instrText xml:space="preserve"> PAGEREF _Toc209083627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14:paraId="42A4A994">
      <w:pPr>
        <w:pStyle w:val="12"/>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"_Toc209083628" </w:instrText>
      </w:r>
      <w:r>
        <w:rPr>
          <w:color w:val="auto"/>
          <w:highlight w:val="none"/>
        </w:rPr>
        <w:fldChar w:fldCharType="separate"/>
      </w:r>
      <w:r>
        <w:rPr>
          <w:rStyle w:val="21"/>
          <w:rFonts w:hint="eastAsia" w:eastAsia="黑体"/>
          <w:b/>
          <w:color w:val="auto"/>
          <w:highlight w:val="none"/>
        </w:rPr>
        <w:t>第三章投标人须知</w:t>
      </w:r>
      <w:r>
        <w:rPr>
          <w:color w:val="auto"/>
          <w:highlight w:val="none"/>
        </w:rPr>
        <w:tab/>
      </w:r>
      <w:r>
        <w:rPr>
          <w:color w:val="auto"/>
          <w:highlight w:val="none"/>
        </w:rPr>
        <w:fldChar w:fldCharType="begin"/>
      </w:r>
      <w:r>
        <w:rPr>
          <w:color w:val="auto"/>
          <w:highlight w:val="none"/>
        </w:rPr>
        <w:instrText xml:space="preserve"> PAGEREF _Toc209083628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24A91557">
      <w:pPr>
        <w:pStyle w:val="13"/>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"_Toc209083629" </w:instrText>
      </w:r>
      <w:r>
        <w:rPr>
          <w:color w:val="auto"/>
          <w:highlight w:val="none"/>
        </w:rPr>
        <w:fldChar w:fldCharType="separate"/>
      </w:r>
      <w:r>
        <w:rPr>
          <w:rStyle w:val="21"/>
          <w:rFonts w:hint="eastAsia" w:eastAsia="黑体"/>
          <w:b/>
          <w:color w:val="auto"/>
          <w:highlight w:val="none"/>
        </w:rPr>
        <w:t>投标人须知前附表</w:t>
      </w:r>
      <w:r>
        <w:rPr>
          <w:color w:val="auto"/>
          <w:highlight w:val="none"/>
        </w:rPr>
        <w:tab/>
      </w:r>
      <w:r>
        <w:rPr>
          <w:color w:val="auto"/>
          <w:highlight w:val="none"/>
        </w:rPr>
        <w:fldChar w:fldCharType="begin"/>
      </w:r>
      <w:r>
        <w:rPr>
          <w:color w:val="auto"/>
          <w:highlight w:val="none"/>
        </w:rPr>
        <w:instrText xml:space="preserve"> PAGEREF _Toc209083629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5D8895F5">
      <w:pPr>
        <w:pStyle w:val="13"/>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"_Toc209083630" </w:instrText>
      </w:r>
      <w:r>
        <w:rPr>
          <w:color w:val="auto"/>
          <w:highlight w:val="none"/>
        </w:rPr>
        <w:fldChar w:fldCharType="separate"/>
      </w:r>
      <w:r>
        <w:rPr>
          <w:rStyle w:val="21"/>
          <w:rFonts w:ascii="黑体" w:hAnsi="黑体" w:eastAsia="黑体" w:cs="楷体_GB2312"/>
          <w:b/>
          <w:bCs/>
          <w:color w:val="auto"/>
          <w:highlight w:val="none"/>
          <w:lang w:val="zh-CN"/>
        </w:rPr>
        <w:t xml:space="preserve">1. </w:t>
      </w:r>
      <w:r>
        <w:rPr>
          <w:rStyle w:val="21"/>
          <w:rFonts w:hint="eastAsia" w:ascii="黑体" w:hAnsi="黑体" w:eastAsia="黑体" w:cs="楷体_GB2312"/>
          <w:b/>
          <w:bCs/>
          <w:color w:val="auto"/>
          <w:highlight w:val="none"/>
          <w:lang w:val="zh-CN"/>
        </w:rPr>
        <w:t>总则</w:t>
      </w:r>
      <w:r>
        <w:rPr>
          <w:color w:val="auto"/>
          <w:highlight w:val="none"/>
        </w:rPr>
        <w:tab/>
      </w:r>
      <w:r>
        <w:rPr>
          <w:color w:val="auto"/>
          <w:highlight w:val="none"/>
        </w:rPr>
        <w:fldChar w:fldCharType="begin"/>
      </w:r>
      <w:r>
        <w:rPr>
          <w:color w:val="auto"/>
          <w:highlight w:val="none"/>
        </w:rPr>
        <w:instrText xml:space="preserve"> PAGEREF _Toc209083630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14:paraId="2F860F06">
      <w:pPr>
        <w:pStyle w:val="13"/>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"_Toc209083631" </w:instrText>
      </w:r>
      <w:r>
        <w:rPr>
          <w:color w:val="auto"/>
          <w:highlight w:val="none"/>
        </w:rPr>
        <w:fldChar w:fldCharType="separate"/>
      </w:r>
      <w:r>
        <w:rPr>
          <w:rStyle w:val="21"/>
          <w:rFonts w:ascii="黑体" w:hAnsi="黑体" w:eastAsia="黑体" w:cs="楷体_GB2312"/>
          <w:b/>
          <w:bCs/>
          <w:color w:val="auto"/>
          <w:highlight w:val="none"/>
          <w:lang w:val="zh-CN"/>
        </w:rPr>
        <w:t xml:space="preserve">2. </w:t>
      </w:r>
      <w:r>
        <w:rPr>
          <w:rStyle w:val="21"/>
          <w:rFonts w:hint="eastAsia" w:ascii="黑体" w:hAnsi="黑体" w:eastAsia="黑体" w:cs="楷体_GB2312"/>
          <w:b/>
          <w:bCs/>
          <w:color w:val="auto"/>
          <w:highlight w:val="none"/>
          <w:lang w:val="zh-CN"/>
        </w:rPr>
        <w:t>谈判文件</w:t>
      </w:r>
      <w:r>
        <w:rPr>
          <w:color w:val="auto"/>
          <w:highlight w:val="none"/>
        </w:rPr>
        <w:tab/>
      </w:r>
      <w:r>
        <w:rPr>
          <w:color w:val="auto"/>
          <w:highlight w:val="none"/>
        </w:rPr>
        <w:fldChar w:fldCharType="begin"/>
      </w:r>
      <w:r>
        <w:rPr>
          <w:color w:val="auto"/>
          <w:highlight w:val="none"/>
        </w:rPr>
        <w:instrText xml:space="preserve"> PAGEREF _Toc209083631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14:paraId="57410A99">
      <w:pPr>
        <w:pStyle w:val="13"/>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"_Toc209083632" </w:instrText>
      </w:r>
      <w:r>
        <w:rPr>
          <w:color w:val="auto"/>
          <w:highlight w:val="none"/>
        </w:rPr>
        <w:fldChar w:fldCharType="separate"/>
      </w:r>
      <w:r>
        <w:rPr>
          <w:rStyle w:val="21"/>
          <w:rFonts w:ascii="黑体" w:hAnsi="黑体" w:eastAsia="黑体" w:cs="楷体_GB2312"/>
          <w:b/>
          <w:bCs/>
          <w:color w:val="auto"/>
          <w:highlight w:val="none"/>
          <w:lang w:val="zh-CN"/>
        </w:rPr>
        <w:t xml:space="preserve">3. </w:t>
      </w:r>
      <w:r>
        <w:rPr>
          <w:rStyle w:val="21"/>
          <w:rFonts w:hint="eastAsia" w:ascii="黑体" w:hAnsi="黑体" w:eastAsia="黑体" w:cs="楷体_GB2312"/>
          <w:b/>
          <w:bCs/>
          <w:color w:val="auto"/>
          <w:highlight w:val="none"/>
          <w:lang w:val="zh-CN"/>
        </w:rPr>
        <w:t>投标文件（响应文件）</w:t>
      </w:r>
      <w:r>
        <w:rPr>
          <w:color w:val="auto"/>
          <w:highlight w:val="none"/>
        </w:rPr>
        <w:tab/>
      </w:r>
      <w:r>
        <w:rPr>
          <w:color w:val="auto"/>
          <w:highlight w:val="none"/>
        </w:rPr>
        <w:fldChar w:fldCharType="begin"/>
      </w:r>
      <w:r>
        <w:rPr>
          <w:color w:val="auto"/>
          <w:highlight w:val="none"/>
        </w:rPr>
        <w:instrText xml:space="preserve"> PAGEREF _Toc209083632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14:paraId="17A4C4F8">
      <w:pPr>
        <w:pStyle w:val="13"/>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"_Toc209083633" </w:instrText>
      </w:r>
      <w:r>
        <w:rPr>
          <w:color w:val="auto"/>
          <w:highlight w:val="none"/>
        </w:rPr>
        <w:fldChar w:fldCharType="separate"/>
      </w:r>
      <w:r>
        <w:rPr>
          <w:rStyle w:val="21"/>
          <w:rFonts w:ascii="黑体" w:hAnsi="黑体" w:eastAsia="黑体" w:cs="楷体_GB2312"/>
          <w:b/>
          <w:bCs/>
          <w:color w:val="auto"/>
          <w:highlight w:val="none"/>
          <w:lang w:val="zh-CN"/>
        </w:rPr>
        <w:t xml:space="preserve">4. </w:t>
      </w:r>
      <w:r>
        <w:rPr>
          <w:rStyle w:val="21"/>
          <w:rFonts w:hint="eastAsia" w:ascii="黑体" w:hAnsi="黑体" w:eastAsia="黑体" w:cs="楷体_GB2312"/>
          <w:b/>
          <w:bCs/>
          <w:color w:val="auto"/>
          <w:highlight w:val="none"/>
          <w:lang w:val="zh-CN"/>
        </w:rPr>
        <w:t>投标（响应文件的递交）</w:t>
      </w:r>
      <w:r>
        <w:rPr>
          <w:color w:val="auto"/>
          <w:highlight w:val="none"/>
        </w:rPr>
        <w:tab/>
      </w:r>
      <w:r>
        <w:rPr>
          <w:color w:val="auto"/>
          <w:highlight w:val="none"/>
        </w:rPr>
        <w:fldChar w:fldCharType="begin"/>
      </w:r>
      <w:r>
        <w:rPr>
          <w:color w:val="auto"/>
          <w:highlight w:val="none"/>
        </w:rPr>
        <w:instrText xml:space="preserve"> PAGEREF _Toc209083633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77397414">
      <w:pPr>
        <w:pStyle w:val="13"/>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"_Toc209083634" </w:instrText>
      </w:r>
      <w:r>
        <w:rPr>
          <w:color w:val="auto"/>
          <w:highlight w:val="none"/>
        </w:rPr>
        <w:fldChar w:fldCharType="separate"/>
      </w:r>
      <w:r>
        <w:rPr>
          <w:rStyle w:val="21"/>
          <w:rFonts w:ascii="黑体" w:hAnsi="黑体" w:eastAsia="黑体" w:cs="楷体_GB2312"/>
          <w:b/>
          <w:bCs/>
          <w:color w:val="auto"/>
          <w:highlight w:val="none"/>
          <w:lang w:val="zh-CN"/>
        </w:rPr>
        <w:t xml:space="preserve">5. </w:t>
      </w:r>
      <w:r>
        <w:rPr>
          <w:rStyle w:val="21"/>
          <w:rFonts w:hint="eastAsia" w:ascii="黑体" w:hAnsi="黑体" w:eastAsia="黑体" w:cs="楷体_GB2312"/>
          <w:b/>
          <w:bCs/>
          <w:color w:val="auto"/>
          <w:highlight w:val="none"/>
          <w:lang w:val="zh-CN"/>
        </w:rPr>
        <w:t>开标（响应文件的开启）</w:t>
      </w:r>
      <w:r>
        <w:rPr>
          <w:color w:val="auto"/>
          <w:highlight w:val="none"/>
        </w:rPr>
        <w:tab/>
      </w:r>
      <w:r>
        <w:rPr>
          <w:color w:val="auto"/>
          <w:highlight w:val="none"/>
        </w:rPr>
        <w:fldChar w:fldCharType="begin"/>
      </w:r>
      <w:r>
        <w:rPr>
          <w:color w:val="auto"/>
          <w:highlight w:val="none"/>
        </w:rPr>
        <w:instrText xml:space="preserve"> PAGEREF _Toc209083634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14:paraId="423CB4B1">
      <w:pPr>
        <w:pStyle w:val="13"/>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"_Toc209083635" </w:instrText>
      </w:r>
      <w:r>
        <w:rPr>
          <w:color w:val="auto"/>
          <w:highlight w:val="none"/>
        </w:rPr>
        <w:fldChar w:fldCharType="separate"/>
      </w:r>
      <w:r>
        <w:rPr>
          <w:rStyle w:val="21"/>
          <w:rFonts w:ascii="黑体" w:hAnsi="黑体" w:eastAsia="黑体" w:cs="楷体_GB2312"/>
          <w:b/>
          <w:bCs/>
          <w:color w:val="auto"/>
          <w:highlight w:val="none"/>
          <w:lang w:val="zh-CN"/>
        </w:rPr>
        <w:t xml:space="preserve">6. </w:t>
      </w:r>
      <w:r>
        <w:rPr>
          <w:rStyle w:val="21"/>
          <w:rFonts w:hint="eastAsia" w:ascii="黑体" w:hAnsi="黑体" w:eastAsia="黑体" w:cs="楷体_GB2312"/>
          <w:b/>
          <w:bCs/>
          <w:color w:val="auto"/>
          <w:highlight w:val="none"/>
          <w:lang w:val="zh-CN"/>
        </w:rPr>
        <w:t>评审</w:t>
      </w:r>
      <w:r>
        <w:rPr>
          <w:color w:val="auto"/>
          <w:highlight w:val="none"/>
        </w:rPr>
        <w:tab/>
      </w:r>
      <w:r>
        <w:rPr>
          <w:color w:val="auto"/>
          <w:highlight w:val="none"/>
        </w:rPr>
        <w:fldChar w:fldCharType="begin"/>
      </w:r>
      <w:r>
        <w:rPr>
          <w:color w:val="auto"/>
          <w:highlight w:val="none"/>
        </w:rPr>
        <w:instrText xml:space="preserve"> PAGEREF _Toc209083635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14:paraId="745A9C35">
      <w:pPr>
        <w:pStyle w:val="13"/>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"_Toc209083636" </w:instrText>
      </w:r>
      <w:r>
        <w:rPr>
          <w:color w:val="auto"/>
          <w:highlight w:val="none"/>
        </w:rPr>
        <w:fldChar w:fldCharType="separate"/>
      </w:r>
      <w:r>
        <w:rPr>
          <w:rStyle w:val="21"/>
          <w:rFonts w:ascii="黑体" w:hAnsi="黑体" w:eastAsia="黑体" w:cs="楷体_GB2312"/>
          <w:b/>
          <w:bCs/>
          <w:color w:val="auto"/>
          <w:highlight w:val="none"/>
          <w:lang w:val="zh-CN"/>
        </w:rPr>
        <w:t xml:space="preserve">7. </w:t>
      </w:r>
      <w:r>
        <w:rPr>
          <w:rStyle w:val="21"/>
          <w:rFonts w:hint="eastAsia" w:ascii="黑体" w:hAnsi="黑体" w:eastAsia="黑体" w:cs="楷体_GB2312"/>
          <w:b/>
          <w:bCs/>
          <w:color w:val="auto"/>
          <w:highlight w:val="none"/>
          <w:lang w:val="zh-CN"/>
        </w:rPr>
        <w:t>授予合同</w:t>
      </w:r>
      <w:r>
        <w:rPr>
          <w:color w:val="auto"/>
          <w:highlight w:val="none"/>
        </w:rPr>
        <w:tab/>
      </w:r>
      <w:r>
        <w:rPr>
          <w:color w:val="auto"/>
          <w:highlight w:val="none"/>
        </w:rPr>
        <w:fldChar w:fldCharType="begin"/>
      </w:r>
      <w:r>
        <w:rPr>
          <w:color w:val="auto"/>
          <w:highlight w:val="none"/>
        </w:rPr>
        <w:instrText xml:space="preserve"> PAGEREF _Toc209083636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14:paraId="6D4A07BB">
      <w:pPr>
        <w:pStyle w:val="13"/>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"_Toc209083637" </w:instrText>
      </w:r>
      <w:r>
        <w:rPr>
          <w:color w:val="auto"/>
          <w:highlight w:val="none"/>
        </w:rPr>
        <w:fldChar w:fldCharType="separate"/>
      </w:r>
      <w:r>
        <w:rPr>
          <w:rStyle w:val="21"/>
          <w:rFonts w:ascii="黑体" w:hAnsi="黑体" w:eastAsia="黑体" w:cs="楷体_GB2312"/>
          <w:b/>
          <w:bCs/>
          <w:color w:val="auto"/>
          <w:highlight w:val="none"/>
          <w:lang w:val="zh-CN"/>
        </w:rPr>
        <w:t xml:space="preserve">8. </w:t>
      </w:r>
      <w:r>
        <w:rPr>
          <w:rStyle w:val="21"/>
          <w:rFonts w:hint="eastAsia" w:ascii="黑体" w:hAnsi="黑体" w:eastAsia="黑体" w:cs="楷体_GB2312"/>
          <w:b/>
          <w:bCs/>
          <w:color w:val="auto"/>
          <w:highlight w:val="none"/>
          <w:lang w:val="zh-CN"/>
        </w:rPr>
        <w:t>验收</w:t>
      </w:r>
      <w:r>
        <w:rPr>
          <w:color w:val="auto"/>
          <w:highlight w:val="none"/>
        </w:rPr>
        <w:tab/>
      </w:r>
      <w:r>
        <w:rPr>
          <w:color w:val="auto"/>
          <w:highlight w:val="none"/>
        </w:rPr>
        <w:fldChar w:fldCharType="begin"/>
      </w:r>
      <w:r>
        <w:rPr>
          <w:color w:val="auto"/>
          <w:highlight w:val="none"/>
        </w:rPr>
        <w:instrText xml:space="preserve"> PAGEREF _Toc209083637 \h </w:instrText>
      </w:r>
      <w:r>
        <w:rPr>
          <w:color w:val="auto"/>
          <w:highlight w:val="none"/>
        </w:rPr>
        <w:fldChar w:fldCharType="separate"/>
      </w:r>
      <w:r>
        <w:rPr>
          <w:color w:val="auto"/>
          <w:highlight w:val="none"/>
        </w:rPr>
        <w:t>32</w:t>
      </w:r>
      <w:r>
        <w:rPr>
          <w:color w:val="auto"/>
          <w:highlight w:val="none"/>
        </w:rPr>
        <w:fldChar w:fldCharType="end"/>
      </w:r>
      <w:r>
        <w:rPr>
          <w:color w:val="auto"/>
          <w:highlight w:val="none"/>
        </w:rPr>
        <w:fldChar w:fldCharType="end"/>
      </w:r>
    </w:p>
    <w:p w14:paraId="5E1F8D47">
      <w:pPr>
        <w:pStyle w:val="13"/>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"_Toc209083638" </w:instrText>
      </w:r>
      <w:r>
        <w:rPr>
          <w:color w:val="auto"/>
          <w:highlight w:val="none"/>
        </w:rPr>
        <w:fldChar w:fldCharType="separate"/>
      </w:r>
      <w:r>
        <w:rPr>
          <w:rStyle w:val="21"/>
          <w:rFonts w:ascii="黑体" w:hAnsi="黑体" w:eastAsia="黑体" w:cs="楷体_GB2312"/>
          <w:b/>
          <w:bCs/>
          <w:color w:val="auto"/>
          <w:highlight w:val="none"/>
          <w:lang w:val="zh-CN"/>
        </w:rPr>
        <w:t>9.</w:t>
      </w:r>
      <w:r>
        <w:rPr>
          <w:rStyle w:val="21"/>
          <w:rFonts w:hint="eastAsia" w:ascii="黑体" w:hAnsi="黑体" w:eastAsia="黑体" w:cs="楷体_GB2312"/>
          <w:b/>
          <w:bCs/>
          <w:color w:val="auto"/>
          <w:highlight w:val="none"/>
          <w:lang w:val="zh-CN"/>
        </w:rPr>
        <w:t>付款</w:t>
      </w:r>
      <w:r>
        <w:rPr>
          <w:color w:val="auto"/>
          <w:highlight w:val="none"/>
        </w:rPr>
        <w:tab/>
      </w:r>
      <w:r>
        <w:rPr>
          <w:color w:val="auto"/>
          <w:highlight w:val="none"/>
        </w:rPr>
        <w:fldChar w:fldCharType="begin"/>
      </w:r>
      <w:r>
        <w:rPr>
          <w:color w:val="auto"/>
          <w:highlight w:val="none"/>
        </w:rPr>
        <w:instrText xml:space="preserve"> PAGEREF _Toc209083638 \h </w:instrText>
      </w:r>
      <w:r>
        <w:rPr>
          <w:color w:val="auto"/>
          <w:highlight w:val="none"/>
        </w:rPr>
        <w:fldChar w:fldCharType="separate"/>
      </w:r>
      <w:r>
        <w:rPr>
          <w:color w:val="auto"/>
          <w:highlight w:val="none"/>
        </w:rPr>
        <w:t>33</w:t>
      </w:r>
      <w:r>
        <w:rPr>
          <w:color w:val="auto"/>
          <w:highlight w:val="none"/>
        </w:rPr>
        <w:fldChar w:fldCharType="end"/>
      </w:r>
      <w:r>
        <w:rPr>
          <w:color w:val="auto"/>
          <w:highlight w:val="none"/>
        </w:rPr>
        <w:fldChar w:fldCharType="end"/>
      </w:r>
    </w:p>
    <w:p w14:paraId="6E0A8CBC">
      <w:pPr>
        <w:pStyle w:val="13"/>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"_Toc209083639" </w:instrText>
      </w:r>
      <w:r>
        <w:rPr>
          <w:color w:val="auto"/>
          <w:highlight w:val="none"/>
        </w:rPr>
        <w:fldChar w:fldCharType="separate"/>
      </w:r>
      <w:r>
        <w:rPr>
          <w:rStyle w:val="21"/>
          <w:rFonts w:ascii="黑体" w:hAnsi="黑体" w:eastAsia="黑体" w:cs="楷体_GB2312"/>
          <w:b/>
          <w:bCs/>
          <w:color w:val="auto"/>
          <w:highlight w:val="none"/>
          <w:lang w:val="zh-CN"/>
        </w:rPr>
        <w:t xml:space="preserve">10. </w:t>
      </w:r>
      <w:r>
        <w:rPr>
          <w:rStyle w:val="21"/>
          <w:rFonts w:hint="eastAsia" w:ascii="黑体" w:hAnsi="黑体" w:eastAsia="黑体" w:cs="楷体_GB2312"/>
          <w:b/>
          <w:bCs/>
          <w:color w:val="auto"/>
          <w:highlight w:val="none"/>
          <w:lang w:val="zh-CN"/>
        </w:rPr>
        <w:t>其他</w:t>
      </w:r>
      <w:r>
        <w:rPr>
          <w:color w:val="auto"/>
          <w:highlight w:val="none"/>
        </w:rPr>
        <w:tab/>
      </w:r>
      <w:r>
        <w:rPr>
          <w:color w:val="auto"/>
          <w:highlight w:val="none"/>
        </w:rPr>
        <w:fldChar w:fldCharType="begin"/>
      </w:r>
      <w:r>
        <w:rPr>
          <w:color w:val="auto"/>
          <w:highlight w:val="none"/>
        </w:rPr>
        <w:instrText xml:space="preserve"> PAGEREF _Toc209083639 \h </w:instrText>
      </w:r>
      <w:r>
        <w:rPr>
          <w:color w:val="auto"/>
          <w:highlight w:val="none"/>
        </w:rPr>
        <w:fldChar w:fldCharType="separate"/>
      </w:r>
      <w:r>
        <w:rPr>
          <w:color w:val="auto"/>
          <w:highlight w:val="none"/>
        </w:rPr>
        <w:t>33</w:t>
      </w:r>
      <w:r>
        <w:rPr>
          <w:color w:val="auto"/>
          <w:highlight w:val="none"/>
        </w:rPr>
        <w:fldChar w:fldCharType="end"/>
      </w:r>
      <w:r>
        <w:rPr>
          <w:color w:val="auto"/>
          <w:highlight w:val="none"/>
        </w:rPr>
        <w:fldChar w:fldCharType="end"/>
      </w:r>
    </w:p>
    <w:p w14:paraId="6B9654E4">
      <w:pPr>
        <w:pStyle w:val="13"/>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"_Toc209083640" </w:instrText>
      </w:r>
      <w:r>
        <w:rPr>
          <w:color w:val="auto"/>
          <w:highlight w:val="none"/>
        </w:rPr>
        <w:fldChar w:fldCharType="separate"/>
      </w:r>
      <w:r>
        <w:rPr>
          <w:rStyle w:val="21"/>
          <w:rFonts w:ascii="黑体" w:hAnsi="黑体" w:eastAsia="黑体" w:cs="楷体_GB2312"/>
          <w:b/>
          <w:bCs/>
          <w:color w:val="auto"/>
          <w:highlight w:val="none"/>
          <w:lang w:val="zh-CN"/>
        </w:rPr>
        <w:t xml:space="preserve">11. </w:t>
      </w:r>
      <w:r>
        <w:rPr>
          <w:rStyle w:val="21"/>
          <w:rFonts w:hint="eastAsia" w:ascii="黑体" w:hAnsi="黑体" w:eastAsia="黑体" w:cs="楷体_GB2312"/>
          <w:b/>
          <w:bCs/>
          <w:color w:val="auto"/>
          <w:highlight w:val="none"/>
          <w:lang w:val="zh-CN"/>
        </w:rPr>
        <w:t>河南省政府采购合同融资政策告知函</w:t>
      </w:r>
      <w:r>
        <w:rPr>
          <w:color w:val="auto"/>
          <w:highlight w:val="none"/>
        </w:rPr>
        <w:tab/>
      </w:r>
      <w:r>
        <w:rPr>
          <w:color w:val="auto"/>
          <w:highlight w:val="none"/>
        </w:rPr>
        <w:fldChar w:fldCharType="begin"/>
      </w:r>
      <w:r>
        <w:rPr>
          <w:color w:val="auto"/>
          <w:highlight w:val="none"/>
        </w:rPr>
        <w:instrText xml:space="preserve"> PAGEREF _Toc209083640 \h </w:instrText>
      </w:r>
      <w:r>
        <w:rPr>
          <w:color w:val="auto"/>
          <w:highlight w:val="none"/>
        </w:rPr>
        <w:fldChar w:fldCharType="separate"/>
      </w:r>
      <w:r>
        <w:rPr>
          <w:color w:val="auto"/>
          <w:highlight w:val="none"/>
        </w:rPr>
        <w:t>34</w:t>
      </w:r>
      <w:r>
        <w:rPr>
          <w:color w:val="auto"/>
          <w:highlight w:val="none"/>
        </w:rPr>
        <w:fldChar w:fldCharType="end"/>
      </w:r>
      <w:r>
        <w:rPr>
          <w:color w:val="auto"/>
          <w:highlight w:val="none"/>
        </w:rPr>
        <w:fldChar w:fldCharType="end"/>
      </w:r>
    </w:p>
    <w:p w14:paraId="5718C985">
      <w:pPr>
        <w:pStyle w:val="12"/>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"_Toc209083641" </w:instrText>
      </w:r>
      <w:r>
        <w:rPr>
          <w:color w:val="auto"/>
          <w:highlight w:val="none"/>
        </w:rPr>
        <w:fldChar w:fldCharType="separate"/>
      </w:r>
      <w:r>
        <w:rPr>
          <w:rStyle w:val="21"/>
          <w:rFonts w:hint="eastAsia" w:ascii="黑体" w:hAnsi="黑体" w:eastAsia="黑体"/>
          <w:b/>
          <w:color w:val="auto"/>
          <w:highlight w:val="none"/>
          <w:lang w:val="zh-CN"/>
        </w:rPr>
        <w:t>第四章评审办法</w:t>
      </w:r>
      <w:r>
        <w:rPr>
          <w:color w:val="auto"/>
          <w:highlight w:val="none"/>
        </w:rPr>
        <w:tab/>
      </w:r>
      <w:r>
        <w:rPr>
          <w:color w:val="auto"/>
          <w:highlight w:val="none"/>
        </w:rPr>
        <w:fldChar w:fldCharType="begin"/>
      </w:r>
      <w:r>
        <w:rPr>
          <w:color w:val="auto"/>
          <w:highlight w:val="none"/>
        </w:rPr>
        <w:instrText xml:space="preserve"> PAGEREF _Toc209083641 \h </w:instrText>
      </w:r>
      <w:r>
        <w:rPr>
          <w:color w:val="auto"/>
          <w:highlight w:val="none"/>
        </w:rPr>
        <w:fldChar w:fldCharType="separate"/>
      </w:r>
      <w:r>
        <w:rPr>
          <w:color w:val="auto"/>
          <w:highlight w:val="none"/>
        </w:rPr>
        <w:t>35</w:t>
      </w:r>
      <w:r>
        <w:rPr>
          <w:color w:val="auto"/>
          <w:highlight w:val="none"/>
        </w:rPr>
        <w:fldChar w:fldCharType="end"/>
      </w:r>
      <w:r>
        <w:rPr>
          <w:color w:val="auto"/>
          <w:highlight w:val="none"/>
        </w:rPr>
        <w:fldChar w:fldCharType="end"/>
      </w:r>
    </w:p>
    <w:p w14:paraId="38956A92">
      <w:pPr>
        <w:pStyle w:val="13"/>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"_Toc209083642" </w:instrText>
      </w:r>
      <w:r>
        <w:rPr>
          <w:color w:val="auto"/>
          <w:highlight w:val="none"/>
        </w:rPr>
        <w:fldChar w:fldCharType="separate"/>
      </w:r>
      <w:r>
        <w:rPr>
          <w:rStyle w:val="21"/>
          <w:rFonts w:hint="eastAsia" w:ascii="黑体" w:hAnsi="黑体" w:eastAsia="黑体"/>
          <w:b/>
          <w:color w:val="auto"/>
          <w:highlight w:val="none"/>
        </w:rPr>
        <w:t>评审办法前附表</w:t>
      </w:r>
      <w:r>
        <w:rPr>
          <w:color w:val="auto"/>
          <w:highlight w:val="none"/>
        </w:rPr>
        <w:tab/>
      </w:r>
      <w:r>
        <w:rPr>
          <w:color w:val="auto"/>
          <w:highlight w:val="none"/>
        </w:rPr>
        <w:fldChar w:fldCharType="begin"/>
      </w:r>
      <w:r>
        <w:rPr>
          <w:color w:val="auto"/>
          <w:highlight w:val="none"/>
        </w:rPr>
        <w:instrText xml:space="preserve"> PAGEREF _Toc209083642 \h </w:instrText>
      </w:r>
      <w:r>
        <w:rPr>
          <w:color w:val="auto"/>
          <w:highlight w:val="none"/>
        </w:rPr>
        <w:fldChar w:fldCharType="separate"/>
      </w:r>
      <w:r>
        <w:rPr>
          <w:color w:val="auto"/>
          <w:highlight w:val="none"/>
        </w:rPr>
        <w:t>35</w:t>
      </w:r>
      <w:r>
        <w:rPr>
          <w:color w:val="auto"/>
          <w:highlight w:val="none"/>
        </w:rPr>
        <w:fldChar w:fldCharType="end"/>
      </w:r>
      <w:r>
        <w:rPr>
          <w:color w:val="auto"/>
          <w:highlight w:val="none"/>
        </w:rPr>
        <w:fldChar w:fldCharType="end"/>
      </w:r>
    </w:p>
    <w:p w14:paraId="1F02BB1C">
      <w:pPr>
        <w:pStyle w:val="13"/>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"_Toc209083643" </w:instrText>
      </w:r>
      <w:r>
        <w:rPr>
          <w:color w:val="auto"/>
          <w:highlight w:val="none"/>
        </w:rPr>
        <w:fldChar w:fldCharType="separate"/>
      </w:r>
      <w:r>
        <w:rPr>
          <w:rStyle w:val="21"/>
          <w:rFonts w:ascii="黑体" w:hAnsi="黑体" w:eastAsia="黑体" w:cs="楷体_GB2312"/>
          <w:b/>
          <w:bCs/>
          <w:color w:val="auto"/>
          <w:highlight w:val="none"/>
          <w:lang w:val="zh-CN"/>
        </w:rPr>
        <w:t xml:space="preserve">1. </w:t>
      </w:r>
      <w:r>
        <w:rPr>
          <w:rStyle w:val="21"/>
          <w:rFonts w:hint="eastAsia" w:ascii="黑体" w:hAnsi="黑体" w:eastAsia="黑体" w:cs="楷体_GB2312"/>
          <w:b/>
          <w:bCs/>
          <w:color w:val="auto"/>
          <w:highlight w:val="none"/>
          <w:lang w:val="zh-CN"/>
        </w:rPr>
        <w:t>评审方法（评定成交的标准）</w:t>
      </w:r>
      <w:r>
        <w:rPr>
          <w:color w:val="auto"/>
          <w:highlight w:val="none"/>
        </w:rPr>
        <w:tab/>
      </w:r>
      <w:r>
        <w:rPr>
          <w:color w:val="auto"/>
          <w:highlight w:val="none"/>
        </w:rPr>
        <w:fldChar w:fldCharType="begin"/>
      </w:r>
      <w:r>
        <w:rPr>
          <w:color w:val="auto"/>
          <w:highlight w:val="none"/>
        </w:rPr>
        <w:instrText xml:space="preserve"> PAGEREF _Toc209083643 \h </w:instrText>
      </w:r>
      <w:r>
        <w:rPr>
          <w:color w:val="auto"/>
          <w:highlight w:val="none"/>
        </w:rPr>
        <w:fldChar w:fldCharType="separate"/>
      </w:r>
      <w:r>
        <w:rPr>
          <w:color w:val="auto"/>
          <w:highlight w:val="none"/>
        </w:rPr>
        <w:t>37</w:t>
      </w:r>
      <w:r>
        <w:rPr>
          <w:color w:val="auto"/>
          <w:highlight w:val="none"/>
        </w:rPr>
        <w:fldChar w:fldCharType="end"/>
      </w:r>
      <w:r>
        <w:rPr>
          <w:color w:val="auto"/>
          <w:highlight w:val="none"/>
        </w:rPr>
        <w:fldChar w:fldCharType="end"/>
      </w:r>
    </w:p>
    <w:p w14:paraId="7D7512B1">
      <w:pPr>
        <w:pStyle w:val="13"/>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"_Toc209083644" </w:instrText>
      </w:r>
      <w:r>
        <w:rPr>
          <w:color w:val="auto"/>
          <w:highlight w:val="none"/>
        </w:rPr>
        <w:fldChar w:fldCharType="separate"/>
      </w:r>
      <w:r>
        <w:rPr>
          <w:rStyle w:val="21"/>
          <w:rFonts w:ascii="黑体" w:hAnsi="黑体" w:eastAsia="黑体" w:cs="楷体_GB2312"/>
          <w:b/>
          <w:bCs/>
          <w:color w:val="auto"/>
          <w:highlight w:val="none"/>
          <w:lang w:val="zh-CN"/>
        </w:rPr>
        <w:t xml:space="preserve">2. </w:t>
      </w:r>
      <w:r>
        <w:rPr>
          <w:rStyle w:val="21"/>
          <w:rFonts w:hint="eastAsia" w:ascii="黑体" w:hAnsi="黑体" w:eastAsia="黑体" w:cs="楷体_GB2312"/>
          <w:b/>
          <w:bCs/>
          <w:color w:val="auto"/>
          <w:highlight w:val="none"/>
          <w:lang w:val="zh-CN"/>
        </w:rPr>
        <w:t>评审标准</w:t>
      </w:r>
      <w:r>
        <w:rPr>
          <w:color w:val="auto"/>
          <w:highlight w:val="none"/>
        </w:rPr>
        <w:tab/>
      </w:r>
      <w:r>
        <w:rPr>
          <w:color w:val="auto"/>
          <w:highlight w:val="none"/>
        </w:rPr>
        <w:fldChar w:fldCharType="begin"/>
      </w:r>
      <w:r>
        <w:rPr>
          <w:color w:val="auto"/>
          <w:highlight w:val="none"/>
        </w:rPr>
        <w:instrText xml:space="preserve"> PAGEREF _Toc209083644 \h </w:instrText>
      </w:r>
      <w:r>
        <w:rPr>
          <w:color w:val="auto"/>
          <w:highlight w:val="none"/>
        </w:rPr>
        <w:fldChar w:fldCharType="separate"/>
      </w:r>
      <w:r>
        <w:rPr>
          <w:color w:val="auto"/>
          <w:highlight w:val="none"/>
        </w:rPr>
        <w:t>37</w:t>
      </w:r>
      <w:r>
        <w:rPr>
          <w:color w:val="auto"/>
          <w:highlight w:val="none"/>
        </w:rPr>
        <w:fldChar w:fldCharType="end"/>
      </w:r>
      <w:r>
        <w:rPr>
          <w:color w:val="auto"/>
          <w:highlight w:val="none"/>
        </w:rPr>
        <w:fldChar w:fldCharType="end"/>
      </w:r>
    </w:p>
    <w:p w14:paraId="2B44A9C3">
      <w:pPr>
        <w:pStyle w:val="13"/>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"_Toc209083645" </w:instrText>
      </w:r>
      <w:r>
        <w:rPr>
          <w:color w:val="auto"/>
          <w:highlight w:val="none"/>
        </w:rPr>
        <w:fldChar w:fldCharType="separate"/>
      </w:r>
      <w:r>
        <w:rPr>
          <w:rStyle w:val="21"/>
          <w:rFonts w:ascii="黑体" w:hAnsi="黑体" w:eastAsia="黑体" w:cs="楷体_GB2312"/>
          <w:b/>
          <w:bCs/>
          <w:color w:val="auto"/>
          <w:highlight w:val="none"/>
          <w:lang w:val="zh-CN"/>
        </w:rPr>
        <w:t xml:space="preserve">3. </w:t>
      </w:r>
      <w:r>
        <w:rPr>
          <w:rStyle w:val="21"/>
          <w:rFonts w:hint="eastAsia" w:ascii="黑体" w:hAnsi="黑体" w:eastAsia="黑体" w:cs="楷体_GB2312"/>
          <w:b/>
          <w:bCs/>
          <w:color w:val="auto"/>
          <w:highlight w:val="none"/>
          <w:lang w:val="zh-CN"/>
        </w:rPr>
        <w:t>评审程序</w:t>
      </w:r>
      <w:r>
        <w:rPr>
          <w:color w:val="auto"/>
          <w:highlight w:val="none"/>
        </w:rPr>
        <w:tab/>
      </w:r>
      <w:r>
        <w:rPr>
          <w:color w:val="auto"/>
          <w:highlight w:val="none"/>
        </w:rPr>
        <w:fldChar w:fldCharType="begin"/>
      </w:r>
      <w:r>
        <w:rPr>
          <w:color w:val="auto"/>
          <w:highlight w:val="none"/>
        </w:rPr>
        <w:instrText xml:space="preserve"> PAGEREF _Toc209083645 \h </w:instrText>
      </w:r>
      <w:r>
        <w:rPr>
          <w:color w:val="auto"/>
          <w:highlight w:val="none"/>
        </w:rPr>
        <w:fldChar w:fldCharType="separate"/>
      </w:r>
      <w:r>
        <w:rPr>
          <w:color w:val="auto"/>
          <w:highlight w:val="none"/>
        </w:rPr>
        <w:t>37</w:t>
      </w:r>
      <w:r>
        <w:rPr>
          <w:color w:val="auto"/>
          <w:highlight w:val="none"/>
        </w:rPr>
        <w:fldChar w:fldCharType="end"/>
      </w:r>
      <w:r>
        <w:rPr>
          <w:color w:val="auto"/>
          <w:highlight w:val="none"/>
        </w:rPr>
        <w:fldChar w:fldCharType="end"/>
      </w:r>
    </w:p>
    <w:p w14:paraId="13A959DE">
      <w:pPr>
        <w:pStyle w:val="13"/>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"_Toc209083646" </w:instrText>
      </w:r>
      <w:r>
        <w:rPr>
          <w:color w:val="auto"/>
          <w:highlight w:val="none"/>
        </w:rPr>
        <w:fldChar w:fldCharType="separate"/>
      </w:r>
      <w:r>
        <w:rPr>
          <w:rStyle w:val="21"/>
          <w:rFonts w:ascii="黑体" w:hAnsi="黑体" w:eastAsia="黑体" w:cs="楷体_GB2312"/>
          <w:b/>
          <w:bCs/>
          <w:color w:val="auto"/>
          <w:highlight w:val="none"/>
          <w:lang w:val="zh-CN"/>
        </w:rPr>
        <w:t xml:space="preserve">4. </w:t>
      </w:r>
      <w:r>
        <w:rPr>
          <w:rStyle w:val="21"/>
          <w:rFonts w:hint="eastAsia" w:ascii="黑体" w:hAnsi="黑体" w:eastAsia="黑体" w:cs="楷体_GB2312"/>
          <w:b/>
          <w:bCs/>
          <w:color w:val="auto"/>
          <w:highlight w:val="none"/>
          <w:lang w:val="zh-CN"/>
        </w:rPr>
        <w:t>政府采购促进中小企业发展扶持政策</w:t>
      </w:r>
      <w:r>
        <w:rPr>
          <w:color w:val="auto"/>
          <w:highlight w:val="none"/>
        </w:rPr>
        <w:tab/>
      </w:r>
      <w:r>
        <w:rPr>
          <w:color w:val="auto"/>
          <w:highlight w:val="none"/>
        </w:rPr>
        <w:fldChar w:fldCharType="begin"/>
      </w:r>
      <w:r>
        <w:rPr>
          <w:color w:val="auto"/>
          <w:highlight w:val="none"/>
        </w:rPr>
        <w:instrText xml:space="preserve"> PAGEREF _Toc209083646 \h </w:instrText>
      </w:r>
      <w:r>
        <w:rPr>
          <w:color w:val="auto"/>
          <w:highlight w:val="none"/>
        </w:rPr>
        <w:fldChar w:fldCharType="separate"/>
      </w:r>
      <w:r>
        <w:rPr>
          <w:color w:val="auto"/>
          <w:highlight w:val="none"/>
        </w:rPr>
        <w:t>42</w:t>
      </w:r>
      <w:r>
        <w:rPr>
          <w:color w:val="auto"/>
          <w:highlight w:val="none"/>
        </w:rPr>
        <w:fldChar w:fldCharType="end"/>
      </w:r>
      <w:r>
        <w:rPr>
          <w:color w:val="auto"/>
          <w:highlight w:val="none"/>
        </w:rPr>
        <w:fldChar w:fldCharType="end"/>
      </w:r>
    </w:p>
    <w:p w14:paraId="7AE907E3">
      <w:pPr>
        <w:pStyle w:val="12"/>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"_Toc209083647" </w:instrText>
      </w:r>
      <w:r>
        <w:rPr>
          <w:color w:val="auto"/>
          <w:highlight w:val="none"/>
        </w:rPr>
        <w:fldChar w:fldCharType="separate"/>
      </w:r>
      <w:r>
        <w:rPr>
          <w:rStyle w:val="21"/>
          <w:rFonts w:hint="eastAsia" w:ascii="黑体" w:eastAsia="黑体"/>
          <w:b/>
          <w:color w:val="auto"/>
          <w:highlight w:val="none"/>
        </w:rPr>
        <w:t>第五章合同主要条款</w:t>
      </w:r>
      <w:r>
        <w:rPr>
          <w:color w:val="auto"/>
          <w:highlight w:val="none"/>
        </w:rPr>
        <w:tab/>
      </w:r>
      <w:r>
        <w:rPr>
          <w:color w:val="auto"/>
          <w:highlight w:val="none"/>
        </w:rPr>
        <w:fldChar w:fldCharType="begin"/>
      </w:r>
      <w:r>
        <w:rPr>
          <w:color w:val="auto"/>
          <w:highlight w:val="none"/>
        </w:rPr>
        <w:instrText xml:space="preserve"> PAGEREF _Toc209083647 \h </w:instrText>
      </w:r>
      <w:r>
        <w:rPr>
          <w:color w:val="auto"/>
          <w:highlight w:val="none"/>
        </w:rPr>
        <w:fldChar w:fldCharType="separate"/>
      </w:r>
      <w:r>
        <w:rPr>
          <w:color w:val="auto"/>
          <w:highlight w:val="none"/>
        </w:rPr>
        <w:t>44</w:t>
      </w:r>
      <w:r>
        <w:rPr>
          <w:color w:val="auto"/>
          <w:highlight w:val="none"/>
        </w:rPr>
        <w:fldChar w:fldCharType="end"/>
      </w:r>
      <w:r>
        <w:rPr>
          <w:color w:val="auto"/>
          <w:highlight w:val="none"/>
        </w:rPr>
        <w:fldChar w:fldCharType="end"/>
      </w:r>
    </w:p>
    <w:p w14:paraId="0D1919C3">
      <w:pPr>
        <w:pStyle w:val="12"/>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"_Toc209083652" </w:instrText>
      </w:r>
      <w:r>
        <w:rPr>
          <w:color w:val="auto"/>
          <w:highlight w:val="none"/>
        </w:rPr>
        <w:fldChar w:fldCharType="separate"/>
      </w:r>
      <w:r>
        <w:rPr>
          <w:rStyle w:val="21"/>
          <w:rFonts w:hint="eastAsia" w:ascii="黑体" w:hAnsi="黑体" w:eastAsia="黑体"/>
          <w:b/>
          <w:color w:val="auto"/>
          <w:highlight w:val="none"/>
          <w:lang w:val="zh-CN"/>
        </w:rPr>
        <w:t>第六章投标文件格式</w:t>
      </w:r>
      <w:r>
        <w:rPr>
          <w:color w:val="auto"/>
          <w:highlight w:val="none"/>
        </w:rPr>
        <w:tab/>
      </w:r>
      <w:r>
        <w:rPr>
          <w:color w:val="auto"/>
          <w:highlight w:val="none"/>
        </w:rPr>
        <w:fldChar w:fldCharType="begin"/>
      </w:r>
      <w:r>
        <w:rPr>
          <w:color w:val="auto"/>
          <w:highlight w:val="none"/>
        </w:rPr>
        <w:instrText xml:space="preserve"> PAGEREF _Toc209083652 \h </w:instrText>
      </w:r>
      <w:r>
        <w:rPr>
          <w:color w:val="auto"/>
          <w:highlight w:val="none"/>
        </w:rPr>
        <w:fldChar w:fldCharType="separate"/>
      </w:r>
      <w:r>
        <w:rPr>
          <w:color w:val="auto"/>
          <w:highlight w:val="none"/>
        </w:rPr>
        <w:t>- 60 -</w:t>
      </w:r>
      <w:r>
        <w:rPr>
          <w:color w:val="auto"/>
          <w:highlight w:val="none"/>
        </w:rPr>
        <w:fldChar w:fldCharType="end"/>
      </w:r>
      <w:r>
        <w:rPr>
          <w:color w:val="auto"/>
          <w:highlight w:val="none"/>
        </w:rPr>
        <w:fldChar w:fldCharType="end"/>
      </w:r>
    </w:p>
    <w:p w14:paraId="7EB8645C">
      <w:pPr>
        <w:rPr>
          <w:color w:val="auto"/>
          <w:highlight w:val="none"/>
        </w:rPr>
      </w:pPr>
      <w:r>
        <w:rPr>
          <w:color w:val="auto"/>
          <w:highlight w:val="none"/>
        </w:rPr>
        <w:fldChar w:fldCharType="end"/>
      </w:r>
    </w:p>
    <w:p w14:paraId="1848D050">
      <w:pPr>
        <w:widowControl w:val="0"/>
        <w:snapToGrid w:val="0"/>
        <w:spacing w:line="660" w:lineRule="exact"/>
        <w:ind w:firstLine="607" w:firstLineChars="168"/>
        <w:rPr>
          <w:rFonts w:ascii="黑体" w:hAnsi="黑体" w:eastAsia="黑体"/>
          <w:b/>
          <w:color w:val="auto"/>
          <w:sz w:val="36"/>
          <w:szCs w:val="36"/>
          <w:highlight w:val="none"/>
        </w:rPr>
      </w:pPr>
    </w:p>
    <w:p w14:paraId="01CC0F07">
      <w:pPr>
        <w:widowControl w:val="0"/>
        <w:snapToGrid w:val="0"/>
        <w:spacing w:line="560" w:lineRule="exact"/>
        <w:ind w:firstLine="181" w:firstLineChars="50"/>
        <w:rPr>
          <w:rFonts w:ascii="黑体" w:eastAsia="黑体"/>
          <w:b/>
          <w:color w:val="auto"/>
          <w:sz w:val="36"/>
          <w:szCs w:val="36"/>
          <w:highlight w:val="none"/>
        </w:rPr>
        <w:sectPr>
          <w:pgSz w:w="11905" w:h="16837"/>
          <w:pgMar w:top="1418" w:right="1106" w:bottom="1418" w:left="1418" w:header="567" w:footer="567" w:gutter="0"/>
          <w:pgNumType w:fmt="numberInDash" w:start="0"/>
          <w:cols w:space="720" w:num="1"/>
          <w:titlePg/>
        </w:sectPr>
      </w:pPr>
    </w:p>
    <w:p w14:paraId="1F8765CB">
      <w:pPr>
        <w:widowControl w:val="0"/>
        <w:snapToGrid w:val="0"/>
        <w:spacing w:line="560" w:lineRule="exact"/>
        <w:jc w:val="left"/>
        <w:rPr>
          <w:rFonts w:ascii="宋体"/>
          <w:b/>
          <w:color w:val="auto"/>
          <w:sz w:val="24"/>
          <w:szCs w:val="24"/>
          <w:highlight w:val="none"/>
        </w:rPr>
      </w:pPr>
    </w:p>
    <w:p w14:paraId="6C890584">
      <w:pPr>
        <w:widowControl w:val="0"/>
        <w:snapToGrid w:val="0"/>
        <w:spacing w:line="560" w:lineRule="exact"/>
        <w:jc w:val="center"/>
        <w:outlineLvl w:val="0"/>
        <w:rPr>
          <w:color w:val="auto"/>
          <w:sz w:val="36"/>
          <w:szCs w:val="36"/>
          <w:highlight w:val="none"/>
        </w:rPr>
      </w:pPr>
      <w:bookmarkStart w:id="0" w:name="_Toc209083622"/>
      <w:r>
        <w:rPr>
          <w:rFonts w:hint="eastAsia" w:eastAsia="黑体"/>
          <w:b/>
          <w:color w:val="auto"/>
          <w:sz w:val="36"/>
          <w:szCs w:val="36"/>
          <w:highlight w:val="none"/>
        </w:rPr>
        <w:t>第一章谈判公告</w:t>
      </w:r>
      <w:bookmarkEnd w:id="0"/>
    </w:p>
    <w:p w14:paraId="7CAC39A7">
      <w:pPr>
        <w:widowControl w:val="0"/>
        <w:adjustRightInd w:val="0"/>
        <w:snapToGrid w:val="0"/>
        <w:spacing w:line="360" w:lineRule="auto"/>
        <w:ind w:firstLine="632" w:firstLineChars="225"/>
        <w:jc w:val="left"/>
        <w:rPr>
          <w:rFonts w:ascii="黑体" w:hAnsi="黑体" w:eastAsia="黑体"/>
          <w:b/>
          <w:color w:val="auto"/>
          <w:sz w:val="28"/>
          <w:szCs w:val="28"/>
          <w:highlight w:val="none"/>
        </w:rPr>
      </w:pPr>
    </w:p>
    <w:p w14:paraId="0D464C48">
      <w:pPr>
        <w:widowControl w:val="0"/>
        <w:adjustRightInd w:val="0"/>
        <w:snapToGrid w:val="0"/>
        <w:spacing w:line="360" w:lineRule="auto"/>
        <w:ind w:firstLine="632" w:firstLineChars="225"/>
        <w:jc w:val="left"/>
        <w:rPr>
          <w:rFonts w:ascii="黑体" w:hAnsi="黑体" w:eastAsia="黑体"/>
          <w:b/>
          <w:color w:val="auto"/>
          <w:sz w:val="28"/>
          <w:szCs w:val="28"/>
          <w:highlight w:val="none"/>
        </w:rPr>
      </w:pPr>
      <w:r>
        <w:rPr>
          <w:rFonts w:hint="eastAsia" w:ascii="黑体" w:hAnsi="黑体" w:eastAsia="黑体"/>
          <w:b/>
          <w:color w:val="auto"/>
          <w:sz w:val="28"/>
          <w:szCs w:val="28"/>
          <w:highlight w:val="none"/>
        </w:rPr>
        <w:t>1.项目基本情况</w:t>
      </w:r>
    </w:p>
    <w:p w14:paraId="13DAC9D2">
      <w:pPr>
        <w:widowControl w:val="0"/>
        <w:adjustRightInd w:val="0"/>
        <w:snapToGrid w:val="0"/>
        <w:spacing w:line="360" w:lineRule="auto"/>
        <w:ind w:firstLine="540" w:firstLineChars="225"/>
        <w:jc w:val="left"/>
        <w:rPr>
          <w:rFonts w:ascii="宋体" w:hAnsi="宋体"/>
          <w:color w:val="auto"/>
          <w:sz w:val="24"/>
          <w:szCs w:val="24"/>
          <w:highlight w:val="none"/>
        </w:rPr>
      </w:pPr>
      <w:r>
        <w:rPr>
          <w:rFonts w:ascii="宋体" w:hAnsi="宋体"/>
          <w:color w:val="auto"/>
          <w:sz w:val="24"/>
          <w:szCs w:val="24"/>
          <w:highlight w:val="none"/>
        </w:rPr>
        <w:t>1.1</w:t>
      </w:r>
      <w:r>
        <w:rPr>
          <w:rFonts w:hint="eastAsia" w:ascii="宋体" w:hAnsi="宋体"/>
          <w:color w:val="auto"/>
          <w:sz w:val="24"/>
          <w:szCs w:val="24"/>
          <w:highlight w:val="none"/>
        </w:rPr>
        <w:t>项目编号：安县竞谈采购-2025-30</w:t>
      </w:r>
    </w:p>
    <w:p w14:paraId="3A4B6E14">
      <w:pPr>
        <w:widowControl w:val="0"/>
        <w:adjustRightInd w:val="0"/>
        <w:snapToGrid w:val="0"/>
        <w:spacing w:line="360" w:lineRule="auto"/>
        <w:ind w:firstLine="540" w:firstLineChars="225"/>
        <w:jc w:val="left"/>
        <w:rPr>
          <w:rFonts w:ascii="宋体" w:hAnsi="宋体"/>
          <w:color w:val="auto"/>
          <w:sz w:val="24"/>
          <w:szCs w:val="24"/>
          <w:highlight w:val="none"/>
        </w:rPr>
      </w:pPr>
      <w:r>
        <w:rPr>
          <w:rFonts w:ascii="宋体" w:hAnsi="宋体"/>
          <w:color w:val="auto"/>
          <w:sz w:val="24"/>
          <w:szCs w:val="24"/>
          <w:highlight w:val="none"/>
        </w:rPr>
        <w:t>1.2</w:t>
      </w:r>
      <w:r>
        <w:rPr>
          <w:rFonts w:hint="eastAsia" w:ascii="宋体" w:hAnsi="宋体"/>
          <w:color w:val="auto"/>
          <w:sz w:val="24"/>
          <w:szCs w:val="24"/>
          <w:highlight w:val="none"/>
        </w:rPr>
        <w:t>项目名称：</w:t>
      </w:r>
      <w:r>
        <w:rPr>
          <w:rFonts w:hint="eastAsia"/>
          <w:color w:val="auto"/>
          <w:sz w:val="24"/>
          <w:szCs w:val="24"/>
          <w:highlight w:val="none"/>
        </w:rPr>
        <w:t>安阳县公安局安阳县看守所智能谈话教育系统项目</w:t>
      </w:r>
    </w:p>
    <w:p w14:paraId="7B661FB9">
      <w:pPr>
        <w:widowControl w:val="0"/>
        <w:adjustRightInd w:val="0"/>
        <w:snapToGrid w:val="0"/>
        <w:spacing w:line="360" w:lineRule="auto"/>
        <w:ind w:firstLine="540" w:firstLineChars="225"/>
        <w:jc w:val="left"/>
        <w:rPr>
          <w:rFonts w:ascii="宋体" w:hAnsi="宋体"/>
          <w:color w:val="auto"/>
          <w:sz w:val="24"/>
          <w:szCs w:val="24"/>
          <w:highlight w:val="none"/>
        </w:rPr>
      </w:pPr>
      <w:r>
        <w:rPr>
          <w:rFonts w:hint="eastAsia" w:ascii="宋体" w:hAnsi="宋体"/>
          <w:color w:val="auto"/>
          <w:sz w:val="24"/>
          <w:szCs w:val="24"/>
          <w:highlight w:val="none"/>
        </w:rPr>
        <w:t>1.3采购方式：竞争性谈判</w:t>
      </w:r>
    </w:p>
    <w:p w14:paraId="1B1E600A">
      <w:pPr>
        <w:widowControl w:val="0"/>
        <w:adjustRightInd w:val="0"/>
        <w:snapToGrid w:val="0"/>
        <w:spacing w:line="360" w:lineRule="auto"/>
        <w:ind w:firstLine="540" w:firstLineChars="225"/>
        <w:jc w:val="left"/>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4预算金额：354360元</w:t>
      </w:r>
    </w:p>
    <w:p w14:paraId="4D13CFF8">
      <w:pPr>
        <w:adjustRightInd w:val="0"/>
        <w:snapToGrid w:val="0"/>
        <w:spacing w:line="360" w:lineRule="auto"/>
        <w:ind w:firstLine="540" w:firstLineChars="225"/>
        <w:rPr>
          <w:rFonts w:ascii="宋体"/>
          <w:b/>
          <w:color w:val="auto"/>
          <w:szCs w:val="21"/>
          <w:highlight w:val="none"/>
        </w:rPr>
      </w:pPr>
      <w:r>
        <w:rPr>
          <w:rFonts w:hint="eastAsia" w:ascii="宋体" w:hAnsi="宋体"/>
          <w:color w:val="auto"/>
          <w:sz w:val="24"/>
          <w:szCs w:val="24"/>
          <w:highlight w:val="none"/>
        </w:rPr>
        <w:t>1.5采购需求：</w:t>
      </w:r>
      <w:r>
        <w:rPr>
          <w:rFonts w:hint="eastAsia"/>
          <w:color w:val="auto"/>
          <w:sz w:val="24"/>
          <w:szCs w:val="24"/>
          <w:highlight w:val="none"/>
        </w:rPr>
        <w:t>智能谈话教育系统</w:t>
      </w:r>
      <w:r>
        <w:rPr>
          <w:rFonts w:hint="eastAsia"/>
          <w:color w:val="auto"/>
          <w:sz w:val="24"/>
          <w:szCs w:val="24"/>
          <w:highlight w:val="none"/>
          <w:lang w:val="en-US" w:eastAsia="zh-CN"/>
        </w:rPr>
        <w:t>4套、防误放系统1套</w:t>
      </w:r>
      <w:r>
        <w:rPr>
          <w:rFonts w:hint="eastAsia" w:ascii="宋体" w:hAnsi="宋体"/>
          <w:color w:val="auto"/>
          <w:sz w:val="24"/>
          <w:szCs w:val="24"/>
          <w:highlight w:val="none"/>
        </w:rPr>
        <w:t>，技术参数详见《谈判文件》“基本技术要求”</w:t>
      </w:r>
    </w:p>
    <w:p w14:paraId="517AB17C">
      <w:pPr>
        <w:adjustRightInd w:val="0"/>
        <w:snapToGrid w:val="0"/>
        <w:spacing w:line="360" w:lineRule="auto"/>
        <w:ind w:firstLine="540" w:firstLineChars="225"/>
        <w:rPr>
          <w:color w:val="auto"/>
          <w:sz w:val="24"/>
          <w:szCs w:val="24"/>
          <w:highlight w:val="none"/>
        </w:rPr>
      </w:pPr>
      <w:r>
        <w:rPr>
          <w:rFonts w:hint="eastAsia" w:ascii="宋体" w:hAnsi="宋体"/>
          <w:color w:val="auto"/>
          <w:sz w:val="24"/>
          <w:szCs w:val="24"/>
          <w:highlight w:val="none"/>
        </w:rPr>
        <w:t>1.6合同履行期限：</w:t>
      </w:r>
      <w:r>
        <w:rPr>
          <w:rFonts w:hint="eastAsia"/>
          <w:color w:val="auto"/>
          <w:sz w:val="24"/>
          <w:szCs w:val="24"/>
          <w:highlight w:val="none"/>
        </w:rPr>
        <w:t>合同签订日起</w:t>
      </w:r>
      <w:r>
        <w:rPr>
          <w:rFonts w:hint="eastAsia" w:ascii="宋体" w:hAnsi="宋体"/>
          <w:color w:val="auto"/>
          <w:sz w:val="24"/>
          <w:szCs w:val="24"/>
          <w:highlight w:val="none"/>
        </w:rPr>
        <w:t>20日内</w:t>
      </w:r>
    </w:p>
    <w:p w14:paraId="184DFE1D">
      <w:pPr>
        <w:widowControl w:val="0"/>
        <w:adjustRightInd w:val="0"/>
        <w:snapToGrid w:val="0"/>
        <w:spacing w:line="360" w:lineRule="auto"/>
        <w:ind w:firstLine="540" w:firstLineChars="225"/>
        <w:jc w:val="left"/>
        <w:rPr>
          <w:rFonts w:ascii="宋体" w:hAnsi="宋体"/>
          <w:color w:val="auto"/>
          <w:sz w:val="24"/>
          <w:szCs w:val="24"/>
          <w:highlight w:val="none"/>
        </w:rPr>
      </w:pPr>
      <w:r>
        <w:rPr>
          <w:rFonts w:hint="eastAsia" w:ascii="宋体" w:hAnsi="宋体"/>
          <w:color w:val="auto"/>
          <w:sz w:val="24"/>
          <w:szCs w:val="24"/>
          <w:highlight w:val="none"/>
        </w:rPr>
        <w:t>1.7本项目（是/否）接受联合体投标：</w:t>
      </w:r>
      <w:r>
        <w:rPr>
          <w:rFonts w:hint="eastAsia" w:ascii="宋体" w:hAnsi="宋体" w:cs="楷体_GB2312"/>
          <w:color w:val="auto"/>
          <w:sz w:val="24"/>
          <w:highlight w:val="none"/>
          <w:lang w:val="zh-CN"/>
        </w:rPr>
        <w:t>否</w:t>
      </w:r>
    </w:p>
    <w:p w14:paraId="2E7BDE5C">
      <w:pPr>
        <w:widowControl w:val="0"/>
        <w:adjustRightInd w:val="0"/>
        <w:snapToGrid w:val="0"/>
        <w:spacing w:line="360" w:lineRule="auto"/>
        <w:ind w:firstLine="540" w:firstLineChars="225"/>
        <w:jc w:val="left"/>
        <w:rPr>
          <w:rFonts w:ascii="宋体" w:hAnsi="宋体"/>
          <w:color w:val="auto"/>
          <w:sz w:val="24"/>
          <w:szCs w:val="24"/>
          <w:highlight w:val="none"/>
        </w:rPr>
      </w:pPr>
      <w:r>
        <w:rPr>
          <w:rFonts w:hint="eastAsia" w:ascii="宋体" w:hAnsi="宋体"/>
          <w:color w:val="auto"/>
          <w:sz w:val="24"/>
          <w:szCs w:val="24"/>
          <w:highlight w:val="none"/>
        </w:rPr>
        <w:t>1.8是否接受进口产品：</w:t>
      </w:r>
      <w:r>
        <w:rPr>
          <w:rFonts w:hint="eastAsia" w:ascii="宋体" w:hAnsi="宋体" w:cs="楷体_GB2312"/>
          <w:color w:val="auto"/>
          <w:sz w:val="24"/>
          <w:highlight w:val="none"/>
          <w:lang w:val="zh-CN"/>
        </w:rPr>
        <w:t>否</w:t>
      </w:r>
    </w:p>
    <w:p w14:paraId="68A2CD59">
      <w:pPr>
        <w:widowControl w:val="0"/>
        <w:snapToGrid w:val="0"/>
        <w:spacing w:line="360" w:lineRule="auto"/>
        <w:ind w:firstLine="566"/>
        <w:rPr>
          <w:color w:val="auto"/>
          <w:sz w:val="28"/>
          <w:szCs w:val="28"/>
          <w:highlight w:val="none"/>
        </w:rPr>
      </w:pPr>
    </w:p>
    <w:p w14:paraId="45FCD436">
      <w:pPr>
        <w:widowControl w:val="0"/>
        <w:snapToGrid w:val="0"/>
        <w:spacing w:line="360" w:lineRule="auto"/>
        <w:ind w:firstLine="562" w:firstLineChars="200"/>
        <w:rPr>
          <w:rFonts w:ascii="黑体" w:hAnsi="黑体" w:eastAsia="黑体"/>
          <w:b/>
          <w:color w:val="auto"/>
          <w:sz w:val="28"/>
          <w:szCs w:val="28"/>
          <w:highlight w:val="none"/>
        </w:rPr>
      </w:pPr>
      <w:bookmarkStart w:id="1" w:name="_Toc35393791"/>
      <w:bookmarkStart w:id="2" w:name="_Toc28359080"/>
      <w:bookmarkStart w:id="3" w:name="_Toc35393622"/>
      <w:bookmarkStart w:id="4" w:name="_Toc28359003"/>
      <w:r>
        <w:rPr>
          <w:rFonts w:hint="eastAsia" w:ascii="黑体" w:hAnsi="黑体" w:eastAsia="黑体"/>
          <w:b/>
          <w:color w:val="auto"/>
          <w:sz w:val="28"/>
          <w:szCs w:val="28"/>
          <w:highlight w:val="none"/>
        </w:rPr>
        <w:t>2.申请人的资格要求：</w:t>
      </w:r>
      <w:bookmarkEnd w:id="1"/>
      <w:bookmarkEnd w:id="2"/>
      <w:bookmarkEnd w:id="3"/>
      <w:bookmarkEnd w:id="4"/>
    </w:p>
    <w:p w14:paraId="03AF646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2.1满足《中华人民共和国政府采购法》第二十二条规定；</w:t>
      </w:r>
    </w:p>
    <w:p w14:paraId="4FF2379C">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2</w:t>
      </w:r>
      <w:r>
        <w:rPr>
          <w:rFonts w:hint="eastAsia" w:ascii="宋体" w:hAnsi="宋体"/>
          <w:color w:val="auto"/>
          <w:sz w:val="24"/>
          <w:szCs w:val="24"/>
          <w:highlight w:val="none"/>
        </w:rPr>
        <w:t>落实政府采购政策需满足的资格要求：无专项资格要求。</w:t>
      </w:r>
    </w:p>
    <w:p w14:paraId="5C13F1C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2.3本项目的特定资格要求：</w:t>
      </w:r>
    </w:p>
    <w:p w14:paraId="6793D6A3">
      <w:pPr>
        <w:widowControl w:val="0"/>
        <w:adjustRightInd w:val="0"/>
        <w:snapToGrid w:val="0"/>
        <w:spacing w:line="360" w:lineRule="auto"/>
        <w:ind w:firstLine="540" w:firstLineChars="225"/>
        <w:rPr>
          <w:rFonts w:ascii="宋体"/>
          <w:color w:val="auto"/>
          <w:sz w:val="24"/>
          <w:szCs w:val="24"/>
          <w:highlight w:val="none"/>
        </w:rPr>
      </w:pPr>
      <w:r>
        <w:rPr>
          <w:rFonts w:hint="eastAsia" w:ascii="宋体" w:hAnsi="宋体"/>
          <w:color w:val="auto"/>
          <w:sz w:val="24"/>
          <w:szCs w:val="24"/>
          <w:highlight w:val="none"/>
        </w:rPr>
        <w:t>2.3</w:t>
      </w:r>
      <w:r>
        <w:rPr>
          <w:rFonts w:ascii="宋体" w:hAnsi="宋体"/>
          <w:color w:val="auto"/>
          <w:sz w:val="24"/>
          <w:szCs w:val="24"/>
          <w:highlight w:val="none"/>
        </w:rPr>
        <w:t>.1</w:t>
      </w:r>
      <w:r>
        <w:rPr>
          <w:rFonts w:hint="eastAsia" w:ascii="宋体" w:hAnsi="宋体"/>
          <w:color w:val="auto"/>
          <w:sz w:val="24"/>
          <w:szCs w:val="24"/>
          <w:highlight w:val="none"/>
        </w:rPr>
        <w:t>《政府采购法》第二十二条第一款--法定基本资格条件需提供的相关资格证明材料（文件）：</w:t>
      </w:r>
    </w:p>
    <w:p w14:paraId="35A2B86B">
      <w:pPr>
        <w:widowControl w:val="0"/>
        <w:snapToGrid w:val="0"/>
        <w:spacing w:line="360" w:lineRule="auto"/>
        <w:ind w:firstLine="540" w:firstLineChars="225"/>
        <w:rPr>
          <w:rFonts w:ascii="宋体"/>
          <w:color w:val="auto"/>
          <w:szCs w:val="21"/>
          <w:highlight w:val="none"/>
        </w:rPr>
      </w:pP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）具有独立承担民事责任的能力。■提供营业执照或事业单位法人证书，■提供税务登记证（三证合一的只需提供三证合一的营业执照）</w:t>
      </w:r>
      <w:r>
        <w:rPr>
          <w:rFonts w:hint="eastAsia" w:ascii="微软雅黑" w:hAnsi="微软雅黑" w:eastAsia="微软雅黑"/>
          <w:color w:val="auto"/>
          <w:szCs w:val="21"/>
          <w:highlight w:val="none"/>
          <w:shd w:val="clear" w:color="auto" w:fill="FFFFFF"/>
        </w:rPr>
        <w:t>。</w:t>
      </w:r>
    </w:p>
    <w:p w14:paraId="61D9B442">
      <w:pPr>
        <w:widowControl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）具有良好的商业信誉和健全的财务会计制度，有依法缴纳税收和社会保障资金的良好记录。■提供银行出具的近</w:t>
      </w:r>
      <w:r>
        <w:rPr>
          <w:rFonts w:ascii="宋体" w:hAnsi="宋体"/>
          <w:color w:val="auto"/>
          <w:sz w:val="24"/>
          <w:szCs w:val="24"/>
          <w:highlight w:val="none"/>
        </w:rPr>
        <w:t>1</w:t>
      </w:r>
      <w:r>
        <w:rPr>
          <w:rFonts w:hint="eastAsia" w:ascii="宋体" w:hAnsi="宋体"/>
          <w:color w:val="auto"/>
          <w:sz w:val="24"/>
          <w:szCs w:val="24"/>
          <w:highlight w:val="none"/>
        </w:rPr>
        <w:t>年内资信证明（法人为基本开户行）、或2023年度以来（任一年度）经审计的财务报告、或银行（保险公司）出具的投标担保函；■提供近</w:t>
      </w:r>
      <w:r>
        <w:rPr>
          <w:rFonts w:ascii="宋体" w:hAnsi="宋体"/>
          <w:color w:val="auto"/>
          <w:sz w:val="24"/>
          <w:szCs w:val="24"/>
          <w:highlight w:val="none"/>
        </w:rPr>
        <w:t>12</w:t>
      </w:r>
      <w:r>
        <w:rPr>
          <w:rFonts w:hint="eastAsia" w:ascii="宋体" w:hAnsi="宋体"/>
          <w:color w:val="auto"/>
          <w:sz w:val="24"/>
          <w:szCs w:val="24"/>
          <w:highlight w:val="none"/>
        </w:rPr>
        <w:t>个月内（任意</w:t>
      </w:r>
      <w:r>
        <w:rPr>
          <w:rFonts w:ascii="宋体" w:hAnsi="宋体"/>
          <w:color w:val="auto"/>
          <w:sz w:val="24"/>
          <w:szCs w:val="24"/>
          <w:highlight w:val="none"/>
        </w:rPr>
        <w:t>1</w:t>
      </w:r>
      <w:r>
        <w:rPr>
          <w:rFonts w:hint="eastAsia" w:ascii="宋体" w:hAnsi="宋体"/>
          <w:color w:val="auto"/>
          <w:sz w:val="24"/>
          <w:szCs w:val="24"/>
          <w:highlight w:val="none"/>
        </w:rPr>
        <w:t>个月）已依法缴纳税收的凭据；■提供近</w:t>
      </w:r>
      <w:r>
        <w:rPr>
          <w:rFonts w:ascii="宋体" w:hAnsi="宋体"/>
          <w:color w:val="auto"/>
          <w:sz w:val="24"/>
          <w:szCs w:val="24"/>
          <w:highlight w:val="none"/>
        </w:rPr>
        <w:t>12</w:t>
      </w:r>
      <w:r>
        <w:rPr>
          <w:rFonts w:hint="eastAsia" w:ascii="宋体" w:hAnsi="宋体"/>
          <w:color w:val="auto"/>
          <w:sz w:val="24"/>
          <w:szCs w:val="24"/>
          <w:highlight w:val="none"/>
        </w:rPr>
        <w:t>个月内（任意</w:t>
      </w:r>
      <w:r>
        <w:rPr>
          <w:rFonts w:ascii="宋体" w:hAnsi="宋体"/>
          <w:color w:val="auto"/>
          <w:sz w:val="24"/>
          <w:szCs w:val="24"/>
          <w:highlight w:val="none"/>
        </w:rPr>
        <w:t>1</w:t>
      </w:r>
      <w:r>
        <w:rPr>
          <w:rFonts w:hint="eastAsia" w:ascii="宋体" w:hAnsi="宋体"/>
          <w:color w:val="auto"/>
          <w:sz w:val="24"/>
          <w:szCs w:val="24"/>
          <w:highlight w:val="none"/>
        </w:rPr>
        <w:t>个月）已依法缴纳社会保险的凭据。</w:t>
      </w:r>
    </w:p>
    <w:p w14:paraId="01E262A3">
      <w:pPr>
        <w:widowControl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依法免税或不需要缴纳社会保障资金的供应商，应提供相应证明文件。</w:t>
      </w:r>
    </w:p>
    <w:p w14:paraId="61420E44">
      <w:pPr>
        <w:widowControl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3</w:t>
      </w:r>
      <w:r>
        <w:rPr>
          <w:rFonts w:hint="eastAsia" w:ascii="宋体" w:hAnsi="宋体"/>
          <w:color w:val="auto"/>
          <w:sz w:val="24"/>
          <w:szCs w:val="24"/>
          <w:highlight w:val="none"/>
        </w:rPr>
        <w:t>）具备履行合同所必需的设备和专业技术能力。■提供相关设备或设施的购置发票或单据（任一），■专业人员用工合同（任一人），或技术人员的职称证书或职业（执业）资格证或等级证书等相关证书（任一人）等的证明材料。</w:t>
      </w:r>
    </w:p>
    <w:p w14:paraId="73F43ECC">
      <w:pPr>
        <w:widowControl w:val="0"/>
        <w:snapToGrid w:val="0"/>
        <w:spacing w:line="360" w:lineRule="auto"/>
        <w:ind w:firstLine="540" w:firstLineChars="225"/>
        <w:rPr>
          <w:rFonts w:asci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4</w:t>
      </w:r>
      <w:r>
        <w:rPr>
          <w:rFonts w:hint="eastAsia" w:ascii="宋体" w:hAnsi="宋体"/>
          <w:color w:val="auto"/>
          <w:sz w:val="24"/>
          <w:szCs w:val="24"/>
          <w:highlight w:val="none"/>
        </w:rPr>
        <w:t>）参加政府采购活动前</w:t>
      </w:r>
      <w:r>
        <w:rPr>
          <w:rFonts w:ascii="宋体" w:hAnsi="宋体"/>
          <w:color w:val="auto"/>
          <w:sz w:val="24"/>
          <w:szCs w:val="24"/>
          <w:highlight w:val="none"/>
        </w:rPr>
        <w:t>3</w:t>
      </w:r>
      <w:r>
        <w:rPr>
          <w:rFonts w:hint="eastAsia" w:ascii="宋体" w:hAnsi="宋体"/>
          <w:color w:val="auto"/>
          <w:sz w:val="24"/>
          <w:szCs w:val="24"/>
          <w:highlight w:val="none"/>
        </w:rPr>
        <w:t>年内在经营活动中没有重大违法记录。■提供供应商书面声明；供应商自行承诺并承担后果，声明函不实的，按《政府采购法》有关提供虚假材料的有关规定给予处罚。</w:t>
      </w:r>
    </w:p>
    <w:p w14:paraId="423A35D6">
      <w:pPr>
        <w:widowControl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2.3</w:t>
      </w:r>
      <w:r>
        <w:rPr>
          <w:rFonts w:ascii="宋体" w:hAnsi="宋体"/>
          <w:color w:val="auto"/>
          <w:sz w:val="24"/>
          <w:szCs w:val="24"/>
          <w:highlight w:val="none"/>
        </w:rPr>
        <w:t>.</w:t>
      </w:r>
      <w:r>
        <w:rPr>
          <w:rFonts w:hint="eastAsia" w:ascii="宋体" w:hAnsi="宋体"/>
          <w:color w:val="auto"/>
          <w:sz w:val="24"/>
          <w:szCs w:val="24"/>
          <w:highlight w:val="none"/>
        </w:rPr>
        <w:t>2对供应商的限制性规定</w:t>
      </w:r>
    </w:p>
    <w:p w14:paraId="2F51DC00">
      <w:pPr>
        <w:widowControl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（1）供应商应当无不良信用记录。</w:t>
      </w:r>
      <w:r>
        <w:rPr>
          <w:rFonts w:ascii="宋体" w:hAnsi="宋体"/>
          <w:color w:val="auto"/>
          <w:sz w:val="24"/>
          <w:szCs w:val="24"/>
          <w:highlight w:val="none"/>
        </w:rPr>
        <w:t>(</w:t>
      </w:r>
      <w:r>
        <w:rPr>
          <w:rFonts w:hint="eastAsia" w:ascii="宋体" w:hAnsi="宋体"/>
          <w:color w:val="auto"/>
          <w:sz w:val="24"/>
          <w:szCs w:val="24"/>
          <w:highlight w:val="none"/>
        </w:rPr>
        <w:t>在“信用中国”</w:t>
      </w:r>
      <w:r>
        <w:rPr>
          <w:rFonts w:ascii="宋体" w:hAnsi="宋体"/>
          <w:color w:val="auto"/>
          <w:sz w:val="24"/>
          <w:szCs w:val="24"/>
          <w:highlight w:val="none"/>
        </w:rPr>
        <w:t>&lt;www.creditchina.gov.cn&gt;</w:t>
      </w:r>
      <w:r>
        <w:rPr>
          <w:rFonts w:hint="eastAsia" w:ascii="宋体" w:hAnsi="宋体"/>
          <w:color w:val="auto"/>
          <w:sz w:val="24"/>
          <w:szCs w:val="24"/>
          <w:highlight w:val="none"/>
        </w:rPr>
        <w:t>网站的“失信被执行人”和“重大税收违法失信主体”及“中国政府采购网”</w:t>
      </w:r>
      <w:r>
        <w:rPr>
          <w:rFonts w:ascii="宋体" w:hAnsi="宋体"/>
          <w:color w:val="auto"/>
          <w:sz w:val="24"/>
          <w:szCs w:val="24"/>
          <w:highlight w:val="none"/>
        </w:rPr>
        <w:t>&lt;www.ccgp.gov.cn&gt;</w:t>
      </w:r>
      <w:r>
        <w:rPr>
          <w:rFonts w:hint="eastAsia" w:ascii="宋体" w:hAnsi="宋体"/>
          <w:color w:val="auto"/>
          <w:sz w:val="24"/>
          <w:szCs w:val="24"/>
          <w:highlight w:val="none"/>
        </w:rPr>
        <w:t>网站的“政府采购严重违法失信行为记录名单”</w:t>
      </w:r>
      <w:r>
        <w:rPr>
          <w:rFonts w:hint="eastAsia" w:ascii="宋体" w:hAnsi="宋体"/>
          <w:b/>
          <w:color w:val="auto"/>
          <w:sz w:val="24"/>
          <w:szCs w:val="24"/>
          <w:highlight w:val="none"/>
        </w:rPr>
        <w:t>均未列入</w:t>
      </w:r>
      <w:r>
        <w:rPr>
          <w:rFonts w:ascii="宋体" w:hAnsi="宋体"/>
          <w:color w:val="auto"/>
          <w:sz w:val="24"/>
          <w:szCs w:val="24"/>
          <w:highlight w:val="none"/>
        </w:rPr>
        <w:t>)</w:t>
      </w:r>
    </w:p>
    <w:p w14:paraId="631CF43F">
      <w:pPr>
        <w:widowControl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供应商递交《投标文件》后，采购人或者采购代理机构将按以上信用信息查询渠道在解密《投标文件》之前对参加本项目的供应商信用记录进行查询，供应商有上述任一不良信用记录的，其</w:t>
      </w:r>
      <w:r>
        <w:rPr>
          <w:rFonts w:ascii="宋体" w:hAnsi="宋体"/>
          <w:color w:val="auto"/>
          <w:sz w:val="24"/>
          <w:szCs w:val="24"/>
          <w:highlight w:val="none"/>
        </w:rPr>
        <w:t>投标将被</w:t>
      </w:r>
      <w:r>
        <w:rPr>
          <w:rFonts w:hint="eastAsia" w:ascii="宋体" w:hAnsi="宋体"/>
          <w:color w:val="auto"/>
          <w:sz w:val="24"/>
          <w:szCs w:val="24"/>
          <w:highlight w:val="none"/>
        </w:rPr>
        <w:t>拒</w:t>
      </w:r>
      <w:r>
        <w:rPr>
          <w:rFonts w:ascii="宋体" w:hAnsi="宋体"/>
          <w:color w:val="auto"/>
          <w:sz w:val="24"/>
          <w:szCs w:val="24"/>
          <w:highlight w:val="none"/>
        </w:rPr>
        <w:t>绝</w:t>
      </w:r>
      <w:r>
        <w:rPr>
          <w:rFonts w:hint="eastAsia" w:ascii="宋体" w:hAnsi="宋体"/>
          <w:color w:val="auto"/>
          <w:sz w:val="24"/>
          <w:szCs w:val="24"/>
          <w:highlight w:val="none"/>
        </w:rPr>
        <w:t>、</w:t>
      </w:r>
      <w:r>
        <w:rPr>
          <w:rFonts w:ascii="宋体" w:hAnsi="宋体"/>
          <w:color w:val="auto"/>
          <w:sz w:val="24"/>
          <w:szCs w:val="24"/>
          <w:highlight w:val="none"/>
        </w:rPr>
        <w:t>为无效投</w:t>
      </w:r>
      <w:r>
        <w:rPr>
          <w:rFonts w:hint="eastAsia" w:ascii="宋体" w:hAnsi="宋体"/>
          <w:color w:val="auto"/>
          <w:sz w:val="24"/>
          <w:szCs w:val="24"/>
          <w:highlight w:val="none"/>
        </w:rPr>
        <w:t>标。查询的网页内容将以截图或者拍照作为证据留存。</w:t>
      </w:r>
    </w:p>
    <w:p w14:paraId="40F31E12">
      <w:pPr>
        <w:widowControl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2）单位负责人为同一人或者存在直接控股、管理关系的不同供应商，不得参加本合同项下的政府采购活动。供应商自行承诺并承担后果，承诺书不实的，按《政府采购法》有关提供虚假材料的有关规定给予处罚。</w:t>
      </w:r>
    </w:p>
    <w:p w14:paraId="7DCC107A">
      <w:pPr>
        <w:widowControl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3）为本采购项目提供整体设计、规范编制或者项目管理、监理、检测等服务的供应商，不得再参加本采购项目。供应商自行承诺并承担后果，承诺书不实的，按《政府采购法》有关提供虚假材料的有关规定给予处罚。</w:t>
      </w:r>
    </w:p>
    <w:p w14:paraId="33921E05">
      <w:pPr>
        <w:widowControl w:val="0"/>
        <w:snapToGrid w:val="0"/>
        <w:spacing w:line="360" w:lineRule="auto"/>
        <w:ind w:firstLine="540" w:firstLineChars="225"/>
        <w:rPr>
          <w:color w:val="auto"/>
          <w:highlight w:val="none"/>
        </w:rPr>
      </w:pPr>
      <w:r>
        <w:rPr>
          <w:rFonts w:hint="eastAsia" w:ascii="宋体" w:hAnsi="宋体"/>
          <w:color w:val="auto"/>
          <w:sz w:val="24"/>
          <w:szCs w:val="24"/>
          <w:highlight w:val="none"/>
        </w:rPr>
        <w:t>2.3</w:t>
      </w:r>
      <w:r>
        <w:rPr>
          <w:rFonts w:ascii="宋体" w:hAnsi="宋体"/>
          <w:color w:val="auto"/>
          <w:sz w:val="24"/>
          <w:szCs w:val="24"/>
          <w:highlight w:val="none"/>
        </w:rPr>
        <w:t>.</w:t>
      </w:r>
      <w:r>
        <w:rPr>
          <w:rFonts w:hint="eastAsia" w:ascii="宋体" w:hAnsi="宋体"/>
          <w:color w:val="auto"/>
          <w:sz w:val="24"/>
          <w:szCs w:val="24"/>
          <w:highlight w:val="none"/>
        </w:rPr>
        <w:t>3项目的特定资格要求：</w:t>
      </w:r>
    </w:p>
    <w:p w14:paraId="4D072B44">
      <w:pPr>
        <w:widowControl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（1）具备法律、行政法规规定的其他条件。</w:t>
      </w:r>
    </w:p>
    <w:p w14:paraId="11EDD40B">
      <w:pPr>
        <w:widowControl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（2）本项目（是/否）接受联合体投标：同“项目基本情况”1.7款要求。</w:t>
      </w:r>
    </w:p>
    <w:p w14:paraId="1F2B2E15">
      <w:pPr>
        <w:widowControl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注：（1）所有证照均应为有效的证照；文中“近”、“前”指距投标截止时间。</w:t>
      </w:r>
    </w:p>
    <w:p w14:paraId="1A3F37ED">
      <w:pPr>
        <w:widowControl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（2）资格证明材料（文件）应附于投标文件中并经投标人电子签章。投标人对资格证明文件真实性有效合规承担责任，提供虚假材料的为无效投标并将进一步追究其责任。（按</w:t>
      </w:r>
      <w:r>
        <w:rPr>
          <w:rFonts w:hint="eastAsia" w:ascii="宋体" w:hAnsi="宋体"/>
          <w:color w:val="auto"/>
          <w:sz w:val="24"/>
          <w:szCs w:val="24"/>
          <w:highlight w:val="none"/>
          <w:lang w:val="zh-CN"/>
        </w:rPr>
        <w:t>第六章</w:t>
      </w:r>
      <w:r>
        <w:rPr>
          <w:rFonts w:hint="eastAsia" w:ascii="宋体" w:hAnsi="宋体"/>
          <w:color w:val="auto"/>
          <w:sz w:val="24"/>
          <w:szCs w:val="24"/>
          <w:highlight w:val="none"/>
        </w:rPr>
        <w:t>14-3附件提供核验材料）</w:t>
      </w:r>
    </w:p>
    <w:p w14:paraId="4798522C">
      <w:pPr>
        <w:widowControl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（3）本项目采取资格后审，开标后，将由谈判小组对投标人的资格证明材料（文件）进行资格审核，未按要求逐一提供、或资格审查不合格的为无效投标，投标人应自负其风险费用。</w:t>
      </w:r>
    </w:p>
    <w:p w14:paraId="7323783C">
      <w:pPr>
        <w:pStyle w:val="15"/>
        <w:shd w:val="clear" w:color="auto" w:fill="FFFFFF"/>
        <w:adjustRightInd w:val="0"/>
        <w:spacing w:before="50" w:beforeAutospacing="0" w:after="0" w:afterAutospacing="0" w:line="300" w:lineRule="auto"/>
        <w:ind w:firstLine="542" w:firstLineChars="225"/>
        <w:rPr>
          <w:b/>
          <w:color w:val="auto"/>
          <w:highlight w:val="none"/>
        </w:rPr>
      </w:pPr>
    </w:p>
    <w:p w14:paraId="5E7531CE">
      <w:pPr>
        <w:widowControl w:val="0"/>
        <w:snapToGrid w:val="0"/>
        <w:spacing w:line="360" w:lineRule="auto"/>
        <w:ind w:firstLine="562" w:firstLineChars="200"/>
        <w:rPr>
          <w:rFonts w:ascii="黑体" w:hAnsi="黑体" w:eastAsia="黑体"/>
          <w:b/>
          <w:color w:val="auto"/>
          <w:sz w:val="28"/>
          <w:szCs w:val="28"/>
          <w:highlight w:val="none"/>
        </w:rPr>
      </w:pPr>
      <w:r>
        <w:rPr>
          <w:rFonts w:ascii="黑体" w:hAnsi="黑体" w:eastAsia="黑体"/>
          <w:b/>
          <w:color w:val="auto"/>
          <w:sz w:val="28"/>
          <w:szCs w:val="28"/>
          <w:highlight w:val="none"/>
        </w:rPr>
        <w:t>3</w:t>
      </w:r>
      <w:r>
        <w:rPr>
          <w:rFonts w:hint="eastAsia" w:ascii="黑体" w:hAnsi="黑体" w:eastAsia="黑体"/>
          <w:b/>
          <w:color w:val="auto"/>
          <w:sz w:val="28"/>
          <w:szCs w:val="28"/>
          <w:highlight w:val="none"/>
        </w:rPr>
        <w:t>．获取谈判文件</w:t>
      </w:r>
    </w:p>
    <w:p w14:paraId="44E390A2">
      <w:pPr>
        <w:snapToGrid w:val="0"/>
        <w:spacing w:line="360" w:lineRule="auto"/>
        <w:ind w:firstLine="540" w:firstLineChars="225"/>
        <w:jc w:val="left"/>
        <w:rPr>
          <w:rFonts w:ascii="宋体" w:hAnsi="宋体"/>
          <w:color w:val="auto"/>
          <w:sz w:val="24"/>
          <w:szCs w:val="24"/>
          <w:highlight w:val="none"/>
        </w:rPr>
      </w:pPr>
      <w:r>
        <w:rPr>
          <w:rFonts w:hint="eastAsia" w:ascii="宋体" w:hAnsi="宋体"/>
          <w:color w:val="auto"/>
          <w:sz w:val="24"/>
          <w:szCs w:val="24"/>
          <w:highlight w:val="none"/>
        </w:rPr>
        <w:t>3.1</w:t>
      </w:r>
      <w:r>
        <w:rPr>
          <w:rFonts w:hint="eastAsia"/>
          <w:color w:val="auto"/>
          <w:sz w:val="24"/>
          <w:szCs w:val="24"/>
          <w:highlight w:val="none"/>
        </w:rPr>
        <w:t>时间：</w:t>
      </w:r>
      <w:r>
        <w:rPr>
          <w:rFonts w:hint="eastAsia"/>
          <w:color w:val="auto"/>
          <w:sz w:val="24"/>
          <w:szCs w:val="24"/>
          <w:highlight w:val="none"/>
          <w:lang w:val="en-US" w:eastAsia="zh-CN"/>
        </w:rPr>
        <w:t>2025</w:t>
      </w:r>
      <w:r>
        <w:rPr>
          <w:rFonts w:hint="eastAsia"/>
          <w:color w:val="auto"/>
          <w:sz w:val="24"/>
          <w:szCs w:val="24"/>
          <w:highlight w:val="none"/>
        </w:rPr>
        <w:t>年</w:t>
      </w:r>
      <w:r>
        <w:rPr>
          <w:rFonts w:hint="eastAsia"/>
          <w:color w:val="auto"/>
          <w:sz w:val="24"/>
          <w:szCs w:val="24"/>
          <w:highlight w:val="none"/>
          <w:lang w:val="en-US" w:eastAsia="zh-CN"/>
        </w:rPr>
        <w:t>11</w:t>
      </w:r>
      <w:r>
        <w:rPr>
          <w:rFonts w:hint="eastAsia"/>
          <w:color w:val="auto"/>
          <w:sz w:val="24"/>
          <w:szCs w:val="24"/>
          <w:highlight w:val="none"/>
        </w:rPr>
        <w:t>月</w:t>
      </w:r>
      <w:r>
        <w:rPr>
          <w:rFonts w:hint="eastAsia"/>
          <w:color w:val="auto"/>
          <w:sz w:val="24"/>
          <w:szCs w:val="24"/>
          <w:highlight w:val="none"/>
          <w:lang w:val="en-US" w:eastAsia="zh-CN"/>
        </w:rPr>
        <w:t>28</w:t>
      </w:r>
      <w:r>
        <w:rPr>
          <w:rFonts w:hint="eastAsia"/>
          <w:color w:val="auto"/>
          <w:sz w:val="24"/>
          <w:szCs w:val="24"/>
          <w:highlight w:val="none"/>
        </w:rPr>
        <w:t>日至</w:t>
      </w:r>
      <w:r>
        <w:rPr>
          <w:rFonts w:hint="eastAsia"/>
          <w:color w:val="auto"/>
          <w:sz w:val="24"/>
          <w:szCs w:val="24"/>
          <w:highlight w:val="none"/>
          <w:lang w:val="en-US" w:eastAsia="zh-CN"/>
        </w:rPr>
        <w:t>2025</w:t>
      </w:r>
      <w:r>
        <w:rPr>
          <w:rFonts w:hint="eastAsia"/>
          <w:color w:val="auto"/>
          <w:sz w:val="24"/>
          <w:szCs w:val="24"/>
          <w:highlight w:val="none"/>
        </w:rPr>
        <w:t>年</w:t>
      </w:r>
      <w:r>
        <w:rPr>
          <w:rFonts w:hint="eastAsia"/>
          <w:color w:val="auto"/>
          <w:sz w:val="24"/>
          <w:szCs w:val="24"/>
          <w:highlight w:val="none"/>
          <w:lang w:val="en-US" w:eastAsia="zh-CN"/>
        </w:rPr>
        <w:t>12</w:t>
      </w:r>
      <w:r>
        <w:rPr>
          <w:rFonts w:hint="eastAsia"/>
          <w:color w:val="auto"/>
          <w:sz w:val="24"/>
          <w:szCs w:val="24"/>
          <w:highlight w:val="none"/>
        </w:rPr>
        <w:t>月</w:t>
      </w:r>
      <w:r>
        <w:rPr>
          <w:rFonts w:hint="eastAsia"/>
          <w:color w:val="auto"/>
          <w:sz w:val="24"/>
          <w:szCs w:val="24"/>
          <w:highlight w:val="none"/>
          <w:lang w:val="en-US" w:eastAsia="zh-CN"/>
        </w:rPr>
        <w:t>3</w:t>
      </w:r>
      <w:r>
        <w:rPr>
          <w:rFonts w:hint="eastAsia"/>
          <w:color w:val="auto"/>
          <w:sz w:val="24"/>
          <w:szCs w:val="24"/>
          <w:highlight w:val="none"/>
        </w:rPr>
        <w:t>日，每天上午</w:t>
      </w:r>
      <w:r>
        <w:rPr>
          <w:rFonts w:hint="eastAsia"/>
          <w:color w:val="auto"/>
          <w:sz w:val="24"/>
          <w:szCs w:val="24"/>
          <w:highlight w:val="none"/>
          <w:u w:val="single" w:color="auto"/>
          <w:lang w:val="en-US" w:eastAsia="zh-CN"/>
        </w:rPr>
        <w:t>00:00</w:t>
      </w:r>
      <w:r>
        <w:rPr>
          <w:rFonts w:hint="eastAsia"/>
          <w:color w:val="auto"/>
          <w:sz w:val="24"/>
          <w:szCs w:val="24"/>
          <w:highlight w:val="none"/>
        </w:rPr>
        <w:t>至</w:t>
      </w:r>
      <w:r>
        <w:rPr>
          <w:rFonts w:hint="eastAsia"/>
          <w:color w:val="auto"/>
          <w:sz w:val="24"/>
          <w:szCs w:val="24"/>
          <w:highlight w:val="none"/>
          <w:u w:val="single"/>
          <w:lang w:val="en-US" w:eastAsia="zh-CN"/>
        </w:rPr>
        <w:t>12:00</w:t>
      </w:r>
      <w:r>
        <w:rPr>
          <w:rFonts w:hint="eastAsia"/>
          <w:color w:val="auto"/>
          <w:sz w:val="24"/>
          <w:szCs w:val="24"/>
          <w:highlight w:val="none"/>
        </w:rPr>
        <w:t>，下午</w:t>
      </w:r>
      <w:r>
        <w:rPr>
          <w:rFonts w:hint="eastAsia"/>
          <w:color w:val="auto"/>
          <w:sz w:val="24"/>
          <w:szCs w:val="24"/>
          <w:highlight w:val="none"/>
          <w:u w:val="single"/>
          <w:lang w:val="en-US" w:eastAsia="zh-CN"/>
        </w:rPr>
        <w:t>12:00</w:t>
      </w:r>
      <w:r>
        <w:rPr>
          <w:rFonts w:hint="eastAsia"/>
          <w:color w:val="auto"/>
          <w:sz w:val="24"/>
          <w:szCs w:val="24"/>
          <w:highlight w:val="none"/>
        </w:rPr>
        <w:t>至</w:t>
      </w:r>
      <w:r>
        <w:rPr>
          <w:rFonts w:hint="eastAsia"/>
          <w:color w:val="auto"/>
          <w:sz w:val="24"/>
          <w:szCs w:val="24"/>
          <w:highlight w:val="none"/>
          <w:u w:val="single"/>
          <w:lang w:val="en-US" w:eastAsia="zh-CN"/>
        </w:rPr>
        <w:t>23:59</w:t>
      </w:r>
      <w:r>
        <w:rPr>
          <w:rFonts w:hint="eastAsia"/>
          <w:color w:val="auto"/>
          <w:sz w:val="24"/>
          <w:szCs w:val="24"/>
          <w:highlight w:val="none"/>
        </w:rPr>
        <w:t>（北京时间，</w:t>
      </w:r>
      <w:r>
        <w:rPr>
          <w:color w:val="auto"/>
          <w:sz w:val="24"/>
          <w:szCs w:val="24"/>
          <w:highlight w:val="none"/>
        </w:rPr>
        <w:t>法定节假日</w:t>
      </w:r>
      <w:r>
        <w:rPr>
          <w:rFonts w:hint="eastAsia"/>
          <w:color w:val="auto"/>
          <w:sz w:val="24"/>
          <w:szCs w:val="24"/>
          <w:highlight w:val="none"/>
        </w:rPr>
        <w:t>除外）</w:t>
      </w:r>
    </w:p>
    <w:p w14:paraId="090250E0">
      <w:pPr>
        <w:widowControl w:val="0"/>
        <w:snapToGrid w:val="0"/>
        <w:spacing w:line="360" w:lineRule="auto"/>
        <w:ind w:left="55" w:leftChars="26" w:firstLine="472" w:firstLineChars="225"/>
        <w:rPr>
          <w:rFonts w:ascii="宋体" w:hAnsi="宋体"/>
          <w:b/>
          <w:color w:val="auto"/>
          <w:sz w:val="24"/>
          <w:szCs w:val="24"/>
          <w:highlight w:val="none"/>
        </w:rPr>
      </w:pPr>
      <w:r>
        <w:rPr>
          <w:rFonts w:hint="eastAsia"/>
          <w:color w:val="auto"/>
          <w:highlight w:val="none"/>
        </w:rPr>
        <w:t>3.2地点：</w:t>
      </w:r>
      <w:r>
        <w:rPr>
          <w:rFonts w:hint="eastAsia"/>
          <w:b/>
          <w:bCs/>
          <w:color w:val="auto"/>
          <w:sz w:val="24"/>
          <w:szCs w:val="24"/>
          <w:highlight w:val="none"/>
        </w:rPr>
        <w:t>登陆安阳县公共资源交易分中心网站（</w:t>
      </w:r>
      <w:r>
        <w:rPr>
          <w:b/>
          <w:bCs/>
          <w:color w:val="auto"/>
          <w:sz w:val="24"/>
          <w:szCs w:val="24"/>
          <w:highlight w:val="none"/>
        </w:rPr>
        <w:t>https://ggzy.anyang.gov.cn/ayxggzy/</w:t>
      </w:r>
      <w:r>
        <w:rPr>
          <w:rFonts w:hint="eastAsia"/>
          <w:b/>
          <w:bCs/>
          <w:color w:val="auto"/>
          <w:sz w:val="24"/>
          <w:szCs w:val="24"/>
          <w:highlight w:val="none"/>
        </w:rPr>
        <w:t>），在【交易主体登录】入口完成注册。凭数字证书下载谈判文件及其它资料。</w:t>
      </w:r>
    </w:p>
    <w:p w14:paraId="7EB9934F">
      <w:pPr>
        <w:spacing w:line="360" w:lineRule="auto"/>
        <w:ind w:firstLine="540"/>
        <w:rPr>
          <w:b/>
          <w:bCs/>
          <w:color w:val="auto"/>
          <w:sz w:val="24"/>
          <w:szCs w:val="24"/>
          <w:highlight w:val="none"/>
        </w:rPr>
      </w:pPr>
      <w:r>
        <w:rPr>
          <w:rFonts w:hint="eastAsia" w:ascii="宋体" w:hAnsi="宋体"/>
          <w:color w:val="auto"/>
          <w:sz w:val="24"/>
          <w:szCs w:val="24"/>
          <w:highlight w:val="none"/>
        </w:rPr>
        <w:t>3.3方式：</w:t>
      </w:r>
      <w:r>
        <w:rPr>
          <w:rFonts w:hint="eastAsia"/>
          <w:b/>
          <w:bCs/>
          <w:color w:val="auto"/>
          <w:sz w:val="24"/>
          <w:szCs w:val="24"/>
          <w:highlight w:val="none"/>
        </w:rPr>
        <w:t>网上</w:t>
      </w:r>
      <w:r>
        <w:rPr>
          <w:b/>
          <w:bCs/>
          <w:color w:val="auto"/>
          <w:sz w:val="24"/>
          <w:szCs w:val="24"/>
          <w:highlight w:val="none"/>
        </w:rPr>
        <w:t>下载</w:t>
      </w:r>
      <w:r>
        <w:rPr>
          <w:rFonts w:hint="eastAsia"/>
          <w:b/>
          <w:bCs/>
          <w:color w:val="auto"/>
          <w:sz w:val="24"/>
          <w:szCs w:val="24"/>
          <w:highlight w:val="none"/>
        </w:rPr>
        <w:t>；</w:t>
      </w:r>
    </w:p>
    <w:p w14:paraId="0342455C">
      <w:pPr>
        <w:spacing w:line="360" w:lineRule="auto"/>
        <w:ind w:firstLine="540"/>
        <w:rPr>
          <w:b/>
          <w:bCs/>
          <w:color w:val="auto"/>
          <w:sz w:val="24"/>
          <w:szCs w:val="24"/>
          <w:highlight w:val="none"/>
        </w:rPr>
      </w:pPr>
      <w:r>
        <w:rPr>
          <w:rFonts w:hint="eastAsia"/>
          <w:b/>
          <w:bCs/>
          <w:color w:val="auto"/>
          <w:sz w:val="24"/>
          <w:szCs w:val="24"/>
          <w:highlight w:val="none"/>
        </w:rPr>
        <w:t>具体流程请查询安阳县公共资源交易分中心网站-服务指南-操作手册-《安阳市公共资源交易系统投标人（供应商）操作手册》。</w:t>
      </w:r>
      <w:r>
        <w:rPr>
          <w:b/>
          <w:bCs/>
          <w:color w:val="auto"/>
          <w:sz w:val="24"/>
          <w:szCs w:val="24"/>
          <w:highlight w:val="none"/>
        </w:rPr>
        <w:t>如有技术问题请咨询</w:t>
      </w:r>
      <w:r>
        <w:rPr>
          <w:rFonts w:hint="eastAsia"/>
          <w:b/>
          <w:bCs/>
          <w:color w:val="auto"/>
          <w:sz w:val="24"/>
          <w:szCs w:val="24"/>
          <w:highlight w:val="none"/>
        </w:rPr>
        <w:t>400-998-0000、0372-3387739。</w:t>
      </w:r>
    </w:p>
    <w:p w14:paraId="4707F529">
      <w:pPr>
        <w:spacing w:line="360" w:lineRule="auto"/>
        <w:ind w:firstLine="540"/>
        <w:rPr>
          <w:rFonts w:ascii="宋体" w:hAnsi="宋体" w:cs="宋体"/>
          <w:color w:val="auto"/>
          <w:sz w:val="24"/>
          <w:szCs w:val="24"/>
          <w:highlight w:val="none"/>
        </w:rPr>
      </w:pPr>
      <w:r>
        <w:rPr>
          <w:rFonts w:hint="eastAsia" w:ascii="宋体" w:hAnsi="宋体"/>
          <w:color w:val="auto"/>
          <w:sz w:val="24"/>
          <w:szCs w:val="24"/>
          <w:highlight w:val="none"/>
        </w:rPr>
        <w:t>3.4售价：</w:t>
      </w:r>
      <w:r>
        <w:rPr>
          <w:rFonts w:hint="eastAsia" w:ascii="宋体" w:hAnsi="宋体" w:cs="宋体"/>
          <w:color w:val="auto"/>
          <w:sz w:val="24"/>
          <w:szCs w:val="24"/>
          <w:highlight w:val="none"/>
        </w:rPr>
        <w:t>0元</w:t>
      </w:r>
    </w:p>
    <w:p w14:paraId="7292E3D2">
      <w:pPr>
        <w:widowControl w:val="0"/>
        <w:snapToGrid w:val="0"/>
        <w:spacing w:line="360" w:lineRule="auto"/>
        <w:rPr>
          <w:rFonts w:ascii="黑体" w:hAnsi="黑体" w:eastAsia="黑体"/>
          <w:b/>
          <w:color w:val="auto"/>
          <w:sz w:val="28"/>
          <w:szCs w:val="28"/>
          <w:highlight w:val="none"/>
        </w:rPr>
      </w:pPr>
    </w:p>
    <w:p w14:paraId="5A78600B">
      <w:pPr>
        <w:widowControl w:val="0"/>
        <w:snapToGrid w:val="0"/>
        <w:spacing w:line="360" w:lineRule="auto"/>
        <w:ind w:firstLine="562" w:firstLineChars="200"/>
        <w:rPr>
          <w:rFonts w:ascii="黑体" w:hAnsi="黑体" w:eastAsia="黑体"/>
          <w:b/>
          <w:color w:val="auto"/>
          <w:sz w:val="28"/>
          <w:szCs w:val="28"/>
          <w:highlight w:val="none"/>
        </w:rPr>
      </w:pPr>
      <w:r>
        <w:rPr>
          <w:rFonts w:ascii="黑体" w:hAnsi="黑体" w:eastAsia="黑体"/>
          <w:b/>
          <w:color w:val="auto"/>
          <w:sz w:val="28"/>
          <w:szCs w:val="28"/>
          <w:highlight w:val="none"/>
        </w:rPr>
        <w:t>4</w:t>
      </w:r>
      <w:r>
        <w:rPr>
          <w:rFonts w:hint="eastAsia" w:ascii="黑体" w:hAnsi="黑体" w:eastAsia="黑体"/>
          <w:b/>
          <w:color w:val="auto"/>
          <w:sz w:val="28"/>
          <w:szCs w:val="28"/>
          <w:highlight w:val="none"/>
        </w:rPr>
        <w:t>．响应文件提交</w:t>
      </w:r>
    </w:p>
    <w:p w14:paraId="022444DC">
      <w:pPr>
        <w:snapToGrid w:val="0"/>
        <w:spacing w:line="360" w:lineRule="auto"/>
        <w:ind w:firstLine="540" w:firstLineChars="225"/>
        <w:jc w:val="left"/>
        <w:rPr>
          <w:rFonts w:ascii="宋体" w:hAnsi="宋体"/>
          <w:color w:val="auto"/>
          <w:sz w:val="24"/>
          <w:szCs w:val="24"/>
          <w:highlight w:val="none"/>
        </w:rPr>
      </w:pPr>
      <w:r>
        <w:rPr>
          <w:rFonts w:hint="eastAsia" w:ascii="宋体" w:hAnsi="宋体"/>
          <w:color w:val="auto"/>
          <w:sz w:val="24"/>
          <w:szCs w:val="24"/>
          <w:highlight w:val="none"/>
        </w:rPr>
        <w:t>4.1截止时间：2025年</w:t>
      </w:r>
      <w:r>
        <w:rPr>
          <w:rFonts w:hint="eastAsia" w:ascii="宋体" w:hAnsi="宋体"/>
          <w:color w:val="auto"/>
          <w:sz w:val="24"/>
          <w:szCs w:val="24"/>
          <w:highlight w:val="none"/>
          <w:lang w:val="en-US" w:eastAsia="zh-CN"/>
        </w:rPr>
        <w:t>12</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日09时00分（北京时间）</w:t>
      </w:r>
    </w:p>
    <w:p w14:paraId="79F27286">
      <w:pPr>
        <w:snapToGrid w:val="0"/>
        <w:spacing w:line="360" w:lineRule="auto"/>
        <w:ind w:firstLine="540" w:firstLineChars="225"/>
        <w:jc w:val="left"/>
        <w:rPr>
          <w:rFonts w:ascii="宋体" w:hAnsi="宋体"/>
          <w:color w:val="auto"/>
          <w:sz w:val="24"/>
          <w:szCs w:val="24"/>
          <w:highlight w:val="none"/>
        </w:rPr>
      </w:pPr>
      <w:r>
        <w:rPr>
          <w:rFonts w:hint="eastAsia" w:ascii="宋体" w:hAnsi="宋体"/>
          <w:color w:val="auto"/>
          <w:sz w:val="24"/>
          <w:szCs w:val="24"/>
          <w:highlight w:val="none"/>
        </w:rPr>
        <w:t>4.2地点：于安阳县公共资源交易平台网</w:t>
      </w:r>
      <w:r>
        <w:rPr>
          <w:rFonts w:ascii="宋体" w:hAnsi="宋体"/>
          <w:color w:val="auto"/>
          <w:sz w:val="24"/>
          <w:szCs w:val="24"/>
          <w:highlight w:val="none"/>
        </w:rPr>
        <w:t>上</w:t>
      </w:r>
      <w:r>
        <w:rPr>
          <w:rFonts w:hint="eastAsia" w:ascii="宋体" w:hAnsi="宋体"/>
          <w:color w:val="auto"/>
          <w:sz w:val="24"/>
          <w:szCs w:val="24"/>
          <w:highlight w:val="none"/>
        </w:rPr>
        <w:t>上传</w:t>
      </w:r>
      <w:r>
        <w:rPr>
          <w:rFonts w:ascii="宋体" w:hAnsi="宋体"/>
          <w:color w:val="auto"/>
          <w:sz w:val="24"/>
          <w:szCs w:val="24"/>
          <w:highlight w:val="none"/>
        </w:rPr>
        <w:t>递</w:t>
      </w:r>
      <w:r>
        <w:rPr>
          <w:rFonts w:hint="eastAsia" w:ascii="宋体" w:hAnsi="宋体"/>
          <w:color w:val="auto"/>
          <w:sz w:val="24"/>
          <w:szCs w:val="24"/>
          <w:highlight w:val="none"/>
        </w:rPr>
        <w:t>交、</w:t>
      </w:r>
      <w:r>
        <w:rPr>
          <w:rFonts w:ascii="宋体" w:hAnsi="宋体"/>
          <w:color w:val="auto"/>
          <w:sz w:val="24"/>
          <w:szCs w:val="24"/>
          <w:highlight w:val="none"/>
        </w:rPr>
        <w:t>并</w:t>
      </w:r>
      <w:r>
        <w:rPr>
          <w:rFonts w:hint="eastAsia" w:ascii="宋体" w:hAnsi="宋体"/>
          <w:color w:val="auto"/>
          <w:sz w:val="24"/>
          <w:szCs w:val="24"/>
          <w:highlight w:val="none"/>
        </w:rPr>
        <w:t>由投标人</w:t>
      </w:r>
      <w:r>
        <w:rPr>
          <w:rFonts w:ascii="宋体" w:hAnsi="宋体"/>
          <w:color w:val="auto"/>
          <w:sz w:val="24"/>
          <w:szCs w:val="24"/>
          <w:highlight w:val="none"/>
        </w:rPr>
        <w:t>在规定时间</w:t>
      </w:r>
      <w:r>
        <w:rPr>
          <w:rFonts w:hint="eastAsia" w:ascii="宋体" w:hAnsi="宋体"/>
          <w:color w:val="auto"/>
          <w:sz w:val="24"/>
          <w:szCs w:val="24"/>
          <w:highlight w:val="none"/>
        </w:rPr>
        <w:t>远程解密。</w:t>
      </w:r>
    </w:p>
    <w:p w14:paraId="43DDAC9D">
      <w:pPr>
        <w:snapToGrid w:val="0"/>
        <w:spacing w:line="360" w:lineRule="auto"/>
        <w:ind w:firstLine="472" w:firstLineChars="225"/>
        <w:jc w:val="left"/>
        <w:rPr>
          <w:rFonts w:ascii="微软雅黑" w:hAnsi="微软雅黑" w:eastAsia="微软雅黑"/>
          <w:color w:val="auto"/>
          <w:szCs w:val="21"/>
          <w:highlight w:val="none"/>
        </w:rPr>
      </w:pPr>
    </w:p>
    <w:p w14:paraId="021AF49C">
      <w:pPr>
        <w:widowControl w:val="0"/>
        <w:snapToGrid w:val="0"/>
        <w:spacing w:line="360" w:lineRule="auto"/>
        <w:ind w:firstLine="562" w:firstLineChars="200"/>
        <w:rPr>
          <w:rFonts w:ascii="黑体" w:hAnsi="黑体" w:eastAsia="黑体"/>
          <w:b/>
          <w:color w:val="auto"/>
          <w:sz w:val="28"/>
          <w:szCs w:val="28"/>
          <w:highlight w:val="none"/>
        </w:rPr>
      </w:pPr>
      <w:r>
        <w:rPr>
          <w:rFonts w:hint="eastAsia" w:ascii="黑体" w:hAnsi="黑体" w:eastAsia="黑体"/>
          <w:b/>
          <w:color w:val="auto"/>
          <w:sz w:val="28"/>
          <w:szCs w:val="28"/>
          <w:highlight w:val="none"/>
        </w:rPr>
        <w:t>5.响应文件开启</w:t>
      </w:r>
    </w:p>
    <w:p w14:paraId="0D71DC24">
      <w:pPr>
        <w:snapToGrid w:val="0"/>
        <w:spacing w:line="360" w:lineRule="auto"/>
        <w:ind w:firstLine="540" w:firstLineChars="225"/>
        <w:jc w:val="left"/>
        <w:rPr>
          <w:rFonts w:ascii="宋体" w:hAnsi="宋体"/>
          <w:color w:val="auto"/>
          <w:sz w:val="24"/>
          <w:szCs w:val="24"/>
          <w:highlight w:val="none"/>
        </w:rPr>
      </w:pPr>
      <w:r>
        <w:rPr>
          <w:rFonts w:hint="eastAsia" w:ascii="宋体" w:hAnsi="宋体"/>
          <w:color w:val="auto"/>
          <w:sz w:val="24"/>
          <w:szCs w:val="24"/>
          <w:highlight w:val="none"/>
        </w:rPr>
        <w:t>5.1时间：2025年</w:t>
      </w:r>
      <w:r>
        <w:rPr>
          <w:rFonts w:hint="eastAsia" w:ascii="宋体" w:hAnsi="宋体"/>
          <w:color w:val="auto"/>
          <w:sz w:val="24"/>
          <w:szCs w:val="24"/>
          <w:highlight w:val="none"/>
          <w:lang w:val="en-US" w:eastAsia="zh-CN"/>
        </w:rPr>
        <w:t>12</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日09时00分（北京时间）</w:t>
      </w:r>
    </w:p>
    <w:p w14:paraId="5E111FA5">
      <w:pPr>
        <w:snapToGrid w:val="0"/>
        <w:spacing w:line="360" w:lineRule="auto"/>
        <w:ind w:firstLine="540" w:firstLineChars="225"/>
        <w:jc w:val="left"/>
        <w:rPr>
          <w:rFonts w:ascii="宋体" w:hAnsi="宋体"/>
          <w:color w:val="auto"/>
          <w:sz w:val="24"/>
          <w:szCs w:val="24"/>
          <w:highlight w:val="none"/>
        </w:rPr>
      </w:pPr>
      <w:r>
        <w:rPr>
          <w:rFonts w:hint="eastAsia" w:ascii="宋体" w:hAnsi="宋体"/>
          <w:color w:val="auto"/>
          <w:sz w:val="24"/>
          <w:szCs w:val="24"/>
          <w:highlight w:val="none"/>
        </w:rPr>
        <w:t>5.2地点（管理员网上操作地点）：安阳县公共资源交易分中心第</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开标厅（安阳市文明大道东段—安阳市城乡一体化示范区管委会院内）。</w:t>
      </w:r>
    </w:p>
    <w:p w14:paraId="71620839">
      <w:pPr>
        <w:snapToGrid w:val="0"/>
        <w:spacing w:line="360" w:lineRule="auto"/>
        <w:ind w:firstLine="540" w:firstLineChars="225"/>
        <w:jc w:val="left"/>
        <w:rPr>
          <w:rFonts w:ascii="宋体" w:hAnsi="宋体"/>
          <w:color w:val="auto"/>
          <w:sz w:val="24"/>
          <w:szCs w:val="24"/>
          <w:highlight w:val="none"/>
        </w:rPr>
      </w:pPr>
      <w:r>
        <w:rPr>
          <w:rFonts w:hint="eastAsia" w:ascii="宋体" w:hAnsi="宋体"/>
          <w:color w:val="auto"/>
          <w:sz w:val="24"/>
          <w:szCs w:val="24"/>
          <w:highlight w:val="none"/>
        </w:rPr>
        <w:t>5.3本项目采用远程不见面交易的模式，开标当日，投标人无需到开标现场参加开标会议，投标人应当在投标截止时间前，使用IE浏览器登录到安阳市公共资源交易不见面开标大厅，点击右上方【登录】按钮进入，在线准时参加开标活动并进行投标文件解密等。因投标人原因未能解密、解密失败或解密超时的将被拒绝。</w:t>
      </w:r>
    </w:p>
    <w:p w14:paraId="6E9BA0FD">
      <w:pPr>
        <w:snapToGrid w:val="0"/>
        <w:spacing w:line="360" w:lineRule="auto"/>
        <w:ind w:firstLine="540" w:firstLineChars="225"/>
        <w:jc w:val="left"/>
        <w:rPr>
          <w:rFonts w:ascii="宋体" w:hAnsi="宋体"/>
          <w:color w:val="auto"/>
          <w:sz w:val="24"/>
          <w:szCs w:val="24"/>
          <w:highlight w:val="none"/>
        </w:rPr>
      </w:pPr>
    </w:p>
    <w:p w14:paraId="17BFCECE">
      <w:pPr>
        <w:widowControl w:val="0"/>
        <w:snapToGrid w:val="0"/>
        <w:spacing w:line="360" w:lineRule="auto"/>
        <w:ind w:firstLine="562" w:firstLineChars="200"/>
        <w:rPr>
          <w:rFonts w:ascii="黑体" w:hAnsi="黑体" w:eastAsia="黑体"/>
          <w:b/>
          <w:color w:val="auto"/>
          <w:sz w:val="28"/>
          <w:szCs w:val="28"/>
          <w:highlight w:val="none"/>
        </w:rPr>
      </w:pPr>
      <w:r>
        <w:rPr>
          <w:rFonts w:hint="eastAsia" w:ascii="黑体" w:hAnsi="黑体" w:eastAsia="黑体"/>
          <w:b/>
          <w:color w:val="auto"/>
          <w:sz w:val="28"/>
          <w:szCs w:val="28"/>
          <w:highlight w:val="none"/>
        </w:rPr>
        <w:t>6.发布公告的媒介及公告期限</w:t>
      </w:r>
    </w:p>
    <w:p w14:paraId="49C5DB2C">
      <w:pPr>
        <w:widowControl w:val="0"/>
        <w:adjustRightInd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本项目在“河南省政府采购网（安阳市政府采购网）”、“</w:t>
      </w:r>
      <w:r>
        <w:rPr>
          <w:rFonts w:hint="eastAsia" w:ascii="宋体" w:hAnsi="宋体" w:cs="宋体"/>
          <w:color w:val="auto"/>
          <w:sz w:val="24"/>
          <w:szCs w:val="24"/>
          <w:highlight w:val="none"/>
        </w:rPr>
        <w:t>全国公共资源交易平台（河南省·安阳县）</w:t>
      </w:r>
      <w:r>
        <w:rPr>
          <w:rFonts w:hint="eastAsia"/>
          <w:color w:val="auto"/>
          <w:sz w:val="24"/>
          <w:szCs w:val="24"/>
          <w:highlight w:val="none"/>
        </w:rPr>
        <w:t>安阳县公共资源交易分中心</w:t>
      </w:r>
      <w:r>
        <w:rPr>
          <w:rFonts w:hint="eastAsia" w:ascii="宋体" w:hAnsi="宋体"/>
          <w:color w:val="auto"/>
          <w:sz w:val="24"/>
          <w:szCs w:val="24"/>
          <w:highlight w:val="none"/>
        </w:rPr>
        <w:t>”、“安阳招标采购网”网站上同期发布。公告期限为三个工作日</w:t>
      </w:r>
      <w:r>
        <w:rPr>
          <w:rFonts w:hint="eastAsia" w:ascii="宋体" w:hAnsi="宋体" w:cs="宋体"/>
          <w:color w:val="auto"/>
          <w:sz w:val="24"/>
          <w:szCs w:val="24"/>
          <w:highlight w:val="none"/>
        </w:rPr>
        <w:t>。</w:t>
      </w:r>
    </w:p>
    <w:p w14:paraId="5E2DFBD5">
      <w:pPr>
        <w:widowControl w:val="0"/>
        <w:tabs>
          <w:tab w:val="left" w:pos="39"/>
          <w:tab w:val="left" w:pos="96"/>
        </w:tabs>
        <w:snapToGrid w:val="0"/>
        <w:spacing w:line="360" w:lineRule="auto"/>
        <w:ind w:firstLine="566" w:firstLineChars="236"/>
        <w:rPr>
          <w:rFonts w:ascii="宋体" w:hAnsi="宋体" w:cs="宋体"/>
          <w:color w:val="auto"/>
          <w:sz w:val="24"/>
          <w:szCs w:val="24"/>
          <w:highlight w:val="none"/>
        </w:rPr>
      </w:pPr>
    </w:p>
    <w:p w14:paraId="6EFFD47B">
      <w:pPr>
        <w:widowControl w:val="0"/>
        <w:tabs>
          <w:tab w:val="left" w:pos="39"/>
          <w:tab w:val="left" w:pos="96"/>
        </w:tabs>
        <w:snapToGrid w:val="0"/>
        <w:spacing w:line="360" w:lineRule="auto"/>
        <w:ind w:firstLine="663" w:firstLineChars="236"/>
        <w:rPr>
          <w:rFonts w:ascii="黑体" w:hAnsi="黑体" w:eastAsia="黑体"/>
          <w:b/>
          <w:color w:val="auto"/>
          <w:sz w:val="28"/>
          <w:szCs w:val="28"/>
          <w:highlight w:val="none"/>
        </w:rPr>
      </w:pPr>
      <w:r>
        <w:rPr>
          <w:rFonts w:hint="eastAsia" w:ascii="黑体" w:hAnsi="黑体" w:eastAsia="黑体"/>
          <w:b/>
          <w:color w:val="auto"/>
          <w:sz w:val="28"/>
          <w:szCs w:val="28"/>
          <w:highlight w:val="none"/>
        </w:rPr>
        <w:t>7. 其他补充事宜</w:t>
      </w:r>
    </w:p>
    <w:p w14:paraId="5BB20358">
      <w:pPr>
        <w:widowControl w:val="0"/>
        <w:snapToGrid w:val="0"/>
        <w:spacing w:line="360" w:lineRule="auto"/>
        <w:ind w:firstLine="540" w:firstLineChars="225"/>
        <w:jc w:val="left"/>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7.1项目落实的政府采购政策：强制节能产品强制采购、节能产品、环境标志产品优先采购、促进中小企业发展扶持政策、进口产品政策、信息安全产品、社会信用体系建设、促进残疾人就业、支持监狱企业发展、支持绿色建筑、绿色建材，支持不发达、少数民族地区的企业，促进自主创新产业发展，支持脱贫攻坚等。</w:t>
      </w:r>
    </w:p>
    <w:p w14:paraId="3084B430">
      <w:pPr>
        <w:widowControl w:val="0"/>
        <w:snapToGrid w:val="0"/>
        <w:spacing w:line="360" w:lineRule="auto"/>
        <w:ind w:firstLine="540" w:firstLineChars="225"/>
        <w:jc w:val="left"/>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7.2政府采购合同融资</w:t>
      </w:r>
    </w:p>
    <w:p w14:paraId="3080E72A">
      <w:pPr>
        <w:widowControl w:val="0"/>
        <w:snapToGrid w:val="0"/>
        <w:spacing w:line="360" w:lineRule="auto"/>
        <w:ind w:firstLine="540" w:firstLineChars="225"/>
        <w:jc w:val="left"/>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根据豫财购〔2017〕10号和安财购〔2017〕7号文要求，参加政府采购项目的中小微企业供应商，持中标（成交）通知书可向金融机构申请合同融资，详情请登录安阳市政府采购网（http://anyang.hngp.gov.cn/anyang），进入网站飘窗或业务指南窗口了解金融机构提供的融资服务内容。</w:t>
      </w:r>
    </w:p>
    <w:p w14:paraId="5B5FC5AD">
      <w:pPr>
        <w:widowControl w:val="0"/>
        <w:snapToGrid w:val="0"/>
        <w:spacing w:line="360" w:lineRule="auto"/>
        <w:ind w:firstLine="540" w:firstLineChars="225"/>
        <w:jc w:val="left"/>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7.3网上电子交易系统网址</w:t>
      </w:r>
    </w:p>
    <w:p w14:paraId="424BC125">
      <w:pPr>
        <w:widowControl w:val="0"/>
        <w:adjustRightInd w:val="0"/>
        <w:snapToGrid w:val="0"/>
        <w:spacing w:line="360" w:lineRule="auto"/>
        <w:ind w:firstLine="542" w:firstLineChars="225"/>
        <w:rPr>
          <w:rFonts w:ascii="宋体" w:hAnsi="宋体"/>
          <w:b/>
          <w:color w:val="auto"/>
          <w:sz w:val="24"/>
          <w:szCs w:val="24"/>
          <w:highlight w:val="none"/>
        </w:rPr>
      </w:pPr>
      <w:r>
        <w:rPr>
          <w:rFonts w:ascii="宋体" w:hAnsi="宋体"/>
          <w:b/>
          <w:color w:val="auto"/>
          <w:sz w:val="24"/>
          <w:szCs w:val="24"/>
          <w:highlight w:val="none"/>
        </w:rPr>
        <w:t>7.</w:t>
      </w:r>
      <w:r>
        <w:rPr>
          <w:rFonts w:hint="eastAsia" w:ascii="宋体" w:hAnsi="宋体"/>
          <w:b/>
          <w:color w:val="auto"/>
          <w:sz w:val="24"/>
          <w:szCs w:val="24"/>
          <w:highlight w:val="none"/>
        </w:rPr>
        <w:t>3.</w:t>
      </w:r>
      <w:r>
        <w:rPr>
          <w:rFonts w:ascii="宋体" w:hAnsi="宋体"/>
          <w:b/>
          <w:color w:val="auto"/>
          <w:sz w:val="24"/>
          <w:szCs w:val="24"/>
          <w:highlight w:val="none"/>
        </w:rPr>
        <w:t>1</w:t>
      </w:r>
      <w:r>
        <w:rPr>
          <w:rFonts w:hint="eastAsia" w:ascii="宋体" w:hAnsi="宋体"/>
          <w:b/>
          <w:color w:val="auto"/>
          <w:sz w:val="24"/>
          <w:szCs w:val="24"/>
          <w:highlight w:val="none"/>
        </w:rPr>
        <w:t xml:space="preserve"> 全国公共资源交易平台（</w:t>
      </w:r>
      <w:r>
        <w:rPr>
          <w:rFonts w:hint="eastAsia" w:ascii="宋体" w:hAnsi="宋体" w:cs="宋体"/>
          <w:b/>
          <w:color w:val="auto"/>
          <w:sz w:val="24"/>
          <w:szCs w:val="24"/>
          <w:highlight w:val="none"/>
        </w:rPr>
        <w:t>河南省·安阳县</w:t>
      </w:r>
      <w:r>
        <w:rPr>
          <w:rFonts w:hint="eastAsia" w:ascii="宋体" w:hAnsi="宋体"/>
          <w:b/>
          <w:color w:val="auto"/>
          <w:sz w:val="24"/>
          <w:szCs w:val="24"/>
          <w:highlight w:val="none"/>
        </w:rPr>
        <w:t>）</w:t>
      </w:r>
      <w:r>
        <w:rPr>
          <w:rFonts w:ascii="宋体" w:hAnsi="宋体"/>
          <w:b/>
          <w:color w:val="auto"/>
          <w:sz w:val="24"/>
          <w:szCs w:val="24"/>
          <w:highlight w:val="none"/>
        </w:rPr>
        <w:t>https://ggzy.anyang.gov.cn/ayxggzy/</w:t>
      </w:r>
      <w:r>
        <w:rPr>
          <w:rFonts w:hint="eastAsia" w:ascii="宋体" w:hAnsi="宋体"/>
          <w:b/>
          <w:color w:val="auto"/>
          <w:sz w:val="24"/>
          <w:szCs w:val="24"/>
          <w:highlight w:val="none"/>
        </w:rPr>
        <w:t>谈判文件简称“安阳县公共资源交易平台”</w:t>
      </w:r>
    </w:p>
    <w:p w14:paraId="5BBE976E">
      <w:pPr>
        <w:widowControl w:val="0"/>
        <w:tabs>
          <w:tab w:val="left" w:pos="39"/>
          <w:tab w:val="left" w:pos="96"/>
        </w:tabs>
        <w:snapToGrid w:val="0"/>
        <w:spacing w:line="360" w:lineRule="auto"/>
        <w:ind w:firstLine="602" w:firstLineChars="250"/>
        <w:rPr>
          <w:rFonts w:ascii="宋体"/>
          <w:b/>
          <w:color w:val="auto"/>
          <w:sz w:val="24"/>
          <w:szCs w:val="24"/>
          <w:highlight w:val="none"/>
        </w:rPr>
      </w:pPr>
      <w:r>
        <w:rPr>
          <w:rFonts w:ascii="宋体" w:hAnsi="宋体"/>
          <w:b/>
          <w:color w:val="auto"/>
          <w:sz w:val="24"/>
          <w:szCs w:val="24"/>
          <w:highlight w:val="none"/>
        </w:rPr>
        <w:t>7.</w:t>
      </w:r>
      <w:r>
        <w:rPr>
          <w:rFonts w:hint="eastAsia" w:ascii="宋体" w:hAnsi="宋体"/>
          <w:b/>
          <w:color w:val="auto"/>
          <w:sz w:val="24"/>
          <w:szCs w:val="24"/>
          <w:highlight w:val="none"/>
        </w:rPr>
        <w:t>3.</w:t>
      </w:r>
      <w:r>
        <w:rPr>
          <w:rFonts w:ascii="宋体" w:hAnsi="宋体"/>
          <w:b/>
          <w:color w:val="auto"/>
          <w:sz w:val="24"/>
          <w:szCs w:val="24"/>
          <w:highlight w:val="none"/>
        </w:rPr>
        <w:t>2</w:t>
      </w:r>
      <w:r>
        <w:rPr>
          <w:rFonts w:hint="eastAsia" w:ascii="宋体"/>
          <w:b/>
          <w:color w:val="auto"/>
          <w:sz w:val="24"/>
          <w:szCs w:val="24"/>
          <w:highlight w:val="none"/>
        </w:rPr>
        <w:t>投标文件制作软件：</w:t>
      </w:r>
      <w:r>
        <w:rPr>
          <w:rFonts w:hint="eastAsia" w:ascii="宋体" w:hAnsi="宋体"/>
          <w:b/>
          <w:color w:val="auto"/>
          <w:sz w:val="24"/>
          <w:szCs w:val="24"/>
          <w:highlight w:val="none"/>
        </w:rPr>
        <w:t>在安阳县公共资源交易平台内进行下载</w:t>
      </w:r>
      <w:r>
        <w:rPr>
          <w:rFonts w:hint="eastAsia" w:ascii="宋体"/>
          <w:b/>
          <w:color w:val="auto"/>
          <w:sz w:val="24"/>
          <w:szCs w:val="24"/>
          <w:highlight w:val="none"/>
        </w:rPr>
        <w:t>、并安装投标文件制作工具，查看</w:t>
      </w:r>
      <w:r>
        <w:rPr>
          <w:rFonts w:hint="eastAsia" w:ascii="宋体" w:hAnsi="宋体"/>
          <w:b/>
          <w:color w:val="auto"/>
          <w:sz w:val="24"/>
          <w:szCs w:val="24"/>
          <w:highlight w:val="none"/>
        </w:rPr>
        <w:t>谈判</w:t>
      </w:r>
      <w:r>
        <w:rPr>
          <w:rFonts w:hint="eastAsia" w:ascii="宋体"/>
          <w:b/>
          <w:color w:val="auto"/>
          <w:sz w:val="24"/>
          <w:szCs w:val="24"/>
          <w:highlight w:val="none"/>
        </w:rPr>
        <w:t>文件和制作电子投标文件。</w:t>
      </w:r>
    </w:p>
    <w:p w14:paraId="75E0B8FE">
      <w:pPr>
        <w:widowControl w:val="0"/>
        <w:snapToGrid w:val="0"/>
        <w:spacing w:line="360" w:lineRule="auto"/>
        <w:jc w:val="left"/>
        <w:rPr>
          <w:rFonts w:ascii="黑体" w:hAnsi="黑体" w:eastAsia="黑体"/>
          <w:b/>
          <w:color w:val="auto"/>
          <w:sz w:val="28"/>
          <w:szCs w:val="28"/>
          <w:highlight w:val="none"/>
        </w:rPr>
      </w:pPr>
    </w:p>
    <w:p w14:paraId="693AFCC4">
      <w:pPr>
        <w:widowControl w:val="0"/>
        <w:snapToGrid w:val="0"/>
        <w:spacing w:line="360" w:lineRule="auto"/>
        <w:ind w:firstLine="562" w:firstLineChars="200"/>
        <w:rPr>
          <w:rFonts w:ascii="黑体" w:hAnsi="黑体" w:eastAsia="黑体"/>
          <w:b/>
          <w:color w:val="auto"/>
          <w:sz w:val="28"/>
          <w:szCs w:val="28"/>
          <w:highlight w:val="none"/>
        </w:rPr>
      </w:pPr>
      <w:bookmarkStart w:id="5" w:name="_Toc28359085"/>
      <w:bookmarkStart w:id="6" w:name="_Toc35393627"/>
      <w:bookmarkStart w:id="7" w:name="_Toc28359008"/>
      <w:bookmarkStart w:id="8" w:name="_Toc35393796"/>
      <w:r>
        <w:rPr>
          <w:rFonts w:hint="eastAsia" w:ascii="黑体" w:hAnsi="黑体" w:eastAsia="黑体"/>
          <w:b/>
          <w:color w:val="auto"/>
          <w:sz w:val="28"/>
          <w:szCs w:val="28"/>
          <w:highlight w:val="none"/>
        </w:rPr>
        <w:t>8.凡对本次采购提出询问，请按</w:t>
      </w:r>
      <w:r>
        <w:rPr>
          <w:rFonts w:ascii="黑体" w:hAnsi="黑体" w:eastAsia="黑体"/>
          <w:b/>
          <w:color w:val="auto"/>
          <w:sz w:val="28"/>
          <w:szCs w:val="28"/>
          <w:highlight w:val="none"/>
        </w:rPr>
        <w:t>以下方式</w:t>
      </w:r>
      <w:r>
        <w:rPr>
          <w:rFonts w:hint="eastAsia" w:ascii="黑体" w:hAnsi="黑体" w:eastAsia="黑体"/>
          <w:b/>
          <w:color w:val="auto"/>
          <w:sz w:val="28"/>
          <w:szCs w:val="28"/>
          <w:highlight w:val="none"/>
        </w:rPr>
        <w:t>联系。</w:t>
      </w:r>
      <w:bookmarkEnd w:id="5"/>
      <w:bookmarkEnd w:id="6"/>
      <w:bookmarkEnd w:id="7"/>
      <w:bookmarkEnd w:id="8"/>
    </w:p>
    <w:p w14:paraId="708050F5">
      <w:pPr>
        <w:ind w:firstLine="600" w:firstLineChars="250"/>
        <w:jc w:val="left"/>
        <w:rPr>
          <w:rFonts w:ascii="宋体" w:hAnsi="宋体"/>
          <w:color w:val="auto"/>
          <w:sz w:val="24"/>
          <w:szCs w:val="24"/>
          <w:highlight w:val="none"/>
        </w:rPr>
      </w:pPr>
      <w:r>
        <w:rPr>
          <w:rFonts w:hint="eastAsia" w:ascii="宋体" w:hAnsi="宋体" w:cs="宋体"/>
          <w:color w:val="auto"/>
          <w:sz w:val="24"/>
          <w:szCs w:val="24"/>
          <w:highlight w:val="none"/>
        </w:rPr>
        <w:t>8.1采购人信息</w:t>
      </w:r>
    </w:p>
    <w:p w14:paraId="1F6CFF7D">
      <w:pPr>
        <w:spacing w:line="360" w:lineRule="auto"/>
        <w:ind w:left="1079" w:leftChars="371" w:hanging="300" w:hangingChars="125"/>
        <w:jc w:val="left"/>
        <w:rPr>
          <w:rFonts w:ascii="宋体" w:hAnsi="宋体"/>
          <w:color w:val="auto"/>
          <w:sz w:val="24"/>
          <w:szCs w:val="24"/>
          <w:highlight w:val="none"/>
        </w:rPr>
      </w:pPr>
      <w:r>
        <w:rPr>
          <w:rFonts w:hint="eastAsia" w:ascii="宋体" w:hAnsi="宋体"/>
          <w:color w:val="auto"/>
          <w:sz w:val="24"/>
          <w:szCs w:val="24"/>
          <w:highlight w:val="none"/>
        </w:rPr>
        <w:t>名 称：安阳县看守所</w:t>
      </w:r>
    </w:p>
    <w:p w14:paraId="522538DF">
      <w:pPr>
        <w:spacing w:line="360" w:lineRule="auto"/>
        <w:ind w:left="1079" w:leftChars="371" w:hanging="300" w:hangingChars="125"/>
        <w:jc w:val="left"/>
        <w:rPr>
          <w:rFonts w:ascii="宋体" w:hAnsi="宋体"/>
          <w:color w:val="auto"/>
          <w:sz w:val="24"/>
          <w:szCs w:val="24"/>
          <w:highlight w:val="none"/>
        </w:rPr>
      </w:pPr>
      <w:r>
        <w:rPr>
          <w:rFonts w:hint="eastAsia" w:ascii="宋体" w:hAnsi="宋体"/>
          <w:color w:val="auto"/>
          <w:sz w:val="24"/>
          <w:szCs w:val="24"/>
          <w:highlight w:val="none"/>
        </w:rPr>
        <w:t>地址：安阳县韩陵镇东大佛村</w:t>
      </w:r>
    </w:p>
    <w:p w14:paraId="3A2DF077">
      <w:pPr>
        <w:spacing w:line="360" w:lineRule="auto"/>
        <w:ind w:left="1079" w:leftChars="371" w:hanging="300" w:hangingChars="125"/>
        <w:jc w:val="left"/>
        <w:rPr>
          <w:rFonts w:ascii="宋体" w:hAnsi="宋体"/>
          <w:color w:val="auto"/>
          <w:sz w:val="24"/>
          <w:szCs w:val="24"/>
          <w:highlight w:val="none"/>
        </w:rPr>
      </w:pPr>
      <w:r>
        <w:rPr>
          <w:rFonts w:hint="eastAsia" w:ascii="宋体" w:hAnsi="宋体"/>
          <w:color w:val="auto"/>
          <w:sz w:val="24"/>
          <w:szCs w:val="24"/>
          <w:highlight w:val="none"/>
        </w:rPr>
        <w:t>联系人：张希太</w:t>
      </w:r>
    </w:p>
    <w:p w14:paraId="1A9A6559">
      <w:pPr>
        <w:spacing w:line="360" w:lineRule="auto"/>
        <w:ind w:left="1079" w:leftChars="371" w:hanging="300" w:hangingChars="125"/>
        <w:jc w:val="left"/>
        <w:rPr>
          <w:rFonts w:ascii="宋体" w:hAnsi="宋体"/>
          <w:color w:val="auto"/>
          <w:sz w:val="24"/>
          <w:szCs w:val="24"/>
          <w:highlight w:val="none"/>
        </w:rPr>
      </w:pPr>
      <w:r>
        <w:rPr>
          <w:rFonts w:hint="eastAsia" w:ascii="宋体" w:hAnsi="宋体"/>
          <w:color w:val="auto"/>
          <w:sz w:val="24"/>
          <w:szCs w:val="24"/>
          <w:highlight w:val="none"/>
        </w:rPr>
        <w:t>联系方式：</w:t>
      </w:r>
      <w:bookmarkStart w:id="9" w:name="_Toc28359086"/>
      <w:bookmarkStart w:id="10" w:name="_Toc28359009"/>
      <w:r>
        <w:rPr>
          <w:rFonts w:hint="eastAsia" w:ascii="宋体" w:hAnsi="宋体"/>
          <w:color w:val="auto"/>
          <w:sz w:val="24"/>
          <w:szCs w:val="24"/>
          <w:highlight w:val="none"/>
        </w:rPr>
        <w:t>15837209771</w:t>
      </w:r>
    </w:p>
    <w:p w14:paraId="209F3149">
      <w:pPr>
        <w:spacing w:line="360" w:lineRule="auto"/>
        <w:ind w:firstLine="480" w:firstLineChars="200"/>
        <w:jc w:val="left"/>
        <w:rPr>
          <w:rFonts w:ascii="宋体" w:hAnsi="宋体"/>
          <w:color w:val="auto"/>
          <w:sz w:val="24"/>
          <w:szCs w:val="24"/>
          <w:highlight w:val="none"/>
        </w:rPr>
      </w:pPr>
      <w:r>
        <w:rPr>
          <w:rFonts w:hint="eastAsia" w:ascii="宋体" w:hAnsi="宋体" w:cs="宋体"/>
          <w:color w:val="auto"/>
          <w:sz w:val="24"/>
          <w:szCs w:val="24"/>
          <w:highlight w:val="none"/>
        </w:rPr>
        <w:t>8.2采购代理机构信息</w:t>
      </w:r>
      <w:bookmarkEnd w:id="9"/>
      <w:bookmarkEnd w:id="10"/>
    </w:p>
    <w:p w14:paraId="035AE8BF">
      <w:pPr>
        <w:spacing w:line="360" w:lineRule="auto"/>
        <w:ind w:firstLine="720" w:firstLineChars="300"/>
        <w:rPr>
          <w:rFonts w:ascii="宋体" w:hAnsi="宋体"/>
          <w:color w:val="auto"/>
          <w:sz w:val="24"/>
          <w:szCs w:val="24"/>
          <w:highlight w:val="none"/>
        </w:rPr>
      </w:pPr>
      <w:r>
        <w:rPr>
          <w:rFonts w:hint="eastAsia" w:ascii="宋体" w:hAnsi="宋体"/>
          <w:color w:val="auto"/>
          <w:sz w:val="24"/>
          <w:szCs w:val="24"/>
          <w:highlight w:val="none"/>
        </w:rPr>
        <w:t>名 称：安阳市方正招标采购服务有限责任公司  　</w:t>
      </w:r>
    </w:p>
    <w:p w14:paraId="752886A1">
      <w:pPr>
        <w:spacing w:line="360" w:lineRule="auto"/>
        <w:ind w:left="1678" w:leftChars="342" w:hanging="960" w:hangingChars="400"/>
        <w:rPr>
          <w:rFonts w:ascii="宋体" w:hAnsi="宋体"/>
          <w:color w:val="auto"/>
          <w:sz w:val="24"/>
          <w:szCs w:val="24"/>
          <w:highlight w:val="none"/>
        </w:rPr>
      </w:pPr>
      <w:r>
        <w:rPr>
          <w:rFonts w:hint="eastAsia" w:ascii="宋体" w:hAnsi="宋体"/>
          <w:color w:val="auto"/>
          <w:sz w:val="24"/>
          <w:szCs w:val="24"/>
          <w:highlight w:val="none"/>
        </w:rPr>
        <w:t>地　址：安阳市安钢大道39号（人民大道北地下道口南侧、安阳粮食产业集团-后院办公楼五楼）　</w:t>
      </w:r>
    </w:p>
    <w:p w14:paraId="246EC2AC">
      <w:pPr>
        <w:spacing w:line="360" w:lineRule="auto"/>
        <w:ind w:firstLine="720" w:firstLineChars="300"/>
        <w:rPr>
          <w:rFonts w:ascii="宋体" w:hAnsi="宋体"/>
          <w:color w:val="auto"/>
          <w:sz w:val="24"/>
          <w:szCs w:val="24"/>
          <w:highlight w:val="none"/>
        </w:rPr>
      </w:pPr>
      <w:r>
        <w:rPr>
          <w:rFonts w:hint="eastAsia" w:ascii="宋体" w:hAnsi="宋体"/>
          <w:color w:val="auto"/>
          <w:sz w:val="24"/>
          <w:szCs w:val="24"/>
          <w:highlight w:val="none"/>
        </w:rPr>
        <w:t xml:space="preserve">联系人：白杨 </w:t>
      </w:r>
    </w:p>
    <w:p w14:paraId="083DB94B">
      <w:pPr>
        <w:spacing w:line="360" w:lineRule="auto"/>
        <w:ind w:firstLine="720" w:firstLineChars="300"/>
        <w:rPr>
          <w:rFonts w:ascii="宋体" w:hAnsi="宋体"/>
          <w:color w:val="auto"/>
          <w:sz w:val="24"/>
          <w:szCs w:val="24"/>
          <w:highlight w:val="none"/>
        </w:rPr>
      </w:pPr>
      <w:r>
        <w:rPr>
          <w:rFonts w:hint="eastAsia" w:ascii="宋体" w:hAnsi="宋体"/>
          <w:color w:val="auto"/>
          <w:sz w:val="24"/>
          <w:szCs w:val="24"/>
          <w:highlight w:val="none"/>
        </w:rPr>
        <w:t>联系方式：</w:t>
      </w:r>
      <w:bookmarkStart w:id="11" w:name="_Toc28359087"/>
      <w:bookmarkStart w:id="12" w:name="_Toc28359010"/>
      <w:r>
        <w:rPr>
          <w:rFonts w:hint="eastAsia" w:ascii="宋体" w:hAnsi="宋体"/>
          <w:color w:val="auto"/>
          <w:sz w:val="24"/>
          <w:szCs w:val="24"/>
          <w:highlight w:val="none"/>
        </w:rPr>
        <w:t>0372-2283981、2283982   财务部咨询电话：0372-2283983　</w:t>
      </w:r>
    </w:p>
    <w:p w14:paraId="211C7ACC">
      <w:pPr>
        <w:spacing w:line="360" w:lineRule="auto"/>
        <w:ind w:firstLine="480" w:firstLineChars="200"/>
        <w:rPr>
          <w:rFonts w:ascii="宋体" w:hAnsi="宋体"/>
          <w:color w:val="auto"/>
          <w:sz w:val="24"/>
          <w:szCs w:val="24"/>
          <w:highlight w:val="none"/>
        </w:rPr>
      </w:pPr>
      <w:r>
        <w:rPr>
          <w:rFonts w:hint="eastAsia" w:ascii="宋体" w:hAnsi="宋体" w:cs="宋体"/>
          <w:color w:val="auto"/>
          <w:sz w:val="24"/>
          <w:szCs w:val="24"/>
          <w:highlight w:val="none"/>
        </w:rPr>
        <w:t>8.3项目</w:t>
      </w:r>
      <w:r>
        <w:rPr>
          <w:rFonts w:ascii="宋体" w:hAnsi="宋体" w:cs="宋体"/>
          <w:color w:val="auto"/>
          <w:sz w:val="24"/>
          <w:szCs w:val="24"/>
          <w:highlight w:val="none"/>
        </w:rPr>
        <w:t>联系方式</w:t>
      </w:r>
      <w:bookmarkEnd w:id="11"/>
      <w:bookmarkEnd w:id="12"/>
    </w:p>
    <w:p w14:paraId="024DB656">
      <w:pPr>
        <w:pStyle w:val="7"/>
        <w:spacing w:line="360" w:lineRule="auto"/>
        <w:ind w:firstLine="720" w:firstLineChars="300"/>
        <w:rPr>
          <w:rFonts w:hAnsi="宋体"/>
          <w:color w:val="auto"/>
          <w:sz w:val="24"/>
          <w:szCs w:val="24"/>
          <w:highlight w:val="none"/>
        </w:rPr>
      </w:pPr>
      <w:r>
        <w:rPr>
          <w:rFonts w:hint="eastAsia" w:hAnsi="宋体"/>
          <w:color w:val="auto"/>
          <w:sz w:val="24"/>
          <w:szCs w:val="24"/>
          <w:highlight w:val="none"/>
        </w:rPr>
        <w:t xml:space="preserve">项目联系人：白杨  </w:t>
      </w:r>
    </w:p>
    <w:p w14:paraId="40CEDD7E">
      <w:pPr>
        <w:spacing w:line="360" w:lineRule="auto"/>
        <w:ind w:firstLine="720" w:firstLineChars="300"/>
        <w:rPr>
          <w:rFonts w:ascii="宋体" w:hAnsi="宋体"/>
          <w:color w:val="auto"/>
          <w:sz w:val="24"/>
          <w:szCs w:val="24"/>
          <w:highlight w:val="none"/>
        </w:rPr>
      </w:pPr>
      <w:r>
        <w:rPr>
          <w:rFonts w:hint="eastAsia" w:ascii="宋体" w:hAnsi="宋体"/>
          <w:color w:val="auto"/>
          <w:sz w:val="24"/>
          <w:szCs w:val="24"/>
          <w:highlight w:val="none"/>
        </w:rPr>
        <w:t xml:space="preserve">联系方式：0372-2283981、2283982 </w:t>
      </w:r>
    </w:p>
    <w:p w14:paraId="25EE7191">
      <w:pPr>
        <w:pStyle w:val="15"/>
        <w:shd w:val="clear" w:color="auto" w:fill="FFFFFF"/>
        <w:adjustRightInd w:val="0"/>
        <w:spacing w:before="50" w:beforeAutospacing="0" w:after="0" w:afterAutospacing="0" w:line="300" w:lineRule="auto"/>
        <w:rPr>
          <w:color w:val="auto"/>
          <w:highlight w:val="none"/>
        </w:rPr>
      </w:pPr>
    </w:p>
    <w:p w14:paraId="38E3F02C">
      <w:pPr>
        <w:widowControl w:val="0"/>
        <w:snapToGrid w:val="0"/>
        <w:spacing w:line="360" w:lineRule="auto"/>
        <w:ind w:firstLine="562" w:firstLineChars="200"/>
        <w:rPr>
          <w:rFonts w:ascii="黑体" w:hAnsi="黑体" w:eastAsia="黑体"/>
          <w:b/>
          <w:color w:val="auto"/>
          <w:sz w:val="28"/>
          <w:szCs w:val="28"/>
          <w:highlight w:val="none"/>
        </w:rPr>
      </w:pPr>
      <w:r>
        <w:rPr>
          <w:rFonts w:hint="eastAsia" w:ascii="黑体" w:hAnsi="黑体" w:eastAsia="黑体"/>
          <w:b/>
          <w:color w:val="auto"/>
          <w:sz w:val="28"/>
          <w:szCs w:val="28"/>
          <w:highlight w:val="none"/>
        </w:rPr>
        <w:t>9</w:t>
      </w:r>
      <w:r>
        <w:rPr>
          <w:rFonts w:ascii="黑体" w:hAnsi="黑体" w:eastAsia="黑体"/>
          <w:b/>
          <w:color w:val="auto"/>
          <w:sz w:val="28"/>
          <w:szCs w:val="28"/>
          <w:highlight w:val="none"/>
        </w:rPr>
        <w:t>.</w:t>
      </w:r>
      <w:r>
        <w:rPr>
          <w:rFonts w:hint="eastAsia" w:ascii="黑体" w:hAnsi="黑体" w:eastAsia="黑体"/>
          <w:b/>
          <w:color w:val="auto"/>
          <w:sz w:val="28"/>
          <w:szCs w:val="28"/>
          <w:highlight w:val="none"/>
        </w:rPr>
        <w:t>网</w:t>
      </w:r>
      <w:r>
        <w:rPr>
          <w:rFonts w:ascii="黑体" w:hAnsi="黑体" w:eastAsia="黑体"/>
          <w:b/>
          <w:color w:val="auto"/>
          <w:sz w:val="28"/>
          <w:szCs w:val="28"/>
          <w:highlight w:val="none"/>
        </w:rPr>
        <w:t>上</w:t>
      </w:r>
      <w:r>
        <w:rPr>
          <w:rFonts w:hint="eastAsia" w:ascii="黑体" w:hAnsi="黑体" w:eastAsia="黑体"/>
          <w:b/>
          <w:color w:val="auto"/>
          <w:sz w:val="28"/>
          <w:szCs w:val="28"/>
          <w:highlight w:val="none"/>
        </w:rPr>
        <w:t>电子交易提示：</w:t>
      </w:r>
    </w:p>
    <w:p w14:paraId="087EFC0E">
      <w:pPr>
        <w:widowControl w:val="0"/>
        <w:tabs>
          <w:tab w:val="left" w:pos="39"/>
          <w:tab w:val="left" w:pos="96"/>
        </w:tabs>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9</w:t>
      </w:r>
      <w:r>
        <w:rPr>
          <w:rFonts w:ascii="宋体" w:hAnsi="宋体"/>
          <w:color w:val="auto"/>
          <w:sz w:val="24"/>
          <w:szCs w:val="24"/>
          <w:highlight w:val="none"/>
        </w:rPr>
        <w:t>.1</w:t>
      </w:r>
      <w:r>
        <w:rPr>
          <w:rFonts w:hint="eastAsia" w:ascii="宋体" w:hAnsi="宋体"/>
          <w:color w:val="auto"/>
          <w:sz w:val="24"/>
          <w:szCs w:val="24"/>
          <w:highlight w:val="none"/>
        </w:rPr>
        <w:t xml:space="preserve"> 注</w:t>
      </w:r>
      <w:r>
        <w:rPr>
          <w:rFonts w:ascii="宋体" w:hAnsi="宋体"/>
          <w:color w:val="auto"/>
          <w:sz w:val="24"/>
          <w:szCs w:val="24"/>
          <w:highlight w:val="none"/>
        </w:rPr>
        <w:t>册</w:t>
      </w:r>
      <w:r>
        <w:rPr>
          <w:rFonts w:hint="eastAsia" w:ascii="宋体" w:hAnsi="宋体"/>
          <w:color w:val="auto"/>
          <w:sz w:val="24"/>
          <w:szCs w:val="24"/>
          <w:highlight w:val="none"/>
        </w:rPr>
        <w:t>：投标人完成注</w:t>
      </w:r>
      <w:r>
        <w:rPr>
          <w:rFonts w:ascii="宋体" w:hAnsi="宋体"/>
          <w:color w:val="auto"/>
          <w:sz w:val="24"/>
          <w:szCs w:val="24"/>
          <w:highlight w:val="none"/>
        </w:rPr>
        <w:t>册</w:t>
      </w:r>
      <w:r>
        <w:rPr>
          <w:rFonts w:hint="eastAsia" w:ascii="宋体" w:hAnsi="宋体"/>
          <w:color w:val="auto"/>
          <w:sz w:val="24"/>
          <w:szCs w:val="24"/>
          <w:highlight w:val="none"/>
        </w:rPr>
        <w:t>、办理数字证书后</w:t>
      </w:r>
      <w:r>
        <w:rPr>
          <w:rFonts w:ascii="宋体" w:hAnsi="宋体"/>
          <w:color w:val="auto"/>
          <w:sz w:val="24"/>
          <w:szCs w:val="24"/>
          <w:highlight w:val="none"/>
        </w:rPr>
        <w:t>，方可</w:t>
      </w:r>
      <w:r>
        <w:rPr>
          <w:rFonts w:hint="eastAsia" w:ascii="宋体" w:hAnsi="宋体"/>
          <w:color w:val="auto"/>
          <w:sz w:val="24"/>
          <w:szCs w:val="24"/>
          <w:highlight w:val="none"/>
        </w:rPr>
        <w:t>获</w:t>
      </w:r>
      <w:r>
        <w:rPr>
          <w:rFonts w:ascii="宋体" w:hAnsi="宋体"/>
          <w:color w:val="auto"/>
          <w:sz w:val="24"/>
          <w:szCs w:val="24"/>
          <w:highlight w:val="none"/>
        </w:rPr>
        <w:t>取谈判文件、</w:t>
      </w:r>
      <w:r>
        <w:rPr>
          <w:rFonts w:hint="eastAsia" w:ascii="宋体" w:hAnsi="宋体"/>
          <w:color w:val="auto"/>
          <w:sz w:val="24"/>
          <w:szCs w:val="24"/>
          <w:highlight w:val="none"/>
        </w:rPr>
        <w:t>参</w:t>
      </w:r>
      <w:r>
        <w:rPr>
          <w:rFonts w:ascii="宋体" w:hAnsi="宋体"/>
          <w:color w:val="auto"/>
          <w:sz w:val="24"/>
          <w:szCs w:val="24"/>
          <w:highlight w:val="none"/>
        </w:rPr>
        <w:t>加</w:t>
      </w:r>
      <w:r>
        <w:rPr>
          <w:rFonts w:hint="eastAsia" w:ascii="宋体" w:hAnsi="宋体"/>
          <w:color w:val="auto"/>
          <w:sz w:val="24"/>
          <w:szCs w:val="24"/>
          <w:highlight w:val="none"/>
        </w:rPr>
        <w:t>投标等网上电子交易。</w:t>
      </w:r>
    </w:p>
    <w:p w14:paraId="26F46CFD">
      <w:pPr>
        <w:widowControl w:val="0"/>
        <w:tabs>
          <w:tab w:val="left" w:pos="39"/>
          <w:tab w:val="left" w:pos="96"/>
        </w:tabs>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9.2 获取谈判文件：</w:t>
      </w:r>
      <w:r>
        <w:rPr>
          <w:rFonts w:ascii="宋体" w:hAnsi="宋体"/>
          <w:color w:val="auto"/>
          <w:sz w:val="24"/>
          <w:szCs w:val="24"/>
          <w:highlight w:val="none"/>
        </w:rPr>
        <w:t>按</w:t>
      </w:r>
      <w:r>
        <w:rPr>
          <w:rFonts w:hint="eastAsia" w:ascii="宋体" w:hAnsi="宋体"/>
          <w:color w:val="auto"/>
          <w:sz w:val="24"/>
          <w:szCs w:val="24"/>
          <w:highlight w:val="none"/>
        </w:rPr>
        <w:t>本</w:t>
      </w:r>
      <w:r>
        <w:rPr>
          <w:rFonts w:ascii="宋体" w:hAnsi="宋体"/>
          <w:color w:val="auto"/>
          <w:sz w:val="24"/>
          <w:szCs w:val="24"/>
          <w:highlight w:val="none"/>
        </w:rPr>
        <w:t>章第</w:t>
      </w:r>
      <w:r>
        <w:rPr>
          <w:rFonts w:hint="eastAsia" w:ascii="宋体" w:hAnsi="宋体"/>
          <w:color w:val="auto"/>
          <w:sz w:val="24"/>
          <w:szCs w:val="24"/>
          <w:highlight w:val="none"/>
        </w:rPr>
        <w:t>3条</w:t>
      </w:r>
      <w:r>
        <w:rPr>
          <w:rFonts w:ascii="宋体" w:hAnsi="宋体"/>
          <w:color w:val="auto"/>
          <w:sz w:val="24"/>
          <w:szCs w:val="24"/>
          <w:highlight w:val="none"/>
        </w:rPr>
        <w:t>“</w:t>
      </w:r>
      <w:r>
        <w:rPr>
          <w:rFonts w:hint="eastAsia" w:ascii="宋体" w:hAnsi="宋体"/>
          <w:color w:val="auto"/>
          <w:sz w:val="24"/>
          <w:szCs w:val="24"/>
          <w:highlight w:val="none"/>
        </w:rPr>
        <w:t>获取谈判文件</w:t>
      </w:r>
      <w:r>
        <w:rPr>
          <w:rFonts w:ascii="宋体" w:hAnsi="宋体"/>
          <w:color w:val="auto"/>
          <w:sz w:val="24"/>
          <w:szCs w:val="24"/>
          <w:highlight w:val="none"/>
        </w:rPr>
        <w:t>”</w:t>
      </w:r>
      <w:r>
        <w:rPr>
          <w:rFonts w:hint="eastAsia" w:ascii="宋体" w:hAnsi="宋体"/>
          <w:color w:val="auto"/>
          <w:sz w:val="24"/>
          <w:szCs w:val="24"/>
          <w:highlight w:val="none"/>
        </w:rPr>
        <w:t>办</w:t>
      </w:r>
      <w:r>
        <w:rPr>
          <w:rFonts w:ascii="宋体" w:hAnsi="宋体"/>
          <w:color w:val="auto"/>
          <w:sz w:val="24"/>
          <w:szCs w:val="24"/>
          <w:highlight w:val="none"/>
        </w:rPr>
        <w:t>理。</w:t>
      </w:r>
    </w:p>
    <w:p w14:paraId="58ED22A0">
      <w:pPr>
        <w:widowControl w:val="0"/>
        <w:tabs>
          <w:tab w:val="left" w:pos="39"/>
          <w:tab w:val="left" w:pos="96"/>
        </w:tabs>
        <w:snapToGrid w:val="0"/>
        <w:spacing w:line="360" w:lineRule="auto"/>
        <w:ind w:firstLine="540" w:firstLineChars="225"/>
        <w:rPr>
          <w:rFonts w:ascii="黑体" w:hAnsi="黑体" w:eastAsia="黑体" w:cs="楷体_GB2312"/>
          <w:b/>
          <w:color w:val="auto"/>
          <w:sz w:val="24"/>
          <w:highlight w:val="none"/>
          <w:lang w:val="zh-CN"/>
        </w:rPr>
      </w:pPr>
      <w:r>
        <w:rPr>
          <w:rFonts w:hint="eastAsia" w:ascii="宋体" w:hAnsi="宋体"/>
          <w:color w:val="auto"/>
          <w:sz w:val="24"/>
          <w:szCs w:val="24"/>
          <w:highlight w:val="none"/>
        </w:rPr>
        <w:t>9.3 谈判文件的澄清与修改或延期的</w:t>
      </w:r>
      <w:r>
        <w:rPr>
          <w:rFonts w:ascii="宋体" w:hAnsi="宋体"/>
          <w:color w:val="auto"/>
          <w:sz w:val="24"/>
          <w:szCs w:val="24"/>
          <w:highlight w:val="none"/>
        </w:rPr>
        <w:t>通知</w:t>
      </w:r>
      <w:r>
        <w:rPr>
          <w:rFonts w:hint="eastAsia" w:ascii="宋体" w:hAnsi="宋体"/>
          <w:color w:val="auto"/>
          <w:sz w:val="24"/>
          <w:szCs w:val="24"/>
          <w:highlight w:val="none"/>
        </w:rPr>
        <w:t>：</w:t>
      </w:r>
      <w:r>
        <w:rPr>
          <w:rFonts w:ascii="宋体" w:hAnsi="宋体"/>
          <w:color w:val="auto"/>
          <w:sz w:val="24"/>
          <w:szCs w:val="24"/>
          <w:highlight w:val="none"/>
        </w:rPr>
        <w:t>按</w:t>
      </w:r>
      <w:r>
        <w:rPr>
          <w:rFonts w:hint="eastAsia" w:ascii="宋体" w:hAnsi="宋体"/>
          <w:color w:val="auto"/>
          <w:sz w:val="24"/>
          <w:szCs w:val="24"/>
          <w:highlight w:val="none"/>
        </w:rPr>
        <w:t>《</w:t>
      </w:r>
      <w:r>
        <w:rPr>
          <w:rFonts w:ascii="宋体" w:hAnsi="宋体"/>
          <w:color w:val="auto"/>
          <w:sz w:val="24"/>
          <w:szCs w:val="24"/>
          <w:highlight w:val="none"/>
        </w:rPr>
        <w:t>谈判文件</w:t>
      </w:r>
      <w:r>
        <w:rPr>
          <w:rFonts w:hint="eastAsia" w:ascii="宋体" w:hAnsi="宋体"/>
          <w:color w:val="auto"/>
          <w:sz w:val="24"/>
          <w:szCs w:val="24"/>
          <w:highlight w:val="none"/>
        </w:rPr>
        <w:t>》</w:t>
      </w:r>
      <w:r>
        <w:rPr>
          <w:rFonts w:ascii="宋体" w:hAnsi="宋体"/>
          <w:color w:val="auto"/>
          <w:sz w:val="24"/>
          <w:szCs w:val="24"/>
          <w:highlight w:val="none"/>
        </w:rPr>
        <w:t>第三</w:t>
      </w:r>
      <w:r>
        <w:rPr>
          <w:rFonts w:hint="eastAsia" w:ascii="宋体" w:hAnsi="宋体"/>
          <w:color w:val="auto"/>
          <w:sz w:val="24"/>
          <w:szCs w:val="24"/>
          <w:highlight w:val="none"/>
        </w:rPr>
        <w:t>章“投</w:t>
      </w:r>
      <w:r>
        <w:rPr>
          <w:rFonts w:ascii="宋体" w:hAnsi="宋体"/>
          <w:color w:val="auto"/>
          <w:sz w:val="24"/>
          <w:szCs w:val="24"/>
          <w:highlight w:val="none"/>
        </w:rPr>
        <w:t>标人须知”</w:t>
      </w:r>
      <w:r>
        <w:rPr>
          <w:rFonts w:hint="eastAsia" w:ascii="宋体" w:hAnsi="宋体"/>
          <w:color w:val="auto"/>
          <w:sz w:val="24"/>
          <w:szCs w:val="24"/>
          <w:highlight w:val="none"/>
        </w:rPr>
        <w:t>第</w:t>
      </w:r>
      <w:r>
        <w:rPr>
          <w:rFonts w:ascii="宋体" w:hAnsi="宋体"/>
          <w:color w:val="auto"/>
          <w:sz w:val="24"/>
          <w:szCs w:val="24"/>
          <w:highlight w:val="none"/>
        </w:rPr>
        <w:t>2</w:t>
      </w:r>
      <w:r>
        <w:rPr>
          <w:rFonts w:hint="eastAsia" w:ascii="宋体" w:hAnsi="宋体"/>
          <w:color w:val="auto"/>
          <w:sz w:val="24"/>
          <w:szCs w:val="24"/>
          <w:highlight w:val="none"/>
        </w:rPr>
        <w:t>条“2.4 谈判文件的澄清、修改、补充的通知，及相应时间变更</w:t>
      </w:r>
      <w:r>
        <w:rPr>
          <w:rFonts w:ascii="宋体" w:hAnsi="宋体"/>
          <w:color w:val="auto"/>
          <w:sz w:val="24"/>
          <w:szCs w:val="24"/>
          <w:highlight w:val="none"/>
        </w:rPr>
        <w:t>”执行</w:t>
      </w:r>
      <w:r>
        <w:rPr>
          <w:rFonts w:hint="eastAsia" w:ascii="宋体" w:hAnsi="宋体"/>
          <w:color w:val="auto"/>
          <w:sz w:val="24"/>
          <w:szCs w:val="24"/>
          <w:highlight w:val="none"/>
        </w:rPr>
        <w:t>。</w:t>
      </w:r>
      <w:r>
        <w:rPr>
          <w:rFonts w:hint="eastAsia" w:ascii="黑体" w:hAnsi="黑体" w:eastAsia="黑体" w:cs="楷体_GB2312"/>
          <w:b/>
          <w:color w:val="auto"/>
          <w:sz w:val="24"/>
          <w:highlight w:val="none"/>
          <w:lang w:val="zh-CN"/>
        </w:rPr>
        <w:t>不</w:t>
      </w:r>
      <w:r>
        <w:rPr>
          <w:rFonts w:ascii="黑体" w:hAnsi="黑体" w:eastAsia="黑体" w:cs="楷体_GB2312"/>
          <w:b/>
          <w:color w:val="auto"/>
          <w:sz w:val="24"/>
          <w:highlight w:val="none"/>
          <w:lang w:val="zh-CN"/>
        </w:rPr>
        <w:t>另行通知。</w:t>
      </w:r>
    </w:p>
    <w:p w14:paraId="7F5B9BB0">
      <w:pPr>
        <w:widowControl w:val="0"/>
        <w:tabs>
          <w:tab w:val="left" w:pos="39"/>
          <w:tab w:val="left" w:pos="96"/>
        </w:tabs>
        <w:snapToGrid w:val="0"/>
        <w:spacing w:line="360" w:lineRule="auto"/>
        <w:ind w:firstLine="540" w:firstLineChars="225"/>
        <w:rPr>
          <w:rFonts w:ascii="黑体" w:hAnsi="黑体" w:eastAsia="黑体" w:cs="楷体_GB2312"/>
          <w:b/>
          <w:color w:val="auto"/>
          <w:sz w:val="24"/>
          <w:highlight w:val="none"/>
          <w:lang w:val="zh-CN"/>
        </w:rPr>
      </w:pPr>
      <w:r>
        <w:rPr>
          <w:rFonts w:hint="eastAsia" w:ascii="宋体" w:hAnsi="宋体"/>
          <w:color w:val="auto"/>
          <w:sz w:val="24"/>
          <w:szCs w:val="24"/>
          <w:highlight w:val="none"/>
        </w:rPr>
        <w:t>9</w:t>
      </w:r>
      <w:r>
        <w:rPr>
          <w:rFonts w:ascii="宋体" w:hAnsi="宋体"/>
          <w:color w:val="auto"/>
          <w:sz w:val="24"/>
          <w:szCs w:val="24"/>
          <w:highlight w:val="none"/>
        </w:rPr>
        <w:t>.4</w:t>
      </w:r>
      <w:r>
        <w:rPr>
          <w:rFonts w:hint="eastAsia" w:ascii="宋体" w:hAnsi="宋体"/>
          <w:color w:val="auto"/>
          <w:sz w:val="24"/>
          <w:szCs w:val="24"/>
          <w:highlight w:val="none"/>
        </w:rPr>
        <w:t xml:space="preserve"> 响应文件编制：在安阳县公共资源交易中心网站下载并安装投标文件制作工具、进行编制，按《谈判文件》第三章“投标人须知”第3条第</w:t>
      </w:r>
      <w:r>
        <w:rPr>
          <w:rFonts w:ascii="宋体" w:hAnsi="宋体"/>
          <w:color w:val="auto"/>
          <w:sz w:val="24"/>
          <w:szCs w:val="24"/>
          <w:highlight w:val="none"/>
        </w:rPr>
        <w:t>7</w:t>
      </w:r>
      <w:r>
        <w:rPr>
          <w:rFonts w:hint="eastAsia" w:ascii="宋体" w:hAnsi="宋体"/>
          <w:color w:val="auto"/>
          <w:sz w:val="24"/>
          <w:szCs w:val="24"/>
          <w:highlight w:val="none"/>
        </w:rPr>
        <w:t>款“</w:t>
      </w:r>
      <w:r>
        <w:rPr>
          <w:rFonts w:ascii="宋体" w:hAnsi="宋体"/>
          <w:color w:val="auto"/>
          <w:sz w:val="24"/>
          <w:szCs w:val="24"/>
          <w:highlight w:val="none"/>
        </w:rPr>
        <w:t>3.7</w:t>
      </w:r>
      <w:r>
        <w:rPr>
          <w:rFonts w:hint="eastAsia" w:ascii="宋体" w:hAnsi="宋体"/>
          <w:color w:val="auto"/>
          <w:sz w:val="24"/>
          <w:szCs w:val="24"/>
          <w:highlight w:val="none"/>
        </w:rPr>
        <w:t>投标文件的编制”执行，</w:t>
      </w:r>
      <w:r>
        <w:rPr>
          <w:rFonts w:hint="eastAsia" w:ascii="黑体" w:hAnsi="黑体" w:eastAsia="黑体" w:cs="楷体_GB2312"/>
          <w:b/>
          <w:color w:val="auto"/>
          <w:sz w:val="24"/>
          <w:highlight w:val="none"/>
          <w:lang w:val="zh-CN"/>
        </w:rPr>
        <w:t>否则将会评定为无效投标。</w:t>
      </w:r>
    </w:p>
    <w:p w14:paraId="63692CDA">
      <w:pPr>
        <w:widowControl w:val="0"/>
        <w:tabs>
          <w:tab w:val="left" w:pos="39"/>
          <w:tab w:val="left" w:pos="96"/>
        </w:tabs>
        <w:snapToGrid w:val="0"/>
        <w:spacing w:line="360" w:lineRule="auto"/>
        <w:ind w:firstLine="540" w:firstLineChars="225"/>
        <w:rPr>
          <w:rFonts w:ascii="宋体" w:hAnsi="宋体"/>
          <w:color w:val="auto"/>
          <w:sz w:val="24"/>
          <w:szCs w:val="24"/>
          <w:highlight w:val="none"/>
        </w:rPr>
      </w:pPr>
      <w:r>
        <w:rPr>
          <w:rFonts w:hint="eastAsia" w:ascii="宋体"/>
          <w:color w:val="auto"/>
          <w:sz w:val="24"/>
          <w:szCs w:val="24"/>
          <w:highlight w:val="none"/>
        </w:rPr>
        <w:t>9.5 响应文件递交：</w:t>
      </w:r>
      <w:r>
        <w:rPr>
          <w:rFonts w:hint="eastAsia" w:ascii="宋体" w:hAnsi="宋体"/>
          <w:color w:val="auto"/>
          <w:sz w:val="24"/>
          <w:szCs w:val="24"/>
          <w:highlight w:val="none"/>
        </w:rPr>
        <w:t>投标人应在投标截止时间前上传加密的电子投标文件（*.aytf）到安阳县公共资源交易平台，</w:t>
      </w:r>
      <w:r>
        <w:rPr>
          <w:rFonts w:ascii="宋体" w:hAnsi="宋体"/>
          <w:color w:val="auto"/>
          <w:sz w:val="24"/>
          <w:szCs w:val="24"/>
          <w:highlight w:val="none"/>
        </w:rPr>
        <w:t>按</w:t>
      </w:r>
      <w:r>
        <w:rPr>
          <w:rFonts w:hint="eastAsia" w:ascii="宋体" w:hAnsi="宋体"/>
          <w:color w:val="auto"/>
          <w:sz w:val="24"/>
          <w:szCs w:val="24"/>
          <w:highlight w:val="none"/>
        </w:rPr>
        <w:t>《</w:t>
      </w:r>
      <w:r>
        <w:rPr>
          <w:rFonts w:ascii="宋体" w:hAnsi="宋体"/>
          <w:color w:val="auto"/>
          <w:sz w:val="24"/>
          <w:szCs w:val="24"/>
          <w:highlight w:val="none"/>
        </w:rPr>
        <w:t>谈判文件</w:t>
      </w:r>
      <w:r>
        <w:rPr>
          <w:rFonts w:hint="eastAsia" w:ascii="宋体" w:hAnsi="宋体"/>
          <w:color w:val="auto"/>
          <w:sz w:val="24"/>
          <w:szCs w:val="24"/>
          <w:highlight w:val="none"/>
        </w:rPr>
        <w:t>》</w:t>
      </w:r>
      <w:r>
        <w:rPr>
          <w:rFonts w:ascii="宋体" w:hAnsi="宋体"/>
          <w:color w:val="auto"/>
          <w:sz w:val="24"/>
          <w:szCs w:val="24"/>
          <w:highlight w:val="none"/>
        </w:rPr>
        <w:t>第三</w:t>
      </w:r>
      <w:r>
        <w:rPr>
          <w:rFonts w:hint="eastAsia" w:ascii="宋体" w:hAnsi="宋体"/>
          <w:color w:val="auto"/>
          <w:sz w:val="24"/>
          <w:szCs w:val="24"/>
          <w:highlight w:val="none"/>
        </w:rPr>
        <w:t>章“投</w:t>
      </w:r>
      <w:r>
        <w:rPr>
          <w:rFonts w:ascii="宋体" w:hAnsi="宋体"/>
          <w:color w:val="auto"/>
          <w:sz w:val="24"/>
          <w:szCs w:val="24"/>
          <w:highlight w:val="none"/>
        </w:rPr>
        <w:t>标人须知”</w:t>
      </w:r>
      <w:r>
        <w:rPr>
          <w:rFonts w:hint="eastAsia" w:ascii="宋体" w:hAnsi="宋体"/>
          <w:color w:val="auto"/>
          <w:sz w:val="24"/>
          <w:szCs w:val="24"/>
          <w:highlight w:val="none"/>
        </w:rPr>
        <w:t>第</w:t>
      </w:r>
      <w:r>
        <w:rPr>
          <w:rFonts w:ascii="宋体" w:hAnsi="宋体"/>
          <w:color w:val="auto"/>
          <w:sz w:val="24"/>
          <w:szCs w:val="24"/>
          <w:highlight w:val="none"/>
        </w:rPr>
        <w:t>4</w:t>
      </w:r>
      <w:r>
        <w:rPr>
          <w:rFonts w:hint="eastAsia" w:ascii="宋体" w:hAnsi="宋体"/>
          <w:color w:val="auto"/>
          <w:sz w:val="24"/>
          <w:szCs w:val="24"/>
          <w:highlight w:val="none"/>
        </w:rPr>
        <w:t>条</w:t>
      </w:r>
      <w:r>
        <w:rPr>
          <w:rFonts w:ascii="宋体" w:hAnsi="宋体"/>
          <w:color w:val="auto"/>
          <w:sz w:val="24"/>
          <w:szCs w:val="24"/>
          <w:highlight w:val="none"/>
        </w:rPr>
        <w:t xml:space="preserve"> “</w:t>
      </w:r>
      <w:r>
        <w:rPr>
          <w:rFonts w:hint="eastAsia" w:ascii="宋体" w:hAnsi="宋体"/>
          <w:color w:val="auto"/>
          <w:sz w:val="24"/>
          <w:szCs w:val="24"/>
          <w:highlight w:val="none"/>
        </w:rPr>
        <w:t>4. 投标（响应文件的递交）”</w:t>
      </w:r>
      <w:r>
        <w:rPr>
          <w:rFonts w:ascii="宋体" w:hAnsi="宋体"/>
          <w:color w:val="auto"/>
          <w:sz w:val="24"/>
          <w:szCs w:val="24"/>
          <w:highlight w:val="none"/>
        </w:rPr>
        <w:t>执行，</w:t>
      </w:r>
      <w:r>
        <w:rPr>
          <w:rFonts w:hint="eastAsia" w:ascii="黑体" w:hAnsi="黑体" w:eastAsia="黑体" w:cs="楷体_GB2312"/>
          <w:b/>
          <w:color w:val="auto"/>
          <w:sz w:val="24"/>
          <w:highlight w:val="none"/>
          <w:lang w:val="zh-CN"/>
        </w:rPr>
        <w:t>否</w:t>
      </w:r>
      <w:r>
        <w:rPr>
          <w:rFonts w:ascii="黑体" w:hAnsi="黑体" w:eastAsia="黑体" w:cs="楷体_GB2312"/>
          <w:b/>
          <w:color w:val="auto"/>
          <w:sz w:val="24"/>
          <w:highlight w:val="none"/>
          <w:lang w:val="zh-CN"/>
        </w:rPr>
        <w:t>则将会</w:t>
      </w:r>
      <w:r>
        <w:rPr>
          <w:rFonts w:hint="eastAsia" w:ascii="黑体" w:hAnsi="黑体" w:eastAsia="黑体" w:cs="楷体_GB2312"/>
          <w:b/>
          <w:color w:val="auto"/>
          <w:sz w:val="24"/>
          <w:highlight w:val="none"/>
          <w:lang w:val="zh-CN"/>
        </w:rPr>
        <w:t>评</w:t>
      </w:r>
      <w:r>
        <w:rPr>
          <w:rFonts w:ascii="黑体" w:hAnsi="黑体" w:eastAsia="黑体" w:cs="楷体_GB2312"/>
          <w:b/>
          <w:color w:val="auto"/>
          <w:sz w:val="24"/>
          <w:highlight w:val="none"/>
          <w:lang w:val="zh-CN"/>
        </w:rPr>
        <w:t>定为无效投标。</w:t>
      </w:r>
    </w:p>
    <w:p w14:paraId="495F0DFD">
      <w:pPr>
        <w:widowControl w:val="0"/>
        <w:tabs>
          <w:tab w:val="left" w:pos="39"/>
          <w:tab w:val="left" w:pos="96"/>
        </w:tabs>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9</w:t>
      </w:r>
      <w:r>
        <w:rPr>
          <w:rFonts w:ascii="宋体"/>
          <w:color w:val="auto"/>
          <w:sz w:val="24"/>
          <w:szCs w:val="24"/>
          <w:highlight w:val="none"/>
        </w:rPr>
        <w:t>.</w:t>
      </w:r>
      <w:r>
        <w:rPr>
          <w:rFonts w:hint="eastAsia" w:ascii="宋体"/>
          <w:color w:val="auto"/>
          <w:sz w:val="24"/>
          <w:szCs w:val="24"/>
          <w:highlight w:val="none"/>
        </w:rPr>
        <w:t>6 响应文件</w:t>
      </w:r>
      <w:r>
        <w:rPr>
          <w:rFonts w:hint="eastAsia" w:ascii="宋体" w:hAnsi="宋体"/>
          <w:color w:val="auto"/>
          <w:sz w:val="24"/>
          <w:szCs w:val="24"/>
          <w:highlight w:val="none"/>
        </w:rPr>
        <w:t>解密</w:t>
      </w:r>
      <w:r>
        <w:rPr>
          <w:rFonts w:hint="eastAsia" w:ascii="宋体"/>
          <w:color w:val="auto"/>
          <w:sz w:val="24"/>
          <w:szCs w:val="24"/>
          <w:highlight w:val="none"/>
        </w:rPr>
        <w:t>：</w:t>
      </w:r>
      <w:r>
        <w:rPr>
          <w:bCs/>
          <w:color w:val="auto"/>
          <w:sz w:val="24"/>
          <w:szCs w:val="24"/>
          <w:highlight w:val="none"/>
        </w:rPr>
        <w:t>本项目采用远程不见面交易的模式，开标当日，投标人无需到开标现场参加开标会议，投标人应当在投标截止时间前，使用IE浏览器登录到安阳市公共资源交易不见面开标大厅，点击右上方【登录】按钮进入，在线准时参加开标活动并进行投标文件解密等。</w:t>
      </w:r>
      <w:r>
        <w:rPr>
          <w:rFonts w:ascii="宋体" w:hAnsi="宋体"/>
          <w:color w:val="auto"/>
          <w:sz w:val="24"/>
          <w:szCs w:val="24"/>
          <w:highlight w:val="none"/>
        </w:rPr>
        <w:t>按</w:t>
      </w:r>
      <w:r>
        <w:rPr>
          <w:rFonts w:hint="eastAsia" w:ascii="宋体" w:hAnsi="宋体"/>
          <w:color w:val="auto"/>
          <w:sz w:val="24"/>
          <w:szCs w:val="24"/>
          <w:highlight w:val="none"/>
        </w:rPr>
        <w:t>《</w:t>
      </w:r>
      <w:r>
        <w:rPr>
          <w:rFonts w:ascii="宋体" w:hAnsi="宋体"/>
          <w:color w:val="auto"/>
          <w:sz w:val="24"/>
          <w:szCs w:val="24"/>
          <w:highlight w:val="none"/>
        </w:rPr>
        <w:t>谈判文件</w:t>
      </w:r>
      <w:r>
        <w:rPr>
          <w:rFonts w:hint="eastAsia" w:ascii="宋体" w:hAnsi="宋体"/>
          <w:color w:val="auto"/>
          <w:sz w:val="24"/>
          <w:szCs w:val="24"/>
          <w:highlight w:val="none"/>
        </w:rPr>
        <w:t>》</w:t>
      </w:r>
      <w:r>
        <w:rPr>
          <w:rFonts w:ascii="宋体" w:hAnsi="宋体"/>
          <w:color w:val="auto"/>
          <w:sz w:val="24"/>
          <w:szCs w:val="24"/>
          <w:highlight w:val="none"/>
        </w:rPr>
        <w:t>第三</w:t>
      </w:r>
      <w:r>
        <w:rPr>
          <w:rFonts w:hint="eastAsia" w:ascii="宋体" w:hAnsi="宋体"/>
          <w:color w:val="auto"/>
          <w:sz w:val="24"/>
          <w:szCs w:val="24"/>
          <w:highlight w:val="none"/>
        </w:rPr>
        <w:t>章“投</w:t>
      </w:r>
      <w:r>
        <w:rPr>
          <w:rFonts w:ascii="宋体" w:hAnsi="宋体"/>
          <w:color w:val="auto"/>
          <w:sz w:val="24"/>
          <w:szCs w:val="24"/>
          <w:highlight w:val="none"/>
        </w:rPr>
        <w:t>标人须知”</w:t>
      </w:r>
      <w:r>
        <w:rPr>
          <w:rFonts w:hint="eastAsia" w:ascii="宋体" w:hAnsi="宋体"/>
          <w:color w:val="auto"/>
          <w:sz w:val="24"/>
          <w:szCs w:val="24"/>
          <w:highlight w:val="none"/>
        </w:rPr>
        <w:t>第</w:t>
      </w:r>
      <w:r>
        <w:rPr>
          <w:rFonts w:ascii="宋体" w:hAnsi="宋体"/>
          <w:color w:val="auto"/>
          <w:sz w:val="24"/>
          <w:szCs w:val="24"/>
          <w:highlight w:val="none"/>
        </w:rPr>
        <w:t>5</w:t>
      </w:r>
      <w:r>
        <w:rPr>
          <w:rFonts w:hint="eastAsia" w:ascii="宋体" w:hAnsi="宋体"/>
          <w:color w:val="auto"/>
          <w:sz w:val="24"/>
          <w:szCs w:val="24"/>
          <w:highlight w:val="none"/>
        </w:rPr>
        <w:t>条</w:t>
      </w:r>
      <w:r>
        <w:rPr>
          <w:rFonts w:ascii="宋体" w:hAnsi="宋体"/>
          <w:color w:val="auto"/>
          <w:sz w:val="24"/>
          <w:szCs w:val="24"/>
          <w:highlight w:val="none"/>
        </w:rPr>
        <w:t xml:space="preserve">“5 </w:t>
      </w:r>
      <w:r>
        <w:rPr>
          <w:rFonts w:hint="eastAsia" w:ascii="宋体"/>
          <w:color w:val="auto"/>
          <w:sz w:val="24"/>
          <w:szCs w:val="24"/>
          <w:highlight w:val="none"/>
        </w:rPr>
        <w:t>开标（响应文件的开启）</w:t>
      </w:r>
      <w:r>
        <w:rPr>
          <w:rFonts w:hint="eastAsia" w:ascii="宋体" w:hAnsi="宋体"/>
          <w:color w:val="auto"/>
          <w:sz w:val="24"/>
          <w:szCs w:val="24"/>
          <w:highlight w:val="none"/>
        </w:rPr>
        <w:t>”</w:t>
      </w:r>
      <w:r>
        <w:rPr>
          <w:rFonts w:ascii="宋体" w:hAnsi="宋体"/>
          <w:color w:val="auto"/>
          <w:sz w:val="24"/>
          <w:szCs w:val="24"/>
          <w:highlight w:val="none"/>
        </w:rPr>
        <w:t>执行，</w:t>
      </w:r>
      <w:r>
        <w:rPr>
          <w:rFonts w:hint="eastAsia" w:ascii="宋体" w:hAnsi="宋体" w:cs="楷体_GB2312"/>
          <w:color w:val="auto"/>
          <w:sz w:val="24"/>
          <w:highlight w:val="none"/>
          <w:lang w:val="zh-CN"/>
        </w:rPr>
        <w:t>否</w:t>
      </w:r>
      <w:r>
        <w:rPr>
          <w:rFonts w:ascii="宋体" w:hAnsi="宋体" w:cs="楷体_GB2312"/>
          <w:color w:val="auto"/>
          <w:sz w:val="24"/>
          <w:highlight w:val="none"/>
          <w:lang w:val="zh-CN"/>
        </w:rPr>
        <w:t>则</w:t>
      </w:r>
      <w:r>
        <w:rPr>
          <w:rFonts w:hint="eastAsia" w:ascii="宋体" w:hAnsi="宋体" w:cs="楷体_GB2312"/>
          <w:color w:val="auto"/>
          <w:sz w:val="24"/>
          <w:highlight w:val="none"/>
          <w:lang w:val="zh-CN"/>
        </w:rPr>
        <w:t>其投标将不能被接受</w:t>
      </w:r>
      <w:r>
        <w:rPr>
          <w:rFonts w:ascii="宋体" w:hAnsi="宋体" w:cs="楷体_GB2312"/>
          <w:color w:val="auto"/>
          <w:sz w:val="24"/>
          <w:highlight w:val="none"/>
          <w:lang w:val="zh-CN"/>
        </w:rPr>
        <w:t>。</w:t>
      </w:r>
    </w:p>
    <w:p w14:paraId="078677F6">
      <w:pPr>
        <w:widowControl w:val="0"/>
        <w:tabs>
          <w:tab w:val="left" w:pos="39"/>
          <w:tab w:val="left" w:pos="96"/>
        </w:tabs>
        <w:snapToGrid w:val="0"/>
        <w:spacing w:line="360" w:lineRule="auto"/>
        <w:ind w:firstLine="480" w:firstLineChars="200"/>
        <w:rPr>
          <w:rFonts w:ascii="黑体" w:hAnsi="黑体" w:eastAsia="黑体" w:cs="楷体_GB2312"/>
          <w:b/>
          <w:color w:val="auto"/>
          <w:sz w:val="24"/>
          <w:highlight w:val="none"/>
          <w:lang w:val="zh-CN"/>
        </w:rPr>
      </w:pPr>
      <w:r>
        <w:rPr>
          <w:rFonts w:hint="eastAsia" w:ascii="宋体" w:hAnsi="宋体"/>
          <w:color w:val="auto"/>
          <w:sz w:val="24"/>
          <w:szCs w:val="24"/>
          <w:highlight w:val="none"/>
        </w:rPr>
        <w:t>9</w:t>
      </w:r>
      <w:r>
        <w:rPr>
          <w:rFonts w:ascii="宋体" w:hAnsi="宋体"/>
          <w:color w:val="auto"/>
          <w:sz w:val="24"/>
          <w:szCs w:val="24"/>
          <w:highlight w:val="none"/>
        </w:rPr>
        <w:t>.</w:t>
      </w:r>
      <w:r>
        <w:rPr>
          <w:rFonts w:hint="eastAsia" w:ascii="宋体" w:hAnsi="宋体"/>
          <w:color w:val="auto"/>
          <w:sz w:val="24"/>
          <w:szCs w:val="24"/>
          <w:highlight w:val="none"/>
        </w:rPr>
        <w:t>7谈</w:t>
      </w:r>
      <w:r>
        <w:rPr>
          <w:rFonts w:ascii="宋体" w:hAnsi="宋体"/>
          <w:color w:val="auto"/>
          <w:sz w:val="24"/>
          <w:szCs w:val="24"/>
          <w:highlight w:val="none"/>
        </w:rPr>
        <w:t>判：</w:t>
      </w:r>
      <w:r>
        <w:rPr>
          <w:rFonts w:hint="eastAsia" w:ascii="宋体" w:hAnsi="宋体"/>
          <w:color w:val="auto"/>
          <w:sz w:val="24"/>
          <w:highlight w:val="none"/>
        </w:rPr>
        <w:t>时刻关注电子开标室并及时澄清，有</w:t>
      </w:r>
      <w:r>
        <w:rPr>
          <w:rFonts w:ascii="宋体" w:hAnsi="宋体"/>
          <w:color w:val="auto"/>
          <w:sz w:val="24"/>
          <w:highlight w:val="none"/>
        </w:rPr>
        <w:t>效投标人在规定时间进行</w:t>
      </w:r>
      <w:r>
        <w:rPr>
          <w:rFonts w:hint="eastAsia" w:ascii="宋体" w:hAnsi="宋体"/>
          <w:color w:val="auto"/>
          <w:sz w:val="24"/>
          <w:highlight w:val="none"/>
        </w:rPr>
        <w:t>最后报价</w:t>
      </w:r>
      <w:r>
        <w:rPr>
          <w:rFonts w:ascii="宋体" w:hAnsi="宋体"/>
          <w:color w:val="auto"/>
          <w:sz w:val="24"/>
          <w:highlight w:val="none"/>
        </w:rPr>
        <w:t>，</w:t>
      </w:r>
      <w:r>
        <w:rPr>
          <w:rFonts w:ascii="宋体" w:hAnsi="宋体"/>
          <w:color w:val="auto"/>
          <w:sz w:val="24"/>
          <w:szCs w:val="24"/>
          <w:highlight w:val="none"/>
        </w:rPr>
        <w:t>按</w:t>
      </w:r>
      <w:r>
        <w:rPr>
          <w:rFonts w:hint="eastAsia" w:ascii="宋体" w:hAnsi="宋体"/>
          <w:color w:val="auto"/>
          <w:sz w:val="24"/>
          <w:szCs w:val="24"/>
          <w:highlight w:val="none"/>
        </w:rPr>
        <w:t>《</w:t>
      </w:r>
      <w:r>
        <w:rPr>
          <w:rFonts w:ascii="宋体" w:hAnsi="宋体"/>
          <w:color w:val="auto"/>
          <w:sz w:val="24"/>
          <w:szCs w:val="24"/>
          <w:highlight w:val="none"/>
        </w:rPr>
        <w:t>谈判文件</w:t>
      </w:r>
      <w:r>
        <w:rPr>
          <w:rFonts w:hint="eastAsia" w:ascii="宋体" w:hAnsi="宋体"/>
          <w:color w:val="auto"/>
          <w:sz w:val="24"/>
          <w:szCs w:val="24"/>
          <w:highlight w:val="none"/>
        </w:rPr>
        <w:t>》第四章“评审办法”</w:t>
      </w:r>
      <w:r>
        <w:rPr>
          <w:rFonts w:ascii="宋体" w:hAnsi="宋体"/>
          <w:color w:val="auto"/>
          <w:sz w:val="24"/>
          <w:szCs w:val="24"/>
          <w:highlight w:val="none"/>
        </w:rPr>
        <w:t>执行，</w:t>
      </w:r>
      <w:r>
        <w:rPr>
          <w:rFonts w:hint="eastAsia" w:ascii="黑体" w:hAnsi="黑体" w:eastAsia="黑体" w:cs="楷体_GB2312"/>
          <w:b/>
          <w:color w:val="auto"/>
          <w:sz w:val="24"/>
          <w:highlight w:val="none"/>
          <w:lang w:val="zh-CN"/>
        </w:rPr>
        <w:t>否</w:t>
      </w:r>
      <w:r>
        <w:rPr>
          <w:rFonts w:ascii="黑体" w:hAnsi="黑体" w:eastAsia="黑体" w:cs="楷体_GB2312"/>
          <w:b/>
          <w:color w:val="auto"/>
          <w:sz w:val="24"/>
          <w:highlight w:val="none"/>
          <w:lang w:val="zh-CN"/>
        </w:rPr>
        <w:t>则将会</w:t>
      </w:r>
      <w:r>
        <w:rPr>
          <w:rFonts w:hint="eastAsia" w:ascii="黑体" w:hAnsi="黑体" w:eastAsia="黑体" w:cs="楷体_GB2312"/>
          <w:b/>
          <w:color w:val="auto"/>
          <w:sz w:val="24"/>
          <w:highlight w:val="none"/>
          <w:lang w:val="zh-CN"/>
        </w:rPr>
        <w:t>评</w:t>
      </w:r>
      <w:r>
        <w:rPr>
          <w:rFonts w:ascii="黑体" w:hAnsi="黑体" w:eastAsia="黑体" w:cs="楷体_GB2312"/>
          <w:b/>
          <w:color w:val="auto"/>
          <w:sz w:val="24"/>
          <w:highlight w:val="none"/>
          <w:lang w:val="zh-CN"/>
        </w:rPr>
        <w:t>定为无效投标。</w:t>
      </w:r>
    </w:p>
    <w:p w14:paraId="4DDD96DB">
      <w:pPr>
        <w:widowControl w:val="0"/>
        <w:tabs>
          <w:tab w:val="left" w:pos="39"/>
          <w:tab w:val="left" w:pos="96"/>
        </w:tabs>
        <w:snapToGrid w:val="0"/>
        <w:spacing w:line="360" w:lineRule="auto"/>
        <w:ind w:firstLine="540" w:firstLineChars="225"/>
        <w:rPr>
          <w:rFonts w:ascii="宋体" w:hAnsi="宋体" w:cs="楷体_GB2312"/>
          <w:color w:val="auto"/>
          <w:sz w:val="24"/>
          <w:highlight w:val="none"/>
          <w:lang w:val="zh-CN"/>
        </w:rPr>
      </w:pPr>
      <w:r>
        <w:rPr>
          <w:rFonts w:hint="eastAsia" w:ascii="宋体" w:hAnsi="宋体" w:cs="楷体_GB2312"/>
          <w:color w:val="auto"/>
          <w:sz w:val="24"/>
          <w:highlight w:val="none"/>
          <w:lang w:val="zh-CN"/>
        </w:rPr>
        <w:t>9.8锁名称变更或者延期可能会导致开标过程无法正常解密标书。开标过程中解密必须使用生成标书时使用的CA锁，丢失、变更、延期都会导致无法解密。如无待开标解密项目，变更或者延期不影响正常的业务操作，但需要注意如下事项：</w:t>
      </w:r>
    </w:p>
    <w:p w14:paraId="671F12DC">
      <w:pPr>
        <w:widowControl w:val="0"/>
        <w:tabs>
          <w:tab w:val="left" w:pos="39"/>
          <w:tab w:val="left" w:pos="96"/>
        </w:tabs>
        <w:snapToGrid w:val="0"/>
        <w:spacing w:line="360" w:lineRule="auto"/>
        <w:ind w:firstLine="540" w:firstLineChars="225"/>
        <w:rPr>
          <w:rFonts w:ascii="宋体" w:hAnsi="宋体" w:cs="楷体_GB2312"/>
          <w:color w:val="auto"/>
          <w:sz w:val="24"/>
          <w:highlight w:val="none"/>
          <w:lang w:val="zh-CN"/>
        </w:rPr>
      </w:pPr>
      <w:r>
        <w:rPr>
          <w:rFonts w:hint="eastAsia" w:ascii="宋体" w:hAnsi="宋体" w:cs="楷体_GB2312"/>
          <w:color w:val="auto"/>
          <w:sz w:val="24"/>
          <w:highlight w:val="none"/>
          <w:lang w:val="zh-CN"/>
        </w:rPr>
        <w:t>①锁名称变更前建议先在交易系统修改单位名称为最新的，变更完成后再变更锁名称，以免因名称不一致无法正常登录系统。</w:t>
      </w:r>
    </w:p>
    <w:p w14:paraId="51A4DEA3">
      <w:pPr>
        <w:widowControl w:val="0"/>
        <w:tabs>
          <w:tab w:val="left" w:pos="39"/>
          <w:tab w:val="left" w:pos="96"/>
        </w:tabs>
        <w:snapToGrid w:val="0"/>
        <w:spacing w:line="360" w:lineRule="auto"/>
        <w:ind w:firstLine="540" w:firstLineChars="225"/>
        <w:rPr>
          <w:rFonts w:ascii="宋体" w:hAnsi="宋体"/>
          <w:color w:val="auto"/>
          <w:sz w:val="24"/>
          <w:szCs w:val="24"/>
          <w:highlight w:val="none"/>
        </w:rPr>
      </w:pPr>
      <w:r>
        <w:rPr>
          <w:rFonts w:hint="eastAsia" w:ascii="宋体" w:hAnsi="宋体" w:cs="楷体_GB2312"/>
          <w:color w:val="auto"/>
          <w:sz w:val="24"/>
          <w:highlight w:val="none"/>
          <w:lang w:val="zh-CN"/>
        </w:rPr>
        <w:t>②锁延期之后序列号可能会发生改变（视不同CA而定），变更后需要重新进行绑定。</w:t>
      </w:r>
    </w:p>
    <w:p w14:paraId="3FAED176">
      <w:pPr>
        <w:widowControl w:val="0"/>
        <w:tabs>
          <w:tab w:val="left" w:pos="39"/>
          <w:tab w:val="left" w:pos="96"/>
        </w:tabs>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9.9政府采购电子交易中，投标人网上电子交易的系统操作规则应以安阳市公共资源交易平台即时发布的相关规则为准。</w:t>
      </w:r>
    </w:p>
    <w:p w14:paraId="1C575254">
      <w:pPr>
        <w:widowControl w:val="0"/>
        <w:tabs>
          <w:tab w:val="left" w:pos="39"/>
          <w:tab w:val="left" w:pos="96"/>
        </w:tabs>
        <w:snapToGrid w:val="0"/>
        <w:spacing w:line="360" w:lineRule="auto"/>
        <w:ind w:firstLine="540" w:firstLineChars="225"/>
        <w:rPr>
          <w:rFonts w:ascii="宋体"/>
          <w:color w:val="auto"/>
          <w:sz w:val="24"/>
          <w:szCs w:val="24"/>
          <w:highlight w:val="none"/>
        </w:rPr>
      </w:pPr>
      <w:r>
        <w:rPr>
          <w:rFonts w:hint="eastAsia" w:ascii="宋体" w:hAnsi="宋体"/>
          <w:color w:val="auto"/>
          <w:sz w:val="24"/>
          <w:szCs w:val="24"/>
          <w:highlight w:val="none"/>
        </w:rPr>
        <w:t>9.10 望投标人充分熟悉网上电子交易操作流程、以便有效投标。</w:t>
      </w:r>
    </w:p>
    <w:p w14:paraId="34F53823">
      <w:pPr>
        <w:widowControl w:val="0"/>
        <w:tabs>
          <w:tab w:val="left" w:pos="39"/>
          <w:tab w:val="left" w:pos="96"/>
        </w:tabs>
        <w:snapToGrid w:val="0"/>
        <w:spacing w:line="360" w:lineRule="auto"/>
        <w:ind w:firstLine="540" w:firstLineChars="225"/>
        <w:rPr>
          <w:rFonts w:ascii="宋体" w:hAnsi="宋体"/>
          <w:color w:val="auto"/>
          <w:sz w:val="24"/>
          <w:szCs w:val="24"/>
          <w:highlight w:val="none"/>
        </w:rPr>
      </w:pPr>
      <w:r>
        <w:rPr>
          <w:rFonts w:hint="eastAsia"/>
          <w:bCs/>
          <w:color w:val="auto"/>
          <w:sz w:val="24"/>
          <w:szCs w:val="24"/>
          <w:highlight w:val="none"/>
        </w:rPr>
        <w:t>9.11 如遇到网上系统操作等技术问题请咨询</w:t>
      </w:r>
      <w:r>
        <w:rPr>
          <w:rFonts w:hint="eastAsia" w:ascii="宋体" w:hAnsi="宋体"/>
          <w:color w:val="auto"/>
          <w:sz w:val="24"/>
          <w:szCs w:val="24"/>
          <w:highlight w:val="none"/>
        </w:rPr>
        <w:t>400-998-0000、0372-3387739。</w:t>
      </w:r>
    </w:p>
    <w:p w14:paraId="24CD8A9B">
      <w:pPr>
        <w:widowControl w:val="0"/>
        <w:tabs>
          <w:tab w:val="left" w:pos="39"/>
          <w:tab w:val="left" w:pos="96"/>
        </w:tabs>
        <w:snapToGrid w:val="0"/>
        <w:spacing w:line="360" w:lineRule="auto"/>
        <w:ind w:firstLine="540" w:firstLineChars="225"/>
        <w:rPr>
          <w:rFonts w:ascii="宋体"/>
          <w:color w:val="auto"/>
          <w:sz w:val="24"/>
          <w:szCs w:val="24"/>
          <w:highlight w:val="none"/>
        </w:rPr>
      </w:pPr>
    </w:p>
    <w:p w14:paraId="0947C174">
      <w:pPr>
        <w:widowControl w:val="0"/>
        <w:tabs>
          <w:tab w:val="left" w:pos="39"/>
          <w:tab w:val="left" w:pos="96"/>
        </w:tabs>
        <w:snapToGrid w:val="0"/>
        <w:spacing w:line="360" w:lineRule="auto"/>
        <w:ind w:firstLine="5220" w:firstLineChars="2175"/>
        <w:jc w:val="right"/>
        <w:rPr>
          <w:rFonts w:ascii="宋体"/>
          <w:color w:val="auto"/>
          <w:sz w:val="24"/>
          <w:szCs w:val="24"/>
          <w:highlight w:val="none"/>
        </w:rPr>
      </w:pPr>
      <w:r>
        <w:rPr>
          <w:rFonts w:hint="eastAsia" w:ascii="宋体"/>
          <w:color w:val="auto"/>
          <w:sz w:val="24"/>
          <w:szCs w:val="24"/>
          <w:highlight w:val="none"/>
        </w:rPr>
        <w:t>安阳市方正招标采购服务有限责任公司</w:t>
      </w:r>
    </w:p>
    <w:p w14:paraId="024C153B">
      <w:pPr>
        <w:widowControl w:val="0"/>
        <w:tabs>
          <w:tab w:val="left" w:pos="39"/>
          <w:tab w:val="left" w:pos="96"/>
        </w:tabs>
        <w:snapToGrid w:val="0"/>
        <w:spacing w:line="360" w:lineRule="auto"/>
        <w:ind w:firstLine="540" w:firstLineChars="225"/>
        <w:jc w:val="right"/>
        <w:rPr>
          <w:rFonts w:ascii="宋体"/>
          <w:color w:val="auto"/>
          <w:sz w:val="24"/>
          <w:szCs w:val="24"/>
          <w:highlight w:val="none"/>
        </w:rPr>
      </w:pPr>
      <w:r>
        <w:rPr>
          <w:rFonts w:hint="eastAsia" w:ascii="宋体"/>
          <w:color w:val="auto"/>
          <w:sz w:val="24"/>
          <w:szCs w:val="24"/>
          <w:highlight w:val="none"/>
        </w:rPr>
        <w:t>二〇二五年</w:t>
      </w:r>
      <w:r>
        <w:rPr>
          <w:rFonts w:hint="eastAsia" w:ascii="宋体"/>
          <w:color w:val="auto"/>
          <w:sz w:val="24"/>
          <w:szCs w:val="24"/>
          <w:highlight w:val="none"/>
          <w:lang w:eastAsia="zh-CN"/>
        </w:rPr>
        <w:t>十一</w:t>
      </w:r>
      <w:r>
        <w:rPr>
          <w:rFonts w:hint="eastAsia" w:ascii="宋体"/>
          <w:color w:val="auto"/>
          <w:sz w:val="24"/>
          <w:szCs w:val="24"/>
          <w:highlight w:val="none"/>
        </w:rPr>
        <w:t>月</w:t>
      </w:r>
      <w:r>
        <w:rPr>
          <w:rFonts w:hint="eastAsia" w:ascii="宋体"/>
          <w:color w:val="auto"/>
          <w:sz w:val="24"/>
          <w:szCs w:val="24"/>
          <w:highlight w:val="none"/>
          <w:lang w:eastAsia="zh-CN"/>
        </w:rPr>
        <w:t>二十七</w:t>
      </w:r>
      <w:r>
        <w:rPr>
          <w:rFonts w:hint="eastAsia" w:ascii="宋体"/>
          <w:color w:val="auto"/>
          <w:sz w:val="24"/>
          <w:szCs w:val="24"/>
          <w:highlight w:val="none"/>
        </w:rPr>
        <w:t>日</w:t>
      </w:r>
    </w:p>
    <w:p w14:paraId="3B4B6895">
      <w:pPr>
        <w:widowControl w:val="0"/>
        <w:tabs>
          <w:tab w:val="left" w:pos="39"/>
          <w:tab w:val="left" w:pos="96"/>
        </w:tabs>
        <w:snapToGrid w:val="0"/>
        <w:spacing w:line="360" w:lineRule="auto"/>
        <w:ind w:firstLine="630" w:firstLineChars="225"/>
        <w:rPr>
          <w:rFonts w:ascii="宋体" w:hAnsi="宋体"/>
          <w:color w:val="auto"/>
          <w:sz w:val="24"/>
          <w:szCs w:val="24"/>
          <w:highlight w:val="none"/>
        </w:rPr>
      </w:pPr>
      <w:r>
        <w:rPr>
          <w:rFonts w:eastAsia="方正黑体简体"/>
          <w:color w:val="auto"/>
          <w:sz w:val="28"/>
          <w:szCs w:val="28"/>
          <w:highlight w:val="none"/>
        </w:rPr>
        <w:br w:type="page"/>
      </w:r>
    </w:p>
    <w:p w14:paraId="166C7415">
      <w:pPr>
        <w:widowControl w:val="0"/>
        <w:snapToGrid w:val="0"/>
        <w:spacing w:line="360" w:lineRule="auto"/>
        <w:jc w:val="center"/>
        <w:outlineLvl w:val="0"/>
        <w:rPr>
          <w:rFonts w:eastAsia="方正黑体简体"/>
          <w:color w:val="auto"/>
          <w:sz w:val="36"/>
          <w:szCs w:val="36"/>
          <w:highlight w:val="none"/>
        </w:rPr>
      </w:pPr>
      <w:bookmarkStart w:id="13" w:name="_Toc209083623"/>
      <w:r>
        <w:rPr>
          <w:rFonts w:hint="eastAsia" w:eastAsia="黑体"/>
          <w:b/>
          <w:color w:val="auto"/>
          <w:sz w:val="36"/>
          <w:szCs w:val="36"/>
          <w:highlight w:val="none"/>
        </w:rPr>
        <w:t>第二章 采购项目及技术服务要求</w:t>
      </w:r>
      <w:bookmarkEnd w:id="13"/>
    </w:p>
    <w:p w14:paraId="1E7B742F">
      <w:pPr>
        <w:widowControl w:val="0"/>
        <w:snapToGrid w:val="0"/>
        <w:spacing w:line="360" w:lineRule="auto"/>
        <w:rPr>
          <w:b/>
          <w:color w:val="auto"/>
          <w:sz w:val="28"/>
          <w:highlight w:val="none"/>
        </w:rPr>
      </w:pPr>
    </w:p>
    <w:p w14:paraId="4EF7EE34">
      <w:pPr>
        <w:widowControl w:val="0"/>
        <w:snapToGrid w:val="0"/>
        <w:spacing w:line="360" w:lineRule="auto"/>
        <w:ind w:firstLine="422" w:firstLineChars="150"/>
        <w:jc w:val="left"/>
        <w:outlineLvl w:val="1"/>
        <w:rPr>
          <w:rFonts w:ascii="黑体" w:hAnsi="黑体" w:eastAsia="黑体"/>
          <w:b/>
          <w:color w:val="auto"/>
          <w:sz w:val="28"/>
          <w:highlight w:val="none"/>
        </w:rPr>
      </w:pPr>
      <w:bookmarkStart w:id="14" w:name="_Toc209083624"/>
      <w:r>
        <w:rPr>
          <w:rFonts w:ascii="黑体" w:hAnsi="黑体" w:eastAsia="黑体"/>
          <w:b/>
          <w:color w:val="auto"/>
          <w:sz w:val="28"/>
          <w:highlight w:val="none"/>
        </w:rPr>
        <w:t xml:space="preserve">1. </w:t>
      </w:r>
      <w:r>
        <w:rPr>
          <w:rFonts w:hint="eastAsia" w:ascii="黑体" w:hAnsi="黑体" w:eastAsia="黑体"/>
          <w:b/>
          <w:color w:val="auto"/>
          <w:sz w:val="28"/>
          <w:highlight w:val="none"/>
        </w:rPr>
        <w:t>采购项目、标段（包）划分、投标报价</w:t>
      </w:r>
      <w:bookmarkEnd w:id="14"/>
    </w:p>
    <w:p w14:paraId="1C72249C">
      <w:pPr>
        <w:widowControl w:val="0"/>
        <w:snapToGrid w:val="0"/>
        <w:spacing w:line="360" w:lineRule="auto"/>
        <w:ind w:firstLine="482" w:firstLineChars="200"/>
        <w:jc w:val="left"/>
        <w:rPr>
          <w:color w:val="auto"/>
          <w:sz w:val="24"/>
          <w:szCs w:val="24"/>
          <w:highlight w:val="none"/>
        </w:rPr>
      </w:pPr>
      <w:r>
        <w:rPr>
          <w:rFonts w:ascii="黑体" w:hAnsi="黑体" w:eastAsia="黑体"/>
          <w:b/>
          <w:color w:val="auto"/>
          <w:sz w:val="24"/>
          <w:szCs w:val="24"/>
          <w:highlight w:val="none"/>
        </w:rPr>
        <w:t>1.1</w:t>
      </w:r>
      <w:r>
        <w:rPr>
          <w:rFonts w:hint="eastAsia" w:ascii="黑体" w:hAnsi="黑体" w:eastAsia="黑体"/>
          <w:b/>
          <w:color w:val="auto"/>
          <w:sz w:val="24"/>
          <w:szCs w:val="24"/>
          <w:highlight w:val="none"/>
        </w:rPr>
        <w:t>采购项目名称</w:t>
      </w:r>
      <w:r>
        <w:rPr>
          <w:rFonts w:hint="eastAsia"/>
          <w:color w:val="auto"/>
          <w:sz w:val="24"/>
          <w:szCs w:val="24"/>
          <w:highlight w:val="none"/>
        </w:rPr>
        <w:t>：安阳县公安局安阳县看守所智能谈话教育系统项目</w:t>
      </w:r>
    </w:p>
    <w:p w14:paraId="6A006193">
      <w:pPr>
        <w:widowControl w:val="0"/>
        <w:snapToGrid w:val="0"/>
        <w:spacing w:line="360" w:lineRule="auto"/>
        <w:ind w:firstLine="482" w:firstLineChars="200"/>
        <w:jc w:val="left"/>
        <w:rPr>
          <w:rFonts w:ascii="宋体" w:hAnsi="宋体"/>
          <w:color w:val="auto"/>
          <w:sz w:val="24"/>
          <w:szCs w:val="24"/>
          <w:highlight w:val="none"/>
        </w:rPr>
      </w:pPr>
      <w:r>
        <w:rPr>
          <w:rFonts w:ascii="黑体" w:hAnsi="黑体" w:eastAsia="黑体"/>
          <w:b/>
          <w:color w:val="auto"/>
          <w:sz w:val="24"/>
          <w:szCs w:val="24"/>
          <w:highlight w:val="none"/>
        </w:rPr>
        <w:t xml:space="preserve">1.2 </w:t>
      </w:r>
      <w:r>
        <w:rPr>
          <w:rFonts w:hint="eastAsia" w:ascii="黑体" w:hAnsi="黑体" w:eastAsia="黑体"/>
          <w:b/>
          <w:color w:val="auto"/>
          <w:sz w:val="24"/>
          <w:szCs w:val="24"/>
          <w:highlight w:val="none"/>
        </w:rPr>
        <w:t>标段（包）划分及其交验期交验地点</w:t>
      </w:r>
      <w:r>
        <w:rPr>
          <w:rFonts w:hint="eastAsia"/>
          <w:color w:val="auto"/>
          <w:sz w:val="24"/>
          <w:szCs w:val="24"/>
          <w:highlight w:val="none"/>
        </w:rPr>
        <w:t>：</w:t>
      </w:r>
      <w:r>
        <w:rPr>
          <w:rFonts w:hint="eastAsia" w:ascii="宋体" w:hAnsi="宋体"/>
          <w:color w:val="auto"/>
          <w:sz w:val="24"/>
          <w:szCs w:val="24"/>
          <w:highlight w:val="none"/>
        </w:rPr>
        <w:t>本次采购项目划分为1个标段（包）。</w:t>
      </w:r>
    </w:p>
    <w:tbl>
      <w:tblPr>
        <w:tblStyle w:val="16"/>
        <w:tblW w:w="9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1"/>
        <w:gridCol w:w="1835"/>
        <w:gridCol w:w="2835"/>
        <w:gridCol w:w="1701"/>
        <w:gridCol w:w="1207"/>
      </w:tblGrid>
      <w:tr w14:paraId="7D099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9679" w:type="dxa"/>
            <w:gridSpan w:val="5"/>
            <w:vAlign w:val="center"/>
          </w:tcPr>
          <w:p w14:paraId="1E751B03">
            <w:pPr>
              <w:widowControl w:val="0"/>
              <w:snapToGrid w:val="0"/>
              <w:spacing w:line="240" w:lineRule="auto"/>
              <w:jc w:val="center"/>
              <w:rPr>
                <w:rFonts w:ascii="宋体" w:hAnsi="宋体"/>
                <w:b/>
                <w:color w:val="auto"/>
                <w:sz w:val="24"/>
                <w:szCs w:val="24"/>
                <w:highlight w:val="none"/>
              </w:rPr>
            </w:pPr>
            <w:r>
              <w:rPr>
                <w:rFonts w:hint="eastAsia" w:ascii="宋体" w:hAnsi="宋体"/>
                <w:b/>
                <w:color w:val="auto"/>
                <w:sz w:val="24"/>
                <w:szCs w:val="24"/>
                <w:highlight w:val="none"/>
              </w:rPr>
              <w:t>标段（包）一览表</w:t>
            </w:r>
          </w:p>
        </w:tc>
      </w:tr>
      <w:tr w14:paraId="23B05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2101" w:type="dxa"/>
            <w:vAlign w:val="center"/>
          </w:tcPr>
          <w:p w14:paraId="06A81125">
            <w:pPr>
              <w:widowControl w:val="0"/>
              <w:snapToGrid w:val="0"/>
              <w:spacing w:line="240" w:lineRule="auto"/>
              <w:jc w:val="center"/>
              <w:rPr>
                <w:rFonts w:ascii="宋体" w:hAnsi="宋体"/>
                <w:b/>
                <w:color w:val="auto"/>
                <w:sz w:val="24"/>
                <w:szCs w:val="24"/>
                <w:highlight w:val="none"/>
              </w:rPr>
            </w:pPr>
            <w:r>
              <w:rPr>
                <w:rFonts w:hint="eastAsia" w:ascii="宋体" w:hAnsi="宋体"/>
                <w:b/>
                <w:color w:val="auto"/>
                <w:sz w:val="24"/>
                <w:szCs w:val="24"/>
                <w:highlight w:val="none"/>
              </w:rPr>
              <w:t>项目名称</w:t>
            </w:r>
          </w:p>
        </w:tc>
        <w:tc>
          <w:tcPr>
            <w:tcW w:w="1835" w:type="dxa"/>
            <w:vAlign w:val="center"/>
          </w:tcPr>
          <w:p w14:paraId="385E71F0">
            <w:pPr>
              <w:widowControl w:val="0"/>
              <w:snapToGrid w:val="0"/>
              <w:spacing w:line="240" w:lineRule="auto"/>
              <w:jc w:val="center"/>
              <w:rPr>
                <w:rFonts w:ascii="宋体" w:hAnsi="宋体"/>
                <w:b/>
                <w:color w:val="auto"/>
                <w:sz w:val="24"/>
                <w:szCs w:val="24"/>
                <w:highlight w:val="none"/>
              </w:rPr>
            </w:pPr>
            <w:r>
              <w:rPr>
                <w:rFonts w:hint="eastAsia" w:ascii="宋体" w:hAnsi="宋体"/>
                <w:b/>
                <w:color w:val="auto"/>
                <w:sz w:val="24"/>
                <w:szCs w:val="24"/>
                <w:highlight w:val="none"/>
              </w:rPr>
              <w:t>标段（包）名称</w:t>
            </w:r>
          </w:p>
        </w:tc>
        <w:tc>
          <w:tcPr>
            <w:tcW w:w="2835" w:type="dxa"/>
            <w:vAlign w:val="center"/>
          </w:tcPr>
          <w:p w14:paraId="39F9700C">
            <w:pPr>
              <w:widowControl w:val="0"/>
              <w:snapToGrid w:val="0"/>
              <w:spacing w:line="240" w:lineRule="auto"/>
              <w:jc w:val="center"/>
              <w:rPr>
                <w:rFonts w:ascii="宋体" w:hAnsi="宋体"/>
                <w:b/>
                <w:color w:val="auto"/>
                <w:sz w:val="24"/>
                <w:szCs w:val="24"/>
                <w:highlight w:val="none"/>
              </w:rPr>
            </w:pPr>
            <w:r>
              <w:rPr>
                <w:rFonts w:hint="eastAsia" w:ascii="宋体" w:hAnsi="宋体"/>
                <w:b/>
                <w:color w:val="auto"/>
                <w:sz w:val="24"/>
                <w:szCs w:val="24"/>
                <w:highlight w:val="none"/>
              </w:rPr>
              <w:t>标段（包）内容（范围）</w:t>
            </w:r>
          </w:p>
        </w:tc>
        <w:tc>
          <w:tcPr>
            <w:tcW w:w="1701" w:type="dxa"/>
            <w:vAlign w:val="center"/>
          </w:tcPr>
          <w:p w14:paraId="68282717">
            <w:pPr>
              <w:widowControl w:val="0"/>
              <w:snapToGrid w:val="0"/>
              <w:spacing w:line="240" w:lineRule="auto"/>
              <w:jc w:val="center"/>
              <w:rPr>
                <w:rFonts w:ascii="宋体" w:hAnsi="宋体"/>
                <w:b/>
                <w:color w:val="auto"/>
                <w:sz w:val="24"/>
                <w:szCs w:val="24"/>
                <w:highlight w:val="none"/>
              </w:rPr>
            </w:pPr>
            <w:r>
              <w:rPr>
                <w:rFonts w:hint="eastAsia" w:ascii="宋体" w:hAnsi="宋体"/>
                <w:b/>
                <w:color w:val="auto"/>
                <w:sz w:val="24"/>
                <w:szCs w:val="24"/>
                <w:highlight w:val="none"/>
              </w:rPr>
              <w:t>合同履行期限</w:t>
            </w:r>
          </w:p>
          <w:p w14:paraId="4AFB8695">
            <w:pPr>
              <w:widowControl w:val="0"/>
              <w:snapToGrid w:val="0"/>
              <w:spacing w:line="240" w:lineRule="auto"/>
              <w:jc w:val="center"/>
              <w:rPr>
                <w:rFonts w:ascii="宋体" w:hAnsi="宋体"/>
                <w:b/>
                <w:color w:val="auto"/>
                <w:sz w:val="24"/>
                <w:szCs w:val="24"/>
                <w:highlight w:val="none"/>
              </w:rPr>
            </w:pPr>
            <w:r>
              <w:rPr>
                <w:rFonts w:hint="eastAsia" w:ascii="宋体" w:hAnsi="宋体"/>
                <w:b/>
                <w:color w:val="auto"/>
                <w:sz w:val="24"/>
                <w:szCs w:val="24"/>
                <w:highlight w:val="none"/>
              </w:rPr>
              <w:t>（交验期）</w:t>
            </w:r>
          </w:p>
        </w:tc>
        <w:tc>
          <w:tcPr>
            <w:tcW w:w="1207" w:type="dxa"/>
            <w:vAlign w:val="center"/>
          </w:tcPr>
          <w:p w14:paraId="1837B54C">
            <w:pPr>
              <w:widowControl w:val="0"/>
              <w:snapToGrid w:val="0"/>
              <w:spacing w:line="240" w:lineRule="auto"/>
              <w:jc w:val="center"/>
              <w:rPr>
                <w:rFonts w:ascii="宋体" w:hAnsi="宋体"/>
                <w:b/>
                <w:color w:val="auto"/>
                <w:sz w:val="24"/>
                <w:szCs w:val="24"/>
                <w:highlight w:val="none"/>
              </w:rPr>
            </w:pPr>
            <w:r>
              <w:rPr>
                <w:rFonts w:hint="eastAsia" w:ascii="宋体" w:hAnsi="宋体"/>
                <w:b/>
                <w:color w:val="auto"/>
                <w:sz w:val="24"/>
                <w:szCs w:val="24"/>
                <w:highlight w:val="none"/>
              </w:rPr>
              <w:t>交验地点</w:t>
            </w:r>
          </w:p>
        </w:tc>
      </w:tr>
      <w:tr w14:paraId="544AC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2101" w:type="dxa"/>
            <w:vAlign w:val="center"/>
          </w:tcPr>
          <w:p w14:paraId="69374093">
            <w:pPr>
              <w:widowControl w:val="0"/>
              <w:snapToGrid w:val="0"/>
              <w:spacing w:line="240" w:lineRule="auto"/>
              <w:rPr>
                <w:rFonts w:ascii="宋体" w:hAnsi="宋体"/>
                <w:color w:val="auto"/>
                <w:sz w:val="24"/>
                <w:szCs w:val="24"/>
                <w:highlight w:val="none"/>
              </w:rPr>
            </w:pPr>
            <w:r>
              <w:rPr>
                <w:rFonts w:hint="eastAsia"/>
                <w:color w:val="auto"/>
                <w:sz w:val="24"/>
                <w:szCs w:val="24"/>
                <w:highlight w:val="none"/>
              </w:rPr>
              <w:t>安阳县公安局安阳县看守所智能谈话教育系统项目</w:t>
            </w:r>
          </w:p>
        </w:tc>
        <w:tc>
          <w:tcPr>
            <w:tcW w:w="1835" w:type="dxa"/>
            <w:vAlign w:val="center"/>
          </w:tcPr>
          <w:p w14:paraId="625EB611">
            <w:pPr>
              <w:widowControl w:val="0"/>
              <w:snapToGrid w:val="0"/>
              <w:spacing w:line="240" w:lineRule="auto"/>
              <w:rPr>
                <w:rFonts w:ascii="宋体" w:hAnsi="宋体"/>
                <w:color w:val="auto"/>
                <w:sz w:val="24"/>
                <w:szCs w:val="24"/>
                <w:highlight w:val="none"/>
              </w:rPr>
            </w:pPr>
            <w:r>
              <w:rPr>
                <w:rFonts w:hint="eastAsia" w:ascii="宋体" w:hAnsi="宋体"/>
                <w:color w:val="auto"/>
                <w:sz w:val="24"/>
                <w:szCs w:val="24"/>
                <w:highlight w:val="none"/>
              </w:rPr>
              <w:t>同项目名称</w:t>
            </w:r>
          </w:p>
        </w:tc>
        <w:tc>
          <w:tcPr>
            <w:tcW w:w="2835" w:type="dxa"/>
            <w:vAlign w:val="center"/>
          </w:tcPr>
          <w:p w14:paraId="034C31E5">
            <w:pPr>
              <w:widowControl w:val="0"/>
              <w:snapToGrid w:val="0"/>
              <w:spacing w:line="240" w:lineRule="auto"/>
              <w:rPr>
                <w:rFonts w:ascii="宋体" w:hAnsi="宋体"/>
                <w:color w:val="auto"/>
                <w:sz w:val="24"/>
                <w:szCs w:val="24"/>
                <w:highlight w:val="none"/>
              </w:rPr>
            </w:pPr>
            <w:r>
              <w:rPr>
                <w:rFonts w:hint="eastAsia" w:ascii="宋体" w:hAnsi="宋体"/>
                <w:color w:val="auto"/>
                <w:sz w:val="24"/>
                <w:szCs w:val="24"/>
                <w:highlight w:val="none"/>
              </w:rPr>
              <w:t>见“第二章第</w:t>
            </w:r>
            <w:r>
              <w:rPr>
                <w:rFonts w:ascii="宋体" w:hAnsi="宋体"/>
                <w:color w:val="auto"/>
                <w:sz w:val="24"/>
                <w:szCs w:val="24"/>
                <w:highlight w:val="none"/>
              </w:rPr>
              <w:t>2</w:t>
            </w:r>
            <w:r>
              <w:rPr>
                <w:rFonts w:hint="eastAsia" w:ascii="宋体" w:hAnsi="宋体"/>
                <w:color w:val="auto"/>
                <w:sz w:val="24"/>
                <w:szCs w:val="24"/>
                <w:highlight w:val="none"/>
              </w:rPr>
              <w:t>条：标段（包）内容（范围）及基本技术要求”</w:t>
            </w:r>
          </w:p>
        </w:tc>
        <w:tc>
          <w:tcPr>
            <w:tcW w:w="1701" w:type="dxa"/>
            <w:vAlign w:val="center"/>
          </w:tcPr>
          <w:p w14:paraId="6F34D37B">
            <w:pPr>
              <w:rPr>
                <w:rFonts w:ascii="宋体" w:hAnsi="宋体"/>
                <w:color w:val="auto"/>
                <w:sz w:val="24"/>
                <w:szCs w:val="24"/>
                <w:highlight w:val="none"/>
              </w:rPr>
            </w:pPr>
            <w:r>
              <w:rPr>
                <w:rFonts w:hint="eastAsia"/>
                <w:color w:val="auto"/>
                <w:sz w:val="24"/>
                <w:szCs w:val="24"/>
                <w:highlight w:val="none"/>
              </w:rPr>
              <w:t>见谈判公告</w:t>
            </w:r>
            <w:r>
              <w:rPr>
                <w:color w:val="auto"/>
                <w:sz w:val="24"/>
                <w:szCs w:val="24"/>
                <w:highlight w:val="none"/>
              </w:rPr>
              <w:t>1.6</w:t>
            </w:r>
          </w:p>
        </w:tc>
        <w:tc>
          <w:tcPr>
            <w:tcW w:w="1207" w:type="dxa"/>
            <w:vAlign w:val="center"/>
          </w:tcPr>
          <w:p w14:paraId="156CD963">
            <w:pPr>
              <w:widowControl w:val="0"/>
              <w:snapToGrid w:val="0"/>
              <w:spacing w:line="240" w:lineRule="auto"/>
              <w:rPr>
                <w:rFonts w:ascii="宋体" w:hAnsi="宋体"/>
                <w:color w:val="auto"/>
                <w:sz w:val="24"/>
                <w:szCs w:val="24"/>
                <w:highlight w:val="none"/>
              </w:rPr>
            </w:pPr>
            <w:r>
              <w:rPr>
                <w:rFonts w:hint="eastAsia" w:ascii="宋体" w:hAnsi="宋体"/>
                <w:color w:val="auto"/>
                <w:sz w:val="24"/>
                <w:szCs w:val="24"/>
                <w:highlight w:val="none"/>
              </w:rPr>
              <w:t>采购人指定地点</w:t>
            </w:r>
          </w:p>
        </w:tc>
      </w:tr>
    </w:tbl>
    <w:p w14:paraId="4391E3DA">
      <w:pPr>
        <w:widowControl w:val="0"/>
        <w:snapToGrid w:val="0"/>
        <w:spacing w:line="360" w:lineRule="auto"/>
        <w:ind w:firstLine="482" w:firstLineChars="200"/>
        <w:jc w:val="left"/>
        <w:rPr>
          <w:rFonts w:ascii="宋体" w:hAnsi="宋体"/>
          <w:color w:val="auto"/>
          <w:sz w:val="24"/>
          <w:szCs w:val="24"/>
          <w:highlight w:val="none"/>
        </w:rPr>
      </w:pPr>
      <w:r>
        <w:rPr>
          <w:rFonts w:ascii="宋体" w:hAnsi="宋体"/>
          <w:b/>
          <w:color w:val="auto"/>
          <w:sz w:val="24"/>
          <w:szCs w:val="24"/>
          <w:highlight w:val="none"/>
        </w:rPr>
        <w:t xml:space="preserve">1.3 </w:t>
      </w:r>
      <w:r>
        <w:rPr>
          <w:rFonts w:hint="eastAsia" w:ascii="宋体" w:hAnsi="宋体"/>
          <w:b/>
          <w:color w:val="auto"/>
          <w:sz w:val="24"/>
          <w:szCs w:val="24"/>
          <w:highlight w:val="none"/>
        </w:rPr>
        <w:t>投标报价（价格构成）</w:t>
      </w:r>
    </w:p>
    <w:p w14:paraId="03951AB3">
      <w:pPr>
        <w:widowControl w:val="0"/>
        <w:snapToGrid w:val="0"/>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1.3.1 投标人的投标报价应为达到正常使用条件下的目的地交验价，包括产品价款、相关税款、备品备件价、易损件价、专用工具价、售后及技术服务费、知识产权（如有）、保险（如需）、货物包装、安装调试费、培训费及运送到安阳地区指定地点的运杂费、装卸费等与采购项目相关的、必须的款项及费用（包括未列明而完成交验所必须的所有产品、材料、工具、费用）。成交价格在成交合同范围内固定不变。</w:t>
      </w:r>
    </w:p>
    <w:p w14:paraId="21CE1C20">
      <w:pPr>
        <w:widowControl w:val="0"/>
        <w:snapToGrid w:val="0"/>
        <w:spacing w:line="360" w:lineRule="auto"/>
        <w:ind w:firstLine="480" w:firstLineChars="200"/>
        <w:jc w:val="left"/>
        <w:rPr>
          <w:rFonts w:ascii="宋体" w:hAnsi="宋体"/>
          <w:color w:val="auto"/>
          <w:sz w:val="24"/>
          <w:szCs w:val="24"/>
          <w:highlight w:val="none"/>
        </w:rPr>
      </w:pPr>
      <w:r>
        <w:rPr>
          <w:rFonts w:ascii="宋体" w:hAnsi="宋体"/>
          <w:color w:val="auto"/>
          <w:sz w:val="24"/>
          <w:szCs w:val="24"/>
          <w:highlight w:val="none"/>
        </w:rPr>
        <w:t>1.3.2</w:t>
      </w:r>
      <w:r>
        <w:rPr>
          <w:rFonts w:hint="eastAsia" w:ascii="宋体" w:hAnsi="宋体"/>
          <w:color w:val="auto"/>
          <w:sz w:val="24"/>
          <w:szCs w:val="24"/>
          <w:highlight w:val="none"/>
        </w:rPr>
        <w:t>本次竞争性谈判共二次报价（含系统中开标一览表报价共二次价格谈判）。谈判小组未对谈判文件作优化变更增加的，谈判中的报价均不应超过前次报价，投标人擅自调高报价的，谈判小组将按二次报价中的最低报价作为有效报价。投标人拒绝接受上述意见的，谈判小组将视为变相在提交投标文件（响应文件）截止时间后撤回投标文件（响应文件），并评定其为无效投标。依据谈判文件“第三章</w:t>
      </w:r>
      <w:r>
        <w:rPr>
          <w:rFonts w:hint="eastAsia" w:ascii="宋体" w:hAnsi="宋体" w:cs="楷体_GB2312"/>
          <w:color w:val="auto"/>
          <w:sz w:val="24"/>
          <w:szCs w:val="22"/>
          <w:highlight w:val="none"/>
        </w:rPr>
        <w:t>3.5.5 违背承诺的责任追究措施</w:t>
      </w:r>
      <w:r>
        <w:rPr>
          <w:rFonts w:hint="eastAsia" w:ascii="宋体" w:hAnsi="宋体"/>
          <w:color w:val="auto"/>
          <w:sz w:val="24"/>
          <w:szCs w:val="24"/>
          <w:highlight w:val="none"/>
        </w:rPr>
        <w:t>”，投标人</w:t>
      </w:r>
      <w:r>
        <w:rPr>
          <w:rFonts w:hint="eastAsia" w:ascii="宋体" w:hAnsi="宋体" w:cs="楷体_GB2312"/>
          <w:color w:val="auto"/>
          <w:sz w:val="24"/>
          <w:szCs w:val="22"/>
          <w:highlight w:val="none"/>
        </w:rPr>
        <w:t>承担相应法律责任及违约责任。</w:t>
      </w:r>
    </w:p>
    <w:p w14:paraId="7D63CFD8">
      <w:pPr>
        <w:autoSpaceDE w:val="0"/>
        <w:autoSpaceDN w:val="0"/>
        <w:adjustRightInd w:val="0"/>
        <w:snapToGrid w:val="0"/>
        <w:spacing w:beforeLines="50" w:line="300" w:lineRule="auto"/>
        <w:ind w:firstLine="569" w:firstLineChars="236"/>
        <w:jc w:val="left"/>
        <w:rPr>
          <w:rFonts w:ascii="宋体" w:hAnsi="宋体"/>
          <w:b/>
          <w:color w:val="auto"/>
          <w:sz w:val="24"/>
          <w:szCs w:val="24"/>
          <w:highlight w:val="none"/>
        </w:rPr>
      </w:pPr>
      <w:r>
        <w:rPr>
          <w:rFonts w:hint="eastAsia" w:ascii="宋体" w:hAnsi="宋体"/>
          <w:b/>
          <w:color w:val="auto"/>
          <w:sz w:val="24"/>
          <w:szCs w:val="24"/>
          <w:highlight w:val="none"/>
        </w:rPr>
        <w:t>价</w:t>
      </w:r>
      <w:r>
        <w:rPr>
          <w:rFonts w:ascii="宋体" w:hAnsi="宋体"/>
          <w:b/>
          <w:color w:val="auto"/>
          <w:sz w:val="24"/>
          <w:szCs w:val="24"/>
          <w:highlight w:val="none"/>
        </w:rPr>
        <w:t>格谈</w:t>
      </w:r>
      <w:r>
        <w:rPr>
          <w:rFonts w:hint="eastAsia" w:ascii="宋体" w:hAnsi="宋体"/>
          <w:b/>
          <w:color w:val="auto"/>
          <w:sz w:val="24"/>
          <w:szCs w:val="24"/>
          <w:highlight w:val="none"/>
        </w:rPr>
        <w:t>判</w:t>
      </w:r>
      <w:r>
        <w:rPr>
          <w:rFonts w:ascii="宋体" w:hAnsi="宋体"/>
          <w:b/>
          <w:color w:val="auto"/>
          <w:sz w:val="24"/>
          <w:szCs w:val="24"/>
          <w:highlight w:val="none"/>
        </w:rPr>
        <w:t>规</w:t>
      </w:r>
      <w:r>
        <w:rPr>
          <w:rFonts w:hint="eastAsia" w:ascii="宋体" w:hAnsi="宋体"/>
          <w:b/>
          <w:color w:val="auto"/>
          <w:sz w:val="24"/>
          <w:szCs w:val="24"/>
          <w:highlight w:val="none"/>
        </w:rPr>
        <w:t>则</w:t>
      </w:r>
      <w:r>
        <w:rPr>
          <w:rFonts w:ascii="宋体" w:hAnsi="宋体"/>
          <w:b/>
          <w:color w:val="auto"/>
          <w:sz w:val="24"/>
          <w:szCs w:val="24"/>
          <w:highlight w:val="none"/>
        </w:rPr>
        <w:t>详见第四章</w:t>
      </w:r>
      <w:r>
        <w:rPr>
          <w:rFonts w:hint="eastAsia" w:ascii="宋体" w:hAnsi="宋体"/>
          <w:b/>
          <w:color w:val="auto"/>
          <w:sz w:val="24"/>
          <w:szCs w:val="24"/>
          <w:highlight w:val="none"/>
        </w:rPr>
        <w:t>“评审办法”</w:t>
      </w:r>
      <w:r>
        <w:rPr>
          <w:rFonts w:ascii="宋体" w:hAnsi="宋体"/>
          <w:b/>
          <w:color w:val="auto"/>
          <w:sz w:val="24"/>
          <w:szCs w:val="24"/>
          <w:highlight w:val="none"/>
        </w:rPr>
        <w:t>第</w:t>
      </w:r>
      <w:r>
        <w:rPr>
          <w:rFonts w:hint="eastAsia" w:ascii="宋体" w:hAnsi="宋体"/>
          <w:b/>
          <w:color w:val="auto"/>
          <w:sz w:val="24"/>
          <w:szCs w:val="24"/>
          <w:highlight w:val="none"/>
        </w:rPr>
        <w:t>“</w:t>
      </w:r>
      <w:r>
        <w:rPr>
          <w:rFonts w:ascii="宋体" w:hAnsi="宋体"/>
          <w:b/>
          <w:color w:val="auto"/>
          <w:sz w:val="24"/>
          <w:szCs w:val="24"/>
          <w:highlight w:val="none"/>
        </w:rPr>
        <w:t xml:space="preserve">3.5.7 </w:t>
      </w:r>
      <w:r>
        <w:rPr>
          <w:rFonts w:hint="eastAsia" w:ascii="宋体" w:hAnsi="宋体"/>
          <w:b/>
          <w:color w:val="auto"/>
          <w:sz w:val="24"/>
          <w:szCs w:val="24"/>
          <w:highlight w:val="none"/>
        </w:rPr>
        <w:t>价格谈判”</w:t>
      </w:r>
      <w:r>
        <w:rPr>
          <w:rFonts w:ascii="宋体" w:hAnsi="宋体"/>
          <w:b/>
          <w:color w:val="auto"/>
          <w:sz w:val="24"/>
          <w:szCs w:val="24"/>
          <w:highlight w:val="none"/>
        </w:rPr>
        <w:t>条款</w:t>
      </w:r>
      <w:r>
        <w:rPr>
          <w:rFonts w:hint="eastAsia" w:ascii="宋体" w:hAnsi="宋体"/>
          <w:b/>
          <w:color w:val="auto"/>
          <w:sz w:val="24"/>
          <w:szCs w:val="24"/>
          <w:highlight w:val="none"/>
        </w:rPr>
        <w:t>。</w:t>
      </w:r>
    </w:p>
    <w:p w14:paraId="07807307">
      <w:pPr>
        <w:widowControl w:val="0"/>
        <w:snapToGrid w:val="0"/>
        <w:spacing w:line="360" w:lineRule="auto"/>
        <w:ind w:firstLine="480" w:firstLineChars="200"/>
        <w:jc w:val="left"/>
        <w:rPr>
          <w:rFonts w:ascii="宋体" w:hAnsi="宋体"/>
          <w:color w:val="auto"/>
          <w:sz w:val="24"/>
          <w:szCs w:val="24"/>
          <w:highlight w:val="none"/>
        </w:rPr>
      </w:pPr>
      <w:r>
        <w:rPr>
          <w:rFonts w:ascii="宋体" w:hAnsi="宋体"/>
          <w:color w:val="auto"/>
          <w:sz w:val="24"/>
          <w:szCs w:val="24"/>
          <w:highlight w:val="none"/>
        </w:rPr>
        <w:t xml:space="preserve">1.3.3 </w:t>
      </w:r>
      <w:r>
        <w:rPr>
          <w:rFonts w:hint="eastAsia" w:ascii="宋体" w:hAnsi="宋体"/>
          <w:color w:val="auto"/>
          <w:sz w:val="24"/>
          <w:szCs w:val="24"/>
          <w:highlight w:val="none"/>
        </w:rPr>
        <w:t>如投标人的投标报价未超过预算金额（见谈判公告</w:t>
      </w:r>
      <w:r>
        <w:rPr>
          <w:rFonts w:ascii="宋体" w:hAnsi="宋体"/>
          <w:color w:val="auto"/>
          <w:sz w:val="24"/>
          <w:szCs w:val="24"/>
          <w:highlight w:val="none"/>
        </w:rPr>
        <w:t>1.</w:t>
      </w:r>
      <w:r>
        <w:rPr>
          <w:rFonts w:hint="eastAsia" w:ascii="宋体" w:hAnsi="宋体"/>
          <w:color w:val="auto"/>
          <w:sz w:val="24"/>
          <w:szCs w:val="24"/>
          <w:highlight w:val="none"/>
        </w:rPr>
        <w:t>4）</w:t>
      </w:r>
      <w:r>
        <w:rPr>
          <w:rFonts w:hint="eastAsia" w:ascii="宋体" w:hAnsi="宋体"/>
          <w:color w:val="auto"/>
          <w:sz w:val="24"/>
          <w:szCs w:val="24"/>
          <w:highlight w:val="none"/>
          <w:lang w:val="en-US" w:eastAsia="zh-CN"/>
        </w:rPr>
        <w:t>及标段（包）内容中最高限价</w:t>
      </w:r>
      <w:r>
        <w:rPr>
          <w:rFonts w:hint="eastAsia" w:ascii="宋体" w:hAnsi="宋体"/>
          <w:color w:val="auto"/>
          <w:sz w:val="24"/>
          <w:szCs w:val="24"/>
          <w:highlight w:val="none"/>
        </w:rPr>
        <w:t>的供应商不足三家的，该标段（包）做废标处理。</w:t>
      </w:r>
    </w:p>
    <w:p w14:paraId="47879A21">
      <w:pPr>
        <w:widowControl w:val="0"/>
        <w:snapToGrid w:val="0"/>
        <w:spacing w:line="360" w:lineRule="auto"/>
        <w:ind w:firstLine="480" w:firstLineChars="200"/>
        <w:jc w:val="left"/>
        <w:rPr>
          <w:rFonts w:ascii="宋体" w:hAnsi="宋体"/>
          <w:color w:val="auto"/>
          <w:sz w:val="24"/>
          <w:szCs w:val="24"/>
          <w:highlight w:val="none"/>
        </w:rPr>
      </w:pPr>
      <w:r>
        <w:rPr>
          <w:rFonts w:ascii="宋体" w:hAnsi="宋体"/>
          <w:color w:val="auto"/>
          <w:sz w:val="24"/>
          <w:szCs w:val="24"/>
          <w:highlight w:val="none"/>
        </w:rPr>
        <w:t>1.3.4</w:t>
      </w:r>
      <w:r>
        <w:rPr>
          <w:rFonts w:hint="eastAsia" w:ascii="宋体" w:hAnsi="宋体"/>
          <w:color w:val="auto"/>
          <w:sz w:val="24"/>
          <w:szCs w:val="24"/>
          <w:highlight w:val="none"/>
        </w:rPr>
        <w:t>遵循第三章投标人须知</w:t>
      </w:r>
      <w:r>
        <w:rPr>
          <w:rFonts w:ascii="宋体" w:hAnsi="宋体"/>
          <w:color w:val="auto"/>
          <w:sz w:val="24"/>
          <w:szCs w:val="24"/>
          <w:highlight w:val="none"/>
        </w:rPr>
        <w:t>3.7.</w:t>
      </w:r>
      <w:r>
        <w:rPr>
          <w:rFonts w:hint="eastAsia" w:ascii="宋体" w:hAnsi="宋体"/>
          <w:color w:val="auto"/>
          <w:sz w:val="24"/>
          <w:szCs w:val="24"/>
          <w:highlight w:val="none"/>
        </w:rPr>
        <w:t>5项规定。</w:t>
      </w:r>
    </w:p>
    <w:p w14:paraId="0309D7DA">
      <w:pPr>
        <w:spacing w:line="560" w:lineRule="exact"/>
        <w:ind w:firstLine="562" w:firstLineChars="200"/>
        <w:rPr>
          <w:rFonts w:ascii="黑体" w:hAnsi="黑体" w:eastAsia="黑体"/>
          <w:b/>
          <w:color w:val="auto"/>
          <w:sz w:val="28"/>
          <w:highlight w:val="none"/>
        </w:rPr>
      </w:pPr>
    </w:p>
    <w:p w14:paraId="3C524F2A">
      <w:pPr>
        <w:spacing w:line="560" w:lineRule="exact"/>
        <w:ind w:firstLine="562" w:firstLineChars="200"/>
        <w:outlineLvl w:val="1"/>
        <w:rPr>
          <w:rFonts w:ascii="黑体" w:hAnsi="黑体" w:eastAsia="黑体"/>
          <w:b/>
          <w:color w:val="auto"/>
          <w:sz w:val="28"/>
          <w:highlight w:val="none"/>
        </w:rPr>
      </w:pPr>
      <w:bookmarkStart w:id="15" w:name="_Toc209083625"/>
      <w:r>
        <w:rPr>
          <w:rFonts w:ascii="黑体" w:hAnsi="黑体" w:eastAsia="黑体"/>
          <w:b/>
          <w:color w:val="auto"/>
          <w:sz w:val="28"/>
          <w:highlight w:val="none"/>
        </w:rPr>
        <w:t xml:space="preserve">2. </w:t>
      </w:r>
      <w:r>
        <w:rPr>
          <w:rFonts w:hint="eastAsia" w:ascii="黑体" w:hAnsi="黑体" w:eastAsia="黑体"/>
          <w:b/>
          <w:color w:val="auto"/>
          <w:sz w:val="28"/>
          <w:highlight w:val="none"/>
        </w:rPr>
        <w:t>标段（包）内容（范围）及基本技术要求</w:t>
      </w:r>
      <w:bookmarkEnd w:id="15"/>
    </w:p>
    <w:p w14:paraId="3D06BC43">
      <w:pPr>
        <w:spacing w:line="560" w:lineRule="exact"/>
        <w:ind w:firstLine="482" w:firstLineChars="200"/>
        <w:rPr>
          <w:color w:val="auto"/>
          <w:sz w:val="24"/>
          <w:szCs w:val="24"/>
          <w:highlight w:val="none"/>
        </w:rPr>
      </w:pPr>
      <w:r>
        <w:rPr>
          <w:rFonts w:ascii="黑体" w:hAnsi="黑体" w:eastAsia="黑体"/>
          <w:b/>
          <w:color w:val="auto"/>
          <w:sz w:val="24"/>
          <w:szCs w:val="24"/>
          <w:highlight w:val="none"/>
        </w:rPr>
        <w:t xml:space="preserve">2.1 </w:t>
      </w:r>
      <w:r>
        <w:rPr>
          <w:rFonts w:hint="eastAsia" w:ascii="黑体" w:hAnsi="黑体" w:eastAsia="黑体"/>
          <w:b/>
          <w:color w:val="auto"/>
          <w:sz w:val="24"/>
          <w:szCs w:val="24"/>
          <w:highlight w:val="none"/>
        </w:rPr>
        <w:t>总体技术（方案）要求及标段（包）内容（范围）：</w:t>
      </w:r>
      <w:r>
        <w:rPr>
          <w:rFonts w:hint="eastAsia"/>
          <w:color w:val="auto"/>
          <w:sz w:val="24"/>
          <w:szCs w:val="24"/>
          <w:highlight w:val="none"/>
        </w:rPr>
        <w:t>详见下述</w:t>
      </w:r>
      <w:r>
        <w:rPr>
          <w:color w:val="auto"/>
          <w:sz w:val="24"/>
          <w:szCs w:val="24"/>
          <w:highlight w:val="none"/>
        </w:rPr>
        <w:t>2.</w:t>
      </w:r>
      <w:r>
        <w:rPr>
          <w:rFonts w:hint="eastAsia"/>
          <w:color w:val="auto"/>
          <w:sz w:val="24"/>
          <w:szCs w:val="24"/>
          <w:highlight w:val="none"/>
        </w:rPr>
        <w:t>4款</w:t>
      </w:r>
    </w:p>
    <w:p w14:paraId="7E414DC2">
      <w:pPr>
        <w:adjustRightInd w:val="0"/>
        <w:snapToGrid w:val="0"/>
        <w:spacing w:beforeLines="50" w:line="300" w:lineRule="auto"/>
        <w:ind w:firstLine="482" w:firstLineChars="200"/>
        <w:rPr>
          <w:rFonts w:ascii="黑体" w:hAnsi="黑体" w:eastAsia="黑体"/>
          <w:b/>
          <w:color w:val="auto"/>
          <w:sz w:val="24"/>
          <w:szCs w:val="24"/>
          <w:highlight w:val="none"/>
        </w:rPr>
      </w:pPr>
      <w:r>
        <w:rPr>
          <w:rFonts w:ascii="黑体" w:hAnsi="黑体" w:eastAsia="黑体"/>
          <w:b/>
          <w:color w:val="auto"/>
          <w:sz w:val="24"/>
          <w:szCs w:val="24"/>
          <w:highlight w:val="none"/>
        </w:rPr>
        <w:t xml:space="preserve">2.2 </w:t>
      </w:r>
      <w:r>
        <w:rPr>
          <w:rFonts w:hint="eastAsia" w:ascii="黑体" w:hAnsi="黑体" w:eastAsia="黑体"/>
          <w:b/>
          <w:color w:val="auto"/>
          <w:sz w:val="24"/>
          <w:szCs w:val="24"/>
          <w:highlight w:val="none"/>
        </w:rPr>
        <w:t>项目落实的政府采购政策（法规标准条款）</w:t>
      </w:r>
    </w:p>
    <w:p w14:paraId="0B7E251A">
      <w:pPr>
        <w:adjustRightInd w:val="0"/>
        <w:snapToGrid w:val="0"/>
        <w:spacing w:beforeLines="50" w:line="300" w:lineRule="auto"/>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2</w:t>
      </w:r>
      <w:r>
        <w:rPr>
          <w:rFonts w:ascii="宋体" w:hAnsi="宋体"/>
          <w:color w:val="auto"/>
          <w:sz w:val="24"/>
          <w:szCs w:val="24"/>
          <w:highlight w:val="none"/>
        </w:rPr>
        <w:t xml:space="preserve">.1 </w:t>
      </w:r>
      <w:r>
        <w:rPr>
          <w:rFonts w:hint="eastAsia" w:ascii="宋体" w:hAnsi="宋体"/>
          <w:color w:val="auto"/>
          <w:sz w:val="24"/>
          <w:szCs w:val="24"/>
          <w:highlight w:val="none"/>
        </w:rPr>
        <w:t>政府采购节能产品、环境标志产品实施品目清单管理后，对本次采购产品属于“节能产品政府采购品目清单”中强制采购品目的</w:t>
      </w:r>
      <w:r>
        <w:rPr>
          <w:rFonts w:ascii="宋体" w:hAnsi="宋体" w:cs="宋体"/>
          <w:color w:val="auto"/>
          <w:sz w:val="24"/>
          <w:szCs w:val="24"/>
          <w:highlight w:val="none"/>
        </w:rPr>
        <w:t>，</w:t>
      </w:r>
      <w:r>
        <w:rPr>
          <w:rFonts w:hint="eastAsia" w:ascii="宋体" w:hAnsi="宋体" w:cs="宋体"/>
          <w:color w:val="auto"/>
          <w:sz w:val="24"/>
          <w:szCs w:val="24"/>
          <w:highlight w:val="none"/>
        </w:rPr>
        <w:t>投</w:t>
      </w:r>
      <w:r>
        <w:rPr>
          <w:rFonts w:ascii="宋体" w:hAnsi="宋体" w:cs="宋体"/>
          <w:color w:val="auto"/>
          <w:sz w:val="24"/>
          <w:szCs w:val="24"/>
          <w:highlight w:val="none"/>
        </w:rPr>
        <w:t>标产</w:t>
      </w:r>
      <w:r>
        <w:rPr>
          <w:rFonts w:hint="eastAsia" w:ascii="宋体" w:hAnsi="宋体" w:cs="宋体"/>
          <w:color w:val="auto"/>
          <w:sz w:val="24"/>
          <w:szCs w:val="24"/>
          <w:highlight w:val="none"/>
        </w:rPr>
        <w:t>品</w:t>
      </w:r>
      <w:r>
        <w:rPr>
          <w:rFonts w:ascii="宋体" w:hAnsi="宋体" w:cs="宋体"/>
          <w:color w:val="auto"/>
          <w:sz w:val="24"/>
          <w:szCs w:val="24"/>
          <w:highlight w:val="none"/>
        </w:rPr>
        <w:t>应当具有</w:t>
      </w:r>
      <w:r>
        <w:rPr>
          <w:rFonts w:hint="eastAsia" w:ascii="宋体" w:hAnsi="宋体" w:cs="宋体"/>
          <w:color w:val="auto"/>
          <w:sz w:val="24"/>
          <w:szCs w:val="24"/>
          <w:highlight w:val="none"/>
        </w:rPr>
        <w:t>相</w:t>
      </w:r>
      <w:r>
        <w:rPr>
          <w:rFonts w:ascii="宋体" w:hAnsi="宋体" w:cs="宋体"/>
          <w:color w:val="auto"/>
          <w:sz w:val="24"/>
          <w:szCs w:val="24"/>
          <w:highlight w:val="none"/>
        </w:rPr>
        <w:t>应</w:t>
      </w:r>
      <w:r>
        <w:rPr>
          <w:rFonts w:hint="eastAsia" w:ascii="宋体" w:hAnsi="宋体" w:cs="宋体"/>
          <w:color w:val="auto"/>
          <w:sz w:val="24"/>
          <w:szCs w:val="24"/>
          <w:highlight w:val="none"/>
        </w:rPr>
        <w:t>的认证证书（认证证书应当为国家确定的认证机构出具、且应处于有效期之内</w:t>
      </w:r>
      <w:r>
        <w:rPr>
          <w:rFonts w:ascii="宋体" w:hAnsi="宋体" w:cs="宋体"/>
          <w:color w:val="auto"/>
          <w:sz w:val="24"/>
          <w:szCs w:val="24"/>
          <w:highlight w:val="none"/>
        </w:rPr>
        <w:t>）</w:t>
      </w:r>
      <w:r>
        <w:rPr>
          <w:rFonts w:hint="eastAsia" w:ascii="宋体" w:hAnsi="宋体" w:cs="宋体"/>
          <w:color w:val="auto"/>
          <w:sz w:val="24"/>
          <w:szCs w:val="24"/>
          <w:highlight w:val="none"/>
        </w:rPr>
        <w:t>，投</w:t>
      </w:r>
      <w:r>
        <w:rPr>
          <w:rFonts w:ascii="宋体" w:hAnsi="宋体" w:cs="宋体"/>
          <w:color w:val="auto"/>
          <w:sz w:val="24"/>
          <w:szCs w:val="24"/>
          <w:highlight w:val="none"/>
        </w:rPr>
        <w:t>标文件中应当提供</w:t>
      </w:r>
      <w:r>
        <w:rPr>
          <w:rFonts w:hint="eastAsia" w:ascii="宋体" w:hAnsi="宋体" w:cs="宋体"/>
          <w:color w:val="auto"/>
          <w:sz w:val="24"/>
          <w:szCs w:val="24"/>
          <w:highlight w:val="none"/>
        </w:rPr>
        <w:t>相</w:t>
      </w:r>
      <w:r>
        <w:rPr>
          <w:rFonts w:ascii="宋体" w:hAnsi="宋体" w:cs="宋体"/>
          <w:color w:val="auto"/>
          <w:sz w:val="24"/>
          <w:szCs w:val="24"/>
          <w:highlight w:val="none"/>
        </w:rPr>
        <w:t>应</w:t>
      </w:r>
      <w:r>
        <w:rPr>
          <w:rFonts w:hint="eastAsia" w:ascii="宋体" w:hAnsi="宋体" w:cs="宋体"/>
          <w:color w:val="auto"/>
          <w:sz w:val="24"/>
          <w:szCs w:val="24"/>
          <w:highlight w:val="none"/>
        </w:rPr>
        <w:t>的认证证书（认证证书应当为国家确定的认证机构出具、且应处于有效期之内）。</w:t>
      </w:r>
    </w:p>
    <w:p w14:paraId="54BE5545">
      <w:pPr>
        <w:adjustRightInd w:val="0"/>
        <w:snapToGrid w:val="0"/>
        <w:spacing w:beforeLines="50" w:line="30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属于政府强制采购</w:t>
      </w:r>
      <w:r>
        <w:rPr>
          <w:rFonts w:hint="eastAsia" w:ascii="宋体" w:hAnsi="宋体" w:cs="宋体"/>
          <w:color w:val="auto"/>
          <w:sz w:val="24"/>
          <w:szCs w:val="24"/>
          <w:highlight w:val="none"/>
        </w:rPr>
        <w:t>品目</w:t>
      </w:r>
      <w:r>
        <w:rPr>
          <w:rFonts w:hint="eastAsia" w:ascii="宋体" w:hAnsi="宋体"/>
          <w:color w:val="auto"/>
          <w:sz w:val="24"/>
          <w:szCs w:val="24"/>
          <w:highlight w:val="none"/>
        </w:rPr>
        <w:t>、而未按要求提供相应资料的，</w:t>
      </w:r>
      <w:r>
        <w:rPr>
          <w:rFonts w:hint="eastAsia" w:ascii="宋体" w:hAnsi="宋体"/>
          <w:b/>
          <w:color w:val="auto"/>
          <w:sz w:val="24"/>
          <w:szCs w:val="24"/>
          <w:highlight w:val="none"/>
        </w:rPr>
        <w:t>为无效投标</w:t>
      </w:r>
      <w:r>
        <w:rPr>
          <w:rFonts w:hint="eastAsia" w:ascii="宋体" w:hAnsi="宋体"/>
          <w:color w:val="auto"/>
          <w:sz w:val="24"/>
          <w:szCs w:val="24"/>
          <w:highlight w:val="none"/>
        </w:rPr>
        <w:t>。</w:t>
      </w:r>
    </w:p>
    <w:p w14:paraId="5F6D0875">
      <w:pPr>
        <w:adjustRightInd w:val="0"/>
        <w:snapToGrid w:val="0"/>
        <w:spacing w:beforeLines="50" w:line="300" w:lineRule="auto"/>
        <w:ind w:firstLine="480" w:firstLineChars="200"/>
        <w:rPr>
          <w:rFonts w:ascii="宋体" w:hAnsi="宋体" w:cs="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2</w:t>
      </w:r>
      <w:r>
        <w:rPr>
          <w:rFonts w:ascii="宋体" w:hAnsi="宋体"/>
          <w:color w:val="auto"/>
          <w:sz w:val="24"/>
          <w:szCs w:val="24"/>
          <w:highlight w:val="none"/>
        </w:rPr>
        <w:t xml:space="preserve">.2 </w:t>
      </w:r>
      <w:r>
        <w:rPr>
          <w:rFonts w:hint="eastAsia" w:ascii="宋体" w:hAnsi="宋体"/>
          <w:color w:val="auto"/>
          <w:sz w:val="24"/>
          <w:szCs w:val="24"/>
          <w:highlight w:val="none"/>
        </w:rPr>
        <w:t>同等条件下，</w:t>
      </w:r>
      <w:r>
        <w:rPr>
          <w:rFonts w:hint="eastAsia" w:ascii="宋体" w:hAnsi="宋体" w:cs="宋体"/>
          <w:color w:val="auto"/>
          <w:sz w:val="24"/>
          <w:szCs w:val="24"/>
          <w:highlight w:val="none"/>
        </w:rPr>
        <w:t>获得节能产品认证证书或环境标志产品认证证书的产品优先采购。(认证证书应</w:t>
      </w:r>
      <w:r>
        <w:rPr>
          <w:rFonts w:ascii="宋体" w:hAnsi="宋体" w:cs="宋体"/>
          <w:color w:val="auto"/>
          <w:sz w:val="24"/>
          <w:szCs w:val="24"/>
          <w:highlight w:val="none"/>
        </w:rPr>
        <w:t>当为</w:t>
      </w:r>
      <w:r>
        <w:rPr>
          <w:rFonts w:hint="eastAsia" w:ascii="宋体" w:hAnsi="宋体" w:cs="宋体"/>
          <w:color w:val="auto"/>
          <w:sz w:val="24"/>
          <w:szCs w:val="24"/>
          <w:highlight w:val="none"/>
        </w:rPr>
        <w:t>国家确定的认证机构出具、且</w:t>
      </w:r>
      <w:r>
        <w:rPr>
          <w:rFonts w:ascii="宋体" w:hAnsi="宋体" w:cs="宋体"/>
          <w:color w:val="auto"/>
          <w:sz w:val="24"/>
          <w:szCs w:val="24"/>
          <w:highlight w:val="none"/>
        </w:rPr>
        <w:t>应</w:t>
      </w:r>
      <w:r>
        <w:rPr>
          <w:rFonts w:hint="eastAsia" w:ascii="宋体" w:hAnsi="宋体" w:cs="宋体"/>
          <w:color w:val="auto"/>
          <w:sz w:val="24"/>
          <w:szCs w:val="24"/>
          <w:highlight w:val="none"/>
        </w:rPr>
        <w:t>处于有效期之内。)</w:t>
      </w:r>
    </w:p>
    <w:p w14:paraId="29C5AE62">
      <w:pPr>
        <w:adjustRightInd w:val="0"/>
        <w:snapToGrid w:val="0"/>
        <w:spacing w:beforeLines="50" w:line="300" w:lineRule="auto"/>
        <w:ind w:firstLine="480" w:firstLineChars="200"/>
        <w:rPr>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3本次采购产品如有列入《网络关键设备和网络安全专用产品目录》的网络安全专用产品，该产品应当按照《关于调整网络安全专用产品安全管理有关事项的公告》要求进行安全认证或安全检测、或已获得《计算机信息系统安全专用产品销售许可证》（</w:t>
      </w:r>
      <w:r>
        <w:rPr>
          <w:rFonts w:hint="eastAsia" w:ascii="宋体" w:hAnsi="宋体" w:cs="宋体"/>
          <w:color w:val="auto"/>
          <w:sz w:val="24"/>
          <w:szCs w:val="24"/>
          <w:highlight w:val="none"/>
        </w:rPr>
        <w:t>应处于有效期内</w:t>
      </w:r>
      <w:r>
        <w:rPr>
          <w:rFonts w:hint="eastAsia" w:ascii="宋体" w:hAnsi="宋体"/>
          <w:color w:val="auto"/>
          <w:sz w:val="24"/>
          <w:szCs w:val="24"/>
          <w:highlight w:val="none"/>
        </w:rPr>
        <w:t>）。</w:t>
      </w:r>
    </w:p>
    <w:p w14:paraId="10211CBC">
      <w:pPr>
        <w:adjustRightInd w:val="0"/>
        <w:snapToGrid w:val="0"/>
        <w:spacing w:beforeLines="50" w:line="300" w:lineRule="auto"/>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4计算机产品须预装正版操作系统软件。</w:t>
      </w:r>
    </w:p>
    <w:p w14:paraId="31811417">
      <w:pPr>
        <w:adjustRightInd w:val="0"/>
        <w:snapToGrid w:val="0"/>
        <w:spacing w:beforeLines="50" w:line="300" w:lineRule="auto"/>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5本次采购不允许进口产品参加。</w:t>
      </w:r>
    </w:p>
    <w:p w14:paraId="2FDAAA60">
      <w:pPr>
        <w:adjustRightInd w:val="0"/>
        <w:snapToGrid w:val="0"/>
        <w:spacing w:beforeLines="50" w:line="300" w:lineRule="auto"/>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6如允许采购进口产品的，优先采购向我国企业转让技术、与我国企业签订消化吸收再创新方案的供应商的进口产品。</w:t>
      </w:r>
    </w:p>
    <w:p w14:paraId="16C3BD6E">
      <w:pPr>
        <w:adjustRightInd w:val="0"/>
        <w:snapToGrid w:val="0"/>
        <w:spacing w:beforeLines="50" w:line="300" w:lineRule="auto"/>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7促进中小企业发展扶持政策：见第四章“评审办法”第</w:t>
      </w:r>
      <w:r>
        <w:rPr>
          <w:rFonts w:ascii="宋体" w:hAnsi="宋体"/>
          <w:color w:val="auto"/>
          <w:sz w:val="24"/>
          <w:szCs w:val="24"/>
          <w:highlight w:val="none"/>
        </w:rPr>
        <w:t>4</w:t>
      </w:r>
      <w:r>
        <w:rPr>
          <w:rFonts w:hint="eastAsia" w:ascii="宋体" w:hAnsi="宋体"/>
          <w:color w:val="auto"/>
          <w:sz w:val="24"/>
          <w:szCs w:val="24"/>
          <w:highlight w:val="none"/>
        </w:rPr>
        <w:t>条。</w:t>
      </w:r>
    </w:p>
    <w:p w14:paraId="0BF184DC">
      <w:pPr>
        <w:adjustRightInd w:val="0"/>
        <w:snapToGrid w:val="0"/>
        <w:spacing w:beforeLines="50" w:line="300" w:lineRule="auto"/>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8促进残疾人就业、支持监狱企业发展：见第四章“评审办法”第</w:t>
      </w:r>
      <w:r>
        <w:rPr>
          <w:rFonts w:ascii="宋体" w:hAnsi="宋体"/>
          <w:color w:val="auto"/>
          <w:sz w:val="24"/>
          <w:szCs w:val="24"/>
          <w:highlight w:val="none"/>
        </w:rPr>
        <w:t>4</w:t>
      </w:r>
      <w:r>
        <w:rPr>
          <w:rFonts w:hint="eastAsia" w:ascii="宋体" w:hAnsi="宋体"/>
          <w:color w:val="auto"/>
          <w:sz w:val="24"/>
          <w:szCs w:val="24"/>
          <w:highlight w:val="none"/>
        </w:rPr>
        <w:t>条。</w:t>
      </w:r>
    </w:p>
    <w:p w14:paraId="727700FA">
      <w:pPr>
        <w:adjustRightInd w:val="0"/>
        <w:snapToGrid w:val="0"/>
        <w:spacing w:beforeLines="50" w:line="300" w:lineRule="auto"/>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9所供产品有商品包装的应当使用绿色包装。所供产品有其他环保政策要求的，应符合相关环保法律政策要求。</w:t>
      </w:r>
    </w:p>
    <w:p w14:paraId="5A387ADF">
      <w:pPr>
        <w:adjustRightInd w:val="0"/>
        <w:snapToGrid w:val="0"/>
        <w:spacing w:beforeLines="50" w:line="30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2.2.10支持绿色建筑、绿色建材，支持使用低</w:t>
      </w:r>
      <w:r>
        <w:rPr>
          <w:rFonts w:ascii="Arial" w:hAnsi="Arial" w:cs="Arial"/>
          <w:color w:val="auto"/>
          <w:szCs w:val="21"/>
          <w:highlight w:val="none"/>
          <w:shd w:val="clear" w:color="auto" w:fill="FFFFFF"/>
        </w:rPr>
        <w:t>VOCs</w:t>
      </w:r>
      <w:r>
        <w:rPr>
          <w:rFonts w:hint="eastAsia" w:ascii="宋体" w:hAnsi="宋体"/>
          <w:color w:val="auto"/>
          <w:sz w:val="24"/>
          <w:szCs w:val="24"/>
          <w:highlight w:val="none"/>
        </w:rPr>
        <w:t>含量涂料和胶黏剂，支持不发达、少数民族地区的企业，促进自主创新产业发展，支持脱贫攻坚等；同等条件下，优先采购。</w:t>
      </w:r>
    </w:p>
    <w:p w14:paraId="4F90F00F">
      <w:pPr>
        <w:adjustRightInd w:val="0"/>
        <w:snapToGrid w:val="0"/>
        <w:spacing w:line="300" w:lineRule="auto"/>
        <w:ind w:firstLine="482" w:firstLineChars="200"/>
        <w:jc w:val="left"/>
        <w:rPr>
          <w:rFonts w:ascii="黑体" w:hAnsi="黑体" w:eastAsia="黑体"/>
          <w:b/>
          <w:color w:val="auto"/>
          <w:sz w:val="24"/>
          <w:szCs w:val="24"/>
          <w:highlight w:val="none"/>
        </w:rPr>
      </w:pPr>
      <w:r>
        <w:rPr>
          <w:rFonts w:ascii="黑体" w:hAnsi="黑体" w:eastAsia="黑体"/>
          <w:b/>
          <w:color w:val="auto"/>
          <w:sz w:val="24"/>
          <w:szCs w:val="24"/>
          <w:highlight w:val="none"/>
        </w:rPr>
        <w:t>2.3</w:t>
      </w:r>
      <w:r>
        <w:rPr>
          <w:rFonts w:hint="eastAsia" w:ascii="黑体" w:hAnsi="黑体" w:eastAsia="黑体"/>
          <w:b/>
          <w:color w:val="auto"/>
          <w:sz w:val="24"/>
          <w:szCs w:val="24"/>
          <w:highlight w:val="none"/>
        </w:rPr>
        <w:t>采购标的需执行的国家相关标准、行业标准、地方标准或者其他标准、规范；</w:t>
      </w:r>
    </w:p>
    <w:p w14:paraId="49D09EC3">
      <w:pPr>
        <w:widowControl w:val="0"/>
        <w:adjustRightInd w:val="0"/>
        <w:snapToGrid w:val="0"/>
        <w:spacing w:beforeLines="50" w:line="300" w:lineRule="auto"/>
        <w:ind w:left="22" w:firstLine="555"/>
        <w:jc w:val="left"/>
        <w:rPr>
          <w:color w:val="auto"/>
          <w:sz w:val="24"/>
          <w:szCs w:val="24"/>
          <w:highlight w:val="none"/>
        </w:rPr>
      </w:pPr>
      <w:r>
        <w:rPr>
          <w:rFonts w:hint="eastAsia"/>
          <w:color w:val="auto"/>
          <w:sz w:val="24"/>
          <w:szCs w:val="24"/>
          <w:highlight w:val="none"/>
        </w:rPr>
        <w:t>投标人所投产品应为全新产品且符合国家质量标准、部颁标准及行业规范的要求，符合国家各项强制性规范及安全标准，投标产品不应与第三方存在知识产权权属问题；投标人应本着服务客户、为客户着想的宗旨，来完善产品及技术要求未尽事宜，不得以谈判文件未列明事项为由，来降低投标产品的质量。</w:t>
      </w:r>
    </w:p>
    <w:p w14:paraId="12BD1FAD">
      <w:pPr>
        <w:spacing w:line="560" w:lineRule="exact"/>
        <w:ind w:firstLine="482" w:firstLineChars="200"/>
        <w:rPr>
          <w:rFonts w:hint="eastAsia" w:ascii="黑体" w:hAnsi="黑体" w:eastAsia="黑体"/>
          <w:b/>
          <w:color w:val="auto"/>
          <w:sz w:val="24"/>
          <w:szCs w:val="24"/>
          <w:highlight w:val="none"/>
        </w:rPr>
      </w:pPr>
      <w:r>
        <w:rPr>
          <w:rFonts w:ascii="黑体" w:hAnsi="黑体" w:eastAsia="黑体"/>
          <w:b/>
          <w:color w:val="auto"/>
          <w:sz w:val="24"/>
          <w:szCs w:val="24"/>
          <w:highlight w:val="none"/>
        </w:rPr>
        <w:t>2.</w:t>
      </w:r>
      <w:r>
        <w:rPr>
          <w:rFonts w:hint="eastAsia" w:ascii="黑体" w:hAnsi="黑体" w:eastAsia="黑体"/>
          <w:b/>
          <w:color w:val="auto"/>
          <w:sz w:val="24"/>
          <w:szCs w:val="24"/>
          <w:highlight w:val="none"/>
        </w:rPr>
        <w:t>4具体技术要求及标段（包）内容（范围）</w:t>
      </w:r>
    </w:p>
    <w:tbl>
      <w:tblPr>
        <w:tblStyle w:val="16"/>
        <w:tblW w:w="99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11"/>
        <w:gridCol w:w="1080"/>
        <w:gridCol w:w="6272"/>
        <w:gridCol w:w="709"/>
        <w:gridCol w:w="705"/>
        <w:gridCol w:w="845"/>
      </w:tblGrid>
      <w:tr w14:paraId="574B0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311" w:type="dxa"/>
            <w:vAlign w:val="center"/>
          </w:tcPr>
          <w:p w14:paraId="6B912217">
            <w:pPr>
              <w:snapToGrid w:val="0"/>
              <w:spacing w:line="276" w:lineRule="auto"/>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序号</w:t>
            </w:r>
          </w:p>
        </w:tc>
        <w:tc>
          <w:tcPr>
            <w:tcW w:w="1080" w:type="dxa"/>
            <w:tcMar>
              <w:top w:w="15" w:type="dxa"/>
              <w:left w:w="15" w:type="dxa"/>
              <w:bottom w:w="0" w:type="dxa"/>
              <w:right w:w="15" w:type="dxa"/>
            </w:tcMar>
            <w:vAlign w:val="center"/>
          </w:tcPr>
          <w:p w14:paraId="3A2BAC52">
            <w:pPr>
              <w:snapToGrid w:val="0"/>
              <w:spacing w:line="276" w:lineRule="auto"/>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标段（包）内容</w:t>
            </w:r>
          </w:p>
        </w:tc>
        <w:tc>
          <w:tcPr>
            <w:tcW w:w="6272" w:type="dxa"/>
            <w:vAlign w:val="center"/>
          </w:tcPr>
          <w:p w14:paraId="203EC68B">
            <w:pPr>
              <w:snapToGrid w:val="0"/>
              <w:spacing w:line="276" w:lineRule="auto"/>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基本技术要求</w:t>
            </w:r>
          </w:p>
        </w:tc>
        <w:tc>
          <w:tcPr>
            <w:tcW w:w="709" w:type="dxa"/>
            <w:vAlign w:val="center"/>
          </w:tcPr>
          <w:p w14:paraId="66C6D280">
            <w:pPr>
              <w:snapToGrid w:val="0"/>
              <w:spacing w:line="276" w:lineRule="auto"/>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单位</w:t>
            </w:r>
          </w:p>
        </w:tc>
        <w:tc>
          <w:tcPr>
            <w:tcW w:w="705" w:type="dxa"/>
            <w:vAlign w:val="center"/>
          </w:tcPr>
          <w:p w14:paraId="0F20E3E7">
            <w:pPr>
              <w:snapToGrid w:val="0"/>
              <w:spacing w:line="276" w:lineRule="auto"/>
              <w:jc w:val="center"/>
              <w:rPr>
                <w:rFonts w:hint="eastAsia" w:asciiTheme="minorEastAsia" w:hAnsiTheme="minorEastAsia" w:eastAsiaTheme="minorEastAsia"/>
                <w:b/>
                <w:color w:val="auto"/>
                <w:sz w:val="24"/>
                <w:szCs w:val="24"/>
                <w:highlight w:val="none"/>
                <w:lang w:eastAsia="zh-CN"/>
              </w:rPr>
            </w:pPr>
            <w:r>
              <w:rPr>
                <w:rFonts w:hint="eastAsia" w:asciiTheme="minorEastAsia" w:hAnsiTheme="minorEastAsia" w:eastAsiaTheme="minorEastAsia"/>
                <w:b/>
                <w:color w:val="auto"/>
                <w:sz w:val="24"/>
                <w:szCs w:val="24"/>
                <w:highlight w:val="none"/>
                <w:lang w:val="en-US" w:eastAsia="zh-CN"/>
              </w:rPr>
              <w:t>最高限价</w:t>
            </w:r>
          </w:p>
        </w:tc>
        <w:tc>
          <w:tcPr>
            <w:tcW w:w="845" w:type="dxa"/>
            <w:vAlign w:val="center"/>
          </w:tcPr>
          <w:p w14:paraId="482024C9">
            <w:pPr>
              <w:snapToGrid w:val="0"/>
              <w:spacing w:line="276" w:lineRule="auto"/>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货物所属行业</w:t>
            </w:r>
          </w:p>
        </w:tc>
      </w:tr>
      <w:tr w14:paraId="3CC57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9922" w:type="dxa"/>
            <w:gridSpan w:val="6"/>
            <w:vAlign w:val="center"/>
          </w:tcPr>
          <w:p w14:paraId="5C577FAD">
            <w:pPr>
              <w:snapToGrid w:val="0"/>
              <w:spacing w:line="276" w:lineRule="auto"/>
              <w:jc w:val="left"/>
              <w:rPr>
                <w:rFonts w:hint="eastAsia"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智能谈话教育系统4套（含：执法记录仪8台，智能音视频采集终端及签字捺印板各4台，被监管人员谈话教育系统、管教谈话AI主机、视音频记录仪采集站、视音频记录仪采集站挂机及采集站中间件各</w:t>
            </w:r>
            <w:r>
              <w:rPr>
                <w:rFonts w:hint="eastAsia" w:asciiTheme="minorEastAsia" w:hAnsiTheme="minorEastAsia" w:eastAsiaTheme="minorEastAsia"/>
                <w:b/>
                <w:color w:val="auto"/>
                <w:sz w:val="24"/>
                <w:szCs w:val="24"/>
                <w:highlight w:val="none"/>
                <w:lang w:val="en-US" w:eastAsia="zh-CN"/>
              </w:rPr>
              <w:t>1</w:t>
            </w:r>
            <w:r>
              <w:rPr>
                <w:rFonts w:hint="eastAsia" w:asciiTheme="minorEastAsia" w:hAnsiTheme="minorEastAsia" w:eastAsiaTheme="minorEastAsia"/>
                <w:b/>
                <w:color w:val="auto"/>
                <w:sz w:val="24"/>
                <w:szCs w:val="24"/>
                <w:highlight w:val="none"/>
              </w:rPr>
              <w:t>台/套）</w:t>
            </w:r>
          </w:p>
        </w:tc>
      </w:tr>
      <w:tr w14:paraId="6C068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2" w:hRule="atLeast"/>
          <w:jc w:val="center"/>
        </w:trPr>
        <w:tc>
          <w:tcPr>
            <w:tcW w:w="311" w:type="dxa"/>
            <w:shd w:val="clear" w:color="auto" w:fill="auto"/>
            <w:vAlign w:val="center"/>
          </w:tcPr>
          <w:p w14:paraId="174508C2">
            <w:pPr>
              <w:spacing w:line="276" w:lineRule="auto"/>
              <w:jc w:val="center"/>
              <w:rPr>
                <w:rFonts w:hint="eastAsia" w:cs="宋体" w:asciiTheme="minorEastAsia" w:hAnsiTheme="minorEastAsia" w:eastAsiaTheme="minorEastAsia"/>
                <w:color w:val="auto"/>
                <w:sz w:val="24"/>
                <w:szCs w:val="24"/>
                <w:highlight w:val="none"/>
                <w:u w:color="000000"/>
                <w:lang w:val="en-US" w:eastAsia="zh-CN" w:bidi="ar-SA"/>
              </w:rPr>
            </w:pPr>
            <w:r>
              <w:rPr>
                <w:rFonts w:hint="eastAsia" w:asciiTheme="minorEastAsia" w:hAnsiTheme="minorEastAsia" w:eastAsiaTheme="minorEastAsia"/>
                <w:color w:val="auto"/>
                <w:sz w:val="24"/>
                <w:szCs w:val="24"/>
                <w:highlight w:val="none"/>
              </w:rPr>
              <w:t>1</w:t>
            </w:r>
          </w:p>
        </w:tc>
        <w:tc>
          <w:tcPr>
            <w:tcW w:w="1080" w:type="dxa"/>
            <w:tcMar>
              <w:top w:w="15" w:type="dxa"/>
              <w:left w:w="15" w:type="dxa"/>
              <w:bottom w:w="0" w:type="dxa"/>
              <w:right w:w="15" w:type="dxa"/>
            </w:tcMar>
            <w:vAlign w:val="center"/>
          </w:tcPr>
          <w:p w14:paraId="28C2CD4B">
            <w:pPr>
              <w:spacing w:line="276" w:lineRule="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执法记录仪</w:t>
            </w:r>
          </w:p>
        </w:tc>
        <w:tc>
          <w:tcPr>
            <w:tcW w:w="6272" w:type="dxa"/>
            <w:vAlign w:val="center"/>
          </w:tcPr>
          <w:p w14:paraId="72955CC9">
            <w:pPr>
              <w:spacing w:line="276" w:lineRule="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与管教身份信息做绑定，支持手动上传谈话文件与谈话教育系统关联</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操作系统：</w:t>
            </w:r>
            <w:r>
              <w:rPr>
                <w:rFonts w:hint="eastAsia" w:ascii="宋体" w:hAnsi="宋体"/>
                <w:color w:val="auto"/>
                <w:sz w:val="24"/>
                <w:szCs w:val="24"/>
                <w:highlight w:val="none"/>
              </w:rPr>
              <w:t>不低于</w:t>
            </w:r>
            <w:r>
              <w:rPr>
                <w:rFonts w:hint="eastAsia" w:asciiTheme="minorEastAsia" w:hAnsiTheme="minorEastAsia" w:eastAsiaTheme="minorEastAsia"/>
                <w:color w:val="auto"/>
                <w:sz w:val="24"/>
                <w:szCs w:val="24"/>
                <w:highlight w:val="none"/>
              </w:rPr>
              <w:t>Android 9.0；</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存储空间：</w:t>
            </w:r>
            <w:r>
              <w:rPr>
                <w:rFonts w:hint="eastAsia" w:ascii="宋体" w:hAnsi="宋体"/>
                <w:color w:val="auto"/>
                <w:sz w:val="24"/>
                <w:szCs w:val="24"/>
                <w:highlight w:val="none"/>
              </w:rPr>
              <w:t>不低于</w:t>
            </w:r>
            <w:r>
              <w:rPr>
                <w:rFonts w:hint="eastAsia" w:asciiTheme="minorEastAsia" w:hAnsiTheme="minorEastAsia" w:eastAsiaTheme="minorEastAsia"/>
                <w:color w:val="auto"/>
                <w:sz w:val="24"/>
                <w:szCs w:val="24"/>
                <w:highlight w:val="none"/>
              </w:rPr>
              <w:t>2G+128G（内置128G内存卡）；</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屏幕尺寸：</w:t>
            </w:r>
            <w:r>
              <w:rPr>
                <w:rFonts w:hint="eastAsia" w:ascii="宋体" w:hAnsi="宋体"/>
                <w:color w:val="auto"/>
                <w:sz w:val="24"/>
                <w:szCs w:val="24"/>
                <w:highlight w:val="none"/>
              </w:rPr>
              <w:t>不低于</w:t>
            </w:r>
            <w:r>
              <w:rPr>
                <w:rFonts w:hint="eastAsia" w:asciiTheme="minorEastAsia" w:hAnsiTheme="minorEastAsia" w:eastAsiaTheme="minorEastAsia"/>
                <w:color w:val="auto"/>
                <w:sz w:val="24"/>
                <w:szCs w:val="24"/>
                <w:highlight w:val="none"/>
              </w:rPr>
              <w:t>2.0英寸；</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视频压缩标准：H.264/H.265可选，默认H.265；</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视频格式：dav/mp4可选，默认dav；</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图像分辨率及像素：4M/16M/34M；</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图像格式：JPEG；</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连拍：2/3/5/10连拍；</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红外可视距离：红外可视距离5米看清人脸，10米看清轮廓；</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红外切换方式：支持自动或手动，默认自动，支持亮度高中低调节；</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支持重点标记，自动降噪、自动曝光、自动白平衡</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电池容量：</w:t>
            </w:r>
            <w:r>
              <w:rPr>
                <w:rFonts w:hint="eastAsia" w:ascii="宋体" w:hAnsi="宋体"/>
                <w:color w:val="auto"/>
                <w:sz w:val="24"/>
                <w:szCs w:val="24"/>
                <w:highlight w:val="none"/>
              </w:rPr>
              <w:t>不低于</w:t>
            </w:r>
            <w:r>
              <w:rPr>
                <w:rFonts w:hint="eastAsia" w:asciiTheme="minorEastAsia" w:hAnsiTheme="minorEastAsia" w:eastAsiaTheme="minorEastAsia"/>
                <w:color w:val="auto"/>
                <w:sz w:val="24"/>
                <w:szCs w:val="24"/>
                <w:highlight w:val="none"/>
              </w:rPr>
              <w:t>3000mAh；</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充电时长：小于2.5h；</w:t>
            </w:r>
          </w:p>
          <w:p w14:paraId="69076F25">
            <w:pPr>
              <w:spacing w:line="276" w:lineRule="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重量：≤160g（裸机），≤180g（含背夹）</w:t>
            </w:r>
          </w:p>
        </w:tc>
        <w:tc>
          <w:tcPr>
            <w:tcW w:w="709" w:type="dxa"/>
            <w:vAlign w:val="center"/>
          </w:tcPr>
          <w:p w14:paraId="218B7EAB">
            <w:pPr>
              <w:spacing w:line="276" w:lineRule="auto"/>
              <w:jc w:val="center"/>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8台</w:t>
            </w:r>
          </w:p>
        </w:tc>
        <w:tc>
          <w:tcPr>
            <w:tcW w:w="705" w:type="dxa"/>
            <w:vAlign w:val="center"/>
          </w:tcPr>
          <w:p w14:paraId="6B59580D">
            <w:pPr>
              <w:spacing w:line="276" w:lineRule="auto"/>
              <w:jc w:val="center"/>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2500元/台</w:t>
            </w:r>
          </w:p>
        </w:tc>
        <w:tc>
          <w:tcPr>
            <w:tcW w:w="845" w:type="dxa"/>
            <w:vMerge w:val="restart"/>
            <w:vAlign w:val="center"/>
          </w:tcPr>
          <w:p w14:paraId="1022469D">
            <w:pPr>
              <w:spacing w:line="276" w:lineRule="auto"/>
              <w:jc w:val="center"/>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工业</w:t>
            </w:r>
          </w:p>
        </w:tc>
      </w:tr>
      <w:tr w14:paraId="0CAC3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2" w:hRule="atLeast"/>
          <w:jc w:val="center"/>
        </w:trPr>
        <w:tc>
          <w:tcPr>
            <w:tcW w:w="311" w:type="dxa"/>
            <w:shd w:val="clear" w:color="auto" w:fill="auto"/>
            <w:vAlign w:val="center"/>
          </w:tcPr>
          <w:p w14:paraId="36CE11BF">
            <w:pPr>
              <w:spacing w:line="276" w:lineRule="auto"/>
              <w:jc w:val="center"/>
              <w:rPr>
                <w:rFonts w:hint="eastAsia" w:cs="宋体" w:asciiTheme="minorEastAsia" w:hAnsiTheme="minorEastAsia" w:eastAsiaTheme="minorEastAsia"/>
                <w:color w:val="auto"/>
                <w:sz w:val="24"/>
                <w:szCs w:val="24"/>
                <w:highlight w:val="none"/>
                <w:u w:color="000000"/>
                <w:lang w:val="en-US" w:eastAsia="zh-CN" w:bidi="ar-SA"/>
              </w:rPr>
            </w:pPr>
            <w:r>
              <w:rPr>
                <w:rFonts w:hint="eastAsia" w:cs="宋体" w:asciiTheme="minorEastAsia" w:hAnsiTheme="minorEastAsia" w:eastAsiaTheme="minorEastAsia"/>
                <w:color w:val="auto"/>
                <w:sz w:val="24"/>
                <w:szCs w:val="24"/>
                <w:highlight w:val="none"/>
              </w:rPr>
              <w:t>2</w:t>
            </w:r>
          </w:p>
        </w:tc>
        <w:tc>
          <w:tcPr>
            <w:tcW w:w="1080" w:type="dxa"/>
            <w:tcMar>
              <w:top w:w="15" w:type="dxa"/>
              <w:left w:w="15" w:type="dxa"/>
              <w:bottom w:w="0" w:type="dxa"/>
              <w:right w:w="15" w:type="dxa"/>
            </w:tcMar>
            <w:vAlign w:val="center"/>
          </w:tcPr>
          <w:p w14:paraId="3B41E0C0">
            <w:pPr>
              <w:spacing w:line="276" w:lineRule="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智能音视频采集终端</w:t>
            </w:r>
          </w:p>
        </w:tc>
        <w:tc>
          <w:tcPr>
            <w:tcW w:w="6272" w:type="dxa"/>
            <w:vAlign w:val="center"/>
          </w:tcPr>
          <w:p w14:paraId="1FA4074D">
            <w:pPr>
              <w:spacing w:line="276" w:lineRule="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高清摄像头:1080p，录音采访指向音头/30平米有效监听/前后对称配置两个全向音头，数位信号处理/指向特性：界面指向；灵敏度：-52dB；信噪比：70dB；输出阻抗：600～1000欧姆非平衡；工作环境温度：-40℃～75℃；可靠性指标：MTNF≥80000小时。</w:t>
            </w:r>
          </w:p>
        </w:tc>
        <w:tc>
          <w:tcPr>
            <w:tcW w:w="709" w:type="dxa"/>
            <w:vAlign w:val="center"/>
          </w:tcPr>
          <w:p w14:paraId="23F460E3">
            <w:pPr>
              <w:spacing w:line="276" w:lineRule="auto"/>
              <w:jc w:val="center"/>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4台</w:t>
            </w:r>
          </w:p>
        </w:tc>
        <w:tc>
          <w:tcPr>
            <w:tcW w:w="705" w:type="dxa"/>
            <w:vAlign w:val="center"/>
          </w:tcPr>
          <w:p w14:paraId="293D0140">
            <w:pPr>
              <w:spacing w:line="276" w:lineRule="auto"/>
              <w:jc w:val="center"/>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1200元/台</w:t>
            </w:r>
          </w:p>
        </w:tc>
        <w:tc>
          <w:tcPr>
            <w:tcW w:w="845" w:type="dxa"/>
            <w:vMerge w:val="continue"/>
            <w:vAlign w:val="center"/>
          </w:tcPr>
          <w:p w14:paraId="41DAFA0C">
            <w:pPr>
              <w:spacing w:line="276" w:lineRule="auto"/>
              <w:jc w:val="center"/>
              <w:rPr>
                <w:rFonts w:hint="eastAsia" w:asciiTheme="minorEastAsia" w:hAnsiTheme="minorEastAsia" w:eastAsiaTheme="minorEastAsia"/>
                <w:color w:val="auto"/>
                <w:sz w:val="24"/>
                <w:szCs w:val="24"/>
                <w:highlight w:val="none"/>
              </w:rPr>
            </w:pPr>
          </w:p>
        </w:tc>
      </w:tr>
      <w:tr w14:paraId="42547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2" w:hRule="atLeast"/>
          <w:jc w:val="center"/>
        </w:trPr>
        <w:tc>
          <w:tcPr>
            <w:tcW w:w="311" w:type="dxa"/>
            <w:shd w:val="clear" w:color="auto" w:fill="auto"/>
            <w:vAlign w:val="center"/>
          </w:tcPr>
          <w:p w14:paraId="639CDB49">
            <w:pPr>
              <w:spacing w:line="276" w:lineRule="auto"/>
              <w:jc w:val="center"/>
              <w:rPr>
                <w:rFonts w:hint="eastAsia" w:cs="宋体" w:asciiTheme="minorEastAsia" w:hAnsiTheme="minorEastAsia" w:eastAsiaTheme="minorEastAsia"/>
                <w:color w:val="auto"/>
                <w:sz w:val="24"/>
                <w:szCs w:val="24"/>
                <w:highlight w:val="none"/>
                <w:u w:color="000000"/>
                <w:lang w:val="en-US" w:eastAsia="zh-CN" w:bidi="ar-SA"/>
              </w:rPr>
            </w:pPr>
            <w:r>
              <w:rPr>
                <w:rFonts w:hint="eastAsia" w:asciiTheme="minorEastAsia" w:hAnsiTheme="minorEastAsia" w:eastAsiaTheme="minorEastAsia"/>
                <w:color w:val="auto"/>
                <w:sz w:val="24"/>
                <w:szCs w:val="24"/>
                <w:highlight w:val="none"/>
              </w:rPr>
              <w:t>3</w:t>
            </w:r>
          </w:p>
        </w:tc>
        <w:tc>
          <w:tcPr>
            <w:tcW w:w="1080" w:type="dxa"/>
            <w:tcMar>
              <w:top w:w="15" w:type="dxa"/>
              <w:left w:w="15" w:type="dxa"/>
              <w:bottom w:w="0" w:type="dxa"/>
              <w:right w:w="15" w:type="dxa"/>
            </w:tcMar>
            <w:vAlign w:val="center"/>
          </w:tcPr>
          <w:p w14:paraId="67964818">
            <w:pPr>
              <w:spacing w:line="276" w:lineRule="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签字捺印板</w:t>
            </w:r>
          </w:p>
        </w:tc>
        <w:tc>
          <w:tcPr>
            <w:tcW w:w="6272" w:type="dxa"/>
            <w:vAlign w:val="center"/>
          </w:tcPr>
          <w:p w14:paraId="377CA2B4">
            <w:pPr>
              <w:spacing w:line="276" w:lineRule="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1、功能：实现管教谈话教育结束后，被监管人员通过该设备对谈话内容核对无误后签字按捺指纹确认。</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2、产品特性：</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硬件：签名屏将液晶显示屏(LCD)和签名数位板整合到一起，使用无源压感笔。</w:t>
            </w:r>
            <w:r>
              <w:rPr>
                <w:rFonts w:hint="eastAsia" w:asciiTheme="minorEastAsia" w:hAnsiTheme="minorEastAsia" w:eastAsiaTheme="minorEastAsia"/>
                <w:color w:val="auto"/>
                <w:sz w:val="24"/>
                <w:szCs w:val="24"/>
                <w:highlight w:val="none"/>
                <w:lang w:val="en-US" w:eastAsia="zh-CN"/>
              </w:rPr>
              <w:t>不低于</w:t>
            </w:r>
            <w:r>
              <w:rPr>
                <w:rFonts w:hint="eastAsia" w:asciiTheme="minorEastAsia" w:hAnsiTheme="minorEastAsia" w:eastAsiaTheme="minorEastAsia"/>
                <w:color w:val="auto"/>
                <w:sz w:val="24"/>
                <w:szCs w:val="24"/>
                <w:highlight w:val="none"/>
              </w:rPr>
              <w:t>10寸的彩色LCD屏。手写笔无需电池，无须维护。标配挂笔绳，防止笔丢失。专业绘画级显示屏，USB 视频接口。具备电容活体生物指纹采集。具备高清语音功能。SDK开发包提供签名轨迹的 x/y 坐标、压力、时间信息参数，能够采集用户签名的轻重缓急，形成用户签名的生物特征信息。驱动：签名屏的驱动程序可以直接嵌入到第三方应用程序中，并且驱动程序可以完全卸载。</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3、技术参数：</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屏幕尺寸：</w:t>
            </w:r>
            <w:r>
              <w:rPr>
                <w:rFonts w:hint="eastAsia" w:ascii="宋体" w:hAnsi="宋体"/>
                <w:color w:val="auto"/>
                <w:sz w:val="24"/>
                <w:szCs w:val="24"/>
                <w:highlight w:val="none"/>
              </w:rPr>
              <w:t>不低于</w:t>
            </w:r>
            <w:r>
              <w:rPr>
                <w:rFonts w:hint="eastAsia" w:asciiTheme="minorEastAsia" w:hAnsiTheme="minorEastAsia" w:eastAsiaTheme="minorEastAsia"/>
                <w:color w:val="auto"/>
                <w:sz w:val="24"/>
                <w:szCs w:val="24"/>
                <w:highlight w:val="none"/>
              </w:rPr>
              <w:t>10"</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rPr>
              <w:t>屏幕类型：IPS LCD</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rPr>
              <w:t>分辨率：1280*800</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rPr>
              <w:t>亮度：200</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rPr>
              <w:t>对比度：800:1</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rPr>
              <w:t>颜色：16.7M Colors</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rPr>
              <w:t>响应时间：TR 14 ms (Typ) TF 11 ms (Typ)</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rPr>
              <w:t>可视角度：水平170°,垂直170°@CR≥10</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rPr>
              <w:t>表面处理：6H钢化玻璃。</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手写感应方式：电磁感应</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rPr>
              <w:t>手写分辨率：10206*7422</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rPr>
              <w:t>压感：2048</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rPr>
              <w:t>报点率：200pps</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rPr>
              <w:t>精度：±0.5mm (Center),±2mm(Edge)</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rPr>
              <w:t>笔倾斜角度：+/-45°</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rPr>
              <w:t>感应高度：5-15mm。</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类型：无线无源</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rPr>
              <w:t>笔尖：可更换。</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指纹采集头类型：电容型</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rPr>
              <w:t>指纹图像大小：256*288/256*360</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rPr>
              <w:t>指纹图像分辨率：50ODPI</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rPr>
              <w:t>灰度动态范围：大于等于150</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rPr>
              <w:t>指纹图像畸变：小于等于1%。</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供电类型：USB 5V+DC 5V</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rPr>
              <w:t>功耗：5W</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rPr>
              <w:t>触控接口：USB*1</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rPr>
              <w:t>输入接口：USB</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rPr>
              <w:t>工作环境：0~65℃/20~80%</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rPr>
              <w:t>存储环境：-10~80℃/10~90%。</w:t>
            </w:r>
          </w:p>
        </w:tc>
        <w:tc>
          <w:tcPr>
            <w:tcW w:w="709" w:type="dxa"/>
            <w:vAlign w:val="center"/>
          </w:tcPr>
          <w:p w14:paraId="7AC707C0">
            <w:pPr>
              <w:spacing w:line="276" w:lineRule="auto"/>
              <w:jc w:val="center"/>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4台</w:t>
            </w:r>
          </w:p>
        </w:tc>
        <w:tc>
          <w:tcPr>
            <w:tcW w:w="705" w:type="dxa"/>
            <w:vAlign w:val="center"/>
          </w:tcPr>
          <w:p w14:paraId="285FCF19">
            <w:pPr>
              <w:spacing w:line="276" w:lineRule="auto"/>
              <w:jc w:val="center"/>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5040元/台</w:t>
            </w:r>
          </w:p>
        </w:tc>
        <w:tc>
          <w:tcPr>
            <w:tcW w:w="845" w:type="dxa"/>
            <w:vMerge w:val="continue"/>
            <w:vAlign w:val="center"/>
          </w:tcPr>
          <w:p w14:paraId="111F3C71">
            <w:pPr>
              <w:spacing w:line="276" w:lineRule="auto"/>
              <w:jc w:val="center"/>
              <w:rPr>
                <w:rFonts w:hint="eastAsia" w:asciiTheme="minorEastAsia" w:hAnsiTheme="minorEastAsia" w:eastAsiaTheme="minorEastAsia"/>
                <w:color w:val="auto"/>
                <w:sz w:val="24"/>
                <w:szCs w:val="24"/>
                <w:highlight w:val="none"/>
              </w:rPr>
            </w:pPr>
          </w:p>
        </w:tc>
      </w:tr>
      <w:tr w14:paraId="51080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2" w:hRule="atLeast"/>
          <w:jc w:val="center"/>
        </w:trPr>
        <w:tc>
          <w:tcPr>
            <w:tcW w:w="311" w:type="dxa"/>
            <w:shd w:val="clear" w:color="auto" w:fill="auto"/>
            <w:vAlign w:val="center"/>
          </w:tcPr>
          <w:p w14:paraId="029009E1">
            <w:pPr>
              <w:spacing w:line="276" w:lineRule="auto"/>
              <w:jc w:val="center"/>
              <w:rPr>
                <w:rFonts w:cs="宋体" w:asciiTheme="minorEastAsia" w:hAnsiTheme="minorEastAsia" w:eastAsiaTheme="minorEastAsia"/>
                <w:color w:val="auto"/>
                <w:sz w:val="24"/>
                <w:szCs w:val="24"/>
                <w:highlight w:val="none"/>
                <w:u w:color="000000"/>
                <w:lang w:val="en-US" w:eastAsia="zh-CN" w:bidi="ar-SA"/>
              </w:rPr>
            </w:pPr>
            <w:r>
              <w:rPr>
                <w:rFonts w:hint="eastAsia" w:asciiTheme="minorEastAsia" w:hAnsiTheme="minorEastAsia" w:eastAsiaTheme="minorEastAsia"/>
                <w:color w:val="auto"/>
                <w:sz w:val="24"/>
                <w:szCs w:val="24"/>
                <w:highlight w:val="none"/>
              </w:rPr>
              <w:t>4</w:t>
            </w:r>
          </w:p>
        </w:tc>
        <w:tc>
          <w:tcPr>
            <w:tcW w:w="1080" w:type="dxa"/>
            <w:tcMar>
              <w:top w:w="15" w:type="dxa"/>
              <w:left w:w="15" w:type="dxa"/>
              <w:bottom w:w="0" w:type="dxa"/>
              <w:right w:w="15" w:type="dxa"/>
            </w:tcMar>
            <w:vAlign w:val="center"/>
          </w:tcPr>
          <w:p w14:paraId="20BC7243">
            <w:pPr>
              <w:spacing w:line="276" w:lineRule="auto"/>
              <w:rPr>
                <w:rFonts w:cs="宋体" w:asciiTheme="minorEastAsia" w:hAnsiTheme="minorEastAsia" w:eastAsiaTheme="minorEastAsia"/>
                <w:color w:val="auto"/>
                <w:sz w:val="24"/>
                <w:szCs w:val="24"/>
                <w:highlight w:val="none"/>
              </w:rPr>
            </w:pPr>
            <w:bookmarkStart w:id="16" w:name="OLE_LINK4"/>
            <w:bookmarkStart w:id="17" w:name="OLE_LINK3"/>
            <w:r>
              <w:rPr>
                <w:rFonts w:hint="eastAsia" w:asciiTheme="minorEastAsia" w:hAnsiTheme="minorEastAsia" w:eastAsiaTheme="minorEastAsia"/>
                <w:color w:val="auto"/>
                <w:sz w:val="24"/>
                <w:szCs w:val="24"/>
                <w:highlight w:val="none"/>
              </w:rPr>
              <w:t>被监管人员谈话教育系统</w:t>
            </w:r>
            <w:bookmarkEnd w:id="16"/>
            <w:bookmarkEnd w:id="17"/>
          </w:p>
        </w:tc>
        <w:tc>
          <w:tcPr>
            <w:tcW w:w="6272" w:type="dxa"/>
            <w:vAlign w:val="center"/>
          </w:tcPr>
          <w:p w14:paraId="0DCB15DC">
            <w:pPr>
              <w:spacing w:line="276" w:lineRule="auto"/>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1、软件支持总队、支队、监所部署，支持国产信创系统。</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2、用户管理：支持与省级监所管理综合系统或违法犯罪人员信息系统的用户管理体系共享，实现多系统一入口登录，</w:t>
            </w:r>
            <w:r>
              <w:rPr>
                <w:rFonts w:hint="eastAsia" w:asciiTheme="minorEastAsia" w:hAnsiTheme="minorEastAsia" w:eastAsiaTheme="minorEastAsia"/>
                <w:b/>
                <w:bCs/>
                <w:color w:val="auto"/>
                <w:sz w:val="24"/>
                <w:szCs w:val="24"/>
                <w:highlight w:val="none"/>
              </w:rPr>
              <w:t>提供相关证明材料</w:t>
            </w:r>
            <w:r>
              <w:rPr>
                <w:rFonts w:hint="eastAsia" w:asciiTheme="minorEastAsia" w:hAnsiTheme="minorEastAsia" w:eastAsiaTheme="minorEastAsia"/>
                <w:b/>
                <w:bCs/>
                <w:color w:val="auto"/>
                <w:sz w:val="24"/>
                <w:szCs w:val="24"/>
                <w:highlight w:val="none"/>
                <w:lang w:eastAsia="zh-CN"/>
              </w:rPr>
              <w:t>（</w:t>
            </w:r>
            <w:r>
              <w:rPr>
                <w:rFonts w:hint="eastAsia" w:asciiTheme="minorEastAsia" w:hAnsiTheme="minorEastAsia" w:eastAsiaTheme="minorEastAsia"/>
                <w:b/>
                <w:bCs/>
                <w:color w:val="auto"/>
                <w:sz w:val="24"/>
                <w:szCs w:val="24"/>
                <w:highlight w:val="none"/>
                <w:lang w:val="en-US" w:eastAsia="zh-CN"/>
              </w:rPr>
              <w:t>如：软件功能</w:t>
            </w:r>
            <w:r>
              <w:rPr>
                <w:rFonts w:hint="eastAsia" w:asciiTheme="minorEastAsia" w:hAnsiTheme="minorEastAsia" w:eastAsiaTheme="minorEastAsia"/>
                <w:b/>
                <w:bCs/>
                <w:color w:val="auto"/>
                <w:sz w:val="24"/>
                <w:szCs w:val="24"/>
                <w:highlight w:val="none"/>
              </w:rPr>
              <w:t>截图或技术证明</w:t>
            </w:r>
            <w:r>
              <w:rPr>
                <w:rFonts w:hint="eastAsia" w:asciiTheme="minorEastAsia" w:hAnsiTheme="minorEastAsia" w:eastAsiaTheme="minorEastAsia"/>
                <w:b/>
                <w:bCs/>
                <w:color w:val="auto"/>
                <w:sz w:val="24"/>
                <w:szCs w:val="24"/>
                <w:highlight w:val="none"/>
                <w:lang w:val="en-US" w:eastAsia="zh-CN"/>
              </w:rPr>
              <w:t>等</w:t>
            </w:r>
            <w:r>
              <w:rPr>
                <w:rFonts w:hint="eastAsia" w:asciiTheme="minorEastAsia" w:hAnsiTheme="minorEastAsia" w:eastAsiaTheme="minorEastAsia"/>
                <w:b/>
                <w:bCs/>
                <w:color w:val="auto"/>
                <w:sz w:val="24"/>
                <w:szCs w:val="24"/>
                <w:highlight w:val="none"/>
                <w:lang w:eastAsia="zh-CN"/>
              </w:rPr>
              <w:t>）</w:t>
            </w:r>
            <w:r>
              <w:rPr>
                <w:rFonts w:hint="eastAsia" w:asciiTheme="minorEastAsia" w:hAnsiTheme="minorEastAsia" w:eastAsiaTheme="minorEastAsia"/>
                <w:b/>
                <w:bCs/>
                <w:color w:val="auto"/>
                <w:sz w:val="24"/>
                <w:szCs w:val="24"/>
                <w:highlight w:val="none"/>
              </w:rPr>
              <w:t>佐证该功能。</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3、接入录音器、签字板、打印机设备SDK，实现本地设备统一管理。</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系统详细功能：</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1、用户管理：支持与监所实战平台或违法犯罪人员信息系统的用户管理体系共享，实现多系统一入口登陆。</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2、主协管监室设置：为有权限的用户设置主管监室和协管监室。</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3、录音录像上传：谈话结束后，录音文件通过后台程序进行压缩后存储到FTP服务器上，并提供远程回放服务。保存到FTP服务器上的录音文件，通过本地服务可让总队、支队及所领导用户进行回放。</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4、存储管理：查看录音文件存储情况，设置永久存储或者删除录音文件等。如：删除某个时间段的，当前已出所人员的录音。</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5、谈话类型及提纲管理：可以选择启用或停用系统提供的谈话类型，也可自己增删改谈话类型。部分谈话类型，用户可以设置待谈提醒参数。</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6.登录方式：与违法犯罪人员信息系统一键登录。</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7.待谈提醒：具备主动提醒管教民警进行谈话功能，8必谈智能提醒等，民警可以点击提醒消息打开待谈人员列表，选择相应的被监管人员进行谈话。</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8.谈话类型选择：进入谈话页面谈话类型可以进行更改，八必谈+其他业务系统已有的谈话类型。</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9、谈话记录：支持在谈话过程中，进行谈话内容登记，支持谈话过程录音（录像）。登记信息有被谈话人姓名、管教民警姓名、谈话时间、谈话地点、谈话时长、谈话录音录像文件存储位置等信息。</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10、谈话评估：支持谈话结束后，通过单选方式对被监管人员进行思想动态进行评估，可选择稳定、较稳定、不稳定进行评估。</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11、业务协作：谈话结束后，可对需要其他岗位如医生、巡控协作的事项进行选择登记，协作项可后台定制。登记的业务协作信息，其他岗位民警可在系统里进行自动提醒。</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12.谈话台账：列表查询，详情查看，谈话录音播放，快进，快退、音量大小调节。</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13.谈话统计：可按时间、管教、监区条件进行查询。</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14.谈话类型设置：对各类谈话设置常用谈话类型。</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15.谈话录音（录像）：具备谈话录音（录像）功能，录音具备开始、停止、暂停的。</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16、支持对接执法记录仪进行谈话记录关联。</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17、支持移动平板谈话记录关联。</w:t>
            </w:r>
          </w:p>
        </w:tc>
        <w:tc>
          <w:tcPr>
            <w:tcW w:w="709" w:type="dxa"/>
            <w:vAlign w:val="center"/>
          </w:tcPr>
          <w:p w14:paraId="5898E781">
            <w:pPr>
              <w:spacing w:line="276" w:lineRule="auto"/>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1套</w:t>
            </w:r>
          </w:p>
        </w:tc>
        <w:tc>
          <w:tcPr>
            <w:tcW w:w="705" w:type="dxa"/>
            <w:vAlign w:val="center"/>
          </w:tcPr>
          <w:p w14:paraId="51BD062E">
            <w:pPr>
              <w:spacing w:line="276" w:lineRule="auto"/>
              <w:jc w:val="center"/>
              <w:rPr>
                <w:rFonts w:hint="default" w:cs="宋体" w:asciiTheme="minorEastAsia" w:hAnsiTheme="minorEastAsia" w:eastAsiaTheme="minorEastAsia"/>
                <w:color w:val="auto"/>
                <w:sz w:val="24"/>
                <w:szCs w:val="24"/>
                <w:highlight w:val="none"/>
                <w:lang w:val="en-US" w:eastAsia="zh-CN"/>
              </w:rPr>
            </w:pPr>
            <w:r>
              <w:rPr>
                <w:rFonts w:hint="eastAsia" w:cs="宋体" w:asciiTheme="minorEastAsia" w:hAnsiTheme="minorEastAsia" w:eastAsiaTheme="minorEastAsia"/>
                <w:color w:val="auto"/>
                <w:sz w:val="24"/>
                <w:szCs w:val="24"/>
                <w:highlight w:val="none"/>
                <w:lang w:val="en-US" w:eastAsia="zh-CN"/>
              </w:rPr>
              <w:t>13400</w:t>
            </w:r>
            <w:r>
              <w:rPr>
                <w:rFonts w:hint="eastAsia" w:asciiTheme="minorEastAsia" w:hAnsiTheme="minorEastAsia" w:eastAsiaTheme="minorEastAsia"/>
                <w:color w:val="auto"/>
                <w:sz w:val="24"/>
                <w:szCs w:val="24"/>
                <w:highlight w:val="none"/>
                <w:lang w:val="en-US" w:eastAsia="zh-CN"/>
              </w:rPr>
              <w:t>元/套</w:t>
            </w:r>
          </w:p>
        </w:tc>
        <w:tc>
          <w:tcPr>
            <w:tcW w:w="845" w:type="dxa"/>
            <w:vAlign w:val="center"/>
          </w:tcPr>
          <w:p w14:paraId="475AEAFA">
            <w:pPr>
              <w:spacing w:line="276" w:lineRule="auto"/>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软件和信息技术服务业</w:t>
            </w:r>
          </w:p>
        </w:tc>
      </w:tr>
      <w:tr w14:paraId="0C5C9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311" w:type="dxa"/>
            <w:shd w:val="clear" w:color="auto" w:fill="auto"/>
            <w:vAlign w:val="center"/>
          </w:tcPr>
          <w:p w14:paraId="010AAB8B">
            <w:pPr>
              <w:spacing w:line="276" w:lineRule="auto"/>
              <w:jc w:val="center"/>
              <w:rPr>
                <w:rFonts w:cs="宋体" w:asciiTheme="minorEastAsia" w:hAnsiTheme="minorEastAsia" w:eastAsiaTheme="minorEastAsia"/>
                <w:color w:val="auto"/>
                <w:sz w:val="24"/>
                <w:szCs w:val="24"/>
                <w:highlight w:val="none"/>
                <w:u w:color="000000"/>
                <w:lang w:val="en-US" w:eastAsia="zh-CN" w:bidi="ar-SA"/>
              </w:rPr>
            </w:pPr>
            <w:r>
              <w:rPr>
                <w:rFonts w:hint="eastAsia" w:asciiTheme="minorEastAsia" w:hAnsiTheme="minorEastAsia" w:eastAsiaTheme="minorEastAsia"/>
                <w:color w:val="auto"/>
                <w:sz w:val="24"/>
                <w:szCs w:val="24"/>
                <w:highlight w:val="none"/>
              </w:rPr>
              <w:t>5</w:t>
            </w:r>
          </w:p>
        </w:tc>
        <w:tc>
          <w:tcPr>
            <w:tcW w:w="1080" w:type="dxa"/>
            <w:tcMar>
              <w:top w:w="15" w:type="dxa"/>
              <w:left w:w="15" w:type="dxa"/>
              <w:bottom w:w="0" w:type="dxa"/>
              <w:right w:w="15" w:type="dxa"/>
            </w:tcMar>
            <w:vAlign w:val="center"/>
          </w:tcPr>
          <w:p w14:paraId="27D06FF9">
            <w:pPr>
              <w:spacing w:line="276" w:lineRule="auto"/>
              <w:rPr>
                <w:rFonts w:cs="宋体" w:asciiTheme="minorEastAsia" w:hAnsiTheme="minorEastAsia" w:eastAsiaTheme="minorEastAsia"/>
                <w:color w:val="auto"/>
                <w:sz w:val="24"/>
                <w:szCs w:val="24"/>
                <w:highlight w:val="none"/>
              </w:rPr>
            </w:pPr>
            <w:bookmarkStart w:id="18" w:name="OLE_LINK6"/>
            <w:bookmarkStart w:id="19" w:name="OLE_LINK5"/>
            <w:r>
              <w:rPr>
                <w:rFonts w:hint="eastAsia" w:asciiTheme="minorEastAsia" w:hAnsiTheme="minorEastAsia" w:eastAsiaTheme="minorEastAsia"/>
                <w:color w:val="auto"/>
                <w:sz w:val="24"/>
                <w:szCs w:val="24"/>
                <w:highlight w:val="none"/>
              </w:rPr>
              <w:t>管教谈话AI主机</w:t>
            </w:r>
            <w:bookmarkEnd w:id="18"/>
            <w:bookmarkEnd w:id="19"/>
          </w:p>
        </w:tc>
        <w:tc>
          <w:tcPr>
            <w:tcW w:w="6272" w:type="dxa"/>
            <w:vAlign w:val="center"/>
          </w:tcPr>
          <w:p w14:paraId="316933A7">
            <w:pPr>
              <w:spacing w:line="276" w:lineRule="auto"/>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一、硬件不低于如下配置：</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CPU：24核2.6GHz，国产CPU；</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内存：64GB 3200M DDR4；</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 xml:space="preserve">硬盘：1 * 960G SSD，8*12TBSATA硬盘 </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网卡：1块4*GE 接口卡</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阵列卡：支持RAID 0/1/5/10；</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电源：2个750W交流电源模组；</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滑轨：2U短机箱静态滑轨</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操作系统：国产服务器操作系统（统信服务器操作系统V20或银河麒麟高级服务器操作系统V10）；</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对离线采集的视频进行AI语音转写、视频人脸识别功能：</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 xml:space="preserve">（1）视频中的人脸比对分析，截取出对应人员的视频段落；  </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 xml:space="preserve">（2）将原视频以及视频段落转换为音频；   </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 xml:space="preserve">（3）将原视频和视频段落进行语音转写为文字；   </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（4）支持热词替换；支持敏感词识别。</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 xml:space="preserve">二、文件存储管理功能： </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（1）提供文件管理主机web服务，配置SSL安全访问，提供对监所、支队、总队用户访问对应录音录像文件；</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（2）提供文件管理主机文件存储服务，提供音视频文件解码、编码、格式转换，音视频文件存储、播放、下载，过期文件自动清理，服务器、应用程序服务状态自动检测、上报，音视频文件存储权限控制；</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（3）文件管理主机文件管理模块，提供音视频文件独立存储、多副本存储、集群存储（多副本、集群存储需要额外存储空间支持）；</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（4）系统磁盘配置管理，配置操作系统LVM(Logical Volume Manager,逻辑卷管理)。</w:t>
            </w:r>
          </w:p>
        </w:tc>
        <w:tc>
          <w:tcPr>
            <w:tcW w:w="709" w:type="dxa"/>
            <w:vAlign w:val="center"/>
          </w:tcPr>
          <w:p w14:paraId="7CC13D8C">
            <w:pPr>
              <w:spacing w:line="276" w:lineRule="auto"/>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1台</w:t>
            </w:r>
          </w:p>
        </w:tc>
        <w:tc>
          <w:tcPr>
            <w:tcW w:w="705" w:type="dxa"/>
            <w:vAlign w:val="center"/>
          </w:tcPr>
          <w:p w14:paraId="3FDE1D1A">
            <w:pPr>
              <w:spacing w:line="276" w:lineRule="auto"/>
              <w:jc w:val="center"/>
              <w:rPr>
                <w:rFonts w:hint="default" w:cs="宋体" w:asciiTheme="minorEastAsia" w:hAnsiTheme="minorEastAsia" w:eastAsiaTheme="minorEastAsia"/>
                <w:color w:val="auto"/>
                <w:sz w:val="24"/>
                <w:szCs w:val="24"/>
                <w:highlight w:val="none"/>
                <w:lang w:val="en-US" w:eastAsia="zh-CN"/>
              </w:rPr>
            </w:pPr>
            <w:r>
              <w:rPr>
                <w:rFonts w:hint="eastAsia" w:cs="宋体" w:asciiTheme="minorEastAsia" w:hAnsiTheme="minorEastAsia" w:eastAsiaTheme="minorEastAsia"/>
                <w:color w:val="auto"/>
                <w:sz w:val="22"/>
                <w:szCs w:val="22"/>
                <w:highlight w:val="none"/>
                <w:lang w:val="en-US" w:eastAsia="zh-CN"/>
              </w:rPr>
              <w:t>168000元/台</w:t>
            </w:r>
          </w:p>
        </w:tc>
        <w:tc>
          <w:tcPr>
            <w:tcW w:w="845" w:type="dxa"/>
            <w:vAlign w:val="center"/>
          </w:tcPr>
          <w:p w14:paraId="655A4672">
            <w:pPr>
              <w:spacing w:line="276" w:lineRule="auto"/>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工业</w:t>
            </w:r>
          </w:p>
        </w:tc>
      </w:tr>
      <w:tr w14:paraId="1EA1A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311" w:type="dxa"/>
            <w:shd w:val="clear" w:color="auto" w:fill="auto"/>
            <w:vAlign w:val="center"/>
          </w:tcPr>
          <w:p w14:paraId="3BC75999">
            <w:pPr>
              <w:spacing w:line="276" w:lineRule="auto"/>
              <w:jc w:val="center"/>
              <w:rPr>
                <w:rFonts w:cs="宋体" w:asciiTheme="minorEastAsia" w:hAnsiTheme="minorEastAsia" w:eastAsiaTheme="minorEastAsia"/>
                <w:color w:val="auto"/>
                <w:sz w:val="24"/>
                <w:szCs w:val="24"/>
                <w:highlight w:val="none"/>
                <w:u w:color="000000"/>
                <w:lang w:val="en-US" w:eastAsia="zh-CN" w:bidi="ar-SA"/>
              </w:rPr>
            </w:pPr>
            <w:r>
              <w:rPr>
                <w:rFonts w:hint="eastAsia" w:asciiTheme="minorEastAsia" w:hAnsiTheme="minorEastAsia" w:eastAsiaTheme="minorEastAsia"/>
                <w:color w:val="auto"/>
                <w:sz w:val="24"/>
                <w:szCs w:val="24"/>
                <w:highlight w:val="none"/>
              </w:rPr>
              <w:t>6</w:t>
            </w:r>
          </w:p>
        </w:tc>
        <w:tc>
          <w:tcPr>
            <w:tcW w:w="1080" w:type="dxa"/>
            <w:tcMar>
              <w:top w:w="15" w:type="dxa"/>
              <w:left w:w="15" w:type="dxa"/>
              <w:bottom w:w="0" w:type="dxa"/>
              <w:right w:w="15" w:type="dxa"/>
            </w:tcMar>
            <w:vAlign w:val="center"/>
          </w:tcPr>
          <w:p w14:paraId="2E819FAA">
            <w:pPr>
              <w:spacing w:line="276" w:lineRule="auto"/>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视音频记录仪采集站</w:t>
            </w:r>
          </w:p>
        </w:tc>
        <w:tc>
          <w:tcPr>
            <w:tcW w:w="6272" w:type="dxa"/>
            <w:vAlign w:val="center"/>
          </w:tcPr>
          <w:p w14:paraId="08CA1CD2">
            <w:pPr>
              <w:spacing w:line="276" w:lineRule="auto"/>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1、获取执法记录仪的视频，照片，录音与谈话教育系统关联。</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2、储存容量：标配物理存储容量4TB，6个SATA3.0，单盘最大8TB。</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3、主处理器：工业级嵌入式微控制器。</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4、操作系统：嵌入式Linux操作系统。</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5、显示屏：不低于13英寸液晶屏，电容触摸屏。</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6、屏幕分辩率：1920*1080</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7、摄像头：</w:t>
            </w:r>
            <w:r>
              <w:rPr>
                <w:rFonts w:hint="eastAsia" w:ascii="宋体" w:hAnsi="宋体"/>
                <w:color w:val="auto"/>
                <w:sz w:val="24"/>
                <w:szCs w:val="24"/>
                <w:highlight w:val="none"/>
              </w:rPr>
              <w:t>不低于</w:t>
            </w:r>
            <w:r>
              <w:rPr>
                <w:rFonts w:hint="eastAsia" w:asciiTheme="minorEastAsia" w:hAnsiTheme="minorEastAsia" w:eastAsiaTheme="minorEastAsia"/>
                <w:color w:val="auto"/>
                <w:sz w:val="24"/>
                <w:szCs w:val="24"/>
                <w:highlight w:val="none"/>
              </w:rPr>
              <w:t>200万CMOS高清摄像头</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8、身份认证：支持人脸、指纹、用户名密码认证方式。</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9、喇叭：1*2W</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10、白光灯：仅在人脸识别场景下会依据环境自动开启。</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11、网络接口：2个RJ45千兆网口</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12、USB接口：USB2.0和USB3.0各一个</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13、拓展口（母头）：1个，用于连接挂机，进行数据传输使用，最多可扩展4个挂机。</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14、人脸识别：支持最大330个人脸库，人脸识别距离：0.5m～1.5m</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15、指纹识别：支持最大1000个指纹库。</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16、解锁模式：支持一键解锁和单舱位解锁，支持钥匙解锁。</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17、采集速度：最大128MB/S，支持数据自动采集、数据优先采集。</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18、RAID：Raid0,1,5,10</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19、电源：三芯电源接口，供电方式：AC100~240V，50/60Hz。</w:t>
            </w:r>
          </w:p>
        </w:tc>
        <w:tc>
          <w:tcPr>
            <w:tcW w:w="709" w:type="dxa"/>
            <w:vAlign w:val="center"/>
          </w:tcPr>
          <w:p w14:paraId="3C74555B">
            <w:pPr>
              <w:spacing w:line="276" w:lineRule="auto"/>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1台</w:t>
            </w:r>
          </w:p>
        </w:tc>
        <w:tc>
          <w:tcPr>
            <w:tcW w:w="705" w:type="dxa"/>
            <w:vAlign w:val="center"/>
          </w:tcPr>
          <w:p w14:paraId="1DDE4F20">
            <w:pPr>
              <w:spacing w:line="276" w:lineRule="auto"/>
              <w:jc w:val="center"/>
              <w:rPr>
                <w:rFonts w:hint="default" w:cs="宋体" w:asciiTheme="minorEastAsia" w:hAnsiTheme="minorEastAsia" w:eastAsiaTheme="minorEastAsia"/>
                <w:color w:val="auto"/>
                <w:sz w:val="24"/>
                <w:szCs w:val="24"/>
                <w:highlight w:val="none"/>
                <w:lang w:val="en-US" w:eastAsia="zh-CN"/>
              </w:rPr>
            </w:pPr>
            <w:r>
              <w:rPr>
                <w:rFonts w:hint="eastAsia" w:cs="宋体" w:asciiTheme="minorEastAsia" w:hAnsiTheme="minorEastAsia" w:eastAsiaTheme="minorEastAsia"/>
                <w:color w:val="auto"/>
                <w:sz w:val="24"/>
                <w:szCs w:val="24"/>
                <w:highlight w:val="none"/>
                <w:lang w:val="en-US" w:eastAsia="zh-CN"/>
              </w:rPr>
              <w:t>17600</w:t>
            </w:r>
            <w:r>
              <w:rPr>
                <w:rFonts w:hint="eastAsia" w:asciiTheme="minorEastAsia" w:hAnsiTheme="minorEastAsia" w:eastAsiaTheme="minorEastAsia"/>
                <w:color w:val="auto"/>
                <w:sz w:val="24"/>
                <w:szCs w:val="24"/>
                <w:highlight w:val="none"/>
                <w:lang w:val="en-US" w:eastAsia="zh-CN"/>
              </w:rPr>
              <w:t>元/台</w:t>
            </w:r>
          </w:p>
        </w:tc>
        <w:tc>
          <w:tcPr>
            <w:tcW w:w="845" w:type="dxa"/>
            <w:vAlign w:val="center"/>
          </w:tcPr>
          <w:p w14:paraId="7F78C6FA">
            <w:pPr>
              <w:spacing w:line="276" w:lineRule="auto"/>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工业</w:t>
            </w:r>
          </w:p>
        </w:tc>
      </w:tr>
      <w:tr w14:paraId="3936D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311" w:type="dxa"/>
            <w:shd w:val="clear" w:color="auto" w:fill="auto"/>
            <w:vAlign w:val="center"/>
          </w:tcPr>
          <w:p w14:paraId="4E73ED99">
            <w:pPr>
              <w:spacing w:line="276" w:lineRule="auto"/>
              <w:jc w:val="center"/>
              <w:rPr>
                <w:rFonts w:cs="宋体" w:asciiTheme="minorEastAsia" w:hAnsiTheme="minorEastAsia" w:eastAsiaTheme="minorEastAsia"/>
                <w:color w:val="auto"/>
                <w:sz w:val="24"/>
                <w:szCs w:val="24"/>
                <w:highlight w:val="none"/>
                <w:u w:color="000000"/>
                <w:lang w:val="en-US" w:eastAsia="zh-CN" w:bidi="ar-SA"/>
              </w:rPr>
            </w:pPr>
            <w:r>
              <w:rPr>
                <w:rFonts w:hint="eastAsia" w:cs="宋体" w:asciiTheme="minorEastAsia" w:hAnsiTheme="minorEastAsia" w:eastAsiaTheme="minorEastAsia"/>
                <w:color w:val="auto"/>
                <w:sz w:val="24"/>
                <w:szCs w:val="24"/>
                <w:highlight w:val="none"/>
              </w:rPr>
              <w:t>7</w:t>
            </w:r>
          </w:p>
        </w:tc>
        <w:tc>
          <w:tcPr>
            <w:tcW w:w="1080" w:type="dxa"/>
            <w:tcMar>
              <w:top w:w="15" w:type="dxa"/>
              <w:left w:w="15" w:type="dxa"/>
              <w:bottom w:w="0" w:type="dxa"/>
              <w:right w:w="15" w:type="dxa"/>
            </w:tcMar>
            <w:vAlign w:val="center"/>
          </w:tcPr>
          <w:p w14:paraId="442942DE">
            <w:pPr>
              <w:spacing w:line="276" w:lineRule="auto"/>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视音频记录仪采集站挂机</w:t>
            </w:r>
          </w:p>
        </w:tc>
        <w:tc>
          <w:tcPr>
            <w:tcW w:w="6272" w:type="dxa"/>
            <w:vAlign w:val="center"/>
          </w:tcPr>
          <w:p w14:paraId="3888001E">
            <w:pPr>
              <w:spacing w:line="276" w:lineRule="auto"/>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采集接口：自带8个，需要搭配主机使用，一台主机</w:t>
            </w:r>
            <w:r>
              <w:rPr>
                <w:rFonts w:hint="eastAsia" w:asciiTheme="minorEastAsia" w:hAnsiTheme="minorEastAsia" w:eastAsiaTheme="minorEastAsia"/>
                <w:color w:val="auto"/>
                <w:sz w:val="24"/>
                <w:szCs w:val="24"/>
                <w:highlight w:val="none"/>
                <w:lang w:val="en-US" w:eastAsia="zh-CN"/>
              </w:rPr>
              <w:t>至少</w:t>
            </w:r>
            <w:r>
              <w:rPr>
                <w:rFonts w:hint="eastAsia" w:asciiTheme="minorEastAsia" w:hAnsiTheme="minorEastAsia" w:eastAsiaTheme="minorEastAsia"/>
                <w:color w:val="auto"/>
                <w:sz w:val="24"/>
                <w:szCs w:val="24"/>
                <w:highlight w:val="none"/>
              </w:rPr>
              <w:t>支持4台挂机拓展；</w:t>
            </w:r>
            <w:r>
              <w:rPr>
                <w:rFonts w:hint="eastAsia" w:asciiTheme="minorEastAsia" w:hAnsiTheme="minorEastAsia" w:eastAsiaTheme="minorEastAsia"/>
                <w:color w:val="auto"/>
                <w:sz w:val="24"/>
                <w:szCs w:val="24"/>
                <w:highlight w:val="none"/>
              </w:rPr>
              <w:br w:type="page"/>
            </w:r>
            <w:r>
              <w:rPr>
                <w:rFonts w:hint="eastAsia" w:asciiTheme="minorEastAsia" w:hAnsiTheme="minorEastAsia" w:eastAsiaTheme="minorEastAsia"/>
                <w:color w:val="auto"/>
                <w:sz w:val="24"/>
                <w:szCs w:val="24"/>
                <w:highlight w:val="none"/>
              </w:rPr>
              <w:t>钥匙锁：1个，一次同时控制所有舱门开启；</w:t>
            </w:r>
            <w:r>
              <w:rPr>
                <w:rFonts w:hint="eastAsia" w:asciiTheme="minorEastAsia" w:hAnsiTheme="minorEastAsia" w:eastAsiaTheme="minorEastAsia"/>
                <w:color w:val="auto"/>
                <w:sz w:val="24"/>
                <w:szCs w:val="24"/>
                <w:highlight w:val="none"/>
              </w:rPr>
              <w:br w:type="page"/>
            </w:r>
            <w:r>
              <w:rPr>
                <w:rFonts w:hint="eastAsia" w:asciiTheme="minorEastAsia" w:hAnsiTheme="minorEastAsia" w:eastAsiaTheme="minorEastAsia"/>
                <w:color w:val="auto"/>
                <w:sz w:val="24"/>
                <w:szCs w:val="24"/>
                <w:highlight w:val="none"/>
              </w:rPr>
              <w:t>供电方式：通过主机拓展口供电；</w:t>
            </w:r>
            <w:r>
              <w:rPr>
                <w:rFonts w:hint="eastAsia" w:asciiTheme="minorEastAsia" w:hAnsiTheme="minorEastAsia" w:eastAsiaTheme="minorEastAsia"/>
                <w:color w:val="auto"/>
                <w:sz w:val="24"/>
                <w:szCs w:val="24"/>
                <w:highlight w:val="none"/>
              </w:rPr>
              <w:br w:type="page"/>
            </w:r>
            <w:r>
              <w:rPr>
                <w:rFonts w:hint="eastAsia" w:asciiTheme="minorEastAsia" w:hAnsiTheme="minorEastAsia" w:eastAsiaTheme="minorEastAsia"/>
                <w:color w:val="auto"/>
                <w:sz w:val="24"/>
                <w:szCs w:val="24"/>
                <w:highlight w:val="none"/>
              </w:rPr>
              <w:t>拓展口（公头/母头）：左右两侧各2个。用于连接主机或扩展挂机；</w:t>
            </w:r>
            <w:r>
              <w:rPr>
                <w:rFonts w:hint="eastAsia" w:asciiTheme="minorEastAsia" w:hAnsiTheme="minorEastAsia" w:eastAsiaTheme="minorEastAsia"/>
                <w:color w:val="auto"/>
                <w:sz w:val="24"/>
                <w:szCs w:val="24"/>
                <w:highlight w:val="none"/>
              </w:rPr>
              <w:br w:type="page"/>
            </w:r>
            <w:r>
              <w:rPr>
                <w:rFonts w:hint="eastAsia" w:asciiTheme="minorEastAsia" w:hAnsiTheme="minorEastAsia" w:eastAsiaTheme="minorEastAsia"/>
                <w:color w:val="auto"/>
                <w:sz w:val="24"/>
                <w:szCs w:val="24"/>
                <w:highlight w:val="none"/>
              </w:rPr>
              <w:t>指示灯：支持。每个舱门2个指示灯。一个标示数据采集，一个标示充电。</w:t>
            </w:r>
          </w:p>
        </w:tc>
        <w:tc>
          <w:tcPr>
            <w:tcW w:w="709" w:type="dxa"/>
            <w:vAlign w:val="center"/>
          </w:tcPr>
          <w:p w14:paraId="2E5D254C">
            <w:pPr>
              <w:spacing w:line="276" w:lineRule="auto"/>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1台</w:t>
            </w:r>
          </w:p>
        </w:tc>
        <w:tc>
          <w:tcPr>
            <w:tcW w:w="705" w:type="dxa"/>
            <w:vAlign w:val="center"/>
          </w:tcPr>
          <w:p w14:paraId="43109A82">
            <w:pPr>
              <w:spacing w:line="276" w:lineRule="auto"/>
              <w:jc w:val="center"/>
              <w:rPr>
                <w:rFonts w:hint="default" w:cs="宋体" w:asciiTheme="minorEastAsia" w:hAnsiTheme="minorEastAsia" w:eastAsiaTheme="minorEastAsia"/>
                <w:color w:val="auto"/>
                <w:sz w:val="24"/>
                <w:szCs w:val="24"/>
                <w:highlight w:val="none"/>
                <w:lang w:val="en-US" w:eastAsia="zh-CN"/>
              </w:rPr>
            </w:pPr>
            <w:r>
              <w:rPr>
                <w:rFonts w:hint="eastAsia" w:cs="宋体" w:asciiTheme="minorEastAsia" w:hAnsiTheme="minorEastAsia" w:eastAsiaTheme="minorEastAsia"/>
                <w:color w:val="auto"/>
                <w:sz w:val="24"/>
                <w:szCs w:val="24"/>
                <w:highlight w:val="none"/>
                <w:lang w:val="en-US" w:eastAsia="zh-CN"/>
              </w:rPr>
              <w:t>6500</w:t>
            </w:r>
            <w:r>
              <w:rPr>
                <w:rFonts w:hint="eastAsia" w:asciiTheme="minorEastAsia" w:hAnsiTheme="minorEastAsia" w:eastAsiaTheme="minorEastAsia"/>
                <w:color w:val="auto"/>
                <w:sz w:val="24"/>
                <w:szCs w:val="24"/>
                <w:highlight w:val="none"/>
                <w:lang w:val="en-US" w:eastAsia="zh-CN"/>
              </w:rPr>
              <w:t>元/台</w:t>
            </w:r>
          </w:p>
        </w:tc>
        <w:tc>
          <w:tcPr>
            <w:tcW w:w="845" w:type="dxa"/>
            <w:vAlign w:val="center"/>
          </w:tcPr>
          <w:p w14:paraId="37F07C35">
            <w:pPr>
              <w:spacing w:line="276" w:lineRule="auto"/>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工业</w:t>
            </w:r>
          </w:p>
        </w:tc>
      </w:tr>
      <w:tr w14:paraId="53625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311" w:type="dxa"/>
            <w:shd w:val="clear" w:color="auto" w:fill="auto"/>
            <w:vAlign w:val="center"/>
          </w:tcPr>
          <w:p w14:paraId="66C56FDF">
            <w:pPr>
              <w:spacing w:line="276" w:lineRule="auto"/>
              <w:jc w:val="center"/>
              <w:rPr>
                <w:rFonts w:cs="宋体" w:asciiTheme="minorEastAsia" w:hAnsiTheme="minorEastAsia" w:eastAsiaTheme="minorEastAsia"/>
                <w:color w:val="auto"/>
                <w:sz w:val="24"/>
                <w:szCs w:val="24"/>
                <w:highlight w:val="none"/>
                <w:u w:color="000000"/>
                <w:lang w:val="en-US" w:eastAsia="zh-CN" w:bidi="ar-SA"/>
              </w:rPr>
            </w:pPr>
            <w:r>
              <w:rPr>
                <w:rFonts w:hint="eastAsia" w:cs="宋体" w:asciiTheme="minorEastAsia" w:hAnsiTheme="minorEastAsia" w:eastAsiaTheme="minorEastAsia"/>
                <w:color w:val="auto"/>
                <w:sz w:val="24"/>
                <w:szCs w:val="24"/>
                <w:highlight w:val="none"/>
              </w:rPr>
              <w:t>8</w:t>
            </w:r>
          </w:p>
        </w:tc>
        <w:tc>
          <w:tcPr>
            <w:tcW w:w="1080" w:type="dxa"/>
            <w:shd w:val="clear" w:color="auto" w:fill="auto"/>
            <w:tcMar>
              <w:top w:w="15" w:type="dxa"/>
              <w:left w:w="15" w:type="dxa"/>
              <w:bottom w:w="0" w:type="dxa"/>
              <w:right w:w="15" w:type="dxa"/>
            </w:tcMar>
            <w:vAlign w:val="center"/>
          </w:tcPr>
          <w:p w14:paraId="67EADB80">
            <w:pPr>
              <w:spacing w:line="276" w:lineRule="auto"/>
              <w:rPr>
                <w:rFonts w:cs="宋体" w:asciiTheme="minorEastAsia" w:hAnsiTheme="minorEastAsia" w:eastAsiaTheme="minorEastAsia"/>
                <w:color w:val="auto"/>
                <w:sz w:val="24"/>
                <w:szCs w:val="24"/>
                <w:highlight w:val="none"/>
                <w:u w:color="000000"/>
                <w:lang w:val="en-US" w:eastAsia="zh-CN" w:bidi="ar-SA"/>
              </w:rPr>
            </w:pPr>
            <w:r>
              <w:rPr>
                <w:rFonts w:hint="eastAsia" w:asciiTheme="minorEastAsia" w:hAnsiTheme="minorEastAsia" w:eastAsiaTheme="minorEastAsia"/>
                <w:color w:val="auto"/>
                <w:sz w:val="24"/>
                <w:szCs w:val="24"/>
                <w:highlight w:val="none"/>
              </w:rPr>
              <w:t>采集站中间件</w:t>
            </w:r>
          </w:p>
        </w:tc>
        <w:tc>
          <w:tcPr>
            <w:tcW w:w="6272" w:type="dxa"/>
            <w:shd w:val="clear" w:color="auto" w:fill="auto"/>
            <w:vAlign w:val="center"/>
          </w:tcPr>
          <w:p w14:paraId="2338CFBC">
            <w:pPr>
              <w:spacing w:line="276" w:lineRule="auto"/>
              <w:rPr>
                <w:rFonts w:hint="eastAsia" w:cs="宋体" w:asciiTheme="minorEastAsia" w:hAnsiTheme="minorEastAsia" w:eastAsiaTheme="minorEastAsia"/>
                <w:color w:val="auto"/>
                <w:sz w:val="24"/>
                <w:szCs w:val="24"/>
                <w:highlight w:val="none"/>
                <w:u w:color="000000"/>
                <w:lang w:val="en-US" w:eastAsia="zh-CN" w:bidi="ar-SA"/>
              </w:rPr>
            </w:pPr>
            <w:r>
              <w:rPr>
                <w:rFonts w:hint="eastAsia" w:asciiTheme="minorEastAsia" w:hAnsiTheme="minorEastAsia" w:eastAsiaTheme="minorEastAsia"/>
                <w:color w:val="auto"/>
                <w:sz w:val="24"/>
                <w:szCs w:val="24"/>
                <w:highlight w:val="none"/>
              </w:rPr>
              <w:t>支持被监管人员信息与管教民警信息同步，将执法记录仪录音录像文件与管教谈话业务智能关联：</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一是对接采集工作站，实现文件上传点播。</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二是对接厂家采集管理平台，实现文件传输。</w:t>
            </w:r>
          </w:p>
        </w:tc>
        <w:tc>
          <w:tcPr>
            <w:tcW w:w="709" w:type="dxa"/>
            <w:shd w:val="clear" w:color="auto" w:fill="auto"/>
            <w:vAlign w:val="center"/>
          </w:tcPr>
          <w:p w14:paraId="648F4C42">
            <w:pPr>
              <w:spacing w:line="276" w:lineRule="auto"/>
              <w:jc w:val="center"/>
              <w:rPr>
                <w:rFonts w:cs="宋体" w:asciiTheme="minorEastAsia" w:hAnsiTheme="minorEastAsia" w:eastAsiaTheme="minorEastAsia"/>
                <w:color w:val="auto"/>
                <w:sz w:val="24"/>
                <w:szCs w:val="24"/>
                <w:highlight w:val="none"/>
                <w:u w:color="000000"/>
                <w:lang w:val="en-US" w:eastAsia="zh-CN" w:bidi="ar-SA"/>
              </w:rPr>
            </w:pPr>
            <w:r>
              <w:rPr>
                <w:rFonts w:hint="eastAsia" w:asciiTheme="minorEastAsia" w:hAnsiTheme="minorEastAsia" w:eastAsiaTheme="minorEastAsia"/>
                <w:color w:val="auto"/>
                <w:sz w:val="24"/>
                <w:szCs w:val="24"/>
                <w:highlight w:val="none"/>
              </w:rPr>
              <w:t>1套</w:t>
            </w:r>
          </w:p>
        </w:tc>
        <w:tc>
          <w:tcPr>
            <w:tcW w:w="705" w:type="dxa"/>
            <w:shd w:val="clear" w:color="auto" w:fill="auto"/>
            <w:vAlign w:val="center"/>
          </w:tcPr>
          <w:p w14:paraId="77E6E4CA">
            <w:pPr>
              <w:spacing w:line="276" w:lineRule="auto"/>
              <w:jc w:val="center"/>
              <w:rPr>
                <w:rFonts w:hint="default" w:cs="宋体" w:asciiTheme="minorEastAsia" w:hAnsiTheme="minorEastAsia" w:eastAsiaTheme="minorEastAsia"/>
                <w:color w:val="auto"/>
                <w:sz w:val="24"/>
                <w:szCs w:val="24"/>
                <w:highlight w:val="none"/>
                <w:u w:color="000000"/>
                <w:lang w:val="en-US" w:eastAsia="zh-CN" w:bidi="ar-SA"/>
              </w:rPr>
            </w:pPr>
            <w:r>
              <w:rPr>
                <w:rFonts w:hint="eastAsia" w:cs="宋体" w:asciiTheme="minorEastAsia" w:hAnsiTheme="minorEastAsia" w:eastAsiaTheme="minorEastAsia"/>
                <w:color w:val="auto"/>
                <w:sz w:val="24"/>
                <w:szCs w:val="24"/>
                <w:highlight w:val="none"/>
                <w:u w:color="000000"/>
                <w:lang w:val="en-US" w:eastAsia="zh-CN" w:bidi="ar-SA"/>
              </w:rPr>
              <w:t>29000</w:t>
            </w:r>
            <w:r>
              <w:rPr>
                <w:rFonts w:hint="eastAsia" w:asciiTheme="minorEastAsia" w:hAnsiTheme="minorEastAsia" w:eastAsiaTheme="minorEastAsia"/>
                <w:color w:val="auto"/>
                <w:sz w:val="24"/>
                <w:szCs w:val="24"/>
                <w:highlight w:val="none"/>
                <w:lang w:val="en-US" w:eastAsia="zh-CN"/>
              </w:rPr>
              <w:t>元/套</w:t>
            </w:r>
          </w:p>
        </w:tc>
        <w:tc>
          <w:tcPr>
            <w:tcW w:w="845" w:type="dxa"/>
            <w:shd w:val="clear" w:color="auto" w:fill="auto"/>
            <w:vAlign w:val="top"/>
          </w:tcPr>
          <w:p w14:paraId="65AE32F0">
            <w:pPr>
              <w:spacing w:line="276" w:lineRule="auto"/>
              <w:jc w:val="center"/>
              <w:rPr>
                <w:rFonts w:cs="Times New Roman" w:asciiTheme="minorEastAsia" w:hAnsiTheme="minorEastAsia" w:eastAsiaTheme="minorEastAsia"/>
                <w:color w:val="auto"/>
                <w:sz w:val="24"/>
                <w:szCs w:val="24"/>
                <w:highlight w:val="none"/>
                <w:u w:color="000000"/>
                <w:lang w:val="en-US" w:eastAsia="zh-CN" w:bidi="ar-SA"/>
              </w:rPr>
            </w:pPr>
            <w:r>
              <w:rPr>
                <w:rFonts w:hint="eastAsia" w:asciiTheme="minorEastAsia" w:hAnsiTheme="minorEastAsia" w:eastAsiaTheme="minorEastAsia"/>
                <w:color w:val="auto"/>
                <w:sz w:val="24"/>
                <w:szCs w:val="24"/>
                <w:highlight w:val="none"/>
              </w:rPr>
              <w:t>软件和信息技术服务业</w:t>
            </w:r>
          </w:p>
        </w:tc>
      </w:tr>
      <w:tr w14:paraId="584FC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9922" w:type="dxa"/>
            <w:gridSpan w:val="6"/>
            <w:vAlign w:val="center"/>
          </w:tcPr>
          <w:p w14:paraId="526340BC">
            <w:pPr>
              <w:snapToGrid w:val="0"/>
              <w:spacing w:line="276" w:lineRule="auto"/>
              <w:jc w:val="left"/>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防误放系统1套（含：防误放人终端、监所防误放人信息系统及被监管人员出入口管控模块各1台/套/项）</w:t>
            </w:r>
          </w:p>
        </w:tc>
      </w:tr>
      <w:tr w14:paraId="0F200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311" w:type="dxa"/>
            <w:vAlign w:val="center"/>
          </w:tcPr>
          <w:p w14:paraId="3B12F8D9">
            <w:pPr>
              <w:spacing w:line="276" w:lineRule="auto"/>
              <w:jc w:val="center"/>
              <w:rPr>
                <w:rFonts w:hint="default" w:cs="宋体" w:asciiTheme="minorEastAsia" w:hAnsiTheme="minorEastAsia" w:eastAsiaTheme="minorEastAsia"/>
                <w:color w:val="auto"/>
                <w:sz w:val="24"/>
                <w:szCs w:val="24"/>
                <w:highlight w:val="none"/>
                <w:lang w:val="en-US" w:eastAsia="zh-CN"/>
              </w:rPr>
            </w:pPr>
            <w:r>
              <w:rPr>
                <w:rFonts w:hint="eastAsia" w:cs="宋体" w:asciiTheme="minorEastAsia" w:hAnsiTheme="minorEastAsia" w:eastAsiaTheme="minorEastAsia"/>
                <w:color w:val="auto"/>
                <w:sz w:val="24"/>
                <w:szCs w:val="24"/>
                <w:highlight w:val="none"/>
                <w:lang w:val="en-US" w:eastAsia="zh-CN"/>
              </w:rPr>
              <w:t>9</w:t>
            </w:r>
          </w:p>
        </w:tc>
        <w:tc>
          <w:tcPr>
            <w:tcW w:w="1080" w:type="dxa"/>
            <w:tcMar>
              <w:top w:w="15" w:type="dxa"/>
              <w:left w:w="15" w:type="dxa"/>
              <w:bottom w:w="0" w:type="dxa"/>
              <w:right w:w="15" w:type="dxa"/>
            </w:tcMar>
            <w:vAlign w:val="center"/>
          </w:tcPr>
          <w:p w14:paraId="10B0054C">
            <w:pPr>
              <w:spacing w:line="276" w:lineRule="auto"/>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防误放人终端（人脸+指纹型）</w:t>
            </w:r>
          </w:p>
        </w:tc>
        <w:tc>
          <w:tcPr>
            <w:tcW w:w="6272" w:type="dxa"/>
            <w:vAlign w:val="center"/>
          </w:tcPr>
          <w:p w14:paraId="15B02780">
            <w:pPr>
              <w:spacing w:line="276" w:lineRule="auto"/>
              <w:jc w:val="lef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身份验证：人脸或指纹登录                                                                     双目摄像头：有效像素均为500万以上，可支持人脸活体检测、自动曝光、自动白平衡</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指纹模块：与控制模块无缝集成，有效采集面积：14×18mm/认假率：</w:t>
            </w:r>
            <w:r>
              <w:rPr>
                <w:rFonts w:hint="eastAsia" w:asciiTheme="minorEastAsia" w:hAnsiTheme="minorEastAsia" w:eastAsiaTheme="minorEastAsia"/>
                <w:color w:val="auto"/>
                <w:sz w:val="24"/>
                <w:szCs w:val="24"/>
                <w:highlight w:val="none"/>
                <w:lang w:val="en-US" w:eastAsia="zh-CN"/>
              </w:rPr>
              <w:t>≤</w:t>
            </w:r>
            <w:r>
              <w:rPr>
                <w:rFonts w:hint="eastAsia" w:asciiTheme="minorEastAsia" w:hAnsiTheme="minorEastAsia" w:eastAsiaTheme="minorEastAsia"/>
                <w:color w:val="auto"/>
                <w:sz w:val="24"/>
                <w:szCs w:val="24"/>
                <w:highlight w:val="none"/>
              </w:rPr>
              <w:t>0.001%/拒真率：</w:t>
            </w:r>
            <w:r>
              <w:rPr>
                <w:rFonts w:hint="eastAsia" w:asciiTheme="minorEastAsia" w:hAnsiTheme="minorEastAsia" w:eastAsiaTheme="minorEastAsia"/>
                <w:color w:val="auto"/>
                <w:sz w:val="24"/>
                <w:szCs w:val="24"/>
                <w:highlight w:val="none"/>
                <w:lang w:val="en-US" w:eastAsia="zh-CN"/>
              </w:rPr>
              <w:t>≤</w:t>
            </w:r>
            <w:r>
              <w:rPr>
                <w:rFonts w:hint="eastAsia" w:asciiTheme="minorEastAsia" w:hAnsiTheme="minorEastAsia" w:eastAsiaTheme="minorEastAsia"/>
                <w:color w:val="auto"/>
                <w:sz w:val="24"/>
                <w:szCs w:val="24"/>
                <w:highlight w:val="none"/>
              </w:rPr>
              <w:t>1%/分辨率：500dpi±3%/图像灰度级：256级灰度</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屏幕尺寸：</w:t>
            </w:r>
            <w:r>
              <w:rPr>
                <w:rFonts w:hint="eastAsia" w:ascii="宋体" w:hAnsi="宋体"/>
                <w:color w:val="auto"/>
                <w:sz w:val="24"/>
                <w:szCs w:val="24"/>
                <w:highlight w:val="none"/>
              </w:rPr>
              <w:t>不低于</w:t>
            </w:r>
            <w:r>
              <w:rPr>
                <w:rFonts w:hint="eastAsia" w:asciiTheme="minorEastAsia" w:hAnsiTheme="minorEastAsia" w:eastAsiaTheme="minorEastAsia"/>
                <w:color w:val="auto"/>
                <w:sz w:val="24"/>
                <w:szCs w:val="24"/>
                <w:highlight w:val="none"/>
              </w:rPr>
              <w:t xml:space="preserve">21.5寸   </w:t>
            </w:r>
          </w:p>
          <w:p w14:paraId="6A06DFD0">
            <w:pPr>
              <w:spacing w:line="276" w:lineRule="auto"/>
              <w:jc w:val="lef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显示比例：16:9，面板类型：TFT-LCD</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 xml:space="preserve">最大分辨率：1920×1080    </w:t>
            </w:r>
          </w:p>
          <w:p w14:paraId="0B2256F9">
            <w:pPr>
              <w:spacing w:line="276" w:lineRule="auto"/>
              <w:jc w:val="lef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操作系统：</w:t>
            </w:r>
            <w:r>
              <w:rPr>
                <w:rFonts w:hint="eastAsia" w:ascii="宋体" w:hAnsi="宋体"/>
                <w:color w:val="auto"/>
                <w:sz w:val="24"/>
                <w:szCs w:val="24"/>
                <w:highlight w:val="none"/>
              </w:rPr>
              <w:t>不低于</w:t>
            </w:r>
            <w:r>
              <w:rPr>
                <w:rFonts w:hint="eastAsia" w:asciiTheme="minorEastAsia" w:hAnsiTheme="minorEastAsia" w:eastAsiaTheme="minorEastAsia"/>
                <w:color w:val="auto"/>
                <w:sz w:val="24"/>
                <w:szCs w:val="24"/>
                <w:highlight w:val="none"/>
              </w:rPr>
              <w:t>Android 7.1</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 xml:space="preserve">CPU：超强四核 GPU主频：1.8G      </w:t>
            </w:r>
          </w:p>
          <w:p w14:paraId="3A191914">
            <w:pPr>
              <w:spacing w:line="276" w:lineRule="auto"/>
              <w:jc w:val="lef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内存：</w:t>
            </w:r>
            <w:r>
              <w:rPr>
                <w:rFonts w:hint="eastAsia" w:ascii="宋体" w:hAnsi="宋体"/>
                <w:color w:val="auto"/>
                <w:sz w:val="24"/>
                <w:szCs w:val="24"/>
                <w:highlight w:val="none"/>
              </w:rPr>
              <w:t>不低于</w:t>
            </w:r>
            <w:r>
              <w:rPr>
                <w:rFonts w:hint="eastAsia" w:asciiTheme="minorEastAsia" w:hAnsiTheme="minorEastAsia" w:eastAsiaTheme="minorEastAsia"/>
                <w:color w:val="auto"/>
                <w:sz w:val="24"/>
                <w:szCs w:val="24"/>
                <w:highlight w:val="none"/>
              </w:rPr>
              <w:t>2G DDR3，FLASH：8GB</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 xml:space="preserve">支持定时重启，响应时间 ＜10     </w:t>
            </w:r>
          </w:p>
          <w:p w14:paraId="24A006E3">
            <w:pPr>
              <w:spacing w:line="276" w:lineRule="auto"/>
              <w:jc w:val="lef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USB*1，RJ45*1</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 xml:space="preserve">触摸：标配10点电容触摸       </w:t>
            </w:r>
          </w:p>
          <w:p w14:paraId="0E4F120F">
            <w:pPr>
              <w:spacing w:line="276" w:lineRule="auto"/>
              <w:jc w:val="left"/>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读卡器：IC读卡器、电源DC：12V</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最大功率损耗≤36W、待机功率损耗≤1W</w:t>
            </w:r>
          </w:p>
        </w:tc>
        <w:tc>
          <w:tcPr>
            <w:tcW w:w="709" w:type="dxa"/>
            <w:vAlign w:val="center"/>
          </w:tcPr>
          <w:p w14:paraId="0E3C4604">
            <w:pPr>
              <w:spacing w:line="276" w:lineRule="auto"/>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1台</w:t>
            </w:r>
          </w:p>
        </w:tc>
        <w:tc>
          <w:tcPr>
            <w:tcW w:w="705" w:type="dxa"/>
            <w:vAlign w:val="center"/>
          </w:tcPr>
          <w:p w14:paraId="188E1D74">
            <w:pPr>
              <w:spacing w:line="276" w:lineRule="auto"/>
              <w:jc w:val="center"/>
              <w:rPr>
                <w:rFonts w:hint="default" w:cs="宋体" w:asciiTheme="minorEastAsia" w:hAnsiTheme="minorEastAsia" w:eastAsiaTheme="minorEastAsia"/>
                <w:color w:val="auto"/>
                <w:sz w:val="24"/>
                <w:szCs w:val="24"/>
                <w:highlight w:val="none"/>
                <w:lang w:val="en-US" w:eastAsia="zh-CN"/>
              </w:rPr>
            </w:pPr>
            <w:r>
              <w:rPr>
                <w:rFonts w:hint="eastAsia" w:cs="宋体" w:asciiTheme="minorEastAsia" w:hAnsiTheme="minorEastAsia" w:eastAsiaTheme="minorEastAsia"/>
                <w:color w:val="auto"/>
                <w:sz w:val="24"/>
                <w:szCs w:val="24"/>
                <w:highlight w:val="none"/>
                <w:lang w:val="en-US" w:eastAsia="zh-CN"/>
              </w:rPr>
              <w:t>9800</w:t>
            </w:r>
            <w:r>
              <w:rPr>
                <w:rFonts w:hint="eastAsia" w:asciiTheme="minorEastAsia" w:hAnsiTheme="minorEastAsia" w:eastAsiaTheme="minorEastAsia"/>
                <w:color w:val="auto"/>
                <w:sz w:val="24"/>
                <w:szCs w:val="24"/>
                <w:highlight w:val="none"/>
                <w:lang w:val="en-US" w:eastAsia="zh-CN"/>
              </w:rPr>
              <w:t>元/台</w:t>
            </w:r>
          </w:p>
        </w:tc>
        <w:tc>
          <w:tcPr>
            <w:tcW w:w="845" w:type="dxa"/>
            <w:vAlign w:val="center"/>
          </w:tcPr>
          <w:p w14:paraId="607E8611">
            <w:pPr>
              <w:spacing w:line="276" w:lineRule="auto"/>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工业</w:t>
            </w:r>
          </w:p>
        </w:tc>
      </w:tr>
      <w:tr w14:paraId="53382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311" w:type="dxa"/>
            <w:vAlign w:val="center"/>
          </w:tcPr>
          <w:p w14:paraId="7BD43938">
            <w:pPr>
              <w:spacing w:line="276" w:lineRule="auto"/>
              <w:jc w:val="center"/>
              <w:rPr>
                <w:rFonts w:hint="default" w:cs="宋体" w:asciiTheme="minorEastAsia" w:hAnsiTheme="minorEastAsia" w:eastAsiaTheme="minorEastAsia"/>
                <w:color w:val="auto"/>
                <w:sz w:val="24"/>
                <w:szCs w:val="24"/>
                <w:highlight w:val="none"/>
                <w:lang w:val="en-US" w:eastAsia="zh-CN"/>
              </w:rPr>
            </w:pPr>
            <w:r>
              <w:rPr>
                <w:rFonts w:hint="eastAsia" w:cs="宋体" w:asciiTheme="minorEastAsia" w:hAnsiTheme="minorEastAsia" w:eastAsiaTheme="minorEastAsia"/>
                <w:color w:val="auto"/>
                <w:sz w:val="24"/>
                <w:szCs w:val="24"/>
                <w:highlight w:val="none"/>
                <w:lang w:val="en-US" w:eastAsia="zh-CN"/>
              </w:rPr>
              <w:t>10</w:t>
            </w:r>
          </w:p>
        </w:tc>
        <w:tc>
          <w:tcPr>
            <w:tcW w:w="1080" w:type="dxa"/>
            <w:tcMar>
              <w:top w:w="15" w:type="dxa"/>
              <w:left w:w="15" w:type="dxa"/>
              <w:bottom w:w="0" w:type="dxa"/>
              <w:right w:w="15" w:type="dxa"/>
            </w:tcMar>
            <w:vAlign w:val="center"/>
          </w:tcPr>
          <w:p w14:paraId="67F460BD">
            <w:pPr>
              <w:spacing w:line="276" w:lineRule="auto"/>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监所防误放人信息系统</w:t>
            </w:r>
          </w:p>
        </w:tc>
        <w:tc>
          <w:tcPr>
            <w:tcW w:w="6272" w:type="dxa"/>
            <w:vAlign w:val="center"/>
          </w:tcPr>
          <w:p w14:paraId="4A7ACCA3">
            <w:pPr>
              <w:numPr>
                <w:ilvl w:val="0"/>
                <w:numId w:val="1"/>
              </w:numPr>
              <w:spacing w:line="276"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接入监所实战平台：对接省级违法犯罪人员信息系统，实时获取被监管人员信息。</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2、出所比对：被监管人员办理提讯、会见、换押、出所或临时离所各项业务时，在监室、监区、重要通道使用“防误放人终端”，验证人脸或指纹进行身份确认，确认成功后会显示人员信息。在人员列表选择人员后可查看信息或单独比对。</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3、民警登入：监管场所民警通过登入系统（支持刷卡、人脸、密码比对）可查询人员信息等。</w:t>
            </w:r>
          </w:p>
          <w:p w14:paraId="6C6D8238">
            <w:pPr>
              <w:spacing w:line="276"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4、智能终端应用：实现监管民警、被监管人员的动态业务数据关联，被监管人员带出/带入确认由民警通过触摸方式选择。</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5、其它信息比对：通过后台程序，调用人脸比对接口，请求人脸比对，在通过后，将人脸信息发送到接口，自动进行比对，最后将结果进行返回。</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6、历史记录：记录并显示历次业务办理类型与时间。</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 xml:space="preserve">7、自定义配置：设置服务器的ip地址与相关配置，可支持不同功能。                  </w:t>
            </w:r>
          </w:p>
          <w:p w14:paraId="419B9599">
            <w:pPr>
              <w:spacing w:line="276" w:lineRule="auto"/>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8.具有相关的著作权证书。</w:t>
            </w:r>
          </w:p>
        </w:tc>
        <w:tc>
          <w:tcPr>
            <w:tcW w:w="709" w:type="dxa"/>
            <w:vAlign w:val="center"/>
          </w:tcPr>
          <w:p w14:paraId="24C58AB9">
            <w:pPr>
              <w:spacing w:line="276" w:lineRule="auto"/>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1套</w:t>
            </w:r>
          </w:p>
        </w:tc>
        <w:tc>
          <w:tcPr>
            <w:tcW w:w="705" w:type="dxa"/>
            <w:vAlign w:val="center"/>
          </w:tcPr>
          <w:p w14:paraId="18DA81B2">
            <w:pPr>
              <w:spacing w:line="276" w:lineRule="auto"/>
              <w:jc w:val="center"/>
              <w:rPr>
                <w:rFonts w:hint="default" w:cs="宋体" w:asciiTheme="minorEastAsia" w:hAnsiTheme="minorEastAsia" w:eastAsiaTheme="minorEastAsia"/>
                <w:color w:val="auto"/>
                <w:sz w:val="24"/>
                <w:szCs w:val="24"/>
                <w:highlight w:val="none"/>
                <w:lang w:val="en-US" w:eastAsia="zh-CN"/>
              </w:rPr>
            </w:pPr>
            <w:r>
              <w:rPr>
                <w:rFonts w:hint="eastAsia" w:cs="宋体" w:asciiTheme="minorEastAsia" w:hAnsiTheme="minorEastAsia" w:eastAsiaTheme="minorEastAsia"/>
                <w:color w:val="auto"/>
                <w:sz w:val="24"/>
                <w:szCs w:val="24"/>
                <w:highlight w:val="none"/>
                <w:lang w:val="en-US" w:eastAsia="zh-CN"/>
              </w:rPr>
              <w:t>53100</w:t>
            </w:r>
            <w:r>
              <w:rPr>
                <w:rFonts w:hint="eastAsia" w:asciiTheme="minorEastAsia" w:hAnsiTheme="minorEastAsia" w:eastAsiaTheme="minorEastAsia"/>
                <w:color w:val="auto"/>
                <w:sz w:val="24"/>
                <w:szCs w:val="24"/>
                <w:highlight w:val="none"/>
                <w:lang w:val="en-US" w:eastAsia="zh-CN"/>
              </w:rPr>
              <w:t>元/台</w:t>
            </w:r>
          </w:p>
        </w:tc>
        <w:tc>
          <w:tcPr>
            <w:tcW w:w="845" w:type="dxa"/>
            <w:vMerge w:val="restart"/>
            <w:vAlign w:val="center"/>
          </w:tcPr>
          <w:p w14:paraId="29A590C5">
            <w:pPr>
              <w:spacing w:line="276" w:lineRule="auto"/>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软件和信息技术服务业</w:t>
            </w:r>
          </w:p>
        </w:tc>
      </w:tr>
      <w:tr w14:paraId="0A8ED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311" w:type="dxa"/>
            <w:vAlign w:val="center"/>
          </w:tcPr>
          <w:p w14:paraId="09AB6B59">
            <w:pPr>
              <w:spacing w:line="276" w:lineRule="auto"/>
              <w:jc w:val="center"/>
              <w:rPr>
                <w:rFonts w:hint="default" w:cs="宋体" w:asciiTheme="minorEastAsia" w:hAnsiTheme="minorEastAsia" w:eastAsiaTheme="minorEastAsia"/>
                <w:color w:val="auto"/>
                <w:sz w:val="24"/>
                <w:szCs w:val="24"/>
                <w:highlight w:val="none"/>
                <w:lang w:val="en-US" w:eastAsia="zh-CN"/>
              </w:rPr>
            </w:pPr>
            <w:r>
              <w:rPr>
                <w:rFonts w:hint="eastAsia" w:cs="宋体" w:asciiTheme="minorEastAsia" w:hAnsiTheme="minorEastAsia" w:eastAsiaTheme="minorEastAsia"/>
                <w:color w:val="auto"/>
                <w:sz w:val="24"/>
                <w:szCs w:val="24"/>
                <w:highlight w:val="none"/>
                <w:lang w:val="en-US" w:eastAsia="zh-CN"/>
              </w:rPr>
              <w:t>11</w:t>
            </w:r>
          </w:p>
        </w:tc>
        <w:tc>
          <w:tcPr>
            <w:tcW w:w="1080" w:type="dxa"/>
            <w:tcMar>
              <w:top w:w="15" w:type="dxa"/>
              <w:left w:w="15" w:type="dxa"/>
              <w:bottom w:w="0" w:type="dxa"/>
              <w:right w:w="15" w:type="dxa"/>
            </w:tcMar>
            <w:vAlign w:val="center"/>
          </w:tcPr>
          <w:p w14:paraId="16A5AECE">
            <w:pPr>
              <w:spacing w:line="276" w:lineRule="auto"/>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被监管人员出入口管控模块</w:t>
            </w:r>
          </w:p>
        </w:tc>
        <w:tc>
          <w:tcPr>
            <w:tcW w:w="6272" w:type="dxa"/>
            <w:vAlign w:val="center"/>
          </w:tcPr>
          <w:p w14:paraId="086C6C60">
            <w:pPr>
              <w:spacing w:line="276" w:lineRule="auto"/>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1、业务配置：在配置界面选择性定制业务。</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2、信息展示：历史记录，时间展示，公司售后联系方式。</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3、家属会见出监区：在业务后台办理业务的人员进行信息比对。</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4、律师会见出监区：在业务后台办理业务的人员进行信息比对。</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5、提讯出监区：在业务后台办理业务的人员进行信息比对。</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6、提解出监区：在业务后台办理业务的人员进行信息比对。</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7、家属会见回监区：业务后人员再次进行信息比对。</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8、律师会见回监区：业务后人员再次进行信息比对。</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9、提讯出回监区：业务后人员再次进行信息比对。</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10、提解出回监区：业务后人员再次进行信息比对。</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11、全所人员查询：其他比对中可以根据所内分布，快随查找人员信息。</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12、数据同步：数据同步分两类：自动同步和手动同步。自动同步是一小时同步一次新增业务办理信息，手动同步分为出所信息同步和全所人员同步。</w:t>
            </w:r>
          </w:p>
        </w:tc>
        <w:tc>
          <w:tcPr>
            <w:tcW w:w="709" w:type="dxa"/>
            <w:vAlign w:val="center"/>
          </w:tcPr>
          <w:p w14:paraId="67913D2A">
            <w:pPr>
              <w:spacing w:line="276" w:lineRule="auto"/>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1项</w:t>
            </w:r>
          </w:p>
        </w:tc>
        <w:tc>
          <w:tcPr>
            <w:tcW w:w="705" w:type="dxa"/>
            <w:vAlign w:val="center"/>
          </w:tcPr>
          <w:p w14:paraId="502D38E6">
            <w:pPr>
              <w:spacing w:line="276" w:lineRule="auto"/>
              <w:jc w:val="center"/>
              <w:rPr>
                <w:rFonts w:hint="default" w:cs="宋体" w:asciiTheme="minorEastAsia" w:hAnsiTheme="minorEastAsia" w:eastAsiaTheme="minorEastAsia"/>
                <w:color w:val="auto"/>
                <w:sz w:val="24"/>
                <w:szCs w:val="24"/>
                <w:highlight w:val="none"/>
                <w:lang w:val="en-US" w:eastAsia="zh-CN"/>
              </w:rPr>
            </w:pPr>
            <w:r>
              <w:rPr>
                <w:rFonts w:hint="eastAsia" w:cs="宋体" w:asciiTheme="minorEastAsia" w:hAnsiTheme="minorEastAsia" w:eastAsiaTheme="minorEastAsia"/>
                <w:color w:val="auto"/>
                <w:sz w:val="24"/>
                <w:szCs w:val="24"/>
                <w:highlight w:val="none"/>
                <w:lang w:val="en-US" w:eastAsia="zh-CN"/>
              </w:rPr>
              <w:t>8500</w:t>
            </w:r>
            <w:r>
              <w:rPr>
                <w:rFonts w:hint="eastAsia" w:asciiTheme="minorEastAsia" w:hAnsiTheme="minorEastAsia" w:eastAsiaTheme="minorEastAsia"/>
                <w:color w:val="auto"/>
                <w:sz w:val="24"/>
                <w:szCs w:val="24"/>
                <w:highlight w:val="none"/>
                <w:lang w:val="en-US" w:eastAsia="zh-CN"/>
              </w:rPr>
              <w:t>元/台</w:t>
            </w:r>
          </w:p>
        </w:tc>
        <w:tc>
          <w:tcPr>
            <w:tcW w:w="845" w:type="dxa"/>
            <w:vMerge w:val="continue"/>
            <w:vAlign w:val="center"/>
          </w:tcPr>
          <w:p w14:paraId="28EFB99B">
            <w:pPr>
              <w:spacing w:line="276" w:lineRule="auto"/>
              <w:jc w:val="center"/>
              <w:rPr>
                <w:rFonts w:asciiTheme="minorEastAsia" w:hAnsiTheme="minorEastAsia" w:eastAsiaTheme="minorEastAsia"/>
                <w:color w:val="auto"/>
                <w:sz w:val="24"/>
                <w:szCs w:val="24"/>
                <w:highlight w:val="none"/>
              </w:rPr>
            </w:pPr>
          </w:p>
        </w:tc>
      </w:tr>
      <w:tr w14:paraId="1D4AD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311" w:type="dxa"/>
            <w:vAlign w:val="center"/>
          </w:tcPr>
          <w:p w14:paraId="273E67C4">
            <w:pPr>
              <w:spacing w:line="276" w:lineRule="auto"/>
              <w:jc w:val="center"/>
              <w:rPr>
                <w:rFonts w:hint="default" w:cs="宋体" w:asciiTheme="minorEastAsia" w:hAnsiTheme="minorEastAsia" w:eastAsiaTheme="minorEastAsia"/>
                <w:color w:val="auto"/>
                <w:sz w:val="24"/>
                <w:szCs w:val="24"/>
                <w:highlight w:val="none"/>
                <w:lang w:val="en-US" w:eastAsia="zh-CN"/>
              </w:rPr>
            </w:pPr>
            <w:r>
              <w:rPr>
                <w:rFonts w:hint="eastAsia" w:cs="宋体" w:asciiTheme="minorEastAsia" w:hAnsiTheme="minorEastAsia" w:eastAsiaTheme="minorEastAsia"/>
                <w:color w:val="auto"/>
                <w:sz w:val="24"/>
                <w:szCs w:val="24"/>
                <w:highlight w:val="none"/>
                <w:lang w:val="en-US" w:eastAsia="zh-CN"/>
              </w:rPr>
              <w:t>12</w:t>
            </w:r>
          </w:p>
        </w:tc>
        <w:tc>
          <w:tcPr>
            <w:tcW w:w="1080" w:type="dxa"/>
            <w:tcMar>
              <w:top w:w="15" w:type="dxa"/>
              <w:left w:w="15" w:type="dxa"/>
              <w:bottom w:w="0" w:type="dxa"/>
              <w:right w:w="15" w:type="dxa"/>
            </w:tcMar>
            <w:vAlign w:val="center"/>
          </w:tcPr>
          <w:p w14:paraId="71E56AEA">
            <w:pPr>
              <w:spacing w:line="276" w:lineRule="auto"/>
              <w:rPr>
                <w:rFonts w:hint="eastAsia" w:asciiTheme="minorEastAsia" w:hAnsiTheme="minorEastAsia" w:eastAsiaTheme="minorEastAsia"/>
                <w:color w:val="auto"/>
                <w:sz w:val="24"/>
                <w:szCs w:val="24"/>
                <w:highlight w:val="none"/>
              </w:rPr>
            </w:pPr>
            <w:r>
              <w:rPr>
                <w:rFonts w:hint="eastAsia"/>
                <w:color w:val="auto"/>
                <w:sz w:val="24"/>
                <w:szCs w:val="24"/>
                <w:highlight w:val="none"/>
                <w:lang w:val="en-US" w:eastAsia="zh-CN"/>
              </w:rPr>
              <w:t>安装调试</w:t>
            </w:r>
          </w:p>
        </w:tc>
        <w:tc>
          <w:tcPr>
            <w:tcW w:w="6272" w:type="dxa"/>
            <w:vAlign w:val="center"/>
          </w:tcPr>
          <w:p w14:paraId="0048E5F2">
            <w:pPr>
              <w:spacing w:line="276" w:lineRule="auto"/>
              <w:rPr>
                <w:rFonts w:hint="eastAsia" w:asciiTheme="minorEastAsia" w:hAnsiTheme="minorEastAsia" w:eastAsiaTheme="minorEastAsia"/>
                <w:color w:val="auto"/>
                <w:sz w:val="24"/>
                <w:szCs w:val="24"/>
                <w:highlight w:val="none"/>
              </w:rPr>
            </w:pPr>
            <w:r>
              <w:rPr>
                <w:rFonts w:hint="eastAsia"/>
                <w:color w:val="auto"/>
                <w:sz w:val="24"/>
                <w:szCs w:val="24"/>
                <w:highlight w:val="none"/>
                <w:lang w:val="en-US" w:eastAsia="zh-CN"/>
              </w:rPr>
              <w:t>满足以上智能谈话教育系统、防误放系统至正常使用状态，含相关所有附件、材料。</w:t>
            </w:r>
          </w:p>
        </w:tc>
        <w:tc>
          <w:tcPr>
            <w:tcW w:w="709" w:type="dxa"/>
            <w:vAlign w:val="center"/>
          </w:tcPr>
          <w:p w14:paraId="36DAD85D">
            <w:pPr>
              <w:spacing w:line="276" w:lineRule="auto"/>
              <w:jc w:val="center"/>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1批</w:t>
            </w:r>
          </w:p>
        </w:tc>
        <w:tc>
          <w:tcPr>
            <w:tcW w:w="705" w:type="dxa"/>
            <w:vAlign w:val="center"/>
          </w:tcPr>
          <w:p w14:paraId="2DD9D4BE">
            <w:pPr>
              <w:spacing w:line="276" w:lineRule="auto"/>
              <w:jc w:val="center"/>
              <w:rPr>
                <w:rFonts w:hint="default" w:cs="宋体" w:asciiTheme="minorEastAsia" w:hAnsiTheme="minorEastAsia" w:eastAsiaTheme="minorEastAsia"/>
                <w:color w:val="auto"/>
                <w:sz w:val="24"/>
                <w:szCs w:val="24"/>
                <w:highlight w:val="none"/>
                <w:lang w:val="en-US" w:eastAsia="zh-CN"/>
              </w:rPr>
            </w:pPr>
            <w:r>
              <w:rPr>
                <w:rFonts w:hint="eastAsia" w:cs="宋体" w:asciiTheme="minorEastAsia" w:hAnsiTheme="minorEastAsia" w:eastAsiaTheme="minorEastAsia"/>
                <w:color w:val="auto"/>
                <w:sz w:val="24"/>
                <w:szCs w:val="24"/>
                <w:highlight w:val="none"/>
                <w:lang w:val="en-US" w:eastAsia="zh-CN"/>
              </w:rPr>
              <w:t>3500元</w:t>
            </w:r>
          </w:p>
        </w:tc>
        <w:tc>
          <w:tcPr>
            <w:tcW w:w="845" w:type="dxa"/>
            <w:vAlign w:val="center"/>
          </w:tcPr>
          <w:p w14:paraId="2C4E93E5">
            <w:pPr>
              <w:spacing w:line="276" w:lineRule="auto"/>
              <w:jc w:val="center"/>
              <w:rPr>
                <w:rFonts w:asciiTheme="minorEastAsia" w:hAnsiTheme="minorEastAsia" w:eastAsiaTheme="minorEastAsia"/>
                <w:color w:val="auto"/>
                <w:sz w:val="24"/>
                <w:szCs w:val="24"/>
                <w:highlight w:val="none"/>
              </w:rPr>
            </w:pPr>
          </w:p>
        </w:tc>
      </w:tr>
    </w:tbl>
    <w:p w14:paraId="3067FE08">
      <w:pPr>
        <w:widowControl w:val="0"/>
        <w:adjustRightInd w:val="0"/>
        <w:snapToGrid w:val="0"/>
        <w:spacing w:beforeLines="50" w:line="300" w:lineRule="auto"/>
        <w:ind w:firstLine="480" w:firstLineChars="200"/>
        <w:rPr>
          <w:rFonts w:hint="default" w:eastAsia="宋体"/>
          <w:color w:val="auto"/>
          <w:sz w:val="24"/>
          <w:szCs w:val="24"/>
          <w:highlight w:val="none"/>
          <w:lang w:val="en-US" w:eastAsia="zh-CN"/>
        </w:rPr>
      </w:pPr>
      <w:r>
        <w:rPr>
          <w:rFonts w:hint="eastAsia"/>
          <w:color w:val="auto"/>
          <w:sz w:val="24"/>
          <w:szCs w:val="24"/>
          <w:highlight w:val="none"/>
        </w:rPr>
        <w:t>注：</w:t>
      </w:r>
      <w:r>
        <w:rPr>
          <w:rFonts w:hint="eastAsia"/>
          <w:color w:val="auto"/>
          <w:sz w:val="24"/>
          <w:szCs w:val="24"/>
          <w:highlight w:val="none"/>
          <w:lang w:val="en-US" w:eastAsia="zh-CN"/>
        </w:rPr>
        <w:t>1、本次采购智能谈话教育系统、防误放系统均要求安装调试至正常使用状态，含相关所有附件、材料。</w:t>
      </w:r>
    </w:p>
    <w:p w14:paraId="1B22F6C0">
      <w:pPr>
        <w:widowControl w:val="0"/>
        <w:adjustRightInd w:val="0"/>
        <w:snapToGrid w:val="0"/>
        <w:spacing w:beforeLines="50" w:line="300" w:lineRule="auto"/>
        <w:ind w:firstLine="480" w:firstLineChars="200"/>
        <w:rPr>
          <w:rFonts w:hint="eastAsia"/>
          <w:color w:val="auto"/>
          <w:sz w:val="24"/>
          <w:szCs w:val="24"/>
          <w:highlight w:val="none"/>
        </w:rPr>
      </w:pPr>
      <w:r>
        <w:rPr>
          <w:rFonts w:hint="eastAsia"/>
          <w:color w:val="auto"/>
          <w:sz w:val="24"/>
          <w:szCs w:val="24"/>
          <w:highlight w:val="none"/>
          <w:lang w:val="en-US" w:eastAsia="zh-CN"/>
        </w:rPr>
        <w:t>2</w:t>
      </w:r>
      <w:r>
        <w:rPr>
          <w:rFonts w:hint="eastAsia"/>
          <w:color w:val="auto"/>
          <w:sz w:val="24"/>
          <w:szCs w:val="24"/>
          <w:highlight w:val="none"/>
        </w:rPr>
        <w:t>、投标人按照上述各产品（货物）所对应标明的所属行业，判断所投标的各产品（货物）的制造企业是否属该行业（采购文件标明的）的小微企业。</w:t>
      </w:r>
    </w:p>
    <w:p w14:paraId="0C08BBED">
      <w:pPr>
        <w:widowControl w:val="0"/>
        <w:adjustRightInd w:val="0"/>
        <w:snapToGrid w:val="0"/>
        <w:spacing w:beforeLines="50" w:line="300" w:lineRule="auto"/>
        <w:ind w:firstLine="480" w:firstLineChars="200"/>
        <w:rPr>
          <w:rFonts w:hint="eastAsia"/>
          <w:color w:val="auto"/>
          <w:sz w:val="24"/>
          <w:szCs w:val="24"/>
          <w:highlight w:val="none"/>
        </w:rPr>
      </w:pPr>
      <w:r>
        <w:rPr>
          <w:rFonts w:hint="eastAsia"/>
          <w:color w:val="auto"/>
          <w:sz w:val="24"/>
          <w:szCs w:val="24"/>
          <w:highlight w:val="none"/>
        </w:rPr>
        <w:t>提醒：产品(货物）的制造企业不应按照自身的行业属性作为小微企业的判断标准（应按采购文件标明的产品所属行业进行判断）。</w:t>
      </w:r>
    </w:p>
    <w:p w14:paraId="49938CB8">
      <w:pPr>
        <w:widowControl w:val="0"/>
        <w:adjustRightInd w:val="0"/>
        <w:snapToGrid w:val="0"/>
        <w:spacing w:beforeLines="50" w:line="300" w:lineRule="auto"/>
        <w:ind w:firstLine="480" w:firstLineChars="200"/>
        <w:rPr>
          <w:rFonts w:hint="eastAsia"/>
          <w:color w:val="auto"/>
          <w:sz w:val="24"/>
          <w:szCs w:val="24"/>
          <w:highlight w:val="none"/>
        </w:rPr>
      </w:pPr>
      <w:r>
        <w:rPr>
          <w:rFonts w:hint="eastAsia"/>
          <w:color w:val="auto"/>
          <w:sz w:val="24"/>
          <w:szCs w:val="24"/>
          <w:highlight w:val="none"/>
          <w:lang w:val="en-US" w:eastAsia="zh-CN"/>
        </w:rPr>
        <w:t>3</w:t>
      </w:r>
      <w:r>
        <w:rPr>
          <w:rFonts w:hint="eastAsia"/>
          <w:color w:val="auto"/>
          <w:sz w:val="24"/>
          <w:szCs w:val="24"/>
          <w:highlight w:val="none"/>
        </w:rPr>
        <w:t>、本</w:t>
      </w:r>
      <w:r>
        <w:rPr>
          <w:rFonts w:hint="eastAsia"/>
          <w:color w:val="auto"/>
          <w:sz w:val="24"/>
          <w:szCs w:val="24"/>
          <w:highlight w:val="none"/>
          <w:lang w:val="en-US" w:eastAsia="zh-CN"/>
        </w:rPr>
        <w:t>项目</w:t>
      </w:r>
      <w:r>
        <w:rPr>
          <w:rFonts w:hint="eastAsia"/>
          <w:color w:val="auto"/>
          <w:sz w:val="24"/>
          <w:szCs w:val="24"/>
          <w:highlight w:val="none"/>
        </w:rPr>
        <w:t>核心产品为：被监管人员谈话教育系统、管教谈话AI主机、监所防误放人信息系统。</w:t>
      </w:r>
    </w:p>
    <w:p w14:paraId="590BB35C">
      <w:pPr>
        <w:widowControl w:val="0"/>
        <w:adjustRightInd w:val="0"/>
        <w:snapToGrid w:val="0"/>
        <w:spacing w:beforeLines="50" w:line="300" w:lineRule="auto"/>
        <w:ind w:firstLine="480" w:firstLineChars="200"/>
        <w:rPr>
          <w:rFonts w:hint="eastAsia"/>
          <w:color w:val="auto"/>
          <w:sz w:val="24"/>
          <w:szCs w:val="24"/>
          <w:highlight w:val="none"/>
        </w:rPr>
      </w:pPr>
      <w:r>
        <w:rPr>
          <w:rFonts w:hint="eastAsia"/>
          <w:color w:val="auto"/>
          <w:sz w:val="24"/>
          <w:szCs w:val="24"/>
          <w:highlight w:val="none"/>
          <w:lang w:val="en-US" w:eastAsia="zh-CN"/>
        </w:rPr>
        <w:t>4</w:t>
      </w:r>
      <w:r>
        <w:rPr>
          <w:rFonts w:hint="eastAsia"/>
          <w:color w:val="auto"/>
          <w:sz w:val="24"/>
          <w:szCs w:val="24"/>
          <w:highlight w:val="none"/>
        </w:rPr>
        <w:t>、如涉及台式计算机、便携式计算机、一体式计算机、工作站、通用服务器、操作系统、数据库的，按第六章14-2附件要求执行。</w:t>
      </w:r>
    </w:p>
    <w:p w14:paraId="065068F8">
      <w:pPr>
        <w:widowControl w:val="0"/>
        <w:adjustRightInd w:val="0"/>
        <w:snapToGrid w:val="0"/>
        <w:spacing w:beforeLines="50" w:line="300" w:lineRule="auto"/>
        <w:ind w:firstLine="460" w:firstLineChars="192"/>
        <w:rPr>
          <w:rFonts w:ascii="宋体" w:hAnsi="宋体"/>
          <w:color w:val="auto"/>
          <w:sz w:val="24"/>
          <w:szCs w:val="24"/>
          <w:highlight w:val="none"/>
        </w:rPr>
      </w:pPr>
    </w:p>
    <w:p w14:paraId="4617BCB8">
      <w:pPr>
        <w:widowControl w:val="0"/>
        <w:adjustRightInd w:val="0"/>
        <w:snapToGrid w:val="0"/>
        <w:spacing w:beforeLines="50" w:line="300" w:lineRule="auto"/>
        <w:ind w:firstLine="460" w:firstLineChars="192"/>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4</w:t>
      </w:r>
      <w:r>
        <w:rPr>
          <w:rFonts w:ascii="宋体" w:hAnsi="宋体"/>
          <w:color w:val="auto"/>
          <w:sz w:val="24"/>
          <w:szCs w:val="24"/>
          <w:highlight w:val="none"/>
        </w:rPr>
        <w:t xml:space="preserve">.1 </w:t>
      </w:r>
      <w:r>
        <w:rPr>
          <w:rFonts w:hint="eastAsia" w:ascii="宋体" w:hAnsi="宋体"/>
          <w:color w:val="auto"/>
          <w:sz w:val="24"/>
          <w:szCs w:val="24"/>
          <w:highlight w:val="none"/>
        </w:rPr>
        <w:t>应遵循第三章投标人须知</w:t>
      </w:r>
      <w:r>
        <w:rPr>
          <w:rFonts w:ascii="宋体" w:hAnsi="宋体"/>
          <w:color w:val="auto"/>
          <w:sz w:val="24"/>
          <w:szCs w:val="24"/>
          <w:highlight w:val="none"/>
        </w:rPr>
        <w:t>3.7.4</w:t>
      </w:r>
      <w:r>
        <w:rPr>
          <w:rFonts w:hint="eastAsia" w:ascii="宋体" w:hAnsi="宋体"/>
          <w:color w:val="auto"/>
          <w:sz w:val="24"/>
          <w:szCs w:val="24"/>
          <w:highlight w:val="none"/>
        </w:rPr>
        <w:t>项规定。</w:t>
      </w:r>
    </w:p>
    <w:p w14:paraId="5BD64B67">
      <w:pPr>
        <w:widowControl w:val="0"/>
        <w:adjustRightInd w:val="0"/>
        <w:snapToGrid w:val="0"/>
        <w:spacing w:beforeLines="50" w:line="300" w:lineRule="auto"/>
        <w:ind w:firstLine="460" w:firstLineChars="192"/>
        <w:rPr>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4</w:t>
      </w:r>
      <w:r>
        <w:rPr>
          <w:rFonts w:ascii="宋体" w:hAnsi="宋体"/>
          <w:color w:val="auto"/>
          <w:sz w:val="24"/>
          <w:szCs w:val="24"/>
          <w:highlight w:val="none"/>
        </w:rPr>
        <w:t xml:space="preserve">.2 </w:t>
      </w:r>
      <w:r>
        <w:rPr>
          <w:rFonts w:hint="eastAsia" w:ascii="宋体" w:hAnsi="宋体"/>
          <w:color w:val="auto"/>
          <w:sz w:val="24"/>
          <w:szCs w:val="24"/>
          <w:highlight w:val="none"/>
        </w:rPr>
        <w:t>成交供应商负责产品的安装、调试，并</w:t>
      </w:r>
      <w:r>
        <w:rPr>
          <w:rFonts w:hint="eastAsia"/>
          <w:color w:val="auto"/>
          <w:sz w:val="24"/>
          <w:szCs w:val="24"/>
          <w:highlight w:val="none"/>
        </w:rPr>
        <w:t>具备正常使用条件。</w:t>
      </w:r>
    </w:p>
    <w:p w14:paraId="4620742B">
      <w:pPr>
        <w:widowControl w:val="0"/>
        <w:adjustRightInd w:val="0"/>
        <w:snapToGrid w:val="0"/>
        <w:spacing w:beforeLines="50" w:line="300" w:lineRule="auto"/>
        <w:ind w:firstLine="361" w:firstLineChars="150"/>
        <w:rPr>
          <w:rFonts w:ascii="宋体" w:cs="宋体"/>
          <w:b/>
          <w:color w:val="auto"/>
          <w:sz w:val="24"/>
          <w:szCs w:val="24"/>
          <w:highlight w:val="none"/>
        </w:rPr>
      </w:pPr>
    </w:p>
    <w:p w14:paraId="51D64C05">
      <w:pPr>
        <w:adjustRightInd w:val="0"/>
        <w:snapToGrid w:val="0"/>
        <w:spacing w:beforeLines="50" w:line="300" w:lineRule="auto"/>
        <w:ind w:firstLine="482" w:firstLineChars="200"/>
        <w:rPr>
          <w:rFonts w:ascii="黑体" w:hAnsi="黑体" w:eastAsia="黑体"/>
          <w:b/>
          <w:color w:val="auto"/>
          <w:sz w:val="24"/>
          <w:szCs w:val="24"/>
          <w:highlight w:val="none"/>
        </w:rPr>
      </w:pPr>
      <w:r>
        <w:rPr>
          <w:rFonts w:ascii="黑体" w:hAnsi="黑体" w:eastAsia="黑体"/>
          <w:b/>
          <w:color w:val="auto"/>
          <w:sz w:val="24"/>
          <w:szCs w:val="24"/>
          <w:highlight w:val="none"/>
        </w:rPr>
        <w:t>2.</w:t>
      </w:r>
      <w:r>
        <w:rPr>
          <w:rFonts w:hint="eastAsia" w:ascii="黑体" w:hAnsi="黑体" w:eastAsia="黑体"/>
          <w:b/>
          <w:color w:val="auto"/>
          <w:sz w:val="24"/>
          <w:szCs w:val="24"/>
          <w:highlight w:val="none"/>
        </w:rPr>
        <w:t>5安</w:t>
      </w:r>
      <w:r>
        <w:rPr>
          <w:rFonts w:ascii="黑体" w:hAnsi="黑体" w:eastAsia="黑体"/>
          <w:b/>
          <w:color w:val="auto"/>
          <w:sz w:val="24"/>
          <w:szCs w:val="24"/>
          <w:highlight w:val="none"/>
        </w:rPr>
        <w:t>全</w:t>
      </w:r>
    </w:p>
    <w:p w14:paraId="573119F8">
      <w:pPr>
        <w:widowControl w:val="0"/>
        <w:adjustRightInd w:val="0"/>
        <w:snapToGrid w:val="0"/>
        <w:spacing w:beforeLines="50" w:line="300" w:lineRule="auto"/>
        <w:ind w:left="22" w:firstLine="555"/>
        <w:jc w:val="left"/>
        <w:rPr>
          <w:rFonts w:ascii="宋体" w:hAnsi="宋体"/>
          <w:color w:val="auto"/>
          <w:sz w:val="24"/>
          <w:szCs w:val="24"/>
          <w:highlight w:val="none"/>
        </w:rPr>
      </w:pPr>
      <w:r>
        <w:rPr>
          <w:rFonts w:hint="eastAsia" w:ascii="宋体" w:hAnsi="宋体"/>
          <w:color w:val="auto"/>
          <w:sz w:val="24"/>
          <w:szCs w:val="24"/>
          <w:highlight w:val="none"/>
        </w:rPr>
        <w:t>投标产品应符合国家、行业的各</w:t>
      </w:r>
      <w:r>
        <w:rPr>
          <w:rFonts w:ascii="宋体" w:hAnsi="宋体"/>
          <w:color w:val="auto"/>
          <w:sz w:val="24"/>
          <w:szCs w:val="24"/>
          <w:highlight w:val="none"/>
        </w:rPr>
        <w:t>项</w:t>
      </w:r>
      <w:r>
        <w:rPr>
          <w:rFonts w:hint="eastAsia" w:ascii="宋体" w:hAnsi="宋体"/>
          <w:color w:val="auto"/>
          <w:sz w:val="24"/>
          <w:szCs w:val="24"/>
          <w:highlight w:val="none"/>
        </w:rPr>
        <w:t>安全标准，投</w:t>
      </w:r>
      <w:r>
        <w:rPr>
          <w:rFonts w:ascii="宋体" w:hAnsi="宋体"/>
          <w:color w:val="auto"/>
          <w:sz w:val="24"/>
          <w:szCs w:val="24"/>
          <w:highlight w:val="none"/>
        </w:rPr>
        <w:t>标</w:t>
      </w:r>
      <w:r>
        <w:rPr>
          <w:rFonts w:hint="eastAsia" w:ascii="宋体" w:hAnsi="宋体"/>
          <w:color w:val="auto"/>
          <w:sz w:val="24"/>
          <w:szCs w:val="24"/>
          <w:highlight w:val="none"/>
        </w:rPr>
        <w:t>人</w:t>
      </w:r>
      <w:r>
        <w:rPr>
          <w:rFonts w:ascii="宋体" w:hAnsi="宋体"/>
          <w:color w:val="auto"/>
          <w:sz w:val="24"/>
          <w:szCs w:val="24"/>
          <w:highlight w:val="none"/>
        </w:rPr>
        <w:t>对</w:t>
      </w:r>
      <w:r>
        <w:rPr>
          <w:rFonts w:hint="eastAsia" w:ascii="宋体" w:hAnsi="宋体"/>
          <w:color w:val="auto"/>
          <w:sz w:val="24"/>
          <w:szCs w:val="24"/>
          <w:highlight w:val="none"/>
        </w:rPr>
        <w:t>投标产品的</w:t>
      </w:r>
      <w:r>
        <w:rPr>
          <w:rFonts w:ascii="宋体" w:hAnsi="宋体"/>
          <w:color w:val="auto"/>
          <w:sz w:val="24"/>
          <w:szCs w:val="24"/>
          <w:highlight w:val="none"/>
        </w:rPr>
        <w:t>安全性承担全部责任。</w:t>
      </w:r>
      <w:r>
        <w:rPr>
          <w:rFonts w:hint="eastAsia" w:ascii="宋体" w:hAnsi="宋体"/>
          <w:color w:val="auto"/>
          <w:sz w:val="24"/>
          <w:szCs w:val="24"/>
          <w:highlight w:val="none"/>
        </w:rPr>
        <w:t>生产或销售不符合保障人身、财产安全的国家标准、行业标准的产品，将</w:t>
      </w:r>
      <w:r>
        <w:rPr>
          <w:rFonts w:ascii="宋体" w:hAnsi="宋体"/>
          <w:color w:val="auto"/>
          <w:sz w:val="24"/>
          <w:szCs w:val="24"/>
          <w:highlight w:val="none"/>
        </w:rPr>
        <w:t>依法承担民事及相应刑事责任</w:t>
      </w:r>
      <w:r>
        <w:rPr>
          <w:rFonts w:hint="eastAsia" w:ascii="宋体" w:hAnsi="宋体"/>
          <w:color w:val="auto"/>
          <w:sz w:val="24"/>
          <w:szCs w:val="24"/>
          <w:highlight w:val="none"/>
        </w:rPr>
        <w:t>。合</w:t>
      </w:r>
      <w:r>
        <w:rPr>
          <w:rFonts w:ascii="宋体" w:hAnsi="宋体"/>
          <w:color w:val="auto"/>
          <w:sz w:val="24"/>
          <w:szCs w:val="24"/>
          <w:highlight w:val="none"/>
        </w:rPr>
        <w:t>同履行中的安全责任由</w:t>
      </w:r>
      <w:r>
        <w:rPr>
          <w:rFonts w:hint="eastAsia"/>
          <w:color w:val="auto"/>
          <w:sz w:val="24"/>
          <w:szCs w:val="24"/>
          <w:highlight w:val="none"/>
        </w:rPr>
        <w:t>成交供应商</w:t>
      </w:r>
      <w:r>
        <w:rPr>
          <w:rFonts w:ascii="宋体" w:hAnsi="宋体"/>
          <w:color w:val="auto"/>
          <w:sz w:val="24"/>
          <w:szCs w:val="24"/>
          <w:highlight w:val="none"/>
        </w:rPr>
        <w:t>承担全部责任。</w:t>
      </w:r>
    </w:p>
    <w:p w14:paraId="1030F8DE">
      <w:pPr>
        <w:adjustRightInd w:val="0"/>
        <w:snapToGrid w:val="0"/>
        <w:spacing w:beforeLines="50" w:line="300" w:lineRule="auto"/>
        <w:ind w:firstLine="482" w:firstLineChars="200"/>
        <w:rPr>
          <w:rFonts w:ascii="黑体" w:hAnsi="黑体" w:eastAsia="黑体"/>
          <w:b/>
          <w:color w:val="auto"/>
          <w:sz w:val="24"/>
          <w:szCs w:val="24"/>
          <w:highlight w:val="none"/>
        </w:rPr>
      </w:pPr>
      <w:r>
        <w:rPr>
          <w:rFonts w:ascii="黑体" w:hAnsi="黑体" w:eastAsia="黑体"/>
          <w:b/>
          <w:color w:val="auto"/>
          <w:sz w:val="24"/>
          <w:szCs w:val="24"/>
          <w:highlight w:val="none"/>
        </w:rPr>
        <w:t>2.</w:t>
      </w:r>
      <w:r>
        <w:rPr>
          <w:rFonts w:hint="eastAsia" w:ascii="黑体" w:hAnsi="黑体" w:eastAsia="黑体"/>
          <w:b/>
          <w:color w:val="auto"/>
          <w:sz w:val="24"/>
          <w:szCs w:val="24"/>
          <w:highlight w:val="none"/>
        </w:rPr>
        <w:t>6投</w:t>
      </w:r>
      <w:r>
        <w:rPr>
          <w:rFonts w:ascii="黑体" w:hAnsi="黑体" w:eastAsia="黑体"/>
          <w:b/>
          <w:color w:val="auto"/>
          <w:sz w:val="24"/>
          <w:szCs w:val="24"/>
          <w:highlight w:val="none"/>
        </w:rPr>
        <w:t>标文件</w:t>
      </w:r>
      <w:r>
        <w:rPr>
          <w:rFonts w:hint="eastAsia" w:ascii="黑体" w:hAnsi="黑体" w:eastAsia="黑体"/>
          <w:b/>
          <w:color w:val="auto"/>
          <w:sz w:val="24"/>
          <w:szCs w:val="24"/>
          <w:highlight w:val="none"/>
        </w:rPr>
        <w:t>对“基本技术要求”的</w:t>
      </w:r>
      <w:r>
        <w:rPr>
          <w:rFonts w:ascii="黑体" w:hAnsi="黑体" w:eastAsia="黑体"/>
          <w:b/>
          <w:color w:val="auto"/>
          <w:sz w:val="24"/>
          <w:szCs w:val="24"/>
          <w:highlight w:val="none"/>
        </w:rPr>
        <w:t>响应</w:t>
      </w:r>
    </w:p>
    <w:p w14:paraId="35C66101">
      <w:pPr>
        <w:widowControl w:val="0"/>
        <w:adjustRightInd w:val="0"/>
        <w:snapToGrid w:val="0"/>
        <w:spacing w:beforeLines="50" w:line="300" w:lineRule="auto"/>
        <w:ind w:left="22" w:firstLine="555"/>
        <w:jc w:val="left"/>
        <w:rPr>
          <w:rFonts w:ascii="宋体" w:hAnsi="宋体"/>
          <w:color w:val="auto"/>
          <w:sz w:val="24"/>
          <w:szCs w:val="24"/>
          <w:highlight w:val="none"/>
        </w:rPr>
      </w:pPr>
      <w:r>
        <w:rPr>
          <w:rFonts w:hint="eastAsia" w:ascii="宋体" w:hAnsi="宋体"/>
          <w:color w:val="auto"/>
          <w:sz w:val="24"/>
          <w:szCs w:val="24"/>
          <w:highlight w:val="none"/>
        </w:rPr>
        <w:t>“基本技术要求”为采购</w:t>
      </w:r>
      <w:r>
        <w:rPr>
          <w:rFonts w:ascii="宋体" w:hAnsi="宋体"/>
          <w:color w:val="auto"/>
          <w:sz w:val="24"/>
          <w:szCs w:val="24"/>
          <w:highlight w:val="none"/>
        </w:rPr>
        <w:t>需求的</w:t>
      </w:r>
      <w:r>
        <w:rPr>
          <w:rFonts w:hint="eastAsia" w:ascii="宋体" w:hAnsi="宋体"/>
          <w:color w:val="auto"/>
          <w:sz w:val="24"/>
          <w:szCs w:val="24"/>
          <w:highlight w:val="none"/>
        </w:rPr>
        <w:t>基础</w:t>
      </w:r>
      <w:r>
        <w:rPr>
          <w:rFonts w:ascii="宋体" w:hAnsi="宋体"/>
          <w:color w:val="auto"/>
          <w:sz w:val="24"/>
          <w:szCs w:val="24"/>
          <w:highlight w:val="none"/>
        </w:rPr>
        <w:t>性</w:t>
      </w:r>
      <w:r>
        <w:rPr>
          <w:rFonts w:hint="eastAsia" w:ascii="宋体" w:hAnsi="宋体"/>
          <w:color w:val="auto"/>
          <w:sz w:val="24"/>
          <w:szCs w:val="24"/>
          <w:highlight w:val="none"/>
        </w:rPr>
        <w:t>要求，投</w:t>
      </w:r>
      <w:r>
        <w:rPr>
          <w:rFonts w:ascii="宋体" w:hAnsi="宋体"/>
          <w:color w:val="auto"/>
          <w:sz w:val="24"/>
          <w:szCs w:val="24"/>
          <w:highlight w:val="none"/>
        </w:rPr>
        <w:t>标产品应当明确，</w:t>
      </w:r>
      <w:r>
        <w:rPr>
          <w:rFonts w:hint="eastAsia" w:ascii="宋体" w:hAnsi="宋体"/>
          <w:color w:val="auto"/>
          <w:sz w:val="24"/>
          <w:szCs w:val="24"/>
          <w:highlight w:val="none"/>
        </w:rPr>
        <w:t>投</w:t>
      </w:r>
      <w:r>
        <w:rPr>
          <w:rFonts w:ascii="宋体" w:hAnsi="宋体"/>
          <w:color w:val="auto"/>
          <w:sz w:val="24"/>
          <w:szCs w:val="24"/>
          <w:highlight w:val="none"/>
        </w:rPr>
        <w:t>标</w:t>
      </w:r>
      <w:r>
        <w:rPr>
          <w:rFonts w:hint="eastAsia" w:ascii="宋体" w:hAnsi="宋体"/>
          <w:color w:val="auto"/>
          <w:sz w:val="24"/>
          <w:szCs w:val="24"/>
          <w:highlight w:val="none"/>
        </w:rPr>
        <w:t>技术参数应最</w:t>
      </w:r>
      <w:r>
        <w:rPr>
          <w:rFonts w:ascii="宋体" w:hAnsi="宋体"/>
          <w:color w:val="auto"/>
          <w:sz w:val="24"/>
          <w:szCs w:val="24"/>
          <w:highlight w:val="none"/>
        </w:rPr>
        <w:t>终指向具体明确的产</w:t>
      </w:r>
      <w:r>
        <w:rPr>
          <w:rFonts w:hint="eastAsia" w:ascii="宋体" w:hAnsi="宋体"/>
          <w:color w:val="auto"/>
          <w:sz w:val="24"/>
          <w:szCs w:val="24"/>
          <w:highlight w:val="none"/>
        </w:rPr>
        <w:t>品。投</w:t>
      </w:r>
      <w:r>
        <w:rPr>
          <w:rFonts w:ascii="宋体" w:hAnsi="宋体"/>
          <w:color w:val="auto"/>
          <w:sz w:val="24"/>
          <w:szCs w:val="24"/>
          <w:highlight w:val="none"/>
        </w:rPr>
        <w:t>标</w:t>
      </w:r>
      <w:r>
        <w:rPr>
          <w:rFonts w:hint="eastAsia" w:ascii="宋体" w:hAnsi="宋体"/>
          <w:color w:val="auto"/>
          <w:sz w:val="24"/>
          <w:szCs w:val="24"/>
          <w:highlight w:val="none"/>
        </w:rPr>
        <w:t>文</w:t>
      </w:r>
      <w:r>
        <w:rPr>
          <w:rFonts w:ascii="宋体" w:hAnsi="宋体"/>
          <w:color w:val="auto"/>
          <w:sz w:val="24"/>
          <w:szCs w:val="24"/>
          <w:highlight w:val="none"/>
        </w:rPr>
        <w:t>件</w:t>
      </w:r>
      <w:r>
        <w:rPr>
          <w:rFonts w:hint="eastAsia" w:ascii="宋体" w:hAnsi="宋体"/>
          <w:color w:val="auto"/>
          <w:sz w:val="24"/>
          <w:szCs w:val="24"/>
          <w:highlight w:val="none"/>
        </w:rPr>
        <w:t>技术参数抄袭谈判文件“基本技术要求”，投</w:t>
      </w:r>
      <w:r>
        <w:rPr>
          <w:rFonts w:ascii="宋体" w:hAnsi="宋体"/>
          <w:color w:val="auto"/>
          <w:sz w:val="24"/>
          <w:szCs w:val="24"/>
          <w:highlight w:val="none"/>
        </w:rPr>
        <w:t>标产品</w:t>
      </w:r>
      <w:r>
        <w:rPr>
          <w:rFonts w:hint="eastAsia" w:ascii="宋体" w:hAnsi="宋体"/>
          <w:color w:val="auto"/>
          <w:sz w:val="24"/>
          <w:szCs w:val="24"/>
          <w:highlight w:val="none"/>
        </w:rPr>
        <w:t>不</w:t>
      </w:r>
      <w:r>
        <w:rPr>
          <w:rFonts w:ascii="宋体" w:hAnsi="宋体"/>
          <w:color w:val="auto"/>
          <w:sz w:val="24"/>
          <w:szCs w:val="24"/>
          <w:highlight w:val="none"/>
        </w:rPr>
        <w:t>明确</w:t>
      </w:r>
      <w:r>
        <w:rPr>
          <w:rFonts w:hint="eastAsia" w:ascii="宋体" w:hAnsi="宋体"/>
          <w:color w:val="auto"/>
          <w:sz w:val="24"/>
          <w:szCs w:val="24"/>
          <w:highlight w:val="none"/>
        </w:rPr>
        <w:t>的</w:t>
      </w:r>
      <w:r>
        <w:rPr>
          <w:rFonts w:ascii="宋体" w:hAnsi="宋体"/>
          <w:color w:val="auto"/>
          <w:sz w:val="24"/>
          <w:szCs w:val="24"/>
          <w:highlight w:val="none"/>
        </w:rPr>
        <w:t>、或</w:t>
      </w:r>
      <w:r>
        <w:rPr>
          <w:rFonts w:hint="eastAsia" w:ascii="宋体" w:hAnsi="宋体"/>
          <w:color w:val="auto"/>
          <w:sz w:val="24"/>
          <w:szCs w:val="24"/>
          <w:highlight w:val="none"/>
        </w:rPr>
        <w:t>与投</w:t>
      </w:r>
      <w:r>
        <w:rPr>
          <w:rFonts w:ascii="宋体" w:hAnsi="宋体"/>
          <w:color w:val="auto"/>
          <w:sz w:val="24"/>
          <w:szCs w:val="24"/>
          <w:highlight w:val="none"/>
        </w:rPr>
        <w:t>标产品</w:t>
      </w:r>
      <w:r>
        <w:rPr>
          <w:rFonts w:hint="eastAsia" w:ascii="宋体" w:hAnsi="宋体"/>
          <w:color w:val="auto"/>
          <w:sz w:val="24"/>
          <w:szCs w:val="24"/>
          <w:highlight w:val="none"/>
        </w:rPr>
        <w:t>不</w:t>
      </w:r>
      <w:r>
        <w:rPr>
          <w:rFonts w:ascii="宋体" w:hAnsi="宋体"/>
          <w:color w:val="auto"/>
          <w:sz w:val="24"/>
          <w:szCs w:val="24"/>
          <w:highlight w:val="none"/>
        </w:rPr>
        <w:t>一致</w:t>
      </w:r>
      <w:r>
        <w:rPr>
          <w:rFonts w:hint="eastAsia" w:ascii="宋体" w:hAnsi="宋体"/>
          <w:color w:val="auto"/>
          <w:sz w:val="24"/>
          <w:szCs w:val="24"/>
          <w:highlight w:val="none"/>
        </w:rPr>
        <w:t>的</w:t>
      </w:r>
      <w:r>
        <w:rPr>
          <w:rFonts w:ascii="宋体" w:hAnsi="宋体"/>
          <w:color w:val="auto"/>
          <w:sz w:val="24"/>
          <w:szCs w:val="24"/>
          <w:highlight w:val="none"/>
        </w:rPr>
        <w:t>，</w:t>
      </w:r>
      <w:r>
        <w:rPr>
          <w:rFonts w:hint="eastAsia" w:ascii="宋体" w:hAnsi="宋体"/>
          <w:color w:val="auto"/>
          <w:sz w:val="24"/>
          <w:szCs w:val="24"/>
          <w:highlight w:val="none"/>
        </w:rPr>
        <w:t>谈判小组有权按照实质性判断原则评定其为无效投标。</w:t>
      </w:r>
    </w:p>
    <w:p w14:paraId="534EDB61">
      <w:pPr>
        <w:adjustRightInd w:val="0"/>
        <w:snapToGrid w:val="0"/>
        <w:spacing w:beforeLines="50" w:line="300" w:lineRule="auto"/>
        <w:ind w:firstLine="482" w:firstLineChars="200"/>
        <w:rPr>
          <w:rFonts w:ascii="黑体" w:hAnsi="黑体" w:eastAsia="黑体"/>
          <w:b/>
          <w:color w:val="auto"/>
          <w:sz w:val="24"/>
          <w:szCs w:val="24"/>
          <w:highlight w:val="none"/>
        </w:rPr>
      </w:pPr>
      <w:r>
        <w:rPr>
          <w:rFonts w:ascii="黑体" w:hAnsi="黑体" w:eastAsia="黑体"/>
          <w:b/>
          <w:color w:val="auto"/>
          <w:sz w:val="24"/>
          <w:szCs w:val="24"/>
          <w:highlight w:val="none"/>
        </w:rPr>
        <w:t>2.</w:t>
      </w:r>
      <w:r>
        <w:rPr>
          <w:rFonts w:hint="eastAsia" w:ascii="黑体" w:hAnsi="黑体" w:eastAsia="黑体"/>
          <w:b/>
          <w:color w:val="auto"/>
          <w:sz w:val="24"/>
          <w:szCs w:val="24"/>
          <w:highlight w:val="none"/>
        </w:rPr>
        <w:t>7技术偏离</w:t>
      </w:r>
    </w:p>
    <w:p w14:paraId="5BBE7D50">
      <w:pPr>
        <w:widowControl w:val="0"/>
        <w:adjustRightInd w:val="0"/>
        <w:snapToGrid w:val="0"/>
        <w:spacing w:beforeLines="50" w:line="300" w:lineRule="auto"/>
        <w:ind w:left="22" w:firstLine="555"/>
        <w:jc w:val="left"/>
        <w:rPr>
          <w:color w:val="auto"/>
          <w:sz w:val="24"/>
          <w:szCs w:val="24"/>
          <w:highlight w:val="none"/>
        </w:rPr>
      </w:pPr>
      <w:r>
        <w:rPr>
          <w:color w:val="auto"/>
          <w:sz w:val="24"/>
          <w:szCs w:val="24"/>
          <w:highlight w:val="none"/>
        </w:rPr>
        <w:t>2.</w:t>
      </w:r>
      <w:r>
        <w:rPr>
          <w:rFonts w:hint="eastAsia"/>
          <w:color w:val="auto"/>
          <w:sz w:val="24"/>
          <w:szCs w:val="24"/>
          <w:highlight w:val="none"/>
        </w:rPr>
        <w:t>7</w:t>
      </w:r>
      <w:r>
        <w:rPr>
          <w:color w:val="auto"/>
          <w:sz w:val="24"/>
          <w:szCs w:val="24"/>
          <w:highlight w:val="none"/>
        </w:rPr>
        <w:t xml:space="preserve">.1 </w:t>
      </w:r>
      <w:r>
        <w:rPr>
          <w:rFonts w:hint="eastAsia"/>
          <w:color w:val="auto"/>
          <w:sz w:val="24"/>
          <w:szCs w:val="24"/>
          <w:highlight w:val="none"/>
        </w:rPr>
        <w:t>“基本技术要求”列示的参数、规格为基础</w:t>
      </w:r>
      <w:r>
        <w:rPr>
          <w:color w:val="auto"/>
          <w:sz w:val="24"/>
          <w:szCs w:val="24"/>
          <w:highlight w:val="none"/>
        </w:rPr>
        <w:t>性</w:t>
      </w:r>
      <w:r>
        <w:rPr>
          <w:rFonts w:hint="eastAsia"/>
          <w:color w:val="auto"/>
          <w:sz w:val="24"/>
          <w:szCs w:val="24"/>
          <w:highlight w:val="none"/>
        </w:rPr>
        <w:t>要求，投标人可提供质量性能参数相等或优于的其他产品；投</w:t>
      </w:r>
      <w:r>
        <w:rPr>
          <w:color w:val="auto"/>
          <w:sz w:val="24"/>
          <w:szCs w:val="24"/>
          <w:highlight w:val="none"/>
        </w:rPr>
        <w:t>标产品的</w:t>
      </w:r>
      <w:r>
        <w:rPr>
          <w:rFonts w:hint="eastAsia"/>
          <w:color w:val="auto"/>
          <w:sz w:val="24"/>
          <w:szCs w:val="24"/>
          <w:highlight w:val="none"/>
        </w:rPr>
        <w:t>规格参数与“基本技术要求”不</w:t>
      </w:r>
      <w:r>
        <w:rPr>
          <w:color w:val="auto"/>
          <w:sz w:val="24"/>
          <w:szCs w:val="24"/>
          <w:highlight w:val="none"/>
        </w:rPr>
        <w:t>同</w:t>
      </w:r>
      <w:r>
        <w:rPr>
          <w:rFonts w:hint="eastAsia"/>
          <w:color w:val="auto"/>
          <w:sz w:val="24"/>
          <w:szCs w:val="24"/>
          <w:highlight w:val="none"/>
        </w:rPr>
        <w:t>、</w:t>
      </w:r>
      <w:r>
        <w:rPr>
          <w:color w:val="auto"/>
          <w:sz w:val="24"/>
          <w:szCs w:val="24"/>
          <w:highlight w:val="none"/>
        </w:rPr>
        <w:t>且</w:t>
      </w:r>
      <w:r>
        <w:rPr>
          <w:rFonts w:hint="eastAsia"/>
          <w:color w:val="auto"/>
          <w:sz w:val="24"/>
          <w:szCs w:val="24"/>
          <w:highlight w:val="none"/>
        </w:rPr>
        <w:t>投标人认</w:t>
      </w:r>
      <w:r>
        <w:rPr>
          <w:color w:val="auto"/>
          <w:sz w:val="24"/>
          <w:szCs w:val="24"/>
          <w:highlight w:val="none"/>
        </w:rPr>
        <w:t>为</w:t>
      </w:r>
      <w:r>
        <w:rPr>
          <w:rFonts w:hint="eastAsia"/>
          <w:color w:val="auto"/>
          <w:sz w:val="24"/>
          <w:szCs w:val="24"/>
          <w:highlight w:val="none"/>
        </w:rPr>
        <w:t>投</w:t>
      </w:r>
      <w:r>
        <w:rPr>
          <w:color w:val="auto"/>
          <w:sz w:val="24"/>
          <w:szCs w:val="24"/>
          <w:highlight w:val="none"/>
        </w:rPr>
        <w:t>标产品的</w:t>
      </w:r>
      <w:r>
        <w:rPr>
          <w:rFonts w:hint="eastAsia"/>
          <w:color w:val="auto"/>
          <w:sz w:val="24"/>
          <w:szCs w:val="24"/>
          <w:highlight w:val="none"/>
        </w:rPr>
        <w:t>规格参数等</w:t>
      </w:r>
      <w:r>
        <w:rPr>
          <w:color w:val="auto"/>
          <w:sz w:val="24"/>
          <w:szCs w:val="24"/>
          <w:highlight w:val="none"/>
        </w:rPr>
        <w:t>于或优于</w:t>
      </w:r>
      <w:r>
        <w:rPr>
          <w:rFonts w:hint="eastAsia"/>
          <w:color w:val="auto"/>
          <w:sz w:val="24"/>
          <w:szCs w:val="24"/>
          <w:highlight w:val="none"/>
        </w:rPr>
        <w:t>“基本技术要求”的</w:t>
      </w:r>
      <w:r>
        <w:rPr>
          <w:color w:val="auto"/>
          <w:sz w:val="24"/>
          <w:szCs w:val="24"/>
          <w:highlight w:val="none"/>
        </w:rPr>
        <w:t>，</w:t>
      </w:r>
      <w:r>
        <w:rPr>
          <w:rFonts w:hint="eastAsia"/>
          <w:color w:val="auto"/>
          <w:sz w:val="24"/>
          <w:szCs w:val="24"/>
          <w:highlight w:val="none"/>
        </w:rPr>
        <w:t>投标人应提供相关证明材料（如权威评测资料、及印刷品产品说明书或印刷品图册等）以供谈判小组评审投标产品是</w:t>
      </w:r>
      <w:r>
        <w:rPr>
          <w:color w:val="auto"/>
          <w:sz w:val="24"/>
          <w:szCs w:val="24"/>
          <w:highlight w:val="none"/>
        </w:rPr>
        <w:t>否</w:t>
      </w:r>
      <w:r>
        <w:rPr>
          <w:rFonts w:hint="eastAsia"/>
          <w:color w:val="auto"/>
          <w:sz w:val="24"/>
          <w:szCs w:val="24"/>
          <w:highlight w:val="none"/>
        </w:rPr>
        <w:t>等于或优于“基本技术要求”、从而</w:t>
      </w:r>
      <w:r>
        <w:rPr>
          <w:color w:val="auto"/>
          <w:sz w:val="24"/>
          <w:szCs w:val="24"/>
          <w:highlight w:val="none"/>
        </w:rPr>
        <w:t>评定</w:t>
      </w:r>
      <w:r>
        <w:rPr>
          <w:rFonts w:hint="eastAsia"/>
          <w:color w:val="auto"/>
          <w:sz w:val="24"/>
          <w:szCs w:val="24"/>
          <w:highlight w:val="none"/>
        </w:rPr>
        <w:t>投标产品是</w:t>
      </w:r>
      <w:r>
        <w:rPr>
          <w:color w:val="auto"/>
          <w:sz w:val="24"/>
          <w:szCs w:val="24"/>
          <w:highlight w:val="none"/>
        </w:rPr>
        <w:t>否</w:t>
      </w:r>
      <w:r>
        <w:rPr>
          <w:rFonts w:hint="eastAsia"/>
          <w:color w:val="auto"/>
          <w:sz w:val="24"/>
          <w:szCs w:val="24"/>
          <w:highlight w:val="none"/>
        </w:rPr>
        <w:t>满</w:t>
      </w:r>
      <w:r>
        <w:rPr>
          <w:color w:val="auto"/>
          <w:sz w:val="24"/>
          <w:szCs w:val="24"/>
          <w:highlight w:val="none"/>
        </w:rPr>
        <w:t>足</w:t>
      </w:r>
      <w:r>
        <w:rPr>
          <w:rFonts w:hint="eastAsia"/>
          <w:color w:val="auto"/>
          <w:sz w:val="24"/>
          <w:szCs w:val="24"/>
          <w:highlight w:val="none"/>
        </w:rPr>
        <w:t>“基本技术要求”。</w:t>
      </w:r>
    </w:p>
    <w:p w14:paraId="7B2E54F9">
      <w:pPr>
        <w:widowControl w:val="0"/>
        <w:adjustRightInd w:val="0"/>
        <w:snapToGrid w:val="0"/>
        <w:spacing w:beforeLines="50" w:line="300" w:lineRule="auto"/>
        <w:ind w:left="22" w:firstLine="555"/>
        <w:jc w:val="left"/>
        <w:rPr>
          <w:color w:val="auto"/>
          <w:sz w:val="24"/>
          <w:szCs w:val="24"/>
          <w:highlight w:val="none"/>
        </w:rPr>
      </w:pPr>
      <w:r>
        <w:rPr>
          <w:rFonts w:hint="eastAsia"/>
          <w:color w:val="auto"/>
          <w:sz w:val="24"/>
          <w:szCs w:val="24"/>
          <w:highlight w:val="none"/>
        </w:rPr>
        <w:t xml:space="preserve"> “基本技术要求”列示的参数、规格为区</w:t>
      </w:r>
      <w:r>
        <w:rPr>
          <w:color w:val="auto"/>
          <w:sz w:val="24"/>
          <w:szCs w:val="24"/>
          <w:highlight w:val="none"/>
        </w:rPr>
        <w:t>间性描述的，</w:t>
      </w:r>
      <w:r>
        <w:rPr>
          <w:rFonts w:hint="eastAsia"/>
          <w:color w:val="auto"/>
          <w:sz w:val="24"/>
          <w:szCs w:val="24"/>
          <w:highlight w:val="none"/>
        </w:rPr>
        <w:t>投</w:t>
      </w:r>
      <w:r>
        <w:rPr>
          <w:color w:val="auto"/>
          <w:sz w:val="24"/>
          <w:szCs w:val="24"/>
          <w:highlight w:val="none"/>
        </w:rPr>
        <w:t>标产品</w:t>
      </w:r>
      <w:r>
        <w:rPr>
          <w:rFonts w:hint="eastAsia"/>
          <w:color w:val="auto"/>
          <w:sz w:val="24"/>
          <w:szCs w:val="24"/>
          <w:highlight w:val="none"/>
        </w:rPr>
        <w:t>参数规格</w:t>
      </w:r>
      <w:r>
        <w:rPr>
          <w:color w:val="auto"/>
          <w:sz w:val="24"/>
          <w:szCs w:val="24"/>
          <w:highlight w:val="none"/>
        </w:rPr>
        <w:t>在此区间内的</w:t>
      </w:r>
      <w:r>
        <w:rPr>
          <w:rFonts w:hint="eastAsia"/>
          <w:color w:val="auto"/>
          <w:sz w:val="24"/>
          <w:szCs w:val="24"/>
          <w:highlight w:val="none"/>
        </w:rPr>
        <w:t>、则</w:t>
      </w:r>
      <w:r>
        <w:rPr>
          <w:color w:val="auto"/>
          <w:sz w:val="24"/>
          <w:szCs w:val="24"/>
          <w:highlight w:val="none"/>
        </w:rPr>
        <w:t>显见的为</w:t>
      </w:r>
      <w:r>
        <w:rPr>
          <w:rFonts w:hint="eastAsia"/>
          <w:color w:val="auto"/>
          <w:sz w:val="24"/>
          <w:szCs w:val="24"/>
          <w:highlight w:val="none"/>
        </w:rPr>
        <w:t>符</w:t>
      </w:r>
      <w:r>
        <w:rPr>
          <w:color w:val="auto"/>
          <w:sz w:val="24"/>
          <w:szCs w:val="24"/>
          <w:highlight w:val="none"/>
        </w:rPr>
        <w:t>合</w:t>
      </w:r>
      <w:r>
        <w:rPr>
          <w:rFonts w:hint="eastAsia"/>
          <w:color w:val="auto"/>
          <w:sz w:val="24"/>
          <w:szCs w:val="24"/>
          <w:highlight w:val="none"/>
        </w:rPr>
        <w:t>“基本技术要求”。</w:t>
      </w:r>
    </w:p>
    <w:p w14:paraId="78DBF2E1">
      <w:pPr>
        <w:widowControl w:val="0"/>
        <w:adjustRightInd w:val="0"/>
        <w:snapToGrid w:val="0"/>
        <w:spacing w:beforeLines="50" w:line="300" w:lineRule="auto"/>
        <w:ind w:left="22" w:firstLine="555"/>
        <w:jc w:val="left"/>
        <w:rPr>
          <w:color w:val="auto"/>
          <w:sz w:val="24"/>
          <w:szCs w:val="24"/>
          <w:highlight w:val="none"/>
        </w:rPr>
      </w:pPr>
      <w:r>
        <w:rPr>
          <w:color w:val="auto"/>
          <w:sz w:val="24"/>
          <w:szCs w:val="24"/>
          <w:highlight w:val="none"/>
        </w:rPr>
        <w:t>如</w:t>
      </w:r>
      <w:r>
        <w:rPr>
          <w:rFonts w:hint="eastAsia"/>
          <w:color w:val="auto"/>
          <w:sz w:val="24"/>
          <w:szCs w:val="24"/>
          <w:highlight w:val="none"/>
        </w:rPr>
        <w:t>“基本技术要求”中列示有品牌</w:t>
      </w:r>
      <w:r>
        <w:rPr>
          <w:color w:val="auto"/>
          <w:sz w:val="24"/>
          <w:szCs w:val="24"/>
          <w:highlight w:val="none"/>
        </w:rPr>
        <w:t>、</w:t>
      </w:r>
      <w:r>
        <w:rPr>
          <w:rFonts w:hint="eastAsia"/>
          <w:color w:val="auto"/>
          <w:sz w:val="24"/>
          <w:szCs w:val="24"/>
          <w:highlight w:val="none"/>
        </w:rPr>
        <w:t>型号、生</w:t>
      </w:r>
      <w:r>
        <w:rPr>
          <w:color w:val="auto"/>
          <w:sz w:val="24"/>
          <w:szCs w:val="24"/>
          <w:highlight w:val="none"/>
        </w:rPr>
        <w:t>产供应商名称</w:t>
      </w:r>
      <w:r>
        <w:rPr>
          <w:rFonts w:hint="eastAsia"/>
          <w:color w:val="auto"/>
          <w:sz w:val="24"/>
          <w:szCs w:val="24"/>
          <w:highlight w:val="none"/>
        </w:rPr>
        <w:t>、</w:t>
      </w:r>
      <w:r>
        <w:rPr>
          <w:color w:val="auto"/>
          <w:sz w:val="24"/>
          <w:szCs w:val="24"/>
          <w:highlight w:val="none"/>
        </w:rPr>
        <w:t>专利、商标</w:t>
      </w:r>
      <w:r>
        <w:rPr>
          <w:rFonts w:hint="eastAsia"/>
          <w:color w:val="auto"/>
          <w:sz w:val="24"/>
          <w:szCs w:val="24"/>
          <w:highlight w:val="none"/>
        </w:rPr>
        <w:t>的</w:t>
      </w:r>
      <w:r>
        <w:rPr>
          <w:color w:val="auto"/>
          <w:sz w:val="24"/>
          <w:szCs w:val="24"/>
          <w:highlight w:val="none"/>
        </w:rPr>
        <w:t>，</w:t>
      </w:r>
      <w:r>
        <w:rPr>
          <w:rFonts w:hint="eastAsia"/>
          <w:color w:val="auto"/>
          <w:sz w:val="24"/>
          <w:szCs w:val="24"/>
          <w:highlight w:val="none"/>
        </w:rPr>
        <w:t>均为“参</w:t>
      </w:r>
      <w:r>
        <w:rPr>
          <w:color w:val="auto"/>
          <w:sz w:val="24"/>
          <w:szCs w:val="24"/>
          <w:highlight w:val="none"/>
        </w:rPr>
        <w:t>照或相当于</w:t>
      </w:r>
      <w:r>
        <w:rPr>
          <w:rFonts w:hint="eastAsia"/>
          <w:color w:val="auto"/>
          <w:sz w:val="24"/>
          <w:szCs w:val="24"/>
          <w:highlight w:val="none"/>
        </w:rPr>
        <w:t>”的</w:t>
      </w:r>
      <w:r>
        <w:rPr>
          <w:color w:val="auto"/>
          <w:sz w:val="24"/>
          <w:szCs w:val="24"/>
          <w:highlight w:val="none"/>
        </w:rPr>
        <w:t>技术标准</w:t>
      </w:r>
      <w:r>
        <w:rPr>
          <w:rFonts w:hint="eastAsia"/>
          <w:color w:val="auto"/>
          <w:sz w:val="24"/>
          <w:szCs w:val="24"/>
          <w:highlight w:val="none"/>
        </w:rPr>
        <w:t>，投标人可提供等于或优于的其他产品（其他</w:t>
      </w:r>
      <w:r>
        <w:rPr>
          <w:color w:val="auto"/>
          <w:sz w:val="24"/>
          <w:szCs w:val="24"/>
          <w:highlight w:val="none"/>
        </w:rPr>
        <w:t>的</w:t>
      </w:r>
      <w:r>
        <w:rPr>
          <w:rFonts w:hint="eastAsia"/>
          <w:color w:val="auto"/>
          <w:sz w:val="24"/>
          <w:szCs w:val="24"/>
          <w:highlight w:val="none"/>
        </w:rPr>
        <w:t>品牌、型号、生产供应商、专利、商标</w:t>
      </w:r>
      <w:r>
        <w:rPr>
          <w:color w:val="auto"/>
          <w:sz w:val="24"/>
          <w:szCs w:val="24"/>
          <w:highlight w:val="none"/>
        </w:rPr>
        <w:t>）</w:t>
      </w:r>
      <w:r>
        <w:rPr>
          <w:rFonts w:hint="eastAsia"/>
          <w:color w:val="auto"/>
          <w:sz w:val="24"/>
          <w:szCs w:val="24"/>
          <w:highlight w:val="none"/>
        </w:rPr>
        <w:t>；投标人应提供相关证明材料（如权威评测资料、及印刷品产品说明书或印刷品图册等）以供谈判小组评审投标产品是否等于或优于“基本技术要求”、从而评定投标产品是否满足“基本技术要求”。</w:t>
      </w:r>
    </w:p>
    <w:p w14:paraId="175DF31A">
      <w:pPr>
        <w:widowControl w:val="0"/>
        <w:adjustRightInd w:val="0"/>
        <w:snapToGrid w:val="0"/>
        <w:spacing w:beforeLines="50" w:line="300" w:lineRule="auto"/>
        <w:ind w:firstLine="540"/>
        <w:rPr>
          <w:rFonts w:ascii="宋体" w:hAnsi="宋体"/>
          <w:color w:val="auto"/>
          <w:sz w:val="24"/>
          <w:szCs w:val="24"/>
          <w:highlight w:val="none"/>
        </w:rPr>
      </w:pPr>
      <w:r>
        <w:rPr>
          <w:rFonts w:hint="eastAsia"/>
          <w:color w:val="auto"/>
          <w:sz w:val="24"/>
          <w:szCs w:val="24"/>
          <w:highlight w:val="none"/>
        </w:rPr>
        <w:t>2.7.2</w:t>
      </w:r>
      <w:r>
        <w:rPr>
          <w:rFonts w:hint="eastAsia" w:ascii="黑体" w:hAnsi="黑体" w:eastAsia="黑体"/>
          <w:b/>
          <w:color w:val="auto"/>
          <w:sz w:val="24"/>
          <w:szCs w:val="24"/>
          <w:highlight w:val="none"/>
        </w:rPr>
        <w:t>不</w:t>
      </w:r>
      <w:r>
        <w:rPr>
          <w:rFonts w:ascii="黑体" w:hAnsi="黑体" w:eastAsia="黑体"/>
          <w:b/>
          <w:color w:val="auto"/>
          <w:sz w:val="24"/>
          <w:szCs w:val="24"/>
          <w:highlight w:val="none"/>
        </w:rPr>
        <w:t>接受负</w:t>
      </w:r>
      <w:r>
        <w:rPr>
          <w:rFonts w:hint="eastAsia" w:ascii="黑体" w:hAnsi="黑体" w:eastAsia="黑体"/>
          <w:b/>
          <w:color w:val="auto"/>
          <w:sz w:val="24"/>
          <w:szCs w:val="24"/>
          <w:highlight w:val="none"/>
        </w:rPr>
        <w:t>偏差，低</w:t>
      </w:r>
      <w:r>
        <w:rPr>
          <w:rFonts w:ascii="黑体" w:hAnsi="黑体" w:eastAsia="黑体"/>
          <w:b/>
          <w:color w:val="auto"/>
          <w:sz w:val="24"/>
          <w:szCs w:val="24"/>
          <w:highlight w:val="none"/>
        </w:rPr>
        <w:t>于</w:t>
      </w:r>
      <w:r>
        <w:rPr>
          <w:rFonts w:hint="eastAsia" w:ascii="黑体" w:hAnsi="黑体" w:eastAsia="黑体"/>
          <w:b/>
          <w:color w:val="auto"/>
          <w:sz w:val="24"/>
          <w:szCs w:val="24"/>
          <w:highlight w:val="none"/>
        </w:rPr>
        <w:t>“基本技术要求”</w:t>
      </w:r>
      <w:r>
        <w:rPr>
          <w:rFonts w:ascii="黑体" w:hAnsi="黑体" w:eastAsia="黑体"/>
          <w:b/>
          <w:color w:val="auto"/>
          <w:sz w:val="24"/>
          <w:szCs w:val="24"/>
          <w:highlight w:val="none"/>
        </w:rPr>
        <w:t>的、为无效投标。</w:t>
      </w:r>
    </w:p>
    <w:p w14:paraId="3CC02F14">
      <w:pPr>
        <w:widowControl w:val="0"/>
        <w:adjustRightInd w:val="0"/>
        <w:snapToGrid w:val="0"/>
        <w:spacing w:beforeLines="50" w:line="300" w:lineRule="auto"/>
        <w:ind w:left="22" w:firstLine="555"/>
        <w:jc w:val="left"/>
        <w:rPr>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7</w:t>
      </w:r>
      <w:r>
        <w:rPr>
          <w:rFonts w:ascii="宋体" w:hAnsi="宋体"/>
          <w:color w:val="auto"/>
          <w:sz w:val="24"/>
          <w:szCs w:val="24"/>
          <w:highlight w:val="none"/>
        </w:rPr>
        <w:t>.</w:t>
      </w:r>
      <w:r>
        <w:rPr>
          <w:rFonts w:hint="eastAsia" w:ascii="宋体" w:hAnsi="宋体"/>
          <w:color w:val="auto"/>
          <w:sz w:val="24"/>
          <w:szCs w:val="24"/>
          <w:highlight w:val="none"/>
        </w:rPr>
        <w:t>3除谈判文件“基本技术要求”有明确说明外，投标人所投标的各项产品均应为该产品的标准</w:t>
      </w:r>
      <w:r>
        <w:rPr>
          <w:rFonts w:hint="eastAsia"/>
          <w:color w:val="auto"/>
          <w:sz w:val="24"/>
          <w:szCs w:val="24"/>
          <w:highlight w:val="none"/>
        </w:rPr>
        <w:t>配置、不应改变或调换厂家的出厂标准配置；如确因市场因素无法按上述规格产品进行投标，应提供优于“基本技术要求”的同类产品进行投标，投标人应提供印刷品产品说明书或印刷品图册等予以佐证（电子档）。</w:t>
      </w:r>
    </w:p>
    <w:p w14:paraId="5CF50444">
      <w:pPr>
        <w:widowControl w:val="0"/>
        <w:adjustRightInd w:val="0"/>
        <w:snapToGrid w:val="0"/>
        <w:spacing w:beforeLines="50" w:line="300" w:lineRule="auto"/>
        <w:ind w:firstLine="54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7</w:t>
      </w:r>
      <w:r>
        <w:rPr>
          <w:rFonts w:ascii="宋体" w:hAnsi="宋体"/>
          <w:color w:val="auto"/>
          <w:sz w:val="24"/>
          <w:szCs w:val="24"/>
          <w:highlight w:val="none"/>
        </w:rPr>
        <w:t>.</w:t>
      </w:r>
      <w:r>
        <w:rPr>
          <w:rFonts w:hint="eastAsia" w:ascii="宋体" w:hAnsi="宋体"/>
          <w:color w:val="auto"/>
          <w:sz w:val="24"/>
          <w:szCs w:val="24"/>
          <w:highlight w:val="none"/>
        </w:rPr>
        <w:t>4 投标文件对技术偏差的描述要求：见第三章投标人须知</w:t>
      </w:r>
      <w:r>
        <w:rPr>
          <w:rFonts w:ascii="宋体" w:hAnsi="宋体"/>
          <w:color w:val="auto"/>
          <w:sz w:val="24"/>
          <w:szCs w:val="24"/>
          <w:highlight w:val="none"/>
        </w:rPr>
        <w:t>3.7.3</w:t>
      </w:r>
      <w:r>
        <w:rPr>
          <w:rFonts w:hint="eastAsia" w:ascii="宋体" w:hAnsi="宋体"/>
          <w:color w:val="auto"/>
          <w:sz w:val="24"/>
          <w:szCs w:val="24"/>
          <w:highlight w:val="none"/>
        </w:rPr>
        <w:t>项。</w:t>
      </w:r>
    </w:p>
    <w:p w14:paraId="222DCF34">
      <w:pPr>
        <w:widowControl w:val="0"/>
        <w:adjustRightInd w:val="0"/>
        <w:snapToGrid w:val="0"/>
        <w:spacing w:beforeLines="50" w:line="300" w:lineRule="auto"/>
        <w:ind w:left="23" w:firstLine="556"/>
        <w:outlineLvl w:val="1"/>
        <w:rPr>
          <w:rFonts w:ascii="黑体" w:hAnsi="黑体" w:eastAsia="黑体"/>
          <w:b/>
          <w:color w:val="auto"/>
          <w:sz w:val="24"/>
          <w:szCs w:val="24"/>
          <w:highlight w:val="none"/>
        </w:rPr>
      </w:pPr>
      <w:bookmarkStart w:id="20" w:name="_Toc209083626"/>
      <w:r>
        <w:rPr>
          <w:rFonts w:hint="eastAsia" w:ascii="黑体" w:hAnsi="黑体" w:eastAsia="黑体"/>
          <w:b/>
          <w:color w:val="auto"/>
          <w:sz w:val="24"/>
          <w:szCs w:val="24"/>
          <w:highlight w:val="none"/>
        </w:rPr>
        <w:t>2.8 售后服务的基本条款（采购标的需满足的服务标准、期限、效率等要求）</w:t>
      </w:r>
      <w:bookmarkEnd w:id="20"/>
    </w:p>
    <w:p w14:paraId="088DE48D">
      <w:pPr>
        <w:widowControl w:val="0"/>
        <w:adjustRightInd w:val="0"/>
        <w:snapToGrid w:val="0"/>
        <w:spacing w:beforeLines="50" w:line="300" w:lineRule="auto"/>
        <w:ind w:firstLine="538"/>
        <w:rPr>
          <w:rFonts w:ascii="宋体" w:hAnsi="宋体"/>
          <w:color w:val="auto"/>
          <w:sz w:val="24"/>
          <w:szCs w:val="24"/>
          <w:highlight w:val="none"/>
        </w:rPr>
      </w:pPr>
      <w:r>
        <w:rPr>
          <w:color w:val="auto"/>
          <w:sz w:val="24"/>
          <w:szCs w:val="24"/>
          <w:highlight w:val="none"/>
        </w:rPr>
        <w:t>2.</w:t>
      </w:r>
      <w:r>
        <w:rPr>
          <w:rFonts w:hint="eastAsia"/>
          <w:color w:val="auto"/>
          <w:sz w:val="24"/>
          <w:szCs w:val="24"/>
          <w:highlight w:val="none"/>
        </w:rPr>
        <w:t>8</w:t>
      </w:r>
      <w:r>
        <w:rPr>
          <w:color w:val="auto"/>
          <w:sz w:val="24"/>
          <w:szCs w:val="24"/>
          <w:highlight w:val="none"/>
        </w:rPr>
        <w:t>.1</w:t>
      </w:r>
      <w:r>
        <w:rPr>
          <w:rFonts w:hint="eastAsia" w:ascii="宋体" w:hAnsi="宋体"/>
          <w:color w:val="auto"/>
          <w:sz w:val="24"/>
          <w:szCs w:val="24"/>
          <w:highlight w:val="none"/>
        </w:rPr>
        <w:t>货物的保修除按国家有关规定、各产品生产厂家规定及项目特殊要求处理外，还应满足下述条款：</w:t>
      </w:r>
    </w:p>
    <w:p w14:paraId="02CB4D2C">
      <w:pPr>
        <w:widowControl w:val="0"/>
        <w:adjustRightInd w:val="0"/>
        <w:snapToGrid w:val="0"/>
        <w:spacing w:beforeLines="50" w:line="300" w:lineRule="auto"/>
        <w:ind w:firstLine="538"/>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谈判文件中未明确列明保修条款的产品，均需提供至少一年的免费保修；国家规定或产品生产厂家规定大于一年的，按国家规定与厂家规定最有利于采购人原则执行；谈判文件已明确列明大于一年保修的，按该条款及其响应执行，并终身维护；</w:t>
      </w:r>
    </w:p>
    <w:p w14:paraId="1D9DD61E">
      <w:pPr>
        <w:widowControl w:val="0"/>
        <w:adjustRightInd w:val="0"/>
        <w:snapToGrid w:val="0"/>
        <w:spacing w:beforeLines="50" w:line="300" w:lineRule="auto"/>
        <w:ind w:left="22" w:firstLine="538"/>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）保修期内货物发生故障系货物出现质量问题，必须无偿更换；</w:t>
      </w:r>
    </w:p>
    <w:p w14:paraId="44763BDB">
      <w:pPr>
        <w:widowControl w:val="0"/>
        <w:adjustRightInd w:val="0"/>
        <w:snapToGrid w:val="0"/>
        <w:spacing w:beforeLines="50" w:line="300" w:lineRule="auto"/>
        <w:ind w:firstLine="538"/>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3</w:t>
      </w:r>
      <w:r>
        <w:rPr>
          <w:rFonts w:hint="eastAsia" w:ascii="宋体" w:hAnsi="宋体"/>
          <w:color w:val="auto"/>
          <w:sz w:val="24"/>
          <w:szCs w:val="24"/>
          <w:highlight w:val="none"/>
        </w:rPr>
        <w:t>）货物超过保修期发生故障，采购人可自由选择维修单位，如委托给成交供应商，成交供应商不得借故推诿，且维修费优于市场价格；</w:t>
      </w:r>
    </w:p>
    <w:p w14:paraId="64604755">
      <w:pPr>
        <w:widowControl w:val="0"/>
        <w:adjustRightInd w:val="0"/>
        <w:snapToGrid w:val="0"/>
        <w:spacing w:beforeLines="50" w:line="300" w:lineRule="auto"/>
        <w:ind w:firstLine="538"/>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4</w:t>
      </w:r>
      <w:r>
        <w:rPr>
          <w:rFonts w:hint="eastAsia" w:ascii="宋体" w:hAnsi="宋体"/>
          <w:color w:val="auto"/>
          <w:sz w:val="24"/>
          <w:szCs w:val="24"/>
          <w:highlight w:val="none"/>
        </w:rPr>
        <w:t>）如货物发生故障，接到通知后需尽快做出响应，并在</w:t>
      </w:r>
      <w:r>
        <w:rPr>
          <w:rFonts w:ascii="宋体" w:hAnsi="宋体"/>
          <w:color w:val="auto"/>
          <w:sz w:val="24"/>
          <w:szCs w:val="24"/>
          <w:highlight w:val="none"/>
        </w:rPr>
        <w:t>24</w:t>
      </w:r>
      <w:r>
        <w:rPr>
          <w:rFonts w:hint="eastAsia" w:ascii="宋体" w:hAnsi="宋体"/>
          <w:color w:val="auto"/>
          <w:sz w:val="24"/>
          <w:szCs w:val="24"/>
          <w:highlight w:val="none"/>
        </w:rPr>
        <w:t>小时内及时赶到现场，负责故障原因的诊断，尽快排除故障。</w:t>
      </w:r>
    </w:p>
    <w:p w14:paraId="6C8356C6">
      <w:pPr>
        <w:widowControl w:val="0"/>
        <w:adjustRightInd w:val="0"/>
        <w:snapToGrid w:val="0"/>
        <w:spacing w:beforeLines="50" w:line="300" w:lineRule="auto"/>
        <w:ind w:firstLine="538"/>
        <w:rPr>
          <w:rFonts w:ascii="宋体" w:hAnsi="宋体"/>
          <w:color w:val="auto"/>
          <w:sz w:val="24"/>
          <w:szCs w:val="24"/>
          <w:highlight w:val="none"/>
        </w:rPr>
      </w:pPr>
      <w:r>
        <w:rPr>
          <w:color w:val="auto"/>
          <w:sz w:val="24"/>
          <w:szCs w:val="24"/>
          <w:highlight w:val="none"/>
        </w:rPr>
        <w:t>2.</w:t>
      </w:r>
      <w:r>
        <w:rPr>
          <w:rFonts w:hint="eastAsia"/>
          <w:color w:val="auto"/>
          <w:sz w:val="24"/>
          <w:szCs w:val="24"/>
          <w:highlight w:val="none"/>
        </w:rPr>
        <w:t>8</w:t>
      </w:r>
      <w:r>
        <w:rPr>
          <w:color w:val="auto"/>
          <w:sz w:val="24"/>
          <w:szCs w:val="24"/>
          <w:highlight w:val="none"/>
        </w:rPr>
        <w:t>.</w:t>
      </w:r>
      <w:r>
        <w:rPr>
          <w:rFonts w:ascii="宋体" w:hAnsi="宋体"/>
          <w:color w:val="auto"/>
          <w:sz w:val="24"/>
          <w:szCs w:val="24"/>
          <w:highlight w:val="none"/>
        </w:rPr>
        <w:t xml:space="preserve">2 </w:t>
      </w:r>
      <w:r>
        <w:rPr>
          <w:rFonts w:hint="eastAsia" w:ascii="宋体" w:hAnsi="宋体"/>
          <w:color w:val="auto"/>
          <w:sz w:val="24"/>
          <w:szCs w:val="24"/>
          <w:highlight w:val="none"/>
        </w:rPr>
        <w:t>在成交供应商</w:t>
      </w:r>
      <w:r>
        <w:rPr>
          <w:rFonts w:hint="eastAsia"/>
          <w:color w:val="auto"/>
          <w:sz w:val="24"/>
          <w:szCs w:val="24"/>
          <w:highlight w:val="none"/>
        </w:rPr>
        <w:t>未按照合同规定的地点交验前，货物毁坏或灭失，</w:t>
      </w:r>
      <w:r>
        <w:rPr>
          <w:rFonts w:hint="eastAsia" w:ascii="宋体" w:hAnsi="宋体"/>
          <w:color w:val="auto"/>
          <w:sz w:val="24"/>
          <w:szCs w:val="24"/>
          <w:highlight w:val="none"/>
        </w:rPr>
        <w:t>由成交供应商承担责任。</w:t>
      </w:r>
    </w:p>
    <w:p w14:paraId="1402B662">
      <w:pPr>
        <w:widowControl w:val="0"/>
        <w:adjustRightInd w:val="0"/>
        <w:snapToGrid w:val="0"/>
        <w:spacing w:beforeLines="50" w:line="300" w:lineRule="auto"/>
        <w:ind w:firstLine="538"/>
        <w:rPr>
          <w:color w:val="auto"/>
          <w:highlight w:val="none"/>
        </w:rPr>
      </w:pPr>
      <w:r>
        <w:rPr>
          <w:color w:val="auto"/>
          <w:sz w:val="24"/>
          <w:szCs w:val="24"/>
          <w:highlight w:val="none"/>
        </w:rPr>
        <w:t>2.</w:t>
      </w:r>
      <w:r>
        <w:rPr>
          <w:rFonts w:hint="eastAsia"/>
          <w:color w:val="auto"/>
          <w:sz w:val="24"/>
          <w:szCs w:val="24"/>
          <w:highlight w:val="none"/>
        </w:rPr>
        <w:t>8</w:t>
      </w:r>
      <w:r>
        <w:rPr>
          <w:color w:val="auto"/>
          <w:sz w:val="24"/>
          <w:szCs w:val="24"/>
          <w:highlight w:val="none"/>
        </w:rPr>
        <w:t>.</w:t>
      </w:r>
      <w:r>
        <w:rPr>
          <w:rFonts w:ascii="宋体" w:hAnsi="宋体"/>
          <w:color w:val="auto"/>
          <w:sz w:val="24"/>
          <w:szCs w:val="24"/>
          <w:highlight w:val="none"/>
        </w:rPr>
        <w:t>3</w:t>
      </w:r>
      <w:r>
        <w:rPr>
          <w:rFonts w:hint="eastAsia" w:ascii="宋体" w:hAnsi="宋体"/>
          <w:color w:val="auto"/>
          <w:sz w:val="24"/>
          <w:szCs w:val="24"/>
          <w:highlight w:val="none"/>
        </w:rPr>
        <w:t>投标人需提供详尽的售后服务承诺；如由产品生产厂家提供相关售后服务的，投标人负有连带售后服</w:t>
      </w:r>
      <w:r>
        <w:rPr>
          <w:rFonts w:hint="eastAsia"/>
          <w:color w:val="auto"/>
          <w:sz w:val="24"/>
          <w:szCs w:val="24"/>
          <w:highlight w:val="none"/>
        </w:rPr>
        <w:t>务责任。</w:t>
      </w:r>
    </w:p>
    <w:p w14:paraId="1E288794">
      <w:pPr>
        <w:adjustRightInd w:val="0"/>
        <w:snapToGrid w:val="0"/>
        <w:spacing w:line="300" w:lineRule="auto"/>
        <w:ind w:firstLine="566" w:firstLineChars="235"/>
        <w:jc w:val="left"/>
        <w:rPr>
          <w:rFonts w:ascii="黑体" w:hAnsi="黑体" w:eastAsia="黑体"/>
          <w:b/>
          <w:color w:val="auto"/>
          <w:sz w:val="24"/>
          <w:szCs w:val="24"/>
          <w:highlight w:val="none"/>
        </w:rPr>
      </w:pPr>
      <w:r>
        <w:rPr>
          <w:rFonts w:ascii="黑体" w:hAnsi="黑体" w:eastAsia="黑体"/>
          <w:b/>
          <w:color w:val="auto"/>
          <w:sz w:val="24"/>
          <w:szCs w:val="24"/>
          <w:highlight w:val="none"/>
        </w:rPr>
        <w:t>2.</w:t>
      </w:r>
      <w:r>
        <w:rPr>
          <w:rFonts w:hint="eastAsia" w:ascii="黑体" w:hAnsi="黑体" w:eastAsia="黑体"/>
          <w:b/>
          <w:color w:val="auto"/>
          <w:sz w:val="24"/>
          <w:szCs w:val="24"/>
          <w:highlight w:val="none"/>
        </w:rPr>
        <w:t>9保险、货物包装</w:t>
      </w:r>
    </w:p>
    <w:p w14:paraId="2C2E2AD5">
      <w:pPr>
        <w:adjustRightInd w:val="0"/>
        <w:snapToGrid w:val="0"/>
        <w:spacing w:line="300" w:lineRule="auto"/>
        <w:ind w:firstLine="564" w:firstLineChars="235"/>
        <w:jc w:val="left"/>
        <w:rPr>
          <w:color w:val="auto"/>
          <w:sz w:val="24"/>
          <w:szCs w:val="24"/>
          <w:highlight w:val="none"/>
        </w:rPr>
      </w:pPr>
      <w:r>
        <w:rPr>
          <w:rFonts w:hint="eastAsia"/>
          <w:color w:val="auto"/>
          <w:sz w:val="24"/>
          <w:szCs w:val="24"/>
          <w:highlight w:val="none"/>
        </w:rPr>
        <w:t>2.9.1保险（如需）：</w:t>
      </w:r>
    </w:p>
    <w:p w14:paraId="21C71B49">
      <w:pPr>
        <w:adjustRightInd w:val="0"/>
        <w:snapToGrid w:val="0"/>
        <w:spacing w:line="300" w:lineRule="auto"/>
        <w:ind w:firstLine="564" w:firstLineChars="235"/>
        <w:jc w:val="left"/>
        <w:rPr>
          <w:color w:val="auto"/>
          <w:sz w:val="24"/>
          <w:szCs w:val="24"/>
          <w:highlight w:val="none"/>
        </w:rPr>
      </w:pPr>
      <w:r>
        <w:rPr>
          <w:rFonts w:hint="eastAsia"/>
          <w:color w:val="auto"/>
          <w:sz w:val="24"/>
          <w:szCs w:val="24"/>
          <w:highlight w:val="none"/>
        </w:rPr>
        <w:t>投标人应遵循国家相关保险的规定，依法办理采购需求范围内的相关法定保险，相关保险费用及相应责任由成交供应商承担。</w:t>
      </w:r>
    </w:p>
    <w:p w14:paraId="69720881">
      <w:pPr>
        <w:adjustRightInd w:val="0"/>
        <w:snapToGrid w:val="0"/>
        <w:spacing w:line="300" w:lineRule="auto"/>
        <w:ind w:firstLine="564" w:firstLineChars="235"/>
        <w:jc w:val="left"/>
        <w:rPr>
          <w:color w:val="auto"/>
          <w:sz w:val="24"/>
          <w:szCs w:val="24"/>
          <w:highlight w:val="none"/>
        </w:rPr>
      </w:pPr>
      <w:r>
        <w:rPr>
          <w:rFonts w:hint="eastAsia"/>
          <w:color w:val="auto"/>
          <w:sz w:val="24"/>
          <w:szCs w:val="24"/>
          <w:highlight w:val="none"/>
        </w:rPr>
        <w:t>在成交供应商未按照合同规定的地点交验前，货物毁坏或灭失，人身、安全责任，均由成交供应商承担责任。投标人可以按照最有利于项目风险控制的原则，为项目办理货物、人身及第三方公众责任险。</w:t>
      </w:r>
    </w:p>
    <w:p w14:paraId="548DC6B2">
      <w:pPr>
        <w:adjustRightInd w:val="0"/>
        <w:snapToGrid w:val="0"/>
        <w:spacing w:line="300" w:lineRule="auto"/>
        <w:ind w:firstLine="564" w:firstLineChars="235"/>
        <w:jc w:val="left"/>
        <w:rPr>
          <w:color w:val="auto"/>
          <w:sz w:val="24"/>
          <w:szCs w:val="24"/>
          <w:highlight w:val="none"/>
        </w:rPr>
      </w:pPr>
      <w:r>
        <w:rPr>
          <w:rFonts w:hint="eastAsia"/>
          <w:color w:val="auto"/>
          <w:sz w:val="24"/>
          <w:szCs w:val="24"/>
          <w:highlight w:val="none"/>
        </w:rPr>
        <w:t>2.9.2货物包装：</w:t>
      </w:r>
    </w:p>
    <w:p w14:paraId="4913A821">
      <w:pPr>
        <w:adjustRightInd w:val="0"/>
        <w:snapToGrid w:val="0"/>
        <w:spacing w:line="300" w:lineRule="auto"/>
        <w:ind w:firstLine="564" w:firstLineChars="235"/>
        <w:jc w:val="left"/>
        <w:rPr>
          <w:color w:val="auto"/>
          <w:sz w:val="24"/>
          <w:szCs w:val="24"/>
          <w:highlight w:val="none"/>
        </w:rPr>
      </w:pPr>
      <w:r>
        <w:rPr>
          <w:rFonts w:hint="eastAsia"/>
          <w:color w:val="auto"/>
          <w:sz w:val="24"/>
          <w:szCs w:val="24"/>
          <w:highlight w:val="none"/>
        </w:rPr>
        <w:t>成交供应商负责按国家相关标准进行货物包装，设备的包装均应有良好的防湿、防锈、防潮、防雨、防腐及防碰撞的措施，凡由于包装不良造成的损失和由此产生的费用均由成交供应商承担。</w:t>
      </w:r>
    </w:p>
    <w:p w14:paraId="46D1B06A">
      <w:pPr>
        <w:adjustRightInd w:val="0"/>
        <w:snapToGrid w:val="0"/>
        <w:spacing w:line="300" w:lineRule="auto"/>
        <w:ind w:firstLine="566" w:firstLineChars="235"/>
        <w:jc w:val="left"/>
        <w:rPr>
          <w:rFonts w:ascii="黑体" w:hAnsi="黑体" w:eastAsia="黑体"/>
          <w:b/>
          <w:color w:val="auto"/>
          <w:sz w:val="24"/>
          <w:szCs w:val="24"/>
          <w:highlight w:val="none"/>
        </w:rPr>
      </w:pPr>
      <w:r>
        <w:rPr>
          <w:rFonts w:ascii="黑体" w:hAnsi="黑体" w:eastAsia="黑体"/>
          <w:b/>
          <w:color w:val="auto"/>
          <w:sz w:val="24"/>
          <w:szCs w:val="24"/>
          <w:highlight w:val="none"/>
        </w:rPr>
        <w:t>2.</w:t>
      </w:r>
      <w:r>
        <w:rPr>
          <w:rFonts w:hint="eastAsia" w:ascii="黑体" w:hAnsi="黑体" w:eastAsia="黑体"/>
          <w:b/>
          <w:color w:val="auto"/>
          <w:sz w:val="24"/>
          <w:szCs w:val="24"/>
          <w:highlight w:val="none"/>
        </w:rPr>
        <w:t>10采购标的的验收标准</w:t>
      </w:r>
    </w:p>
    <w:p w14:paraId="31F259A3">
      <w:pPr>
        <w:adjustRightInd w:val="0"/>
        <w:snapToGrid w:val="0"/>
        <w:spacing w:line="300" w:lineRule="auto"/>
        <w:ind w:firstLine="564" w:firstLineChars="235"/>
        <w:jc w:val="left"/>
        <w:rPr>
          <w:rFonts w:ascii="宋体" w:hAnsi="宋体" w:cs="楷体_GB2312"/>
          <w:color w:val="auto"/>
          <w:sz w:val="24"/>
          <w:highlight w:val="none"/>
          <w:lang w:val="zh-CN"/>
        </w:rPr>
      </w:pPr>
      <w:r>
        <w:rPr>
          <w:rFonts w:hint="eastAsia" w:ascii="宋体" w:hAnsi="宋体" w:cs="楷体_GB2312"/>
          <w:color w:val="auto"/>
          <w:sz w:val="24"/>
          <w:highlight w:val="none"/>
          <w:lang w:val="zh-CN"/>
        </w:rPr>
        <w:t>见“第三章投标人须知”第</w:t>
      </w:r>
      <w:r>
        <w:rPr>
          <w:rFonts w:ascii="宋体" w:hAnsi="宋体" w:cs="楷体_GB2312"/>
          <w:color w:val="auto"/>
          <w:sz w:val="24"/>
          <w:highlight w:val="none"/>
          <w:lang w:val="zh-CN"/>
        </w:rPr>
        <w:t>8</w:t>
      </w:r>
      <w:r>
        <w:rPr>
          <w:rFonts w:hint="eastAsia" w:ascii="宋体" w:hAnsi="宋体" w:cs="楷体_GB2312"/>
          <w:color w:val="auto"/>
          <w:sz w:val="24"/>
          <w:highlight w:val="none"/>
          <w:lang w:val="zh-CN"/>
        </w:rPr>
        <w:t>条“验收”条款。</w:t>
      </w:r>
    </w:p>
    <w:p w14:paraId="0C9AB987">
      <w:pPr>
        <w:adjustRightInd w:val="0"/>
        <w:snapToGrid w:val="0"/>
        <w:spacing w:beforeLines="50" w:line="300" w:lineRule="auto"/>
        <w:ind w:firstLine="566" w:firstLineChars="235"/>
        <w:rPr>
          <w:rFonts w:ascii="黑体" w:hAnsi="黑体" w:eastAsia="黑体"/>
          <w:b/>
          <w:color w:val="auto"/>
          <w:sz w:val="24"/>
          <w:szCs w:val="24"/>
          <w:highlight w:val="none"/>
        </w:rPr>
      </w:pPr>
      <w:r>
        <w:rPr>
          <w:rFonts w:ascii="黑体" w:hAnsi="黑体" w:eastAsia="黑体"/>
          <w:b/>
          <w:color w:val="auto"/>
          <w:sz w:val="24"/>
          <w:szCs w:val="24"/>
          <w:highlight w:val="none"/>
        </w:rPr>
        <w:t>2.</w:t>
      </w:r>
      <w:r>
        <w:rPr>
          <w:rFonts w:hint="eastAsia" w:ascii="黑体" w:hAnsi="黑体" w:eastAsia="黑体"/>
          <w:b/>
          <w:color w:val="auto"/>
          <w:sz w:val="24"/>
          <w:szCs w:val="24"/>
          <w:highlight w:val="none"/>
        </w:rPr>
        <w:t>11采购标的的其他技术、服务等要求</w:t>
      </w:r>
    </w:p>
    <w:p w14:paraId="6473CAC0">
      <w:pPr>
        <w:adjustRightInd w:val="0"/>
        <w:snapToGrid w:val="0"/>
        <w:spacing w:beforeLines="50" w:line="300" w:lineRule="auto"/>
        <w:ind w:firstLine="480" w:firstLineChars="200"/>
        <w:rPr>
          <w:color w:val="auto"/>
          <w:sz w:val="24"/>
          <w:szCs w:val="24"/>
          <w:highlight w:val="none"/>
        </w:rPr>
      </w:pPr>
      <w:r>
        <w:rPr>
          <w:rFonts w:hint="eastAsia"/>
          <w:color w:val="auto"/>
          <w:sz w:val="24"/>
          <w:szCs w:val="24"/>
          <w:highlight w:val="none"/>
        </w:rPr>
        <w:t xml:space="preserve">  无</w:t>
      </w:r>
    </w:p>
    <w:p w14:paraId="27979E6A">
      <w:pPr>
        <w:adjustRightInd w:val="0"/>
        <w:snapToGrid w:val="0"/>
        <w:spacing w:beforeLines="50" w:line="300" w:lineRule="auto"/>
        <w:ind w:firstLine="480" w:firstLineChars="200"/>
        <w:rPr>
          <w:color w:val="auto"/>
          <w:sz w:val="24"/>
          <w:szCs w:val="24"/>
          <w:highlight w:val="none"/>
        </w:rPr>
      </w:pPr>
    </w:p>
    <w:p w14:paraId="796F0279">
      <w:pPr>
        <w:adjustRightInd w:val="0"/>
        <w:snapToGrid w:val="0"/>
        <w:spacing w:beforeLines="50" w:line="300" w:lineRule="auto"/>
        <w:ind w:firstLine="562" w:firstLineChars="200"/>
        <w:outlineLvl w:val="1"/>
        <w:rPr>
          <w:rFonts w:ascii="黑体" w:hAnsi="黑体" w:eastAsia="黑体"/>
          <w:b/>
          <w:color w:val="auto"/>
          <w:sz w:val="28"/>
          <w:highlight w:val="none"/>
        </w:rPr>
      </w:pPr>
      <w:bookmarkStart w:id="21" w:name="_Toc209083627"/>
      <w:bookmarkStart w:id="22" w:name="_Toc65574702"/>
      <w:r>
        <w:rPr>
          <w:rFonts w:ascii="黑体" w:hAnsi="黑体" w:eastAsia="黑体"/>
          <w:b/>
          <w:color w:val="auto"/>
          <w:sz w:val="28"/>
          <w:highlight w:val="none"/>
        </w:rPr>
        <w:t xml:space="preserve">3. </w:t>
      </w:r>
      <w:r>
        <w:rPr>
          <w:rFonts w:hint="eastAsia" w:ascii="黑体" w:hAnsi="黑体" w:eastAsia="黑体"/>
          <w:b/>
          <w:color w:val="auto"/>
          <w:sz w:val="28"/>
          <w:highlight w:val="none"/>
        </w:rPr>
        <w:t>项目其他要求</w:t>
      </w:r>
      <w:bookmarkEnd w:id="21"/>
      <w:bookmarkEnd w:id="22"/>
    </w:p>
    <w:p w14:paraId="6CBB6897">
      <w:pPr>
        <w:widowControl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3.1防范虚假证明材料的要求</w:t>
      </w:r>
    </w:p>
    <w:p w14:paraId="59D65AB4">
      <w:pPr>
        <w:widowControl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基于当前监督检查工作要求，为防范虚假材料，投标人（成交人）应按</w:t>
      </w:r>
      <w:r>
        <w:rPr>
          <w:rFonts w:hint="eastAsia" w:ascii="宋体" w:cs="楷体_GB2312"/>
          <w:color w:val="auto"/>
          <w:sz w:val="24"/>
          <w:highlight w:val="none"/>
          <w:lang w:val="zh-CN"/>
        </w:rPr>
        <w:t>第六章</w:t>
      </w:r>
      <w:r>
        <w:rPr>
          <w:rFonts w:hint="eastAsia" w:ascii="宋体" w:hAnsi="宋体" w:cs="宋体"/>
          <w:color w:val="auto"/>
          <w:sz w:val="24"/>
          <w:szCs w:val="24"/>
          <w:highlight w:val="none"/>
        </w:rPr>
        <w:t>14-3附件“证明材料查询核验工作的清单及要求”执行。</w:t>
      </w:r>
    </w:p>
    <w:p w14:paraId="2F82C781">
      <w:pPr>
        <w:spacing w:line="360" w:lineRule="auto"/>
        <w:ind w:right="238"/>
        <w:jc w:val="center"/>
        <w:outlineLvl w:val="0"/>
        <w:rPr>
          <w:rFonts w:eastAsia="黑体"/>
          <w:b/>
          <w:color w:val="auto"/>
          <w:spacing w:val="36"/>
          <w:sz w:val="36"/>
          <w:szCs w:val="36"/>
          <w:highlight w:val="none"/>
        </w:rPr>
      </w:pPr>
      <w:r>
        <w:rPr>
          <w:rFonts w:ascii="黑体" w:hAnsi="黑体" w:eastAsia="黑体"/>
          <w:b/>
          <w:color w:val="auto"/>
          <w:sz w:val="24"/>
          <w:szCs w:val="24"/>
          <w:highlight w:val="none"/>
        </w:rPr>
        <w:br w:type="page"/>
      </w:r>
    </w:p>
    <w:p w14:paraId="0EDED796">
      <w:pPr>
        <w:spacing w:line="360" w:lineRule="auto"/>
        <w:ind w:right="238"/>
        <w:jc w:val="center"/>
        <w:outlineLvl w:val="0"/>
        <w:rPr>
          <w:rFonts w:eastAsia="黑体"/>
          <w:b/>
          <w:color w:val="auto"/>
          <w:sz w:val="36"/>
          <w:szCs w:val="36"/>
          <w:highlight w:val="none"/>
        </w:rPr>
      </w:pPr>
      <w:bookmarkStart w:id="23" w:name="_Toc209083628"/>
      <w:r>
        <w:rPr>
          <w:rFonts w:hint="eastAsia" w:eastAsia="黑体"/>
          <w:b/>
          <w:color w:val="auto"/>
          <w:sz w:val="36"/>
          <w:szCs w:val="36"/>
          <w:highlight w:val="none"/>
        </w:rPr>
        <w:t>第三章 投标人须知</w:t>
      </w:r>
      <w:bookmarkEnd w:id="23"/>
    </w:p>
    <w:p w14:paraId="07FEE6A7">
      <w:pPr>
        <w:spacing w:line="360" w:lineRule="auto"/>
        <w:ind w:right="238"/>
        <w:jc w:val="left"/>
        <w:outlineLvl w:val="1"/>
        <w:rPr>
          <w:rFonts w:eastAsia="黑体"/>
          <w:b/>
          <w:color w:val="auto"/>
          <w:sz w:val="28"/>
          <w:szCs w:val="28"/>
          <w:highlight w:val="none"/>
        </w:rPr>
      </w:pPr>
      <w:bookmarkStart w:id="24" w:name="_Toc209083629"/>
      <w:r>
        <w:rPr>
          <w:rFonts w:hint="eastAsia" w:eastAsia="黑体"/>
          <w:b/>
          <w:color w:val="auto"/>
          <w:sz w:val="28"/>
          <w:szCs w:val="28"/>
          <w:highlight w:val="none"/>
        </w:rPr>
        <w:t>投标人须知前附表</w:t>
      </w:r>
      <w:bookmarkEnd w:id="24"/>
    </w:p>
    <w:tbl>
      <w:tblPr>
        <w:tblStyle w:val="16"/>
        <w:tblW w:w="9755" w:type="dxa"/>
        <w:jc w:val="center"/>
        <w:tblLayout w:type="fixed"/>
        <w:tblCellMar>
          <w:top w:w="0" w:type="dxa"/>
          <w:left w:w="108" w:type="dxa"/>
          <w:bottom w:w="0" w:type="dxa"/>
          <w:right w:w="108" w:type="dxa"/>
        </w:tblCellMar>
      </w:tblPr>
      <w:tblGrid>
        <w:gridCol w:w="608"/>
        <w:gridCol w:w="694"/>
        <w:gridCol w:w="1874"/>
        <w:gridCol w:w="6579"/>
      </w:tblGrid>
      <w:tr w14:paraId="5D8A6A83">
        <w:tblPrEx>
          <w:tblCellMar>
            <w:top w:w="0" w:type="dxa"/>
            <w:left w:w="108" w:type="dxa"/>
            <w:bottom w:w="0" w:type="dxa"/>
            <w:right w:w="108" w:type="dxa"/>
          </w:tblCellMar>
        </w:tblPrEx>
        <w:trPr>
          <w:trHeight w:val="571" w:hRule="atLeast"/>
          <w:jc w:val="center"/>
        </w:trPr>
        <w:tc>
          <w:tcPr>
            <w:tcW w:w="608" w:type="dxa"/>
            <w:tcBorders>
              <w:top w:val="single" w:color="auto" w:sz="12" w:space="0"/>
              <w:left w:val="single" w:color="auto" w:sz="12" w:space="0"/>
              <w:bottom w:val="single" w:color="auto" w:sz="6" w:space="0"/>
              <w:right w:val="single" w:color="auto" w:sz="6" w:space="0"/>
            </w:tcBorders>
          </w:tcPr>
          <w:p w14:paraId="3915B148">
            <w:pPr>
              <w:autoSpaceDE w:val="0"/>
              <w:autoSpaceDN w:val="0"/>
              <w:adjustRightInd w:val="0"/>
              <w:spacing w:line="240" w:lineRule="auto"/>
              <w:rPr>
                <w:rFonts w:ascii="宋体" w:cs="楷体_GB2312"/>
                <w:b/>
                <w:bCs/>
                <w:color w:val="auto"/>
                <w:sz w:val="24"/>
                <w:highlight w:val="none"/>
                <w:lang w:val="zh-CN"/>
              </w:rPr>
            </w:pPr>
            <w:r>
              <w:rPr>
                <w:rFonts w:hint="eastAsia" w:ascii="宋体" w:hAnsi="宋体" w:cs="楷体_GB2312"/>
                <w:b/>
                <w:bCs/>
                <w:color w:val="auto"/>
                <w:sz w:val="24"/>
                <w:highlight w:val="none"/>
                <w:lang w:val="zh-CN"/>
              </w:rPr>
              <w:t>章节</w:t>
            </w:r>
          </w:p>
        </w:tc>
        <w:tc>
          <w:tcPr>
            <w:tcW w:w="694" w:type="dxa"/>
            <w:tcBorders>
              <w:top w:val="single" w:color="auto" w:sz="12" w:space="0"/>
              <w:left w:val="single" w:color="auto" w:sz="12" w:space="0"/>
              <w:bottom w:val="single" w:color="auto" w:sz="6" w:space="0"/>
              <w:right w:val="single" w:color="auto" w:sz="6" w:space="0"/>
            </w:tcBorders>
            <w:vAlign w:val="center"/>
          </w:tcPr>
          <w:p w14:paraId="4622D51D">
            <w:pPr>
              <w:autoSpaceDE w:val="0"/>
              <w:autoSpaceDN w:val="0"/>
              <w:adjustRightInd w:val="0"/>
              <w:spacing w:line="240" w:lineRule="auto"/>
              <w:ind w:right="-126" w:rightChars="-60"/>
              <w:rPr>
                <w:rFonts w:ascii="宋体" w:cs="楷体_GB2312"/>
                <w:b/>
                <w:bCs/>
                <w:color w:val="auto"/>
                <w:sz w:val="24"/>
                <w:highlight w:val="none"/>
                <w:lang w:val="zh-CN"/>
              </w:rPr>
            </w:pPr>
            <w:r>
              <w:rPr>
                <w:rFonts w:hint="eastAsia" w:ascii="宋体" w:hAnsi="宋体" w:cs="楷体_GB2312"/>
                <w:b/>
                <w:bCs/>
                <w:color w:val="auto"/>
                <w:sz w:val="24"/>
                <w:highlight w:val="none"/>
                <w:lang w:val="zh-CN"/>
              </w:rPr>
              <w:t>条款号</w:t>
            </w:r>
          </w:p>
        </w:tc>
        <w:tc>
          <w:tcPr>
            <w:tcW w:w="1874" w:type="dxa"/>
            <w:tcBorders>
              <w:top w:val="single" w:color="auto" w:sz="12" w:space="0"/>
              <w:left w:val="single" w:color="auto" w:sz="6" w:space="0"/>
              <w:bottom w:val="single" w:color="auto" w:sz="6" w:space="0"/>
              <w:right w:val="single" w:color="auto" w:sz="6" w:space="0"/>
            </w:tcBorders>
            <w:vAlign w:val="center"/>
          </w:tcPr>
          <w:p w14:paraId="5D203758">
            <w:pPr>
              <w:autoSpaceDE w:val="0"/>
              <w:autoSpaceDN w:val="0"/>
              <w:adjustRightIn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条款名称</w:t>
            </w:r>
          </w:p>
        </w:tc>
        <w:tc>
          <w:tcPr>
            <w:tcW w:w="6579" w:type="dxa"/>
            <w:tcBorders>
              <w:top w:val="single" w:color="auto" w:sz="12" w:space="0"/>
              <w:left w:val="single" w:color="auto" w:sz="6" w:space="0"/>
              <w:bottom w:val="single" w:color="auto" w:sz="6" w:space="0"/>
              <w:right w:val="single" w:color="auto" w:sz="12" w:space="0"/>
            </w:tcBorders>
            <w:vAlign w:val="center"/>
          </w:tcPr>
          <w:p w14:paraId="02C34848">
            <w:pPr>
              <w:autoSpaceDE w:val="0"/>
              <w:autoSpaceDN w:val="0"/>
              <w:adjustRightIn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编列内容</w:t>
            </w:r>
          </w:p>
        </w:tc>
      </w:tr>
      <w:tr w14:paraId="579D1405">
        <w:tblPrEx>
          <w:tblCellMar>
            <w:top w:w="0" w:type="dxa"/>
            <w:left w:w="108" w:type="dxa"/>
            <w:bottom w:w="0" w:type="dxa"/>
            <w:right w:w="108" w:type="dxa"/>
          </w:tblCellMar>
        </w:tblPrEx>
        <w:trPr>
          <w:trHeight w:val="649" w:hRule="atLeast"/>
          <w:jc w:val="center"/>
        </w:trPr>
        <w:tc>
          <w:tcPr>
            <w:tcW w:w="608" w:type="dxa"/>
            <w:vMerge w:val="restart"/>
            <w:tcBorders>
              <w:top w:val="single" w:color="auto" w:sz="6" w:space="0"/>
              <w:left w:val="single" w:color="auto" w:sz="12" w:space="0"/>
              <w:right w:val="single" w:color="auto" w:sz="6" w:space="0"/>
            </w:tcBorders>
            <w:vAlign w:val="center"/>
          </w:tcPr>
          <w:p w14:paraId="46DFDFC0">
            <w:pPr>
              <w:autoSpaceDE w:val="0"/>
              <w:autoSpaceDN w:val="0"/>
              <w:adjustRightInd w:val="0"/>
              <w:snapToGrid w:val="0"/>
              <w:spacing w:line="240" w:lineRule="auto"/>
              <w:rPr>
                <w:rFonts w:ascii="宋体" w:cs="楷体_GB2312"/>
                <w:b/>
                <w:bCs/>
                <w:color w:val="auto"/>
                <w:sz w:val="24"/>
                <w:highlight w:val="none"/>
              </w:rPr>
            </w:pPr>
            <w:r>
              <w:rPr>
                <w:rFonts w:hint="eastAsia" w:ascii="宋体" w:hAnsi="宋体" w:cs="楷体_GB2312"/>
                <w:b/>
                <w:bCs/>
                <w:color w:val="auto"/>
                <w:sz w:val="24"/>
                <w:highlight w:val="none"/>
              </w:rPr>
              <w:t>第一章</w:t>
            </w:r>
          </w:p>
        </w:tc>
        <w:tc>
          <w:tcPr>
            <w:tcW w:w="694" w:type="dxa"/>
            <w:tcBorders>
              <w:top w:val="single" w:color="auto" w:sz="6" w:space="0"/>
              <w:left w:val="single" w:color="auto" w:sz="12" w:space="0"/>
              <w:bottom w:val="single" w:color="auto" w:sz="6" w:space="0"/>
              <w:right w:val="single" w:color="auto" w:sz="6" w:space="0"/>
            </w:tcBorders>
            <w:vAlign w:val="center"/>
          </w:tcPr>
          <w:p w14:paraId="2F916A9E">
            <w:pPr>
              <w:autoSpaceDE w:val="0"/>
              <w:autoSpaceDN w:val="0"/>
              <w:adjustRightInd w:val="0"/>
              <w:snapToGrid w:val="0"/>
              <w:spacing w:line="240" w:lineRule="auto"/>
              <w:jc w:val="center"/>
              <w:rPr>
                <w:rFonts w:ascii="宋体" w:cs="楷体_GB2312"/>
                <w:b/>
                <w:bCs/>
                <w:color w:val="auto"/>
                <w:szCs w:val="21"/>
                <w:highlight w:val="none"/>
              </w:rPr>
            </w:pPr>
            <w:r>
              <w:rPr>
                <w:rFonts w:ascii="宋体" w:hAnsi="宋体" w:cs="楷体_GB2312"/>
                <w:b/>
                <w:bCs/>
                <w:color w:val="auto"/>
                <w:szCs w:val="21"/>
                <w:highlight w:val="none"/>
              </w:rPr>
              <w:t>1.</w:t>
            </w:r>
            <w:r>
              <w:rPr>
                <w:rFonts w:hint="eastAsia" w:ascii="宋体" w:hAnsi="宋体" w:cs="楷体_GB2312"/>
                <w:b/>
                <w:bCs/>
                <w:color w:val="auto"/>
                <w:szCs w:val="21"/>
                <w:highlight w:val="none"/>
              </w:rPr>
              <w:t>2</w:t>
            </w:r>
          </w:p>
        </w:tc>
        <w:tc>
          <w:tcPr>
            <w:tcW w:w="1874" w:type="dxa"/>
            <w:tcBorders>
              <w:top w:val="single" w:color="auto" w:sz="6" w:space="0"/>
              <w:left w:val="single" w:color="auto" w:sz="6" w:space="0"/>
              <w:bottom w:val="single" w:color="auto" w:sz="6" w:space="0"/>
              <w:right w:val="single" w:color="auto" w:sz="6" w:space="0"/>
            </w:tcBorders>
            <w:vAlign w:val="center"/>
          </w:tcPr>
          <w:p w14:paraId="4D1AA007">
            <w:pPr>
              <w:autoSpaceDE w:val="0"/>
              <w:autoSpaceDN w:val="0"/>
              <w:adjustRightInd w:val="0"/>
              <w:snapToGrid w:val="0"/>
              <w:spacing w:line="240" w:lineRule="auto"/>
              <w:jc w:val="center"/>
              <w:rPr>
                <w:rFonts w:ascii="宋体" w:cs="楷体_GB2312"/>
                <w:color w:val="auto"/>
                <w:sz w:val="24"/>
                <w:highlight w:val="none"/>
                <w:lang w:val="zh-CN"/>
              </w:rPr>
            </w:pPr>
            <w:r>
              <w:rPr>
                <w:rFonts w:hint="eastAsia" w:ascii="宋体" w:hAnsi="宋体" w:cs="楷体_GB2312"/>
                <w:b/>
                <w:bCs/>
                <w:color w:val="auto"/>
                <w:sz w:val="24"/>
                <w:highlight w:val="none"/>
              </w:rPr>
              <w:t>采购项目名称</w:t>
            </w:r>
          </w:p>
        </w:tc>
        <w:tc>
          <w:tcPr>
            <w:tcW w:w="6579" w:type="dxa"/>
            <w:tcBorders>
              <w:top w:val="single" w:color="auto" w:sz="6" w:space="0"/>
              <w:left w:val="single" w:color="auto" w:sz="6" w:space="0"/>
              <w:bottom w:val="single" w:color="auto" w:sz="6" w:space="0"/>
              <w:right w:val="single" w:color="auto" w:sz="12" w:space="0"/>
            </w:tcBorders>
            <w:vAlign w:val="center"/>
          </w:tcPr>
          <w:p w14:paraId="51D7453B">
            <w:pPr>
              <w:autoSpaceDE w:val="0"/>
              <w:autoSpaceDN w:val="0"/>
              <w:adjustRightInd w:val="0"/>
              <w:snapToGrid w:val="0"/>
              <w:spacing w:beforeLines="50" w:line="240" w:lineRule="auto"/>
              <w:rPr>
                <w:rFonts w:ascii="宋体" w:cs="楷体_GB2312"/>
                <w:color w:val="auto"/>
                <w:sz w:val="24"/>
                <w:highlight w:val="none"/>
                <w:lang w:val="zh-CN"/>
              </w:rPr>
            </w:pPr>
            <w:r>
              <w:rPr>
                <w:rFonts w:hint="eastAsia"/>
                <w:color w:val="auto"/>
                <w:sz w:val="24"/>
                <w:szCs w:val="24"/>
                <w:highlight w:val="none"/>
              </w:rPr>
              <w:t>见“第一章谈判公告”相应条款</w:t>
            </w:r>
          </w:p>
        </w:tc>
      </w:tr>
      <w:tr w14:paraId="19E5FEF0">
        <w:tblPrEx>
          <w:tblCellMar>
            <w:top w:w="0" w:type="dxa"/>
            <w:left w:w="108" w:type="dxa"/>
            <w:bottom w:w="0" w:type="dxa"/>
            <w:right w:w="108" w:type="dxa"/>
          </w:tblCellMar>
        </w:tblPrEx>
        <w:trPr>
          <w:trHeight w:val="531" w:hRule="atLeast"/>
          <w:jc w:val="center"/>
        </w:trPr>
        <w:tc>
          <w:tcPr>
            <w:tcW w:w="608" w:type="dxa"/>
            <w:vMerge w:val="continue"/>
            <w:tcBorders>
              <w:top w:val="single" w:color="auto" w:sz="6" w:space="0"/>
              <w:left w:val="single" w:color="auto" w:sz="12" w:space="0"/>
              <w:right w:val="single" w:color="auto" w:sz="6" w:space="0"/>
            </w:tcBorders>
            <w:vAlign w:val="center"/>
          </w:tcPr>
          <w:p w14:paraId="5895E616">
            <w:pPr>
              <w:autoSpaceDE w:val="0"/>
              <w:autoSpaceDN w:val="0"/>
              <w:adjustRightInd w:val="0"/>
              <w:snapToGrid w:val="0"/>
              <w:spacing w:line="240" w:lineRule="auto"/>
              <w:rPr>
                <w:rFonts w:ascii="宋体" w:cs="楷体_GB2312"/>
                <w:b/>
                <w:bCs/>
                <w:color w:val="auto"/>
                <w:sz w:val="24"/>
                <w:highlight w:val="none"/>
              </w:rPr>
            </w:pPr>
          </w:p>
        </w:tc>
        <w:tc>
          <w:tcPr>
            <w:tcW w:w="694" w:type="dxa"/>
            <w:tcBorders>
              <w:top w:val="single" w:color="auto" w:sz="6" w:space="0"/>
              <w:left w:val="single" w:color="auto" w:sz="12" w:space="0"/>
              <w:bottom w:val="single" w:color="auto" w:sz="6" w:space="0"/>
              <w:right w:val="single" w:color="auto" w:sz="6" w:space="0"/>
            </w:tcBorders>
            <w:vAlign w:val="center"/>
          </w:tcPr>
          <w:p w14:paraId="1240FDF0">
            <w:pPr>
              <w:autoSpaceDE w:val="0"/>
              <w:autoSpaceDN w:val="0"/>
              <w:adjustRightInd w:val="0"/>
              <w:snapToGrid w:val="0"/>
              <w:spacing w:line="240" w:lineRule="auto"/>
              <w:jc w:val="center"/>
              <w:rPr>
                <w:rFonts w:ascii="宋体" w:cs="楷体_GB2312"/>
                <w:b/>
                <w:bCs/>
                <w:color w:val="auto"/>
                <w:szCs w:val="21"/>
                <w:highlight w:val="none"/>
              </w:rPr>
            </w:pPr>
            <w:r>
              <w:rPr>
                <w:rFonts w:ascii="宋体" w:hAnsi="宋体" w:cs="楷体_GB2312"/>
                <w:b/>
                <w:bCs/>
                <w:color w:val="auto"/>
                <w:szCs w:val="21"/>
                <w:highlight w:val="none"/>
              </w:rPr>
              <w:t>1.</w:t>
            </w:r>
            <w:r>
              <w:rPr>
                <w:rFonts w:hint="eastAsia" w:ascii="宋体" w:hAnsi="宋体" w:cs="楷体_GB2312"/>
                <w:b/>
                <w:bCs/>
                <w:color w:val="auto"/>
                <w:szCs w:val="21"/>
                <w:highlight w:val="none"/>
              </w:rPr>
              <w:t>1</w:t>
            </w:r>
          </w:p>
        </w:tc>
        <w:tc>
          <w:tcPr>
            <w:tcW w:w="1874" w:type="dxa"/>
            <w:tcBorders>
              <w:top w:val="single" w:color="auto" w:sz="6" w:space="0"/>
              <w:left w:val="single" w:color="auto" w:sz="6" w:space="0"/>
              <w:bottom w:val="single" w:color="auto" w:sz="6" w:space="0"/>
              <w:right w:val="single" w:color="auto" w:sz="6" w:space="0"/>
            </w:tcBorders>
            <w:vAlign w:val="center"/>
          </w:tcPr>
          <w:p w14:paraId="15D73347">
            <w:pPr>
              <w:autoSpaceDE w:val="0"/>
              <w:autoSpaceDN w:val="0"/>
              <w:adjustRightInd w:val="0"/>
              <w:snapToGrid w:val="0"/>
              <w:spacing w:line="240" w:lineRule="auto"/>
              <w:jc w:val="center"/>
              <w:rPr>
                <w:rFonts w:ascii="宋体" w:cs="楷体_GB2312"/>
                <w:b/>
                <w:bCs/>
                <w:color w:val="auto"/>
                <w:sz w:val="24"/>
                <w:highlight w:val="none"/>
              </w:rPr>
            </w:pPr>
            <w:r>
              <w:rPr>
                <w:rFonts w:hint="eastAsia" w:ascii="宋体" w:hAnsi="宋体" w:cs="楷体_GB2312"/>
                <w:b/>
                <w:bCs/>
                <w:color w:val="auto"/>
                <w:sz w:val="24"/>
                <w:highlight w:val="none"/>
              </w:rPr>
              <w:t>项目编号</w:t>
            </w:r>
          </w:p>
        </w:tc>
        <w:tc>
          <w:tcPr>
            <w:tcW w:w="6579" w:type="dxa"/>
            <w:tcBorders>
              <w:top w:val="single" w:color="auto" w:sz="6" w:space="0"/>
              <w:left w:val="single" w:color="auto" w:sz="6" w:space="0"/>
              <w:bottom w:val="single" w:color="auto" w:sz="6" w:space="0"/>
              <w:right w:val="single" w:color="auto" w:sz="12" w:space="0"/>
            </w:tcBorders>
            <w:vAlign w:val="center"/>
          </w:tcPr>
          <w:p w14:paraId="06A26083">
            <w:pPr>
              <w:autoSpaceDE w:val="0"/>
              <w:autoSpaceDN w:val="0"/>
              <w:adjustRightInd w:val="0"/>
              <w:snapToGrid w:val="0"/>
              <w:spacing w:beforeLines="50" w:line="240" w:lineRule="auto"/>
              <w:rPr>
                <w:color w:val="auto"/>
                <w:sz w:val="24"/>
                <w:szCs w:val="24"/>
                <w:highlight w:val="none"/>
              </w:rPr>
            </w:pPr>
            <w:r>
              <w:rPr>
                <w:rFonts w:hint="eastAsia"/>
                <w:color w:val="auto"/>
                <w:sz w:val="24"/>
                <w:szCs w:val="24"/>
                <w:highlight w:val="none"/>
              </w:rPr>
              <w:t>见“第一章谈判公告”相应条款</w:t>
            </w:r>
          </w:p>
        </w:tc>
      </w:tr>
      <w:tr w14:paraId="42BBD20A">
        <w:tblPrEx>
          <w:tblCellMar>
            <w:top w:w="0" w:type="dxa"/>
            <w:left w:w="108" w:type="dxa"/>
            <w:bottom w:w="0" w:type="dxa"/>
            <w:right w:w="108" w:type="dxa"/>
          </w:tblCellMar>
        </w:tblPrEx>
        <w:trPr>
          <w:trHeight w:val="567" w:hRule="atLeast"/>
          <w:jc w:val="center"/>
        </w:trPr>
        <w:tc>
          <w:tcPr>
            <w:tcW w:w="608" w:type="dxa"/>
            <w:vMerge w:val="continue"/>
            <w:tcBorders>
              <w:top w:val="single" w:color="auto" w:sz="6" w:space="0"/>
              <w:left w:val="single" w:color="auto" w:sz="12" w:space="0"/>
              <w:right w:val="single" w:color="auto" w:sz="6" w:space="0"/>
            </w:tcBorders>
            <w:vAlign w:val="center"/>
          </w:tcPr>
          <w:p w14:paraId="4A356CB2">
            <w:pPr>
              <w:autoSpaceDE w:val="0"/>
              <w:autoSpaceDN w:val="0"/>
              <w:adjustRightInd w:val="0"/>
              <w:snapToGrid w:val="0"/>
              <w:spacing w:line="240" w:lineRule="auto"/>
              <w:rPr>
                <w:rFonts w:ascii="宋体" w:cs="楷体_GB2312"/>
                <w:b/>
                <w:bCs/>
                <w:color w:val="auto"/>
                <w:sz w:val="24"/>
                <w:highlight w:val="none"/>
              </w:rPr>
            </w:pPr>
          </w:p>
        </w:tc>
        <w:tc>
          <w:tcPr>
            <w:tcW w:w="694" w:type="dxa"/>
            <w:tcBorders>
              <w:top w:val="single" w:color="auto" w:sz="6" w:space="0"/>
              <w:left w:val="single" w:color="auto" w:sz="12" w:space="0"/>
              <w:bottom w:val="single" w:color="auto" w:sz="6" w:space="0"/>
              <w:right w:val="single" w:color="auto" w:sz="6" w:space="0"/>
            </w:tcBorders>
            <w:vAlign w:val="center"/>
          </w:tcPr>
          <w:p w14:paraId="4B29E3C0">
            <w:pPr>
              <w:autoSpaceDE w:val="0"/>
              <w:autoSpaceDN w:val="0"/>
              <w:adjustRightInd w:val="0"/>
              <w:snapToGrid w:val="0"/>
              <w:spacing w:line="240" w:lineRule="auto"/>
              <w:jc w:val="center"/>
              <w:rPr>
                <w:rFonts w:ascii="宋体" w:cs="楷体_GB2312"/>
                <w:b/>
                <w:bCs/>
                <w:color w:val="auto"/>
                <w:szCs w:val="21"/>
                <w:highlight w:val="none"/>
              </w:rPr>
            </w:pPr>
            <w:r>
              <w:rPr>
                <w:rFonts w:ascii="宋体" w:hAnsi="宋体" w:cs="楷体_GB2312"/>
                <w:b/>
                <w:bCs/>
                <w:color w:val="auto"/>
                <w:szCs w:val="21"/>
                <w:highlight w:val="none"/>
              </w:rPr>
              <w:t>1.3</w:t>
            </w:r>
          </w:p>
        </w:tc>
        <w:tc>
          <w:tcPr>
            <w:tcW w:w="1874" w:type="dxa"/>
            <w:tcBorders>
              <w:top w:val="single" w:color="auto" w:sz="6" w:space="0"/>
              <w:left w:val="single" w:color="auto" w:sz="6" w:space="0"/>
              <w:bottom w:val="single" w:color="auto" w:sz="6" w:space="0"/>
              <w:right w:val="single" w:color="auto" w:sz="6" w:space="0"/>
            </w:tcBorders>
            <w:vAlign w:val="center"/>
          </w:tcPr>
          <w:p w14:paraId="1C9FB743">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采购方式</w:t>
            </w:r>
          </w:p>
        </w:tc>
        <w:tc>
          <w:tcPr>
            <w:tcW w:w="6579" w:type="dxa"/>
            <w:tcBorders>
              <w:top w:val="single" w:color="auto" w:sz="6" w:space="0"/>
              <w:left w:val="single" w:color="auto" w:sz="6" w:space="0"/>
              <w:bottom w:val="single" w:color="auto" w:sz="6" w:space="0"/>
              <w:right w:val="single" w:color="auto" w:sz="12" w:space="0"/>
            </w:tcBorders>
            <w:vAlign w:val="center"/>
          </w:tcPr>
          <w:p w14:paraId="0F044C6D">
            <w:pPr>
              <w:autoSpaceDE w:val="0"/>
              <w:autoSpaceDN w:val="0"/>
              <w:adjustRightInd w:val="0"/>
              <w:snapToGrid w:val="0"/>
              <w:spacing w:beforeLines="50" w:line="240" w:lineRule="auto"/>
              <w:rPr>
                <w:rFonts w:ascii="宋体" w:cs="楷体_GB2312"/>
                <w:color w:val="auto"/>
                <w:sz w:val="24"/>
                <w:highlight w:val="none"/>
                <w:lang w:val="zh-CN"/>
              </w:rPr>
            </w:pPr>
            <w:r>
              <w:rPr>
                <w:rFonts w:hint="eastAsia"/>
                <w:color w:val="auto"/>
                <w:sz w:val="24"/>
                <w:szCs w:val="24"/>
                <w:highlight w:val="none"/>
              </w:rPr>
              <w:t>见“第一章谈判公告”相应条款</w:t>
            </w:r>
          </w:p>
        </w:tc>
      </w:tr>
      <w:tr w14:paraId="1B3E9A27">
        <w:tblPrEx>
          <w:tblCellMar>
            <w:top w:w="0" w:type="dxa"/>
            <w:left w:w="108" w:type="dxa"/>
            <w:bottom w:w="0" w:type="dxa"/>
            <w:right w:w="108" w:type="dxa"/>
          </w:tblCellMar>
        </w:tblPrEx>
        <w:trPr>
          <w:trHeight w:val="370" w:hRule="atLeast"/>
          <w:jc w:val="center"/>
        </w:trPr>
        <w:tc>
          <w:tcPr>
            <w:tcW w:w="608" w:type="dxa"/>
            <w:vMerge w:val="continue"/>
            <w:tcBorders>
              <w:left w:val="single" w:color="auto" w:sz="12" w:space="0"/>
              <w:right w:val="single" w:color="auto" w:sz="6" w:space="0"/>
            </w:tcBorders>
          </w:tcPr>
          <w:p w14:paraId="78B5EE49">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14:paraId="534DC17C">
            <w:pPr>
              <w:autoSpaceDE w:val="0"/>
              <w:autoSpaceDN w:val="0"/>
              <w:adjustRightInd w:val="0"/>
              <w:snapToGrid w:val="0"/>
              <w:spacing w:line="240" w:lineRule="auto"/>
              <w:jc w:val="center"/>
              <w:rPr>
                <w:rFonts w:ascii="宋体" w:cs="楷体_GB2312"/>
                <w:b/>
                <w:bCs/>
                <w:color w:val="auto"/>
                <w:szCs w:val="21"/>
                <w:highlight w:val="none"/>
                <w:lang w:val="zh-CN"/>
              </w:rPr>
            </w:pPr>
            <w:r>
              <w:rPr>
                <w:rFonts w:ascii="宋体" w:hAnsi="宋体" w:cs="楷体_GB2312"/>
                <w:b/>
                <w:bCs/>
                <w:color w:val="auto"/>
                <w:szCs w:val="21"/>
                <w:highlight w:val="none"/>
                <w:lang w:val="zh-CN"/>
              </w:rPr>
              <w:t>1.</w:t>
            </w:r>
            <w:r>
              <w:rPr>
                <w:rFonts w:hint="eastAsia" w:ascii="宋体" w:hAnsi="宋体" w:cs="楷体_GB2312"/>
                <w:b/>
                <w:bCs/>
                <w:color w:val="auto"/>
                <w:szCs w:val="21"/>
                <w:highlight w:val="none"/>
                <w:lang w:val="zh-CN"/>
              </w:rPr>
              <w:t>4</w:t>
            </w:r>
          </w:p>
        </w:tc>
        <w:tc>
          <w:tcPr>
            <w:tcW w:w="1874" w:type="dxa"/>
            <w:tcBorders>
              <w:top w:val="single" w:color="auto" w:sz="6" w:space="0"/>
              <w:left w:val="single" w:color="auto" w:sz="6" w:space="0"/>
              <w:bottom w:val="single" w:color="auto" w:sz="6" w:space="0"/>
              <w:right w:val="single" w:color="auto" w:sz="6" w:space="0"/>
            </w:tcBorders>
            <w:vAlign w:val="center"/>
          </w:tcPr>
          <w:p w14:paraId="798C786A">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预算金额</w:t>
            </w:r>
          </w:p>
        </w:tc>
        <w:tc>
          <w:tcPr>
            <w:tcW w:w="6579" w:type="dxa"/>
            <w:tcBorders>
              <w:top w:val="single" w:color="auto" w:sz="6" w:space="0"/>
              <w:left w:val="single" w:color="auto" w:sz="6" w:space="0"/>
              <w:bottom w:val="single" w:color="auto" w:sz="6" w:space="0"/>
              <w:right w:val="single" w:color="auto" w:sz="12" w:space="0"/>
            </w:tcBorders>
            <w:vAlign w:val="center"/>
          </w:tcPr>
          <w:p w14:paraId="654CF9D3">
            <w:pPr>
              <w:autoSpaceDE w:val="0"/>
              <w:autoSpaceDN w:val="0"/>
              <w:adjustRightInd w:val="0"/>
              <w:snapToGrid w:val="0"/>
              <w:spacing w:beforeLines="50" w:line="240" w:lineRule="auto"/>
              <w:rPr>
                <w:rFonts w:ascii="宋体" w:cs="楷体_GB2312"/>
                <w:color w:val="auto"/>
                <w:sz w:val="24"/>
                <w:highlight w:val="none"/>
                <w:lang w:val="zh-CN"/>
              </w:rPr>
            </w:pPr>
            <w:r>
              <w:rPr>
                <w:rFonts w:hint="eastAsia"/>
                <w:color w:val="auto"/>
                <w:sz w:val="24"/>
                <w:szCs w:val="24"/>
                <w:highlight w:val="none"/>
              </w:rPr>
              <w:t>见“第一章谈判公告”相应条款。</w:t>
            </w:r>
            <w:r>
              <w:rPr>
                <w:rFonts w:hint="eastAsia" w:ascii="宋体" w:hAnsi="宋体" w:cs="楷体_GB2312"/>
                <w:b/>
                <w:color w:val="auto"/>
                <w:sz w:val="24"/>
                <w:highlight w:val="none"/>
                <w:lang w:val="zh-CN"/>
              </w:rPr>
              <w:t>注：投标人的投标报价未超过预算金额的不足三家时，该项目（标段&lt;包&gt;）终止。</w:t>
            </w:r>
          </w:p>
        </w:tc>
      </w:tr>
      <w:tr w14:paraId="57D0756A">
        <w:tblPrEx>
          <w:tblCellMar>
            <w:top w:w="0" w:type="dxa"/>
            <w:left w:w="108" w:type="dxa"/>
            <w:bottom w:w="0" w:type="dxa"/>
            <w:right w:w="108" w:type="dxa"/>
          </w:tblCellMar>
        </w:tblPrEx>
        <w:trPr>
          <w:trHeight w:val="90" w:hRule="atLeast"/>
          <w:jc w:val="center"/>
        </w:trPr>
        <w:tc>
          <w:tcPr>
            <w:tcW w:w="608" w:type="dxa"/>
            <w:vMerge w:val="continue"/>
            <w:tcBorders>
              <w:left w:val="single" w:color="auto" w:sz="12" w:space="0"/>
              <w:right w:val="single" w:color="auto" w:sz="6" w:space="0"/>
            </w:tcBorders>
          </w:tcPr>
          <w:p w14:paraId="3DE52A74">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14:paraId="7657DCFC">
            <w:pPr>
              <w:autoSpaceDE w:val="0"/>
              <w:autoSpaceDN w:val="0"/>
              <w:adjustRightInd w:val="0"/>
              <w:snapToGrid w:val="0"/>
              <w:spacing w:line="240" w:lineRule="auto"/>
              <w:jc w:val="center"/>
              <w:rPr>
                <w:rFonts w:ascii="宋体" w:cs="楷体_GB2312"/>
                <w:b/>
                <w:bCs/>
                <w:color w:val="auto"/>
                <w:szCs w:val="21"/>
                <w:highlight w:val="none"/>
                <w:lang w:val="zh-CN"/>
              </w:rPr>
            </w:pPr>
            <w:r>
              <w:rPr>
                <w:rFonts w:ascii="宋体" w:hAnsi="宋体" w:cs="楷体_GB2312"/>
                <w:b/>
                <w:bCs/>
                <w:color w:val="auto"/>
                <w:szCs w:val="21"/>
                <w:highlight w:val="none"/>
                <w:lang w:val="zh-CN"/>
              </w:rPr>
              <w:t>2</w:t>
            </w:r>
          </w:p>
        </w:tc>
        <w:tc>
          <w:tcPr>
            <w:tcW w:w="1874" w:type="dxa"/>
            <w:tcBorders>
              <w:top w:val="single" w:color="auto" w:sz="6" w:space="0"/>
              <w:left w:val="single" w:color="auto" w:sz="6" w:space="0"/>
              <w:bottom w:val="single" w:color="auto" w:sz="6" w:space="0"/>
              <w:right w:val="single" w:color="auto" w:sz="6" w:space="0"/>
            </w:tcBorders>
            <w:vAlign w:val="center"/>
          </w:tcPr>
          <w:p w14:paraId="793C4EEF">
            <w:pPr>
              <w:autoSpaceDE w:val="0"/>
              <w:autoSpaceDN w:val="0"/>
              <w:adjustRightInd w:val="0"/>
              <w:snapToGrid w:val="0"/>
              <w:spacing w:line="240" w:lineRule="auto"/>
              <w:ind w:right="-73" w:rightChars="-35"/>
              <w:jc w:val="center"/>
              <w:rPr>
                <w:rFonts w:ascii="宋体"/>
                <w:b/>
                <w:color w:val="auto"/>
                <w:sz w:val="24"/>
                <w:szCs w:val="24"/>
                <w:highlight w:val="none"/>
              </w:rPr>
            </w:pPr>
            <w:r>
              <w:rPr>
                <w:rFonts w:hint="eastAsia" w:ascii="宋体" w:hAnsi="宋体"/>
                <w:b/>
                <w:color w:val="auto"/>
                <w:sz w:val="24"/>
                <w:szCs w:val="24"/>
                <w:highlight w:val="none"/>
              </w:rPr>
              <w:t>申请人的资格要求及相关证明材料要求</w:t>
            </w:r>
          </w:p>
        </w:tc>
        <w:tc>
          <w:tcPr>
            <w:tcW w:w="6579" w:type="dxa"/>
            <w:tcBorders>
              <w:top w:val="single" w:color="auto" w:sz="6" w:space="0"/>
              <w:left w:val="single" w:color="auto" w:sz="6" w:space="0"/>
              <w:bottom w:val="single" w:color="auto" w:sz="6" w:space="0"/>
              <w:right w:val="single" w:color="auto" w:sz="12" w:space="0"/>
            </w:tcBorders>
            <w:vAlign w:val="center"/>
          </w:tcPr>
          <w:p w14:paraId="499D9D27">
            <w:pPr>
              <w:autoSpaceDE w:val="0"/>
              <w:autoSpaceDN w:val="0"/>
              <w:adjustRightInd w:val="0"/>
              <w:snapToGrid w:val="0"/>
              <w:spacing w:beforeLines="50" w:line="240" w:lineRule="auto"/>
              <w:rPr>
                <w:color w:val="auto"/>
                <w:sz w:val="24"/>
                <w:szCs w:val="24"/>
                <w:highlight w:val="none"/>
              </w:rPr>
            </w:pPr>
            <w:r>
              <w:rPr>
                <w:rFonts w:hint="eastAsia"/>
                <w:color w:val="auto"/>
                <w:sz w:val="24"/>
                <w:szCs w:val="24"/>
                <w:highlight w:val="none"/>
              </w:rPr>
              <w:t>见“第一章谈判公告”相应条款</w:t>
            </w:r>
          </w:p>
        </w:tc>
      </w:tr>
      <w:tr w14:paraId="36A1E6F7">
        <w:tblPrEx>
          <w:tblCellMar>
            <w:top w:w="0" w:type="dxa"/>
            <w:left w:w="108" w:type="dxa"/>
            <w:bottom w:w="0" w:type="dxa"/>
            <w:right w:w="108" w:type="dxa"/>
          </w:tblCellMar>
        </w:tblPrEx>
        <w:trPr>
          <w:trHeight w:val="90" w:hRule="atLeast"/>
          <w:jc w:val="center"/>
        </w:trPr>
        <w:tc>
          <w:tcPr>
            <w:tcW w:w="608" w:type="dxa"/>
            <w:vMerge w:val="continue"/>
            <w:tcBorders>
              <w:left w:val="single" w:color="auto" w:sz="12" w:space="0"/>
              <w:right w:val="single" w:color="auto" w:sz="6" w:space="0"/>
            </w:tcBorders>
          </w:tcPr>
          <w:p w14:paraId="0580F799">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14:paraId="1F6316EC">
            <w:pPr>
              <w:autoSpaceDE w:val="0"/>
              <w:autoSpaceDN w:val="0"/>
              <w:adjustRightInd w:val="0"/>
              <w:snapToGrid w:val="0"/>
              <w:spacing w:line="240" w:lineRule="auto"/>
              <w:jc w:val="center"/>
              <w:rPr>
                <w:rFonts w:ascii="宋体" w:cs="楷体_GB2312"/>
                <w:b/>
                <w:bCs/>
                <w:color w:val="auto"/>
                <w:szCs w:val="21"/>
                <w:highlight w:val="none"/>
                <w:lang w:val="zh-CN"/>
              </w:rPr>
            </w:pPr>
            <w:r>
              <w:rPr>
                <w:rFonts w:hint="eastAsia" w:ascii="宋体" w:hAnsi="宋体" w:cs="楷体_GB2312"/>
                <w:b/>
                <w:bCs/>
                <w:color w:val="auto"/>
                <w:szCs w:val="21"/>
                <w:highlight w:val="none"/>
                <w:lang w:val="zh-CN"/>
              </w:rPr>
              <w:t>8.1</w:t>
            </w:r>
          </w:p>
        </w:tc>
        <w:tc>
          <w:tcPr>
            <w:tcW w:w="1874" w:type="dxa"/>
            <w:tcBorders>
              <w:top w:val="single" w:color="auto" w:sz="6" w:space="0"/>
              <w:left w:val="single" w:color="auto" w:sz="6" w:space="0"/>
              <w:bottom w:val="single" w:color="auto" w:sz="6" w:space="0"/>
              <w:right w:val="single" w:color="auto" w:sz="6" w:space="0"/>
            </w:tcBorders>
            <w:vAlign w:val="center"/>
          </w:tcPr>
          <w:p w14:paraId="003C3AE3">
            <w:pPr>
              <w:autoSpaceDE w:val="0"/>
              <w:autoSpaceDN w:val="0"/>
              <w:adjustRightInd w:val="0"/>
              <w:snapToGrid w:val="0"/>
              <w:spacing w:line="240" w:lineRule="auto"/>
              <w:ind w:right="-73" w:rightChars="-35"/>
              <w:jc w:val="center"/>
              <w:rPr>
                <w:rFonts w:ascii="宋体"/>
                <w:b/>
                <w:color w:val="auto"/>
                <w:sz w:val="24"/>
                <w:szCs w:val="24"/>
                <w:highlight w:val="none"/>
              </w:rPr>
            </w:pPr>
            <w:r>
              <w:rPr>
                <w:rFonts w:hint="eastAsia" w:ascii="宋体" w:hAnsi="宋体"/>
                <w:b/>
                <w:color w:val="auto"/>
                <w:sz w:val="24"/>
                <w:szCs w:val="24"/>
                <w:highlight w:val="none"/>
              </w:rPr>
              <w:t>采购人</w:t>
            </w:r>
          </w:p>
        </w:tc>
        <w:tc>
          <w:tcPr>
            <w:tcW w:w="6579" w:type="dxa"/>
            <w:tcBorders>
              <w:top w:val="single" w:color="auto" w:sz="6" w:space="0"/>
              <w:left w:val="single" w:color="auto" w:sz="6" w:space="0"/>
              <w:bottom w:val="single" w:color="auto" w:sz="6" w:space="0"/>
              <w:right w:val="single" w:color="auto" w:sz="12" w:space="0"/>
            </w:tcBorders>
            <w:vAlign w:val="center"/>
          </w:tcPr>
          <w:p w14:paraId="4DA19CD7">
            <w:pPr>
              <w:autoSpaceDE w:val="0"/>
              <w:autoSpaceDN w:val="0"/>
              <w:adjustRightInd w:val="0"/>
              <w:snapToGrid w:val="0"/>
              <w:spacing w:beforeLines="50" w:line="240" w:lineRule="auto"/>
              <w:rPr>
                <w:color w:val="auto"/>
                <w:sz w:val="24"/>
                <w:szCs w:val="24"/>
                <w:highlight w:val="none"/>
              </w:rPr>
            </w:pPr>
            <w:r>
              <w:rPr>
                <w:rFonts w:hint="eastAsia"/>
                <w:color w:val="auto"/>
                <w:sz w:val="24"/>
                <w:szCs w:val="24"/>
                <w:highlight w:val="none"/>
              </w:rPr>
              <w:t>见“第一章谈判公告”相应条款</w:t>
            </w:r>
          </w:p>
        </w:tc>
      </w:tr>
      <w:tr w14:paraId="694370AA">
        <w:tblPrEx>
          <w:tblCellMar>
            <w:top w:w="0" w:type="dxa"/>
            <w:left w:w="108" w:type="dxa"/>
            <w:bottom w:w="0" w:type="dxa"/>
            <w:right w:w="108" w:type="dxa"/>
          </w:tblCellMar>
        </w:tblPrEx>
        <w:trPr>
          <w:trHeight w:val="90" w:hRule="atLeast"/>
          <w:jc w:val="center"/>
        </w:trPr>
        <w:tc>
          <w:tcPr>
            <w:tcW w:w="608" w:type="dxa"/>
            <w:vMerge w:val="continue"/>
            <w:tcBorders>
              <w:left w:val="single" w:color="auto" w:sz="12" w:space="0"/>
              <w:bottom w:val="single" w:color="auto" w:sz="6" w:space="0"/>
              <w:right w:val="single" w:color="auto" w:sz="6" w:space="0"/>
            </w:tcBorders>
          </w:tcPr>
          <w:p w14:paraId="36E2F9A9">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14:paraId="5A828181">
            <w:pPr>
              <w:autoSpaceDE w:val="0"/>
              <w:autoSpaceDN w:val="0"/>
              <w:adjustRightInd w:val="0"/>
              <w:snapToGrid w:val="0"/>
              <w:spacing w:line="240" w:lineRule="auto"/>
              <w:jc w:val="center"/>
              <w:rPr>
                <w:rFonts w:ascii="宋体" w:cs="楷体_GB2312"/>
                <w:b/>
                <w:bCs/>
                <w:color w:val="auto"/>
                <w:szCs w:val="21"/>
                <w:highlight w:val="none"/>
                <w:lang w:val="zh-CN"/>
              </w:rPr>
            </w:pPr>
            <w:r>
              <w:rPr>
                <w:rFonts w:hint="eastAsia" w:ascii="宋体" w:hAnsi="宋体" w:cs="楷体_GB2312"/>
                <w:b/>
                <w:bCs/>
                <w:color w:val="auto"/>
                <w:szCs w:val="21"/>
                <w:highlight w:val="none"/>
                <w:lang w:val="zh-CN"/>
              </w:rPr>
              <w:t>8.2</w:t>
            </w:r>
          </w:p>
        </w:tc>
        <w:tc>
          <w:tcPr>
            <w:tcW w:w="1874" w:type="dxa"/>
            <w:tcBorders>
              <w:top w:val="single" w:color="auto" w:sz="6" w:space="0"/>
              <w:left w:val="single" w:color="auto" w:sz="6" w:space="0"/>
              <w:bottom w:val="single" w:color="auto" w:sz="6" w:space="0"/>
              <w:right w:val="single" w:color="auto" w:sz="6" w:space="0"/>
            </w:tcBorders>
            <w:vAlign w:val="center"/>
          </w:tcPr>
          <w:p w14:paraId="4455A857">
            <w:pPr>
              <w:autoSpaceDE w:val="0"/>
              <w:autoSpaceDN w:val="0"/>
              <w:adjustRightInd w:val="0"/>
              <w:snapToGrid w:val="0"/>
              <w:spacing w:line="240" w:lineRule="auto"/>
              <w:ind w:right="-73" w:rightChars="-35"/>
              <w:jc w:val="center"/>
              <w:rPr>
                <w:rFonts w:ascii="宋体"/>
                <w:b/>
                <w:color w:val="auto"/>
                <w:sz w:val="24"/>
                <w:szCs w:val="24"/>
                <w:highlight w:val="none"/>
              </w:rPr>
            </w:pPr>
            <w:r>
              <w:rPr>
                <w:rFonts w:hint="eastAsia" w:ascii="宋体" w:hAnsi="宋体"/>
                <w:b/>
                <w:color w:val="auto"/>
                <w:sz w:val="24"/>
                <w:szCs w:val="24"/>
                <w:highlight w:val="none"/>
              </w:rPr>
              <w:t>采购代理机构</w:t>
            </w:r>
          </w:p>
        </w:tc>
        <w:tc>
          <w:tcPr>
            <w:tcW w:w="6579" w:type="dxa"/>
            <w:tcBorders>
              <w:top w:val="single" w:color="auto" w:sz="6" w:space="0"/>
              <w:left w:val="single" w:color="auto" w:sz="6" w:space="0"/>
              <w:bottom w:val="single" w:color="auto" w:sz="6" w:space="0"/>
              <w:right w:val="single" w:color="auto" w:sz="12" w:space="0"/>
            </w:tcBorders>
            <w:vAlign w:val="center"/>
          </w:tcPr>
          <w:p w14:paraId="142AEBEB">
            <w:pPr>
              <w:autoSpaceDE w:val="0"/>
              <w:autoSpaceDN w:val="0"/>
              <w:adjustRightInd w:val="0"/>
              <w:snapToGrid w:val="0"/>
              <w:spacing w:beforeLines="50" w:line="240" w:lineRule="auto"/>
              <w:rPr>
                <w:color w:val="auto"/>
                <w:sz w:val="24"/>
                <w:szCs w:val="24"/>
                <w:highlight w:val="none"/>
              </w:rPr>
            </w:pPr>
            <w:r>
              <w:rPr>
                <w:rFonts w:hint="eastAsia"/>
                <w:color w:val="auto"/>
                <w:sz w:val="24"/>
                <w:szCs w:val="24"/>
                <w:highlight w:val="none"/>
              </w:rPr>
              <w:t>见“第一章谈判公告”相应条款</w:t>
            </w:r>
          </w:p>
        </w:tc>
      </w:tr>
      <w:tr w14:paraId="3E55F9C3">
        <w:tblPrEx>
          <w:tblCellMar>
            <w:top w:w="0" w:type="dxa"/>
            <w:left w:w="108" w:type="dxa"/>
            <w:bottom w:w="0" w:type="dxa"/>
            <w:right w:w="108" w:type="dxa"/>
          </w:tblCellMar>
        </w:tblPrEx>
        <w:trPr>
          <w:trHeight w:val="90" w:hRule="atLeast"/>
          <w:jc w:val="center"/>
        </w:trPr>
        <w:tc>
          <w:tcPr>
            <w:tcW w:w="608" w:type="dxa"/>
            <w:vMerge w:val="restart"/>
            <w:tcBorders>
              <w:top w:val="single" w:color="auto" w:sz="6" w:space="0"/>
              <w:left w:val="single" w:color="auto" w:sz="12" w:space="0"/>
              <w:right w:val="single" w:color="auto" w:sz="6" w:space="0"/>
            </w:tcBorders>
            <w:vAlign w:val="center"/>
          </w:tcPr>
          <w:p w14:paraId="3395F138">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第二章</w:t>
            </w:r>
          </w:p>
        </w:tc>
        <w:tc>
          <w:tcPr>
            <w:tcW w:w="694" w:type="dxa"/>
            <w:tcBorders>
              <w:top w:val="single" w:color="auto" w:sz="6" w:space="0"/>
              <w:left w:val="single" w:color="auto" w:sz="12" w:space="0"/>
              <w:bottom w:val="single" w:color="auto" w:sz="6" w:space="0"/>
              <w:right w:val="single" w:color="auto" w:sz="6" w:space="0"/>
            </w:tcBorders>
            <w:vAlign w:val="center"/>
          </w:tcPr>
          <w:p w14:paraId="1374C06A">
            <w:pPr>
              <w:autoSpaceDE w:val="0"/>
              <w:autoSpaceDN w:val="0"/>
              <w:adjustRightInd w:val="0"/>
              <w:snapToGrid w:val="0"/>
              <w:spacing w:line="240" w:lineRule="auto"/>
              <w:jc w:val="center"/>
              <w:rPr>
                <w:rFonts w:ascii="宋体" w:cs="楷体_GB2312"/>
                <w:b/>
                <w:bCs/>
                <w:color w:val="auto"/>
                <w:szCs w:val="21"/>
                <w:highlight w:val="none"/>
                <w:lang w:val="zh-CN"/>
              </w:rPr>
            </w:pPr>
            <w:r>
              <w:rPr>
                <w:rFonts w:ascii="宋体" w:hAnsi="宋体" w:cs="楷体_GB2312"/>
                <w:b/>
                <w:bCs/>
                <w:color w:val="auto"/>
                <w:szCs w:val="21"/>
                <w:highlight w:val="none"/>
                <w:lang w:val="zh-CN"/>
              </w:rPr>
              <w:t>1.2</w:t>
            </w:r>
          </w:p>
        </w:tc>
        <w:tc>
          <w:tcPr>
            <w:tcW w:w="1874" w:type="dxa"/>
            <w:tcBorders>
              <w:top w:val="single" w:color="auto" w:sz="6" w:space="0"/>
              <w:left w:val="single" w:color="auto" w:sz="6" w:space="0"/>
              <w:bottom w:val="single" w:color="auto" w:sz="6" w:space="0"/>
              <w:right w:val="single" w:color="auto" w:sz="6" w:space="0"/>
            </w:tcBorders>
            <w:vAlign w:val="center"/>
          </w:tcPr>
          <w:p w14:paraId="1782A65F">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b/>
                <w:color w:val="auto"/>
                <w:sz w:val="24"/>
                <w:szCs w:val="24"/>
                <w:highlight w:val="none"/>
              </w:rPr>
              <w:t>标段（包）划分</w:t>
            </w:r>
          </w:p>
        </w:tc>
        <w:tc>
          <w:tcPr>
            <w:tcW w:w="6579" w:type="dxa"/>
            <w:tcBorders>
              <w:top w:val="single" w:color="auto" w:sz="6" w:space="0"/>
              <w:left w:val="single" w:color="auto" w:sz="6" w:space="0"/>
              <w:bottom w:val="single" w:color="auto" w:sz="6" w:space="0"/>
              <w:right w:val="single" w:color="auto" w:sz="12" w:space="0"/>
            </w:tcBorders>
            <w:vAlign w:val="center"/>
          </w:tcPr>
          <w:p w14:paraId="4E2545B3">
            <w:pPr>
              <w:autoSpaceDE w:val="0"/>
              <w:autoSpaceDN w:val="0"/>
              <w:adjustRightInd w:val="0"/>
              <w:snapToGrid w:val="0"/>
              <w:spacing w:beforeLines="50" w:line="240" w:lineRule="auto"/>
              <w:rPr>
                <w:rFonts w:ascii="宋体" w:cs="楷体_GB2312"/>
                <w:color w:val="auto"/>
                <w:sz w:val="24"/>
                <w:highlight w:val="none"/>
                <w:lang w:val="zh-CN"/>
              </w:rPr>
            </w:pPr>
            <w:r>
              <w:rPr>
                <w:rFonts w:hint="eastAsia"/>
                <w:color w:val="auto"/>
                <w:sz w:val="24"/>
                <w:szCs w:val="24"/>
                <w:highlight w:val="none"/>
              </w:rPr>
              <w:t>见“第二章采购项目及技术服务要求”相应条款</w:t>
            </w:r>
          </w:p>
        </w:tc>
      </w:tr>
      <w:tr w14:paraId="63D5531B">
        <w:tblPrEx>
          <w:tblCellMar>
            <w:top w:w="0" w:type="dxa"/>
            <w:left w:w="108" w:type="dxa"/>
            <w:bottom w:w="0" w:type="dxa"/>
            <w:right w:w="108" w:type="dxa"/>
          </w:tblCellMar>
        </w:tblPrEx>
        <w:trPr>
          <w:trHeight w:val="90" w:hRule="atLeast"/>
          <w:jc w:val="center"/>
        </w:trPr>
        <w:tc>
          <w:tcPr>
            <w:tcW w:w="608" w:type="dxa"/>
            <w:vMerge w:val="continue"/>
            <w:tcBorders>
              <w:left w:val="single" w:color="auto" w:sz="12" w:space="0"/>
              <w:right w:val="single" w:color="auto" w:sz="6" w:space="0"/>
            </w:tcBorders>
          </w:tcPr>
          <w:p w14:paraId="3054ACD9">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14:paraId="570E23DE">
            <w:pPr>
              <w:autoSpaceDE w:val="0"/>
              <w:autoSpaceDN w:val="0"/>
              <w:adjustRightInd w:val="0"/>
              <w:snapToGrid w:val="0"/>
              <w:spacing w:line="240" w:lineRule="auto"/>
              <w:jc w:val="center"/>
              <w:rPr>
                <w:rFonts w:ascii="宋体" w:cs="楷体_GB2312"/>
                <w:b/>
                <w:bCs/>
                <w:color w:val="auto"/>
                <w:szCs w:val="21"/>
                <w:highlight w:val="none"/>
                <w:lang w:val="zh-CN"/>
              </w:rPr>
            </w:pPr>
            <w:r>
              <w:rPr>
                <w:rFonts w:ascii="宋体" w:hAnsi="宋体" w:cs="楷体_GB2312"/>
                <w:b/>
                <w:bCs/>
                <w:color w:val="auto"/>
                <w:szCs w:val="21"/>
                <w:highlight w:val="none"/>
                <w:lang w:val="zh-CN"/>
              </w:rPr>
              <w:t>1.2</w:t>
            </w:r>
          </w:p>
        </w:tc>
        <w:tc>
          <w:tcPr>
            <w:tcW w:w="1874" w:type="dxa"/>
            <w:tcBorders>
              <w:top w:val="single" w:color="auto" w:sz="6" w:space="0"/>
              <w:left w:val="single" w:color="auto" w:sz="6" w:space="0"/>
              <w:bottom w:val="single" w:color="auto" w:sz="6" w:space="0"/>
              <w:right w:val="single" w:color="auto" w:sz="6" w:space="0"/>
            </w:tcBorders>
            <w:vAlign w:val="center"/>
          </w:tcPr>
          <w:p w14:paraId="56EAD8B6">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rPr>
              <w:t>交验</w:t>
            </w:r>
            <w:r>
              <w:rPr>
                <w:rFonts w:hint="eastAsia" w:ascii="宋体" w:hAnsi="宋体" w:cs="楷体_GB2312"/>
                <w:b/>
                <w:bCs/>
                <w:color w:val="auto"/>
                <w:sz w:val="24"/>
                <w:highlight w:val="none"/>
                <w:lang w:val="zh-CN"/>
              </w:rPr>
              <w:t>期</w:t>
            </w:r>
          </w:p>
        </w:tc>
        <w:tc>
          <w:tcPr>
            <w:tcW w:w="6579" w:type="dxa"/>
            <w:tcBorders>
              <w:top w:val="single" w:color="auto" w:sz="6" w:space="0"/>
              <w:left w:val="single" w:color="auto" w:sz="6" w:space="0"/>
              <w:bottom w:val="single" w:color="auto" w:sz="6" w:space="0"/>
              <w:right w:val="single" w:color="auto" w:sz="12" w:space="0"/>
            </w:tcBorders>
            <w:vAlign w:val="center"/>
          </w:tcPr>
          <w:p w14:paraId="0A90863D">
            <w:pPr>
              <w:autoSpaceDE w:val="0"/>
              <w:autoSpaceDN w:val="0"/>
              <w:adjustRightInd w:val="0"/>
              <w:snapToGrid w:val="0"/>
              <w:spacing w:beforeLines="50" w:line="240" w:lineRule="auto"/>
              <w:rPr>
                <w:rFonts w:ascii="宋体" w:cs="楷体_GB2312"/>
                <w:bCs/>
                <w:color w:val="auto"/>
                <w:sz w:val="24"/>
                <w:highlight w:val="none"/>
                <w:lang w:val="zh-CN"/>
              </w:rPr>
            </w:pPr>
            <w:r>
              <w:rPr>
                <w:rFonts w:hint="eastAsia" w:ascii="宋体" w:hAnsi="宋体"/>
                <w:color w:val="auto"/>
                <w:sz w:val="24"/>
                <w:highlight w:val="none"/>
              </w:rPr>
              <w:t>见“第二部分采购项目及技术服务要求”</w:t>
            </w:r>
            <w:r>
              <w:rPr>
                <w:rFonts w:hint="eastAsia"/>
                <w:color w:val="auto"/>
                <w:sz w:val="24"/>
                <w:szCs w:val="24"/>
                <w:highlight w:val="none"/>
              </w:rPr>
              <w:t>相应条款</w:t>
            </w:r>
          </w:p>
        </w:tc>
      </w:tr>
      <w:tr w14:paraId="1E438E17">
        <w:tblPrEx>
          <w:tblCellMar>
            <w:top w:w="0" w:type="dxa"/>
            <w:left w:w="108" w:type="dxa"/>
            <w:bottom w:w="0" w:type="dxa"/>
            <w:right w:w="108" w:type="dxa"/>
          </w:tblCellMar>
        </w:tblPrEx>
        <w:trPr>
          <w:trHeight w:val="90" w:hRule="atLeast"/>
          <w:jc w:val="center"/>
        </w:trPr>
        <w:tc>
          <w:tcPr>
            <w:tcW w:w="608" w:type="dxa"/>
            <w:vMerge w:val="continue"/>
            <w:tcBorders>
              <w:left w:val="single" w:color="auto" w:sz="12" w:space="0"/>
              <w:right w:val="single" w:color="auto" w:sz="6" w:space="0"/>
            </w:tcBorders>
          </w:tcPr>
          <w:p w14:paraId="7CD30C88">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14:paraId="555B01A9">
            <w:pPr>
              <w:autoSpaceDE w:val="0"/>
              <w:autoSpaceDN w:val="0"/>
              <w:adjustRightInd w:val="0"/>
              <w:snapToGrid w:val="0"/>
              <w:spacing w:line="240" w:lineRule="auto"/>
              <w:jc w:val="center"/>
              <w:rPr>
                <w:rFonts w:ascii="宋体" w:cs="楷体_GB2312"/>
                <w:b/>
                <w:bCs/>
                <w:color w:val="auto"/>
                <w:szCs w:val="21"/>
                <w:highlight w:val="none"/>
                <w:lang w:val="zh-CN"/>
              </w:rPr>
            </w:pPr>
            <w:r>
              <w:rPr>
                <w:rFonts w:ascii="宋体" w:hAnsi="宋体" w:cs="楷体_GB2312"/>
                <w:b/>
                <w:bCs/>
                <w:color w:val="auto"/>
                <w:szCs w:val="21"/>
                <w:highlight w:val="none"/>
                <w:lang w:val="zh-CN"/>
              </w:rPr>
              <w:t>1.2</w:t>
            </w:r>
          </w:p>
        </w:tc>
        <w:tc>
          <w:tcPr>
            <w:tcW w:w="1874" w:type="dxa"/>
            <w:tcBorders>
              <w:top w:val="single" w:color="auto" w:sz="6" w:space="0"/>
              <w:left w:val="single" w:color="auto" w:sz="6" w:space="0"/>
              <w:bottom w:val="single" w:color="auto" w:sz="6" w:space="0"/>
              <w:right w:val="single" w:color="auto" w:sz="6" w:space="0"/>
            </w:tcBorders>
            <w:vAlign w:val="center"/>
          </w:tcPr>
          <w:p w14:paraId="7EFD28EB">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交验地</w:t>
            </w:r>
          </w:p>
        </w:tc>
        <w:tc>
          <w:tcPr>
            <w:tcW w:w="6579" w:type="dxa"/>
            <w:tcBorders>
              <w:top w:val="single" w:color="auto" w:sz="6" w:space="0"/>
              <w:left w:val="single" w:color="auto" w:sz="6" w:space="0"/>
              <w:bottom w:val="single" w:color="auto" w:sz="6" w:space="0"/>
              <w:right w:val="single" w:color="auto" w:sz="12" w:space="0"/>
            </w:tcBorders>
            <w:vAlign w:val="center"/>
          </w:tcPr>
          <w:p w14:paraId="716AF2D9">
            <w:pPr>
              <w:autoSpaceDE w:val="0"/>
              <w:autoSpaceDN w:val="0"/>
              <w:adjustRightInd w:val="0"/>
              <w:snapToGrid w:val="0"/>
              <w:spacing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见“第二</w:t>
            </w:r>
            <w:r>
              <w:rPr>
                <w:rFonts w:hint="eastAsia"/>
                <w:color w:val="auto"/>
                <w:sz w:val="24"/>
                <w:szCs w:val="24"/>
                <w:highlight w:val="none"/>
              </w:rPr>
              <w:t>章</w:t>
            </w:r>
            <w:r>
              <w:rPr>
                <w:rFonts w:hint="eastAsia" w:ascii="宋体" w:hAnsi="宋体" w:cs="楷体_GB2312"/>
                <w:color w:val="auto"/>
                <w:sz w:val="24"/>
                <w:highlight w:val="none"/>
                <w:lang w:val="zh-CN"/>
              </w:rPr>
              <w:t>采购项目及技术服务要求”</w:t>
            </w:r>
            <w:r>
              <w:rPr>
                <w:rFonts w:hint="eastAsia"/>
                <w:color w:val="auto"/>
                <w:sz w:val="24"/>
                <w:szCs w:val="24"/>
                <w:highlight w:val="none"/>
              </w:rPr>
              <w:t>相应条款</w:t>
            </w:r>
          </w:p>
        </w:tc>
      </w:tr>
      <w:tr w14:paraId="6EF3537E">
        <w:tblPrEx>
          <w:tblCellMar>
            <w:top w:w="0" w:type="dxa"/>
            <w:left w:w="108" w:type="dxa"/>
            <w:bottom w:w="0" w:type="dxa"/>
            <w:right w:w="108" w:type="dxa"/>
          </w:tblCellMar>
        </w:tblPrEx>
        <w:trPr>
          <w:trHeight w:val="90" w:hRule="atLeast"/>
          <w:jc w:val="center"/>
        </w:trPr>
        <w:tc>
          <w:tcPr>
            <w:tcW w:w="608" w:type="dxa"/>
            <w:vMerge w:val="continue"/>
            <w:tcBorders>
              <w:left w:val="single" w:color="auto" w:sz="12" w:space="0"/>
              <w:right w:val="single" w:color="auto" w:sz="6" w:space="0"/>
            </w:tcBorders>
          </w:tcPr>
          <w:p w14:paraId="341D55EA">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14:paraId="55D444A7">
            <w:pPr>
              <w:autoSpaceDE w:val="0"/>
              <w:autoSpaceDN w:val="0"/>
              <w:adjustRightInd w:val="0"/>
              <w:snapToGrid w:val="0"/>
              <w:spacing w:line="240" w:lineRule="auto"/>
              <w:jc w:val="center"/>
              <w:rPr>
                <w:rFonts w:ascii="宋体" w:cs="楷体_GB2312"/>
                <w:b/>
                <w:bCs/>
                <w:color w:val="auto"/>
                <w:szCs w:val="21"/>
                <w:highlight w:val="none"/>
                <w:lang w:val="zh-CN"/>
              </w:rPr>
            </w:pPr>
            <w:r>
              <w:rPr>
                <w:rFonts w:ascii="宋体" w:hAnsi="宋体" w:cs="楷体_GB2312"/>
                <w:b/>
                <w:bCs/>
                <w:color w:val="auto"/>
                <w:szCs w:val="21"/>
                <w:highlight w:val="none"/>
                <w:lang w:val="zh-CN"/>
              </w:rPr>
              <w:t>1.3</w:t>
            </w:r>
          </w:p>
        </w:tc>
        <w:tc>
          <w:tcPr>
            <w:tcW w:w="1874" w:type="dxa"/>
            <w:tcBorders>
              <w:top w:val="single" w:color="auto" w:sz="6" w:space="0"/>
              <w:left w:val="single" w:color="auto" w:sz="6" w:space="0"/>
              <w:bottom w:val="single" w:color="auto" w:sz="6" w:space="0"/>
              <w:right w:val="single" w:color="auto" w:sz="6" w:space="0"/>
            </w:tcBorders>
            <w:vAlign w:val="center"/>
          </w:tcPr>
          <w:p w14:paraId="7A3C5363">
            <w:pPr>
              <w:autoSpaceDE w:val="0"/>
              <w:autoSpaceDN w:val="0"/>
              <w:adjustRightInd w:val="0"/>
              <w:snapToGrid w:val="0"/>
              <w:spacing w:line="240" w:lineRule="auto"/>
              <w:jc w:val="center"/>
              <w:rPr>
                <w:rFonts w:ascii="宋体"/>
                <w:b/>
                <w:color w:val="auto"/>
                <w:sz w:val="24"/>
                <w:szCs w:val="24"/>
                <w:highlight w:val="none"/>
              </w:rPr>
            </w:pPr>
            <w:r>
              <w:rPr>
                <w:rFonts w:hint="eastAsia" w:ascii="宋体" w:hAnsi="宋体"/>
                <w:b/>
                <w:color w:val="auto"/>
                <w:sz w:val="24"/>
                <w:szCs w:val="24"/>
                <w:highlight w:val="none"/>
              </w:rPr>
              <w:t>投标报价</w:t>
            </w:r>
          </w:p>
        </w:tc>
        <w:tc>
          <w:tcPr>
            <w:tcW w:w="6579" w:type="dxa"/>
            <w:tcBorders>
              <w:top w:val="single" w:color="auto" w:sz="6" w:space="0"/>
              <w:left w:val="single" w:color="auto" w:sz="6" w:space="0"/>
              <w:bottom w:val="single" w:color="auto" w:sz="6" w:space="0"/>
              <w:right w:val="single" w:color="auto" w:sz="12" w:space="0"/>
            </w:tcBorders>
            <w:vAlign w:val="center"/>
          </w:tcPr>
          <w:p w14:paraId="3F53773E">
            <w:pPr>
              <w:autoSpaceDE w:val="0"/>
              <w:autoSpaceDN w:val="0"/>
              <w:adjustRightInd w:val="0"/>
              <w:snapToGrid w:val="0"/>
              <w:spacing w:beforeLines="50" w:line="240" w:lineRule="auto"/>
              <w:rPr>
                <w:color w:val="auto"/>
                <w:sz w:val="24"/>
                <w:szCs w:val="24"/>
                <w:highlight w:val="none"/>
              </w:rPr>
            </w:pPr>
            <w:r>
              <w:rPr>
                <w:rFonts w:hint="eastAsia"/>
                <w:color w:val="auto"/>
                <w:sz w:val="24"/>
                <w:szCs w:val="24"/>
                <w:highlight w:val="none"/>
              </w:rPr>
              <w:t>见“第二章采购项目及技术服务要求”相应条款</w:t>
            </w:r>
          </w:p>
        </w:tc>
      </w:tr>
      <w:tr w14:paraId="654FF442">
        <w:tblPrEx>
          <w:tblCellMar>
            <w:top w:w="0" w:type="dxa"/>
            <w:left w:w="108" w:type="dxa"/>
            <w:bottom w:w="0" w:type="dxa"/>
            <w:right w:w="108" w:type="dxa"/>
          </w:tblCellMar>
        </w:tblPrEx>
        <w:trPr>
          <w:trHeight w:val="321" w:hRule="atLeast"/>
          <w:jc w:val="center"/>
        </w:trPr>
        <w:tc>
          <w:tcPr>
            <w:tcW w:w="608" w:type="dxa"/>
            <w:vMerge w:val="continue"/>
            <w:tcBorders>
              <w:left w:val="single" w:color="auto" w:sz="12" w:space="0"/>
              <w:right w:val="single" w:color="auto" w:sz="6" w:space="0"/>
            </w:tcBorders>
          </w:tcPr>
          <w:p w14:paraId="792BF1B8">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14:paraId="6ED64CFC">
            <w:pPr>
              <w:autoSpaceDE w:val="0"/>
              <w:autoSpaceDN w:val="0"/>
              <w:adjustRightInd w:val="0"/>
              <w:snapToGrid w:val="0"/>
              <w:spacing w:line="240" w:lineRule="auto"/>
              <w:jc w:val="center"/>
              <w:rPr>
                <w:rFonts w:ascii="宋体" w:cs="楷体_GB2312"/>
                <w:b/>
                <w:bCs/>
                <w:color w:val="auto"/>
                <w:szCs w:val="21"/>
                <w:highlight w:val="none"/>
                <w:lang w:val="zh-CN"/>
              </w:rPr>
            </w:pPr>
            <w:r>
              <w:rPr>
                <w:rFonts w:ascii="宋体" w:hAnsi="宋体" w:cs="楷体_GB2312"/>
                <w:b/>
                <w:bCs/>
                <w:color w:val="auto"/>
                <w:szCs w:val="21"/>
                <w:highlight w:val="none"/>
                <w:lang w:val="zh-CN"/>
              </w:rPr>
              <w:t>2</w:t>
            </w:r>
          </w:p>
        </w:tc>
        <w:tc>
          <w:tcPr>
            <w:tcW w:w="1874" w:type="dxa"/>
            <w:tcBorders>
              <w:top w:val="single" w:color="auto" w:sz="6" w:space="0"/>
              <w:left w:val="single" w:color="auto" w:sz="6" w:space="0"/>
              <w:bottom w:val="single" w:color="auto" w:sz="6" w:space="0"/>
              <w:right w:val="single" w:color="auto" w:sz="6" w:space="0"/>
            </w:tcBorders>
            <w:vAlign w:val="center"/>
          </w:tcPr>
          <w:p w14:paraId="75126E22">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标段（包）内容（范围）及基本技术要求</w:t>
            </w:r>
          </w:p>
        </w:tc>
        <w:tc>
          <w:tcPr>
            <w:tcW w:w="6579" w:type="dxa"/>
            <w:tcBorders>
              <w:top w:val="single" w:color="auto" w:sz="6" w:space="0"/>
              <w:left w:val="single" w:color="auto" w:sz="6" w:space="0"/>
              <w:bottom w:val="single" w:color="auto" w:sz="6" w:space="0"/>
              <w:right w:val="single" w:color="auto" w:sz="12" w:space="0"/>
            </w:tcBorders>
            <w:vAlign w:val="center"/>
          </w:tcPr>
          <w:p w14:paraId="01CC3FDB">
            <w:pPr>
              <w:autoSpaceDE w:val="0"/>
              <w:autoSpaceDN w:val="0"/>
              <w:adjustRightInd w:val="0"/>
              <w:snapToGrid w:val="0"/>
              <w:spacing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见“第二</w:t>
            </w:r>
            <w:r>
              <w:rPr>
                <w:rFonts w:hint="eastAsia"/>
                <w:color w:val="auto"/>
                <w:sz w:val="24"/>
                <w:szCs w:val="24"/>
                <w:highlight w:val="none"/>
              </w:rPr>
              <w:t>章</w:t>
            </w:r>
            <w:r>
              <w:rPr>
                <w:rFonts w:hint="eastAsia" w:ascii="宋体" w:hAnsi="宋体" w:cs="楷体_GB2312"/>
                <w:color w:val="auto"/>
                <w:sz w:val="24"/>
                <w:highlight w:val="none"/>
                <w:lang w:val="zh-CN"/>
              </w:rPr>
              <w:t>采购项目及技术服务要求”</w:t>
            </w:r>
            <w:r>
              <w:rPr>
                <w:rFonts w:hint="eastAsia"/>
                <w:color w:val="auto"/>
                <w:sz w:val="24"/>
                <w:szCs w:val="24"/>
                <w:highlight w:val="none"/>
              </w:rPr>
              <w:t>相应条款</w:t>
            </w:r>
          </w:p>
        </w:tc>
      </w:tr>
      <w:tr w14:paraId="575EE141">
        <w:tblPrEx>
          <w:tblCellMar>
            <w:top w:w="0" w:type="dxa"/>
            <w:left w:w="108" w:type="dxa"/>
            <w:bottom w:w="0" w:type="dxa"/>
            <w:right w:w="108" w:type="dxa"/>
          </w:tblCellMar>
        </w:tblPrEx>
        <w:trPr>
          <w:trHeight w:val="321" w:hRule="atLeast"/>
          <w:jc w:val="center"/>
        </w:trPr>
        <w:tc>
          <w:tcPr>
            <w:tcW w:w="608" w:type="dxa"/>
            <w:vMerge w:val="continue"/>
            <w:tcBorders>
              <w:left w:val="single" w:color="auto" w:sz="12" w:space="0"/>
              <w:right w:val="single" w:color="auto" w:sz="6" w:space="0"/>
            </w:tcBorders>
          </w:tcPr>
          <w:p w14:paraId="3EA17FEF">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14:paraId="32101164">
            <w:pPr>
              <w:autoSpaceDE w:val="0"/>
              <w:autoSpaceDN w:val="0"/>
              <w:adjustRightInd w:val="0"/>
              <w:snapToGrid w:val="0"/>
              <w:spacing w:line="240" w:lineRule="auto"/>
              <w:jc w:val="center"/>
              <w:rPr>
                <w:rFonts w:ascii="宋体" w:cs="楷体_GB2312"/>
                <w:b/>
                <w:bCs/>
                <w:color w:val="auto"/>
                <w:szCs w:val="21"/>
                <w:highlight w:val="none"/>
                <w:lang w:val="zh-CN"/>
              </w:rPr>
            </w:pPr>
            <w:r>
              <w:rPr>
                <w:rFonts w:ascii="宋体" w:hAnsi="宋体" w:cs="楷体_GB2312"/>
                <w:b/>
                <w:bCs/>
                <w:color w:val="auto"/>
                <w:szCs w:val="21"/>
                <w:highlight w:val="none"/>
                <w:lang w:val="zh-CN"/>
              </w:rPr>
              <w:t>2.</w:t>
            </w:r>
            <w:r>
              <w:rPr>
                <w:rFonts w:hint="eastAsia" w:ascii="宋体" w:hAnsi="宋体" w:cs="楷体_GB2312"/>
                <w:b/>
                <w:bCs/>
                <w:color w:val="auto"/>
                <w:szCs w:val="21"/>
                <w:highlight w:val="none"/>
                <w:lang w:val="zh-CN"/>
              </w:rPr>
              <w:t>7</w:t>
            </w:r>
          </w:p>
        </w:tc>
        <w:tc>
          <w:tcPr>
            <w:tcW w:w="1874" w:type="dxa"/>
            <w:tcBorders>
              <w:top w:val="single" w:color="auto" w:sz="6" w:space="0"/>
              <w:left w:val="single" w:color="auto" w:sz="6" w:space="0"/>
              <w:bottom w:val="single" w:color="auto" w:sz="6" w:space="0"/>
              <w:right w:val="single" w:color="auto" w:sz="6" w:space="0"/>
            </w:tcBorders>
            <w:vAlign w:val="center"/>
          </w:tcPr>
          <w:p w14:paraId="58EB82FF">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技术偏离</w:t>
            </w:r>
          </w:p>
        </w:tc>
        <w:tc>
          <w:tcPr>
            <w:tcW w:w="6579" w:type="dxa"/>
            <w:tcBorders>
              <w:top w:val="single" w:color="auto" w:sz="6" w:space="0"/>
              <w:left w:val="single" w:color="auto" w:sz="6" w:space="0"/>
              <w:bottom w:val="single" w:color="auto" w:sz="6" w:space="0"/>
              <w:right w:val="single" w:color="auto" w:sz="12" w:space="0"/>
            </w:tcBorders>
            <w:vAlign w:val="center"/>
          </w:tcPr>
          <w:p w14:paraId="776848AA">
            <w:pPr>
              <w:autoSpaceDE w:val="0"/>
              <w:autoSpaceDN w:val="0"/>
              <w:adjustRightInd w:val="0"/>
              <w:snapToGrid w:val="0"/>
              <w:spacing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见“第二</w:t>
            </w:r>
            <w:r>
              <w:rPr>
                <w:rFonts w:hint="eastAsia"/>
                <w:color w:val="auto"/>
                <w:sz w:val="24"/>
                <w:szCs w:val="24"/>
                <w:highlight w:val="none"/>
              </w:rPr>
              <w:t>章</w:t>
            </w:r>
            <w:r>
              <w:rPr>
                <w:rFonts w:hint="eastAsia" w:ascii="宋体" w:hAnsi="宋体" w:cs="楷体_GB2312"/>
                <w:color w:val="auto"/>
                <w:sz w:val="24"/>
                <w:highlight w:val="none"/>
                <w:lang w:val="zh-CN"/>
              </w:rPr>
              <w:t>采购项目及技术服务要求”</w:t>
            </w:r>
            <w:r>
              <w:rPr>
                <w:rFonts w:hint="eastAsia"/>
                <w:color w:val="auto"/>
                <w:sz w:val="24"/>
                <w:szCs w:val="24"/>
                <w:highlight w:val="none"/>
              </w:rPr>
              <w:t>相应条款</w:t>
            </w:r>
          </w:p>
        </w:tc>
      </w:tr>
      <w:tr w14:paraId="3A540D36">
        <w:tblPrEx>
          <w:tblCellMar>
            <w:top w:w="0" w:type="dxa"/>
            <w:left w:w="108" w:type="dxa"/>
            <w:bottom w:w="0" w:type="dxa"/>
            <w:right w:w="108" w:type="dxa"/>
          </w:tblCellMar>
        </w:tblPrEx>
        <w:trPr>
          <w:trHeight w:val="303" w:hRule="atLeast"/>
          <w:jc w:val="center"/>
        </w:trPr>
        <w:tc>
          <w:tcPr>
            <w:tcW w:w="608" w:type="dxa"/>
            <w:vMerge w:val="continue"/>
            <w:tcBorders>
              <w:left w:val="single" w:color="auto" w:sz="12" w:space="0"/>
              <w:bottom w:val="single" w:color="auto" w:sz="6" w:space="0"/>
              <w:right w:val="single" w:color="auto" w:sz="6" w:space="0"/>
            </w:tcBorders>
          </w:tcPr>
          <w:p w14:paraId="6B6FA376">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14:paraId="29B58BC4">
            <w:pPr>
              <w:autoSpaceDE w:val="0"/>
              <w:autoSpaceDN w:val="0"/>
              <w:adjustRightInd w:val="0"/>
              <w:snapToGrid w:val="0"/>
              <w:spacing w:line="240" w:lineRule="auto"/>
              <w:jc w:val="center"/>
              <w:rPr>
                <w:rFonts w:ascii="宋体" w:cs="楷体_GB2312"/>
                <w:b/>
                <w:bCs/>
                <w:color w:val="auto"/>
                <w:szCs w:val="21"/>
                <w:highlight w:val="none"/>
                <w:lang w:val="zh-CN"/>
              </w:rPr>
            </w:pPr>
            <w:r>
              <w:rPr>
                <w:rFonts w:hint="eastAsia" w:ascii="宋体" w:hAnsi="宋体" w:cs="楷体_GB2312"/>
                <w:b/>
                <w:bCs/>
                <w:color w:val="auto"/>
                <w:szCs w:val="21"/>
                <w:highlight w:val="none"/>
                <w:lang w:val="zh-CN"/>
              </w:rPr>
              <w:t>2.8</w:t>
            </w:r>
          </w:p>
        </w:tc>
        <w:tc>
          <w:tcPr>
            <w:tcW w:w="1874" w:type="dxa"/>
            <w:tcBorders>
              <w:top w:val="single" w:color="auto" w:sz="6" w:space="0"/>
              <w:left w:val="single" w:color="auto" w:sz="6" w:space="0"/>
              <w:bottom w:val="single" w:color="auto" w:sz="6" w:space="0"/>
              <w:right w:val="single" w:color="auto" w:sz="6" w:space="0"/>
            </w:tcBorders>
            <w:vAlign w:val="center"/>
          </w:tcPr>
          <w:p w14:paraId="252E8A81">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售后服务</w:t>
            </w:r>
          </w:p>
        </w:tc>
        <w:tc>
          <w:tcPr>
            <w:tcW w:w="6579" w:type="dxa"/>
            <w:tcBorders>
              <w:top w:val="single" w:color="auto" w:sz="6" w:space="0"/>
              <w:left w:val="single" w:color="auto" w:sz="6" w:space="0"/>
              <w:bottom w:val="single" w:color="auto" w:sz="6" w:space="0"/>
              <w:right w:val="single" w:color="auto" w:sz="12" w:space="0"/>
            </w:tcBorders>
            <w:vAlign w:val="center"/>
          </w:tcPr>
          <w:p w14:paraId="00529C0D">
            <w:pPr>
              <w:autoSpaceDE w:val="0"/>
              <w:autoSpaceDN w:val="0"/>
              <w:adjustRightInd w:val="0"/>
              <w:snapToGrid w:val="0"/>
              <w:spacing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见“第二章采购项目及技术服务要求”</w:t>
            </w:r>
            <w:r>
              <w:rPr>
                <w:rFonts w:hint="eastAsia"/>
                <w:color w:val="auto"/>
                <w:sz w:val="24"/>
                <w:szCs w:val="24"/>
                <w:highlight w:val="none"/>
              </w:rPr>
              <w:t>相应条款</w:t>
            </w:r>
          </w:p>
        </w:tc>
      </w:tr>
      <w:tr w14:paraId="3235DB26">
        <w:tblPrEx>
          <w:tblCellMar>
            <w:top w:w="0" w:type="dxa"/>
            <w:left w:w="108" w:type="dxa"/>
            <w:bottom w:w="0" w:type="dxa"/>
            <w:right w:w="108" w:type="dxa"/>
          </w:tblCellMar>
        </w:tblPrEx>
        <w:trPr>
          <w:trHeight w:val="366" w:hRule="atLeast"/>
          <w:jc w:val="center"/>
        </w:trPr>
        <w:tc>
          <w:tcPr>
            <w:tcW w:w="608" w:type="dxa"/>
            <w:vMerge w:val="restart"/>
            <w:tcBorders>
              <w:top w:val="single" w:color="auto" w:sz="6" w:space="0"/>
              <w:left w:val="single" w:color="auto" w:sz="12" w:space="0"/>
              <w:right w:val="single" w:color="auto" w:sz="6" w:space="0"/>
            </w:tcBorders>
          </w:tcPr>
          <w:p w14:paraId="0EB1D1D9">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第三章</w:t>
            </w:r>
          </w:p>
        </w:tc>
        <w:tc>
          <w:tcPr>
            <w:tcW w:w="694" w:type="dxa"/>
            <w:tcBorders>
              <w:top w:val="single" w:color="auto" w:sz="6" w:space="0"/>
              <w:left w:val="single" w:color="auto" w:sz="12" w:space="0"/>
              <w:bottom w:val="single" w:color="auto" w:sz="6" w:space="0"/>
              <w:right w:val="single" w:color="auto" w:sz="6" w:space="0"/>
            </w:tcBorders>
            <w:vAlign w:val="center"/>
          </w:tcPr>
          <w:p w14:paraId="1F7CDDD2">
            <w:pPr>
              <w:autoSpaceDE w:val="0"/>
              <w:autoSpaceDN w:val="0"/>
              <w:adjustRightInd w:val="0"/>
              <w:snapToGrid w:val="0"/>
              <w:spacing w:line="240" w:lineRule="auto"/>
              <w:jc w:val="center"/>
              <w:rPr>
                <w:rFonts w:ascii="宋体" w:cs="楷体_GB2312"/>
                <w:b/>
                <w:bCs/>
                <w:color w:val="auto"/>
                <w:szCs w:val="21"/>
                <w:highlight w:val="none"/>
                <w:lang w:val="zh-CN"/>
              </w:rPr>
            </w:pPr>
            <w:r>
              <w:rPr>
                <w:rFonts w:ascii="宋体" w:hAnsi="宋体" w:cs="楷体_GB2312"/>
                <w:b/>
                <w:bCs/>
                <w:color w:val="auto"/>
                <w:szCs w:val="21"/>
                <w:highlight w:val="none"/>
                <w:lang w:val="zh-CN"/>
              </w:rPr>
              <w:t>1.4</w:t>
            </w:r>
          </w:p>
        </w:tc>
        <w:tc>
          <w:tcPr>
            <w:tcW w:w="1874" w:type="dxa"/>
            <w:tcBorders>
              <w:top w:val="single" w:color="auto" w:sz="6" w:space="0"/>
              <w:left w:val="single" w:color="auto" w:sz="6" w:space="0"/>
              <w:bottom w:val="single" w:color="auto" w:sz="6" w:space="0"/>
              <w:right w:val="single" w:color="auto" w:sz="6" w:space="0"/>
            </w:tcBorders>
            <w:vAlign w:val="center"/>
          </w:tcPr>
          <w:p w14:paraId="15968759">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联合体投标</w:t>
            </w:r>
          </w:p>
        </w:tc>
        <w:tc>
          <w:tcPr>
            <w:tcW w:w="6579" w:type="dxa"/>
            <w:tcBorders>
              <w:top w:val="single" w:color="auto" w:sz="6" w:space="0"/>
              <w:left w:val="single" w:color="auto" w:sz="6" w:space="0"/>
              <w:bottom w:val="single" w:color="auto" w:sz="6" w:space="0"/>
              <w:right w:val="single" w:color="auto" w:sz="12" w:space="0"/>
            </w:tcBorders>
            <w:vAlign w:val="center"/>
          </w:tcPr>
          <w:p w14:paraId="3D1E2C7A">
            <w:pPr>
              <w:autoSpaceDE w:val="0"/>
              <w:autoSpaceDN w:val="0"/>
              <w:adjustRightInd w:val="0"/>
              <w:snapToGrid w:val="0"/>
              <w:spacing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 xml:space="preserve">不接受  </w:t>
            </w:r>
          </w:p>
        </w:tc>
      </w:tr>
      <w:tr w14:paraId="4E3C7F06">
        <w:tblPrEx>
          <w:tblCellMar>
            <w:top w:w="0" w:type="dxa"/>
            <w:left w:w="108" w:type="dxa"/>
            <w:bottom w:w="0" w:type="dxa"/>
            <w:right w:w="108" w:type="dxa"/>
          </w:tblCellMar>
        </w:tblPrEx>
        <w:trPr>
          <w:trHeight w:val="447" w:hRule="atLeast"/>
          <w:jc w:val="center"/>
        </w:trPr>
        <w:tc>
          <w:tcPr>
            <w:tcW w:w="608" w:type="dxa"/>
            <w:vMerge w:val="continue"/>
            <w:tcBorders>
              <w:left w:val="single" w:color="auto" w:sz="12" w:space="0"/>
              <w:right w:val="single" w:color="auto" w:sz="6" w:space="0"/>
            </w:tcBorders>
          </w:tcPr>
          <w:p w14:paraId="54DB5FDA">
            <w:pPr>
              <w:autoSpaceDE w:val="0"/>
              <w:autoSpaceDN w:val="0"/>
              <w:adjustRightInd w:val="0"/>
              <w:snapToGrid w:val="0"/>
              <w:spacing w:line="240" w:lineRule="auto"/>
              <w:jc w:val="center"/>
              <w:rPr>
                <w:rFonts w:ascii="宋体" w:cs="楷体_GB2312"/>
                <w:b/>
                <w:bCs/>
                <w:color w:val="auto"/>
                <w:sz w:val="24"/>
                <w:highlight w:val="none"/>
              </w:rPr>
            </w:pPr>
          </w:p>
        </w:tc>
        <w:tc>
          <w:tcPr>
            <w:tcW w:w="694" w:type="dxa"/>
            <w:tcBorders>
              <w:top w:val="single" w:color="auto" w:sz="6" w:space="0"/>
              <w:left w:val="single" w:color="auto" w:sz="12" w:space="0"/>
              <w:bottom w:val="single" w:color="auto" w:sz="6" w:space="0"/>
              <w:right w:val="single" w:color="auto" w:sz="6" w:space="0"/>
            </w:tcBorders>
            <w:vAlign w:val="center"/>
          </w:tcPr>
          <w:p w14:paraId="3DA4B557">
            <w:pPr>
              <w:autoSpaceDE w:val="0"/>
              <w:autoSpaceDN w:val="0"/>
              <w:adjustRightInd w:val="0"/>
              <w:snapToGrid w:val="0"/>
              <w:spacing w:line="240" w:lineRule="auto"/>
              <w:jc w:val="center"/>
              <w:rPr>
                <w:rFonts w:ascii="宋体" w:cs="楷体_GB2312"/>
                <w:b/>
                <w:bCs/>
                <w:color w:val="auto"/>
                <w:szCs w:val="21"/>
                <w:highlight w:val="none"/>
              </w:rPr>
            </w:pPr>
            <w:r>
              <w:rPr>
                <w:rFonts w:ascii="宋体" w:hAnsi="宋体" w:cs="楷体_GB2312"/>
                <w:b/>
                <w:bCs/>
                <w:color w:val="auto"/>
                <w:szCs w:val="21"/>
                <w:highlight w:val="none"/>
              </w:rPr>
              <w:t>1.</w:t>
            </w:r>
            <w:r>
              <w:rPr>
                <w:rFonts w:hint="eastAsia" w:ascii="宋体" w:hAnsi="宋体" w:cs="楷体_GB2312"/>
                <w:b/>
                <w:bCs/>
                <w:color w:val="auto"/>
                <w:szCs w:val="21"/>
                <w:highlight w:val="none"/>
              </w:rPr>
              <w:t>10</w:t>
            </w:r>
          </w:p>
        </w:tc>
        <w:tc>
          <w:tcPr>
            <w:tcW w:w="1874" w:type="dxa"/>
            <w:tcBorders>
              <w:top w:val="single" w:color="auto" w:sz="6" w:space="0"/>
              <w:left w:val="single" w:color="auto" w:sz="6" w:space="0"/>
              <w:bottom w:val="single" w:color="auto" w:sz="6" w:space="0"/>
              <w:right w:val="single" w:color="auto" w:sz="6" w:space="0"/>
            </w:tcBorders>
            <w:vAlign w:val="center"/>
          </w:tcPr>
          <w:p w14:paraId="09F94E2F">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踏勘现场</w:t>
            </w:r>
          </w:p>
        </w:tc>
        <w:tc>
          <w:tcPr>
            <w:tcW w:w="6579" w:type="dxa"/>
            <w:tcBorders>
              <w:top w:val="single" w:color="auto" w:sz="6" w:space="0"/>
              <w:left w:val="single" w:color="auto" w:sz="6" w:space="0"/>
              <w:bottom w:val="single" w:color="auto" w:sz="6" w:space="0"/>
              <w:right w:val="single" w:color="auto" w:sz="12" w:space="0"/>
            </w:tcBorders>
            <w:vAlign w:val="center"/>
          </w:tcPr>
          <w:p w14:paraId="6A3384A7">
            <w:pPr>
              <w:autoSpaceDE w:val="0"/>
              <w:autoSpaceDN w:val="0"/>
              <w:adjustRightInd w:val="0"/>
              <w:snapToGrid w:val="0"/>
              <w:spacing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不组织</w:t>
            </w:r>
          </w:p>
        </w:tc>
      </w:tr>
      <w:tr w14:paraId="6D080ED0">
        <w:tblPrEx>
          <w:tblCellMar>
            <w:top w:w="0" w:type="dxa"/>
            <w:left w:w="108" w:type="dxa"/>
            <w:bottom w:w="0" w:type="dxa"/>
            <w:right w:w="108" w:type="dxa"/>
          </w:tblCellMar>
        </w:tblPrEx>
        <w:trPr>
          <w:trHeight w:val="447" w:hRule="atLeast"/>
          <w:jc w:val="center"/>
        </w:trPr>
        <w:tc>
          <w:tcPr>
            <w:tcW w:w="608" w:type="dxa"/>
            <w:vMerge w:val="continue"/>
            <w:tcBorders>
              <w:left w:val="single" w:color="auto" w:sz="12" w:space="0"/>
              <w:right w:val="single" w:color="auto" w:sz="6" w:space="0"/>
            </w:tcBorders>
          </w:tcPr>
          <w:p w14:paraId="312D71E6">
            <w:pPr>
              <w:autoSpaceDE w:val="0"/>
              <w:autoSpaceDN w:val="0"/>
              <w:adjustRightInd w:val="0"/>
              <w:snapToGrid w:val="0"/>
              <w:spacing w:line="240" w:lineRule="auto"/>
              <w:jc w:val="center"/>
              <w:rPr>
                <w:rFonts w:ascii="宋体" w:cs="楷体_GB2312"/>
                <w:b/>
                <w:bCs/>
                <w:color w:val="auto"/>
                <w:sz w:val="24"/>
                <w:highlight w:val="none"/>
              </w:rPr>
            </w:pPr>
          </w:p>
        </w:tc>
        <w:tc>
          <w:tcPr>
            <w:tcW w:w="694" w:type="dxa"/>
            <w:tcBorders>
              <w:top w:val="single" w:color="auto" w:sz="6" w:space="0"/>
              <w:left w:val="single" w:color="auto" w:sz="12" w:space="0"/>
              <w:bottom w:val="single" w:color="auto" w:sz="6" w:space="0"/>
              <w:right w:val="single" w:color="auto" w:sz="6" w:space="0"/>
            </w:tcBorders>
            <w:vAlign w:val="center"/>
          </w:tcPr>
          <w:p w14:paraId="6FB16846">
            <w:pPr>
              <w:autoSpaceDE w:val="0"/>
              <w:autoSpaceDN w:val="0"/>
              <w:adjustRightInd w:val="0"/>
              <w:snapToGrid w:val="0"/>
              <w:spacing w:line="240" w:lineRule="auto"/>
              <w:ind w:right="-88" w:rightChars="-42"/>
              <w:jc w:val="center"/>
              <w:rPr>
                <w:rFonts w:ascii="宋体" w:cs="楷体_GB2312"/>
                <w:b/>
                <w:bCs/>
                <w:color w:val="auto"/>
                <w:szCs w:val="21"/>
                <w:highlight w:val="none"/>
              </w:rPr>
            </w:pPr>
            <w:r>
              <w:rPr>
                <w:rFonts w:ascii="宋体" w:hAnsi="宋体" w:cs="楷体_GB2312"/>
                <w:b/>
                <w:bCs/>
                <w:color w:val="auto"/>
                <w:szCs w:val="21"/>
                <w:highlight w:val="none"/>
              </w:rPr>
              <w:t>1.1</w:t>
            </w:r>
            <w:r>
              <w:rPr>
                <w:rFonts w:hint="eastAsia" w:ascii="宋体" w:hAnsi="宋体" w:cs="楷体_GB2312"/>
                <w:b/>
                <w:bCs/>
                <w:color w:val="auto"/>
                <w:szCs w:val="21"/>
                <w:highlight w:val="none"/>
              </w:rPr>
              <w:t>1</w:t>
            </w:r>
          </w:p>
        </w:tc>
        <w:tc>
          <w:tcPr>
            <w:tcW w:w="1874" w:type="dxa"/>
            <w:tcBorders>
              <w:top w:val="single" w:color="auto" w:sz="6" w:space="0"/>
              <w:left w:val="single" w:color="auto" w:sz="6" w:space="0"/>
              <w:bottom w:val="single" w:color="auto" w:sz="6" w:space="0"/>
              <w:right w:val="single" w:color="auto" w:sz="6" w:space="0"/>
            </w:tcBorders>
            <w:vAlign w:val="center"/>
          </w:tcPr>
          <w:p w14:paraId="39B61FBF">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投标预备会</w:t>
            </w:r>
          </w:p>
        </w:tc>
        <w:tc>
          <w:tcPr>
            <w:tcW w:w="6579" w:type="dxa"/>
            <w:tcBorders>
              <w:top w:val="single" w:color="auto" w:sz="6" w:space="0"/>
              <w:left w:val="single" w:color="auto" w:sz="6" w:space="0"/>
              <w:bottom w:val="single" w:color="auto" w:sz="6" w:space="0"/>
              <w:right w:val="single" w:color="auto" w:sz="12" w:space="0"/>
            </w:tcBorders>
            <w:vAlign w:val="center"/>
          </w:tcPr>
          <w:p w14:paraId="36FF2282">
            <w:pPr>
              <w:autoSpaceDE w:val="0"/>
              <w:autoSpaceDN w:val="0"/>
              <w:adjustRightInd w:val="0"/>
              <w:snapToGrid w:val="0"/>
              <w:spacing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不召开</w:t>
            </w:r>
          </w:p>
        </w:tc>
      </w:tr>
      <w:tr w14:paraId="3722AAFC">
        <w:tblPrEx>
          <w:tblCellMar>
            <w:top w:w="0" w:type="dxa"/>
            <w:left w:w="108" w:type="dxa"/>
            <w:bottom w:w="0" w:type="dxa"/>
            <w:right w:w="108" w:type="dxa"/>
          </w:tblCellMar>
        </w:tblPrEx>
        <w:trPr>
          <w:trHeight w:val="447" w:hRule="atLeast"/>
          <w:jc w:val="center"/>
        </w:trPr>
        <w:tc>
          <w:tcPr>
            <w:tcW w:w="608" w:type="dxa"/>
            <w:vMerge w:val="continue"/>
            <w:tcBorders>
              <w:left w:val="single" w:color="auto" w:sz="12" w:space="0"/>
              <w:right w:val="single" w:color="auto" w:sz="6" w:space="0"/>
            </w:tcBorders>
          </w:tcPr>
          <w:p w14:paraId="52B01F19">
            <w:pPr>
              <w:autoSpaceDE w:val="0"/>
              <w:autoSpaceDN w:val="0"/>
              <w:adjustRightInd w:val="0"/>
              <w:snapToGrid w:val="0"/>
              <w:spacing w:line="240" w:lineRule="auto"/>
              <w:jc w:val="center"/>
              <w:rPr>
                <w:rFonts w:ascii="宋体" w:cs="楷体_GB2312"/>
                <w:b/>
                <w:bCs/>
                <w:color w:val="auto"/>
                <w:sz w:val="24"/>
                <w:highlight w:val="none"/>
              </w:rPr>
            </w:pPr>
          </w:p>
        </w:tc>
        <w:tc>
          <w:tcPr>
            <w:tcW w:w="694" w:type="dxa"/>
            <w:tcBorders>
              <w:top w:val="single" w:color="auto" w:sz="6" w:space="0"/>
              <w:left w:val="single" w:color="auto" w:sz="12" w:space="0"/>
              <w:bottom w:val="single" w:color="auto" w:sz="6" w:space="0"/>
              <w:right w:val="single" w:color="auto" w:sz="6" w:space="0"/>
            </w:tcBorders>
            <w:vAlign w:val="center"/>
          </w:tcPr>
          <w:p w14:paraId="5728BAD8">
            <w:pPr>
              <w:autoSpaceDE w:val="0"/>
              <w:autoSpaceDN w:val="0"/>
              <w:adjustRightInd w:val="0"/>
              <w:snapToGrid w:val="0"/>
              <w:spacing w:line="240" w:lineRule="auto"/>
              <w:ind w:right="-88" w:rightChars="-42"/>
              <w:jc w:val="center"/>
              <w:rPr>
                <w:rFonts w:ascii="宋体" w:cs="楷体_GB2312"/>
                <w:b/>
                <w:bCs/>
                <w:color w:val="auto"/>
                <w:szCs w:val="21"/>
                <w:highlight w:val="none"/>
              </w:rPr>
            </w:pPr>
            <w:r>
              <w:rPr>
                <w:rFonts w:ascii="宋体" w:hAnsi="宋体" w:cs="楷体_GB2312"/>
                <w:b/>
                <w:bCs/>
                <w:color w:val="auto"/>
                <w:szCs w:val="21"/>
                <w:highlight w:val="none"/>
              </w:rPr>
              <w:t>1.1</w:t>
            </w:r>
            <w:r>
              <w:rPr>
                <w:rFonts w:hint="eastAsia" w:ascii="宋体" w:hAnsi="宋体" w:cs="楷体_GB2312"/>
                <w:b/>
                <w:bCs/>
                <w:color w:val="auto"/>
                <w:szCs w:val="21"/>
                <w:highlight w:val="none"/>
              </w:rPr>
              <w:t>2</w:t>
            </w:r>
          </w:p>
        </w:tc>
        <w:tc>
          <w:tcPr>
            <w:tcW w:w="1874" w:type="dxa"/>
            <w:tcBorders>
              <w:top w:val="single" w:color="auto" w:sz="6" w:space="0"/>
              <w:left w:val="single" w:color="auto" w:sz="6" w:space="0"/>
              <w:bottom w:val="single" w:color="auto" w:sz="6" w:space="0"/>
              <w:right w:val="single" w:color="auto" w:sz="6" w:space="0"/>
            </w:tcBorders>
            <w:vAlign w:val="center"/>
          </w:tcPr>
          <w:p w14:paraId="4FBEFD8A">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分包</w:t>
            </w:r>
          </w:p>
        </w:tc>
        <w:tc>
          <w:tcPr>
            <w:tcW w:w="6579" w:type="dxa"/>
            <w:tcBorders>
              <w:top w:val="single" w:color="auto" w:sz="6" w:space="0"/>
              <w:left w:val="single" w:color="auto" w:sz="6" w:space="0"/>
              <w:bottom w:val="single" w:color="auto" w:sz="6" w:space="0"/>
              <w:right w:val="single" w:color="auto" w:sz="12" w:space="0"/>
            </w:tcBorders>
            <w:vAlign w:val="center"/>
          </w:tcPr>
          <w:p w14:paraId="68390D0C">
            <w:pPr>
              <w:autoSpaceDE w:val="0"/>
              <w:autoSpaceDN w:val="0"/>
              <w:adjustRightInd w:val="0"/>
              <w:snapToGrid w:val="0"/>
              <w:spacing w:beforeLines="50" w:line="240" w:lineRule="auto"/>
              <w:rPr>
                <w:rFonts w:ascii="宋体" w:hAnsi="宋体" w:cs="楷体_GB2312"/>
                <w:color w:val="auto"/>
                <w:sz w:val="24"/>
                <w:highlight w:val="none"/>
                <w:lang w:val="zh-CN"/>
              </w:rPr>
            </w:pPr>
            <w:r>
              <w:rPr>
                <w:rFonts w:hint="eastAsia" w:ascii="宋体" w:hAnsi="宋体" w:cs="楷体_GB2312"/>
                <w:color w:val="auto"/>
                <w:sz w:val="24"/>
                <w:highlight w:val="none"/>
                <w:lang w:val="zh-CN"/>
              </w:rPr>
              <w:t xml:space="preserve">不允许  </w:t>
            </w:r>
          </w:p>
        </w:tc>
      </w:tr>
      <w:tr w14:paraId="4767FF36">
        <w:tblPrEx>
          <w:tblCellMar>
            <w:top w:w="0" w:type="dxa"/>
            <w:left w:w="108" w:type="dxa"/>
            <w:bottom w:w="0" w:type="dxa"/>
            <w:right w:w="108" w:type="dxa"/>
          </w:tblCellMar>
        </w:tblPrEx>
        <w:trPr>
          <w:trHeight w:val="447" w:hRule="atLeast"/>
          <w:jc w:val="center"/>
        </w:trPr>
        <w:tc>
          <w:tcPr>
            <w:tcW w:w="608" w:type="dxa"/>
            <w:vMerge w:val="continue"/>
            <w:tcBorders>
              <w:left w:val="single" w:color="auto" w:sz="12" w:space="0"/>
              <w:right w:val="single" w:color="auto" w:sz="6" w:space="0"/>
            </w:tcBorders>
          </w:tcPr>
          <w:p w14:paraId="04EFE833">
            <w:pPr>
              <w:autoSpaceDE w:val="0"/>
              <w:autoSpaceDN w:val="0"/>
              <w:adjustRightInd w:val="0"/>
              <w:snapToGrid w:val="0"/>
              <w:spacing w:line="240" w:lineRule="auto"/>
              <w:jc w:val="center"/>
              <w:rPr>
                <w:rFonts w:ascii="宋体" w:cs="楷体_GB2312"/>
                <w:b/>
                <w:bCs/>
                <w:color w:val="auto"/>
                <w:sz w:val="24"/>
                <w:highlight w:val="none"/>
              </w:rPr>
            </w:pPr>
          </w:p>
        </w:tc>
        <w:tc>
          <w:tcPr>
            <w:tcW w:w="694" w:type="dxa"/>
            <w:tcBorders>
              <w:top w:val="single" w:color="auto" w:sz="6" w:space="0"/>
              <w:left w:val="single" w:color="auto" w:sz="12" w:space="0"/>
              <w:bottom w:val="single" w:color="auto" w:sz="6" w:space="0"/>
              <w:right w:val="single" w:color="auto" w:sz="6" w:space="0"/>
            </w:tcBorders>
            <w:vAlign w:val="center"/>
          </w:tcPr>
          <w:p w14:paraId="30E3780E">
            <w:pPr>
              <w:autoSpaceDE w:val="0"/>
              <w:autoSpaceDN w:val="0"/>
              <w:adjustRightInd w:val="0"/>
              <w:snapToGrid w:val="0"/>
              <w:spacing w:line="240" w:lineRule="auto"/>
              <w:ind w:right="-88" w:rightChars="-42"/>
              <w:jc w:val="center"/>
              <w:rPr>
                <w:rFonts w:ascii="宋体" w:cs="楷体_GB2312"/>
                <w:b/>
                <w:bCs/>
                <w:color w:val="auto"/>
                <w:szCs w:val="21"/>
                <w:highlight w:val="none"/>
              </w:rPr>
            </w:pPr>
            <w:r>
              <w:rPr>
                <w:rFonts w:ascii="宋体" w:hAnsi="宋体" w:cs="楷体_GB2312"/>
                <w:b/>
                <w:bCs/>
                <w:color w:val="auto"/>
                <w:szCs w:val="21"/>
                <w:highlight w:val="none"/>
              </w:rPr>
              <w:t>2.1</w:t>
            </w:r>
          </w:p>
        </w:tc>
        <w:tc>
          <w:tcPr>
            <w:tcW w:w="1874" w:type="dxa"/>
            <w:tcBorders>
              <w:top w:val="single" w:color="auto" w:sz="6" w:space="0"/>
              <w:left w:val="single" w:color="auto" w:sz="6" w:space="0"/>
              <w:bottom w:val="single" w:color="auto" w:sz="6" w:space="0"/>
              <w:right w:val="single" w:color="auto" w:sz="6" w:space="0"/>
            </w:tcBorders>
            <w:vAlign w:val="center"/>
          </w:tcPr>
          <w:p w14:paraId="54451FD8">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构成谈判文件的其他材料</w:t>
            </w:r>
          </w:p>
        </w:tc>
        <w:tc>
          <w:tcPr>
            <w:tcW w:w="6579" w:type="dxa"/>
            <w:tcBorders>
              <w:top w:val="single" w:color="auto" w:sz="6" w:space="0"/>
              <w:left w:val="single" w:color="auto" w:sz="6" w:space="0"/>
              <w:bottom w:val="single" w:color="auto" w:sz="6" w:space="0"/>
              <w:right w:val="single" w:color="auto" w:sz="12" w:space="0"/>
            </w:tcBorders>
            <w:vAlign w:val="center"/>
          </w:tcPr>
          <w:p w14:paraId="60E24964">
            <w:pPr>
              <w:autoSpaceDE w:val="0"/>
              <w:autoSpaceDN w:val="0"/>
              <w:adjustRightInd w:val="0"/>
              <w:snapToGrid w:val="0"/>
              <w:spacing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见“第三章投标人须知”相应条款</w:t>
            </w:r>
          </w:p>
        </w:tc>
      </w:tr>
      <w:tr w14:paraId="077E9933">
        <w:tblPrEx>
          <w:tblCellMar>
            <w:top w:w="0" w:type="dxa"/>
            <w:left w:w="108" w:type="dxa"/>
            <w:bottom w:w="0" w:type="dxa"/>
            <w:right w:w="108" w:type="dxa"/>
          </w:tblCellMar>
        </w:tblPrEx>
        <w:trPr>
          <w:trHeight w:val="604" w:hRule="atLeast"/>
          <w:jc w:val="center"/>
        </w:trPr>
        <w:tc>
          <w:tcPr>
            <w:tcW w:w="608" w:type="dxa"/>
            <w:vMerge w:val="continue"/>
            <w:tcBorders>
              <w:left w:val="single" w:color="auto" w:sz="12" w:space="0"/>
              <w:right w:val="single" w:color="auto" w:sz="6" w:space="0"/>
            </w:tcBorders>
          </w:tcPr>
          <w:p w14:paraId="00B6D699">
            <w:pPr>
              <w:autoSpaceDE w:val="0"/>
              <w:autoSpaceDN w:val="0"/>
              <w:adjustRightInd w:val="0"/>
              <w:snapToGrid w:val="0"/>
              <w:spacing w:line="240" w:lineRule="auto"/>
              <w:jc w:val="center"/>
              <w:rPr>
                <w:rFonts w:ascii="宋体" w:cs="楷体_GB2312"/>
                <w:b/>
                <w:bCs/>
                <w:color w:val="auto"/>
                <w:sz w:val="24"/>
                <w:highlight w:val="none"/>
              </w:rPr>
            </w:pPr>
          </w:p>
        </w:tc>
        <w:tc>
          <w:tcPr>
            <w:tcW w:w="694" w:type="dxa"/>
            <w:tcBorders>
              <w:top w:val="single" w:color="auto" w:sz="6" w:space="0"/>
              <w:left w:val="single" w:color="auto" w:sz="12" w:space="0"/>
              <w:bottom w:val="single" w:color="auto" w:sz="6" w:space="0"/>
              <w:right w:val="single" w:color="auto" w:sz="6" w:space="0"/>
            </w:tcBorders>
            <w:vAlign w:val="center"/>
          </w:tcPr>
          <w:p w14:paraId="76CFE582">
            <w:pPr>
              <w:autoSpaceDE w:val="0"/>
              <w:autoSpaceDN w:val="0"/>
              <w:adjustRightInd w:val="0"/>
              <w:snapToGrid w:val="0"/>
              <w:spacing w:line="240" w:lineRule="auto"/>
              <w:ind w:left="-134" w:leftChars="-64" w:right="-88" w:rightChars="-42"/>
              <w:jc w:val="center"/>
              <w:rPr>
                <w:rFonts w:ascii="宋体" w:hAnsi="宋体" w:cs="楷体_GB2312"/>
                <w:b/>
                <w:bCs/>
                <w:color w:val="auto"/>
                <w:szCs w:val="21"/>
                <w:highlight w:val="none"/>
              </w:rPr>
            </w:pPr>
            <w:r>
              <w:rPr>
                <w:rFonts w:ascii="宋体" w:hAnsi="宋体" w:cs="楷体_GB2312"/>
                <w:b/>
                <w:bCs/>
                <w:color w:val="auto"/>
                <w:szCs w:val="21"/>
                <w:highlight w:val="none"/>
              </w:rPr>
              <w:t>2.2.1</w:t>
            </w:r>
          </w:p>
        </w:tc>
        <w:tc>
          <w:tcPr>
            <w:tcW w:w="1874" w:type="dxa"/>
            <w:tcBorders>
              <w:top w:val="single" w:color="auto" w:sz="6" w:space="0"/>
              <w:left w:val="single" w:color="auto" w:sz="6" w:space="0"/>
              <w:bottom w:val="single" w:color="auto" w:sz="6" w:space="0"/>
              <w:right w:val="single" w:color="auto" w:sz="6" w:space="0"/>
            </w:tcBorders>
            <w:vAlign w:val="center"/>
          </w:tcPr>
          <w:p w14:paraId="2967CBB8">
            <w:pPr>
              <w:autoSpaceDE w:val="0"/>
              <w:autoSpaceDN w:val="0"/>
              <w:adjustRightInd w:val="0"/>
              <w:snapToGrid w:val="0"/>
              <w:spacing w:line="240" w:lineRule="auto"/>
              <w:ind w:right="-178" w:rightChars="-85"/>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投标人提出问题的截止时间</w:t>
            </w:r>
          </w:p>
        </w:tc>
        <w:tc>
          <w:tcPr>
            <w:tcW w:w="6579" w:type="dxa"/>
            <w:tcBorders>
              <w:top w:val="single" w:color="auto" w:sz="6" w:space="0"/>
              <w:left w:val="single" w:color="auto" w:sz="6" w:space="0"/>
              <w:bottom w:val="single" w:color="auto" w:sz="6" w:space="0"/>
              <w:right w:val="single" w:color="auto" w:sz="12" w:space="0"/>
            </w:tcBorders>
            <w:vAlign w:val="center"/>
          </w:tcPr>
          <w:p w14:paraId="238954CC">
            <w:pPr>
              <w:autoSpaceDE w:val="0"/>
              <w:autoSpaceDN w:val="0"/>
              <w:adjustRightInd w:val="0"/>
              <w:snapToGrid w:val="0"/>
              <w:spacing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投标截止时间</w:t>
            </w:r>
            <w:r>
              <w:rPr>
                <w:rFonts w:ascii="宋体" w:hAnsi="宋体" w:cs="楷体_GB2312"/>
                <w:color w:val="auto"/>
                <w:sz w:val="24"/>
                <w:highlight w:val="none"/>
                <w:lang w:val="zh-CN"/>
              </w:rPr>
              <w:t>2</w:t>
            </w:r>
            <w:r>
              <w:rPr>
                <w:rFonts w:hint="eastAsia" w:ascii="宋体" w:hAnsi="宋体" w:cs="楷体_GB2312"/>
                <w:color w:val="auto"/>
                <w:sz w:val="24"/>
                <w:highlight w:val="none"/>
                <w:lang w:val="zh-CN"/>
              </w:rPr>
              <w:t>日前</w:t>
            </w:r>
          </w:p>
        </w:tc>
      </w:tr>
      <w:tr w14:paraId="50734580">
        <w:tblPrEx>
          <w:tblCellMar>
            <w:top w:w="0" w:type="dxa"/>
            <w:left w:w="108" w:type="dxa"/>
            <w:bottom w:w="0" w:type="dxa"/>
            <w:right w:w="108" w:type="dxa"/>
          </w:tblCellMar>
        </w:tblPrEx>
        <w:trPr>
          <w:trHeight w:val="300" w:hRule="atLeast"/>
          <w:jc w:val="center"/>
        </w:trPr>
        <w:tc>
          <w:tcPr>
            <w:tcW w:w="608" w:type="dxa"/>
            <w:vMerge w:val="continue"/>
            <w:tcBorders>
              <w:left w:val="single" w:color="auto" w:sz="12" w:space="0"/>
              <w:right w:val="single" w:color="auto" w:sz="6" w:space="0"/>
            </w:tcBorders>
          </w:tcPr>
          <w:p w14:paraId="66179417">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14:paraId="2E3368F0">
            <w:pPr>
              <w:autoSpaceDE w:val="0"/>
              <w:autoSpaceDN w:val="0"/>
              <w:adjustRightInd w:val="0"/>
              <w:snapToGrid w:val="0"/>
              <w:spacing w:line="240" w:lineRule="auto"/>
              <w:ind w:right="-88" w:rightChars="-42"/>
              <w:jc w:val="center"/>
              <w:rPr>
                <w:rFonts w:ascii="宋体" w:cs="楷体_GB2312"/>
                <w:b/>
                <w:bCs/>
                <w:color w:val="auto"/>
                <w:szCs w:val="21"/>
                <w:highlight w:val="none"/>
                <w:lang w:val="zh-CN"/>
              </w:rPr>
            </w:pPr>
            <w:r>
              <w:rPr>
                <w:rFonts w:ascii="宋体" w:hAnsi="宋体" w:cs="楷体_GB2312"/>
                <w:b/>
                <w:bCs/>
                <w:color w:val="auto"/>
                <w:szCs w:val="21"/>
                <w:highlight w:val="none"/>
                <w:lang w:val="zh-CN"/>
              </w:rPr>
              <w:t>2.3</w:t>
            </w:r>
          </w:p>
        </w:tc>
        <w:tc>
          <w:tcPr>
            <w:tcW w:w="1874" w:type="dxa"/>
            <w:tcBorders>
              <w:top w:val="single" w:color="auto" w:sz="6" w:space="0"/>
              <w:left w:val="single" w:color="auto" w:sz="6" w:space="0"/>
              <w:bottom w:val="single" w:color="auto" w:sz="6" w:space="0"/>
              <w:right w:val="single" w:color="auto" w:sz="6" w:space="0"/>
            </w:tcBorders>
            <w:vAlign w:val="center"/>
          </w:tcPr>
          <w:p w14:paraId="6B90B9AA">
            <w:pPr>
              <w:autoSpaceDE w:val="0"/>
              <w:autoSpaceDN w:val="0"/>
              <w:adjustRightInd w:val="0"/>
              <w:snapToGrid w:val="0"/>
              <w:spacing w:line="240" w:lineRule="auto"/>
              <w:ind w:right="-178" w:rightChars="-85"/>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谈判文件澄清修改补充时间</w:t>
            </w:r>
          </w:p>
        </w:tc>
        <w:tc>
          <w:tcPr>
            <w:tcW w:w="6579" w:type="dxa"/>
            <w:tcBorders>
              <w:top w:val="single" w:color="auto" w:sz="6" w:space="0"/>
              <w:left w:val="single" w:color="auto" w:sz="6" w:space="0"/>
              <w:bottom w:val="single" w:color="auto" w:sz="6" w:space="0"/>
              <w:right w:val="single" w:color="auto" w:sz="12" w:space="0"/>
            </w:tcBorders>
            <w:vAlign w:val="center"/>
          </w:tcPr>
          <w:p w14:paraId="6872D828">
            <w:pPr>
              <w:autoSpaceDE w:val="0"/>
              <w:autoSpaceDN w:val="0"/>
              <w:adjustRightInd w:val="0"/>
              <w:snapToGrid w:val="0"/>
              <w:spacing w:beforeLines="50" w:line="240" w:lineRule="auto"/>
              <w:rPr>
                <w:rFonts w:ascii="宋体" w:hAnsi="宋体" w:cs="楷体_GB2312"/>
                <w:color w:val="auto"/>
                <w:sz w:val="24"/>
                <w:highlight w:val="none"/>
                <w:lang w:val="zh-CN"/>
              </w:rPr>
            </w:pPr>
            <w:r>
              <w:rPr>
                <w:rFonts w:hint="eastAsia" w:ascii="宋体" w:hAnsi="宋体" w:cs="楷体_GB2312"/>
                <w:color w:val="auto"/>
                <w:sz w:val="24"/>
                <w:highlight w:val="none"/>
                <w:lang w:val="zh-CN"/>
              </w:rPr>
              <w:t>投标截止时间</w:t>
            </w:r>
            <w:r>
              <w:rPr>
                <w:rFonts w:ascii="宋体" w:hAnsi="宋体" w:cs="楷体_GB2312"/>
                <w:color w:val="auto"/>
                <w:sz w:val="24"/>
                <w:highlight w:val="none"/>
              </w:rPr>
              <w:t>3</w:t>
            </w:r>
            <w:r>
              <w:rPr>
                <w:rFonts w:hint="eastAsia" w:ascii="宋体" w:hAnsi="宋体" w:cs="楷体_GB2312"/>
                <w:color w:val="auto"/>
                <w:sz w:val="24"/>
                <w:highlight w:val="none"/>
              </w:rPr>
              <w:t>个工作</w:t>
            </w:r>
            <w:r>
              <w:rPr>
                <w:rFonts w:hint="eastAsia" w:ascii="宋体" w:hAnsi="宋体" w:cs="楷体_GB2312"/>
                <w:color w:val="auto"/>
                <w:sz w:val="24"/>
                <w:highlight w:val="none"/>
                <w:lang w:val="zh-CN"/>
              </w:rPr>
              <w:t>日前。</w:t>
            </w:r>
          </w:p>
        </w:tc>
      </w:tr>
      <w:tr w14:paraId="7234BF58">
        <w:tblPrEx>
          <w:tblCellMar>
            <w:top w:w="0" w:type="dxa"/>
            <w:left w:w="108" w:type="dxa"/>
            <w:bottom w:w="0" w:type="dxa"/>
            <w:right w:w="108" w:type="dxa"/>
          </w:tblCellMar>
        </w:tblPrEx>
        <w:trPr>
          <w:trHeight w:val="300" w:hRule="atLeast"/>
          <w:jc w:val="center"/>
        </w:trPr>
        <w:tc>
          <w:tcPr>
            <w:tcW w:w="608" w:type="dxa"/>
            <w:vMerge w:val="continue"/>
            <w:tcBorders>
              <w:left w:val="single" w:color="auto" w:sz="12" w:space="0"/>
              <w:right w:val="single" w:color="auto" w:sz="6" w:space="0"/>
            </w:tcBorders>
          </w:tcPr>
          <w:p w14:paraId="4470B179">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14:paraId="4A5359E4">
            <w:pPr>
              <w:autoSpaceDE w:val="0"/>
              <w:autoSpaceDN w:val="0"/>
              <w:adjustRightInd w:val="0"/>
              <w:snapToGrid w:val="0"/>
              <w:spacing w:line="240" w:lineRule="auto"/>
              <w:ind w:left="-134" w:leftChars="-64" w:right="-88" w:rightChars="-42"/>
              <w:jc w:val="center"/>
              <w:rPr>
                <w:rFonts w:ascii="宋体" w:hAnsi="宋体" w:cs="楷体_GB2312"/>
                <w:b/>
                <w:bCs/>
                <w:color w:val="auto"/>
                <w:szCs w:val="21"/>
                <w:highlight w:val="none"/>
              </w:rPr>
            </w:pPr>
            <w:r>
              <w:rPr>
                <w:rFonts w:ascii="宋体" w:hAnsi="宋体" w:cs="楷体_GB2312"/>
                <w:b/>
                <w:bCs/>
                <w:color w:val="auto"/>
                <w:szCs w:val="21"/>
                <w:highlight w:val="none"/>
              </w:rPr>
              <w:t>2.4</w:t>
            </w:r>
          </w:p>
        </w:tc>
        <w:tc>
          <w:tcPr>
            <w:tcW w:w="1874" w:type="dxa"/>
            <w:tcBorders>
              <w:top w:val="single" w:color="auto" w:sz="6" w:space="0"/>
              <w:left w:val="single" w:color="auto" w:sz="6" w:space="0"/>
              <w:bottom w:val="single" w:color="auto" w:sz="6" w:space="0"/>
              <w:right w:val="single" w:color="auto" w:sz="6" w:space="0"/>
            </w:tcBorders>
            <w:vAlign w:val="center"/>
          </w:tcPr>
          <w:p w14:paraId="505B98D8">
            <w:pPr>
              <w:autoSpaceDE w:val="0"/>
              <w:autoSpaceDN w:val="0"/>
              <w:adjustRightInd w:val="0"/>
              <w:snapToGrid w:val="0"/>
              <w:spacing w:line="240" w:lineRule="auto"/>
              <w:ind w:left="-126" w:leftChars="-60" w:right="-36" w:rightChars="-17"/>
              <w:jc w:val="center"/>
              <w:rPr>
                <w:rFonts w:ascii="宋体" w:cs="楷体_GB2312"/>
                <w:b/>
                <w:bCs/>
                <w:color w:val="auto"/>
                <w:szCs w:val="21"/>
                <w:highlight w:val="none"/>
                <w:lang w:val="zh-CN"/>
              </w:rPr>
            </w:pPr>
            <w:r>
              <w:rPr>
                <w:rFonts w:hint="eastAsia" w:ascii="宋体" w:hAnsi="宋体" w:cs="楷体_GB2312"/>
                <w:b/>
                <w:bCs/>
                <w:color w:val="auto"/>
                <w:szCs w:val="21"/>
                <w:highlight w:val="none"/>
                <w:lang w:val="zh-CN"/>
              </w:rPr>
              <w:t>谈判文件的澄清修改补充告知方式</w:t>
            </w:r>
          </w:p>
        </w:tc>
        <w:tc>
          <w:tcPr>
            <w:tcW w:w="6579" w:type="dxa"/>
            <w:tcBorders>
              <w:top w:val="single" w:color="auto" w:sz="6" w:space="0"/>
              <w:left w:val="single" w:color="auto" w:sz="6" w:space="0"/>
              <w:bottom w:val="single" w:color="auto" w:sz="6" w:space="0"/>
              <w:right w:val="single" w:color="auto" w:sz="12" w:space="0"/>
            </w:tcBorders>
            <w:vAlign w:val="center"/>
          </w:tcPr>
          <w:p w14:paraId="0C00607B">
            <w:pPr>
              <w:autoSpaceDE w:val="0"/>
              <w:autoSpaceDN w:val="0"/>
              <w:adjustRightInd w:val="0"/>
              <w:snapToGrid w:val="0"/>
              <w:spacing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见“第三章投标人须知”相应条款</w:t>
            </w:r>
          </w:p>
        </w:tc>
      </w:tr>
      <w:tr w14:paraId="1AA595BC">
        <w:tblPrEx>
          <w:tblCellMar>
            <w:top w:w="0" w:type="dxa"/>
            <w:left w:w="108" w:type="dxa"/>
            <w:bottom w:w="0" w:type="dxa"/>
            <w:right w:w="108" w:type="dxa"/>
          </w:tblCellMar>
        </w:tblPrEx>
        <w:trPr>
          <w:trHeight w:val="535" w:hRule="atLeast"/>
          <w:jc w:val="center"/>
        </w:trPr>
        <w:tc>
          <w:tcPr>
            <w:tcW w:w="608" w:type="dxa"/>
            <w:vMerge w:val="continue"/>
            <w:tcBorders>
              <w:left w:val="single" w:color="auto" w:sz="12" w:space="0"/>
              <w:bottom w:val="single" w:color="auto" w:sz="6" w:space="0"/>
              <w:right w:val="single" w:color="auto" w:sz="6" w:space="0"/>
            </w:tcBorders>
          </w:tcPr>
          <w:p w14:paraId="30818A29">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14:paraId="4E822F22">
            <w:pPr>
              <w:autoSpaceDE w:val="0"/>
              <w:autoSpaceDN w:val="0"/>
              <w:adjustRightInd w:val="0"/>
              <w:snapToGrid w:val="0"/>
              <w:spacing w:line="240" w:lineRule="auto"/>
              <w:ind w:right="-88" w:rightChars="-42"/>
              <w:jc w:val="center"/>
              <w:rPr>
                <w:rFonts w:ascii="宋体" w:cs="楷体_GB2312"/>
                <w:b/>
                <w:bCs/>
                <w:color w:val="auto"/>
                <w:szCs w:val="21"/>
                <w:highlight w:val="none"/>
                <w:lang w:val="zh-CN"/>
              </w:rPr>
            </w:pPr>
            <w:r>
              <w:rPr>
                <w:rFonts w:ascii="宋体" w:hAnsi="宋体" w:cs="楷体_GB2312"/>
                <w:b/>
                <w:bCs/>
                <w:color w:val="auto"/>
                <w:szCs w:val="21"/>
                <w:highlight w:val="none"/>
                <w:lang w:val="zh-CN"/>
              </w:rPr>
              <w:t>3.2</w:t>
            </w:r>
          </w:p>
        </w:tc>
        <w:tc>
          <w:tcPr>
            <w:tcW w:w="1874" w:type="dxa"/>
            <w:tcBorders>
              <w:top w:val="single" w:color="auto" w:sz="6" w:space="0"/>
              <w:left w:val="single" w:color="auto" w:sz="6" w:space="0"/>
              <w:bottom w:val="single" w:color="auto" w:sz="6" w:space="0"/>
              <w:right w:val="single" w:color="auto" w:sz="6" w:space="0"/>
            </w:tcBorders>
            <w:vAlign w:val="center"/>
          </w:tcPr>
          <w:p w14:paraId="063E7D2A">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投标文件的组成</w:t>
            </w:r>
          </w:p>
        </w:tc>
        <w:tc>
          <w:tcPr>
            <w:tcW w:w="6579" w:type="dxa"/>
            <w:tcBorders>
              <w:top w:val="single" w:color="auto" w:sz="6" w:space="0"/>
              <w:left w:val="single" w:color="auto" w:sz="6" w:space="0"/>
              <w:bottom w:val="single" w:color="auto" w:sz="6" w:space="0"/>
              <w:right w:val="single" w:color="auto" w:sz="12" w:space="0"/>
            </w:tcBorders>
            <w:vAlign w:val="center"/>
          </w:tcPr>
          <w:p w14:paraId="06753D29">
            <w:pPr>
              <w:autoSpaceDE w:val="0"/>
              <w:autoSpaceDN w:val="0"/>
              <w:adjustRightInd w:val="0"/>
              <w:snapToGrid w:val="0"/>
              <w:spacing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见“第三章投标人须知”相应条款</w:t>
            </w:r>
          </w:p>
        </w:tc>
      </w:tr>
      <w:tr w14:paraId="1F193D42">
        <w:tblPrEx>
          <w:tblCellMar>
            <w:top w:w="0" w:type="dxa"/>
            <w:left w:w="108" w:type="dxa"/>
            <w:bottom w:w="0" w:type="dxa"/>
            <w:right w:w="108" w:type="dxa"/>
          </w:tblCellMar>
        </w:tblPrEx>
        <w:trPr>
          <w:trHeight w:val="564" w:hRule="atLeast"/>
          <w:jc w:val="center"/>
        </w:trPr>
        <w:tc>
          <w:tcPr>
            <w:tcW w:w="608" w:type="dxa"/>
            <w:vMerge w:val="restart"/>
            <w:tcBorders>
              <w:top w:val="single" w:color="auto" w:sz="6" w:space="0"/>
              <w:left w:val="single" w:color="auto" w:sz="12" w:space="0"/>
              <w:right w:val="single" w:color="auto" w:sz="6" w:space="0"/>
            </w:tcBorders>
          </w:tcPr>
          <w:p w14:paraId="05966A4E">
            <w:pPr>
              <w:autoSpaceDE w:val="0"/>
              <w:autoSpaceDN w:val="0"/>
              <w:adjustRightInd w:val="0"/>
              <w:snapToGrid w:val="0"/>
              <w:spacing w:line="240" w:lineRule="auto"/>
              <w:jc w:val="center"/>
              <w:rPr>
                <w:rFonts w:ascii="宋体" w:hAnsi="宋体" w:cs="楷体_GB2312"/>
                <w:b/>
                <w:bCs/>
                <w:color w:val="auto"/>
                <w:sz w:val="24"/>
                <w:highlight w:val="none"/>
                <w:lang w:val="zh-CN"/>
              </w:rPr>
            </w:pPr>
            <w:r>
              <w:rPr>
                <w:rFonts w:hint="eastAsia" w:ascii="宋体" w:hAnsi="宋体" w:cs="楷体_GB2312"/>
                <w:b/>
                <w:bCs/>
                <w:color w:val="auto"/>
                <w:sz w:val="24"/>
                <w:highlight w:val="none"/>
                <w:lang w:val="zh-CN"/>
              </w:rPr>
              <w:t>第三章</w:t>
            </w:r>
          </w:p>
          <w:p w14:paraId="13A975FE">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14:paraId="6F09BB5F">
            <w:pPr>
              <w:autoSpaceDE w:val="0"/>
              <w:autoSpaceDN w:val="0"/>
              <w:adjustRightInd w:val="0"/>
              <w:snapToGrid w:val="0"/>
              <w:spacing w:line="240" w:lineRule="auto"/>
              <w:ind w:right="-88" w:rightChars="-42"/>
              <w:jc w:val="center"/>
              <w:rPr>
                <w:rFonts w:ascii="宋体" w:hAnsi="宋体" w:cs="楷体_GB2312"/>
                <w:b/>
                <w:bCs/>
                <w:color w:val="auto"/>
                <w:szCs w:val="21"/>
                <w:highlight w:val="none"/>
                <w:lang w:val="zh-CN"/>
              </w:rPr>
            </w:pPr>
            <w:r>
              <w:rPr>
                <w:rFonts w:ascii="宋体" w:hAnsi="宋体" w:cs="楷体_GB2312"/>
                <w:b/>
                <w:bCs/>
                <w:color w:val="auto"/>
                <w:szCs w:val="21"/>
                <w:highlight w:val="none"/>
                <w:lang w:val="zh-CN"/>
              </w:rPr>
              <w:t>3.4.1</w:t>
            </w:r>
          </w:p>
        </w:tc>
        <w:tc>
          <w:tcPr>
            <w:tcW w:w="1874" w:type="dxa"/>
            <w:tcBorders>
              <w:top w:val="single" w:color="auto" w:sz="6" w:space="0"/>
              <w:left w:val="single" w:color="auto" w:sz="6" w:space="0"/>
              <w:bottom w:val="single" w:color="auto" w:sz="6" w:space="0"/>
              <w:right w:val="single" w:color="auto" w:sz="6" w:space="0"/>
            </w:tcBorders>
            <w:vAlign w:val="center"/>
          </w:tcPr>
          <w:p w14:paraId="4729B878">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投标有效期</w:t>
            </w:r>
          </w:p>
        </w:tc>
        <w:tc>
          <w:tcPr>
            <w:tcW w:w="6579" w:type="dxa"/>
            <w:tcBorders>
              <w:top w:val="single" w:color="auto" w:sz="6" w:space="0"/>
              <w:left w:val="single" w:color="auto" w:sz="6" w:space="0"/>
              <w:bottom w:val="single" w:color="auto" w:sz="6" w:space="0"/>
              <w:right w:val="single" w:color="auto" w:sz="12" w:space="0"/>
            </w:tcBorders>
            <w:vAlign w:val="center"/>
          </w:tcPr>
          <w:p w14:paraId="782001E1">
            <w:pPr>
              <w:autoSpaceDE w:val="0"/>
              <w:autoSpaceDN w:val="0"/>
              <w:adjustRightInd w:val="0"/>
              <w:snapToGrid w:val="0"/>
              <w:spacing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从开标之日起，投标有效期为</w:t>
            </w:r>
            <w:r>
              <w:rPr>
                <w:rFonts w:ascii="宋体" w:hAnsi="宋体" w:cs="楷体_GB2312"/>
                <w:color w:val="auto"/>
                <w:sz w:val="24"/>
                <w:highlight w:val="none"/>
                <w:lang w:val="zh-CN"/>
              </w:rPr>
              <w:t>90</w:t>
            </w:r>
            <w:r>
              <w:rPr>
                <w:rFonts w:hint="eastAsia" w:ascii="宋体" w:hAnsi="宋体" w:cs="楷体_GB2312"/>
                <w:color w:val="auto"/>
                <w:sz w:val="24"/>
                <w:highlight w:val="none"/>
                <w:lang w:val="zh-CN"/>
              </w:rPr>
              <w:t>日历天</w:t>
            </w:r>
          </w:p>
        </w:tc>
      </w:tr>
      <w:tr w14:paraId="72B7C4E5">
        <w:tblPrEx>
          <w:tblCellMar>
            <w:top w:w="0" w:type="dxa"/>
            <w:left w:w="108" w:type="dxa"/>
            <w:bottom w:w="0" w:type="dxa"/>
            <w:right w:w="108" w:type="dxa"/>
          </w:tblCellMar>
        </w:tblPrEx>
        <w:trPr>
          <w:trHeight w:val="694" w:hRule="atLeast"/>
          <w:jc w:val="center"/>
        </w:trPr>
        <w:tc>
          <w:tcPr>
            <w:tcW w:w="608" w:type="dxa"/>
            <w:vMerge w:val="continue"/>
            <w:tcBorders>
              <w:left w:val="single" w:color="auto" w:sz="12" w:space="0"/>
              <w:right w:val="single" w:color="auto" w:sz="6" w:space="0"/>
            </w:tcBorders>
          </w:tcPr>
          <w:p w14:paraId="3C99963D">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4" w:type="dxa"/>
            <w:tcBorders>
              <w:top w:val="single" w:color="auto" w:sz="6" w:space="0"/>
              <w:left w:val="single" w:color="auto" w:sz="12" w:space="0"/>
              <w:right w:val="single" w:color="auto" w:sz="6" w:space="0"/>
            </w:tcBorders>
            <w:vAlign w:val="center"/>
          </w:tcPr>
          <w:p w14:paraId="4FFA6DD2">
            <w:pPr>
              <w:autoSpaceDE w:val="0"/>
              <w:autoSpaceDN w:val="0"/>
              <w:adjustRightInd w:val="0"/>
              <w:snapToGrid w:val="0"/>
              <w:spacing w:line="240" w:lineRule="auto"/>
              <w:ind w:right="-88" w:rightChars="-42"/>
              <w:jc w:val="center"/>
              <w:rPr>
                <w:rFonts w:ascii="宋体" w:hAnsi="宋体" w:cs="楷体_GB2312"/>
                <w:b/>
                <w:bCs/>
                <w:color w:val="auto"/>
                <w:szCs w:val="21"/>
                <w:highlight w:val="none"/>
                <w:lang w:val="zh-CN"/>
              </w:rPr>
            </w:pPr>
            <w:r>
              <w:rPr>
                <w:rFonts w:ascii="宋体" w:hAnsi="宋体" w:cs="楷体_GB2312"/>
                <w:b/>
                <w:bCs/>
                <w:color w:val="auto"/>
                <w:szCs w:val="21"/>
                <w:highlight w:val="none"/>
                <w:lang w:val="zh-CN"/>
              </w:rPr>
              <w:t>3.5</w:t>
            </w:r>
          </w:p>
        </w:tc>
        <w:tc>
          <w:tcPr>
            <w:tcW w:w="1874" w:type="dxa"/>
            <w:tcBorders>
              <w:top w:val="single" w:color="auto" w:sz="6" w:space="0"/>
              <w:left w:val="single" w:color="auto" w:sz="6" w:space="0"/>
              <w:right w:val="single" w:color="auto" w:sz="6" w:space="0"/>
            </w:tcBorders>
            <w:vAlign w:val="center"/>
          </w:tcPr>
          <w:p w14:paraId="6BB14D9C">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cs="楷体_GB2312"/>
                <w:b/>
                <w:bCs/>
                <w:color w:val="auto"/>
                <w:sz w:val="24"/>
                <w:highlight w:val="none"/>
                <w:lang w:val="zh-CN"/>
              </w:rPr>
              <w:t>投标承诺函</w:t>
            </w:r>
          </w:p>
        </w:tc>
        <w:tc>
          <w:tcPr>
            <w:tcW w:w="6579" w:type="dxa"/>
            <w:tcBorders>
              <w:top w:val="single" w:color="auto" w:sz="6" w:space="0"/>
              <w:left w:val="single" w:color="auto" w:sz="6" w:space="0"/>
              <w:right w:val="single" w:color="auto" w:sz="12" w:space="0"/>
            </w:tcBorders>
            <w:vAlign w:val="center"/>
          </w:tcPr>
          <w:p w14:paraId="6755419C">
            <w:pPr>
              <w:widowControl w:val="0"/>
              <w:snapToGrid w:val="0"/>
              <w:spacing w:beforeLines="50" w:line="240" w:lineRule="auto"/>
              <w:rPr>
                <w:rFonts w:cs="楷体_GB2312"/>
                <w:b/>
                <w:color w:val="auto"/>
                <w:sz w:val="24"/>
                <w:highlight w:val="none"/>
                <w:lang w:val="zh-CN"/>
              </w:rPr>
            </w:pPr>
            <w:r>
              <w:rPr>
                <w:rFonts w:hint="eastAsia"/>
                <w:color w:val="auto"/>
                <w:sz w:val="24"/>
                <w:szCs w:val="24"/>
                <w:highlight w:val="none"/>
              </w:rPr>
              <w:t>供应商应按附件格式进行投标承诺、违背承诺的责任追究。</w:t>
            </w:r>
          </w:p>
        </w:tc>
      </w:tr>
      <w:tr w14:paraId="426541F2">
        <w:tblPrEx>
          <w:tblCellMar>
            <w:top w:w="0" w:type="dxa"/>
            <w:left w:w="108" w:type="dxa"/>
            <w:bottom w:w="0" w:type="dxa"/>
            <w:right w:w="108" w:type="dxa"/>
          </w:tblCellMar>
        </w:tblPrEx>
        <w:trPr>
          <w:trHeight w:val="577" w:hRule="atLeast"/>
          <w:jc w:val="center"/>
        </w:trPr>
        <w:tc>
          <w:tcPr>
            <w:tcW w:w="608" w:type="dxa"/>
            <w:vMerge w:val="continue"/>
            <w:tcBorders>
              <w:left w:val="single" w:color="auto" w:sz="12" w:space="0"/>
              <w:right w:val="single" w:color="auto" w:sz="6" w:space="0"/>
            </w:tcBorders>
          </w:tcPr>
          <w:p w14:paraId="14B2AD2D">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4" w:type="dxa"/>
            <w:tcBorders>
              <w:top w:val="single" w:color="auto" w:sz="4" w:space="0"/>
              <w:left w:val="single" w:color="auto" w:sz="12" w:space="0"/>
              <w:bottom w:val="single" w:color="auto" w:sz="6" w:space="0"/>
              <w:right w:val="single" w:color="auto" w:sz="6" w:space="0"/>
            </w:tcBorders>
            <w:vAlign w:val="center"/>
          </w:tcPr>
          <w:p w14:paraId="2D02D686">
            <w:pPr>
              <w:autoSpaceDE w:val="0"/>
              <w:autoSpaceDN w:val="0"/>
              <w:adjustRightInd w:val="0"/>
              <w:snapToGrid w:val="0"/>
              <w:spacing w:line="240" w:lineRule="auto"/>
              <w:ind w:right="-88" w:rightChars="-42"/>
              <w:jc w:val="center"/>
              <w:rPr>
                <w:rFonts w:ascii="宋体" w:hAnsi="宋体" w:cs="楷体_GB2312"/>
                <w:b/>
                <w:bCs/>
                <w:color w:val="auto"/>
                <w:szCs w:val="21"/>
                <w:highlight w:val="none"/>
                <w:lang w:val="zh-CN"/>
              </w:rPr>
            </w:pPr>
            <w:r>
              <w:rPr>
                <w:rFonts w:ascii="宋体" w:hAnsi="宋体" w:cs="楷体_GB2312"/>
                <w:b/>
                <w:bCs/>
                <w:color w:val="auto"/>
                <w:szCs w:val="21"/>
                <w:highlight w:val="none"/>
                <w:lang w:val="zh-CN"/>
              </w:rPr>
              <w:t>3.7.3</w:t>
            </w:r>
          </w:p>
        </w:tc>
        <w:tc>
          <w:tcPr>
            <w:tcW w:w="1874" w:type="dxa"/>
            <w:tcBorders>
              <w:top w:val="single" w:color="auto" w:sz="4" w:space="0"/>
              <w:left w:val="single" w:color="auto" w:sz="6" w:space="0"/>
              <w:bottom w:val="single" w:color="auto" w:sz="6" w:space="0"/>
              <w:right w:val="single" w:color="auto" w:sz="6" w:space="0"/>
            </w:tcBorders>
            <w:vAlign w:val="center"/>
          </w:tcPr>
          <w:p w14:paraId="3F827DBA">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偏差描述</w:t>
            </w:r>
          </w:p>
        </w:tc>
        <w:tc>
          <w:tcPr>
            <w:tcW w:w="6579" w:type="dxa"/>
            <w:tcBorders>
              <w:top w:val="single" w:color="auto" w:sz="4" w:space="0"/>
              <w:left w:val="single" w:color="auto" w:sz="6" w:space="0"/>
              <w:bottom w:val="single" w:color="auto" w:sz="6" w:space="0"/>
              <w:right w:val="single" w:color="auto" w:sz="12" w:space="0"/>
            </w:tcBorders>
            <w:vAlign w:val="center"/>
          </w:tcPr>
          <w:p w14:paraId="40AB2960">
            <w:pPr>
              <w:widowControl w:val="0"/>
              <w:snapToGrid w:val="0"/>
              <w:spacing w:beforeLines="50" w:line="240" w:lineRule="auto"/>
              <w:rPr>
                <w:b/>
                <w:color w:val="auto"/>
                <w:sz w:val="24"/>
                <w:szCs w:val="24"/>
                <w:highlight w:val="none"/>
              </w:rPr>
            </w:pPr>
            <w:r>
              <w:rPr>
                <w:rFonts w:hint="eastAsia" w:ascii="宋体" w:hAnsi="宋体" w:cs="楷体_GB2312"/>
                <w:color w:val="auto"/>
                <w:sz w:val="24"/>
                <w:highlight w:val="none"/>
                <w:lang w:val="zh-CN"/>
              </w:rPr>
              <w:t>见“第三章投标人须知”相应条款</w:t>
            </w:r>
          </w:p>
        </w:tc>
      </w:tr>
      <w:tr w14:paraId="15F64511">
        <w:tblPrEx>
          <w:tblCellMar>
            <w:top w:w="0" w:type="dxa"/>
            <w:left w:w="108" w:type="dxa"/>
            <w:bottom w:w="0" w:type="dxa"/>
            <w:right w:w="108" w:type="dxa"/>
          </w:tblCellMar>
        </w:tblPrEx>
        <w:trPr>
          <w:trHeight w:val="65" w:hRule="atLeast"/>
          <w:jc w:val="center"/>
        </w:trPr>
        <w:tc>
          <w:tcPr>
            <w:tcW w:w="608" w:type="dxa"/>
            <w:vMerge w:val="continue"/>
            <w:tcBorders>
              <w:left w:val="single" w:color="auto" w:sz="12" w:space="0"/>
              <w:right w:val="single" w:color="auto" w:sz="6" w:space="0"/>
            </w:tcBorders>
          </w:tcPr>
          <w:p w14:paraId="5F012002">
            <w:pPr>
              <w:autoSpaceDE w:val="0"/>
              <w:autoSpaceDN w:val="0"/>
              <w:adjustRightInd w:val="0"/>
              <w:snapToGrid w:val="0"/>
              <w:spacing w:line="240" w:lineRule="auto"/>
              <w:jc w:val="center"/>
              <w:rPr>
                <w:rFonts w:ascii="宋体" w:cs="楷体_GB2312"/>
                <w:b/>
                <w:bCs/>
                <w:color w:val="auto"/>
                <w:sz w:val="24"/>
                <w:highlight w:val="none"/>
              </w:rPr>
            </w:pPr>
          </w:p>
        </w:tc>
        <w:tc>
          <w:tcPr>
            <w:tcW w:w="694" w:type="dxa"/>
            <w:tcBorders>
              <w:top w:val="single" w:color="auto" w:sz="6" w:space="0"/>
              <w:left w:val="single" w:color="auto" w:sz="12" w:space="0"/>
              <w:bottom w:val="single" w:color="auto" w:sz="6" w:space="0"/>
              <w:right w:val="single" w:color="auto" w:sz="6" w:space="0"/>
            </w:tcBorders>
            <w:vAlign w:val="center"/>
          </w:tcPr>
          <w:p w14:paraId="4C71C603">
            <w:pPr>
              <w:autoSpaceDE w:val="0"/>
              <w:autoSpaceDN w:val="0"/>
              <w:adjustRightInd w:val="0"/>
              <w:snapToGrid w:val="0"/>
              <w:spacing w:line="240" w:lineRule="auto"/>
              <w:ind w:right="-88" w:rightChars="-42"/>
              <w:jc w:val="center"/>
              <w:rPr>
                <w:rFonts w:ascii="宋体" w:hAnsi="宋体" w:cs="楷体_GB2312"/>
                <w:b/>
                <w:bCs/>
                <w:color w:val="auto"/>
                <w:szCs w:val="21"/>
                <w:highlight w:val="none"/>
                <w:lang w:val="zh-CN"/>
              </w:rPr>
            </w:pPr>
            <w:r>
              <w:rPr>
                <w:rFonts w:ascii="宋体" w:hAnsi="宋体" w:cs="楷体_GB2312"/>
                <w:b/>
                <w:bCs/>
                <w:color w:val="auto"/>
                <w:szCs w:val="21"/>
                <w:highlight w:val="none"/>
                <w:lang w:val="zh-CN"/>
              </w:rPr>
              <w:t>3.7.4</w:t>
            </w:r>
          </w:p>
        </w:tc>
        <w:tc>
          <w:tcPr>
            <w:tcW w:w="1874" w:type="dxa"/>
            <w:tcBorders>
              <w:top w:val="single" w:color="auto" w:sz="6" w:space="0"/>
              <w:left w:val="single" w:color="auto" w:sz="6" w:space="0"/>
              <w:bottom w:val="single" w:color="auto" w:sz="6" w:space="0"/>
              <w:right w:val="single" w:color="auto" w:sz="6" w:space="0"/>
            </w:tcBorders>
            <w:vAlign w:val="center"/>
          </w:tcPr>
          <w:p w14:paraId="34AD1B2F">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签字或盖章要求</w:t>
            </w:r>
          </w:p>
        </w:tc>
        <w:tc>
          <w:tcPr>
            <w:tcW w:w="6579" w:type="dxa"/>
            <w:tcBorders>
              <w:top w:val="single" w:color="auto" w:sz="6" w:space="0"/>
              <w:left w:val="single" w:color="auto" w:sz="6" w:space="0"/>
              <w:bottom w:val="single" w:color="auto" w:sz="6" w:space="0"/>
              <w:right w:val="single" w:color="auto" w:sz="12" w:space="0"/>
            </w:tcBorders>
            <w:vAlign w:val="center"/>
          </w:tcPr>
          <w:p w14:paraId="31302306">
            <w:pPr>
              <w:autoSpaceDE w:val="0"/>
              <w:autoSpaceDN w:val="0"/>
              <w:adjustRightInd w:val="0"/>
              <w:snapToGrid w:val="0"/>
              <w:spacing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见“第三章投标人须知”相应条款</w:t>
            </w:r>
          </w:p>
        </w:tc>
      </w:tr>
      <w:tr w14:paraId="2D084286">
        <w:tblPrEx>
          <w:tblCellMar>
            <w:top w:w="0" w:type="dxa"/>
            <w:left w:w="108" w:type="dxa"/>
            <w:bottom w:w="0" w:type="dxa"/>
            <w:right w:w="108" w:type="dxa"/>
          </w:tblCellMar>
        </w:tblPrEx>
        <w:trPr>
          <w:trHeight w:val="343" w:hRule="atLeast"/>
          <w:jc w:val="center"/>
        </w:trPr>
        <w:tc>
          <w:tcPr>
            <w:tcW w:w="608" w:type="dxa"/>
            <w:vMerge w:val="continue"/>
            <w:tcBorders>
              <w:left w:val="single" w:color="auto" w:sz="12" w:space="0"/>
              <w:right w:val="single" w:color="auto" w:sz="6" w:space="0"/>
            </w:tcBorders>
          </w:tcPr>
          <w:p w14:paraId="663F0487">
            <w:pPr>
              <w:autoSpaceDE w:val="0"/>
              <w:autoSpaceDN w:val="0"/>
              <w:adjustRightInd w:val="0"/>
              <w:snapToGrid w:val="0"/>
              <w:spacing w:line="240" w:lineRule="auto"/>
              <w:jc w:val="center"/>
              <w:rPr>
                <w:rFonts w:ascii="宋体" w:cs="楷体_GB2312"/>
                <w:b/>
                <w:bCs/>
                <w:color w:val="auto"/>
                <w:sz w:val="24"/>
                <w:highlight w:val="none"/>
              </w:rPr>
            </w:pPr>
          </w:p>
        </w:tc>
        <w:tc>
          <w:tcPr>
            <w:tcW w:w="694" w:type="dxa"/>
            <w:tcBorders>
              <w:top w:val="single" w:color="auto" w:sz="6" w:space="0"/>
              <w:left w:val="single" w:color="auto" w:sz="12" w:space="0"/>
              <w:bottom w:val="single" w:color="auto" w:sz="6" w:space="0"/>
              <w:right w:val="single" w:color="auto" w:sz="6" w:space="0"/>
            </w:tcBorders>
            <w:vAlign w:val="center"/>
          </w:tcPr>
          <w:p w14:paraId="1F67ED92">
            <w:pPr>
              <w:autoSpaceDE w:val="0"/>
              <w:autoSpaceDN w:val="0"/>
              <w:adjustRightInd w:val="0"/>
              <w:snapToGrid w:val="0"/>
              <w:spacing w:line="240" w:lineRule="auto"/>
              <w:ind w:right="-88" w:rightChars="-42"/>
              <w:jc w:val="center"/>
              <w:rPr>
                <w:rFonts w:ascii="宋体" w:hAnsi="宋体" w:cs="楷体_GB2312"/>
                <w:b/>
                <w:bCs/>
                <w:color w:val="auto"/>
                <w:szCs w:val="21"/>
                <w:highlight w:val="none"/>
                <w:lang w:val="zh-CN"/>
              </w:rPr>
            </w:pPr>
            <w:r>
              <w:rPr>
                <w:rFonts w:ascii="宋体" w:hAnsi="宋体" w:cs="楷体_GB2312"/>
                <w:b/>
                <w:bCs/>
                <w:color w:val="auto"/>
                <w:szCs w:val="21"/>
                <w:highlight w:val="none"/>
                <w:lang w:val="zh-CN"/>
              </w:rPr>
              <w:t>4.2.4</w:t>
            </w:r>
          </w:p>
        </w:tc>
        <w:tc>
          <w:tcPr>
            <w:tcW w:w="1874" w:type="dxa"/>
            <w:tcBorders>
              <w:top w:val="single" w:color="auto" w:sz="6" w:space="0"/>
              <w:left w:val="single" w:color="auto" w:sz="6" w:space="0"/>
              <w:bottom w:val="single" w:color="auto" w:sz="6" w:space="0"/>
              <w:right w:val="single" w:color="auto" w:sz="6" w:space="0"/>
            </w:tcBorders>
            <w:vAlign w:val="center"/>
          </w:tcPr>
          <w:p w14:paraId="7EC3A48B">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是否退还投标文件</w:t>
            </w:r>
          </w:p>
        </w:tc>
        <w:tc>
          <w:tcPr>
            <w:tcW w:w="6579" w:type="dxa"/>
            <w:tcBorders>
              <w:top w:val="single" w:color="auto" w:sz="6" w:space="0"/>
              <w:left w:val="single" w:color="auto" w:sz="6" w:space="0"/>
              <w:bottom w:val="single" w:color="auto" w:sz="6" w:space="0"/>
              <w:right w:val="single" w:color="auto" w:sz="12" w:space="0"/>
            </w:tcBorders>
            <w:vAlign w:val="center"/>
          </w:tcPr>
          <w:p w14:paraId="71F966F1">
            <w:pPr>
              <w:autoSpaceDE w:val="0"/>
              <w:autoSpaceDN w:val="0"/>
              <w:adjustRightInd w:val="0"/>
              <w:snapToGrid w:val="0"/>
              <w:spacing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否</w:t>
            </w:r>
          </w:p>
        </w:tc>
      </w:tr>
      <w:tr w14:paraId="247CEBF0">
        <w:tblPrEx>
          <w:tblCellMar>
            <w:top w:w="0" w:type="dxa"/>
            <w:left w:w="108" w:type="dxa"/>
            <w:bottom w:w="0" w:type="dxa"/>
            <w:right w:w="108" w:type="dxa"/>
          </w:tblCellMar>
        </w:tblPrEx>
        <w:trPr>
          <w:trHeight w:val="507" w:hRule="atLeast"/>
          <w:jc w:val="center"/>
        </w:trPr>
        <w:tc>
          <w:tcPr>
            <w:tcW w:w="608" w:type="dxa"/>
            <w:vMerge w:val="continue"/>
            <w:tcBorders>
              <w:left w:val="single" w:color="auto" w:sz="12" w:space="0"/>
              <w:bottom w:val="single" w:color="auto" w:sz="6" w:space="0"/>
              <w:right w:val="single" w:color="auto" w:sz="6" w:space="0"/>
            </w:tcBorders>
          </w:tcPr>
          <w:p w14:paraId="2B9F2ED4">
            <w:pPr>
              <w:autoSpaceDE w:val="0"/>
              <w:autoSpaceDN w:val="0"/>
              <w:adjustRightInd w:val="0"/>
              <w:snapToGrid w:val="0"/>
              <w:spacing w:line="240" w:lineRule="auto"/>
              <w:jc w:val="center"/>
              <w:rPr>
                <w:rFonts w:ascii="宋体" w:cs="楷体_GB2312"/>
                <w:b/>
                <w:bCs/>
                <w:color w:val="auto"/>
                <w:sz w:val="24"/>
                <w:highlight w:val="none"/>
              </w:rPr>
            </w:pPr>
          </w:p>
        </w:tc>
        <w:tc>
          <w:tcPr>
            <w:tcW w:w="694" w:type="dxa"/>
            <w:tcBorders>
              <w:top w:val="single" w:color="auto" w:sz="6" w:space="0"/>
              <w:left w:val="single" w:color="auto" w:sz="12" w:space="0"/>
              <w:bottom w:val="single" w:color="auto" w:sz="6" w:space="0"/>
              <w:right w:val="single" w:color="auto" w:sz="6" w:space="0"/>
            </w:tcBorders>
            <w:vAlign w:val="center"/>
          </w:tcPr>
          <w:p w14:paraId="6DA2AD5D">
            <w:pPr>
              <w:autoSpaceDE w:val="0"/>
              <w:autoSpaceDN w:val="0"/>
              <w:adjustRightInd w:val="0"/>
              <w:snapToGrid w:val="0"/>
              <w:spacing w:line="240" w:lineRule="auto"/>
              <w:ind w:right="-88" w:rightChars="-42"/>
              <w:jc w:val="center"/>
              <w:rPr>
                <w:rFonts w:ascii="宋体" w:hAnsi="宋体" w:cs="楷体_GB2312"/>
                <w:b/>
                <w:bCs/>
                <w:color w:val="auto"/>
                <w:szCs w:val="21"/>
                <w:highlight w:val="none"/>
                <w:lang w:val="zh-CN"/>
              </w:rPr>
            </w:pPr>
            <w:r>
              <w:rPr>
                <w:rFonts w:ascii="宋体" w:hAnsi="宋体" w:cs="楷体_GB2312"/>
                <w:b/>
                <w:bCs/>
                <w:color w:val="auto"/>
                <w:szCs w:val="21"/>
                <w:highlight w:val="none"/>
                <w:lang w:val="zh-CN"/>
              </w:rPr>
              <w:t>6.1</w:t>
            </w:r>
          </w:p>
        </w:tc>
        <w:tc>
          <w:tcPr>
            <w:tcW w:w="1874" w:type="dxa"/>
            <w:tcBorders>
              <w:top w:val="single" w:color="auto" w:sz="6" w:space="0"/>
              <w:left w:val="single" w:color="auto" w:sz="6" w:space="0"/>
              <w:bottom w:val="single" w:color="auto" w:sz="6" w:space="0"/>
              <w:right w:val="single" w:color="auto" w:sz="6" w:space="0"/>
            </w:tcBorders>
            <w:vAlign w:val="center"/>
          </w:tcPr>
          <w:p w14:paraId="018EA3FF">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谈判小组的组建</w:t>
            </w:r>
          </w:p>
        </w:tc>
        <w:tc>
          <w:tcPr>
            <w:tcW w:w="6579" w:type="dxa"/>
            <w:tcBorders>
              <w:top w:val="single" w:color="auto" w:sz="6" w:space="0"/>
              <w:left w:val="single" w:color="auto" w:sz="6" w:space="0"/>
              <w:bottom w:val="single" w:color="auto" w:sz="6" w:space="0"/>
              <w:right w:val="single" w:color="auto" w:sz="12" w:space="0"/>
            </w:tcBorders>
            <w:vAlign w:val="center"/>
          </w:tcPr>
          <w:p w14:paraId="01ACDFBC">
            <w:pPr>
              <w:autoSpaceDE w:val="0"/>
              <w:autoSpaceDN w:val="0"/>
              <w:adjustRightInd w:val="0"/>
              <w:snapToGrid w:val="0"/>
              <w:spacing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见“第三章投标人须知”相应条款</w:t>
            </w:r>
          </w:p>
        </w:tc>
      </w:tr>
      <w:tr w14:paraId="2D9D70FE">
        <w:tblPrEx>
          <w:tblCellMar>
            <w:top w:w="0" w:type="dxa"/>
            <w:left w:w="108" w:type="dxa"/>
            <w:bottom w:w="0" w:type="dxa"/>
            <w:right w:w="108" w:type="dxa"/>
          </w:tblCellMar>
        </w:tblPrEx>
        <w:trPr>
          <w:trHeight w:val="543" w:hRule="atLeast"/>
          <w:jc w:val="center"/>
        </w:trPr>
        <w:tc>
          <w:tcPr>
            <w:tcW w:w="608" w:type="dxa"/>
            <w:vMerge w:val="restart"/>
            <w:tcBorders>
              <w:left w:val="single" w:color="auto" w:sz="12" w:space="0"/>
              <w:right w:val="single" w:color="auto" w:sz="6" w:space="0"/>
            </w:tcBorders>
          </w:tcPr>
          <w:p w14:paraId="3932A5EB">
            <w:pPr>
              <w:autoSpaceDE w:val="0"/>
              <w:autoSpaceDN w:val="0"/>
              <w:adjustRightInd w:val="0"/>
              <w:snapToGrid w:val="0"/>
              <w:spacing w:line="240" w:lineRule="auto"/>
              <w:jc w:val="center"/>
              <w:rPr>
                <w:rFonts w:ascii="宋体" w:cs="楷体_GB2312"/>
                <w:b/>
                <w:bCs/>
                <w:color w:val="auto"/>
                <w:sz w:val="24"/>
                <w:highlight w:val="none"/>
              </w:rPr>
            </w:pPr>
            <w:r>
              <w:rPr>
                <w:rFonts w:hint="eastAsia" w:ascii="宋体" w:hAnsi="宋体" w:cs="楷体_GB2312"/>
                <w:b/>
                <w:bCs/>
                <w:color w:val="auto"/>
                <w:sz w:val="24"/>
                <w:highlight w:val="none"/>
              </w:rPr>
              <w:t>第三章</w:t>
            </w:r>
          </w:p>
        </w:tc>
        <w:tc>
          <w:tcPr>
            <w:tcW w:w="694" w:type="dxa"/>
            <w:tcBorders>
              <w:top w:val="single" w:color="auto" w:sz="6" w:space="0"/>
              <w:left w:val="single" w:color="auto" w:sz="12" w:space="0"/>
              <w:bottom w:val="single" w:color="auto" w:sz="6" w:space="0"/>
              <w:right w:val="single" w:color="auto" w:sz="6" w:space="0"/>
            </w:tcBorders>
            <w:vAlign w:val="center"/>
          </w:tcPr>
          <w:p w14:paraId="77A830D5">
            <w:pPr>
              <w:autoSpaceDE w:val="0"/>
              <w:autoSpaceDN w:val="0"/>
              <w:adjustRightInd w:val="0"/>
              <w:snapToGrid w:val="0"/>
              <w:spacing w:line="240" w:lineRule="auto"/>
              <w:ind w:right="-88" w:rightChars="-42"/>
              <w:jc w:val="center"/>
              <w:rPr>
                <w:rFonts w:ascii="宋体" w:hAnsi="宋体" w:cs="楷体_GB2312"/>
                <w:b/>
                <w:bCs/>
                <w:color w:val="auto"/>
                <w:szCs w:val="21"/>
                <w:highlight w:val="none"/>
                <w:lang w:val="zh-CN"/>
              </w:rPr>
            </w:pPr>
            <w:r>
              <w:rPr>
                <w:rFonts w:ascii="宋体" w:hAnsi="宋体" w:cs="楷体_GB2312"/>
                <w:b/>
                <w:bCs/>
                <w:color w:val="auto"/>
                <w:szCs w:val="21"/>
                <w:highlight w:val="none"/>
                <w:lang w:val="zh-CN"/>
              </w:rPr>
              <w:t>7.1</w:t>
            </w:r>
          </w:p>
        </w:tc>
        <w:tc>
          <w:tcPr>
            <w:tcW w:w="1874" w:type="dxa"/>
            <w:tcBorders>
              <w:top w:val="single" w:color="auto" w:sz="6" w:space="0"/>
              <w:left w:val="single" w:color="auto" w:sz="6" w:space="0"/>
              <w:bottom w:val="single" w:color="auto" w:sz="6" w:space="0"/>
              <w:right w:val="single" w:color="auto" w:sz="6" w:space="0"/>
            </w:tcBorders>
            <w:vAlign w:val="center"/>
          </w:tcPr>
          <w:p w14:paraId="58B2C47C">
            <w:pPr>
              <w:autoSpaceDE w:val="0"/>
              <w:autoSpaceDN w:val="0"/>
              <w:adjustRightInd w:val="0"/>
              <w:snapToGrid w:val="0"/>
              <w:spacing w:line="240" w:lineRule="auto"/>
              <w:jc w:val="center"/>
              <w:rPr>
                <w:rFonts w:ascii="宋体"/>
                <w:b/>
                <w:color w:val="auto"/>
                <w:sz w:val="24"/>
                <w:highlight w:val="none"/>
              </w:rPr>
            </w:pPr>
            <w:r>
              <w:rPr>
                <w:rFonts w:hint="eastAsia" w:ascii="宋体" w:hAnsi="宋体"/>
                <w:b/>
                <w:color w:val="auto"/>
                <w:sz w:val="24"/>
                <w:highlight w:val="none"/>
              </w:rPr>
              <w:t>是否授权谈判小组确定成交供应商</w:t>
            </w:r>
          </w:p>
        </w:tc>
        <w:tc>
          <w:tcPr>
            <w:tcW w:w="6579" w:type="dxa"/>
            <w:tcBorders>
              <w:top w:val="single" w:color="auto" w:sz="6" w:space="0"/>
              <w:left w:val="single" w:color="auto" w:sz="6" w:space="0"/>
              <w:bottom w:val="single" w:color="auto" w:sz="6" w:space="0"/>
              <w:right w:val="single" w:color="auto" w:sz="12" w:space="0"/>
            </w:tcBorders>
            <w:vAlign w:val="center"/>
          </w:tcPr>
          <w:p w14:paraId="60F08C65">
            <w:pPr>
              <w:adjustRightInd w:val="0"/>
              <w:snapToGrid w:val="0"/>
              <w:spacing w:beforeLines="50" w:line="240" w:lineRule="auto"/>
              <w:rPr>
                <w:rFonts w:ascii="宋体" w:hAnsi="宋体"/>
                <w:color w:val="auto"/>
                <w:sz w:val="24"/>
                <w:highlight w:val="none"/>
              </w:rPr>
            </w:pPr>
            <w:r>
              <w:rPr>
                <w:rFonts w:hint="eastAsia" w:ascii="宋体" w:hAnsi="宋体"/>
                <w:color w:val="auto"/>
                <w:sz w:val="24"/>
                <w:highlight w:val="none"/>
              </w:rPr>
              <w:t>是。谈判小组按照最后报价由低到高的顺序提出</w:t>
            </w:r>
            <w:r>
              <w:rPr>
                <w:rFonts w:ascii="宋体" w:hAnsi="宋体"/>
                <w:color w:val="auto"/>
                <w:sz w:val="24"/>
                <w:highlight w:val="none"/>
              </w:rPr>
              <w:t>3</w:t>
            </w:r>
            <w:r>
              <w:rPr>
                <w:rFonts w:hint="eastAsia" w:ascii="宋体" w:hAnsi="宋体"/>
                <w:color w:val="auto"/>
                <w:sz w:val="24"/>
                <w:highlight w:val="none"/>
              </w:rPr>
              <w:t>名成交候选人，并确定排名第一的成交候选人为成交供应商。</w:t>
            </w:r>
          </w:p>
        </w:tc>
      </w:tr>
      <w:tr w14:paraId="5A002E4B">
        <w:tblPrEx>
          <w:tblCellMar>
            <w:top w:w="0" w:type="dxa"/>
            <w:left w:w="108" w:type="dxa"/>
            <w:bottom w:w="0" w:type="dxa"/>
            <w:right w:w="108" w:type="dxa"/>
          </w:tblCellMar>
        </w:tblPrEx>
        <w:trPr>
          <w:trHeight w:val="453" w:hRule="atLeast"/>
          <w:jc w:val="center"/>
        </w:trPr>
        <w:tc>
          <w:tcPr>
            <w:tcW w:w="608" w:type="dxa"/>
            <w:vMerge w:val="continue"/>
            <w:tcBorders>
              <w:left w:val="single" w:color="auto" w:sz="12" w:space="0"/>
              <w:right w:val="single" w:color="auto" w:sz="6" w:space="0"/>
            </w:tcBorders>
          </w:tcPr>
          <w:p w14:paraId="058746EF">
            <w:pPr>
              <w:autoSpaceDE w:val="0"/>
              <w:autoSpaceDN w:val="0"/>
              <w:adjustRightInd w:val="0"/>
              <w:snapToGrid w:val="0"/>
              <w:spacing w:line="240" w:lineRule="auto"/>
              <w:jc w:val="center"/>
              <w:rPr>
                <w:rFonts w:ascii="宋体" w:cs="楷体_GB2312"/>
                <w:b/>
                <w:bCs/>
                <w:color w:val="auto"/>
                <w:sz w:val="24"/>
                <w:highlight w:val="none"/>
              </w:rPr>
            </w:pPr>
          </w:p>
        </w:tc>
        <w:tc>
          <w:tcPr>
            <w:tcW w:w="694" w:type="dxa"/>
            <w:tcBorders>
              <w:top w:val="single" w:color="auto" w:sz="6" w:space="0"/>
              <w:left w:val="single" w:color="auto" w:sz="12" w:space="0"/>
              <w:bottom w:val="single" w:color="auto" w:sz="6" w:space="0"/>
              <w:right w:val="single" w:color="auto" w:sz="6" w:space="0"/>
            </w:tcBorders>
            <w:vAlign w:val="center"/>
          </w:tcPr>
          <w:p w14:paraId="1DC1B5D4">
            <w:pPr>
              <w:autoSpaceDE w:val="0"/>
              <w:autoSpaceDN w:val="0"/>
              <w:adjustRightInd w:val="0"/>
              <w:snapToGrid w:val="0"/>
              <w:spacing w:line="240" w:lineRule="auto"/>
              <w:ind w:right="-88" w:rightChars="-42"/>
              <w:jc w:val="center"/>
              <w:rPr>
                <w:rFonts w:ascii="宋体" w:hAnsi="宋体" w:cs="楷体_GB2312"/>
                <w:b/>
                <w:bCs/>
                <w:color w:val="auto"/>
                <w:szCs w:val="21"/>
                <w:highlight w:val="none"/>
                <w:lang w:val="zh-CN"/>
              </w:rPr>
            </w:pPr>
            <w:r>
              <w:rPr>
                <w:rFonts w:ascii="宋体" w:hAnsi="宋体" w:cs="楷体_GB2312"/>
                <w:b/>
                <w:bCs/>
                <w:color w:val="auto"/>
                <w:szCs w:val="21"/>
                <w:highlight w:val="none"/>
                <w:lang w:val="zh-CN"/>
              </w:rPr>
              <w:t>7.2</w:t>
            </w:r>
          </w:p>
        </w:tc>
        <w:tc>
          <w:tcPr>
            <w:tcW w:w="1874" w:type="dxa"/>
            <w:tcBorders>
              <w:top w:val="single" w:color="auto" w:sz="6" w:space="0"/>
              <w:left w:val="single" w:color="auto" w:sz="6" w:space="0"/>
              <w:bottom w:val="single" w:color="auto" w:sz="6" w:space="0"/>
              <w:right w:val="single" w:color="auto" w:sz="6" w:space="0"/>
            </w:tcBorders>
            <w:vAlign w:val="center"/>
          </w:tcPr>
          <w:p w14:paraId="163F1648">
            <w:pPr>
              <w:autoSpaceDE w:val="0"/>
              <w:autoSpaceDN w:val="0"/>
              <w:adjustRightInd w:val="0"/>
              <w:snapToGrid w:val="0"/>
              <w:spacing w:line="240" w:lineRule="auto"/>
              <w:jc w:val="center"/>
              <w:rPr>
                <w:rFonts w:ascii="宋体"/>
                <w:b/>
                <w:color w:val="auto"/>
                <w:sz w:val="24"/>
                <w:highlight w:val="none"/>
              </w:rPr>
            </w:pPr>
            <w:r>
              <w:rPr>
                <w:rFonts w:hint="eastAsia" w:ascii="宋体" w:hAnsi="宋体"/>
                <w:b/>
                <w:color w:val="auto"/>
                <w:sz w:val="24"/>
                <w:highlight w:val="none"/>
              </w:rPr>
              <w:t>成交结果公告</w:t>
            </w:r>
          </w:p>
        </w:tc>
        <w:tc>
          <w:tcPr>
            <w:tcW w:w="6579" w:type="dxa"/>
            <w:tcBorders>
              <w:top w:val="single" w:color="auto" w:sz="6" w:space="0"/>
              <w:left w:val="single" w:color="auto" w:sz="6" w:space="0"/>
              <w:bottom w:val="single" w:color="auto" w:sz="6" w:space="0"/>
              <w:right w:val="single" w:color="auto" w:sz="12" w:space="0"/>
            </w:tcBorders>
            <w:vAlign w:val="center"/>
          </w:tcPr>
          <w:p w14:paraId="3D219618">
            <w:pPr>
              <w:adjustRightInd w:val="0"/>
              <w:snapToGrid w:val="0"/>
              <w:spacing w:beforeLines="50" w:line="240" w:lineRule="auto"/>
              <w:rPr>
                <w:rFonts w:ascii="宋体" w:hAnsi="宋体"/>
                <w:color w:val="auto"/>
                <w:sz w:val="24"/>
                <w:highlight w:val="none"/>
              </w:rPr>
            </w:pPr>
            <w:r>
              <w:rPr>
                <w:rFonts w:hint="eastAsia" w:ascii="宋体" w:hAnsi="宋体"/>
                <w:color w:val="auto"/>
                <w:sz w:val="24"/>
                <w:highlight w:val="none"/>
              </w:rPr>
              <w:t>本次竞争性谈判的成交结果将在成交供应商确定之日起1个工作日内，在谈判公告所述媒介公告</w:t>
            </w:r>
            <w:r>
              <w:rPr>
                <w:rFonts w:ascii="宋体" w:hAnsi="宋体"/>
                <w:color w:val="auto"/>
                <w:sz w:val="24"/>
                <w:highlight w:val="none"/>
              </w:rPr>
              <w:t>1</w:t>
            </w:r>
            <w:r>
              <w:rPr>
                <w:rFonts w:hint="eastAsia" w:ascii="宋体" w:hAnsi="宋体"/>
                <w:color w:val="auto"/>
                <w:sz w:val="24"/>
                <w:highlight w:val="none"/>
              </w:rPr>
              <w:t>个工作日。</w:t>
            </w:r>
          </w:p>
        </w:tc>
      </w:tr>
      <w:tr w14:paraId="6CA66EB5">
        <w:tblPrEx>
          <w:tblCellMar>
            <w:top w:w="0" w:type="dxa"/>
            <w:left w:w="108" w:type="dxa"/>
            <w:bottom w:w="0" w:type="dxa"/>
            <w:right w:w="108" w:type="dxa"/>
          </w:tblCellMar>
        </w:tblPrEx>
        <w:trPr>
          <w:trHeight w:val="453" w:hRule="atLeast"/>
          <w:jc w:val="center"/>
        </w:trPr>
        <w:tc>
          <w:tcPr>
            <w:tcW w:w="608" w:type="dxa"/>
            <w:vMerge w:val="continue"/>
            <w:tcBorders>
              <w:left w:val="single" w:color="auto" w:sz="12" w:space="0"/>
              <w:right w:val="single" w:color="auto" w:sz="6" w:space="0"/>
            </w:tcBorders>
          </w:tcPr>
          <w:p w14:paraId="14A87B45">
            <w:pPr>
              <w:autoSpaceDE w:val="0"/>
              <w:autoSpaceDN w:val="0"/>
              <w:adjustRightInd w:val="0"/>
              <w:snapToGrid w:val="0"/>
              <w:spacing w:line="240" w:lineRule="auto"/>
              <w:jc w:val="center"/>
              <w:rPr>
                <w:rFonts w:ascii="宋体" w:cs="楷体_GB2312"/>
                <w:b/>
                <w:bCs/>
                <w:color w:val="auto"/>
                <w:sz w:val="24"/>
                <w:highlight w:val="none"/>
              </w:rPr>
            </w:pPr>
          </w:p>
        </w:tc>
        <w:tc>
          <w:tcPr>
            <w:tcW w:w="694" w:type="dxa"/>
            <w:tcBorders>
              <w:top w:val="single" w:color="auto" w:sz="6" w:space="0"/>
              <w:left w:val="single" w:color="auto" w:sz="12" w:space="0"/>
              <w:bottom w:val="single" w:color="auto" w:sz="6" w:space="0"/>
              <w:right w:val="single" w:color="auto" w:sz="6" w:space="0"/>
            </w:tcBorders>
            <w:vAlign w:val="center"/>
          </w:tcPr>
          <w:p w14:paraId="2391E4A4">
            <w:pPr>
              <w:autoSpaceDE w:val="0"/>
              <w:autoSpaceDN w:val="0"/>
              <w:adjustRightInd w:val="0"/>
              <w:snapToGrid w:val="0"/>
              <w:spacing w:line="240" w:lineRule="auto"/>
              <w:ind w:right="-88" w:rightChars="-42"/>
              <w:jc w:val="center"/>
              <w:rPr>
                <w:rFonts w:ascii="宋体" w:hAnsi="宋体" w:cs="楷体_GB2312"/>
                <w:b/>
                <w:bCs/>
                <w:color w:val="auto"/>
                <w:szCs w:val="21"/>
                <w:highlight w:val="none"/>
                <w:lang w:val="zh-CN"/>
              </w:rPr>
            </w:pPr>
            <w:r>
              <w:rPr>
                <w:rFonts w:ascii="宋体" w:hAnsi="宋体" w:cs="楷体_GB2312"/>
                <w:b/>
                <w:bCs/>
                <w:color w:val="auto"/>
                <w:szCs w:val="21"/>
                <w:highlight w:val="none"/>
                <w:lang w:val="zh-CN"/>
              </w:rPr>
              <w:t>7.3</w:t>
            </w:r>
          </w:p>
        </w:tc>
        <w:tc>
          <w:tcPr>
            <w:tcW w:w="1874" w:type="dxa"/>
            <w:tcBorders>
              <w:top w:val="single" w:color="auto" w:sz="6" w:space="0"/>
              <w:left w:val="single" w:color="auto" w:sz="6" w:space="0"/>
              <w:bottom w:val="single" w:color="auto" w:sz="6" w:space="0"/>
              <w:right w:val="single" w:color="auto" w:sz="6" w:space="0"/>
            </w:tcBorders>
            <w:vAlign w:val="center"/>
          </w:tcPr>
          <w:p w14:paraId="2A8D31E3">
            <w:pPr>
              <w:autoSpaceDE w:val="0"/>
              <w:autoSpaceDN w:val="0"/>
              <w:adjustRightInd w:val="0"/>
              <w:snapToGrid w:val="0"/>
              <w:spacing w:line="240" w:lineRule="auto"/>
              <w:jc w:val="center"/>
              <w:rPr>
                <w:rFonts w:ascii="宋体" w:cs="楷体_GB2312"/>
                <w:b/>
                <w:bCs/>
                <w:color w:val="auto"/>
                <w:sz w:val="24"/>
                <w:highlight w:val="none"/>
              </w:rPr>
            </w:pPr>
            <w:r>
              <w:rPr>
                <w:rFonts w:hint="eastAsia" w:ascii="宋体" w:hAnsi="宋体" w:cs="楷体_GB2312"/>
                <w:b/>
                <w:bCs/>
                <w:color w:val="auto"/>
                <w:sz w:val="24"/>
                <w:highlight w:val="none"/>
              </w:rPr>
              <w:t>质疑、投诉</w:t>
            </w:r>
          </w:p>
        </w:tc>
        <w:tc>
          <w:tcPr>
            <w:tcW w:w="6579" w:type="dxa"/>
            <w:tcBorders>
              <w:top w:val="single" w:color="auto" w:sz="6" w:space="0"/>
              <w:left w:val="single" w:color="auto" w:sz="6" w:space="0"/>
              <w:bottom w:val="single" w:color="auto" w:sz="6" w:space="0"/>
              <w:right w:val="single" w:color="auto" w:sz="12" w:space="0"/>
            </w:tcBorders>
            <w:vAlign w:val="center"/>
          </w:tcPr>
          <w:p w14:paraId="46249B43">
            <w:pPr>
              <w:adjustRightInd w:val="0"/>
              <w:snapToGrid w:val="0"/>
              <w:spacing w:beforeLines="50" w:line="240" w:lineRule="auto"/>
              <w:rPr>
                <w:rFonts w:ascii="宋体"/>
                <w:color w:val="auto"/>
                <w:sz w:val="24"/>
                <w:highlight w:val="none"/>
              </w:rPr>
            </w:pPr>
            <w:r>
              <w:rPr>
                <w:rFonts w:hint="eastAsia" w:ascii="宋体" w:hAnsi="宋体"/>
                <w:color w:val="auto"/>
                <w:sz w:val="24"/>
                <w:highlight w:val="none"/>
              </w:rPr>
              <w:t>参与本次采购活动的供应商如有异议，可在各环节法定质疑期内向采购代理机构一次性提出针对该采购程序环节的纸质书面质疑函，书面原件送达至采购文件列示的采购代理机构及采购人联系人处；依据法规规定，质疑函应当有明确的请求和必要的证明材料，应当包括下列内容：1、供应商的姓名或者名称、地址、邮编、联系人及联系电话；2、质疑项目的名称、编号；3、具体、明确的质疑事项和与质疑事项相关的请求；4、事实依据；5、必要的法律依据；6、提出质疑的日期。供应商为自然人的，应当由本人签字；供应商为法人或者其他组织的，应当由法定代表人、主要负责人，或者其授权代表签字或者盖章，并加盖公章。如对采购代理机构的答复仍有异议的，可向同级财政局政府采购监督管理办公室提出书面投诉。（具体程序按照《政府采购质疑和投诉办法》执行）。</w:t>
            </w:r>
          </w:p>
        </w:tc>
      </w:tr>
      <w:tr w14:paraId="45F98918">
        <w:tblPrEx>
          <w:tblCellMar>
            <w:top w:w="0" w:type="dxa"/>
            <w:left w:w="108" w:type="dxa"/>
            <w:bottom w:w="0" w:type="dxa"/>
            <w:right w:w="108" w:type="dxa"/>
          </w:tblCellMar>
        </w:tblPrEx>
        <w:trPr>
          <w:trHeight w:val="453" w:hRule="atLeast"/>
          <w:jc w:val="center"/>
        </w:trPr>
        <w:tc>
          <w:tcPr>
            <w:tcW w:w="608" w:type="dxa"/>
            <w:vMerge w:val="continue"/>
            <w:tcBorders>
              <w:left w:val="single" w:color="auto" w:sz="12" w:space="0"/>
              <w:right w:val="single" w:color="auto" w:sz="6" w:space="0"/>
            </w:tcBorders>
          </w:tcPr>
          <w:p w14:paraId="01357D74">
            <w:pPr>
              <w:autoSpaceDE w:val="0"/>
              <w:autoSpaceDN w:val="0"/>
              <w:adjustRightInd w:val="0"/>
              <w:snapToGrid w:val="0"/>
              <w:spacing w:line="240" w:lineRule="auto"/>
              <w:jc w:val="center"/>
              <w:rPr>
                <w:rFonts w:ascii="宋体" w:cs="楷体_GB2312"/>
                <w:b/>
                <w:bCs/>
                <w:color w:val="auto"/>
                <w:sz w:val="24"/>
                <w:highlight w:val="none"/>
              </w:rPr>
            </w:pPr>
          </w:p>
        </w:tc>
        <w:tc>
          <w:tcPr>
            <w:tcW w:w="694" w:type="dxa"/>
            <w:tcBorders>
              <w:top w:val="single" w:color="auto" w:sz="6" w:space="0"/>
              <w:left w:val="single" w:color="auto" w:sz="12" w:space="0"/>
              <w:bottom w:val="single" w:color="auto" w:sz="6" w:space="0"/>
              <w:right w:val="single" w:color="auto" w:sz="6" w:space="0"/>
            </w:tcBorders>
            <w:vAlign w:val="center"/>
          </w:tcPr>
          <w:p w14:paraId="11522483">
            <w:pPr>
              <w:autoSpaceDE w:val="0"/>
              <w:autoSpaceDN w:val="0"/>
              <w:adjustRightInd w:val="0"/>
              <w:snapToGrid w:val="0"/>
              <w:spacing w:line="240" w:lineRule="auto"/>
              <w:ind w:right="-88" w:rightChars="-42"/>
              <w:jc w:val="center"/>
              <w:rPr>
                <w:rFonts w:ascii="宋体" w:hAnsi="宋体" w:cs="楷体_GB2312"/>
                <w:b/>
                <w:bCs/>
                <w:color w:val="auto"/>
                <w:szCs w:val="21"/>
                <w:highlight w:val="none"/>
                <w:lang w:val="zh-CN"/>
              </w:rPr>
            </w:pPr>
            <w:r>
              <w:rPr>
                <w:rFonts w:ascii="宋体" w:hAnsi="宋体" w:cs="楷体_GB2312"/>
                <w:b/>
                <w:bCs/>
                <w:color w:val="auto"/>
                <w:szCs w:val="21"/>
                <w:highlight w:val="none"/>
                <w:lang w:val="zh-CN"/>
              </w:rPr>
              <w:t>7.4</w:t>
            </w:r>
          </w:p>
        </w:tc>
        <w:tc>
          <w:tcPr>
            <w:tcW w:w="1874" w:type="dxa"/>
            <w:tcBorders>
              <w:top w:val="single" w:color="auto" w:sz="6" w:space="0"/>
              <w:left w:val="single" w:color="auto" w:sz="6" w:space="0"/>
              <w:bottom w:val="single" w:color="auto" w:sz="6" w:space="0"/>
              <w:right w:val="single" w:color="auto" w:sz="6" w:space="0"/>
            </w:tcBorders>
            <w:vAlign w:val="center"/>
          </w:tcPr>
          <w:p w14:paraId="13437B0D">
            <w:pPr>
              <w:autoSpaceDE w:val="0"/>
              <w:autoSpaceDN w:val="0"/>
              <w:adjustRightInd w:val="0"/>
              <w:snapToGrid w:val="0"/>
              <w:spacing w:line="240" w:lineRule="auto"/>
              <w:jc w:val="center"/>
              <w:rPr>
                <w:rFonts w:ascii="宋体" w:cs="楷体_GB2312"/>
                <w:b/>
                <w:bCs/>
                <w:color w:val="auto"/>
                <w:sz w:val="24"/>
                <w:highlight w:val="none"/>
              </w:rPr>
            </w:pPr>
            <w:r>
              <w:rPr>
                <w:rFonts w:hint="eastAsia" w:ascii="宋体" w:hAnsi="宋体" w:cs="楷体_GB2312"/>
                <w:b/>
                <w:bCs/>
                <w:color w:val="auto"/>
                <w:sz w:val="24"/>
                <w:highlight w:val="none"/>
              </w:rPr>
              <w:t>成交通知书</w:t>
            </w:r>
          </w:p>
        </w:tc>
        <w:tc>
          <w:tcPr>
            <w:tcW w:w="6579" w:type="dxa"/>
            <w:tcBorders>
              <w:top w:val="single" w:color="auto" w:sz="6" w:space="0"/>
              <w:left w:val="single" w:color="auto" w:sz="6" w:space="0"/>
              <w:bottom w:val="single" w:color="auto" w:sz="6" w:space="0"/>
              <w:right w:val="single" w:color="auto" w:sz="12" w:space="0"/>
            </w:tcBorders>
            <w:vAlign w:val="center"/>
          </w:tcPr>
          <w:p w14:paraId="36F4562B">
            <w:pPr>
              <w:adjustRightInd w:val="0"/>
              <w:snapToGrid w:val="0"/>
              <w:spacing w:beforeLines="50" w:line="240" w:lineRule="auto"/>
              <w:rPr>
                <w:rFonts w:ascii="宋体" w:hAnsi="宋体" w:cs="楷体_GB2312"/>
                <w:color w:val="auto"/>
                <w:sz w:val="24"/>
                <w:highlight w:val="none"/>
                <w:lang w:val="zh-CN"/>
              </w:rPr>
            </w:pPr>
            <w:r>
              <w:rPr>
                <w:rFonts w:hint="eastAsia" w:ascii="宋体" w:hAnsi="宋体" w:cs="楷体_GB2312"/>
                <w:color w:val="auto"/>
                <w:sz w:val="24"/>
                <w:highlight w:val="none"/>
                <w:lang w:val="zh-CN"/>
              </w:rPr>
              <w:t>采购代理机构在成交供应商确定后1个工作日内，向成交供应商发出成交通知书。成交供应商应凭缴费凭证及时领取成交通知书。</w:t>
            </w:r>
          </w:p>
        </w:tc>
      </w:tr>
      <w:tr w14:paraId="4FFD4984">
        <w:tblPrEx>
          <w:tblCellMar>
            <w:top w:w="0" w:type="dxa"/>
            <w:left w:w="108" w:type="dxa"/>
            <w:bottom w:w="0" w:type="dxa"/>
            <w:right w:w="108" w:type="dxa"/>
          </w:tblCellMar>
        </w:tblPrEx>
        <w:trPr>
          <w:trHeight w:val="453" w:hRule="atLeast"/>
          <w:jc w:val="center"/>
        </w:trPr>
        <w:tc>
          <w:tcPr>
            <w:tcW w:w="608" w:type="dxa"/>
            <w:vMerge w:val="restart"/>
            <w:tcBorders>
              <w:left w:val="single" w:color="auto" w:sz="12" w:space="0"/>
              <w:right w:val="single" w:color="auto" w:sz="6" w:space="0"/>
            </w:tcBorders>
          </w:tcPr>
          <w:p w14:paraId="5113DC71">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第三章</w:t>
            </w:r>
          </w:p>
        </w:tc>
        <w:tc>
          <w:tcPr>
            <w:tcW w:w="694" w:type="dxa"/>
            <w:tcBorders>
              <w:top w:val="single" w:color="auto" w:sz="6" w:space="0"/>
              <w:left w:val="single" w:color="auto" w:sz="12" w:space="0"/>
              <w:bottom w:val="single" w:color="auto" w:sz="6" w:space="0"/>
              <w:right w:val="single" w:color="auto" w:sz="6" w:space="0"/>
            </w:tcBorders>
            <w:vAlign w:val="center"/>
          </w:tcPr>
          <w:p w14:paraId="4D7CA092">
            <w:pPr>
              <w:autoSpaceDE w:val="0"/>
              <w:autoSpaceDN w:val="0"/>
              <w:adjustRightInd w:val="0"/>
              <w:snapToGrid w:val="0"/>
              <w:spacing w:line="240" w:lineRule="auto"/>
              <w:ind w:right="-88" w:rightChars="-42"/>
              <w:jc w:val="center"/>
              <w:rPr>
                <w:rFonts w:ascii="宋体" w:hAnsi="宋体" w:cs="楷体_GB2312"/>
                <w:b/>
                <w:bCs/>
                <w:color w:val="auto"/>
                <w:szCs w:val="21"/>
                <w:highlight w:val="none"/>
                <w:lang w:val="zh-CN"/>
              </w:rPr>
            </w:pPr>
            <w:r>
              <w:rPr>
                <w:rFonts w:ascii="宋体" w:hAnsi="宋体" w:cs="楷体_GB2312"/>
                <w:b/>
                <w:bCs/>
                <w:color w:val="auto"/>
                <w:szCs w:val="21"/>
                <w:highlight w:val="none"/>
                <w:lang w:val="zh-CN"/>
              </w:rPr>
              <w:t>7.5</w:t>
            </w:r>
          </w:p>
        </w:tc>
        <w:tc>
          <w:tcPr>
            <w:tcW w:w="1874" w:type="dxa"/>
            <w:tcBorders>
              <w:top w:val="single" w:color="auto" w:sz="6" w:space="0"/>
              <w:left w:val="single" w:color="auto" w:sz="6" w:space="0"/>
              <w:bottom w:val="single" w:color="auto" w:sz="6" w:space="0"/>
              <w:right w:val="single" w:color="auto" w:sz="6" w:space="0"/>
            </w:tcBorders>
            <w:vAlign w:val="center"/>
          </w:tcPr>
          <w:p w14:paraId="74CEAE8D">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履约保证金</w:t>
            </w:r>
          </w:p>
        </w:tc>
        <w:tc>
          <w:tcPr>
            <w:tcW w:w="6579" w:type="dxa"/>
            <w:tcBorders>
              <w:top w:val="single" w:color="auto" w:sz="6" w:space="0"/>
              <w:left w:val="single" w:color="auto" w:sz="6" w:space="0"/>
              <w:bottom w:val="single" w:color="auto" w:sz="6" w:space="0"/>
              <w:right w:val="single" w:color="auto" w:sz="12" w:space="0"/>
            </w:tcBorders>
            <w:vAlign w:val="center"/>
          </w:tcPr>
          <w:p w14:paraId="1360BDA4">
            <w:pPr>
              <w:widowControl w:val="0"/>
              <w:snapToGrid w:val="0"/>
              <w:spacing w:beforeLines="50" w:line="240" w:lineRule="auto"/>
              <w:rPr>
                <w:color w:val="auto"/>
                <w:sz w:val="24"/>
                <w:szCs w:val="24"/>
                <w:highlight w:val="none"/>
              </w:rPr>
            </w:pPr>
            <w:r>
              <w:rPr>
                <w:rFonts w:hint="eastAsia"/>
                <w:color w:val="auto"/>
                <w:sz w:val="24"/>
                <w:szCs w:val="24"/>
                <w:highlight w:val="none"/>
              </w:rPr>
              <w:t>不需缴纳</w:t>
            </w:r>
          </w:p>
        </w:tc>
      </w:tr>
      <w:tr w14:paraId="7ACCE134">
        <w:tblPrEx>
          <w:tblCellMar>
            <w:top w:w="0" w:type="dxa"/>
            <w:left w:w="108" w:type="dxa"/>
            <w:bottom w:w="0" w:type="dxa"/>
            <w:right w:w="108" w:type="dxa"/>
          </w:tblCellMar>
        </w:tblPrEx>
        <w:trPr>
          <w:trHeight w:val="453" w:hRule="atLeast"/>
          <w:jc w:val="center"/>
        </w:trPr>
        <w:tc>
          <w:tcPr>
            <w:tcW w:w="608" w:type="dxa"/>
            <w:vMerge w:val="continue"/>
            <w:tcBorders>
              <w:left w:val="single" w:color="auto" w:sz="12" w:space="0"/>
              <w:right w:val="single" w:color="auto" w:sz="6" w:space="0"/>
            </w:tcBorders>
          </w:tcPr>
          <w:p w14:paraId="13876218">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14:paraId="1069501A">
            <w:pPr>
              <w:autoSpaceDE w:val="0"/>
              <w:autoSpaceDN w:val="0"/>
              <w:adjustRightInd w:val="0"/>
              <w:snapToGrid w:val="0"/>
              <w:spacing w:line="240" w:lineRule="auto"/>
              <w:ind w:right="-88" w:rightChars="-42"/>
              <w:jc w:val="center"/>
              <w:rPr>
                <w:rFonts w:ascii="宋体" w:hAnsi="宋体" w:cs="楷体_GB2312"/>
                <w:b/>
                <w:bCs/>
                <w:color w:val="auto"/>
                <w:szCs w:val="21"/>
                <w:highlight w:val="none"/>
                <w:lang w:val="zh-CN"/>
              </w:rPr>
            </w:pPr>
            <w:r>
              <w:rPr>
                <w:rFonts w:ascii="宋体" w:hAnsi="宋体" w:cs="楷体_GB2312"/>
                <w:b/>
                <w:bCs/>
                <w:color w:val="auto"/>
                <w:szCs w:val="21"/>
                <w:highlight w:val="none"/>
                <w:lang w:val="zh-CN"/>
              </w:rPr>
              <w:t>8</w:t>
            </w:r>
          </w:p>
        </w:tc>
        <w:tc>
          <w:tcPr>
            <w:tcW w:w="1874" w:type="dxa"/>
            <w:tcBorders>
              <w:top w:val="single" w:color="auto" w:sz="6" w:space="0"/>
              <w:left w:val="single" w:color="auto" w:sz="6" w:space="0"/>
              <w:bottom w:val="single" w:color="auto" w:sz="6" w:space="0"/>
              <w:right w:val="single" w:color="auto" w:sz="6" w:space="0"/>
            </w:tcBorders>
            <w:vAlign w:val="center"/>
          </w:tcPr>
          <w:p w14:paraId="0FBCCF52">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验收</w:t>
            </w:r>
          </w:p>
        </w:tc>
        <w:tc>
          <w:tcPr>
            <w:tcW w:w="6579" w:type="dxa"/>
            <w:tcBorders>
              <w:top w:val="single" w:color="auto" w:sz="6" w:space="0"/>
              <w:left w:val="single" w:color="auto" w:sz="6" w:space="0"/>
              <w:bottom w:val="single" w:color="auto" w:sz="6" w:space="0"/>
              <w:right w:val="single" w:color="auto" w:sz="12" w:space="0"/>
            </w:tcBorders>
            <w:vAlign w:val="center"/>
          </w:tcPr>
          <w:p w14:paraId="550D236E">
            <w:pPr>
              <w:widowControl w:val="0"/>
              <w:snapToGrid w:val="0"/>
              <w:spacing w:beforeLines="50" w:line="240" w:lineRule="auto"/>
              <w:rPr>
                <w:color w:val="auto"/>
                <w:sz w:val="24"/>
                <w:szCs w:val="24"/>
                <w:highlight w:val="none"/>
              </w:rPr>
            </w:pPr>
            <w:r>
              <w:rPr>
                <w:rFonts w:hint="eastAsia"/>
                <w:color w:val="auto"/>
                <w:sz w:val="24"/>
                <w:szCs w:val="24"/>
                <w:highlight w:val="none"/>
              </w:rPr>
              <w:t>见“第三章投标人须知”相应条款</w:t>
            </w:r>
          </w:p>
        </w:tc>
      </w:tr>
      <w:tr w14:paraId="13B8D4E2">
        <w:tblPrEx>
          <w:tblCellMar>
            <w:top w:w="0" w:type="dxa"/>
            <w:left w:w="108" w:type="dxa"/>
            <w:bottom w:w="0" w:type="dxa"/>
            <w:right w:w="108" w:type="dxa"/>
          </w:tblCellMar>
        </w:tblPrEx>
        <w:trPr>
          <w:trHeight w:val="453" w:hRule="atLeast"/>
          <w:jc w:val="center"/>
        </w:trPr>
        <w:tc>
          <w:tcPr>
            <w:tcW w:w="608" w:type="dxa"/>
            <w:vMerge w:val="continue"/>
            <w:tcBorders>
              <w:left w:val="single" w:color="auto" w:sz="12" w:space="0"/>
              <w:right w:val="single" w:color="auto" w:sz="6" w:space="0"/>
            </w:tcBorders>
          </w:tcPr>
          <w:p w14:paraId="38FB61C6">
            <w:pPr>
              <w:autoSpaceDE w:val="0"/>
              <w:autoSpaceDN w:val="0"/>
              <w:adjustRightInd w:val="0"/>
              <w:spacing w:line="360" w:lineRule="auto"/>
              <w:rPr>
                <w:rFonts w:ascii="宋体" w:cs="楷体_GB2312"/>
                <w:b/>
                <w:bCs/>
                <w:color w:val="auto"/>
                <w:sz w:val="24"/>
                <w:highlight w:val="none"/>
              </w:rPr>
            </w:pPr>
          </w:p>
        </w:tc>
        <w:tc>
          <w:tcPr>
            <w:tcW w:w="694" w:type="dxa"/>
            <w:tcBorders>
              <w:top w:val="single" w:color="auto" w:sz="6" w:space="0"/>
              <w:left w:val="single" w:color="auto" w:sz="12" w:space="0"/>
              <w:bottom w:val="single" w:color="auto" w:sz="6" w:space="0"/>
              <w:right w:val="single" w:color="auto" w:sz="6" w:space="0"/>
            </w:tcBorders>
            <w:vAlign w:val="center"/>
          </w:tcPr>
          <w:p w14:paraId="163093FC">
            <w:pPr>
              <w:autoSpaceDE w:val="0"/>
              <w:autoSpaceDN w:val="0"/>
              <w:adjustRightInd w:val="0"/>
              <w:snapToGrid w:val="0"/>
              <w:spacing w:line="240" w:lineRule="auto"/>
              <w:ind w:right="-88" w:rightChars="-42"/>
              <w:jc w:val="center"/>
              <w:rPr>
                <w:rFonts w:ascii="宋体" w:hAnsi="宋体" w:cs="楷体_GB2312"/>
                <w:b/>
                <w:bCs/>
                <w:color w:val="auto"/>
                <w:szCs w:val="21"/>
                <w:highlight w:val="none"/>
                <w:lang w:val="zh-CN"/>
              </w:rPr>
            </w:pPr>
            <w:r>
              <w:rPr>
                <w:rFonts w:ascii="宋体" w:hAnsi="宋体" w:cs="楷体_GB2312"/>
                <w:b/>
                <w:bCs/>
                <w:color w:val="auto"/>
                <w:szCs w:val="21"/>
                <w:highlight w:val="none"/>
                <w:lang w:val="zh-CN"/>
              </w:rPr>
              <w:t>9</w:t>
            </w:r>
          </w:p>
        </w:tc>
        <w:tc>
          <w:tcPr>
            <w:tcW w:w="1874" w:type="dxa"/>
            <w:tcBorders>
              <w:top w:val="single" w:color="auto" w:sz="6" w:space="0"/>
              <w:left w:val="single" w:color="auto" w:sz="6" w:space="0"/>
              <w:bottom w:val="single" w:color="auto" w:sz="6" w:space="0"/>
              <w:right w:val="single" w:color="auto" w:sz="6" w:space="0"/>
            </w:tcBorders>
            <w:vAlign w:val="center"/>
          </w:tcPr>
          <w:p w14:paraId="41180390">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付款</w:t>
            </w:r>
          </w:p>
        </w:tc>
        <w:tc>
          <w:tcPr>
            <w:tcW w:w="6579" w:type="dxa"/>
            <w:tcBorders>
              <w:top w:val="single" w:color="auto" w:sz="6" w:space="0"/>
              <w:left w:val="single" w:color="auto" w:sz="6" w:space="0"/>
              <w:bottom w:val="single" w:color="auto" w:sz="6" w:space="0"/>
              <w:right w:val="single" w:color="auto" w:sz="12" w:space="0"/>
            </w:tcBorders>
            <w:vAlign w:val="center"/>
          </w:tcPr>
          <w:p w14:paraId="25D56930">
            <w:pPr>
              <w:snapToGrid w:val="0"/>
              <w:spacing w:beforeLines="50" w:line="240" w:lineRule="auto"/>
              <w:ind w:firstLine="480" w:firstLineChars="200"/>
              <w:rPr>
                <w:color w:val="auto"/>
                <w:sz w:val="24"/>
                <w:szCs w:val="24"/>
                <w:highlight w:val="none"/>
              </w:rPr>
            </w:pPr>
            <w:bookmarkStart w:id="25" w:name="OLE_LINK11"/>
            <w:r>
              <w:rPr>
                <w:rFonts w:hint="eastAsia"/>
                <w:color w:val="auto"/>
                <w:sz w:val="24"/>
                <w:szCs w:val="24"/>
                <w:highlight w:val="none"/>
              </w:rPr>
              <w:t>为优化政府采购营商环境，根据安财购﹝2019﹞8号文件落实政府采购预付款的规定，采购人可视资金情况在政府采购合同履约前向成交供应商预付</w:t>
            </w:r>
            <w:r>
              <w:rPr>
                <w:color w:val="auto"/>
                <w:sz w:val="24"/>
                <w:szCs w:val="24"/>
                <w:highlight w:val="none"/>
                <w:u w:val="single"/>
              </w:rPr>
              <w:t>30%</w:t>
            </w:r>
            <w:r>
              <w:rPr>
                <w:rFonts w:hint="eastAsia"/>
                <w:color w:val="auto"/>
                <w:sz w:val="24"/>
                <w:szCs w:val="24"/>
                <w:highlight w:val="none"/>
              </w:rPr>
              <w:t>的合同资金，成交供应商应向采购人提交预付款保函，未提供保函的，视同其放弃项目预付款的支付。</w:t>
            </w:r>
          </w:p>
          <w:p w14:paraId="2F0D71A2">
            <w:pPr>
              <w:snapToGrid w:val="0"/>
              <w:spacing w:beforeLines="50" w:line="240" w:lineRule="auto"/>
              <w:ind w:firstLine="480" w:firstLineChars="200"/>
              <w:rPr>
                <w:color w:val="auto"/>
                <w:sz w:val="24"/>
                <w:szCs w:val="24"/>
                <w:highlight w:val="none"/>
              </w:rPr>
            </w:pPr>
            <w:r>
              <w:rPr>
                <w:rFonts w:hint="eastAsia"/>
                <w:color w:val="auto"/>
                <w:sz w:val="24"/>
                <w:szCs w:val="24"/>
                <w:highlight w:val="none"/>
              </w:rPr>
              <w:t>为进一步优化营商环境，根据安财购﹝</w:t>
            </w:r>
            <w:r>
              <w:rPr>
                <w:color w:val="auto"/>
                <w:sz w:val="24"/>
                <w:szCs w:val="24"/>
                <w:highlight w:val="none"/>
              </w:rPr>
              <w:t>2022</w:t>
            </w:r>
            <w:r>
              <w:rPr>
                <w:rFonts w:hint="eastAsia"/>
                <w:color w:val="auto"/>
                <w:sz w:val="24"/>
                <w:szCs w:val="24"/>
                <w:highlight w:val="none"/>
              </w:rPr>
              <w:t>﹞</w:t>
            </w:r>
            <w:r>
              <w:rPr>
                <w:color w:val="auto"/>
                <w:sz w:val="24"/>
                <w:szCs w:val="24"/>
                <w:highlight w:val="none"/>
              </w:rPr>
              <w:t>8</w:t>
            </w:r>
            <w:r>
              <w:rPr>
                <w:rFonts w:hint="eastAsia"/>
                <w:color w:val="auto"/>
                <w:sz w:val="24"/>
                <w:szCs w:val="24"/>
                <w:highlight w:val="none"/>
              </w:rPr>
              <w:t>号文件落实政府采购中小企业预付款的规定，采购人可视资金情况在政府采购合同签订后，向成交供应商原则上预付不低于合同金额</w:t>
            </w:r>
            <w:r>
              <w:rPr>
                <w:color w:val="auto"/>
                <w:sz w:val="24"/>
                <w:szCs w:val="24"/>
                <w:highlight w:val="none"/>
              </w:rPr>
              <w:t>50%</w:t>
            </w:r>
            <w:r>
              <w:rPr>
                <w:rFonts w:hint="eastAsia"/>
                <w:color w:val="auto"/>
                <w:sz w:val="24"/>
                <w:szCs w:val="24"/>
                <w:highlight w:val="none"/>
              </w:rPr>
              <w:t>的预付款，成交供应商应向采购人提交预付款保函，未提供保函的，视同其放弃项目预付款的支付。</w:t>
            </w:r>
          </w:p>
          <w:p w14:paraId="01FC47EE">
            <w:pPr>
              <w:snapToGrid w:val="0"/>
              <w:spacing w:beforeLines="50" w:line="240" w:lineRule="auto"/>
              <w:ind w:firstLine="352" w:firstLineChars="147"/>
              <w:rPr>
                <w:rFonts w:hint="eastAsia"/>
                <w:color w:val="auto"/>
                <w:sz w:val="24"/>
                <w:szCs w:val="24"/>
                <w:highlight w:val="none"/>
              </w:rPr>
            </w:pPr>
            <w:r>
              <w:rPr>
                <w:rFonts w:hint="eastAsia"/>
                <w:color w:val="auto"/>
                <w:sz w:val="24"/>
                <w:szCs w:val="24"/>
                <w:highlight w:val="none"/>
              </w:rPr>
              <w:t>成交人持采购人及专家等出具的《政府采购验收报告》及成交人填写的《政府采购资金支付申请书》，经采购人与成交人签字盖章后，作为付款依据，报同级财政局政府采购管理办公室审核确认后由采购人一次无息付清。</w:t>
            </w:r>
            <w:bookmarkEnd w:id="25"/>
          </w:p>
          <w:p w14:paraId="4901EF7E">
            <w:pPr>
              <w:snapToGrid w:val="0"/>
              <w:spacing w:beforeLines="50" w:line="240" w:lineRule="auto"/>
              <w:ind w:firstLine="352" w:firstLineChars="147"/>
              <w:rPr>
                <w:rFonts w:hint="eastAsia"/>
                <w:color w:val="auto"/>
                <w:sz w:val="24"/>
                <w:szCs w:val="24"/>
                <w:highlight w:val="none"/>
              </w:rPr>
            </w:pPr>
            <w:r>
              <w:rPr>
                <w:rFonts w:hint="eastAsia"/>
                <w:color w:val="auto"/>
                <w:sz w:val="24"/>
                <w:szCs w:val="24"/>
                <w:highlight w:val="none"/>
              </w:rPr>
              <w:t>并按照《安阳县公安局项目审计监督管理办法(试行)》相关结算审计环节要求执行。</w:t>
            </w:r>
          </w:p>
        </w:tc>
      </w:tr>
      <w:tr w14:paraId="52A11F22">
        <w:tblPrEx>
          <w:tblCellMar>
            <w:top w:w="0" w:type="dxa"/>
            <w:left w:w="108" w:type="dxa"/>
            <w:bottom w:w="0" w:type="dxa"/>
            <w:right w:w="108" w:type="dxa"/>
          </w:tblCellMar>
        </w:tblPrEx>
        <w:trPr>
          <w:trHeight w:val="471" w:hRule="atLeast"/>
          <w:jc w:val="center"/>
        </w:trPr>
        <w:tc>
          <w:tcPr>
            <w:tcW w:w="608" w:type="dxa"/>
            <w:tcBorders>
              <w:left w:val="single" w:color="auto" w:sz="12" w:space="0"/>
              <w:bottom w:val="single" w:color="auto" w:sz="6" w:space="0"/>
              <w:right w:val="single" w:color="auto" w:sz="6" w:space="0"/>
            </w:tcBorders>
          </w:tcPr>
          <w:p w14:paraId="3872569A">
            <w:pPr>
              <w:autoSpaceDE w:val="0"/>
              <w:autoSpaceDN w:val="0"/>
              <w:adjustRightInd w:val="0"/>
              <w:spacing w:line="360" w:lineRule="auto"/>
              <w:rPr>
                <w:rFonts w:ascii="宋体" w:cs="楷体_GB2312"/>
                <w:b/>
                <w:bCs/>
                <w:color w:val="auto"/>
                <w:sz w:val="24"/>
                <w:highlight w:val="none"/>
              </w:rPr>
            </w:pPr>
          </w:p>
        </w:tc>
        <w:tc>
          <w:tcPr>
            <w:tcW w:w="694" w:type="dxa"/>
            <w:tcBorders>
              <w:top w:val="single" w:color="auto" w:sz="6" w:space="0"/>
              <w:left w:val="single" w:color="auto" w:sz="12" w:space="0"/>
              <w:bottom w:val="single" w:color="auto" w:sz="6" w:space="0"/>
              <w:right w:val="single" w:color="auto" w:sz="6" w:space="0"/>
            </w:tcBorders>
            <w:vAlign w:val="center"/>
          </w:tcPr>
          <w:p w14:paraId="0D042394">
            <w:pPr>
              <w:autoSpaceDE w:val="0"/>
              <w:autoSpaceDN w:val="0"/>
              <w:adjustRightInd w:val="0"/>
              <w:snapToGrid w:val="0"/>
              <w:spacing w:line="240" w:lineRule="auto"/>
              <w:ind w:right="-88" w:rightChars="-42"/>
              <w:jc w:val="center"/>
              <w:rPr>
                <w:rFonts w:ascii="宋体" w:hAnsi="宋体" w:cs="楷体_GB2312"/>
                <w:b/>
                <w:bCs/>
                <w:color w:val="auto"/>
                <w:szCs w:val="21"/>
                <w:highlight w:val="none"/>
                <w:lang w:val="zh-CN"/>
              </w:rPr>
            </w:pPr>
            <w:r>
              <w:rPr>
                <w:rFonts w:ascii="宋体" w:hAnsi="宋体" w:cs="楷体_GB2312"/>
                <w:b/>
                <w:bCs/>
                <w:color w:val="auto"/>
                <w:szCs w:val="21"/>
                <w:highlight w:val="none"/>
                <w:lang w:val="zh-CN"/>
              </w:rPr>
              <w:t>10.1</w:t>
            </w:r>
          </w:p>
        </w:tc>
        <w:tc>
          <w:tcPr>
            <w:tcW w:w="1874" w:type="dxa"/>
            <w:tcBorders>
              <w:top w:val="single" w:color="auto" w:sz="6" w:space="0"/>
              <w:left w:val="single" w:color="auto" w:sz="6" w:space="0"/>
              <w:bottom w:val="single" w:color="auto" w:sz="6" w:space="0"/>
              <w:right w:val="single" w:color="auto" w:sz="6" w:space="0"/>
            </w:tcBorders>
            <w:vAlign w:val="center"/>
          </w:tcPr>
          <w:p w14:paraId="605B663D">
            <w:pPr>
              <w:autoSpaceDE w:val="0"/>
              <w:autoSpaceDN w:val="0"/>
              <w:adjustRightInd w:val="0"/>
              <w:snapToGrid w:val="0"/>
              <w:spacing w:line="240" w:lineRule="auto"/>
              <w:jc w:val="center"/>
              <w:rPr>
                <w:rFonts w:ascii="宋体"/>
                <w:b/>
                <w:color w:val="auto"/>
                <w:sz w:val="24"/>
                <w:highlight w:val="none"/>
              </w:rPr>
            </w:pPr>
            <w:r>
              <w:rPr>
                <w:rFonts w:hint="eastAsia" w:ascii="宋体" w:hAnsi="宋体"/>
                <w:b/>
                <w:color w:val="auto"/>
                <w:sz w:val="24"/>
                <w:highlight w:val="none"/>
              </w:rPr>
              <w:t>代理服务费</w:t>
            </w:r>
          </w:p>
        </w:tc>
        <w:tc>
          <w:tcPr>
            <w:tcW w:w="6579" w:type="dxa"/>
            <w:tcBorders>
              <w:top w:val="single" w:color="auto" w:sz="6" w:space="0"/>
              <w:left w:val="single" w:color="auto" w:sz="6" w:space="0"/>
              <w:bottom w:val="single" w:color="auto" w:sz="6" w:space="0"/>
              <w:right w:val="single" w:color="auto" w:sz="12" w:space="0"/>
            </w:tcBorders>
            <w:vAlign w:val="center"/>
          </w:tcPr>
          <w:p w14:paraId="49AF0170">
            <w:pPr>
              <w:adjustRightInd w:val="0"/>
              <w:snapToGrid w:val="0"/>
              <w:spacing w:beforeLines="50" w:line="240" w:lineRule="auto"/>
              <w:rPr>
                <w:rFonts w:ascii="宋体" w:hAnsi="宋体"/>
                <w:color w:val="auto"/>
                <w:sz w:val="24"/>
                <w:highlight w:val="none"/>
              </w:rPr>
            </w:pPr>
            <w:r>
              <w:rPr>
                <w:rFonts w:hint="eastAsia" w:ascii="宋体" w:hAnsi="宋体"/>
                <w:color w:val="auto"/>
                <w:sz w:val="24"/>
                <w:highlight w:val="none"/>
              </w:rPr>
              <w:t>按照预算参照国家计委《招标代理服务收费管理暂行办法》（计价格【2002】1980号）、《国家发展和改革委员会办公厅关于招标代理服务费有关问题的通知》（发改办价格【2003】857号）及发改价格【2011】534号文件的规定，招标代理服务费（</w:t>
            </w:r>
            <w:r>
              <w:rPr>
                <w:rFonts w:hint="eastAsia" w:ascii="宋体" w:hAnsi="宋体"/>
                <w:color w:val="auto"/>
                <w:sz w:val="24"/>
                <w:highlight w:val="none"/>
                <w:lang w:val="en-US" w:eastAsia="zh-CN"/>
              </w:rPr>
              <w:t>5315</w:t>
            </w:r>
            <w:r>
              <w:rPr>
                <w:rFonts w:hint="eastAsia" w:ascii="宋体" w:hAnsi="宋体"/>
                <w:color w:val="auto"/>
                <w:sz w:val="24"/>
                <w:highlight w:val="none"/>
              </w:rPr>
              <w:t>元）由中标（成交）供应商支付。</w:t>
            </w:r>
          </w:p>
        </w:tc>
      </w:tr>
    </w:tbl>
    <w:p w14:paraId="6A3C72FE">
      <w:pPr>
        <w:autoSpaceDE w:val="0"/>
        <w:autoSpaceDN w:val="0"/>
        <w:adjustRightInd w:val="0"/>
        <w:spacing w:line="360" w:lineRule="auto"/>
        <w:ind w:firstLine="539"/>
        <w:rPr>
          <w:color w:val="auto"/>
          <w:highlight w:val="none"/>
        </w:rPr>
      </w:pPr>
      <w:r>
        <w:rPr>
          <w:color w:val="auto"/>
          <w:highlight w:val="none"/>
        </w:rPr>
        <w:br w:type="page"/>
      </w:r>
    </w:p>
    <w:p w14:paraId="1CCC562A">
      <w:pPr>
        <w:autoSpaceDE w:val="0"/>
        <w:autoSpaceDN w:val="0"/>
        <w:adjustRightInd w:val="0"/>
        <w:snapToGrid w:val="0"/>
        <w:spacing w:beforeLines="50" w:line="300" w:lineRule="auto"/>
        <w:ind w:firstLine="539"/>
        <w:outlineLvl w:val="1"/>
        <w:rPr>
          <w:rFonts w:ascii="黑体" w:hAnsi="黑体" w:eastAsia="黑体"/>
          <w:color w:val="auto"/>
          <w:sz w:val="28"/>
          <w:szCs w:val="28"/>
          <w:highlight w:val="none"/>
          <w:lang w:val="zh-CN"/>
        </w:rPr>
      </w:pPr>
      <w:bookmarkStart w:id="26" w:name="_Toc209083630"/>
      <w:r>
        <w:rPr>
          <w:rFonts w:ascii="黑体" w:hAnsi="黑体" w:eastAsia="黑体" w:cs="楷体_GB2312"/>
          <w:b/>
          <w:bCs/>
          <w:color w:val="auto"/>
          <w:sz w:val="28"/>
          <w:szCs w:val="28"/>
          <w:highlight w:val="none"/>
          <w:lang w:val="zh-CN"/>
        </w:rPr>
        <w:t xml:space="preserve">1. </w:t>
      </w:r>
      <w:r>
        <w:rPr>
          <w:rFonts w:hint="eastAsia" w:ascii="黑体" w:hAnsi="黑体" w:eastAsia="黑体" w:cs="楷体_GB2312"/>
          <w:b/>
          <w:bCs/>
          <w:color w:val="auto"/>
          <w:sz w:val="28"/>
          <w:szCs w:val="28"/>
          <w:highlight w:val="none"/>
          <w:lang w:val="zh-CN"/>
        </w:rPr>
        <w:t>总则</w:t>
      </w:r>
      <w:bookmarkEnd w:id="26"/>
    </w:p>
    <w:p w14:paraId="49838F65">
      <w:pPr>
        <w:autoSpaceDE w:val="0"/>
        <w:autoSpaceDN w:val="0"/>
        <w:adjustRightInd w:val="0"/>
        <w:snapToGrid w:val="0"/>
        <w:spacing w:beforeLines="50" w:line="300" w:lineRule="auto"/>
        <w:ind w:firstLine="539"/>
        <w:rPr>
          <w:rFonts w:ascii="宋体"/>
          <w:color w:val="auto"/>
          <w:sz w:val="24"/>
          <w:szCs w:val="24"/>
          <w:highlight w:val="none"/>
        </w:rPr>
      </w:pPr>
      <w:r>
        <w:rPr>
          <w:rFonts w:ascii="黑体" w:hAnsi="黑体" w:eastAsia="黑体" w:cs="楷体_GB2312"/>
          <w:b/>
          <w:color w:val="auto"/>
          <w:sz w:val="24"/>
          <w:highlight w:val="none"/>
          <w:lang w:val="zh-CN"/>
        </w:rPr>
        <w:t xml:space="preserve">1.1 </w:t>
      </w:r>
      <w:r>
        <w:rPr>
          <w:rFonts w:hint="eastAsia" w:ascii="宋体" w:hAnsi="宋体"/>
          <w:color w:val="auto"/>
          <w:sz w:val="24"/>
          <w:szCs w:val="24"/>
          <w:highlight w:val="none"/>
        </w:rPr>
        <w:t>根据《中华人民共和国政府采购法》、《中华人民共和国政府采购法实施条例》、《政府采购非招标采购方式管理办法》及相关政府采购法律法规等制定本文件。</w:t>
      </w:r>
    </w:p>
    <w:p w14:paraId="131D47D1">
      <w:pPr>
        <w:adjustRightInd w:val="0"/>
        <w:snapToGrid w:val="0"/>
        <w:spacing w:beforeLines="50" w:line="300" w:lineRule="auto"/>
        <w:ind w:right="240" w:firstLine="482" w:firstLineChars="200"/>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1.2 </w:t>
      </w:r>
      <w:r>
        <w:rPr>
          <w:rFonts w:hint="eastAsia" w:ascii="黑体" w:hAnsi="黑体" w:eastAsia="黑体" w:cs="楷体_GB2312"/>
          <w:b/>
          <w:color w:val="auto"/>
          <w:sz w:val="24"/>
          <w:highlight w:val="none"/>
          <w:lang w:val="zh-CN"/>
        </w:rPr>
        <w:t>谈判文件的法律适用及法律效力</w:t>
      </w:r>
    </w:p>
    <w:p w14:paraId="7DF73857">
      <w:pPr>
        <w:adjustRightInd w:val="0"/>
        <w:snapToGrid w:val="0"/>
        <w:spacing w:beforeLines="50" w:line="300" w:lineRule="auto"/>
        <w:ind w:right="240" w:firstLine="544" w:firstLineChars="227"/>
        <w:rPr>
          <w:rFonts w:ascii="宋体"/>
          <w:color w:val="auto"/>
          <w:sz w:val="24"/>
          <w:szCs w:val="24"/>
          <w:highlight w:val="none"/>
        </w:rPr>
      </w:pPr>
      <w:r>
        <w:rPr>
          <w:rFonts w:ascii="宋体" w:hAnsi="宋体"/>
          <w:color w:val="auto"/>
          <w:sz w:val="24"/>
          <w:szCs w:val="24"/>
          <w:highlight w:val="none"/>
        </w:rPr>
        <w:t>1.2.1</w:t>
      </w:r>
      <w:r>
        <w:rPr>
          <w:rFonts w:hint="eastAsia" w:ascii="宋体" w:hAnsi="宋体"/>
          <w:color w:val="auto"/>
          <w:sz w:val="24"/>
          <w:szCs w:val="24"/>
          <w:highlight w:val="none"/>
        </w:rPr>
        <w:t>本</w:t>
      </w:r>
      <w:r>
        <w:rPr>
          <w:rFonts w:hint="eastAsia" w:ascii="宋体" w:hAnsi="宋体" w:cs="宋体"/>
          <w:color w:val="auto"/>
          <w:sz w:val="24"/>
          <w:szCs w:val="24"/>
          <w:highlight w:val="none"/>
        </w:rPr>
        <w:t>谈判文件</w:t>
      </w:r>
      <w:r>
        <w:rPr>
          <w:rFonts w:hint="eastAsia" w:ascii="宋体" w:hAnsi="宋体"/>
          <w:color w:val="auto"/>
          <w:sz w:val="24"/>
          <w:szCs w:val="24"/>
          <w:highlight w:val="none"/>
        </w:rPr>
        <w:t>所述内容，仅适用于本次项目采购。</w:t>
      </w:r>
    </w:p>
    <w:p w14:paraId="2EAC7BF8">
      <w:pPr>
        <w:adjustRightInd w:val="0"/>
        <w:snapToGrid w:val="0"/>
        <w:spacing w:beforeLines="50" w:line="300" w:lineRule="auto"/>
        <w:ind w:right="240" w:firstLine="544" w:firstLineChars="227"/>
        <w:rPr>
          <w:rFonts w:ascii="宋体"/>
          <w:color w:val="auto"/>
          <w:sz w:val="24"/>
          <w:szCs w:val="24"/>
          <w:highlight w:val="none"/>
        </w:rPr>
      </w:pPr>
      <w:r>
        <w:rPr>
          <w:rFonts w:ascii="宋体" w:hAnsi="宋体"/>
          <w:color w:val="auto"/>
          <w:sz w:val="24"/>
          <w:szCs w:val="24"/>
          <w:highlight w:val="none"/>
        </w:rPr>
        <w:t xml:space="preserve">1.2.2 </w:t>
      </w:r>
      <w:r>
        <w:rPr>
          <w:rFonts w:hint="eastAsia" w:ascii="宋体" w:hAnsi="宋体" w:cs="宋体"/>
          <w:color w:val="auto"/>
          <w:sz w:val="24"/>
          <w:szCs w:val="24"/>
          <w:highlight w:val="none"/>
        </w:rPr>
        <w:t>谈判文件</w:t>
      </w:r>
      <w:r>
        <w:rPr>
          <w:rFonts w:hint="eastAsia" w:ascii="宋体" w:hAnsi="宋体"/>
          <w:color w:val="auto"/>
          <w:sz w:val="24"/>
          <w:szCs w:val="24"/>
          <w:highlight w:val="none"/>
        </w:rPr>
        <w:t>的修改性文件、补充文件、澄清文件或说明具有同等法律效力。</w:t>
      </w:r>
    </w:p>
    <w:p w14:paraId="3573DD5D">
      <w:pPr>
        <w:adjustRightInd w:val="0"/>
        <w:snapToGrid w:val="0"/>
        <w:spacing w:beforeLines="50" w:line="300" w:lineRule="auto"/>
        <w:ind w:right="240" w:firstLine="544" w:firstLineChars="227"/>
        <w:rPr>
          <w:rFonts w:ascii="宋体"/>
          <w:color w:val="auto"/>
          <w:sz w:val="24"/>
          <w:szCs w:val="24"/>
          <w:highlight w:val="none"/>
        </w:rPr>
      </w:pPr>
      <w:r>
        <w:rPr>
          <w:rFonts w:ascii="宋体" w:hAnsi="宋体"/>
          <w:color w:val="auto"/>
          <w:sz w:val="24"/>
          <w:szCs w:val="24"/>
          <w:highlight w:val="none"/>
        </w:rPr>
        <w:t xml:space="preserve">1.2.3 </w:t>
      </w:r>
      <w:r>
        <w:rPr>
          <w:rFonts w:hint="eastAsia" w:ascii="宋体" w:hAnsi="宋体"/>
          <w:color w:val="auto"/>
          <w:sz w:val="24"/>
          <w:szCs w:val="24"/>
          <w:highlight w:val="none"/>
        </w:rPr>
        <w:t>本</w:t>
      </w:r>
      <w:r>
        <w:rPr>
          <w:rFonts w:hint="eastAsia" w:ascii="宋体" w:hAnsi="宋体" w:cs="宋体"/>
          <w:color w:val="auto"/>
          <w:sz w:val="24"/>
          <w:szCs w:val="24"/>
          <w:highlight w:val="none"/>
        </w:rPr>
        <w:t>谈判文件</w:t>
      </w:r>
      <w:r>
        <w:rPr>
          <w:rFonts w:hint="eastAsia" w:ascii="宋体" w:hAnsi="宋体"/>
          <w:color w:val="auto"/>
          <w:sz w:val="24"/>
          <w:szCs w:val="24"/>
          <w:highlight w:val="none"/>
        </w:rPr>
        <w:t>适用于并执行《政府采购法》和其它相关的法律、法规。</w:t>
      </w:r>
    </w:p>
    <w:p w14:paraId="28077876">
      <w:pPr>
        <w:adjustRightInd w:val="0"/>
        <w:snapToGrid w:val="0"/>
        <w:spacing w:beforeLines="50" w:line="300" w:lineRule="auto"/>
        <w:ind w:right="240" w:firstLine="544" w:firstLineChars="227"/>
        <w:rPr>
          <w:rFonts w:ascii="宋体"/>
          <w:color w:val="auto"/>
          <w:sz w:val="24"/>
          <w:szCs w:val="24"/>
          <w:highlight w:val="none"/>
        </w:rPr>
      </w:pPr>
      <w:r>
        <w:rPr>
          <w:rFonts w:ascii="宋体" w:hAnsi="宋体"/>
          <w:color w:val="auto"/>
          <w:sz w:val="24"/>
          <w:szCs w:val="24"/>
          <w:highlight w:val="none"/>
        </w:rPr>
        <w:t xml:space="preserve">1.2.4 </w:t>
      </w:r>
      <w:r>
        <w:rPr>
          <w:rFonts w:hint="eastAsia" w:ascii="宋体" w:hAnsi="宋体"/>
          <w:color w:val="auto"/>
          <w:sz w:val="24"/>
          <w:szCs w:val="24"/>
          <w:highlight w:val="none"/>
        </w:rPr>
        <w:t>本</w:t>
      </w:r>
      <w:r>
        <w:rPr>
          <w:rFonts w:hint="eastAsia" w:ascii="宋体" w:hAnsi="宋体" w:cs="宋体"/>
          <w:color w:val="auto"/>
          <w:sz w:val="24"/>
          <w:szCs w:val="24"/>
          <w:highlight w:val="none"/>
        </w:rPr>
        <w:t>谈判文件</w:t>
      </w:r>
      <w:r>
        <w:rPr>
          <w:rFonts w:hint="eastAsia" w:ascii="宋体" w:hAnsi="宋体"/>
          <w:color w:val="auto"/>
          <w:sz w:val="24"/>
          <w:szCs w:val="24"/>
          <w:highlight w:val="none"/>
        </w:rPr>
        <w:t>的解释权属采购人及代理机构。</w:t>
      </w:r>
    </w:p>
    <w:p w14:paraId="7B9A24F6">
      <w:pPr>
        <w:autoSpaceDE w:val="0"/>
        <w:autoSpaceDN w:val="0"/>
        <w:adjustRightInd w:val="0"/>
        <w:snapToGrid w:val="0"/>
        <w:spacing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1.3 </w:t>
      </w:r>
      <w:r>
        <w:rPr>
          <w:rFonts w:hint="eastAsia" w:ascii="黑体" w:hAnsi="黑体" w:eastAsia="黑体" w:cs="楷体_GB2312"/>
          <w:b/>
          <w:color w:val="auto"/>
          <w:sz w:val="24"/>
          <w:highlight w:val="none"/>
          <w:lang w:val="zh-CN"/>
        </w:rPr>
        <w:t>合格的投标人</w:t>
      </w:r>
    </w:p>
    <w:p w14:paraId="713D6659">
      <w:pPr>
        <w:autoSpaceDE w:val="0"/>
        <w:autoSpaceDN w:val="0"/>
        <w:adjustRightInd w:val="0"/>
        <w:snapToGrid w:val="0"/>
        <w:spacing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1.3.1 </w:t>
      </w:r>
      <w:r>
        <w:rPr>
          <w:rFonts w:hint="eastAsia" w:ascii="宋体" w:hAnsi="宋体" w:cs="楷体_GB2312"/>
          <w:color w:val="auto"/>
          <w:sz w:val="24"/>
          <w:highlight w:val="none"/>
          <w:lang w:val="zh-CN"/>
        </w:rPr>
        <w:t>凡符合谈判文件规定，承认本谈判文件所有内容的投标人为合格的投标人。</w:t>
      </w:r>
    </w:p>
    <w:p w14:paraId="1F43EED1">
      <w:pPr>
        <w:autoSpaceDE w:val="0"/>
        <w:autoSpaceDN w:val="0"/>
        <w:adjustRightInd w:val="0"/>
        <w:snapToGrid w:val="0"/>
        <w:spacing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1.3.2 </w:t>
      </w:r>
      <w:r>
        <w:rPr>
          <w:rFonts w:hint="eastAsia" w:ascii="宋体" w:hAnsi="宋体" w:cs="楷体_GB2312"/>
          <w:color w:val="auto"/>
          <w:sz w:val="24"/>
          <w:highlight w:val="none"/>
          <w:lang w:val="zh-CN"/>
        </w:rPr>
        <w:t>单位负责人为同一人或者存在直接控股、管理关系的不同供应商，不得参加同一合同项下的政府采购活动。</w:t>
      </w:r>
    </w:p>
    <w:p w14:paraId="7FB4988F">
      <w:pPr>
        <w:autoSpaceDE w:val="0"/>
        <w:autoSpaceDN w:val="0"/>
        <w:adjustRightInd w:val="0"/>
        <w:snapToGrid w:val="0"/>
        <w:spacing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1.3.3 </w:t>
      </w:r>
      <w:r>
        <w:rPr>
          <w:rFonts w:hint="eastAsia" w:ascii="宋体" w:hAnsi="宋体" w:cs="楷体_GB2312"/>
          <w:color w:val="auto"/>
          <w:sz w:val="24"/>
          <w:highlight w:val="none"/>
          <w:lang w:val="zh-CN"/>
        </w:rPr>
        <w:t>为采购项目提供整体设计、规范编制或者项目管理、监理、检测等服务的供应商，不得再参加该采购项目的其他采购活动。</w:t>
      </w:r>
    </w:p>
    <w:p w14:paraId="5AC90EF6">
      <w:pPr>
        <w:autoSpaceDE w:val="0"/>
        <w:autoSpaceDN w:val="0"/>
        <w:adjustRightInd w:val="0"/>
        <w:snapToGrid w:val="0"/>
        <w:spacing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1.3.4 </w:t>
      </w:r>
      <w:r>
        <w:rPr>
          <w:rFonts w:hint="eastAsia" w:ascii="宋体" w:hAnsi="宋体" w:cs="楷体_GB2312"/>
          <w:color w:val="auto"/>
          <w:sz w:val="24"/>
          <w:highlight w:val="none"/>
          <w:lang w:val="zh-CN"/>
        </w:rPr>
        <w:t>投标人应遵守国家法律、法规和谈判文件的规定。</w:t>
      </w:r>
    </w:p>
    <w:p w14:paraId="0C012C79">
      <w:pPr>
        <w:autoSpaceDE w:val="0"/>
        <w:autoSpaceDN w:val="0"/>
        <w:adjustRightInd w:val="0"/>
        <w:snapToGrid w:val="0"/>
        <w:spacing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1.4</w:t>
      </w:r>
      <w:r>
        <w:rPr>
          <w:rFonts w:hint="eastAsia" w:ascii="黑体" w:hAnsi="黑体" w:eastAsia="黑体" w:cs="楷体_GB2312"/>
          <w:b/>
          <w:color w:val="auto"/>
          <w:sz w:val="24"/>
          <w:highlight w:val="none"/>
          <w:lang w:val="zh-CN"/>
        </w:rPr>
        <w:t>　联合体</w:t>
      </w:r>
    </w:p>
    <w:p w14:paraId="768640A6">
      <w:pPr>
        <w:autoSpaceDE w:val="0"/>
        <w:autoSpaceDN w:val="0"/>
        <w:adjustRightInd w:val="0"/>
        <w:snapToGrid w:val="0"/>
        <w:spacing w:beforeLines="50" w:line="300" w:lineRule="auto"/>
        <w:ind w:firstLine="539"/>
        <w:rPr>
          <w:rFonts w:ascii="宋体" w:cs="楷体_GB2312"/>
          <w:color w:val="auto"/>
          <w:sz w:val="24"/>
          <w:highlight w:val="none"/>
          <w:lang w:val="zh-CN"/>
        </w:rPr>
      </w:pPr>
      <w:r>
        <w:rPr>
          <w:rFonts w:hint="eastAsia" w:ascii="黑体" w:hAnsi="黑体" w:eastAsia="黑体" w:cs="楷体_GB2312"/>
          <w:b/>
          <w:color w:val="auto"/>
          <w:sz w:val="24"/>
          <w:highlight w:val="none"/>
          <w:lang w:val="zh-CN"/>
        </w:rPr>
        <w:t>如</w:t>
      </w:r>
      <w:r>
        <w:rPr>
          <w:rFonts w:hint="eastAsia" w:ascii="宋体" w:hAnsi="宋体" w:cs="楷体_GB2312"/>
          <w:color w:val="auto"/>
          <w:sz w:val="24"/>
          <w:highlight w:val="none"/>
          <w:lang w:val="zh-CN"/>
        </w:rPr>
        <w:t>投标人须知前附表规定接受联合体投标的，应遵守以下规定：</w:t>
      </w:r>
    </w:p>
    <w:p w14:paraId="5B31F86B">
      <w:pPr>
        <w:autoSpaceDE w:val="0"/>
        <w:autoSpaceDN w:val="0"/>
        <w:adjustRightInd w:val="0"/>
        <w:snapToGrid w:val="0"/>
        <w:spacing w:beforeLines="50" w:line="300" w:lineRule="auto"/>
        <w:ind w:firstLine="539"/>
        <w:rPr>
          <w:rFonts w:ascii="宋体" w:cs="楷体_GB2312"/>
          <w:color w:val="auto"/>
          <w:sz w:val="24"/>
          <w:highlight w:val="none"/>
          <w:lang w:val="zh-CN"/>
        </w:rPr>
      </w:pPr>
      <w:r>
        <w:rPr>
          <w:rFonts w:hint="eastAsia" w:ascii="宋体" w:cs="楷体_GB2312"/>
          <w:color w:val="auto"/>
          <w:sz w:val="24"/>
          <w:highlight w:val="none"/>
          <w:lang w:val="zh-CN"/>
        </w:rPr>
        <w:t>（</w:t>
      </w:r>
      <w:r>
        <w:rPr>
          <w:rFonts w:ascii="宋体" w:cs="楷体_GB2312"/>
          <w:color w:val="auto"/>
          <w:sz w:val="24"/>
          <w:highlight w:val="none"/>
          <w:lang w:val="zh-CN"/>
        </w:rPr>
        <w:t>1</w:t>
      </w:r>
      <w:r>
        <w:rPr>
          <w:rFonts w:hint="eastAsia" w:ascii="宋体" w:cs="楷体_GB2312"/>
          <w:color w:val="auto"/>
          <w:sz w:val="24"/>
          <w:highlight w:val="none"/>
          <w:lang w:val="zh-CN"/>
        </w:rPr>
        <w:t>）两个以上的自然人、法人或者其他组织组成一个联合体，以一个供应商的身份共同参加政府采购活动的，应当对所有的联合体成员进行信用记录查询，联合体成员存在不良信用记录的，视同联合体存在不良信用记录。</w:t>
      </w:r>
    </w:p>
    <w:p w14:paraId="31D7DADF">
      <w:pPr>
        <w:autoSpaceDE w:val="0"/>
        <w:autoSpaceDN w:val="0"/>
        <w:adjustRightInd w:val="0"/>
        <w:snapToGrid w:val="0"/>
        <w:spacing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2</w:t>
      </w:r>
      <w:r>
        <w:rPr>
          <w:rFonts w:hint="eastAsia" w:ascii="宋体" w:hAnsi="宋体" w:cs="楷体_GB2312"/>
          <w:color w:val="auto"/>
          <w:sz w:val="24"/>
          <w:highlight w:val="none"/>
          <w:lang w:val="zh-CN"/>
        </w:rPr>
        <w:t>）两个以上供应商可以组成一个投标联合体，以一个投标人的身份投标，但必须确定其中一个单位为投标的全权代表参加投标活动，并承担投标及履约中应承担的全部责任和义务。</w:t>
      </w:r>
    </w:p>
    <w:p w14:paraId="198AB454">
      <w:pPr>
        <w:autoSpaceDE w:val="0"/>
        <w:autoSpaceDN w:val="0"/>
        <w:adjustRightInd w:val="0"/>
        <w:snapToGrid w:val="0"/>
        <w:spacing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3</w:t>
      </w:r>
      <w:r>
        <w:rPr>
          <w:rFonts w:hint="eastAsia" w:ascii="宋体" w:hAnsi="宋体" w:cs="楷体_GB2312"/>
          <w:color w:val="auto"/>
          <w:sz w:val="24"/>
          <w:highlight w:val="none"/>
          <w:lang w:val="zh-CN"/>
        </w:rPr>
        <w:t>）以联合体形式参加投标的，应符投标人须知前附表的要求，联合体各方均应当符合政府采购法第二十二条第一款规定的条件，联合体各方均应当具备承担采购项目（标段&lt;包&gt;）的相应能力、具备规定的相应资格条件。</w:t>
      </w:r>
    </w:p>
    <w:p w14:paraId="6E225030">
      <w:pPr>
        <w:autoSpaceDE w:val="0"/>
        <w:autoSpaceDN w:val="0"/>
        <w:adjustRightInd w:val="0"/>
        <w:snapToGrid w:val="0"/>
        <w:spacing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4</w:t>
      </w:r>
      <w:r>
        <w:rPr>
          <w:rFonts w:hint="eastAsia" w:ascii="宋体" w:hAnsi="宋体" w:cs="楷体_GB2312"/>
          <w:color w:val="auto"/>
          <w:sz w:val="24"/>
          <w:highlight w:val="none"/>
          <w:lang w:val="zh-CN"/>
        </w:rPr>
        <w:t>）联合体中有同类资质的供应商按照联合体分工承担相同工作的，应当按照资质等级较低的供应商确定资质等级。</w:t>
      </w:r>
    </w:p>
    <w:p w14:paraId="1AC045CB">
      <w:pPr>
        <w:autoSpaceDE w:val="0"/>
        <w:autoSpaceDN w:val="0"/>
        <w:adjustRightInd w:val="0"/>
        <w:snapToGrid w:val="0"/>
        <w:spacing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5</w:t>
      </w:r>
      <w:r>
        <w:rPr>
          <w:rFonts w:hint="eastAsia" w:ascii="宋体" w:hAnsi="宋体" w:cs="楷体_GB2312"/>
          <w:color w:val="auto"/>
          <w:sz w:val="24"/>
          <w:highlight w:val="none"/>
          <w:lang w:val="zh-CN"/>
        </w:rPr>
        <w:t>）联合体各方之间应当签订联合投标协议，明确约定联合体各方承担的工作和相应的责任，并将联合投标协议连同投标文件一并提交采购代理机构。</w:t>
      </w:r>
    </w:p>
    <w:p w14:paraId="0834363F">
      <w:pPr>
        <w:autoSpaceDE w:val="0"/>
        <w:autoSpaceDN w:val="0"/>
        <w:adjustRightInd w:val="0"/>
        <w:snapToGrid w:val="0"/>
        <w:spacing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6</w:t>
      </w:r>
      <w:r>
        <w:rPr>
          <w:rFonts w:hint="eastAsia" w:ascii="宋体" w:hAnsi="宋体" w:cs="楷体_GB2312"/>
          <w:color w:val="auto"/>
          <w:sz w:val="24"/>
          <w:highlight w:val="none"/>
          <w:lang w:val="zh-CN"/>
        </w:rPr>
        <w:t>）联合体各方签订联合投标协议后，不得再以自己名义单独在同一项目中投标，也不得组成新的联合体参加同一项目投标。</w:t>
      </w:r>
    </w:p>
    <w:p w14:paraId="785E7A94">
      <w:pPr>
        <w:autoSpaceDE w:val="0"/>
        <w:autoSpaceDN w:val="0"/>
        <w:adjustRightInd w:val="0"/>
        <w:snapToGrid w:val="0"/>
        <w:spacing w:beforeLines="50" w:line="300" w:lineRule="auto"/>
        <w:ind w:firstLine="539"/>
        <w:rPr>
          <w:rFonts w:ascii="宋体" w:hAns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7</w:t>
      </w:r>
      <w:r>
        <w:rPr>
          <w:rFonts w:hint="eastAsia" w:ascii="宋体" w:hAnsi="宋体" w:cs="楷体_GB2312"/>
          <w:color w:val="auto"/>
          <w:sz w:val="24"/>
          <w:highlight w:val="none"/>
          <w:lang w:val="zh-CN"/>
        </w:rPr>
        <w:t>）联合体中标（成交）的，联合体各方应当共同与采购人签订合同，就中标（成交）项目（标段&lt;包&gt;）向采购人承担连带责任。</w:t>
      </w:r>
    </w:p>
    <w:p w14:paraId="2C293AA1">
      <w:pPr>
        <w:autoSpaceDE w:val="0"/>
        <w:autoSpaceDN w:val="0"/>
        <w:adjustRightInd w:val="0"/>
        <w:snapToGrid w:val="0"/>
        <w:spacing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（8）预留中小企业份额项目中，</w:t>
      </w:r>
      <w:r>
        <w:rPr>
          <w:rFonts w:hint="eastAsia" w:ascii="宋体" w:hAnsi="宋体"/>
          <w:color w:val="auto"/>
          <w:sz w:val="24"/>
          <w:szCs w:val="24"/>
          <w:highlight w:val="none"/>
        </w:rPr>
        <w:t>组成联合体的中小企业与联合体内其他企业不得存在直接控股、管理关系。</w:t>
      </w:r>
    </w:p>
    <w:p w14:paraId="437EF514">
      <w:pPr>
        <w:autoSpaceDE w:val="0"/>
        <w:autoSpaceDN w:val="0"/>
        <w:adjustRightInd w:val="0"/>
        <w:snapToGrid w:val="0"/>
        <w:spacing w:beforeLines="50" w:line="300" w:lineRule="auto"/>
        <w:ind w:firstLine="539"/>
        <w:rPr>
          <w:rFonts w:ascii="黑体" w:hAnsi="黑体" w:eastAsia="黑体" w:cs="楷体_GB2312"/>
          <w:b/>
          <w:color w:val="auto"/>
          <w:sz w:val="24"/>
          <w:highlight w:val="none"/>
          <w:lang w:val="zh-CN"/>
        </w:rPr>
      </w:pPr>
      <w:r>
        <w:rPr>
          <w:rFonts w:hint="eastAsia" w:ascii="黑体" w:hAnsi="黑体" w:eastAsia="黑体" w:cs="楷体_GB2312"/>
          <w:b/>
          <w:color w:val="auto"/>
          <w:sz w:val="24"/>
          <w:highlight w:val="none"/>
          <w:lang w:val="zh-CN"/>
        </w:rPr>
        <w:t>1.5  知识产权</w:t>
      </w:r>
    </w:p>
    <w:p w14:paraId="2B2C36F0">
      <w:pPr>
        <w:ind w:firstLine="480" w:firstLineChars="200"/>
        <w:rPr>
          <w:rFonts w:ascii="宋体" w:hAnsi="宋体"/>
          <w:color w:val="auto"/>
          <w:sz w:val="24"/>
          <w:highlight w:val="none"/>
        </w:rPr>
      </w:pPr>
      <w:r>
        <w:rPr>
          <w:rFonts w:hint="eastAsia" w:ascii="宋体" w:hAnsi="宋体" w:cs="楷体_GB2312"/>
          <w:color w:val="auto"/>
          <w:sz w:val="24"/>
          <w:highlight w:val="none"/>
          <w:lang w:val="zh-CN"/>
        </w:rPr>
        <w:t>1.5.1 供应商须保证采购人使用投标货物、资料、技术、服务或其任何一部分时，享有不受限制的无偿使用权，不会产生因第三方提出侵犯其专利权、商标权或其它知识产权而引起的法律或经济纠纷。</w:t>
      </w:r>
      <w:r>
        <w:rPr>
          <w:rFonts w:hint="eastAsia" w:ascii="宋体" w:hAnsi="宋体"/>
          <w:color w:val="auto"/>
          <w:sz w:val="24"/>
          <w:highlight w:val="none"/>
        </w:rPr>
        <w:t>如因专利权、商标权或其它知识产权而引起法律和经济纠纷，由供应商承担所有相关责任。</w:t>
      </w:r>
    </w:p>
    <w:p w14:paraId="4136F0C9">
      <w:pPr>
        <w:autoSpaceDE w:val="0"/>
        <w:autoSpaceDN w:val="0"/>
        <w:adjustRightInd w:val="0"/>
        <w:snapToGrid w:val="0"/>
        <w:spacing w:beforeLines="50" w:line="300" w:lineRule="auto"/>
        <w:ind w:firstLine="539"/>
        <w:rPr>
          <w:rFonts w:ascii="宋体" w:hAnsi="宋体" w:cs="楷体_GB2312"/>
          <w:color w:val="auto"/>
          <w:sz w:val="24"/>
          <w:highlight w:val="none"/>
          <w:lang w:val="zh-CN"/>
        </w:rPr>
      </w:pPr>
      <w:r>
        <w:rPr>
          <w:rFonts w:hint="eastAsia" w:ascii="宋体" w:hAnsi="宋体" w:cs="楷体_GB2312"/>
          <w:color w:val="auto"/>
          <w:sz w:val="24"/>
          <w:highlight w:val="none"/>
          <w:lang w:val="zh-CN"/>
        </w:rPr>
        <w:t>如供应商不拥有相应的知识产权，则在投标报价中必须包括合法获取该知识产权的一切相关费用。如因此导致采购人损失的，供应商须承担全部赔偿责任。</w:t>
      </w:r>
    </w:p>
    <w:p w14:paraId="2418169D">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1.5.2供应商将在采购项目实施过程中采用自有或者第三方知识成果的，应当在投标文件中载明，并提供相关知识产权证明文件。使用该知识成果后，供应商需提供开发接口和开发手册等技术资料，并承诺提供无限期支持，采购人享有使用权（含采购人委托第三方在该项目后续开发的使用权）。</w:t>
      </w:r>
    </w:p>
    <w:p w14:paraId="211067E2">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1.5.3 除非谈判文件特别规定，采购人享有本项目实施过程中产生的知识成果及知识产权。</w:t>
      </w:r>
    </w:p>
    <w:p w14:paraId="075B4F11">
      <w:pPr>
        <w:autoSpaceDE w:val="0"/>
        <w:autoSpaceDN w:val="0"/>
        <w:adjustRightInd w:val="0"/>
        <w:snapToGrid w:val="0"/>
        <w:spacing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w:t>
      </w:r>
      <w:r>
        <w:rPr>
          <w:rFonts w:hint="eastAsia" w:ascii="黑体" w:hAnsi="黑体" w:eastAsia="黑体" w:cs="楷体_GB2312"/>
          <w:b/>
          <w:color w:val="auto"/>
          <w:sz w:val="24"/>
          <w:highlight w:val="none"/>
          <w:lang w:val="zh-CN"/>
        </w:rPr>
        <w:t>6投标费用</w:t>
      </w:r>
    </w:p>
    <w:p w14:paraId="03BF7FD8">
      <w:pPr>
        <w:autoSpaceDE w:val="0"/>
        <w:autoSpaceDN w:val="0"/>
        <w:adjustRightInd w:val="0"/>
        <w:snapToGrid w:val="0"/>
        <w:spacing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无论投标过程中的做法和结果如何，无论何种原因的谈判失败废标或终止，投标人应自行承担所有与准备和参加投标有关的全部费用（类比商业采购中的客户洽谈费用），采购代理机构在任何情况下均无义务和责任承担投标人的任何费用。</w:t>
      </w:r>
    </w:p>
    <w:p w14:paraId="1A4C4497">
      <w:pPr>
        <w:autoSpaceDE w:val="0"/>
        <w:autoSpaceDN w:val="0"/>
        <w:adjustRightInd w:val="0"/>
        <w:snapToGrid w:val="0"/>
        <w:spacing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w:t>
      </w:r>
      <w:r>
        <w:rPr>
          <w:rFonts w:hint="eastAsia" w:ascii="黑体" w:hAnsi="黑体" w:eastAsia="黑体" w:cs="楷体_GB2312"/>
          <w:b/>
          <w:color w:val="auto"/>
          <w:sz w:val="24"/>
          <w:highlight w:val="none"/>
          <w:lang w:val="zh-CN"/>
        </w:rPr>
        <w:t>7保密</w:t>
      </w:r>
    </w:p>
    <w:p w14:paraId="65C663A8">
      <w:pPr>
        <w:autoSpaceDE w:val="0"/>
        <w:autoSpaceDN w:val="0"/>
        <w:adjustRightInd w:val="0"/>
        <w:snapToGrid w:val="0"/>
        <w:spacing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1.</w:t>
      </w:r>
      <w:r>
        <w:rPr>
          <w:rFonts w:hint="eastAsia" w:ascii="宋体" w:hAnsi="宋体" w:cs="楷体_GB2312"/>
          <w:color w:val="auto"/>
          <w:sz w:val="24"/>
          <w:highlight w:val="none"/>
          <w:lang w:val="zh-CN"/>
        </w:rPr>
        <w:t>7</w:t>
      </w:r>
      <w:r>
        <w:rPr>
          <w:rFonts w:ascii="宋体" w:hAnsi="宋体" w:cs="楷体_GB2312"/>
          <w:color w:val="auto"/>
          <w:sz w:val="24"/>
          <w:highlight w:val="none"/>
          <w:lang w:val="zh-CN"/>
        </w:rPr>
        <w:t xml:space="preserve">.1 </w:t>
      </w:r>
      <w:r>
        <w:rPr>
          <w:rFonts w:hint="eastAsia" w:ascii="宋体" w:hAnsi="宋体" w:cs="楷体_GB2312"/>
          <w:color w:val="auto"/>
          <w:sz w:val="24"/>
          <w:highlight w:val="none"/>
          <w:lang w:val="zh-CN"/>
        </w:rPr>
        <w:t>参与竞争性谈判活动的各方应对谈判文件和投标文件中的商业和技术等秘密保密，投标人应在投标文件中对需保密事项予以书面声明，否则视为非保密事项。</w:t>
      </w:r>
    </w:p>
    <w:p w14:paraId="53FD0E62">
      <w:pPr>
        <w:autoSpaceDE w:val="0"/>
        <w:autoSpaceDN w:val="0"/>
        <w:adjustRightInd w:val="0"/>
        <w:snapToGrid w:val="0"/>
        <w:spacing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1.</w:t>
      </w:r>
      <w:r>
        <w:rPr>
          <w:rFonts w:hint="eastAsia" w:ascii="宋体" w:hAnsi="宋体" w:cs="楷体_GB2312"/>
          <w:color w:val="auto"/>
          <w:sz w:val="24"/>
          <w:highlight w:val="none"/>
          <w:lang w:val="zh-CN"/>
        </w:rPr>
        <w:t>7</w:t>
      </w:r>
      <w:r>
        <w:rPr>
          <w:rFonts w:ascii="宋体" w:hAnsi="宋体" w:cs="楷体_GB2312"/>
          <w:color w:val="auto"/>
          <w:sz w:val="24"/>
          <w:highlight w:val="none"/>
          <w:lang w:val="zh-CN"/>
        </w:rPr>
        <w:t xml:space="preserve">.2 </w:t>
      </w:r>
      <w:r>
        <w:rPr>
          <w:rFonts w:hint="eastAsia" w:ascii="宋体" w:hAnsi="宋体" w:cs="楷体_GB2312"/>
          <w:color w:val="auto"/>
          <w:sz w:val="24"/>
          <w:highlight w:val="none"/>
          <w:lang w:val="zh-CN"/>
        </w:rPr>
        <w:t>依据政府采购成交结果及合同公告规定，成交（合同）标的名称、规格型号、单价及成交（合同）金额等内容不得作为商业秘密。</w:t>
      </w:r>
    </w:p>
    <w:p w14:paraId="7469809F">
      <w:pPr>
        <w:autoSpaceDE w:val="0"/>
        <w:autoSpaceDN w:val="0"/>
        <w:adjustRightInd w:val="0"/>
        <w:snapToGrid w:val="0"/>
        <w:spacing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w:t>
      </w:r>
      <w:r>
        <w:rPr>
          <w:rFonts w:hint="eastAsia" w:ascii="黑体" w:hAnsi="黑体" w:eastAsia="黑体" w:cs="楷体_GB2312"/>
          <w:b/>
          <w:color w:val="auto"/>
          <w:sz w:val="24"/>
          <w:highlight w:val="none"/>
          <w:lang w:val="zh-CN"/>
        </w:rPr>
        <w:t>8语言文字</w:t>
      </w:r>
    </w:p>
    <w:p w14:paraId="0917EAA4">
      <w:pPr>
        <w:autoSpaceDE w:val="0"/>
        <w:autoSpaceDN w:val="0"/>
        <w:adjustRightInd w:val="0"/>
        <w:snapToGrid w:val="0"/>
        <w:spacing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除专用术语外，与竞争性谈判有关的语言均使用中文。必要时专用术语应附有中文注释。如果投标文件或与投标有关的其它文件、信件及来往函电以其它语言书写，投标人应将其译成中文，并对中文译稿的真实、准确、完整承担责任。</w:t>
      </w:r>
    </w:p>
    <w:p w14:paraId="63188C44">
      <w:pPr>
        <w:autoSpaceDE w:val="0"/>
        <w:autoSpaceDN w:val="0"/>
        <w:adjustRightInd w:val="0"/>
        <w:snapToGrid w:val="0"/>
        <w:spacing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w:t>
      </w:r>
      <w:r>
        <w:rPr>
          <w:rFonts w:hint="eastAsia" w:ascii="黑体" w:hAnsi="黑体" w:eastAsia="黑体" w:cs="楷体_GB2312"/>
          <w:b/>
          <w:color w:val="auto"/>
          <w:sz w:val="24"/>
          <w:highlight w:val="none"/>
          <w:lang w:val="zh-CN"/>
        </w:rPr>
        <w:t>9计量单位</w:t>
      </w:r>
    </w:p>
    <w:p w14:paraId="1904708E">
      <w:pPr>
        <w:autoSpaceDE w:val="0"/>
        <w:autoSpaceDN w:val="0"/>
        <w:adjustRightInd w:val="0"/>
        <w:snapToGrid w:val="0"/>
        <w:spacing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所有计量均采用中华人民共和国法定计量单位。</w:t>
      </w:r>
    </w:p>
    <w:p w14:paraId="0D16FFCB">
      <w:pPr>
        <w:autoSpaceDE w:val="0"/>
        <w:autoSpaceDN w:val="0"/>
        <w:adjustRightInd w:val="0"/>
        <w:snapToGrid w:val="0"/>
        <w:spacing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w:t>
      </w:r>
      <w:r>
        <w:rPr>
          <w:rFonts w:hint="eastAsia" w:ascii="黑体" w:hAnsi="黑体" w:eastAsia="黑体" w:cs="楷体_GB2312"/>
          <w:b/>
          <w:color w:val="auto"/>
          <w:sz w:val="24"/>
          <w:highlight w:val="none"/>
          <w:lang w:val="zh-CN"/>
        </w:rPr>
        <w:t>10踏勘现场</w:t>
      </w:r>
    </w:p>
    <w:p w14:paraId="64159988">
      <w:pPr>
        <w:autoSpaceDE w:val="0"/>
        <w:autoSpaceDN w:val="0"/>
        <w:adjustRightInd w:val="0"/>
        <w:snapToGrid w:val="0"/>
        <w:spacing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1.</w:t>
      </w:r>
      <w:r>
        <w:rPr>
          <w:rFonts w:hint="eastAsia" w:ascii="宋体" w:hAnsi="宋体" w:cs="楷体_GB2312"/>
          <w:color w:val="auto"/>
          <w:sz w:val="24"/>
          <w:highlight w:val="none"/>
          <w:lang w:val="zh-CN"/>
        </w:rPr>
        <w:t>10</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投标人踏勘现场发生的费用自理，投标人自行负责在踏勘现场中所发生的人员伤亡和财产损失。</w:t>
      </w:r>
    </w:p>
    <w:p w14:paraId="3FE49454">
      <w:pPr>
        <w:autoSpaceDE w:val="0"/>
        <w:autoSpaceDN w:val="0"/>
        <w:adjustRightInd w:val="0"/>
        <w:snapToGrid w:val="0"/>
        <w:spacing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1.</w:t>
      </w:r>
      <w:r>
        <w:rPr>
          <w:rFonts w:hint="eastAsia" w:ascii="宋体" w:hAnsi="宋体" w:cs="楷体_GB2312"/>
          <w:color w:val="auto"/>
          <w:sz w:val="24"/>
          <w:highlight w:val="none"/>
          <w:lang w:val="zh-CN"/>
        </w:rPr>
        <w:t>10</w:t>
      </w:r>
      <w:r>
        <w:rPr>
          <w:rFonts w:ascii="宋体" w:hAnsi="宋体" w:cs="楷体_GB2312"/>
          <w:color w:val="auto"/>
          <w:sz w:val="24"/>
          <w:highlight w:val="none"/>
          <w:lang w:val="zh-CN"/>
        </w:rPr>
        <w:t>.2</w:t>
      </w:r>
      <w:r>
        <w:rPr>
          <w:rFonts w:hint="eastAsia" w:ascii="宋体" w:hAnsi="宋体" w:cs="楷体_GB2312"/>
          <w:color w:val="auto"/>
          <w:sz w:val="24"/>
          <w:highlight w:val="none"/>
          <w:lang w:val="zh-CN"/>
        </w:rPr>
        <w:t>投标人须知前附表规定组织踏勘现场的，采购人及代理机构按投标人须知前附表规定的时间、地点组织投标人踏勘项目现场。采购人及代理机构在踏勘现场中介绍的交验安装条件和相关的周边环境情况，供投标人在编制投标文件时参考，采购人及代理机构不对投标人据此作出的判断和决策负责。</w:t>
      </w:r>
    </w:p>
    <w:p w14:paraId="1F7E487E">
      <w:pPr>
        <w:autoSpaceDE w:val="0"/>
        <w:autoSpaceDN w:val="0"/>
        <w:adjustRightInd w:val="0"/>
        <w:snapToGrid w:val="0"/>
        <w:spacing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1.</w:t>
      </w:r>
      <w:r>
        <w:rPr>
          <w:rFonts w:hint="eastAsia" w:ascii="宋体" w:hAnsi="宋体" w:cs="楷体_GB2312"/>
          <w:color w:val="auto"/>
          <w:sz w:val="24"/>
          <w:highlight w:val="none"/>
          <w:lang w:val="zh-CN"/>
        </w:rPr>
        <w:t>10</w:t>
      </w:r>
      <w:r>
        <w:rPr>
          <w:rFonts w:ascii="宋体" w:hAnsi="宋体" w:cs="楷体_GB2312"/>
          <w:color w:val="auto"/>
          <w:sz w:val="24"/>
          <w:highlight w:val="none"/>
          <w:lang w:val="zh-CN"/>
        </w:rPr>
        <w:t xml:space="preserve">.3  </w:t>
      </w:r>
      <w:r>
        <w:rPr>
          <w:rFonts w:hint="eastAsia" w:ascii="宋体" w:hAnsi="宋体" w:cs="楷体_GB2312"/>
          <w:color w:val="auto"/>
          <w:sz w:val="24"/>
          <w:highlight w:val="none"/>
          <w:lang w:val="zh-CN"/>
        </w:rPr>
        <w:t>投标人须知前附表规定不组织踏勘现场的，谈判文件不单独提供交验地自然环境、气候条件、交验安装条件等情况说明，投标人被视为熟悉前述与履行合同有关的一切情况，投标人可自行踏勘现场并自行了解相关情况。</w:t>
      </w:r>
    </w:p>
    <w:p w14:paraId="7E042F06">
      <w:pPr>
        <w:autoSpaceDE w:val="0"/>
        <w:autoSpaceDN w:val="0"/>
        <w:adjustRightInd w:val="0"/>
        <w:snapToGrid w:val="0"/>
        <w:spacing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1.1</w:t>
      </w:r>
      <w:r>
        <w:rPr>
          <w:rFonts w:hint="eastAsia" w:ascii="黑体" w:hAnsi="黑体" w:eastAsia="黑体" w:cs="楷体_GB2312"/>
          <w:b/>
          <w:color w:val="auto"/>
          <w:sz w:val="24"/>
          <w:highlight w:val="none"/>
          <w:lang w:val="zh-CN"/>
        </w:rPr>
        <w:t>1投标预备会</w:t>
      </w:r>
    </w:p>
    <w:p w14:paraId="04DED3C9">
      <w:pPr>
        <w:autoSpaceDE w:val="0"/>
        <w:autoSpaceDN w:val="0"/>
        <w:adjustRightInd w:val="0"/>
        <w:snapToGrid w:val="0"/>
        <w:spacing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1.1</w:t>
      </w:r>
      <w:r>
        <w:rPr>
          <w:rFonts w:hint="eastAsia" w:ascii="宋体" w:hAnsi="宋体" w:cs="楷体_GB2312"/>
          <w:color w:val="auto"/>
          <w:sz w:val="24"/>
          <w:highlight w:val="none"/>
          <w:lang w:val="zh-CN"/>
        </w:rPr>
        <w:t>1</w:t>
      </w:r>
      <w:r>
        <w:rPr>
          <w:rFonts w:ascii="宋体" w:hAnsi="宋体" w:cs="楷体_GB2312"/>
          <w:color w:val="auto"/>
          <w:sz w:val="24"/>
          <w:highlight w:val="none"/>
          <w:lang w:val="zh-CN"/>
        </w:rPr>
        <w:t xml:space="preserve">.1 </w:t>
      </w:r>
      <w:r>
        <w:rPr>
          <w:rFonts w:hint="eastAsia" w:ascii="宋体" w:hAnsi="宋体" w:cs="楷体_GB2312"/>
          <w:color w:val="auto"/>
          <w:sz w:val="24"/>
          <w:highlight w:val="none"/>
          <w:lang w:val="zh-CN"/>
        </w:rPr>
        <w:t>投标人须知前附表规定召开投标预备会的，采购人及代理机构按投标人须知前附表规定的时间和地点召开投标预备会，澄清投标人提出的问题。</w:t>
      </w:r>
    </w:p>
    <w:p w14:paraId="493B5FF3">
      <w:pPr>
        <w:autoSpaceDE w:val="0"/>
        <w:autoSpaceDN w:val="0"/>
        <w:adjustRightInd w:val="0"/>
        <w:snapToGrid w:val="0"/>
        <w:spacing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1.1</w:t>
      </w:r>
      <w:r>
        <w:rPr>
          <w:rFonts w:hint="eastAsia" w:ascii="宋体" w:hAnsi="宋体" w:cs="楷体_GB2312"/>
          <w:color w:val="auto"/>
          <w:sz w:val="24"/>
          <w:highlight w:val="none"/>
          <w:lang w:val="zh-CN"/>
        </w:rPr>
        <w:t>1</w:t>
      </w:r>
      <w:r>
        <w:rPr>
          <w:rFonts w:ascii="宋体" w:hAnsi="宋体" w:cs="楷体_GB2312"/>
          <w:color w:val="auto"/>
          <w:sz w:val="24"/>
          <w:highlight w:val="none"/>
          <w:lang w:val="zh-CN"/>
        </w:rPr>
        <w:t xml:space="preserve">.2 </w:t>
      </w:r>
      <w:r>
        <w:rPr>
          <w:rFonts w:hint="eastAsia" w:ascii="宋体" w:hAnsi="宋体" w:cs="楷体_GB2312"/>
          <w:color w:val="auto"/>
          <w:sz w:val="24"/>
          <w:highlight w:val="none"/>
          <w:lang w:val="zh-CN"/>
        </w:rPr>
        <w:t>投标人应在投标人须知前附表规定的时间前，以书面形式将提出的问题送达采购人及代理机构，以便采购人及代理机构在会议期间澄清。</w:t>
      </w:r>
    </w:p>
    <w:p w14:paraId="7F598AA2">
      <w:pPr>
        <w:autoSpaceDE w:val="0"/>
        <w:autoSpaceDN w:val="0"/>
        <w:adjustRightInd w:val="0"/>
        <w:snapToGrid w:val="0"/>
        <w:spacing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1.1</w:t>
      </w:r>
      <w:r>
        <w:rPr>
          <w:rFonts w:hint="eastAsia" w:ascii="宋体" w:hAnsi="宋体" w:cs="楷体_GB2312"/>
          <w:color w:val="auto"/>
          <w:sz w:val="24"/>
          <w:highlight w:val="none"/>
          <w:lang w:val="zh-CN"/>
        </w:rPr>
        <w:t>1</w:t>
      </w:r>
      <w:r>
        <w:rPr>
          <w:rFonts w:ascii="宋体" w:hAnsi="宋体" w:cs="楷体_GB2312"/>
          <w:color w:val="auto"/>
          <w:sz w:val="24"/>
          <w:highlight w:val="none"/>
          <w:lang w:val="zh-CN"/>
        </w:rPr>
        <w:t xml:space="preserve">.3 </w:t>
      </w:r>
      <w:r>
        <w:rPr>
          <w:rFonts w:hint="eastAsia" w:ascii="宋体" w:hAnsi="宋体" w:cs="楷体_GB2312"/>
          <w:color w:val="auto"/>
          <w:sz w:val="24"/>
          <w:highlight w:val="none"/>
          <w:lang w:val="zh-CN"/>
        </w:rPr>
        <w:t>投标预备会后，采购人及代理机构在投标人须知前附表规定的时间内，将对投标人所提问题的澄清，以本章</w:t>
      </w:r>
      <w:r>
        <w:rPr>
          <w:rFonts w:ascii="宋体" w:hAnsi="宋体" w:cs="楷体_GB2312"/>
          <w:color w:val="auto"/>
          <w:sz w:val="24"/>
          <w:highlight w:val="none"/>
          <w:lang w:val="zh-CN"/>
        </w:rPr>
        <w:t>2.3.2</w:t>
      </w:r>
      <w:r>
        <w:rPr>
          <w:rFonts w:hint="eastAsia" w:ascii="宋体" w:hAnsi="宋体" w:cs="楷体_GB2312"/>
          <w:color w:val="auto"/>
          <w:sz w:val="24"/>
          <w:highlight w:val="none"/>
          <w:lang w:val="zh-CN"/>
        </w:rPr>
        <w:t>项方式通告潜在投标人。该澄清内容为谈判文件的组成部分。</w:t>
      </w:r>
    </w:p>
    <w:p w14:paraId="44DFD9AC">
      <w:pPr>
        <w:autoSpaceDE w:val="0"/>
        <w:autoSpaceDN w:val="0"/>
        <w:adjustRightInd w:val="0"/>
        <w:snapToGrid w:val="0"/>
        <w:spacing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1.1</w:t>
      </w:r>
      <w:r>
        <w:rPr>
          <w:rFonts w:hint="eastAsia" w:ascii="黑体" w:hAnsi="黑体" w:eastAsia="黑体" w:cs="楷体_GB2312"/>
          <w:b/>
          <w:color w:val="auto"/>
          <w:sz w:val="24"/>
          <w:highlight w:val="none"/>
          <w:lang w:val="zh-CN"/>
        </w:rPr>
        <w:t>2 分包</w:t>
      </w:r>
    </w:p>
    <w:p w14:paraId="52CAB9F7">
      <w:pPr>
        <w:autoSpaceDE w:val="0"/>
        <w:autoSpaceDN w:val="0"/>
        <w:adjustRightInd w:val="0"/>
        <w:snapToGrid w:val="0"/>
        <w:spacing w:beforeLines="50" w:line="300" w:lineRule="auto"/>
        <w:ind w:firstLine="539"/>
        <w:rPr>
          <w:rFonts w:ascii="宋体" w:hAnsi="宋体" w:cs="楷体_GB2312"/>
          <w:color w:val="auto"/>
          <w:sz w:val="24"/>
          <w:highlight w:val="none"/>
          <w:lang w:val="zh-CN"/>
        </w:rPr>
      </w:pPr>
      <w:r>
        <w:rPr>
          <w:rFonts w:hint="eastAsia" w:ascii="宋体" w:hAnsi="宋体" w:cs="楷体_GB2312"/>
          <w:color w:val="auto"/>
          <w:sz w:val="24"/>
          <w:highlight w:val="none"/>
          <w:lang w:val="zh-CN"/>
        </w:rPr>
        <w:t>投标人拟在成交后将成交项目</w:t>
      </w:r>
      <w:r>
        <w:rPr>
          <w:rFonts w:ascii="宋体" w:hAnsi="宋体" w:cs="楷体_GB2312"/>
          <w:color w:val="auto"/>
          <w:sz w:val="24"/>
          <w:highlight w:val="none"/>
          <w:lang w:val="zh-CN"/>
        </w:rPr>
        <w:t>(</w:t>
      </w:r>
      <w:r>
        <w:rPr>
          <w:rFonts w:hint="eastAsia" w:ascii="宋体" w:hAnsi="宋体" w:cs="楷体_GB2312"/>
          <w:color w:val="auto"/>
          <w:sz w:val="24"/>
          <w:highlight w:val="none"/>
          <w:lang w:val="zh-CN"/>
        </w:rPr>
        <w:t>标段&lt;包&gt;</w:t>
      </w:r>
      <w:r>
        <w:rPr>
          <w:rFonts w:ascii="宋体" w:hAnsi="宋体" w:cs="楷体_GB2312"/>
          <w:color w:val="auto"/>
          <w:sz w:val="24"/>
          <w:highlight w:val="none"/>
          <w:lang w:val="zh-CN"/>
        </w:rPr>
        <w:t>)</w:t>
      </w:r>
      <w:r>
        <w:rPr>
          <w:rFonts w:hint="eastAsia" w:ascii="宋体" w:hAnsi="宋体" w:cs="楷体_GB2312"/>
          <w:color w:val="auto"/>
          <w:sz w:val="24"/>
          <w:highlight w:val="none"/>
          <w:lang w:val="zh-CN"/>
        </w:rPr>
        <w:t>的部分非主体、非关键性工作进行分包的，应符合投标人须知前附表规定的分包内容、分包金额和接受分包的第三人资质要求等限制性条件。</w:t>
      </w:r>
    </w:p>
    <w:p w14:paraId="0EB46E4E">
      <w:pPr>
        <w:autoSpaceDE w:val="0"/>
        <w:autoSpaceDN w:val="0"/>
        <w:adjustRightInd w:val="0"/>
        <w:snapToGrid w:val="0"/>
        <w:spacing w:beforeLines="50" w:line="300" w:lineRule="auto"/>
        <w:ind w:firstLine="539"/>
        <w:rPr>
          <w:rFonts w:ascii="宋体" w:hAnsi="宋体"/>
          <w:color w:val="auto"/>
          <w:sz w:val="24"/>
          <w:szCs w:val="24"/>
          <w:highlight w:val="none"/>
        </w:rPr>
      </w:pPr>
      <w:r>
        <w:rPr>
          <w:rFonts w:hint="eastAsia" w:ascii="宋体" w:hAnsi="宋体" w:cs="楷体_GB2312"/>
          <w:color w:val="auto"/>
          <w:sz w:val="24"/>
          <w:highlight w:val="none"/>
          <w:lang w:val="zh-CN"/>
        </w:rPr>
        <w:t>预留中小企业份额项目中，</w:t>
      </w:r>
      <w:r>
        <w:rPr>
          <w:rFonts w:hint="eastAsia" w:ascii="宋体" w:hAnsi="宋体"/>
          <w:color w:val="auto"/>
          <w:sz w:val="24"/>
          <w:szCs w:val="24"/>
          <w:highlight w:val="none"/>
        </w:rPr>
        <w:t>接受分包合同的中小企业与分包企业之间不得存在直接控股、管理关系。</w:t>
      </w:r>
    </w:p>
    <w:p w14:paraId="09821A67">
      <w:pPr>
        <w:autoSpaceDE w:val="0"/>
        <w:autoSpaceDN w:val="0"/>
        <w:adjustRightInd w:val="0"/>
        <w:snapToGrid w:val="0"/>
        <w:spacing w:beforeLines="50" w:line="300" w:lineRule="auto"/>
        <w:ind w:firstLine="539"/>
        <w:rPr>
          <w:rFonts w:ascii="宋体" w:cs="楷体_GB2312"/>
          <w:color w:val="auto"/>
          <w:sz w:val="24"/>
          <w:highlight w:val="none"/>
        </w:rPr>
      </w:pPr>
      <w:r>
        <w:rPr>
          <w:rFonts w:hint="eastAsia" w:ascii="宋体" w:cs="楷体_GB2312"/>
          <w:color w:val="auto"/>
          <w:sz w:val="24"/>
          <w:highlight w:val="none"/>
        </w:rPr>
        <w:t>依法享受扶持政策获得政府采购合同的，小微企业不得将合同分包给大中型企业，中型企业不得将合同分包给大型企业。</w:t>
      </w:r>
    </w:p>
    <w:p w14:paraId="0E516549">
      <w:pPr>
        <w:autoSpaceDE w:val="0"/>
        <w:autoSpaceDN w:val="0"/>
        <w:adjustRightInd w:val="0"/>
        <w:snapToGrid w:val="0"/>
        <w:spacing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1.1</w:t>
      </w:r>
      <w:r>
        <w:rPr>
          <w:rFonts w:hint="eastAsia" w:ascii="黑体" w:hAnsi="黑体" w:eastAsia="黑体" w:cs="楷体_GB2312"/>
          <w:b/>
          <w:color w:val="auto"/>
          <w:sz w:val="24"/>
          <w:highlight w:val="none"/>
          <w:lang w:val="zh-CN"/>
        </w:rPr>
        <w:t>3 偏离</w:t>
      </w:r>
    </w:p>
    <w:p w14:paraId="14020994">
      <w:pPr>
        <w:autoSpaceDE w:val="0"/>
        <w:autoSpaceDN w:val="0"/>
        <w:adjustRightInd w:val="0"/>
        <w:snapToGrid w:val="0"/>
        <w:spacing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谈判文件允许投标文件偏离谈判文件某些要求的，偏离应当符合谈判文件规定的偏离范围和幅度。</w:t>
      </w:r>
    </w:p>
    <w:p w14:paraId="243D0D8E">
      <w:pPr>
        <w:autoSpaceDE w:val="0"/>
        <w:autoSpaceDN w:val="0"/>
        <w:adjustRightInd w:val="0"/>
        <w:snapToGrid w:val="0"/>
        <w:spacing w:beforeLines="50" w:line="300" w:lineRule="auto"/>
        <w:ind w:firstLine="539"/>
        <w:rPr>
          <w:rFonts w:ascii="黑体" w:hAnsi="黑体" w:eastAsia="黑体" w:cs="楷体_GB2312"/>
          <w:b/>
          <w:bCs/>
          <w:color w:val="auto"/>
          <w:sz w:val="28"/>
          <w:szCs w:val="28"/>
          <w:highlight w:val="none"/>
          <w:lang w:val="zh-CN"/>
        </w:rPr>
      </w:pPr>
    </w:p>
    <w:p w14:paraId="55B530DC">
      <w:pPr>
        <w:autoSpaceDE w:val="0"/>
        <w:autoSpaceDN w:val="0"/>
        <w:adjustRightInd w:val="0"/>
        <w:snapToGrid w:val="0"/>
        <w:spacing w:beforeLines="50" w:line="300" w:lineRule="auto"/>
        <w:ind w:firstLine="539"/>
        <w:outlineLvl w:val="1"/>
        <w:rPr>
          <w:rFonts w:ascii="黑体" w:hAnsi="黑体" w:eastAsia="黑体" w:cs="楷体_GB2312"/>
          <w:b/>
          <w:bCs/>
          <w:color w:val="auto"/>
          <w:sz w:val="28"/>
          <w:szCs w:val="28"/>
          <w:highlight w:val="none"/>
          <w:lang w:val="zh-CN"/>
        </w:rPr>
      </w:pPr>
      <w:bookmarkStart w:id="27" w:name="_Toc209083631"/>
      <w:r>
        <w:rPr>
          <w:rFonts w:ascii="黑体" w:hAnsi="黑体" w:eastAsia="黑体" w:cs="楷体_GB2312"/>
          <w:b/>
          <w:bCs/>
          <w:color w:val="auto"/>
          <w:sz w:val="28"/>
          <w:szCs w:val="28"/>
          <w:highlight w:val="none"/>
          <w:lang w:val="zh-CN"/>
        </w:rPr>
        <w:t xml:space="preserve">2. </w:t>
      </w:r>
      <w:r>
        <w:rPr>
          <w:rFonts w:hint="eastAsia" w:ascii="黑体" w:hAnsi="黑体" w:eastAsia="黑体" w:cs="楷体_GB2312"/>
          <w:b/>
          <w:bCs/>
          <w:color w:val="auto"/>
          <w:sz w:val="28"/>
          <w:szCs w:val="28"/>
          <w:highlight w:val="none"/>
          <w:lang w:val="zh-CN"/>
        </w:rPr>
        <w:t>谈判文件</w:t>
      </w:r>
      <w:bookmarkEnd w:id="27"/>
    </w:p>
    <w:p w14:paraId="769A1B22">
      <w:pPr>
        <w:autoSpaceDE w:val="0"/>
        <w:autoSpaceDN w:val="0"/>
        <w:adjustRightInd w:val="0"/>
        <w:snapToGrid w:val="0"/>
        <w:spacing w:beforeLines="50" w:line="300" w:lineRule="auto"/>
        <w:ind w:firstLine="539"/>
        <w:rPr>
          <w:rFonts w:ascii="宋体" w:cs="楷体_GB2312"/>
          <w:color w:val="auto"/>
          <w:sz w:val="24"/>
          <w:highlight w:val="none"/>
          <w:lang w:val="zh-CN"/>
        </w:rPr>
      </w:pPr>
      <w:r>
        <w:rPr>
          <w:rFonts w:ascii="黑体" w:hAnsi="黑体" w:eastAsia="黑体" w:cs="楷体_GB2312"/>
          <w:b/>
          <w:color w:val="auto"/>
          <w:sz w:val="24"/>
          <w:highlight w:val="none"/>
          <w:lang w:val="zh-CN"/>
        </w:rPr>
        <w:t>2.1</w:t>
      </w:r>
      <w:r>
        <w:rPr>
          <w:rFonts w:hint="eastAsia" w:ascii="黑体" w:hAnsi="黑体" w:eastAsia="黑体" w:cs="楷体_GB2312"/>
          <w:b/>
          <w:color w:val="auto"/>
          <w:sz w:val="24"/>
          <w:highlight w:val="none"/>
          <w:lang w:val="zh-CN"/>
        </w:rPr>
        <w:t>谈判文件的组成</w:t>
      </w:r>
      <w:r>
        <w:rPr>
          <w:rFonts w:hint="eastAsia" w:ascii="宋体" w:hAnsi="宋体" w:cs="楷体_GB2312"/>
          <w:color w:val="auto"/>
          <w:sz w:val="24"/>
          <w:highlight w:val="none"/>
          <w:lang w:val="zh-CN"/>
        </w:rPr>
        <w:t>：</w:t>
      </w:r>
    </w:p>
    <w:p w14:paraId="07C0F26C">
      <w:pPr>
        <w:autoSpaceDE w:val="0"/>
        <w:autoSpaceDN w:val="0"/>
        <w:adjustRightInd w:val="0"/>
        <w:snapToGrid w:val="0"/>
        <w:spacing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2.1.1 </w:t>
      </w:r>
      <w:r>
        <w:rPr>
          <w:rFonts w:hint="eastAsia" w:ascii="宋体" w:hAnsi="宋体" w:cs="楷体_GB2312"/>
          <w:color w:val="auto"/>
          <w:sz w:val="24"/>
          <w:highlight w:val="none"/>
          <w:lang w:val="zh-CN"/>
        </w:rPr>
        <w:t>谈判文件用以阐明采购项目的内容、程序和合同主要条款。谈判文件由下述部分组成：</w:t>
      </w:r>
    </w:p>
    <w:p w14:paraId="0F00D0C6">
      <w:pPr>
        <w:autoSpaceDE w:val="0"/>
        <w:autoSpaceDN w:val="0"/>
        <w:adjustRightInd w:val="0"/>
        <w:snapToGrid w:val="0"/>
        <w:spacing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）谈判公告</w:t>
      </w:r>
    </w:p>
    <w:p w14:paraId="046EF1BF">
      <w:pPr>
        <w:autoSpaceDE w:val="0"/>
        <w:autoSpaceDN w:val="0"/>
        <w:adjustRightInd w:val="0"/>
        <w:snapToGrid w:val="0"/>
        <w:spacing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2</w:t>
      </w:r>
      <w:r>
        <w:rPr>
          <w:rFonts w:hint="eastAsia" w:ascii="宋体" w:hAnsi="宋体" w:cs="楷体_GB2312"/>
          <w:color w:val="auto"/>
          <w:sz w:val="24"/>
          <w:highlight w:val="none"/>
          <w:lang w:val="zh-CN"/>
        </w:rPr>
        <w:t>）采购项目及技术、服务要求</w:t>
      </w:r>
    </w:p>
    <w:p w14:paraId="2283DC23">
      <w:pPr>
        <w:autoSpaceDE w:val="0"/>
        <w:autoSpaceDN w:val="0"/>
        <w:adjustRightInd w:val="0"/>
        <w:snapToGrid w:val="0"/>
        <w:spacing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3</w:t>
      </w:r>
      <w:r>
        <w:rPr>
          <w:rFonts w:hint="eastAsia" w:ascii="宋体" w:hAnsi="宋体" w:cs="楷体_GB2312"/>
          <w:color w:val="auto"/>
          <w:sz w:val="24"/>
          <w:highlight w:val="none"/>
          <w:lang w:val="zh-CN"/>
        </w:rPr>
        <w:t>）投标人须知</w:t>
      </w:r>
    </w:p>
    <w:p w14:paraId="24839BD8">
      <w:pPr>
        <w:autoSpaceDE w:val="0"/>
        <w:autoSpaceDN w:val="0"/>
        <w:adjustRightInd w:val="0"/>
        <w:snapToGrid w:val="0"/>
        <w:spacing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4</w:t>
      </w:r>
      <w:r>
        <w:rPr>
          <w:rFonts w:hint="eastAsia" w:ascii="宋体" w:hAnsi="宋体" w:cs="楷体_GB2312"/>
          <w:color w:val="auto"/>
          <w:sz w:val="24"/>
          <w:highlight w:val="none"/>
          <w:lang w:val="zh-CN"/>
        </w:rPr>
        <w:t>）评审办法</w:t>
      </w:r>
    </w:p>
    <w:p w14:paraId="6D1465EA">
      <w:pPr>
        <w:autoSpaceDE w:val="0"/>
        <w:autoSpaceDN w:val="0"/>
        <w:adjustRightInd w:val="0"/>
        <w:snapToGrid w:val="0"/>
        <w:spacing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5</w:t>
      </w:r>
      <w:r>
        <w:rPr>
          <w:rFonts w:hint="eastAsia" w:ascii="宋体" w:hAnsi="宋体" w:cs="楷体_GB2312"/>
          <w:color w:val="auto"/>
          <w:sz w:val="24"/>
          <w:highlight w:val="none"/>
          <w:lang w:val="zh-CN"/>
        </w:rPr>
        <w:t>）合同主要条款</w:t>
      </w:r>
    </w:p>
    <w:p w14:paraId="02DDFB38">
      <w:pPr>
        <w:autoSpaceDE w:val="0"/>
        <w:autoSpaceDN w:val="0"/>
        <w:adjustRightInd w:val="0"/>
        <w:snapToGrid w:val="0"/>
        <w:spacing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6</w:t>
      </w:r>
      <w:r>
        <w:rPr>
          <w:rFonts w:hint="eastAsia" w:ascii="宋体" w:hAnsi="宋体" w:cs="楷体_GB2312"/>
          <w:color w:val="auto"/>
          <w:sz w:val="24"/>
          <w:highlight w:val="none"/>
          <w:lang w:val="zh-CN"/>
        </w:rPr>
        <w:t>）投标文件格式</w:t>
      </w:r>
    </w:p>
    <w:p w14:paraId="610B1B7C">
      <w:pPr>
        <w:autoSpaceDE w:val="0"/>
        <w:autoSpaceDN w:val="0"/>
        <w:adjustRightInd w:val="0"/>
        <w:snapToGrid w:val="0"/>
        <w:spacing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2.1.2 </w:t>
      </w:r>
      <w:r>
        <w:rPr>
          <w:rFonts w:hint="eastAsia" w:ascii="宋体" w:hAnsi="宋体" w:cs="楷体_GB2312"/>
          <w:color w:val="auto"/>
          <w:sz w:val="24"/>
          <w:highlight w:val="none"/>
          <w:lang w:val="zh-CN"/>
        </w:rPr>
        <w:t>根据本章第</w:t>
      </w:r>
      <w:r>
        <w:rPr>
          <w:rFonts w:ascii="宋体" w:hAnsi="宋体" w:cs="楷体_GB2312"/>
          <w:color w:val="auto"/>
          <w:sz w:val="24"/>
          <w:highlight w:val="none"/>
          <w:lang w:val="zh-CN"/>
        </w:rPr>
        <w:t>1.1</w:t>
      </w:r>
      <w:r>
        <w:rPr>
          <w:rFonts w:hint="eastAsia" w:ascii="宋体" w:hAnsi="宋体" w:cs="楷体_GB2312"/>
          <w:color w:val="auto"/>
          <w:sz w:val="24"/>
          <w:highlight w:val="none"/>
          <w:lang w:val="zh-CN"/>
        </w:rPr>
        <w:t>1款、第</w:t>
      </w:r>
      <w:r>
        <w:rPr>
          <w:rFonts w:ascii="宋体" w:hAnsi="宋体" w:cs="楷体_GB2312"/>
          <w:color w:val="auto"/>
          <w:sz w:val="24"/>
          <w:highlight w:val="none"/>
          <w:lang w:val="zh-CN"/>
        </w:rPr>
        <w:t>2.2</w:t>
      </w:r>
      <w:r>
        <w:rPr>
          <w:rFonts w:hint="eastAsia" w:ascii="宋体" w:hAnsi="宋体" w:cs="楷体_GB2312"/>
          <w:color w:val="auto"/>
          <w:sz w:val="24"/>
          <w:highlight w:val="none"/>
          <w:lang w:val="zh-CN"/>
        </w:rPr>
        <w:t>款和第</w:t>
      </w:r>
      <w:r>
        <w:rPr>
          <w:rFonts w:ascii="宋体" w:hAnsi="宋体" w:cs="楷体_GB2312"/>
          <w:color w:val="auto"/>
          <w:sz w:val="24"/>
          <w:highlight w:val="none"/>
          <w:lang w:val="zh-CN"/>
        </w:rPr>
        <w:t>2.3</w:t>
      </w:r>
      <w:r>
        <w:rPr>
          <w:rFonts w:hint="eastAsia" w:ascii="宋体" w:hAnsi="宋体" w:cs="楷体_GB2312"/>
          <w:color w:val="auto"/>
          <w:sz w:val="24"/>
          <w:highlight w:val="none"/>
          <w:lang w:val="zh-CN"/>
        </w:rPr>
        <w:t>款、对谈判文件的澄清、修改、补充书构成谈判文件的组成部分，并取代谈判文件中被澄清、修改处，对所有投标人均有约束力。</w:t>
      </w:r>
    </w:p>
    <w:p w14:paraId="2C171156">
      <w:pPr>
        <w:autoSpaceDE w:val="0"/>
        <w:autoSpaceDN w:val="0"/>
        <w:adjustRightInd w:val="0"/>
        <w:snapToGrid w:val="0"/>
        <w:spacing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2.1.3 </w:t>
      </w:r>
      <w:r>
        <w:rPr>
          <w:rFonts w:hint="eastAsia" w:ascii="宋体" w:hAnsi="宋体" w:cs="楷体_GB2312"/>
          <w:color w:val="auto"/>
          <w:sz w:val="24"/>
          <w:highlight w:val="none"/>
          <w:lang w:val="zh-CN"/>
        </w:rPr>
        <w:t>当谈判文件、谈判文件的澄清、修改、补充等在同一内容的表述上不一致时，以最后发出（发布）的文件为准。</w:t>
      </w:r>
    </w:p>
    <w:p w14:paraId="04C33EF0">
      <w:pPr>
        <w:autoSpaceDE w:val="0"/>
        <w:autoSpaceDN w:val="0"/>
        <w:adjustRightInd w:val="0"/>
        <w:snapToGrid w:val="0"/>
        <w:spacing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2.1.4 </w:t>
      </w:r>
      <w:r>
        <w:rPr>
          <w:rFonts w:hint="eastAsia" w:ascii="宋体" w:hAnsi="宋体" w:cs="楷体_GB2312"/>
          <w:color w:val="auto"/>
          <w:sz w:val="24"/>
          <w:highlight w:val="none"/>
          <w:lang w:val="zh-CN"/>
        </w:rPr>
        <w:t>投标人与任何人的口头协议不影响《谈判文件》的任何条款和内容。</w:t>
      </w:r>
    </w:p>
    <w:p w14:paraId="73F5EDBF">
      <w:pPr>
        <w:autoSpaceDE w:val="0"/>
        <w:autoSpaceDN w:val="0"/>
        <w:adjustRightInd w:val="0"/>
        <w:snapToGrid w:val="0"/>
        <w:spacing w:beforeLines="50" w:line="300" w:lineRule="auto"/>
        <w:ind w:firstLine="539"/>
        <w:rPr>
          <w:rFonts w:ascii="宋体" w:cs="楷体_GB2312"/>
          <w:color w:val="auto"/>
          <w:sz w:val="24"/>
          <w:highlight w:val="none"/>
        </w:rPr>
      </w:pPr>
      <w:r>
        <w:rPr>
          <w:rFonts w:ascii="宋体" w:hAnsi="宋体" w:cs="楷体_GB2312"/>
          <w:color w:val="auto"/>
          <w:sz w:val="24"/>
          <w:highlight w:val="none"/>
        </w:rPr>
        <w:t xml:space="preserve">2.1.5 </w:t>
      </w:r>
      <w:r>
        <w:rPr>
          <w:rFonts w:hint="eastAsia" w:ascii="宋体" w:hAnsi="宋体" w:cs="楷体_GB2312"/>
          <w:color w:val="auto"/>
          <w:sz w:val="24"/>
          <w:highlight w:val="none"/>
        </w:rPr>
        <w:t>投标人应仔细阅读和检查谈判文件的全部内容是否齐全，如发现缺页或附件不全等遗漏，应及时向采购代理机构提出并索取补齐，否则责任及风险自负。</w:t>
      </w:r>
    </w:p>
    <w:p w14:paraId="09E52B63">
      <w:pPr>
        <w:autoSpaceDE w:val="0"/>
        <w:autoSpaceDN w:val="0"/>
        <w:adjustRightInd w:val="0"/>
        <w:snapToGrid w:val="0"/>
        <w:spacing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2.2 </w:t>
      </w:r>
      <w:r>
        <w:rPr>
          <w:rFonts w:hint="eastAsia" w:ascii="黑体" w:hAnsi="黑体" w:eastAsia="黑体" w:cs="楷体_GB2312"/>
          <w:b/>
          <w:color w:val="auto"/>
          <w:sz w:val="24"/>
          <w:highlight w:val="none"/>
          <w:lang w:val="zh-CN"/>
        </w:rPr>
        <w:t>谈判文件的澄清</w:t>
      </w:r>
    </w:p>
    <w:p w14:paraId="09E68C7F">
      <w:pPr>
        <w:autoSpaceDE w:val="0"/>
        <w:autoSpaceDN w:val="0"/>
        <w:adjustRightInd w:val="0"/>
        <w:snapToGrid w:val="0"/>
        <w:spacing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2.2.1 </w:t>
      </w:r>
      <w:r>
        <w:rPr>
          <w:rFonts w:hint="eastAsia" w:ascii="宋体" w:hAnsi="宋体" w:cs="楷体_GB2312"/>
          <w:color w:val="auto"/>
          <w:sz w:val="24"/>
          <w:highlight w:val="none"/>
          <w:lang w:val="zh-CN"/>
        </w:rPr>
        <w:t>合规获取谈判文件的所有潜在投标人对谈判文件如有需澄清的疑问，应在投标人须知前附表规定的时间内按谈判公告中载明的地址以纸质书面形式通知到采购代理机构。在规定的时间内未提出疑问的，将视为对谈判文件的完全认可。</w:t>
      </w:r>
    </w:p>
    <w:p w14:paraId="503F0A8E">
      <w:pPr>
        <w:autoSpaceDE w:val="0"/>
        <w:autoSpaceDN w:val="0"/>
        <w:adjustRightInd w:val="0"/>
        <w:snapToGrid w:val="0"/>
        <w:spacing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2.2.2 </w:t>
      </w:r>
      <w:r>
        <w:rPr>
          <w:rFonts w:hint="eastAsia" w:ascii="宋体" w:hAnsi="宋体" w:cs="楷体_GB2312"/>
          <w:color w:val="auto"/>
          <w:sz w:val="24"/>
          <w:highlight w:val="none"/>
          <w:lang w:val="zh-CN"/>
        </w:rPr>
        <w:t>采购代理机构对潜在投标人在规定的时间内提出的疑问，将视情况以书面形式予以答复，并在其认为必要时，将不标明查询来源的书面答复，在“谈判公告”所述媒体通告所有潜在投标人。</w:t>
      </w:r>
    </w:p>
    <w:p w14:paraId="1C6C4B42">
      <w:pPr>
        <w:autoSpaceDE w:val="0"/>
        <w:autoSpaceDN w:val="0"/>
        <w:adjustRightInd w:val="0"/>
        <w:snapToGrid w:val="0"/>
        <w:spacing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2.2.3 </w:t>
      </w:r>
      <w:r>
        <w:rPr>
          <w:rFonts w:hint="eastAsia" w:ascii="宋体" w:hAnsi="宋体" w:cs="楷体_GB2312"/>
          <w:color w:val="auto"/>
          <w:sz w:val="24"/>
          <w:highlight w:val="none"/>
          <w:lang w:val="zh-CN"/>
        </w:rPr>
        <w:t>谈判文件中如有不符合国家有关强制性规定、不符合国家标准及行业标准的，投标人应在投标阶段或成交实施阶段予以纠正或尽提醒义务。如作为有经验的投标人（成交供应商）应当知道而未尽提醒义务的，执行指令而造成的损失及风险由投标人（成交供应商）承担。</w:t>
      </w:r>
    </w:p>
    <w:p w14:paraId="30A6109D">
      <w:pPr>
        <w:adjustRightInd w:val="0"/>
        <w:snapToGrid w:val="0"/>
        <w:spacing w:beforeLines="50" w:line="300" w:lineRule="auto"/>
        <w:ind w:firstLine="480" w:firstLineChars="200"/>
        <w:jc w:val="left"/>
        <w:rPr>
          <w:rFonts w:ascii="宋体" w:hAnsi="宋体" w:cs="楷体_GB2312"/>
          <w:color w:val="auto"/>
          <w:sz w:val="24"/>
          <w:highlight w:val="none"/>
          <w:lang w:val="zh-CN"/>
        </w:rPr>
      </w:pPr>
      <w:r>
        <w:rPr>
          <w:rFonts w:ascii="宋体" w:hAnsi="宋体" w:cs="楷体_GB2312"/>
          <w:color w:val="auto"/>
          <w:sz w:val="24"/>
          <w:highlight w:val="none"/>
          <w:lang w:val="zh-CN"/>
        </w:rPr>
        <w:t>2.2.4</w:t>
      </w:r>
      <w:r>
        <w:rPr>
          <w:rFonts w:hint="eastAsia" w:ascii="宋体" w:hAnsi="宋体" w:cs="楷体_GB2312"/>
          <w:color w:val="auto"/>
          <w:sz w:val="24"/>
          <w:highlight w:val="none"/>
          <w:lang w:val="zh-CN"/>
        </w:rPr>
        <w:t>采购代理机构可视情况在投标截止前答疑。</w:t>
      </w:r>
    </w:p>
    <w:p w14:paraId="6B0FBE8A">
      <w:pPr>
        <w:autoSpaceDE w:val="0"/>
        <w:autoSpaceDN w:val="0"/>
        <w:adjustRightInd w:val="0"/>
        <w:snapToGrid w:val="0"/>
        <w:spacing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2.3 </w:t>
      </w:r>
      <w:r>
        <w:rPr>
          <w:rFonts w:hint="eastAsia" w:ascii="黑体" w:hAnsi="黑体" w:eastAsia="黑体" w:cs="楷体_GB2312"/>
          <w:b/>
          <w:color w:val="auto"/>
          <w:sz w:val="24"/>
          <w:highlight w:val="none"/>
          <w:lang w:val="zh-CN"/>
        </w:rPr>
        <w:t>谈判文件的澄清、修改、补充</w:t>
      </w:r>
    </w:p>
    <w:p w14:paraId="2A7E68CA">
      <w:pPr>
        <w:autoSpaceDE w:val="0"/>
        <w:autoSpaceDN w:val="0"/>
        <w:adjustRightInd w:val="0"/>
        <w:snapToGrid w:val="0"/>
        <w:spacing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2.3.1 </w:t>
      </w:r>
      <w:r>
        <w:rPr>
          <w:rFonts w:hint="eastAsia" w:ascii="宋体" w:hAnsi="宋体" w:cs="楷体_GB2312"/>
          <w:color w:val="auto"/>
          <w:sz w:val="24"/>
          <w:highlight w:val="none"/>
          <w:lang w:val="zh-CN"/>
        </w:rPr>
        <w:t>采购人、代理机构在投标截止时间前有权澄清修改、补充已发售的谈判文件。</w:t>
      </w:r>
    </w:p>
    <w:p w14:paraId="5270BBDF">
      <w:pPr>
        <w:autoSpaceDE w:val="0"/>
        <w:autoSpaceDN w:val="0"/>
        <w:adjustRightInd w:val="0"/>
        <w:snapToGrid w:val="0"/>
        <w:spacing w:beforeLines="50" w:line="300" w:lineRule="auto"/>
        <w:ind w:firstLine="539"/>
        <w:rPr>
          <w:rFonts w:ascii="宋体" w:hAnsi="宋体"/>
          <w:color w:val="auto"/>
          <w:sz w:val="24"/>
          <w:highlight w:val="none"/>
        </w:rPr>
      </w:pPr>
      <w:r>
        <w:rPr>
          <w:rFonts w:ascii="宋体" w:hAnsi="宋体" w:cs="楷体_GB2312"/>
          <w:color w:val="auto"/>
          <w:sz w:val="24"/>
          <w:highlight w:val="none"/>
          <w:lang w:val="zh-CN"/>
        </w:rPr>
        <w:t>2.3.</w:t>
      </w:r>
      <w:r>
        <w:rPr>
          <w:rFonts w:ascii="宋体" w:hAnsi="宋体"/>
          <w:color w:val="auto"/>
          <w:sz w:val="24"/>
          <w:highlight w:val="none"/>
        </w:rPr>
        <w:t xml:space="preserve">2 </w:t>
      </w:r>
      <w:r>
        <w:rPr>
          <w:rFonts w:hint="eastAsia" w:ascii="宋体" w:hAnsi="宋体"/>
          <w:color w:val="auto"/>
          <w:sz w:val="24"/>
          <w:highlight w:val="none"/>
        </w:rPr>
        <w:t>谈判过程中对谈判文件的变动见第四章评审办法</w:t>
      </w:r>
      <w:r>
        <w:rPr>
          <w:rFonts w:ascii="宋体" w:hAnsi="宋体"/>
          <w:color w:val="auto"/>
          <w:sz w:val="24"/>
          <w:highlight w:val="none"/>
        </w:rPr>
        <w:t>3.5</w:t>
      </w:r>
      <w:r>
        <w:rPr>
          <w:rFonts w:hint="eastAsia" w:ascii="宋体" w:hAnsi="宋体"/>
          <w:color w:val="auto"/>
          <w:sz w:val="24"/>
          <w:highlight w:val="none"/>
        </w:rPr>
        <w:t>款谈判规则。</w:t>
      </w:r>
    </w:p>
    <w:p w14:paraId="06CE5A22">
      <w:pPr>
        <w:autoSpaceDE w:val="0"/>
        <w:autoSpaceDN w:val="0"/>
        <w:adjustRightInd w:val="0"/>
        <w:snapToGrid w:val="0"/>
        <w:spacing w:beforeLines="50" w:line="300" w:lineRule="auto"/>
        <w:ind w:firstLine="539"/>
        <w:rPr>
          <w:rFonts w:ascii="宋体" w:cs="楷体_GB2312"/>
          <w:color w:val="auto"/>
          <w:sz w:val="24"/>
          <w:highlight w:val="none"/>
          <w:lang w:val="zh-CN"/>
        </w:rPr>
      </w:pPr>
      <w:r>
        <w:rPr>
          <w:rFonts w:ascii="黑体" w:hAnsi="黑体" w:eastAsia="黑体" w:cs="楷体_GB2312"/>
          <w:b/>
          <w:color w:val="auto"/>
          <w:sz w:val="24"/>
          <w:highlight w:val="none"/>
          <w:lang w:val="zh-CN"/>
        </w:rPr>
        <w:t xml:space="preserve">2.4 </w:t>
      </w:r>
      <w:r>
        <w:rPr>
          <w:rFonts w:hint="eastAsia" w:ascii="黑体" w:hAnsi="黑体" w:eastAsia="黑体" w:cs="楷体_GB2312"/>
          <w:b/>
          <w:color w:val="auto"/>
          <w:sz w:val="24"/>
          <w:highlight w:val="none"/>
          <w:lang w:val="zh-CN"/>
        </w:rPr>
        <w:t>谈判文件的澄清、修改、补充的</w:t>
      </w:r>
      <w:r>
        <w:rPr>
          <w:rFonts w:ascii="黑体" w:hAnsi="黑体" w:eastAsia="黑体" w:cs="楷体_GB2312"/>
          <w:b/>
          <w:color w:val="auto"/>
          <w:sz w:val="24"/>
          <w:highlight w:val="none"/>
          <w:lang w:val="zh-CN"/>
        </w:rPr>
        <w:t>通知</w:t>
      </w:r>
      <w:r>
        <w:rPr>
          <w:rFonts w:hint="eastAsia" w:ascii="黑体" w:hAnsi="黑体" w:eastAsia="黑体" w:cs="楷体_GB2312"/>
          <w:b/>
          <w:color w:val="auto"/>
          <w:sz w:val="24"/>
          <w:highlight w:val="none"/>
          <w:lang w:val="zh-CN"/>
        </w:rPr>
        <w:t>，及</w:t>
      </w:r>
      <w:r>
        <w:rPr>
          <w:rFonts w:ascii="黑体" w:hAnsi="黑体" w:eastAsia="黑体" w:cs="楷体_GB2312"/>
          <w:b/>
          <w:color w:val="auto"/>
          <w:sz w:val="24"/>
          <w:highlight w:val="none"/>
          <w:lang w:val="zh-CN"/>
        </w:rPr>
        <w:t>相应</w:t>
      </w:r>
      <w:r>
        <w:rPr>
          <w:rFonts w:hint="eastAsia" w:ascii="黑体" w:hAnsi="黑体" w:eastAsia="黑体" w:cs="楷体_GB2312"/>
          <w:b/>
          <w:color w:val="auto"/>
          <w:sz w:val="24"/>
          <w:highlight w:val="none"/>
          <w:lang w:val="zh-CN"/>
        </w:rPr>
        <w:t>时间变更</w:t>
      </w:r>
    </w:p>
    <w:p w14:paraId="70E27648">
      <w:pPr>
        <w:autoSpaceDE w:val="0"/>
        <w:autoSpaceDN w:val="0"/>
        <w:adjustRightInd w:val="0"/>
        <w:snapToGrid w:val="0"/>
        <w:spacing w:beforeLines="50" w:line="300" w:lineRule="auto"/>
        <w:ind w:firstLine="539"/>
        <w:rPr>
          <w:rFonts w:ascii="宋体" w:hAnsi="宋体" w:cs="楷体_GB2312"/>
          <w:b/>
          <w:color w:val="auto"/>
          <w:sz w:val="24"/>
          <w:highlight w:val="none"/>
          <w:lang w:val="zh-CN"/>
        </w:rPr>
      </w:pPr>
      <w:r>
        <w:rPr>
          <w:rFonts w:ascii="宋体" w:hAnsi="宋体" w:cs="楷体_GB2312"/>
          <w:color w:val="auto"/>
          <w:sz w:val="24"/>
          <w:highlight w:val="none"/>
          <w:lang w:val="zh-CN"/>
        </w:rPr>
        <w:t xml:space="preserve">2.4.1 </w:t>
      </w:r>
      <w:r>
        <w:rPr>
          <w:rFonts w:hint="eastAsia" w:ascii="宋体" w:hAnsi="宋体" w:cs="楷体_GB2312"/>
          <w:color w:val="auto"/>
          <w:sz w:val="24"/>
          <w:highlight w:val="none"/>
          <w:lang w:val="zh-CN"/>
        </w:rPr>
        <w:t>谈判文件在投标截止时间前的所有澄清、修改（包括时间变更等）、补充事项，均在“谈判公告”所述媒体予以公告。</w:t>
      </w:r>
      <w:r>
        <w:rPr>
          <w:rFonts w:hint="eastAsia" w:ascii="宋体" w:hAnsi="宋体" w:cs="楷体_GB2312"/>
          <w:b/>
          <w:color w:val="auto"/>
          <w:sz w:val="24"/>
          <w:highlight w:val="none"/>
          <w:lang w:val="zh-CN"/>
        </w:rPr>
        <w:t>澄清或修改公告一经在</w:t>
      </w:r>
      <w:r>
        <w:rPr>
          <w:rFonts w:ascii="宋体" w:hAnsi="宋体" w:cs="楷体_GB2312"/>
          <w:b/>
          <w:color w:val="auto"/>
          <w:sz w:val="24"/>
          <w:highlight w:val="none"/>
          <w:lang w:val="zh-CN"/>
        </w:rPr>
        <w:t>法定网</w:t>
      </w:r>
      <w:r>
        <w:rPr>
          <w:rFonts w:hint="eastAsia" w:ascii="宋体" w:hAnsi="宋体" w:cs="楷体_GB2312"/>
          <w:b/>
          <w:color w:val="auto"/>
          <w:sz w:val="24"/>
          <w:highlight w:val="none"/>
          <w:lang w:val="zh-CN"/>
        </w:rPr>
        <w:t>站以</w:t>
      </w:r>
      <w:r>
        <w:rPr>
          <w:rFonts w:ascii="宋体" w:hAnsi="宋体" w:cs="楷体_GB2312"/>
          <w:b/>
          <w:color w:val="auto"/>
          <w:sz w:val="24"/>
          <w:highlight w:val="none"/>
          <w:lang w:val="zh-CN"/>
        </w:rPr>
        <w:t>公</w:t>
      </w:r>
      <w:r>
        <w:rPr>
          <w:rFonts w:hint="eastAsia" w:ascii="宋体" w:hAnsi="宋体" w:cs="楷体_GB2312"/>
          <w:b/>
          <w:color w:val="auto"/>
          <w:sz w:val="24"/>
          <w:highlight w:val="none"/>
          <w:lang w:val="zh-CN"/>
        </w:rPr>
        <w:t>告</w:t>
      </w:r>
      <w:r>
        <w:rPr>
          <w:rFonts w:ascii="宋体" w:hAnsi="宋体" w:cs="楷体_GB2312"/>
          <w:b/>
          <w:color w:val="auto"/>
          <w:sz w:val="24"/>
          <w:highlight w:val="none"/>
          <w:lang w:val="zh-CN"/>
        </w:rPr>
        <w:t>形式</w:t>
      </w:r>
      <w:r>
        <w:rPr>
          <w:rFonts w:hint="eastAsia" w:ascii="宋体" w:hAnsi="宋体" w:cs="楷体_GB2312"/>
          <w:b/>
          <w:color w:val="auto"/>
          <w:sz w:val="24"/>
          <w:highlight w:val="none"/>
          <w:lang w:val="zh-CN"/>
        </w:rPr>
        <w:t>发布，依法视为书面通知，不再另行通知。</w:t>
      </w:r>
    </w:p>
    <w:p w14:paraId="019A92BB">
      <w:pPr>
        <w:autoSpaceDE w:val="0"/>
        <w:autoSpaceDN w:val="0"/>
        <w:adjustRightInd w:val="0"/>
        <w:snapToGrid w:val="0"/>
        <w:spacing w:beforeLines="50" w:line="300" w:lineRule="auto"/>
        <w:ind w:firstLine="539"/>
        <w:rPr>
          <w:rFonts w:ascii="宋体" w:hAnsi="宋体" w:cs="楷体_GB2312"/>
          <w:b/>
          <w:color w:val="auto"/>
          <w:sz w:val="24"/>
          <w:highlight w:val="none"/>
          <w:lang w:val="zh-CN"/>
        </w:rPr>
      </w:pPr>
      <w:r>
        <w:rPr>
          <w:rFonts w:hint="eastAsia" w:ascii="宋体" w:hAnsi="宋体" w:cs="楷体_GB2312"/>
          <w:b/>
          <w:color w:val="auto"/>
          <w:sz w:val="24"/>
          <w:highlight w:val="none"/>
          <w:lang w:val="zh-CN"/>
        </w:rPr>
        <w:t>基于网</w:t>
      </w:r>
      <w:r>
        <w:rPr>
          <w:rFonts w:ascii="宋体" w:hAnsi="宋体" w:cs="楷体_GB2312"/>
          <w:b/>
          <w:color w:val="auto"/>
          <w:sz w:val="24"/>
          <w:highlight w:val="none"/>
          <w:lang w:val="zh-CN"/>
        </w:rPr>
        <w:t>上</w:t>
      </w:r>
      <w:r>
        <w:rPr>
          <w:rFonts w:hint="eastAsia" w:ascii="宋体" w:hAnsi="宋体" w:cs="楷体_GB2312"/>
          <w:b/>
          <w:color w:val="auto"/>
          <w:sz w:val="24"/>
          <w:highlight w:val="none"/>
          <w:lang w:val="zh-CN"/>
        </w:rPr>
        <w:t>电</w:t>
      </w:r>
      <w:r>
        <w:rPr>
          <w:rFonts w:ascii="宋体" w:hAnsi="宋体" w:cs="楷体_GB2312"/>
          <w:b/>
          <w:color w:val="auto"/>
          <w:sz w:val="24"/>
          <w:highlight w:val="none"/>
          <w:lang w:val="zh-CN"/>
        </w:rPr>
        <w:t>子</w:t>
      </w:r>
      <w:r>
        <w:rPr>
          <w:rFonts w:hint="eastAsia" w:ascii="宋体" w:hAnsi="宋体" w:cs="楷体_GB2312"/>
          <w:b/>
          <w:color w:val="auto"/>
          <w:sz w:val="24"/>
          <w:highlight w:val="none"/>
          <w:lang w:val="zh-CN"/>
        </w:rPr>
        <w:t>交易</w:t>
      </w:r>
      <w:r>
        <w:rPr>
          <w:rFonts w:ascii="宋体" w:hAnsi="宋体" w:cs="楷体_GB2312"/>
          <w:b/>
          <w:color w:val="auto"/>
          <w:sz w:val="24"/>
          <w:highlight w:val="none"/>
          <w:lang w:val="zh-CN"/>
        </w:rPr>
        <w:t>的特点—</w:t>
      </w:r>
      <w:r>
        <w:rPr>
          <w:rFonts w:ascii="宋体" w:cs="楷体_GB2312"/>
          <w:b/>
          <w:color w:val="auto"/>
          <w:sz w:val="24"/>
          <w:highlight w:val="none"/>
          <w:lang w:val="zh-CN"/>
        </w:rPr>
        <w:t>-</w:t>
      </w:r>
      <w:r>
        <w:rPr>
          <w:rFonts w:hint="eastAsia" w:ascii="宋体" w:hAnsi="宋体" w:cs="楷体_GB2312"/>
          <w:b/>
          <w:color w:val="auto"/>
          <w:sz w:val="24"/>
          <w:highlight w:val="none"/>
          <w:lang w:val="zh-CN"/>
        </w:rPr>
        <w:t>无权限获知或通知潜在投标人，潜在投标人应随时关注“谈判公告”所</w:t>
      </w:r>
      <w:r>
        <w:rPr>
          <w:rFonts w:ascii="宋体" w:hAnsi="宋体" w:cs="楷体_GB2312"/>
          <w:b/>
          <w:color w:val="auto"/>
          <w:sz w:val="24"/>
          <w:highlight w:val="none"/>
          <w:lang w:val="zh-CN"/>
        </w:rPr>
        <w:t>述媒体</w:t>
      </w:r>
      <w:r>
        <w:rPr>
          <w:rFonts w:hint="eastAsia" w:ascii="宋体" w:hAnsi="宋体" w:cs="楷体_GB2312"/>
          <w:b/>
          <w:color w:val="auto"/>
          <w:sz w:val="24"/>
          <w:highlight w:val="none"/>
          <w:lang w:val="zh-CN"/>
        </w:rPr>
        <w:t>相关项目信息（为免各部门网站出现维护等情况，潜在投标人应对“谈判公告”所述媒体逐一查阅），如有遗漏，后果自负。</w:t>
      </w:r>
    </w:p>
    <w:p w14:paraId="5F94D166">
      <w:pPr>
        <w:autoSpaceDE w:val="0"/>
        <w:autoSpaceDN w:val="0"/>
        <w:adjustRightInd w:val="0"/>
        <w:snapToGrid w:val="0"/>
        <w:spacing w:beforeLines="50" w:line="300" w:lineRule="auto"/>
        <w:ind w:firstLine="539"/>
        <w:rPr>
          <w:rFonts w:ascii="宋体" w:cs="楷体_GB2312"/>
          <w:color w:val="auto"/>
          <w:sz w:val="24"/>
          <w:highlight w:val="none"/>
          <w:lang w:val="zh-CN"/>
        </w:rPr>
      </w:pPr>
      <w:r>
        <w:rPr>
          <w:rFonts w:hint="eastAsia" w:ascii="宋体" w:cs="楷体_GB2312"/>
          <w:color w:val="auto"/>
          <w:sz w:val="24"/>
          <w:highlight w:val="none"/>
          <w:lang w:val="zh-CN"/>
        </w:rPr>
        <w:t>2.</w:t>
      </w:r>
      <w:r>
        <w:rPr>
          <w:rFonts w:ascii="宋体" w:cs="楷体_GB2312"/>
          <w:color w:val="auto"/>
          <w:sz w:val="24"/>
          <w:highlight w:val="none"/>
          <w:lang w:val="zh-CN"/>
        </w:rPr>
        <w:t>4</w:t>
      </w:r>
      <w:r>
        <w:rPr>
          <w:rFonts w:hint="eastAsia" w:ascii="宋体" w:cs="楷体_GB2312"/>
          <w:color w:val="auto"/>
          <w:sz w:val="24"/>
          <w:highlight w:val="none"/>
          <w:lang w:val="zh-CN"/>
        </w:rPr>
        <w:t>.2谈判文件的澄清、修改、补充书构成谈判文件的组成部分，并取代谈判文件中被澄清、修改处，对所有投标人均有约束力。</w:t>
      </w:r>
    </w:p>
    <w:p w14:paraId="58A43FC2">
      <w:pPr>
        <w:autoSpaceDE w:val="0"/>
        <w:autoSpaceDN w:val="0"/>
        <w:adjustRightInd w:val="0"/>
        <w:snapToGrid w:val="0"/>
        <w:spacing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2.4.3 </w:t>
      </w:r>
      <w:r>
        <w:rPr>
          <w:rFonts w:hint="eastAsia" w:ascii="宋体" w:hAnsi="宋体" w:cs="楷体_GB2312"/>
          <w:color w:val="auto"/>
          <w:sz w:val="24"/>
          <w:highlight w:val="none"/>
          <w:lang w:val="zh-CN"/>
        </w:rPr>
        <w:t>如果投标截止时间前的澄清修改补充发出的时间不满足投标人须知前附表规定时间，并且澄清修改补充内容影响投标文件编制的，代理机构可视采购具体情况延长投标截止时间和开标时间，并将在“谈判公告”所述媒体予以公告。</w:t>
      </w:r>
    </w:p>
    <w:p w14:paraId="58CAD3F7">
      <w:pPr>
        <w:autoSpaceDE w:val="0"/>
        <w:autoSpaceDN w:val="0"/>
        <w:adjustRightInd w:val="0"/>
        <w:snapToGrid w:val="0"/>
        <w:spacing w:beforeLines="50" w:line="300" w:lineRule="auto"/>
        <w:ind w:firstLine="539"/>
        <w:rPr>
          <w:rFonts w:ascii="宋体" w:cs="楷体_GB2312"/>
          <w:color w:val="auto"/>
          <w:sz w:val="24"/>
          <w:highlight w:val="none"/>
        </w:rPr>
      </w:pPr>
    </w:p>
    <w:p w14:paraId="58A0581D">
      <w:pPr>
        <w:autoSpaceDE w:val="0"/>
        <w:autoSpaceDN w:val="0"/>
        <w:adjustRightInd w:val="0"/>
        <w:snapToGrid w:val="0"/>
        <w:spacing w:beforeLines="50" w:line="300" w:lineRule="auto"/>
        <w:ind w:firstLine="539"/>
        <w:outlineLvl w:val="1"/>
        <w:rPr>
          <w:rFonts w:ascii="黑体" w:hAnsi="黑体" w:eastAsia="黑体" w:cs="楷体_GB2312"/>
          <w:b/>
          <w:bCs/>
          <w:color w:val="auto"/>
          <w:sz w:val="28"/>
          <w:szCs w:val="28"/>
          <w:highlight w:val="none"/>
          <w:lang w:val="zh-CN"/>
        </w:rPr>
      </w:pPr>
      <w:bookmarkStart w:id="28" w:name="_Toc209083632"/>
      <w:r>
        <w:rPr>
          <w:rFonts w:ascii="黑体" w:hAnsi="黑体" w:eastAsia="黑体" w:cs="楷体_GB2312"/>
          <w:b/>
          <w:bCs/>
          <w:color w:val="auto"/>
          <w:sz w:val="28"/>
          <w:szCs w:val="28"/>
          <w:highlight w:val="none"/>
          <w:lang w:val="zh-CN"/>
        </w:rPr>
        <w:t xml:space="preserve">3. </w:t>
      </w:r>
      <w:r>
        <w:rPr>
          <w:rFonts w:hint="eastAsia" w:ascii="黑体" w:hAnsi="黑体" w:eastAsia="黑体" w:cs="楷体_GB2312"/>
          <w:b/>
          <w:bCs/>
          <w:color w:val="auto"/>
          <w:sz w:val="28"/>
          <w:szCs w:val="28"/>
          <w:highlight w:val="none"/>
          <w:lang w:val="zh-CN"/>
        </w:rPr>
        <w:t>投标文件（响应文件）</w:t>
      </w:r>
      <w:bookmarkEnd w:id="28"/>
    </w:p>
    <w:p w14:paraId="6F0B0C3C">
      <w:pPr>
        <w:autoSpaceDE w:val="0"/>
        <w:autoSpaceDN w:val="0"/>
        <w:adjustRightInd w:val="0"/>
        <w:snapToGrid w:val="0"/>
        <w:spacing w:beforeLines="50" w:line="300" w:lineRule="auto"/>
        <w:ind w:firstLine="539"/>
        <w:rPr>
          <w:rFonts w:ascii="宋体" w:cs="楷体_GB2312"/>
          <w:color w:val="auto"/>
          <w:sz w:val="24"/>
          <w:highlight w:val="none"/>
          <w:lang w:val="zh-CN"/>
        </w:rPr>
      </w:pPr>
      <w:r>
        <w:rPr>
          <w:rFonts w:ascii="黑体" w:hAnsi="黑体" w:eastAsia="黑体" w:cs="楷体_GB2312"/>
          <w:b/>
          <w:color w:val="auto"/>
          <w:sz w:val="24"/>
          <w:highlight w:val="none"/>
          <w:lang w:val="zh-CN"/>
        </w:rPr>
        <w:t>3.1</w:t>
      </w:r>
      <w:r>
        <w:rPr>
          <w:rFonts w:hint="eastAsia" w:ascii="宋体" w:hAnsi="宋体" w:cs="楷体_GB2312"/>
          <w:color w:val="auto"/>
          <w:sz w:val="24"/>
          <w:highlight w:val="none"/>
          <w:lang w:val="zh-CN"/>
        </w:rPr>
        <w:t xml:space="preserve"> 投标人应仔细阅读谈判文件的所有内容，按谈判文件的要求提供投标文件（响应文件），并保证所提供全部资料的真实性。投标文件（响应文件）应对谈判文件实质性要求作出实质性响应。谈判小组对投标文件（响应文件）的有效性、完整性和响应程度进行审查，不满足实质性要求的为</w:t>
      </w:r>
      <w:r>
        <w:rPr>
          <w:rFonts w:hint="eastAsia" w:ascii="宋体" w:hAnsi="宋体" w:cs="楷体_GB2312"/>
          <w:b/>
          <w:color w:val="auto"/>
          <w:sz w:val="24"/>
          <w:highlight w:val="none"/>
          <w:lang w:val="zh-CN"/>
        </w:rPr>
        <w:t>无效投标</w:t>
      </w:r>
      <w:r>
        <w:rPr>
          <w:rFonts w:hint="eastAsia" w:ascii="宋体" w:hAnsi="宋体" w:cs="楷体_GB2312"/>
          <w:color w:val="auto"/>
          <w:sz w:val="24"/>
          <w:highlight w:val="none"/>
          <w:lang w:val="zh-CN"/>
        </w:rPr>
        <w:t>。</w:t>
      </w:r>
    </w:p>
    <w:p w14:paraId="337B9411">
      <w:pPr>
        <w:autoSpaceDE w:val="0"/>
        <w:autoSpaceDN w:val="0"/>
        <w:adjustRightInd w:val="0"/>
        <w:snapToGrid w:val="0"/>
        <w:spacing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3.2 </w:t>
      </w:r>
      <w:r>
        <w:rPr>
          <w:rFonts w:hint="eastAsia" w:ascii="黑体" w:hAnsi="黑体" w:eastAsia="黑体" w:cs="楷体_GB2312"/>
          <w:b/>
          <w:color w:val="auto"/>
          <w:sz w:val="24"/>
          <w:highlight w:val="none"/>
          <w:lang w:val="zh-CN"/>
        </w:rPr>
        <w:t>投标文件（响应文件）的组成</w:t>
      </w:r>
    </w:p>
    <w:p w14:paraId="49BFACAE">
      <w:pPr>
        <w:adjustRightInd w:val="0"/>
        <w:snapToGrid w:val="0"/>
        <w:spacing w:beforeLines="50" w:line="300" w:lineRule="auto"/>
        <w:ind w:firstLine="539"/>
        <w:textAlignment w:val="top"/>
        <w:rPr>
          <w:rFonts w:ascii="宋体" w:cs="楷体_GB2312"/>
          <w:color w:val="auto"/>
          <w:sz w:val="24"/>
          <w:highlight w:val="none"/>
          <w:lang w:val="zh-CN"/>
        </w:rPr>
      </w:pPr>
      <w:r>
        <w:rPr>
          <w:rFonts w:ascii="宋体" w:hAnsi="宋体" w:cs="楷体_GB2312"/>
          <w:color w:val="auto"/>
          <w:sz w:val="24"/>
          <w:highlight w:val="none"/>
          <w:lang w:val="zh-CN"/>
        </w:rPr>
        <w:t xml:space="preserve">3.2.1 </w:t>
      </w:r>
      <w:r>
        <w:rPr>
          <w:rFonts w:hint="eastAsia" w:ascii="宋体" w:hAnsi="宋体" w:cs="楷体_GB2312"/>
          <w:color w:val="auto"/>
          <w:sz w:val="24"/>
          <w:highlight w:val="none"/>
          <w:lang w:val="zh-CN"/>
        </w:rPr>
        <w:t>投标文件（响应文件）组成如有缺项，谈判小组按照实质性判断原则（实质性要求和实质性响应两因素）、有权视情况将其作无效投标处理，投标人自负此项风险；投标文件组成内容未对谈判文件实质性要求作出实质性响应，谈判小组按照实质性判断原则、视情况将其作无效投标处理，投标人自负此项风险</w:t>
      </w:r>
    </w:p>
    <w:p w14:paraId="21428B06">
      <w:pPr>
        <w:adjustRightInd w:val="0"/>
        <w:snapToGrid w:val="0"/>
        <w:spacing w:beforeLines="50" w:line="300" w:lineRule="auto"/>
        <w:ind w:firstLine="539"/>
        <w:textAlignment w:val="top"/>
        <w:rPr>
          <w:color w:val="auto"/>
          <w:highlight w:val="none"/>
        </w:rPr>
      </w:pPr>
      <w:r>
        <w:rPr>
          <w:rFonts w:ascii="宋体" w:hAnsi="宋体" w:cs="楷体_GB2312"/>
          <w:color w:val="auto"/>
          <w:sz w:val="24"/>
          <w:highlight w:val="none"/>
          <w:lang w:val="zh-CN"/>
        </w:rPr>
        <w:t xml:space="preserve">3.2.2 </w:t>
      </w:r>
      <w:r>
        <w:rPr>
          <w:rFonts w:hint="eastAsia" w:ascii="宋体" w:hAnsi="宋体" w:cs="楷体_GB2312"/>
          <w:color w:val="auto"/>
          <w:sz w:val="24"/>
          <w:highlight w:val="none"/>
          <w:lang w:val="zh-CN"/>
        </w:rPr>
        <w:t>投标文件（响应文件）应包括下列内容：</w:t>
      </w:r>
    </w:p>
    <w:p w14:paraId="442C7DAD">
      <w:pPr>
        <w:adjustRightInd w:val="0"/>
        <w:snapToGrid w:val="0"/>
        <w:spacing w:line="300" w:lineRule="auto"/>
        <w:ind w:firstLine="539"/>
        <w:textAlignment w:val="top"/>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）投标书。</w:t>
      </w:r>
    </w:p>
    <w:p w14:paraId="72C0FAA6">
      <w:pPr>
        <w:adjustRightInd w:val="0"/>
        <w:snapToGrid w:val="0"/>
        <w:spacing w:line="300" w:lineRule="auto"/>
        <w:ind w:firstLine="539"/>
        <w:textAlignment w:val="top"/>
        <w:rPr>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2</w:t>
      </w:r>
      <w:r>
        <w:rPr>
          <w:rFonts w:hint="eastAsia" w:ascii="宋体" w:hAnsi="宋体" w:cs="楷体_GB2312"/>
          <w:color w:val="auto"/>
          <w:sz w:val="24"/>
          <w:highlight w:val="none"/>
          <w:lang w:val="zh-CN"/>
        </w:rPr>
        <w:t>）</w:t>
      </w:r>
      <w:r>
        <w:rPr>
          <w:rFonts w:hint="eastAsia" w:ascii="宋体" w:hAnsi="宋体"/>
          <w:color w:val="auto"/>
          <w:sz w:val="24"/>
          <w:szCs w:val="24"/>
          <w:highlight w:val="none"/>
        </w:rPr>
        <w:t xml:space="preserve">开标一览表（即交易系统中报价一览表） </w:t>
      </w:r>
    </w:p>
    <w:p w14:paraId="210AFC79">
      <w:pPr>
        <w:adjustRightInd w:val="0"/>
        <w:snapToGrid w:val="0"/>
        <w:spacing w:line="300" w:lineRule="auto"/>
        <w:ind w:firstLine="539"/>
        <w:textAlignment w:val="top"/>
        <w:rPr>
          <w:rFonts w:ascii="宋体" w:hAnsi="宋体"/>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3</w:t>
      </w:r>
      <w:r>
        <w:rPr>
          <w:rFonts w:hint="eastAsia" w:ascii="宋体" w:hAnsi="宋体" w:cs="楷体_GB2312"/>
          <w:color w:val="auto"/>
          <w:sz w:val="24"/>
          <w:highlight w:val="none"/>
          <w:lang w:val="zh-CN"/>
        </w:rPr>
        <w:t>）</w:t>
      </w:r>
      <w:r>
        <w:rPr>
          <w:rFonts w:hint="eastAsia" w:ascii="宋体" w:hAnsi="宋体"/>
          <w:color w:val="auto"/>
          <w:sz w:val="24"/>
          <w:highlight w:val="none"/>
        </w:rPr>
        <w:t>投标报价明细表</w:t>
      </w:r>
    </w:p>
    <w:p w14:paraId="30AB52D5">
      <w:pPr>
        <w:adjustRightInd w:val="0"/>
        <w:snapToGrid w:val="0"/>
        <w:spacing w:line="300" w:lineRule="auto"/>
        <w:ind w:firstLine="539"/>
        <w:textAlignment w:val="top"/>
        <w:rPr>
          <w:rFonts w:ascii="宋体" w:hAnsi="宋体"/>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4</w:t>
      </w:r>
      <w:r>
        <w:rPr>
          <w:rFonts w:hint="eastAsia" w:ascii="宋体" w:hAnsi="宋体" w:cs="楷体_GB2312"/>
          <w:color w:val="auto"/>
          <w:sz w:val="24"/>
          <w:highlight w:val="none"/>
          <w:lang w:val="zh-CN"/>
        </w:rPr>
        <w:t>）</w:t>
      </w:r>
      <w:r>
        <w:rPr>
          <w:rFonts w:hint="eastAsia" w:ascii="宋体" w:hAnsi="宋体"/>
          <w:color w:val="auto"/>
          <w:sz w:val="24"/>
          <w:highlight w:val="none"/>
        </w:rPr>
        <w:t>投标产品清单及其技术参数，安装调试方案</w:t>
      </w:r>
    </w:p>
    <w:p w14:paraId="0D7AC24A">
      <w:pPr>
        <w:adjustRightInd w:val="0"/>
        <w:snapToGrid w:val="0"/>
        <w:spacing w:line="300" w:lineRule="auto"/>
        <w:ind w:firstLine="539"/>
        <w:textAlignment w:val="top"/>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5</w:t>
      </w:r>
      <w:r>
        <w:rPr>
          <w:rFonts w:hint="eastAsia" w:ascii="宋体" w:hAnsi="宋体"/>
          <w:color w:val="auto"/>
          <w:sz w:val="24"/>
          <w:highlight w:val="none"/>
        </w:rPr>
        <w:t>）技术偏差表。</w:t>
      </w:r>
    </w:p>
    <w:p w14:paraId="35AF0471">
      <w:pPr>
        <w:adjustRightInd w:val="0"/>
        <w:snapToGrid w:val="0"/>
        <w:spacing w:line="300" w:lineRule="auto"/>
        <w:ind w:firstLine="539"/>
        <w:rPr>
          <w:rFonts w:ascii="宋体" w:hAnsi="宋体"/>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6</w:t>
      </w:r>
      <w:r>
        <w:rPr>
          <w:rFonts w:hint="eastAsia" w:ascii="宋体" w:hAnsi="宋体" w:cs="楷体_GB2312"/>
          <w:color w:val="auto"/>
          <w:sz w:val="24"/>
          <w:highlight w:val="none"/>
          <w:lang w:val="zh-CN"/>
        </w:rPr>
        <w:t>）</w:t>
      </w:r>
      <w:r>
        <w:rPr>
          <w:rFonts w:hint="eastAsia" w:ascii="宋体" w:hAnsi="宋体"/>
          <w:color w:val="auto"/>
          <w:sz w:val="24"/>
          <w:highlight w:val="none"/>
        </w:rPr>
        <w:t>其他偏差表</w:t>
      </w:r>
    </w:p>
    <w:p w14:paraId="4E1C482D">
      <w:pPr>
        <w:adjustRightInd w:val="0"/>
        <w:snapToGrid w:val="0"/>
        <w:spacing w:line="300" w:lineRule="auto"/>
        <w:ind w:firstLine="539"/>
        <w:textAlignment w:val="top"/>
        <w:rPr>
          <w:rFonts w:ascii="宋体" w:hAnsi="宋体"/>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7</w:t>
      </w:r>
      <w:r>
        <w:rPr>
          <w:rFonts w:hint="eastAsia" w:ascii="宋体" w:hAnsi="宋体" w:cs="楷体_GB2312"/>
          <w:color w:val="auto"/>
          <w:sz w:val="24"/>
          <w:highlight w:val="none"/>
          <w:lang w:val="zh-CN"/>
        </w:rPr>
        <w:t>）</w:t>
      </w:r>
      <w:r>
        <w:rPr>
          <w:rFonts w:hint="eastAsia" w:ascii="宋体" w:hAnsi="宋体"/>
          <w:color w:val="auto"/>
          <w:sz w:val="24"/>
          <w:highlight w:val="none"/>
        </w:rPr>
        <w:t>售后服务计划</w:t>
      </w:r>
    </w:p>
    <w:p w14:paraId="00B9E9D1">
      <w:pPr>
        <w:adjustRightInd w:val="0"/>
        <w:snapToGrid w:val="0"/>
        <w:spacing w:line="300" w:lineRule="auto"/>
        <w:ind w:firstLine="539"/>
        <w:textAlignment w:val="top"/>
        <w:rPr>
          <w:rFonts w:ascii="宋体" w:hAnsi="宋体"/>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8</w:t>
      </w:r>
      <w:r>
        <w:rPr>
          <w:rFonts w:hint="eastAsia" w:ascii="宋体" w:hAnsi="宋体" w:cs="楷体_GB2312"/>
          <w:color w:val="auto"/>
          <w:sz w:val="24"/>
          <w:highlight w:val="none"/>
          <w:lang w:val="zh-CN"/>
        </w:rPr>
        <w:t>）</w:t>
      </w:r>
      <w:r>
        <w:rPr>
          <w:rFonts w:hint="eastAsia" w:ascii="宋体" w:hAnsi="宋体"/>
          <w:color w:val="auto"/>
          <w:sz w:val="24"/>
          <w:highlight w:val="none"/>
        </w:rPr>
        <w:t>关于资格的声明函</w:t>
      </w:r>
    </w:p>
    <w:p w14:paraId="183962E9">
      <w:pPr>
        <w:adjustRightInd w:val="0"/>
        <w:snapToGrid w:val="0"/>
        <w:spacing w:line="300" w:lineRule="auto"/>
        <w:ind w:firstLine="539"/>
        <w:rPr>
          <w:rFonts w:ascii="宋体" w:hAnsi="宋体"/>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9</w:t>
      </w:r>
      <w:r>
        <w:rPr>
          <w:rFonts w:hint="eastAsia" w:ascii="宋体" w:hAnsi="宋体" w:cs="楷体_GB2312"/>
          <w:color w:val="auto"/>
          <w:sz w:val="24"/>
          <w:highlight w:val="none"/>
          <w:lang w:val="zh-CN"/>
        </w:rPr>
        <w:t>）</w:t>
      </w:r>
      <w:r>
        <w:rPr>
          <w:rFonts w:hint="eastAsia" w:ascii="宋体" w:hAnsi="宋体"/>
          <w:color w:val="auto"/>
          <w:sz w:val="24"/>
          <w:highlight w:val="none"/>
        </w:rPr>
        <w:t>反商业贿赂承诺书。</w:t>
      </w:r>
    </w:p>
    <w:p w14:paraId="388E6BCE">
      <w:pPr>
        <w:adjustRightInd w:val="0"/>
        <w:snapToGrid w:val="0"/>
        <w:spacing w:line="300" w:lineRule="auto"/>
        <w:ind w:firstLine="539"/>
        <w:rPr>
          <w:rFonts w:ascii="宋体" w:hAnsi="宋体"/>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10</w:t>
      </w:r>
      <w:r>
        <w:rPr>
          <w:rFonts w:hint="eastAsia" w:ascii="宋体" w:hAnsi="宋体" w:cs="楷体_GB2312"/>
          <w:color w:val="auto"/>
          <w:sz w:val="24"/>
          <w:highlight w:val="none"/>
          <w:lang w:val="zh-CN"/>
        </w:rPr>
        <w:t>）</w:t>
      </w:r>
      <w:r>
        <w:rPr>
          <w:rFonts w:hint="eastAsia" w:ascii="宋体" w:hAnsi="宋体"/>
          <w:color w:val="auto"/>
          <w:sz w:val="24"/>
          <w:highlight w:val="none"/>
        </w:rPr>
        <w:t>履约承诺书。</w:t>
      </w:r>
    </w:p>
    <w:p w14:paraId="23B39FB9">
      <w:pPr>
        <w:widowControl w:val="0"/>
        <w:adjustRightInd w:val="0"/>
        <w:snapToGrid w:val="0"/>
        <w:spacing w:line="300" w:lineRule="auto"/>
        <w:ind w:firstLine="539"/>
        <w:textAlignment w:val="top"/>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11</w:t>
      </w:r>
      <w:r>
        <w:rPr>
          <w:rFonts w:hint="eastAsia" w:ascii="宋体" w:hAnsi="宋体"/>
          <w:color w:val="auto"/>
          <w:sz w:val="24"/>
          <w:highlight w:val="none"/>
        </w:rPr>
        <w:t>）资格要求相关证明材料（文件）</w:t>
      </w:r>
    </w:p>
    <w:p w14:paraId="299CAC99">
      <w:pPr>
        <w:widowControl w:val="0"/>
        <w:adjustRightInd w:val="0"/>
        <w:snapToGrid w:val="0"/>
        <w:spacing w:line="300" w:lineRule="auto"/>
        <w:ind w:firstLine="539"/>
        <w:textAlignment w:val="top"/>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12</w:t>
      </w:r>
      <w:r>
        <w:rPr>
          <w:rFonts w:hint="eastAsia" w:ascii="宋体" w:hAnsi="宋体"/>
          <w:color w:val="auto"/>
          <w:sz w:val="24"/>
          <w:highlight w:val="none"/>
        </w:rPr>
        <w:t>）采购项目及技术服务要求所需的其他材料（按条款需要）</w:t>
      </w:r>
    </w:p>
    <w:p w14:paraId="48A8F4C2">
      <w:pPr>
        <w:widowControl w:val="0"/>
        <w:adjustRightInd w:val="0"/>
        <w:snapToGrid w:val="0"/>
        <w:spacing w:line="300" w:lineRule="auto"/>
        <w:ind w:firstLine="539"/>
        <w:textAlignment w:val="top"/>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13</w:t>
      </w:r>
      <w:r>
        <w:rPr>
          <w:rFonts w:hint="eastAsia" w:ascii="宋体" w:hAnsi="宋体"/>
          <w:color w:val="auto"/>
          <w:sz w:val="24"/>
          <w:highlight w:val="none"/>
        </w:rPr>
        <w:t>）投标人须知所需的其他材料（按条款需要）</w:t>
      </w:r>
    </w:p>
    <w:p w14:paraId="041644F3">
      <w:pPr>
        <w:widowControl w:val="0"/>
        <w:adjustRightInd w:val="0"/>
        <w:snapToGrid w:val="0"/>
        <w:spacing w:line="300" w:lineRule="auto"/>
        <w:ind w:firstLine="539"/>
        <w:textAlignment w:val="top"/>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14</w:t>
      </w:r>
      <w:r>
        <w:rPr>
          <w:rFonts w:hint="eastAsia" w:ascii="宋体" w:hAnsi="宋体"/>
          <w:color w:val="auto"/>
          <w:sz w:val="24"/>
          <w:highlight w:val="none"/>
        </w:rPr>
        <w:t>）评审办法所需的其他材料（按条款需要）</w:t>
      </w:r>
    </w:p>
    <w:p w14:paraId="7370E66D">
      <w:pPr>
        <w:autoSpaceDE w:val="0"/>
        <w:autoSpaceDN w:val="0"/>
        <w:adjustRightInd w:val="0"/>
        <w:snapToGrid w:val="0"/>
        <w:spacing w:line="300" w:lineRule="auto"/>
        <w:ind w:firstLine="520" w:firstLineChars="217"/>
        <w:rPr>
          <w:rFonts w:ascii="宋体" w:hAns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15</w:t>
      </w:r>
      <w:r>
        <w:rPr>
          <w:rFonts w:hint="eastAsia" w:ascii="宋体" w:hAnsi="宋体" w:cs="楷体_GB2312"/>
          <w:color w:val="auto"/>
          <w:sz w:val="24"/>
          <w:highlight w:val="none"/>
          <w:lang w:val="zh-CN"/>
        </w:rPr>
        <w:t>）</w:t>
      </w:r>
      <w:r>
        <w:rPr>
          <w:rFonts w:hint="eastAsia" w:ascii="宋体" w:hAnsi="宋体"/>
          <w:color w:val="auto"/>
          <w:sz w:val="24"/>
          <w:highlight w:val="none"/>
        </w:rPr>
        <w:t>投标人认为有必要提交的其它材料</w:t>
      </w:r>
    </w:p>
    <w:p w14:paraId="77DCEE37">
      <w:pPr>
        <w:topLinePunct/>
        <w:adjustRightInd w:val="0"/>
        <w:snapToGrid w:val="0"/>
        <w:spacing w:beforeLines="50" w:line="300" w:lineRule="auto"/>
        <w:ind w:firstLine="564" w:firstLineChars="235"/>
        <w:rPr>
          <w:rFonts w:ascii="宋体" w:hAnsi="宋体" w:cs="楷体_GB2312"/>
          <w:color w:val="auto"/>
          <w:sz w:val="24"/>
          <w:highlight w:val="none"/>
          <w:lang w:val="zh-CN"/>
        </w:rPr>
      </w:pPr>
      <w:r>
        <w:rPr>
          <w:rFonts w:ascii="宋体" w:hAnsi="宋体" w:cs="楷体_GB2312"/>
          <w:color w:val="auto"/>
          <w:sz w:val="24"/>
          <w:highlight w:val="none"/>
          <w:lang w:val="zh-CN"/>
        </w:rPr>
        <w:t>3.2.3</w:t>
      </w:r>
      <w:r>
        <w:rPr>
          <w:rFonts w:hint="eastAsia" w:ascii="宋体" w:hAnsi="宋体" w:cs="楷体_GB2312"/>
          <w:color w:val="auto"/>
          <w:sz w:val="24"/>
          <w:highlight w:val="none"/>
          <w:lang w:val="zh-CN"/>
        </w:rPr>
        <w:t>按照本章第</w:t>
      </w:r>
      <w:r>
        <w:rPr>
          <w:rFonts w:ascii="宋体" w:hAnsi="宋体" w:cs="楷体_GB2312"/>
          <w:color w:val="auto"/>
          <w:sz w:val="24"/>
          <w:highlight w:val="none"/>
          <w:lang w:val="zh-CN"/>
        </w:rPr>
        <w:t>4.3</w:t>
      </w:r>
      <w:r>
        <w:rPr>
          <w:rFonts w:hint="eastAsia" w:ascii="宋体" w:hAnsi="宋体" w:cs="楷体_GB2312"/>
          <w:color w:val="auto"/>
          <w:sz w:val="24"/>
          <w:highlight w:val="none"/>
          <w:lang w:val="zh-CN"/>
        </w:rPr>
        <w:t>款、第四章第</w:t>
      </w:r>
      <w:r>
        <w:rPr>
          <w:rFonts w:ascii="宋体" w:hAnsi="宋体" w:cs="楷体_GB2312"/>
          <w:color w:val="auto"/>
          <w:sz w:val="24"/>
          <w:highlight w:val="none"/>
          <w:lang w:val="zh-CN"/>
        </w:rPr>
        <w:t>3.4</w:t>
      </w:r>
      <w:r>
        <w:rPr>
          <w:rFonts w:hint="eastAsia" w:ascii="宋体" w:hAnsi="宋体" w:cs="楷体_GB2312"/>
          <w:color w:val="auto"/>
          <w:sz w:val="24"/>
          <w:highlight w:val="none"/>
          <w:lang w:val="zh-CN"/>
        </w:rPr>
        <w:t>款规定，对投标文件（响应文件）的补充、修改、澄清、说明或者更正构成投标文件（响应文件）的组成部分，</w:t>
      </w:r>
    </w:p>
    <w:p w14:paraId="74C9C9D7">
      <w:pPr>
        <w:topLinePunct/>
        <w:adjustRightInd w:val="0"/>
        <w:snapToGrid w:val="0"/>
        <w:spacing w:beforeLines="50" w:line="300" w:lineRule="auto"/>
        <w:ind w:firstLine="566" w:firstLineChars="235"/>
        <w:rPr>
          <w:rFonts w:ascii="宋体" w:cs="楷体_GB2312"/>
          <w:color w:val="auto"/>
          <w:sz w:val="24"/>
          <w:highlight w:val="none"/>
          <w:lang w:val="zh-CN"/>
        </w:rPr>
      </w:pPr>
      <w:r>
        <w:rPr>
          <w:rFonts w:ascii="黑体" w:hAnsi="黑体" w:eastAsia="黑体" w:cs="楷体_GB2312"/>
          <w:b/>
          <w:color w:val="auto"/>
          <w:sz w:val="24"/>
          <w:highlight w:val="none"/>
          <w:lang w:val="zh-CN"/>
        </w:rPr>
        <w:t xml:space="preserve">3.3 </w:t>
      </w:r>
      <w:r>
        <w:rPr>
          <w:rFonts w:hint="eastAsia" w:ascii="黑体" w:hAnsi="黑体" w:eastAsia="黑体" w:cs="楷体_GB2312"/>
          <w:b/>
          <w:color w:val="auto"/>
          <w:sz w:val="24"/>
          <w:highlight w:val="none"/>
          <w:lang w:val="zh-CN"/>
        </w:rPr>
        <w:t>投标报价</w:t>
      </w:r>
      <w:r>
        <w:rPr>
          <w:rFonts w:hint="eastAsia" w:ascii="宋体" w:hAnsi="宋体" w:cs="楷体_GB2312"/>
          <w:color w:val="auto"/>
          <w:sz w:val="24"/>
          <w:highlight w:val="none"/>
          <w:lang w:val="zh-CN"/>
        </w:rPr>
        <w:t>（价格构成）：见第二章</w:t>
      </w:r>
      <w:r>
        <w:rPr>
          <w:rFonts w:ascii="宋体" w:hAnsi="宋体" w:cs="楷体_GB2312"/>
          <w:color w:val="auto"/>
          <w:sz w:val="24"/>
          <w:highlight w:val="none"/>
          <w:lang w:val="zh-CN"/>
        </w:rPr>
        <w:t>1.3</w:t>
      </w:r>
      <w:r>
        <w:rPr>
          <w:rFonts w:hint="eastAsia" w:ascii="宋体" w:hAnsi="宋体" w:cs="楷体_GB2312"/>
          <w:color w:val="auto"/>
          <w:sz w:val="24"/>
          <w:highlight w:val="none"/>
          <w:lang w:val="zh-CN"/>
        </w:rPr>
        <w:t>款。</w:t>
      </w:r>
    </w:p>
    <w:p w14:paraId="05661CD2">
      <w:pPr>
        <w:topLinePunct/>
        <w:adjustRightInd w:val="0"/>
        <w:snapToGrid w:val="0"/>
        <w:spacing w:beforeLines="50" w:line="300" w:lineRule="auto"/>
        <w:ind w:firstLine="566" w:firstLineChars="235"/>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3.4 </w:t>
      </w:r>
      <w:r>
        <w:rPr>
          <w:rFonts w:hint="eastAsia" w:ascii="黑体" w:hAnsi="黑体" w:eastAsia="黑体" w:cs="楷体_GB2312"/>
          <w:b/>
          <w:color w:val="auto"/>
          <w:sz w:val="24"/>
          <w:highlight w:val="none"/>
          <w:lang w:val="zh-CN"/>
        </w:rPr>
        <w:t>投标有效期</w:t>
      </w:r>
    </w:p>
    <w:p w14:paraId="550AD32C">
      <w:pPr>
        <w:topLinePunct/>
        <w:adjustRightInd w:val="0"/>
        <w:snapToGrid w:val="0"/>
        <w:spacing w:beforeLines="50" w:line="300" w:lineRule="auto"/>
        <w:ind w:firstLine="564" w:firstLineChars="235"/>
        <w:rPr>
          <w:rFonts w:ascii="宋体" w:cs="楷体_GB2312"/>
          <w:color w:val="auto"/>
          <w:sz w:val="24"/>
          <w:highlight w:val="none"/>
          <w:lang w:val="zh-CN"/>
        </w:rPr>
      </w:pPr>
      <w:r>
        <w:rPr>
          <w:rFonts w:ascii="宋体" w:hAnsi="宋体" w:cs="楷体_GB2312"/>
          <w:color w:val="auto"/>
          <w:sz w:val="24"/>
          <w:highlight w:val="none"/>
          <w:lang w:val="zh-CN"/>
        </w:rPr>
        <w:t>3.4.1</w:t>
      </w:r>
      <w:r>
        <w:rPr>
          <w:rFonts w:hint="eastAsia" w:ascii="宋体" w:hAnsi="宋体" w:cs="楷体_GB2312"/>
          <w:color w:val="auto"/>
          <w:sz w:val="24"/>
          <w:highlight w:val="none"/>
          <w:lang w:val="zh-CN"/>
        </w:rPr>
        <w:t>投标有效期见投标人须知前附表。投标文件（响应文件）在投标有效期内保持不变（包括价格等投标文件各项条款）。</w:t>
      </w:r>
    </w:p>
    <w:p w14:paraId="101AED04">
      <w:pPr>
        <w:topLinePunct/>
        <w:adjustRightInd w:val="0"/>
        <w:snapToGrid w:val="0"/>
        <w:spacing w:beforeLines="50" w:line="300" w:lineRule="auto"/>
        <w:ind w:firstLine="564" w:firstLineChars="235"/>
        <w:rPr>
          <w:rFonts w:ascii="宋体" w:cs="楷体_GB2312"/>
          <w:color w:val="auto"/>
          <w:sz w:val="24"/>
          <w:highlight w:val="none"/>
          <w:lang w:val="zh-CN"/>
        </w:rPr>
      </w:pPr>
      <w:r>
        <w:rPr>
          <w:rFonts w:ascii="宋体" w:hAnsi="宋体" w:cs="楷体_GB2312"/>
          <w:color w:val="auto"/>
          <w:sz w:val="24"/>
          <w:highlight w:val="none"/>
          <w:lang w:val="zh-CN"/>
        </w:rPr>
        <w:t>3.4.2</w:t>
      </w:r>
      <w:r>
        <w:rPr>
          <w:rFonts w:hint="eastAsia" w:ascii="宋体" w:hAnsi="宋体" w:cs="楷体_GB2312"/>
          <w:color w:val="auto"/>
          <w:sz w:val="24"/>
          <w:highlight w:val="none"/>
          <w:lang w:val="zh-CN"/>
        </w:rPr>
        <w:t>在投标有效期内，投标人撤销或修改其投标文件（响应文件）的，应承担谈判文件和法律规定的责任。</w:t>
      </w:r>
    </w:p>
    <w:p w14:paraId="1884DF94">
      <w:pPr>
        <w:topLinePunct/>
        <w:adjustRightInd w:val="0"/>
        <w:snapToGrid w:val="0"/>
        <w:spacing w:beforeLines="50" w:line="300" w:lineRule="auto"/>
        <w:ind w:firstLine="566" w:firstLineChars="235"/>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3.5 </w:t>
      </w:r>
      <w:r>
        <w:rPr>
          <w:rFonts w:hint="eastAsia" w:ascii="黑体" w:hAnsi="黑体" w:eastAsia="黑体" w:cs="楷体_GB2312"/>
          <w:b/>
          <w:color w:val="auto"/>
          <w:sz w:val="24"/>
          <w:highlight w:val="none"/>
        </w:rPr>
        <w:t>投标承诺函</w:t>
      </w:r>
      <w:r>
        <w:rPr>
          <w:rFonts w:hint="eastAsia" w:ascii="黑体" w:hAnsi="黑体" w:eastAsia="黑体" w:cs="楷体_GB2312"/>
          <w:b/>
          <w:color w:val="auto"/>
          <w:sz w:val="24"/>
          <w:highlight w:val="none"/>
          <w:lang w:val="zh-CN"/>
        </w:rPr>
        <w:t>（</w:t>
      </w:r>
      <w:r>
        <w:rPr>
          <w:rFonts w:hint="eastAsia" w:ascii="黑体" w:hAnsi="黑体" w:eastAsia="黑体" w:cs="楷体_GB2312"/>
          <w:b/>
          <w:color w:val="auto"/>
          <w:sz w:val="24"/>
          <w:highlight w:val="none"/>
        </w:rPr>
        <w:t>替代</w:t>
      </w:r>
      <w:r>
        <w:rPr>
          <w:rFonts w:hint="eastAsia" w:ascii="黑体" w:hAnsi="黑体" w:eastAsia="黑体" w:cs="楷体_GB2312"/>
          <w:b/>
          <w:color w:val="auto"/>
          <w:sz w:val="24"/>
          <w:highlight w:val="none"/>
          <w:lang w:val="zh-CN"/>
        </w:rPr>
        <w:t>投标保证金）：</w:t>
      </w:r>
    </w:p>
    <w:p w14:paraId="7A952166">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lang w:val="zh-CN"/>
        </w:rPr>
        <w:t xml:space="preserve">3.5.1 </w:t>
      </w:r>
      <w:r>
        <w:rPr>
          <w:rFonts w:hint="eastAsia" w:ascii="宋体" w:hAnsi="宋体"/>
          <w:color w:val="auto"/>
          <w:sz w:val="24"/>
          <w:szCs w:val="24"/>
          <w:highlight w:val="none"/>
        </w:rPr>
        <w:t>按照豫财购〔2019〕4号文件规定，本项目以投标承诺函的形式替代投标保证金，供应商应按附件格式进行投标承诺，违背承诺的将承担相应的法律责任及违约责任。</w:t>
      </w:r>
    </w:p>
    <w:p w14:paraId="3DCBD6EA">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3.5.2 未提供投标承诺函的为</w:t>
      </w:r>
      <w:r>
        <w:rPr>
          <w:rFonts w:hint="eastAsia" w:ascii="宋体" w:hAnsi="宋体"/>
          <w:b/>
          <w:bCs/>
          <w:color w:val="auto"/>
          <w:sz w:val="24"/>
          <w:szCs w:val="24"/>
          <w:highlight w:val="none"/>
        </w:rPr>
        <w:t>无效投标</w:t>
      </w:r>
      <w:r>
        <w:rPr>
          <w:rFonts w:hint="eastAsia" w:ascii="宋体" w:hAnsi="宋体"/>
          <w:color w:val="auto"/>
          <w:sz w:val="24"/>
          <w:szCs w:val="24"/>
          <w:highlight w:val="none"/>
        </w:rPr>
        <w:t>。</w:t>
      </w:r>
    </w:p>
    <w:p w14:paraId="5254F0BB">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3.5.3 投标人的投标承诺函包含投标人承诺的事项及违背承诺的责任追究措施。</w:t>
      </w:r>
    </w:p>
    <w:p w14:paraId="2E8DD565">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3.5.4 承诺事项：</w:t>
      </w:r>
    </w:p>
    <w:p w14:paraId="13374C61">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3.5.4.1、投标人应遵循公开、公平、公正和</w:t>
      </w:r>
      <w:r>
        <w:rPr>
          <w:color w:val="auto"/>
          <w:highlight w:val="none"/>
        </w:rPr>
        <w:fldChar w:fldCharType="begin"/>
      </w:r>
      <w:r>
        <w:rPr>
          <w:color w:val="auto"/>
          <w:highlight w:val="none"/>
        </w:rPr>
        <w:instrText xml:space="preserve"> HYPERLINK "http://www.so.com/s?q=%E8%AF%9A%E5%AE%9E%E4%BF%A1%E7%94%A8&amp;ie=utf-8&amp;src=internal_wenda_recommend_textn" \t "https://wenda.so.com/q/_blank" </w:instrText>
      </w:r>
      <w:r>
        <w:rPr>
          <w:color w:val="auto"/>
          <w:highlight w:val="none"/>
        </w:rPr>
        <w:fldChar w:fldCharType="separate"/>
      </w:r>
      <w:r>
        <w:rPr>
          <w:rFonts w:hint="eastAsia" w:ascii="宋体" w:hAnsi="宋体"/>
          <w:color w:val="auto"/>
          <w:sz w:val="24"/>
          <w:szCs w:val="24"/>
          <w:highlight w:val="none"/>
        </w:rPr>
        <w:t>诚实信用</w:t>
      </w:r>
      <w:r>
        <w:rPr>
          <w:rFonts w:hint="eastAsia" w:ascii="宋体" w:hAnsi="宋体"/>
          <w:color w:val="auto"/>
          <w:sz w:val="24"/>
          <w:szCs w:val="24"/>
          <w:highlight w:val="none"/>
        </w:rPr>
        <w:fldChar w:fldCharType="end"/>
      </w:r>
      <w:r>
        <w:rPr>
          <w:rFonts w:hint="eastAsia" w:ascii="宋体" w:hAnsi="宋体"/>
          <w:color w:val="auto"/>
          <w:sz w:val="24"/>
          <w:szCs w:val="24"/>
          <w:highlight w:val="none"/>
        </w:rPr>
        <w:t>的原则自愿参加项目的投标；</w:t>
      </w:r>
      <w:r>
        <w:rPr>
          <w:rFonts w:hint="eastAsia" w:ascii="宋体" w:hAnsi="宋体"/>
          <w:color w:val="auto"/>
          <w:sz w:val="24"/>
          <w:szCs w:val="24"/>
          <w:highlight w:val="none"/>
        </w:rPr>
        <w:br w:type="textWrapping"/>
      </w:r>
      <w:r>
        <w:rPr>
          <w:rFonts w:hint="eastAsia" w:ascii="宋体" w:hAnsi="宋体"/>
          <w:color w:val="auto"/>
          <w:sz w:val="24"/>
          <w:szCs w:val="24"/>
          <w:highlight w:val="none"/>
        </w:rPr>
        <w:t xml:space="preserve">    3.5.4.2、投标人在政府采购活动中应提供真实、准确、有效、合法的材料，不</w:t>
      </w:r>
      <w:r>
        <w:rPr>
          <w:rFonts w:hint="eastAsia" w:ascii="宋体" w:hAnsi="宋体"/>
          <w:color w:val="auto"/>
          <w:sz w:val="24"/>
          <w:szCs w:val="24"/>
          <w:highlight w:val="none"/>
          <w:lang w:val="zh-CN"/>
        </w:rPr>
        <w:t>提供虚假材料；</w:t>
      </w:r>
    </w:p>
    <w:p w14:paraId="33D97968">
      <w:pPr>
        <w:widowControl w:val="0"/>
        <w:tabs>
          <w:tab w:val="left" w:pos="65"/>
        </w:tabs>
        <w:spacing w:line="460" w:lineRule="atLeast"/>
        <w:ind w:firstLine="480" w:firstLineChars="200"/>
        <w:textAlignment w:val="auto"/>
        <w:rPr>
          <w:rFonts w:ascii="宋体" w:hAnsi="宋体"/>
          <w:color w:val="auto"/>
          <w:sz w:val="24"/>
          <w:szCs w:val="24"/>
          <w:highlight w:val="none"/>
          <w:lang w:val="zh-CN"/>
        </w:rPr>
      </w:pPr>
      <w:r>
        <w:rPr>
          <w:rFonts w:hint="eastAsia" w:ascii="宋体" w:hAnsi="宋体"/>
          <w:color w:val="auto"/>
          <w:sz w:val="24"/>
          <w:szCs w:val="24"/>
          <w:highlight w:val="none"/>
        </w:rPr>
        <w:t>3.5.4.3、投标人</w:t>
      </w:r>
      <w:r>
        <w:rPr>
          <w:rFonts w:hint="eastAsia" w:ascii="宋体" w:hAnsi="宋体"/>
          <w:color w:val="auto"/>
          <w:sz w:val="24"/>
          <w:szCs w:val="24"/>
          <w:highlight w:val="none"/>
          <w:lang w:val="zh-CN"/>
        </w:rPr>
        <w:t>按照</w:t>
      </w:r>
      <w:r>
        <w:rPr>
          <w:rFonts w:hint="eastAsia" w:ascii="宋体" w:hAnsi="宋体"/>
          <w:color w:val="auto"/>
          <w:sz w:val="24"/>
          <w:szCs w:val="24"/>
          <w:highlight w:val="none"/>
        </w:rPr>
        <w:t>谈判</w:t>
      </w:r>
      <w:r>
        <w:rPr>
          <w:rFonts w:hint="eastAsia" w:ascii="宋体" w:hAnsi="宋体"/>
          <w:color w:val="auto"/>
          <w:sz w:val="24"/>
          <w:szCs w:val="24"/>
          <w:highlight w:val="none"/>
          <w:lang w:val="zh-CN"/>
        </w:rPr>
        <w:t>文件规定，在提交投标文件截止时间后，在</w:t>
      </w:r>
      <w:r>
        <w:rPr>
          <w:rFonts w:hint="eastAsia" w:ascii="宋体" w:hAnsi="宋体"/>
          <w:color w:val="auto"/>
          <w:sz w:val="24"/>
          <w:szCs w:val="24"/>
          <w:highlight w:val="none"/>
        </w:rPr>
        <w:t>谈判</w:t>
      </w:r>
      <w:r>
        <w:rPr>
          <w:rFonts w:hint="eastAsia" w:ascii="宋体" w:hAnsi="宋体"/>
          <w:color w:val="auto"/>
          <w:sz w:val="24"/>
          <w:szCs w:val="24"/>
          <w:highlight w:val="none"/>
          <w:lang w:val="zh-CN"/>
        </w:rPr>
        <w:t>文件规定的投标有效期限内不</w:t>
      </w:r>
      <w:r>
        <w:rPr>
          <w:rFonts w:hint="eastAsia" w:ascii="宋体" w:hAnsi="宋体"/>
          <w:color w:val="auto"/>
          <w:sz w:val="24"/>
          <w:szCs w:val="24"/>
          <w:highlight w:val="none"/>
        </w:rPr>
        <w:t>应</w:t>
      </w:r>
      <w:r>
        <w:rPr>
          <w:rFonts w:hint="eastAsia" w:ascii="宋体" w:hAnsi="宋体"/>
          <w:color w:val="auto"/>
          <w:sz w:val="24"/>
          <w:szCs w:val="24"/>
          <w:highlight w:val="none"/>
          <w:lang w:val="zh-CN"/>
        </w:rPr>
        <w:t>撤回投标文件；</w:t>
      </w:r>
    </w:p>
    <w:p w14:paraId="17F7A967">
      <w:pPr>
        <w:widowControl w:val="0"/>
        <w:tabs>
          <w:tab w:val="left" w:pos="65"/>
        </w:tabs>
        <w:spacing w:line="460" w:lineRule="atLeast"/>
        <w:ind w:firstLine="480" w:firstLineChars="200"/>
        <w:textAlignment w:val="auto"/>
        <w:rPr>
          <w:rFonts w:ascii="宋体" w:hAnsi="宋体"/>
          <w:color w:val="auto"/>
          <w:sz w:val="24"/>
          <w:szCs w:val="24"/>
          <w:highlight w:val="none"/>
          <w:lang w:val="zh-CN"/>
        </w:rPr>
      </w:pPr>
      <w:r>
        <w:rPr>
          <w:rFonts w:hint="eastAsia" w:ascii="宋体" w:hAnsi="宋体"/>
          <w:color w:val="auto"/>
          <w:sz w:val="24"/>
          <w:szCs w:val="24"/>
          <w:highlight w:val="none"/>
        </w:rPr>
        <w:t>3.5.4.4、不应</w:t>
      </w:r>
      <w:r>
        <w:rPr>
          <w:rFonts w:hint="eastAsia" w:ascii="宋体" w:hAnsi="宋体"/>
          <w:color w:val="auto"/>
          <w:sz w:val="24"/>
          <w:szCs w:val="24"/>
          <w:highlight w:val="none"/>
          <w:lang w:val="zh-CN"/>
        </w:rPr>
        <w:t>与其他投标人、采购人或采购代理机构串通或恶意串通。</w:t>
      </w:r>
    </w:p>
    <w:p w14:paraId="51EF2742">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3.5.4.5、中标后</w:t>
      </w:r>
      <w:r>
        <w:rPr>
          <w:rFonts w:hint="eastAsia" w:ascii="宋体" w:hAnsi="宋体"/>
          <w:color w:val="auto"/>
          <w:sz w:val="24"/>
          <w:szCs w:val="24"/>
          <w:highlight w:val="none"/>
          <w:lang w:val="zh-CN"/>
        </w:rPr>
        <w:t>除不可抗拒力或谈判文件认可的情形外</w:t>
      </w:r>
      <w:r>
        <w:rPr>
          <w:rFonts w:hint="eastAsia" w:ascii="宋体" w:hAnsi="宋体"/>
          <w:color w:val="auto"/>
          <w:sz w:val="24"/>
          <w:szCs w:val="24"/>
          <w:highlight w:val="none"/>
        </w:rPr>
        <w:t>，投标人应及时领取中标通知书，</w:t>
      </w:r>
      <w:r>
        <w:rPr>
          <w:rFonts w:hint="eastAsia" w:ascii="宋体" w:hAnsi="宋体"/>
          <w:color w:val="auto"/>
          <w:sz w:val="24"/>
          <w:szCs w:val="24"/>
          <w:highlight w:val="none"/>
          <w:lang w:val="zh-CN"/>
        </w:rPr>
        <w:t>在成交通知书规定时间、地点与采购人签订合同；</w:t>
      </w:r>
      <w:r>
        <w:rPr>
          <w:rFonts w:hint="eastAsia" w:ascii="宋体" w:hAnsi="宋体"/>
          <w:color w:val="auto"/>
          <w:sz w:val="24"/>
          <w:szCs w:val="24"/>
          <w:highlight w:val="none"/>
        </w:rPr>
        <w:br w:type="textWrapping"/>
      </w:r>
      <w:r>
        <w:rPr>
          <w:rFonts w:hint="eastAsia" w:ascii="宋体" w:hAnsi="宋体"/>
          <w:color w:val="auto"/>
          <w:sz w:val="24"/>
          <w:szCs w:val="24"/>
          <w:highlight w:val="none"/>
        </w:rPr>
        <w:t xml:space="preserve">    3.5.4.6、投标人应</w:t>
      </w:r>
      <w:r>
        <w:rPr>
          <w:rFonts w:hint="eastAsia" w:ascii="宋体" w:hAnsi="宋体"/>
          <w:color w:val="auto"/>
          <w:sz w:val="24"/>
          <w:szCs w:val="24"/>
          <w:highlight w:val="none"/>
          <w:lang w:val="zh-CN"/>
        </w:rPr>
        <w:t>遵守法律法规及</w:t>
      </w:r>
      <w:r>
        <w:rPr>
          <w:rFonts w:hint="eastAsia" w:ascii="宋体" w:hAnsi="宋体"/>
          <w:color w:val="auto"/>
          <w:sz w:val="24"/>
          <w:szCs w:val="24"/>
          <w:highlight w:val="none"/>
        </w:rPr>
        <w:t>谈判</w:t>
      </w:r>
      <w:r>
        <w:rPr>
          <w:rFonts w:hint="eastAsia" w:ascii="宋体" w:hAnsi="宋体"/>
          <w:color w:val="auto"/>
          <w:sz w:val="24"/>
          <w:szCs w:val="24"/>
          <w:highlight w:val="none"/>
          <w:lang w:val="zh-CN"/>
        </w:rPr>
        <w:t>文件规定的其他情况；</w:t>
      </w:r>
    </w:p>
    <w:p w14:paraId="4F516225">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3.5.4.7、投标人应按谈判文件规定及时缴纳中标服务费。</w:t>
      </w:r>
    </w:p>
    <w:p w14:paraId="0E016794">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3.5.5 违背承诺的责任追究措施</w:t>
      </w:r>
    </w:p>
    <w:p w14:paraId="55FBDA92">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投标人如违背上述承诺事项，应无条件接受以下责任追究：</w:t>
      </w:r>
    </w:p>
    <w:p w14:paraId="5B98BEAD">
      <w:pPr>
        <w:widowControl w:val="0"/>
        <w:tabs>
          <w:tab w:val="left" w:pos="65"/>
        </w:tabs>
        <w:spacing w:line="460" w:lineRule="atLeast"/>
        <w:ind w:firstLine="480" w:firstLineChars="200"/>
        <w:textAlignment w:val="auto"/>
        <w:rPr>
          <w:rFonts w:ascii="宋体" w:hAnsi="宋体"/>
          <w:color w:val="auto"/>
          <w:sz w:val="24"/>
          <w:szCs w:val="24"/>
          <w:highlight w:val="none"/>
          <w:lang w:val="zh-CN"/>
        </w:rPr>
      </w:pPr>
      <w:r>
        <w:rPr>
          <w:rFonts w:hint="eastAsia" w:ascii="宋体" w:hAnsi="宋体"/>
          <w:color w:val="auto"/>
          <w:sz w:val="24"/>
          <w:szCs w:val="24"/>
          <w:highlight w:val="none"/>
        </w:rPr>
        <w:t>3.5.5.1</w:t>
      </w:r>
      <w:r>
        <w:rPr>
          <w:rFonts w:hint="eastAsia" w:ascii="宋体" w:hAnsi="宋体"/>
          <w:color w:val="auto"/>
          <w:sz w:val="24"/>
          <w:szCs w:val="24"/>
          <w:highlight w:val="none"/>
          <w:lang w:val="zh-CN"/>
        </w:rPr>
        <w:t>法定责任：</w:t>
      </w:r>
      <w:r>
        <w:rPr>
          <w:rFonts w:hint="eastAsia" w:ascii="宋体" w:hAnsi="宋体"/>
          <w:color w:val="auto"/>
          <w:sz w:val="24"/>
          <w:szCs w:val="24"/>
          <w:highlight w:val="none"/>
        </w:rPr>
        <w:t>按照政府采购相关法规，</w:t>
      </w:r>
      <w:r>
        <w:rPr>
          <w:rFonts w:hint="eastAsia" w:ascii="宋体" w:hAnsi="宋体"/>
          <w:color w:val="auto"/>
          <w:sz w:val="24"/>
          <w:szCs w:val="24"/>
          <w:highlight w:val="none"/>
          <w:lang w:val="zh-CN"/>
        </w:rPr>
        <w:t>处以罚款，列入不良行为记录名单，在一至三年内禁止参加政府采购活动，有违法所得的，并处没收违法所得，情节严重的，由工商行政管理机关（市场监督机关）吊销营业执照；构成犯罪的，依法追究刑事责任。</w:t>
      </w:r>
    </w:p>
    <w:p w14:paraId="20B54E09">
      <w:pPr>
        <w:widowControl w:val="0"/>
        <w:tabs>
          <w:tab w:val="left" w:pos="65"/>
        </w:tabs>
        <w:spacing w:line="460" w:lineRule="atLeast"/>
        <w:ind w:firstLine="480" w:firstLineChars="200"/>
        <w:textAlignment w:val="auto"/>
        <w:rPr>
          <w:rFonts w:ascii="宋体" w:hAnsi="宋体"/>
          <w:color w:val="auto"/>
          <w:sz w:val="24"/>
          <w:szCs w:val="24"/>
          <w:highlight w:val="none"/>
          <w:lang w:val="zh-CN"/>
        </w:rPr>
      </w:pPr>
      <w:r>
        <w:rPr>
          <w:rFonts w:hint="eastAsia" w:ascii="宋体" w:hAnsi="宋体"/>
          <w:color w:val="auto"/>
          <w:sz w:val="24"/>
          <w:szCs w:val="24"/>
          <w:highlight w:val="none"/>
        </w:rPr>
        <w:t>给采购人及他人造成损失的，应承担相应的赔偿责任。</w:t>
      </w:r>
    </w:p>
    <w:p w14:paraId="2EFD2B71">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3.5.5.2</w:t>
      </w:r>
      <w:r>
        <w:rPr>
          <w:rFonts w:hint="eastAsia" w:ascii="宋体" w:hAnsi="宋体"/>
          <w:color w:val="auto"/>
          <w:sz w:val="24"/>
          <w:szCs w:val="24"/>
          <w:highlight w:val="none"/>
          <w:lang w:val="zh-CN"/>
        </w:rPr>
        <w:t>违约责任：</w:t>
      </w:r>
    </w:p>
    <w:p w14:paraId="0C3CD9B8">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3.5.5.2.1 已中标的，中标（成交）无效；</w:t>
      </w:r>
    </w:p>
    <w:p w14:paraId="30CFC132">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3.5.5.2.2 支付采购人违约标的预算金额2%的</w:t>
      </w:r>
      <w:r>
        <w:rPr>
          <w:rFonts w:hint="eastAsia" w:ascii="宋体" w:hAnsi="宋体"/>
          <w:color w:val="auto"/>
          <w:sz w:val="24"/>
          <w:szCs w:val="24"/>
          <w:highlight w:val="none"/>
          <w:lang w:val="zh-CN"/>
        </w:rPr>
        <w:t>违约金</w:t>
      </w:r>
      <w:r>
        <w:rPr>
          <w:rFonts w:hint="eastAsia" w:ascii="宋体" w:hAnsi="宋体"/>
          <w:color w:val="auto"/>
          <w:sz w:val="24"/>
          <w:szCs w:val="24"/>
          <w:highlight w:val="none"/>
        </w:rPr>
        <w:t>；</w:t>
      </w:r>
    </w:p>
    <w:p w14:paraId="5B2E6CF3">
      <w:pPr>
        <w:widowControl w:val="0"/>
        <w:tabs>
          <w:tab w:val="left" w:pos="65"/>
        </w:tabs>
        <w:spacing w:line="460" w:lineRule="atLeast"/>
        <w:ind w:firstLine="480" w:firstLineChars="200"/>
        <w:textAlignment w:val="auto"/>
        <w:rPr>
          <w:rFonts w:ascii="宋体" w:cs="楷体_GB2312"/>
          <w:color w:val="auto"/>
          <w:sz w:val="24"/>
          <w:highlight w:val="none"/>
          <w:lang w:val="zh-CN"/>
        </w:rPr>
      </w:pPr>
      <w:r>
        <w:rPr>
          <w:rFonts w:hint="eastAsia" w:ascii="宋体" w:hAnsi="宋体"/>
          <w:color w:val="auto"/>
          <w:sz w:val="24"/>
          <w:szCs w:val="24"/>
          <w:highlight w:val="none"/>
        </w:rPr>
        <w:t>3.5.5.2.3中标后未缴中标服</w:t>
      </w:r>
      <w:r>
        <w:rPr>
          <w:rFonts w:hint="eastAsia"/>
          <w:color w:val="auto"/>
          <w:sz w:val="24"/>
          <w:highlight w:val="none"/>
        </w:rPr>
        <w:t>务费的，作为违约及违背</w:t>
      </w:r>
      <w:r>
        <w:rPr>
          <w:color w:val="auto"/>
          <w:highlight w:val="none"/>
        </w:rPr>
        <w:fldChar w:fldCharType="begin"/>
      </w:r>
      <w:r>
        <w:rPr>
          <w:color w:val="auto"/>
          <w:highlight w:val="none"/>
        </w:rPr>
        <w:instrText xml:space="preserve"> HYPERLINK "http://www.so.com/s?q=%E8%AF%9A%E5%AE%9E%E4%BF%A1%E7%94%A8&amp;ie=utf-8&amp;src=internal_wenda_recommend_textn" \t "https://wenda.so.com/q/_blank" </w:instrText>
      </w:r>
      <w:r>
        <w:rPr>
          <w:color w:val="auto"/>
          <w:highlight w:val="none"/>
        </w:rPr>
        <w:fldChar w:fldCharType="separate"/>
      </w:r>
      <w:r>
        <w:rPr>
          <w:rFonts w:hint="eastAsia" w:ascii="宋体" w:hAnsi="宋体"/>
          <w:color w:val="auto"/>
          <w:sz w:val="24"/>
          <w:szCs w:val="24"/>
          <w:highlight w:val="none"/>
        </w:rPr>
        <w:t>诚实信用</w:t>
      </w:r>
      <w:r>
        <w:rPr>
          <w:rFonts w:hint="eastAsia" w:ascii="宋体" w:hAnsi="宋体"/>
          <w:color w:val="auto"/>
          <w:sz w:val="24"/>
          <w:szCs w:val="24"/>
          <w:highlight w:val="none"/>
        </w:rPr>
        <w:fldChar w:fldCharType="end"/>
      </w:r>
      <w:r>
        <w:rPr>
          <w:rFonts w:hint="eastAsia" w:ascii="宋体" w:hAnsi="宋体"/>
          <w:color w:val="auto"/>
          <w:sz w:val="24"/>
          <w:szCs w:val="24"/>
          <w:highlight w:val="none"/>
        </w:rPr>
        <w:t>原则，在履行承诺前，代理机构将视该单位为失信企业、不予办理其后相关业务。</w:t>
      </w:r>
    </w:p>
    <w:p w14:paraId="4ADC337D">
      <w:pPr>
        <w:autoSpaceDE w:val="0"/>
        <w:autoSpaceDN w:val="0"/>
        <w:adjustRightInd w:val="0"/>
        <w:spacing w:beforeLines="50" w:line="360" w:lineRule="auto"/>
        <w:ind w:firstLine="539"/>
        <w:rPr>
          <w:rFonts w:ascii="黑体" w:hAnsi="黑体" w:eastAsia="黑体" w:cs="楷体_GB2312"/>
          <w:b/>
          <w:bCs/>
          <w:color w:val="auto"/>
          <w:sz w:val="28"/>
          <w:szCs w:val="28"/>
          <w:highlight w:val="none"/>
          <w:lang w:val="zh-CN"/>
        </w:rPr>
      </w:pPr>
      <w:r>
        <w:rPr>
          <w:rFonts w:ascii="黑体" w:hAnsi="黑体" w:eastAsia="黑体" w:cs="楷体_GB2312"/>
          <w:b/>
          <w:color w:val="auto"/>
          <w:sz w:val="24"/>
          <w:highlight w:val="none"/>
          <w:lang w:val="zh-CN"/>
        </w:rPr>
        <w:t xml:space="preserve">3.6 </w:t>
      </w:r>
      <w:r>
        <w:rPr>
          <w:rFonts w:hint="eastAsia" w:ascii="黑体" w:hAnsi="黑体" w:eastAsia="黑体" w:cs="楷体_GB2312"/>
          <w:b/>
          <w:color w:val="auto"/>
          <w:sz w:val="24"/>
          <w:highlight w:val="none"/>
          <w:lang w:val="zh-CN"/>
        </w:rPr>
        <w:t>投标资格文件：</w:t>
      </w:r>
      <w:r>
        <w:rPr>
          <w:rFonts w:hint="eastAsia" w:ascii="宋体" w:hAnsi="宋体" w:cs="楷体_GB2312"/>
          <w:color w:val="auto"/>
          <w:sz w:val="24"/>
          <w:highlight w:val="none"/>
          <w:lang w:val="zh-CN"/>
        </w:rPr>
        <w:t>要求见谈判公告</w:t>
      </w:r>
    </w:p>
    <w:p w14:paraId="7FEED90F">
      <w:pPr>
        <w:topLinePunct/>
        <w:adjustRightInd w:val="0"/>
        <w:snapToGrid w:val="0"/>
        <w:spacing w:beforeLines="50" w:line="300" w:lineRule="auto"/>
        <w:ind w:left="561" w:leftChars="267" w:firstLine="5" w:firstLineChars="2"/>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3.7</w:t>
      </w:r>
      <w:r>
        <w:rPr>
          <w:rFonts w:hint="eastAsia" w:ascii="黑体" w:hAnsi="黑体" w:eastAsia="黑体" w:cs="楷体_GB2312"/>
          <w:b/>
          <w:color w:val="auto"/>
          <w:sz w:val="24"/>
          <w:highlight w:val="none"/>
          <w:lang w:val="zh-CN"/>
        </w:rPr>
        <w:t>投标文件的编制</w:t>
      </w:r>
    </w:p>
    <w:p w14:paraId="1BEA1BAE">
      <w:pPr>
        <w:topLinePunct/>
        <w:adjustRightInd w:val="0"/>
        <w:snapToGrid w:val="0"/>
        <w:spacing w:beforeLines="50" w:line="300" w:lineRule="auto"/>
        <w:ind w:firstLine="564" w:firstLineChars="235"/>
        <w:rPr>
          <w:rFonts w:ascii="宋体" w:hAnsi="宋体" w:cs="楷体_GB2312"/>
          <w:color w:val="auto"/>
          <w:sz w:val="24"/>
          <w:highlight w:val="none"/>
          <w:lang w:val="zh-CN"/>
        </w:rPr>
      </w:pPr>
      <w:r>
        <w:rPr>
          <w:rFonts w:ascii="宋体" w:hAnsi="宋体" w:cs="楷体_GB2312"/>
          <w:color w:val="auto"/>
          <w:sz w:val="24"/>
          <w:highlight w:val="none"/>
          <w:lang w:val="zh-CN"/>
        </w:rPr>
        <w:t>3.7.1</w:t>
      </w:r>
      <w:r>
        <w:rPr>
          <w:rFonts w:hint="eastAsia" w:ascii="宋体" w:hAnsi="宋体" w:cs="楷体_GB2312"/>
          <w:color w:val="auto"/>
          <w:sz w:val="24"/>
          <w:highlight w:val="none"/>
          <w:lang w:val="zh-CN"/>
        </w:rPr>
        <w:t>投标文件（响应文件）应按第六章“投标文件格式”进行编写，如有必要，可以增加附页，作为投标文件（响应文件）的组成部分。谈判文件中未列明格式的，由投标人按一般通用格式自行设计编写。</w:t>
      </w:r>
    </w:p>
    <w:p w14:paraId="34B08667">
      <w:pPr>
        <w:widowControl w:val="0"/>
        <w:adjustRightInd w:val="0"/>
        <w:spacing w:beforeLines="50" w:line="300" w:lineRule="auto"/>
        <w:ind w:firstLine="540" w:firstLineChars="225"/>
        <w:rPr>
          <w:rFonts w:ascii="宋体" w:hAnsi="宋体"/>
          <w:color w:val="auto"/>
          <w:sz w:val="24"/>
          <w:szCs w:val="24"/>
          <w:highlight w:val="none"/>
        </w:rPr>
      </w:pPr>
      <w:r>
        <w:rPr>
          <w:rFonts w:hint="eastAsia" w:ascii="宋体" w:hAnsi="宋体" w:cs="楷体_GB2312"/>
          <w:color w:val="auto"/>
          <w:sz w:val="24"/>
          <w:highlight w:val="none"/>
          <w:lang w:val="zh-CN"/>
        </w:rPr>
        <w:t>投标文件编制后，</w:t>
      </w:r>
      <w:r>
        <w:rPr>
          <w:rFonts w:hint="eastAsia" w:ascii="宋体" w:hAnsi="宋体"/>
          <w:color w:val="auto"/>
          <w:sz w:val="24"/>
          <w:szCs w:val="24"/>
          <w:highlight w:val="none"/>
        </w:rPr>
        <w:t>投标人应在投标截止时间前上传加密的电子投标文件（*.aytf）到安阳县公共资源交易平台。上传时投标人须使用制作该投标文件的同一CA锁进行上传操作。请投标人在上传时认真检查上传投标文件是否完整、正确。投标人应充分考虑上传文件时的不可预见因素，未在投标截止时间前完成上传的，视为逾期送达，安阳县公共资源交易平台将拒绝接收。</w:t>
      </w:r>
    </w:p>
    <w:p w14:paraId="46859A69">
      <w:pPr>
        <w:topLinePunct/>
        <w:adjustRightInd w:val="0"/>
        <w:snapToGrid w:val="0"/>
        <w:spacing w:beforeLines="50" w:line="300" w:lineRule="auto"/>
        <w:ind w:firstLine="564" w:firstLineChars="235"/>
        <w:rPr>
          <w:rFonts w:ascii="宋体" w:cs="楷体_GB2312"/>
          <w:color w:val="auto"/>
          <w:sz w:val="24"/>
          <w:highlight w:val="none"/>
          <w:lang w:val="zh-CN"/>
        </w:rPr>
      </w:pPr>
      <w:r>
        <w:rPr>
          <w:rFonts w:ascii="宋体" w:hAnsi="宋体" w:cs="楷体_GB2312"/>
          <w:color w:val="auto"/>
          <w:sz w:val="24"/>
          <w:highlight w:val="none"/>
          <w:lang w:val="zh-CN"/>
        </w:rPr>
        <w:t xml:space="preserve">3.7.2 </w:t>
      </w:r>
      <w:r>
        <w:rPr>
          <w:rFonts w:hint="eastAsia" w:ascii="宋体" w:hAnsi="宋体" w:cs="楷体_GB2312"/>
          <w:color w:val="auto"/>
          <w:sz w:val="24"/>
          <w:highlight w:val="none"/>
          <w:lang w:val="zh-CN"/>
        </w:rPr>
        <w:t>“投标文件格式”仅为对投标文件（响应文件）部分内容的格式化规范，并非投标文件所应具备的全部内容。投标人应按本章“</w:t>
      </w:r>
      <w:r>
        <w:rPr>
          <w:rFonts w:ascii="宋体" w:hAnsi="宋体" w:cs="楷体_GB2312"/>
          <w:color w:val="auto"/>
          <w:sz w:val="24"/>
          <w:highlight w:val="none"/>
          <w:lang w:val="zh-CN"/>
        </w:rPr>
        <w:t>3.2</w:t>
      </w:r>
      <w:r>
        <w:rPr>
          <w:rFonts w:hint="eastAsia" w:ascii="宋体" w:hAnsi="宋体" w:cs="楷体_GB2312"/>
          <w:color w:val="auto"/>
          <w:sz w:val="24"/>
          <w:highlight w:val="none"/>
          <w:lang w:val="zh-CN"/>
        </w:rPr>
        <w:t>投标文件的组成”列示内容编制投标文件（响应文件）。</w:t>
      </w:r>
    </w:p>
    <w:p w14:paraId="6EB335FD">
      <w:pPr>
        <w:adjustRightInd w:val="0"/>
        <w:snapToGrid w:val="0"/>
        <w:spacing w:beforeLines="50" w:line="300" w:lineRule="auto"/>
        <w:ind w:firstLine="480" w:firstLineChars="200"/>
        <w:rPr>
          <w:rFonts w:ascii="宋体" w:cs="楷体_GB2312"/>
          <w:color w:val="auto"/>
          <w:sz w:val="24"/>
          <w:highlight w:val="none"/>
          <w:lang w:val="zh-CN"/>
        </w:rPr>
      </w:pPr>
      <w:r>
        <w:rPr>
          <w:rFonts w:ascii="宋体" w:hAnsi="宋体" w:cs="楷体_GB2312"/>
          <w:color w:val="auto"/>
          <w:sz w:val="24"/>
          <w:highlight w:val="none"/>
          <w:lang w:val="zh-CN"/>
        </w:rPr>
        <w:t>3.7</w:t>
      </w:r>
      <w:r>
        <w:rPr>
          <w:rFonts w:ascii="宋体" w:cs="楷体_GB2312"/>
          <w:color w:val="auto"/>
          <w:sz w:val="24"/>
          <w:highlight w:val="none"/>
          <w:lang w:val="zh-CN"/>
        </w:rPr>
        <w:t>.</w:t>
      </w:r>
      <w:r>
        <w:rPr>
          <w:rFonts w:ascii="宋体" w:hAnsi="宋体" w:cs="楷体_GB2312"/>
          <w:color w:val="auto"/>
          <w:sz w:val="24"/>
          <w:highlight w:val="none"/>
          <w:lang w:val="zh-CN"/>
        </w:rPr>
        <w:t>3</w:t>
      </w:r>
      <w:r>
        <w:rPr>
          <w:rFonts w:hint="eastAsia" w:ascii="宋体" w:hAnsi="宋体" w:cs="楷体_GB2312"/>
          <w:color w:val="auto"/>
          <w:sz w:val="24"/>
          <w:highlight w:val="none"/>
          <w:lang w:val="zh-CN"/>
        </w:rPr>
        <w:t>投标文件（响应文件）应当对谈判文件有关标段（包）内容（范围）、技术要求、售后服务、交验期、投标有效期等实质性内容作出响应。在满足谈判文件实质性要求的基础上，可以提出比谈判文件要求更有利于采购人的承诺。并符合谈判文件偏差规定。</w:t>
      </w:r>
    </w:p>
    <w:p w14:paraId="54D9D028">
      <w:pPr>
        <w:adjustRightInd w:val="0"/>
        <w:snapToGrid w:val="0"/>
        <w:spacing w:beforeLines="50" w:line="300" w:lineRule="auto"/>
        <w:ind w:firstLine="480" w:firstLineChars="200"/>
        <w:rPr>
          <w:rFonts w:ascii="宋体" w:cs="楷体_GB2312"/>
          <w:color w:val="auto"/>
          <w:sz w:val="24"/>
          <w:highlight w:val="none"/>
          <w:lang w:val="zh-CN"/>
        </w:rPr>
      </w:pPr>
      <w:r>
        <w:rPr>
          <w:rFonts w:hint="eastAsia" w:ascii="宋体" w:hAnsi="宋体" w:cs="楷体_GB2312"/>
          <w:color w:val="auto"/>
          <w:sz w:val="24"/>
          <w:highlight w:val="none"/>
          <w:lang w:val="zh-CN"/>
        </w:rPr>
        <w:t>投标文件（响应文件）的所有条款与谈判文件要求有任何不同之处，应按《技术偏差表》、《其他偏差表》格式逐一填列。投标文件（响应文件）与谈判文件所有要求存在偏差而未填列的，谈判小组有权按照实质性判断原则（实质性要求和实质性响应两因素）评定其为</w:t>
      </w:r>
      <w:r>
        <w:rPr>
          <w:rFonts w:hint="eastAsia" w:ascii="宋体" w:hAnsi="宋体" w:cs="楷体_GB2312"/>
          <w:b/>
          <w:color w:val="auto"/>
          <w:sz w:val="24"/>
          <w:highlight w:val="none"/>
          <w:lang w:val="zh-CN"/>
        </w:rPr>
        <w:t>无效投标</w:t>
      </w:r>
      <w:r>
        <w:rPr>
          <w:rFonts w:hint="eastAsia" w:ascii="宋体" w:hAnsi="宋体" w:cs="楷体_GB2312"/>
          <w:color w:val="auto"/>
          <w:sz w:val="24"/>
          <w:highlight w:val="none"/>
          <w:lang w:val="zh-CN"/>
        </w:rPr>
        <w:t>。投标人应认真编制投标文件（响应文件）并自负此项风险。</w:t>
      </w:r>
    </w:p>
    <w:p w14:paraId="4EAE3B29">
      <w:pPr>
        <w:autoSpaceDE w:val="0"/>
        <w:autoSpaceDN w:val="0"/>
        <w:adjustRightInd w:val="0"/>
        <w:snapToGrid w:val="0"/>
        <w:spacing w:beforeLines="50" w:line="300" w:lineRule="auto"/>
        <w:ind w:firstLine="539"/>
        <w:rPr>
          <w:rFonts w:ascii="宋体" w:cs="楷体_GB2312"/>
          <w:b/>
          <w:color w:val="auto"/>
          <w:sz w:val="24"/>
          <w:highlight w:val="none"/>
        </w:rPr>
      </w:pPr>
      <w:r>
        <w:rPr>
          <w:rFonts w:ascii="宋体" w:hAnsi="宋体" w:cs="楷体_GB2312"/>
          <w:b/>
          <w:color w:val="auto"/>
          <w:sz w:val="24"/>
          <w:highlight w:val="none"/>
          <w:lang w:val="zh-CN"/>
        </w:rPr>
        <w:t>3.7.</w:t>
      </w:r>
      <w:r>
        <w:rPr>
          <w:rFonts w:hint="eastAsia" w:ascii="宋体" w:hAnsi="宋体" w:cs="楷体_GB2312"/>
          <w:b/>
          <w:color w:val="auto"/>
          <w:sz w:val="24"/>
          <w:highlight w:val="none"/>
          <w:lang w:val="zh-CN"/>
        </w:rPr>
        <w:t>4投标文件（响应文件）</w:t>
      </w:r>
      <w:r>
        <w:rPr>
          <w:rFonts w:hint="eastAsia" w:ascii="宋体" w:hAnsi="宋体" w:cs="楷体_GB2312"/>
          <w:b/>
          <w:color w:val="auto"/>
          <w:sz w:val="24"/>
          <w:highlight w:val="none"/>
        </w:rPr>
        <w:t>应</w:t>
      </w:r>
      <w:r>
        <w:rPr>
          <w:rFonts w:hint="eastAsia" w:ascii="宋体" w:hAnsi="宋体" w:cs="楷体_GB2312"/>
          <w:b/>
          <w:color w:val="auto"/>
          <w:sz w:val="24"/>
          <w:highlight w:val="none"/>
          <w:lang w:val="zh-CN"/>
        </w:rPr>
        <w:t>按谈判文件相关要求（含格式上标注的要求）、</w:t>
      </w:r>
      <w:r>
        <w:rPr>
          <w:rFonts w:hint="eastAsia" w:ascii="宋体" w:hAnsi="宋体" w:cs="楷体_GB2312"/>
          <w:b/>
          <w:color w:val="auto"/>
          <w:sz w:val="24"/>
          <w:highlight w:val="none"/>
        </w:rPr>
        <w:t>使用供应商企业数字证书进行电</w:t>
      </w:r>
      <w:r>
        <w:rPr>
          <w:rFonts w:ascii="宋体" w:hAnsi="宋体" w:cs="楷体_GB2312"/>
          <w:b/>
          <w:color w:val="auto"/>
          <w:sz w:val="24"/>
          <w:highlight w:val="none"/>
        </w:rPr>
        <w:t>子</w:t>
      </w:r>
      <w:r>
        <w:rPr>
          <w:rFonts w:hint="eastAsia" w:ascii="宋体" w:hAnsi="宋体" w:cs="楷体_GB2312"/>
          <w:b/>
          <w:color w:val="auto"/>
          <w:sz w:val="24"/>
          <w:highlight w:val="none"/>
        </w:rPr>
        <w:t>签章和供应商法定代表人数字证书进行电</w:t>
      </w:r>
      <w:r>
        <w:rPr>
          <w:rFonts w:ascii="宋体" w:hAnsi="宋体" w:cs="楷体_GB2312"/>
          <w:b/>
          <w:color w:val="auto"/>
          <w:sz w:val="24"/>
          <w:highlight w:val="none"/>
        </w:rPr>
        <w:t>子</w:t>
      </w:r>
      <w:r>
        <w:rPr>
          <w:rFonts w:hint="eastAsia" w:ascii="宋体" w:hAnsi="宋体" w:cs="楷体_GB2312"/>
          <w:b/>
          <w:color w:val="auto"/>
          <w:sz w:val="24"/>
          <w:highlight w:val="none"/>
        </w:rPr>
        <w:t>签名（签章）、并加密，没有使用供应商企业数字证书和供应商法定代表人数字证书进行电</w:t>
      </w:r>
      <w:r>
        <w:rPr>
          <w:rFonts w:ascii="宋体" w:hAnsi="宋体" w:cs="楷体_GB2312"/>
          <w:b/>
          <w:color w:val="auto"/>
          <w:sz w:val="24"/>
          <w:highlight w:val="none"/>
        </w:rPr>
        <w:t>子</w:t>
      </w:r>
      <w:r>
        <w:rPr>
          <w:rFonts w:hint="eastAsia" w:ascii="宋体" w:hAnsi="宋体" w:cs="楷体_GB2312"/>
          <w:b/>
          <w:color w:val="auto"/>
          <w:sz w:val="24"/>
          <w:highlight w:val="none"/>
        </w:rPr>
        <w:t>签名（签章）并加密的响应文件，属于未按照谈判文件要求进行签署。</w:t>
      </w:r>
    </w:p>
    <w:p w14:paraId="074C245C">
      <w:pPr>
        <w:autoSpaceDE w:val="0"/>
        <w:autoSpaceDN w:val="0"/>
        <w:adjustRightInd w:val="0"/>
        <w:snapToGrid w:val="0"/>
        <w:spacing w:beforeLines="50" w:line="300" w:lineRule="auto"/>
        <w:ind w:firstLine="539"/>
        <w:rPr>
          <w:rFonts w:ascii="宋体" w:cs="楷体_GB2312"/>
          <w:color w:val="auto"/>
          <w:sz w:val="24"/>
          <w:highlight w:val="none"/>
        </w:rPr>
      </w:pPr>
      <w:r>
        <w:rPr>
          <w:rFonts w:hint="eastAsia" w:ascii="宋体" w:hAnsi="宋体" w:cs="楷体_GB2312"/>
          <w:b/>
          <w:color w:val="auto"/>
          <w:sz w:val="24"/>
          <w:highlight w:val="none"/>
        </w:rPr>
        <w:t>根据《中华人民共和国电子签名法》规定，可靠的电子签名与手写签名或者盖章具有同等的法律效力。本次采购活动中，供应商使用有效的企业数字证书对响应文件进行电子签章与加盖投标</w:t>
      </w:r>
      <w:r>
        <w:rPr>
          <w:rFonts w:ascii="宋体" w:hAnsi="宋体" w:cs="楷体_GB2312"/>
          <w:b/>
          <w:color w:val="auto"/>
          <w:sz w:val="24"/>
          <w:highlight w:val="none"/>
        </w:rPr>
        <w:t>人公</w:t>
      </w:r>
      <w:r>
        <w:rPr>
          <w:rFonts w:hint="eastAsia" w:ascii="宋体" w:hAnsi="宋体" w:cs="楷体_GB2312"/>
          <w:b/>
          <w:color w:val="auto"/>
          <w:sz w:val="24"/>
          <w:highlight w:val="none"/>
        </w:rPr>
        <w:t>章具有同等法律效力；供应商法定代表人使用有效的个人数字证书对响应文件进行签名（签章）与法人签章具有同等法律效力。</w:t>
      </w:r>
    </w:p>
    <w:p w14:paraId="0B89B3C7">
      <w:pPr>
        <w:adjustRightInd w:val="0"/>
        <w:snapToGrid w:val="0"/>
        <w:spacing w:beforeLines="50" w:line="300" w:lineRule="auto"/>
        <w:ind w:firstLine="480" w:firstLineChars="200"/>
        <w:rPr>
          <w:rFonts w:ascii="宋体" w:cs="楷体_GB2312"/>
          <w:color w:val="auto"/>
          <w:sz w:val="24"/>
          <w:highlight w:val="none"/>
          <w:lang w:val="zh-CN"/>
        </w:rPr>
      </w:pPr>
      <w:r>
        <w:rPr>
          <w:rFonts w:ascii="宋体" w:hAnsi="宋体" w:cs="楷体_GB2312"/>
          <w:color w:val="auto"/>
          <w:sz w:val="24"/>
          <w:highlight w:val="none"/>
          <w:lang w:val="zh-CN"/>
        </w:rPr>
        <w:t>3.7.5</w:t>
      </w:r>
      <w:r>
        <w:rPr>
          <w:rFonts w:hint="eastAsia" w:ascii="宋体" w:hAnsi="宋体" w:cs="楷体_GB2312"/>
          <w:color w:val="auto"/>
          <w:sz w:val="24"/>
          <w:highlight w:val="none"/>
          <w:lang w:val="zh-CN"/>
        </w:rPr>
        <w:t>投标人可对本谈判文件“标段（包）一览表”中所列的所有标段（包）进行分别投标，也可选择其中一个标段（包）或几个标段（包）投标，但不得将谈判文件规定的同一标段（包）的内容拆开投标，否则将按</w:t>
      </w:r>
      <w:r>
        <w:rPr>
          <w:rFonts w:hint="eastAsia" w:ascii="宋体" w:hAnsi="宋体" w:cs="楷体_GB2312"/>
          <w:b/>
          <w:color w:val="auto"/>
          <w:sz w:val="24"/>
          <w:highlight w:val="none"/>
          <w:lang w:val="zh-CN"/>
        </w:rPr>
        <w:t>无效投标</w:t>
      </w:r>
      <w:r>
        <w:rPr>
          <w:rFonts w:hint="eastAsia" w:ascii="宋体" w:hAnsi="宋体" w:cs="楷体_GB2312"/>
          <w:color w:val="auto"/>
          <w:sz w:val="24"/>
          <w:highlight w:val="none"/>
          <w:lang w:val="zh-CN"/>
        </w:rPr>
        <w:t>处理。</w:t>
      </w:r>
    </w:p>
    <w:p w14:paraId="7C58A957">
      <w:pPr>
        <w:autoSpaceDE w:val="0"/>
        <w:autoSpaceDN w:val="0"/>
        <w:adjustRightInd w:val="0"/>
        <w:snapToGrid w:val="0"/>
        <w:spacing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3.7.6 </w:t>
      </w:r>
      <w:r>
        <w:rPr>
          <w:rFonts w:hint="eastAsia" w:ascii="宋体" w:hAnsi="宋体" w:cs="楷体_GB2312"/>
          <w:color w:val="auto"/>
          <w:sz w:val="24"/>
          <w:highlight w:val="none"/>
          <w:lang w:val="zh-CN"/>
        </w:rPr>
        <w:t>投标文件（响应文件）因字迹或表述不清所引起的后果由投标人自行负责。</w:t>
      </w:r>
    </w:p>
    <w:p w14:paraId="5A8021A4">
      <w:pPr>
        <w:autoSpaceDE w:val="0"/>
        <w:autoSpaceDN w:val="0"/>
        <w:adjustRightInd w:val="0"/>
        <w:snapToGrid w:val="0"/>
        <w:spacing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3.7.7 </w:t>
      </w:r>
      <w:r>
        <w:rPr>
          <w:rFonts w:hint="eastAsia" w:ascii="宋体" w:hAnsi="宋体" w:cs="楷体_GB2312"/>
          <w:color w:val="auto"/>
          <w:sz w:val="24"/>
          <w:highlight w:val="none"/>
          <w:lang w:val="zh-CN"/>
        </w:rPr>
        <w:t>未按上述要求提供的投标文件（响应文件）将视为</w:t>
      </w:r>
      <w:r>
        <w:rPr>
          <w:rFonts w:hint="eastAsia" w:ascii="宋体" w:hAnsi="宋体" w:cs="楷体_GB2312"/>
          <w:b/>
          <w:color w:val="auto"/>
          <w:sz w:val="24"/>
          <w:highlight w:val="none"/>
          <w:lang w:val="zh-CN"/>
        </w:rPr>
        <w:t>无效投标。</w:t>
      </w:r>
    </w:p>
    <w:p w14:paraId="5405962A">
      <w:pPr>
        <w:autoSpaceDE w:val="0"/>
        <w:autoSpaceDN w:val="0"/>
        <w:adjustRightInd w:val="0"/>
        <w:spacing w:line="360" w:lineRule="auto"/>
        <w:ind w:firstLine="539"/>
        <w:rPr>
          <w:rFonts w:ascii="黑体" w:hAnsi="黑体" w:eastAsia="黑体" w:cs="楷体_GB2312"/>
          <w:b/>
          <w:bCs/>
          <w:color w:val="auto"/>
          <w:sz w:val="28"/>
          <w:szCs w:val="28"/>
          <w:highlight w:val="none"/>
          <w:lang w:val="zh-CN"/>
        </w:rPr>
      </w:pPr>
    </w:p>
    <w:p w14:paraId="1ED6FE5C">
      <w:pPr>
        <w:autoSpaceDE w:val="0"/>
        <w:autoSpaceDN w:val="0"/>
        <w:adjustRightInd w:val="0"/>
        <w:snapToGrid w:val="0"/>
        <w:spacing w:beforeLines="50" w:line="300" w:lineRule="auto"/>
        <w:ind w:firstLine="539"/>
        <w:outlineLvl w:val="1"/>
        <w:rPr>
          <w:rFonts w:ascii="黑体" w:hAnsi="黑体" w:eastAsia="黑体" w:cs="楷体_GB2312"/>
          <w:b/>
          <w:bCs/>
          <w:color w:val="auto"/>
          <w:sz w:val="28"/>
          <w:szCs w:val="28"/>
          <w:highlight w:val="none"/>
          <w:lang w:val="zh-CN"/>
        </w:rPr>
      </w:pPr>
      <w:bookmarkStart w:id="29" w:name="_Toc209083633"/>
      <w:r>
        <w:rPr>
          <w:rFonts w:ascii="黑体" w:hAnsi="黑体" w:eastAsia="黑体" w:cs="楷体_GB2312"/>
          <w:b/>
          <w:bCs/>
          <w:color w:val="auto"/>
          <w:sz w:val="28"/>
          <w:szCs w:val="28"/>
          <w:highlight w:val="none"/>
          <w:lang w:val="zh-CN"/>
        </w:rPr>
        <w:t xml:space="preserve">4. </w:t>
      </w:r>
      <w:r>
        <w:rPr>
          <w:rFonts w:hint="eastAsia" w:ascii="黑体" w:hAnsi="黑体" w:eastAsia="黑体" w:cs="楷体_GB2312"/>
          <w:b/>
          <w:bCs/>
          <w:color w:val="auto"/>
          <w:sz w:val="28"/>
          <w:szCs w:val="28"/>
          <w:highlight w:val="none"/>
          <w:lang w:val="zh-CN"/>
        </w:rPr>
        <w:t>投标（响应文件的递交）</w:t>
      </w:r>
      <w:bookmarkEnd w:id="29"/>
    </w:p>
    <w:p w14:paraId="57116D38">
      <w:pPr>
        <w:autoSpaceDE w:val="0"/>
        <w:autoSpaceDN w:val="0"/>
        <w:adjustRightInd w:val="0"/>
        <w:snapToGrid w:val="0"/>
        <w:spacing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4.1 </w:t>
      </w:r>
      <w:r>
        <w:rPr>
          <w:rFonts w:hint="eastAsia" w:ascii="黑体" w:hAnsi="黑体" w:eastAsia="黑体" w:cs="楷体_GB2312"/>
          <w:b/>
          <w:color w:val="auto"/>
          <w:sz w:val="24"/>
          <w:highlight w:val="none"/>
          <w:lang w:val="zh-CN"/>
        </w:rPr>
        <w:t>投标文件（响应文件）的加</w:t>
      </w:r>
      <w:r>
        <w:rPr>
          <w:rFonts w:ascii="黑体" w:hAnsi="黑体" w:eastAsia="黑体" w:cs="楷体_GB2312"/>
          <w:b/>
          <w:color w:val="auto"/>
          <w:sz w:val="24"/>
          <w:highlight w:val="none"/>
          <w:lang w:val="zh-CN"/>
        </w:rPr>
        <w:t>密</w:t>
      </w:r>
      <w:r>
        <w:rPr>
          <w:rFonts w:hint="eastAsia" w:ascii="黑体" w:hAnsi="黑体" w:eastAsia="黑体" w:cs="楷体_GB2312"/>
          <w:b/>
          <w:color w:val="auto"/>
          <w:sz w:val="24"/>
          <w:highlight w:val="none"/>
          <w:lang w:val="zh-CN"/>
        </w:rPr>
        <w:t>和标记：</w:t>
      </w:r>
    </w:p>
    <w:p w14:paraId="671C9802">
      <w:pPr>
        <w:autoSpaceDE w:val="0"/>
        <w:autoSpaceDN w:val="0"/>
        <w:adjustRightInd w:val="0"/>
        <w:snapToGrid w:val="0"/>
        <w:spacing w:beforeLines="50" w:line="300" w:lineRule="auto"/>
        <w:ind w:firstLine="539"/>
        <w:rPr>
          <w:rFonts w:ascii="宋体" w:hAnsi="宋体" w:cs="楷体_GB2312"/>
          <w:b/>
          <w:color w:val="auto"/>
          <w:sz w:val="24"/>
          <w:highlight w:val="none"/>
          <w:lang w:val="zh-CN"/>
        </w:rPr>
      </w:pPr>
      <w:bookmarkStart w:id="30" w:name="OLE_LINK2"/>
      <w:r>
        <w:rPr>
          <w:rFonts w:ascii="宋体" w:hAnsi="宋体" w:cs="楷体_GB2312"/>
          <w:b/>
          <w:color w:val="auto"/>
          <w:sz w:val="24"/>
          <w:highlight w:val="none"/>
          <w:lang w:val="zh-CN"/>
        </w:rPr>
        <w:t xml:space="preserve">4.1.1 </w:t>
      </w:r>
      <w:r>
        <w:rPr>
          <w:rFonts w:hint="eastAsia" w:ascii="宋体" w:hAnsi="宋体" w:cs="楷体_GB2312"/>
          <w:b/>
          <w:color w:val="auto"/>
          <w:sz w:val="24"/>
          <w:highlight w:val="none"/>
          <w:lang w:val="zh-CN"/>
        </w:rPr>
        <w:t>投标文件（响应文件）应</w:t>
      </w:r>
      <w:r>
        <w:rPr>
          <w:rFonts w:ascii="宋体" w:hAnsi="宋体" w:cs="楷体_GB2312"/>
          <w:b/>
          <w:color w:val="auto"/>
          <w:sz w:val="24"/>
          <w:highlight w:val="none"/>
          <w:lang w:val="zh-CN"/>
        </w:rPr>
        <w:t>当</w:t>
      </w:r>
      <w:r>
        <w:rPr>
          <w:rFonts w:hint="eastAsia" w:ascii="宋体" w:hAnsi="宋体" w:cs="楷体_GB2312"/>
          <w:b/>
          <w:color w:val="auto"/>
          <w:sz w:val="24"/>
          <w:highlight w:val="none"/>
          <w:lang w:val="zh-CN"/>
        </w:rPr>
        <w:t>按网上电子交易系统要</w:t>
      </w:r>
      <w:r>
        <w:rPr>
          <w:rFonts w:ascii="宋体" w:hAnsi="宋体" w:cs="楷体_GB2312"/>
          <w:b/>
          <w:color w:val="auto"/>
          <w:sz w:val="24"/>
          <w:highlight w:val="none"/>
          <w:lang w:val="zh-CN"/>
        </w:rPr>
        <w:t>求</w:t>
      </w:r>
      <w:r>
        <w:rPr>
          <w:rFonts w:hint="eastAsia" w:ascii="宋体" w:hAnsi="宋体" w:cs="楷体_GB2312"/>
          <w:b/>
          <w:color w:val="auto"/>
          <w:sz w:val="24"/>
          <w:highlight w:val="none"/>
          <w:lang w:val="zh-CN"/>
        </w:rPr>
        <w:t>进行</w:t>
      </w:r>
      <w:r>
        <w:rPr>
          <w:rFonts w:ascii="宋体" w:hAnsi="宋体" w:cs="楷体_GB2312"/>
          <w:b/>
          <w:color w:val="auto"/>
          <w:sz w:val="24"/>
          <w:highlight w:val="none"/>
          <w:lang w:val="zh-CN"/>
        </w:rPr>
        <w:t>加密</w:t>
      </w:r>
      <w:r>
        <w:rPr>
          <w:rFonts w:hint="eastAsia" w:ascii="宋体" w:hAnsi="宋体" w:cs="楷体_GB2312"/>
          <w:b/>
          <w:color w:val="auto"/>
          <w:sz w:val="24"/>
          <w:highlight w:val="none"/>
          <w:lang w:val="zh-CN"/>
        </w:rPr>
        <w:t>和标记，</w:t>
      </w:r>
      <w:r>
        <w:rPr>
          <w:rFonts w:ascii="宋体" w:hAnsi="宋体" w:cs="楷体_GB2312"/>
          <w:b/>
          <w:color w:val="auto"/>
          <w:sz w:val="24"/>
          <w:highlight w:val="none"/>
          <w:lang w:val="zh-CN"/>
        </w:rPr>
        <w:t>在</w:t>
      </w:r>
      <w:r>
        <w:rPr>
          <w:rFonts w:hint="eastAsia" w:ascii="宋体" w:hAnsi="宋体" w:cs="楷体_GB2312"/>
          <w:b/>
          <w:color w:val="auto"/>
          <w:sz w:val="24"/>
          <w:highlight w:val="none"/>
          <w:lang w:val="zh-CN"/>
        </w:rPr>
        <w:t>投标文件（响应文件）提</w:t>
      </w:r>
      <w:r>
        <w:rPr>
          <w:rFonts w:ascii="宋体" w:hAnsi="宋体" w:cs="楷体_GB2312"/>
          <w:b/>
          <w:color w:val="auto"/>
          <w:sz w:val="24"/>
          <w:highlight w:val="none"/>
          <w:lang w:val="zh-CN"/>
        </w:rPr>
        <w:t>交</w:t>
      </w:r>
      <w:r>
        <w:rPr>
          <w:rFonts w:hint="eastAsia" w:ascii="宋体" w:hAnsi="宋体" w:cs="楷体_GB2312"/>
          <w:b/>
          <w:color w:val="auto"/>
          <w:sz w:val="24"/>
          <w:highlight w:val="none"/>
          <w:lang w:val="zh-CN"/>
        </w:rPr>
        <w:t>截止时间前，将</w:t>
      </w:r>
      <w:r>
        <w:rPr>
          <w:rFonts w:ascii="宋体" w:hAnsi="宋体" w:cs="楷体_GB2312"/>
          <w:b/>
          <w:color w:val="auto"/>
          <w:sz w:val="24"/>
          <w:highlight w:val="none"/>
          <w:lang w:val="zh-CN"/>
        </w:rPr>
        <w:t>加密的</w:t>
      </w:r>
      <w:r>
        <w:rPr>
          <w:rFonts w:hint="eastAsia" w:ascii="宋体" w:hAnsi="宋体" w:cs="楷体_GB2312"/>
          <w:b/>
          <w:color w:val="auto"/>
          <w:sz w:val="24"/>
          <w:highlight w:val="none"/>
          <w:lang w:val="zh-CN"/>
        </w:rPr>
        <w:t>投标文件（响应文件）</w:t>
      </w:r>
      <w:r>
        <w:rPr>
          <w:rFonts w:ascii="宋体" w:hAnsi="宋体" w:cs="楷体_GB2312"/>
          <w:b/>
          <w:color w:val="auto"/>
          <w:sz w:val="24"/>
          <w:highlight w:val="none"/>
          <w:lang w:val="zh-CN"/>
        </w:rPr>
        <w:t>上</w:t>
      </w:r>
      <w:r>
        <w:rPr>
          <w:rFonts w:hint="eastAsia" w:ascii="宋体" w:hAnsi="宋体" w:cs="楷体_GB2312"/>
          <w:b/>
          <w:color w:val="auto"/>
          <w:sz w:val="24"/>
          <w:highlight w:val="none"/>
          <w:lang w:val="zh-CN"/>
        </w:rPr>
        <w:t>传至谈判公告所述网上电子交易系</w:t>
      </w:r>
      <w:r>
        <w:rPr>
          <w:rFonts w:ascii="宋体" w:hAnsi="宋体" w:cs="楷体_GB2312"/>
          <w:b/>
          <w:color w:val="auto"/>
          <w:sz w:val="24"/>
          <w:highlight w:val="none"/>
          <w:lang w:val="zh-CN"/>
        </w:rPr>
        <w:t>统</w:t>
      </w:r>
      <w:r>
        <w:rPr>
          <w:rFonts w:hint="eastAsia" w:ascii="宋体" w:hAnsi="宋体" w:cs="楷体_GB2312"/>
          <w:b/>
          <w:color w:val="auto"/>
          <w:sz w:val="24"/>
          <w:highlight w:val="none"/>
          <w:lang w:val="zh-CN"/>
        </w:rPr>
        <w:t>。</w:t>
      </w:r>
    </w:p>
    <w:p w14:paraId="5AD2C92E">
      <w:pPr>
        <w:autoSpaceDE w:val="0"/>
        <w:autoSpaceDN w:val="0"/>
        <w:adjustRightInd w:val="0"/>
        <w:snapToGrid w:val="0"/>
        <w:spacing w:beforeLines="50" w:line="300" w:lineRule="auto"/>
        <w:ind w:firstLine="539"/>
        <w:rPr>
          <w:rFonts w:ascii="宋体" w:hAnsi="宋体" w:cs="楷体_GB2312"/>
          <w:b/>
          <w:color w:val="auto"/>
          <w:sz w:val="24"/>
          <w:highlight w:val="none"/>
          <w:lang w:val="zh-CN"/>
        </w:rPr>
      </w:pPr>
      <w:bookmarkStart w:id="31" w:name="OLE_LINK1"/>
      <w:r>
        <w:rPr>
          <w:rFonts w:ascii="宋体" w:hAnsi="宋体" w:cs="楷体_GB2312"/>
          <w:b/>
          <w:color w:val="auto"/>
          <w:sz w:val="24"/>
          <w:highlight w:val="none"/>
          <w:lang w:val="zh-CN"/>
        </w:rPr>
        <w:t xml:space="preserve">4.1.2 </w:t>
      </w:r>
      <w:r>
        <w:rPr>
          <w:rFonts w:hint="eastAsia" w:ascii="宋体" w:hAnsi="宋体" w:cs="楷体_GB2312"/>
          <w:b/>
          <w:color w:val="auto"/>
          <w:sz w:val="24"/>
          <w:highlight w:val="none"/>
          <w:lang w:val="zh-CN"/>
        </w:rPr>
        <w:t>投标文件（响应文件）没有按照上述要求进行</w:t>
      </w:r>
      <w:r>
        <w:rPr>
          <w:rFonts w:ascii="宋体" w:hAnsi="宋体" w:cs="楷体_GB2312"/>
          <w:b/>
          <w:color w:val="auto"/>
          <w:sz w:val="24"/>
          <w:highlight w:val="none"/>
          <w:lang w:val="zh-CN"/>
        </w:rPr>
        <w:t>加密</w:t>
      </w:r>
      <w:r>
        <w:rPr>
          <w:rFonts w:hint="eastAsia" w:ascii="黑体" w:hAnsi="黑体" w:eastAsia="黑体" w:cs="楷体_GB2312"/>
          <w:b/>
          <w:color w:val="auto"/>
          <w:sz w:val="24"/>
          <w:highlight w:val="none"/>
          <w:lang w:val="zh-CN"/>
        </w:rPr>
        <w:t>和标记</w:t>
      </w:r>
      <w:r>
        <w:rPr>
          <w:rFonts w:hint="eastAsia" w:ascii="宋体" w:hAnsi="宋体" w:cs="楷体_GB2312"/>
          <w:b/>
          <w:color w:val="auto"/>
          <w:sz w:val="24"/>
          <w:highlight w:val="none"/>
          <w:lang w:val="zh-CN"/>
        </w:rPr>
        <w:t>的、网上电子交易系</w:t>
      </w:r>
      <w:r>
        <w:rPr>
          <w:rFonts w:ascii="宋体" w:hAnsi="宋体" w:cs="楷体_GB2312"/>
          <w:b/>
          <w:color w:val="auto"/>
          <w:sz w:val="24"/>
          <w:highlight w:val="none"/>
          <w:lang w:val="zh-CN"/>
        </w:rPr>
        <w:t>统</w:t>
      </w:r>
      <w:r>
        <w:rPr>
          <w:rFonts w:hint="eastAsia" w:ascii="宋体" w:hAnsi="宋体" w:cs="楷体_GB2312"/>
          <w:b/>
          <w:color w:val="auto"/>
          <w:sz w:val="24"/>
          <w:highlight w:val="none"/>
          <w:lang w:val="zh-CN"/>
        </w:rPr>
        <w:t>将</w:t>
      </w:r>
      <w:r>
        <w:rPr>
          <w:rFonts w:ascii="宋体" w:hAnsi="宋体" w:cs="楷体_GB2312"/>
          <w:b/>
          <w:color w:val="auto"/>
          <w:sz w:val="24"/>
          <w:highlight w:val="none"/>
          <w:lang w:val="zh-CN"/>
        </w:rPr>
        <w:t>据系统设定</w:t>
      </w:r>
      <w:r>
        <w:rPr>
          <w:rFonts w:hint="eastAsia" w:ascii="宋体" w:hAnsi="宋体" w:cs="楷体_GB2312"/>
          <w:b/>
          <w:color w:val="auto"/>
          <w:sz w:val="24"/>
          <w:highlight w:val="none"/>
          <w:lang w:val="zh-CN"/>
        </w:rPr>
        <w:t>拒收其投标文件（响应文件），投标人应自负该项风险，采购代理机构对可能产</w:t>
      </w:r>
      <w:r>
        <w:rPr>
          <w:rFonts w:ascii="宋体" w:hAnsi="宋体" w:cs="楷体_GB2312"/>
          <w:b/>
          <w:color w:val="auto"/>
          <w:sz w:val="24"/>
          <w:highlight w:val="none"/>
          <w:lang w:val="zh-CN"/>
        </w:rPr>
        <w:t>生的</w:t>
      </w:r>
      <w:r>
        <w:rPr>
          <w:rFonts w:hint="eastAsia" w:ascii="宋体" w:hAnsi="宋体" w:cs="楷体_GB2312"/>
          <w:b/>
          <w:color w:val="auto"/>
          <w:sz w:val="24"/>
          <w:highlight w:val="none"/>
          <w:lang w:val="zh-CN"/>
        </w:rPr>
        <w:t>误投或提前启封概不负责。</w:t>
      </w:r>
      <w:bookmarkEnd w:id="30"/>
      <w:bookmarkEnd w:id="31"/>
      <w:bookmarkStart w:id="32" w:name="_Toc296602445"/>
    </w:p>
    <w:p w14:paraId="1D0DFD44">
      <w:pPr>
        <w:autoSpaceDE w:val="0"/>
        <w:autoSpaceDN w:val="0"/>
        <w:adjustRightInd w:val="0"/>
        <w:snapToGrid w:val="0"/>
        <w:spacing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4.2 </w:t>
      </w:r>
      <w:r>
        <w:rPr>
          <w:rFonts w:hint="eastAsia" w:ascii="黑体" w:hAnsi="黑体" w:eastAsia="黑体" w:cs="楷体_GB2312"/>
          <w:b/>
          <w:color w:val="auto"/>
          <w:sz w:val="24"/>
          <w:highlight w:val="none"/>
          <w:lang w:val="zh-CN"/>
        </w:rPr>
        <w:t>投标文件的递交</w:t>
      </w:r>
      <w:bookmarkEnd w:id="32"/>
    </w:p>
    <w:p w14:paraId="675EF9C4">
      <w:pPr>
        <w:autoSpaceDE w:val="0"/>
        <w:autoSpaceDN w:val="0"/>
        <w:adjustRightInd w:val="0"/>
        <w:snapToGrid w:val="0"/>
        <w:spacing w:beforeLines="50" w:line="300" w:lineRule="auto"/>
        <w:ind w:firstLine="539"/>
        <w:rPr>
          <w:rFonts w:ascii="宋体" w:hAnsi="宋体"/>
          <w:color w:val="auto"/>
          <w:sz w:val="24"/>
          <w:szCs w:val="24"/>
          <w:highlight w:val="none"/>
        </w:rPr>
      </w:pPr>
      <w:r>
        <w:rPr>
          <w:rFonts w:ascii="宋体" w:hAnsi="宋体" w:cs="楷体_GB2312"/>
          <w:b/>
          <w:color w:val="auto"/>
          <w:sz w:val="24"/>
          <w:highlight w:val="none"/>
          <w:lang w:val="zh-CN"/>
        </w:rPr>
        <w:t>4.2.1</w:t>
      </w:r>
      <w:r>
        <w:rPr>
          <w:rFonts w:hint="eastAsia" w:ascii="宋体" w:hAnsi="宋体"/>
          <w:color w:val="auto"/>
          <w:sz w:val="24"/>
          <w:szCs w:val="24"/>
          <w:highlight w:val="none"/>
        </w:rPr>
        <w:t>投标人应在投标截止时间前上传加密的电子投标文件（*.aytf）到安阳县公共资源交易平台。上传时投标人须使用制作该投标文件的同一CA锁进行上传操作。请投标人在上传时认真检查上传投标文件是否完整、正确。投标人应充分考虑上传文件时的不可预见因素，未在投标截止时间前完成上传的，视为逾期送达，安阳县公共资源交易平台将拒绝接收。</w:t>
      </w:r>
    </w:p>
    <w:p w14:paraId="50D50994">
      <w:pPr>
        <w:autoSpaceDE w:val="0"/>
        <w:autoSpaceDN w:val="0"/>
        <w:adjustRightInd w:val="0"/>
        <w:snapToGrid w:val="0"/>
        <w:spacing w:beforeLines="50" w:line="300" w:lineRule="auto"/>
        <w:ind w:firstLine="539"/>
        <w:rPr>
          <w:rFonts w:ascii="宋体" w:hAnsi="宋体" w:cs="楷体_GB2312"/>
          <w:b/>
          <w:color w:val="auto"/>
          <w:sz w:val="24"/>
          <w:highlight w:val="none"/>
          <w:lang w:val="zh-CN"/>
        </w:rPr>
      </w:pPr>
      <w:r>
        <w:rPr>
          <w:rFonts w:ascii="宋体" w:hAnsi="宋体" w:cs="楷体_GB2312"/>
          <w:b/>
          <w:color w:val="auto"/>
          <w:sz w:val="24"/>
          <w:highlight w:val="none"/>
          <w:lang w:val="zh-CN"/>
        </w:rPr>
        <w:t xml:space="preserve">4.2.2 </w:t>
      </w:r>
      <w:r>
        <w:rPr>
          <w:rFonts w:hint="eastAsia" w:ascii="宋体" w:hAnsi="宋体" w:cs="楷体_GB2312"/>
          <w:b/>
          <w:color w:val="auto"/>
          <w:sz w:val="24"/>
          <w:highlight w:val="none"/>
          <w:lang w:val="zh-CN"/>
        </w:rPr>
        <w:t>据网上电子交易系统设</w:t>
      </w:r>
      <w:r>
        <w:rPr>
          <w:rFonts w:ascii="宋体" w:hAnsi="宋体" w:cs="楷体_GB2312"/>
          <w:b/>
          <w:color w:val="auto"/>
          <w:sz w:val="24"/>
          <w:highlight w:val="none"/>
          <w:lang w:val="zh-CN"/>
        </w:rPr>
        <w:t>定，</w:t>
      </w:r>
      <w:r>
        <w:rPr>
          <w:rFonts w:hint="eastAsia" w:ascii="宋体" w:hAnsi="宋体" w:cs="楷体_GB2312"/>
          <w:b/>
          <w:color w:val="auto"/>
          <w:sz w:val="24"/>
          <w:highlight w:val="none"/>
          <w:lang w:val="zh-CN"/>
        </w:rPr>
        <w:t>投标文件（响应文件）提交截止时间后，系统将自动锁定已经提交的电子投标文件（响应文件），拒绝再次提交。投</w:t>
      </w:r>
      <w:r>
        <w:rPr>
          <w:rFonts w:ascii="宋体" w:hAnsi="宋体" w:cs="楷体_GB2312"/>
          <w:b/>
          <w:color w:val="auto"/>
          <w:sz w:val="24"/>
          <w:highlight w:val="none"/>
          <w:lang w:val="zh-CN"/>
        </w:rPr>
        <w:t>标人</w:t>
      </w:r>
      <w:r>
        <w:rPr>
          <w:rFonts w:hint="eastAsia" w:ascii="宋体" w:hAnsi="宋体" w:cs="楷体_GB2312"/>
          <w:b/>
          <w:color w:val="auto"/>
          <w:sz w:val="24"/>
          <w:highlight w:val="none"/>
          <w:lang w:val="zh-CN"/>
        </w:rPr>
        <w:t>将无法通过网上电子交易系统进行上传，采购代理机构将无法接受并拒绝接受投标截止时间以后提</w:t>
      </w:r>
      <w:r>
        <w:rPr>
          <w:rFonts w:ascii="宋体" w:hAnsi="宋体" w:cs="楷体_GB2312"/>
          <w:b/>
          <w:color w:val="auto"/>
          <w:sz w:val="24"/>
          <w:highlight w:val="none"/>
          <w:lang w:val="zh-CN"/>
        </w:rPr>
        <w:t>交</w:t>
      </w:r>
      <w:r>
        <w:rPr>
          <w:rFonts w:hint="eastAsia" w:ascii="宋体" w:hAnsi="宋体" w:cs="楷体_GB2312"/>
          <w:b/>
          <w:color w:val="auto"/>
          <w:sz w:val="24"/>
          <w:highlight w:val="none"/>
          <w:lang w:val="zh-CN"/>
        </w:rPr>
        <w:t>的投标文件（响应文件）</w:t>
      </w:r>
    </w:p>
    <w:p w14:paraId="31594B18">
      <w:pPr>
        <w:autoSpaceDE w:val="0"/>
        <w:autoSpaceDN w:val="0"/>
        <w:adjustRightInd w:val="0"/>
        <w:snapToGrid w:val="0"/>
        <w:spacing w:beforeLines="50" w:line="300" w:lineRule="auto"/>
        <w:ind w:firstLine="539"/>
        <w:rPr>
          <w:rFonts w:ascii="宋体" w:hAnsi="宋体" w:cs="楷体_GB2312"/>
          <w:color w:val="auto"/>
          <w:sz w:val="24"/>
          <w:highlight w:val="none"/>
          <w:lang w:val="zh-CN"/>
        </w:rPr>
      </w:pPr>
      <w:r>
        <w:rPr>
          <w:rFonts w:ascii="宋体" w:hAnsi="宋体" w:cs="楷体_GB2312"/>
          <w:color w:val="auto"/>
          <w:sz w:val="24"/>
          <w:highlight w:val="none"/>
          <w:lang w:val="zh-CN"/>
        </w:rPr>
        <w:t xml:space="preserve">4.2.3 </w:t>
      </w:r>
      <w:r>
        <w:rPr>
          <w:rFonts w:hint="eastAsia" w:ascii="宋体" w:hAnsi="宋体" w:cs="楷体_GB2312"/>
          <w:color w:val="auto"/>
          <w:sz w:val="24"/>
          <w:highlight w:val="none"/>
          <w:lang w:val="zh-CN"/>
        </w:rPr>
        <w:t>由于不可抗拒的原因，代理机构对投标文件（响应文件）的遗失和损坏不负任何责任。</w:t>
      </w:r>
    </w:p>
    <w:p w14:paraId="185C3F57">
      <w:pPr>
        <w:autoSpaceDE w:val="0"/>
        <w:autoSpaceDN w:val="0"/>
        <w:adjustRightInd w:val="0"/>
        <w:snapToGrid w:val="0"/>
        <w:spacing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4.2.4 </w:t>
      </w:r>
      <w:r>
        <w:rPr>
          <w:rFonts w:hint="eastAsia" w:ascii="宋体" w:hAnsi="宋体" w:cs="楷体_GB2312"/>
          <w:color w:val="auto"/>
          <w:sz w:val="24"/>
          <w:highlight w:val="none"/>
          <w:lang w:val="zh-CN"/>
        </w:rPr>
        <w:t>除投标人须知前附表另有规定外，投标人所递交的投标文件（响应文件）不予退还。</w:t>
      </w:r>
    </w:p>
    <w:p w14:paraId="44F2450F">
      <w:pPr>
        <w:autoSpaceDE w:val="0"/>
        <w:autoSpaceDN w:val="0"/>
        <w:adjustRightInd w:val="0"/>
        <w:snapToGrid w:val="0"/>
        <w:spacing w:beforeLines="50" w:line="300" w:lineRule="auto"/>
        <w:ind w:firstLine="539"/>
        <w:rPr>
          <w:rFonts w:ascii="宋体" w:hAnsi="宋体" w:cs="楷体_GB2312"/>
          <w:b/>
          <w:color w:val="auto"/>
          <w:sz w:val="24"/>
          <w:highlight w:val="none"/>
          <w:lang w:val="zh-CN"/>
        </w:rPr>
      </w:pPr>
      <w:r>
        <w:rPr>
          <w:rFonts w:ascii="宋体" w:hAnsi="宋体" w:cs="楷体_GB2312"/>
          <w:b/>
          <w:color w:val="auto"/>
          <w:sz w:val="24"/>
          <w:highlight w:val="none"/>
          <w:lang w:val="zh-CN"/>
        </w:rPr>
        <w:t xml:space="preserve">4.2.5 </w:t>
      </w:r>
      <w:r>
        <w:rPr>
          <w:rFonts w:hint="eastAsia" w:ascii="宋体" w:hAnsi="宋体" w:cs="楷体_GB2312"/>
          <w:b/>
          <w:color w:val="auto"/>
          <w:sz w:val="24"/>
          <w:highlight w:val="none"/>
          <w:lang w:val="zh-CN"/>
        </w:rPr>
        <w:t>基于</w:t>
      </w:r>
      <w:r>
        <w:rPr>
          <w:rFonts w:ascii="宋体" w:hAnsi="宋体" w:cs="楷体_GB2312"/>
          <w:b/>
          <w:color w:val="auto"/>
          <w:sz w:val="24"/>
          <w:highlight w:val="none"/>
          <w:lang w:val="zh-CN"/>
        </w:rPr>
        <w:t>网上电子交易的</w:t>
      </w:r>
      <w:r>
        <w:rPr>
          <w:rFonts w:hint="eastAsia" w:ascii="宋体" w:hAnsi="宋体" w:cs="楷体_GB2312"/>
          <w:b/>
          <w:color w:val="auto"/>
          <w:sz w:val="24"/>
          <w:highlight w:val="none"/>
          <w:lang w:val="zh-CN"/>
        </w:rPr>
        <w:t>系统</w:t>
      </w:r>
      <w:r>
        <w:rPr>
          <w:rFonts w:ascii="宋体" w:hAnsi="宋体" w:cs="楷体_GB2312"/>
          <w:b/>
          <w:color w:val="auto"/>
          <w:sz w:val="24"/>
          <w:highlight w:val="none"/>
          <w:lang w:val="zh-CN"/>
        </w:rPr>
        <w:t>要求及</w:t>
      </w:r>
      <w:r>
        <w:rPr>
          <w:rFonts w:hint="eastAsia" w:ascii="宋体" w:hAnsi="宋体" w:cs="楷体_GB2312"/>
          <w:b/>
          <w:color w:val="auto"/>
          <w:sz w:val="24"/>
          <w:highlight w:val="none"/>
          <w:lang w:val="zh-CN"/>
        </w:rPr>
        <w:t>特点</w:t>
      </w:r>
      <w:r>
        <w:rPr>
          <w:rFonts w:ascii="宋体" w:hAnsi="宋体" w:cs="楷体_GB2312"/>
          <w:b/>
          <w:color w:val="auto"/>
          <w:sz w:val="24"/>
          <w:highlight w:val="none"/>
          <w:lang w:val="zh-CN"/>
        </w:rPr>
        <w:t>，</w:t>
      </w:r>
      <w:r>
        <w:rPr>
          <w:rFonts w:hint="eastAsia" w:ascii="宋体" w:hAnsi="宋体" w:cs="楷体_GB2312"/>
          <w:b/>
          <w:color w:val="auto"/>
          <w:sz w:val="24"/>
          <w:highlight w:val="none"/>
          <w:lang w:val="zh-CN"/>
        </w:rPr>
        <w:t>只</w:t>
      </w:r>
      <w:r>
        <w:rPr>
          <w:rFonts w:ascii="宋体" w:hAnsi="宋体" w:cs="楷体_GB2312"/>
          <w:b/>
          <w:color w:val="auto"/>
          <w:sz w:val="24"/>
          <w:highlight w:val="none"/>
          <w:lang w:val="zh-CN"/>
        </w:rPr>
        <w:t>接受基于</w:t>
      </w:r>
      <w:r>
        <w:rPr>
          <w:rFonts w:hint="eastAsia" w:ascii="宋体" w:hAnsi="宋体" w:cs="楷体_GB2312"/>
          <w:b/>
          <w:color w:val="auto"/>
          <w:sz w:val="24"/>
          <w:highlight w:val="none"/>
          <w:lang w:val="zh-CN"/>
        </w:rPr>
        <w:t>符</w:t>
      </w:r>
      <w:r>
        <w:rPr>
          <w:rFonts w:ascii="宋体" w:hAnsi="宋体" w:cs="楷体_GB2312"/>
          <w:b/>
          <w:color w:val="auto"/>
          <w:sz w:val="24"/>
          <w:highlight w:val="none"/>
          <w:lang w:val="zh-CN"/>
        </w:rPr>
        <w:t>合</w:t>
      </w:r>
      <w:r>
        <w:rPr>
          <w:rFonts w:hint="eastAsia" w:ascii="宋体" w:hAnsi="宋体" w:cs="楷体_GB2312"/>
          <w:b/>
          <w:color w:val="auto"/>
          <w:sz w:val="24"/>
          <w:highlight w:val="none"/>
          <w:lang w:val="zh-CN"/>
        </w:rPr>
        <w:t>网上电子交易系统要</w:t>
      </w:r>
      <w:r>
        <w:rPr>
          <w:rFonts w:ascii="宋体" w:hAnsi="宋体" w:cs="楷体_GB2312"/>
          <w:b/>
          <w:color w:val="auto"/>
          <w:sz w:val="24"/>
          <w:highlight w:val="none"/>
          <w:lang w:val="zh-CN"/>
        </w:rPr>
        <w:t>求</w:t>
      </w:r>
      <w:r>
        <w:rPr>
          <w:rFonts w:hint="eastAsia" w:ascii="宋体" w:hAnsi="宋体" w:cs="楷体_GB2312"/>
          <w:b/>
          <w:color w:val="auto"/>
          <w:sz w:val="24"/>
          <w:highlight w:val="none"/>
          <w:lang w:val="zh-CN"/>
        </w:rPr>
        <w:t>的</w:t>
      </w:r>
      <w:r>
        <w:rPr>
          <w:rFonts w:ascii="宋体" w:hAnsi="宋体" w:cs="楷体_GB2312"/>
          <w:b/>
          <w:color w:val="auto"/>
          <w:sz w:val="24"/>
          <w:highlight w:val="none"/>
          <w:lang w:val="zh-CN"/>
        </w:rPr>
        <w:t>投标</w:t>
      </w:r>
      <w:r>
        <w:rPr>
          <w:rFonts w:hint="eastAsia" w:ascii="宋体" w:hAnsi="宋体" w:cs="楷体_GB2312"/>
          <w:b/>
          <w:color w:val="auto"/>
          <w:sz w:val="24"/>
          <w:highlight w:val="none"/>
          <w:lang w:val="zh-CN"/>
        </w:rPr>
        <w:t>，</w:t>
      </w:r>
      <w:r>
        <w:rPr>
          <w:rFonts w:ascii="宋体" w:hAnsi="宋体" w:cs="楷体_GB2312"/>
          <w:b/>
          <w:color w:val="auto"/>
          <w:sz w:val="24"/>
          <w:highlight w:val="none"/>
          <w:lang w:val="zh-CN"/>
        </w:rPr>
        <w:t>其他如纸制、送达、</w:t>
      </w:r>
      <w:r>
        <w:rPr>
          <w:rFonts w:hint="eastAsia" w:ascii="宋体" w:hAnsi="宋体" w:cs="楷体_GB2312"/>
          <w:b/>
          <w:color w:val="auto"/>
          <w:sz w:val="24"/>
          <w:highlight w:val="none"/>
          <w:lang w:val="zh-CN"/>
        </w:rPr>
        <w:t>电报、电话、电子邮件等形式的投标概不接受。</w:t>
      </w:r>
    </w:p>
    <w:p w14:paraId="06405850">
      <w:pPr>
        <w:autoSpaceDE w:val="0"/>
        <w:autoSpaceDN w:val="0"/>
        <w:adjustRightInd w:val="0"/>
        <w:snapToGrid w:val="0"/>
        <w:spacing w:beforeLines="50" w:line="300" w:lineRule="auto"/>
        <w:ind w:firstLine="539"/>
        <w:rPr>
          <w:rFonts w:ascii="宋体" w:cs="楷体_GB2312"/>
          <w:color w:val="auto"/>
          <w:sz w:val="24"/>
          <w:highlight w:val="none"/>
          <w:lang w:val="zh-CN"/>
        </w:rPr>
      </w:pPr>
      <w:r>
        <w:rPr>
          <w:rFonts w:ascii="黑体" w:hAnsi="黑体" w:eastAsia="黑体" w:cs="楷体_GB2312"/>
          <w:b/>
          <w:color w:val="auto"/>
          <w:sz w:val="24"/>
          <w:highlight w:val="none"/>
          <w:lang w:val="zh-CN"/>
        </w:rPr>
        <w:t xml:space="preserve">4.3 </w:t>
      </w:r>
      <w:r>
        <w:rPr>
          <w:rFonts w:hint="eastAsia" w:ascii="黑体" w:hAnsi="黑体" w:eastAsia="黑体" w:cs="楷体_GB2312"/>
          <w:b/>
          <w:color w:val="auto"/>
          <w:sz w:val="24"/>
          <w:highlight w:val="none"/>
          <w:lang w:val="zh-CN"/>
        </w:rPr>
        <w:t>投标文件（响应文件）的修改与撤回</w:t>
      </w:r>
      <w:r>
        <w:rPr>
          <w:rFonts w:hint="eastAsia" w:ascii="宋体" w:hAnsi="宋体" w:cs="楷体_GB2312"/>
          <w:color w:val="auto"/>
          <w:sz w:val="24"/>
          <w:highlight w:val="none"/>
          <w:lang w:val="zh-CN"/>
        </w:rPr>
        <w:t>：</w:t>
      </w:r>
    </w:p>
    <w:p w14:paraId="04F37A92">
      <w:pPr>
        <w:autoSpaceDE w:val="0"/>
        <w:autoSpaceDN w:val="0"/>
        <w:adjustRightInd w:val="0"/>
        <w:snapToGrid w:val="0"/>
        <w:spacing w:beforeLines="50" w:line="300" w:lineRule="auto"/>
        <w:ind w:firstLine="539"/>
        <w:rPr>
          <w:rFonts w:ascii="宋体" w:hAnsi="宋体" w:cs="楷体_GB2312"/>
          <w:b/>
          <w:color w:val="auto"/>
          <w:sz w:val="24"/>
          <w:highlight w:val="none"/>
          <w:lang w:val="zh-CN"/>
        </w:rPr>
      </w:pPr>
      <w:r>
        <w:rPr>
          <w:rFonts w:ascii="宋体" w:hAnsi="宋体" w:cs="楷体_GB2312"/>
          <w:b/>
          <w:color w:val="auto"/>
          <w:sz w:val="24"/>
          <w:highlight w:val="none"/>
          <w:lang w:val="zh-CN"/>
        </w:rPr>
        <w:t>4.3.1</w:t>
      </w:r>
      <w:r>
        <w:rPr>
          <w:rFonts w:hint="eastAsia" w:ascii="宋体" w:hAnsi="宋体" w:cs="楷体_GB2312"/>
          <w:b/>
          <w:color w:val="auto"/>
          <w:sz w:val="24"/>
          <w:highlight w:val="none"/>
          <w:lang w:val="zh-CN"/>
        </w:rPr>
        <w:t xml:space="preserve"> 投标人于提交投标文件（响应文件）截止时间前如对投标文件进行补充、修改，可以上传新的投标文件进行覆盖。投标人如撤回投标文件，应及时书面通知采购代理机构进行办理。</w:t>
      </w:r>
    </w:p>
    <w:p w14:paraId="3A83E793">
      <w:pPr>
        <w:autoSpaceDE w:val="0"/>
        <w:autoSpaceDN w:val="0"/>
        <w:adjustRightInd w:val="0"/>
        <w:snapToGrid w:val="0"/>
        <w:spacing w:beforeLines="50" w:line="300" w:lineRule="auto"/>
        <w:ind w:firstLine="539"/>
        <w:rPr>
          <w:rFonts w:ascii="宋体" w:hAnsi="宋体" w:cs="楷体_GB2312"/>
          <w:b/>
          <w:color w:val="auto"/>
          <w:sz w:val="24"/>
          <w:highlight w:val="none"/>
          <w:lang w:val="zh-CN"/>
        </w:rPr>
      </w:pPr>
      <w:r>
        <w:rPr>
          <w:rFonts w:ascii="宋体" w:hAnsi="宋体" w:cs="楷体_GB2312"/>
          <w:b/>
          <w:color w:val="auto"/>
          <w:sz w:val="24"/>
          <w:highlight w:val="none"/>
          <w:lang w:val="zh-CN"/>
        </w:rPr>
        <w:t>4.3.</w:t>
      </w:r>
      <w:r>
        <w:rPr>
          <w:rFonts w:hint="eastAsia" w:ascii="宋体" w:hAnsi="宋体" w:cs="楷体_GB2312"/>
          <w:b/>
          <w:color w:val="auto"/>
          <w:sz w:val="24"/>
          <w:highlight w:val="none"/>
          <w:lang w:val="zh-CN"/>
        </w:rPr>
        <w:t>2 投标人在投标文件（响应文件）提</w:t>
      </w:r>
      <w:r>
        <w:rPr>
          <w:rFonts w:ascii="宋体" w:hAnsi="宋体" w:cs="楷体_GB2312"/>
          <w:b/>
          <w:color w:val="auto"/>
          <w:sz w:val="24"/>
          <w:highlight w:val="none"/>
          <w:lang w:val="zh-CN"/>
        </w:rPr>
        <w:t>交</w:t>
      </w:r>
      <w:r>
        <w:rPr>
          <w:rFonts w:hint="eastAsia" w:ascii="宋体" w:hAnsi="宋体" w:cs="楷体_GB2312"/>
          <w:b/>
          <w:color w:val="auto"/>
          <w:sz w:val="24"/>
          <w:highlight w:val="none"/>
          <w:lang w:val="zh-CN"/>
        </w:rPr>
        <w:t>截止时间后不得自行修改或撤回其投标，否则</w:t>
      </w:r>
      <w:r>
        <w:rPr>
          <w:rFonts w:hint="eastAsia" w:ascii="宋体" w:hAnsi="宋体"/>
          <w:color w:val="auto"/>
          <w:sz w:val="24"/>
          <w:szCs w:val="24"/>
          <w:highlight w:val="none"/>
        </w:rPr>
        <w:t>依据谈判文件“第三章</w:t>
      </w:r>
      <w:r>
        <w:rPr>
          <w:rFonts w:hint="eastAsia" w:ascii="宋体" w:hAnsi="宋体" w:cs="楷体_GB2312"/>
          <w:color w:val="auto"/>
          <w:sz w:val="24"/>
          <w:szCs w:val="22"/>
          <w:highlight w:val="none"/>
        </w:rPr>
        <w:t>3.5.5 违背承诺的责任追究措施</w:t>
      </w:r>
      <w:r>
        <w:rPr>
          <w:rFonts w:hint="eastAsia" w:ascii="宋体" w:hAnsi="宋体"/>
          <w:color w:val="auto"/>
          <w:sz w:val="24"/>
          <w:szCs w:val="24"/>
          <w:highlight w:val="none"/>
        </w:rPr>
        <w:t>”，投标人</w:t>
      </w:r>
      <w:r>
        <w:rPr>
          <w:rFonts w:hint="eastAsia" w:ascii="宋体" w:hAnsi="宋体" w:cs="楷体_GB2312"/>
          <w:color w:val="auto"/>
          <w:sz w:val="24"/>
          <w:szCs w:val="22"/>
          <w:highlight w:val="none"/>
        </w:rPr>
        <w:t>承担相应法律责任及违约责任。</w:t>
      </w:r>
    </w:p>
    <w:p w14:paraId="59739D1A">
      <w:pPr>
        <w:autoSpaceDE w:val="0"/>
        <w:autoSpaceDN w:val="0"/>
        <w:adjustRightInd w:val="0"/>
        <w:snapToGrid w:val="0"/>
        <w:spacing w:beforeLines="50" w:line="300" w:lineRule="auto"/>
        <w:ind w:firstLine="539"/>
        <w:rPr>
          <w:rFonts w:ascii="宋体" w:cs="楷体_GB2312"/>
          <w:color w:val="auto"/>
          <w:sz w:val="24"/>
          <w:highlight w:val="none"/>
          <w:lang w:val="zh-CN"/>
        </w:rPr>
      </w:pPr>
    </w:p>
    <w:p w14:paraId="53014568">
      <w:pPr>
        <w:autoSpaceDE w:val="0"/>
        <w:autoSpaceDN w:val="0"/>
        <w:adjustRightInd w:val="0"/>
        <w:snapToGrid w:val="0"/>
        <w:spacing w:beforeLines="50" w:line="300" w:lineRule="auto"/>
        <w:ind w:firstLine="539"/>
        <w:outlineLvl w:val="1"/>
        <w:rPr>
          <w:rFonts w:ascii="宋体" w:cs="楷体_GB2312"/>
          <w:color w:val="auto"/>
          <w:sz w:val="24"/>
          <w:highlight w:val="none"/>
          <w:lang w:val="zh-CN"/>
        </w:rPr>
      </w:pPr>
      <w:bookmarkStart w:id="33" w:name="_Toc209083634"/>
      <w:r>
        <w:rPr>
          <w:rFonts w:ascii="黑体" w:hAnsi="黑体" w:eastAsia="黑体" w:cs="楷体_GB2312"/>
          <w:b/>
          <w:bCs/>
          <w:color w:val="auto"/>
          <w:sz w:val="28"/>
          <w:szCs w:val="28"/>
          <w:highlight w:val="none"/>
          <w:lang w:val="zh-CN"/>
        </w:rPr>
        <w:t xml:space="preserve">5. </w:t>
      </w:r>
      <w:r>
        <w:rPr>
          <w:rFonts w:hint="eastAsia" w:ascii="黑体" w:hAnsi="黑体" w:eastAsia="黑体" w:cs="楷体_GB2312"/>
          <w:b/>
          <w:bCs/>
          <w:color w:val="auto"/>
          <w:sz w:val="28"/>
          <w:szCs w:val="28"/>
          <w:highlight w:val="none"/>
          <w:lang w:val="zh-CN"/>
        </w:rPr>
        <w:t>开标（响应文件的开启）</w:t>
      </w:r>
      <w:bookmarkEnd w:id="33"/>
    </w:p>
    <w:p w14:paraId="3FDC74D7">
      <w:pPr>
        <w:autoSpaceDE w:val="0"/>
        <w:autoSpaceDN w:val="0"/>
        <w:adjustRightInd w:val="0"/>
        <w:snapToGrid w:val="0"/>
        <w:spacing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5.1 </w:t>
      </w:r>
      <w:r>
        <w:rPr>
          <w:rFonts w:hint="eastAsia" w:ascii="黑体" w:hAnsi="黑体" w:eastAsia="黑体" w:cs="楷体_GB2312"/>
          <w:b/>
          <w:color w:val="auto"/>
          <w:sz w:val="24"/>
          <w:highlight w:val="none"/>
          <w:lang w:val="zh-CN"/>
        </w:rPr>
        <w:t>开标时间和地点</w:t>
      </w:r>
    </w:p>
    <w:p w14:paraId="302BDA12">
      <w:pPr>
        <w:autoSpaceDE w:val="0"/>
        <w:autoSpaceDN w:val="0"/>
        <w:adjustRightInd w:val="0"/>
        <w:snapToGrid w:val="0"/>
        <w:spacing w:beforeLines="50" w:line="300" w:lineRule="auto"/>
        <w:ind w:firstLine="539"/>
        <w:rPr>
          <w:rFonts w:ascii="宋体" w:hAnsi="宋体" w:cs="楷体_GB2312"/>
          <w:b/>
          <w:color w:val="auto"/>
          <w:sz w:val="24"/>
          <w:highlight w:val="none"/>
          <w:lang w:val="zh-CN"/>
        </w:rPr>
      </w:pPr>
      <w:r>
        <w:rPr>
          <w:rFonts w:ascii="宋体" w:hAnsi="宋体" w:cs="楷体_GB2312"/>
          <w:b/>
          <w:color w:val="auto"/>
          <w:sz w:val="24"/>
          <w:highlight w:val="none"/>
          <w:lang w:val="zh-CN"/>
        </w:rPr>
        <w:t xml:space="preserve">5.1.1 </w:t>
      </w:r>
      <w:r>
        <w:rPr>
          <w:rFonts w:hint="eastAsia" w:ascii="宋体" w:hAnsi="宋体" w:cs="楷体_GB2312"/>
          <w:b/>
          <w:color w:val="auto"/>
          <w:sz w:val="24"/>
          <w:highlight w:val="none"/>
          <w:lang w:val="zh-CN"/>
        </w:rPr>
        <w:t>采购人和采购代理机构按谈判公告规定的时间和地点于</w:t>
      </w:r>
      <w:r>
        <w:rPr>
          <w:rFonts w:ascii="宋体" w:hAnsi="宋体" w:cs="楷体_GB2312"/>
          <w:b/>
          <w:color w:val="auto"/>
          <w:sz w:val="24"/>
          <w:highlight w:val="none"/>
          <w:lang w:val="zh-CN"/>
        </w:rPr>
        <w:t>网上</w:t>
      </w:r>
      <w:r>
        <w:rPr>
          <w:rFonts w:hint="eastAsia" w:ascii="宋体" w:hAnsi="宋体" w:cs="楷体_GB2312"/>
          <w:b/>
          <w:color w:val="auto"/>
          <w:sz w:val="24"/>
          <w:highlight w:val="none"/>
          <w:lang w:val="zh-CN"/>
        </w:rPr>
        <w:t>（谈判公告所述网上电子交易系统</w:t>
      </w:r>
      <w:r>
        <w:rPr>
          <w:rFonts w:ascii="宋体" w:hAnsi="宋体" w:cs="楷体_GB2312"/>
          <w:b/>
          <w:color w:val="auto"/>
          <w:sz w:val="24"/>
          <w:highlight w:val="none"/>
          <w:lang w:val="zh-CN"/>
        </w:rPr>
        <w:t>）</w:t>
      </w:r>
      <w:r>
        <w:rPr>
          <w:rFonts w:hint="eastAsia" w:ascii="宋体" w:hAnsi="宋体" w:cs="楷体_GB2312"/>
          <w:b/>
          <w:color w:val="auto"/>
          <w:sz w:val="24"/>
          <w:highlight w:val="none"/>
          <w:lang w:val="zh-CN"/>
        </w:rPr>
        <w:t>公开开标。</w:t>
      </w:r>
    </w:p>
    <w:p w14:paraId="7B446AA3">
      <w:pPr>
        <w:autoSpaceDE w:val="0"/>
        <w:autoSpaceDN w:val="0"/>
        <w:adjustRightInd w:val="0"/>
        <w:snapToGrid w:val="0"/>
        <w:spacing w:beforeLines="50" w:line="300" w:lineRule="auto"/>
        <w:ind w:firstLine="539"/>
        <w:rPr>
          <w:rFonts w:ascii="宋体" w:hAnsi="宋体" w:cs="楷体_GB2312"/>
          <w:b/>
          <w:color w:val="auto"/>
          <w:sz w:val="24"/>
          <w:highlight w:val="none"/>
          <w:lang w:val="zh-CN"/>
        </w:rPr>
      </w:pPr>
      <w:r>
        <w:rPr>
          <w:rFonts w:ascii="宋体" w:hAnsi="宋体" w:cs="楷体_GB2312"/>
          <w:b/>
          <w:color w:val="auto"/>
          <w:sz w:val="24"/>
          <w:highlight w:val="none"/>
          <w:lang w:val="zh-CN"/>
        </w:rPr>
        <w:t>5.1.2</w:t>
      </w:r>
      <w:r>
        <w:rPr>
          <w:rFonts w:hint="eastAsia" w:ascii="宋体" w:hAnsi="宋体" w:cs="楷体_GB2312"/>
          <w:b/>
          <w:color w:val="auto"/>
          <w:sz w:val="24"/>
          <w:highlight w:val="none"/>
          <w:lang w:val="zh-CN"/>
        </w:rPr>
        <w:t>本项目采用远程不见面交易的模式，开标当日，投标人无需到开标现场参加开标会议，投标人应当在投标截止时间前，使用IE浏览器登录到安阳市公共资源交易不见面开标大厅，点击右上方【登录】按钮进入，在线准时参加开标活动并进行投标文件解密等。因投标人原因未能解密、解密失败或解密超时的将被拒绝。</w:t>
      </w:r>
    </w:p>
    <w:p w14:paraId="40E38597">
      <w:pPr>
        <w:autoSpaceDE w:val="0"/>
        <w:autoSpaceDN w:val="0"/>
        <w:adjustRightInd w:val="0"/>
        <w:snapToGrid w:val="0"/>
        <w:spacing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5.2 </w:t>
      </w:r>
      <w:r>
        <w:rPr>
          <w:rFonts w:hint="eastAsia" w:ascii="黑体" w:hAnsi="黑体" w:eastAsia="黑体" w:cs="楷体_GB2312"/>
          <w:b/>
          <w:color w:val="auto"/>
          <w:sz w:val="24"/>
          <w:highlight w:val="none"/>
          <w:lang w:val="zh-CN"/>
        </w:rPr>
        <w:t>开标程序</w:t>
      </w:r>
    </w:p>
    <w:p w14:paraId="2035F63B">
      <w:pPr>
        <w:autoSpaceDE w:val="0"/>
        <w:autoSpaceDN w:val="0"/>
        <w:adjustRightInd w:val="0"/>
        <w:snapToGrid w:val="0"/>
        <w:spacing w:beforeLines="50" w:line="300" w:lineRule="auto"/>
        <w:ind w:firstLine="539"/>
        <w:rPr>
          <w:rFonts w:ascii="宋体" w:hAnsi="宋体" w:cs="楷体_GB2312"/>
          <w:b/>
          <w:color w:val="auto"/>
          <w:sz w:val="24"/>
          <w:highlight w:val="none"/>
          <w:lang w:val="zh-CN"/>
        </w:rPr>
      </w:pPr>
      <w:r>
        <w:rPr>
          <w:rFonts w:ascii="宋体" w:hAnsi="宋体" w:cs="楷体_GB2312"/>
          <w:b/>
          <w:color w:val="auto"/>
          <w:sz w:val="24"/>
          <w:highlight w:val="none"/>
          <w:lang w:val="zh-CN"/>
        </w:rPr>
        <w:t>5.2.1</w:t>
      </w:r>
      <w:r>
        <w:rPr>
          <w:rFonts w:hint="eastAsia" w:ascii="宋体" w:hAnsi="宋体" w:cs="楷体_GB2312"/>
          <w:b/>
          <w:color w:val="auto"/>
          <w:sz w:val="24"/>
          <w:highlight w:val="none"/>
          <w:lang w:val="zh-CN"/>
        </w:rPr>
        <w:t xml:space="preserve"> 本项目为网</w:t>
      </w:r>
      <w:r>
        <w:rPr>
          <w:rFonts w:ascii="宋体" w:hAnsi="宋体" w:cs="楷体_GB2312"/>
          <w:b/>
          <w:color w:val="auto"/>
          <w:sz w:val="24"/>
          <w:highlight w:val="none"/>
          <w:lang w:val="zh-CN"/>
        </w:rPr>
        <w:t>上</w:t>
      </w:r>
      <w:r>
        <w:rPr>
          <w:rFonts w:hint="eastAsia" w:ascii="宋体" w:hAnsi="宋体" w:cs="楷体_GB2312"/>
          <w:b/>
          <w:color w:val="auto"/>
          <w:sz w:val="24"/>
          <w:highlight w:val="none"/>
          <w:lang w:val="zh-CN"/>
        </w:rPr>
        <w:t>电子交易方</w:t>
      </w:r>
      <w:r>
        <w:rPr>
          <w:rFonts w:ascii="宋体" w:hAnsi="宋体" w:cs="楷体_GB2312"/>
          <w:b/>
          <w:color w:val="auto"/>
          <w:sz w:val="24"/>
          <w:highlight w:val="none"/>
          <w:lang w:val="zh-CN"/>
        </w:rPr>
        <w:t>式，</w:t>
      </w:r>
      <w:r>
        <w:rPr>
          <w:rFonts w:hint="eastAsia" w:ascii="宋体" w:hAnsi="宋体" w:cs="楷体_GB2312"/>
          <w:b/>
          <w:color w:val="auto"/>
          <w:sz w:val="24"/>
          <w:highlight w:val="none"/>
          <w:lang w:val="zh-CN"/>
        </w:rPr>
        <w:t>投标文件（响应文件）的开启方式为远程解密，为保证开标工作顺利进行，投标人需在开标阶段</w:t>
      </w:r>
      <w:r>
        <w:rPr>
          <w:rFonts w:ascii="宋体" w:hAnsi="宋体" w:cs="楷体_GB2312"/>
          <w:b/>
          <w:color w:val="auto"/>
          <w:sz w:val="24"/>
          <w:highlight w:val="none"/>
          <w:lang w:val="zh-CN"/>
        </w:rPr>
        <w:t>、在</w:t>
      </w:r>
      <w:r>
        <w:rPr>
          <w:rFonts w:hint="eastAsia" w:ascii="宋体" w:hAnsi="宋体" w:cs="楷体_GB2312"/>
          <w:b/>
          <w:color w:val="auto"/>
          <w:sz w:val="24"/>
          <w:highlight w:val="none"/>
          <w:lang w:val="zh-CN"/>
        </w:rPr>
        <w:t>管理员下达解密指令后的指定时限内，完成对本单位的加密投标文件（响应文件）的远程解密。如投标人因自身原因、在指定时限内没</w:t>
      </w:r>
      <w:r>
        <w:rPr>
          <w:rFonts w:ascii="宋体" w:hAnsi="宋体" w:cs="楷体_GB2312"/>
          <w:b/>
          <w:color w:val="auto"/>
          <w:sz w:val="24"/>
          <w:highlight w:val="none"/>
          <w:lang w:val="zh-CN"/>
        </w:rPr>
        <w:t>有</w:t>
      </w:r>
      <w:r>
        <w:rPr>
          <w:rFonts w:hint="eastAsia" w:ascii="宋体" w:hAnsi="宋体" w:cs="楷体_GB2312"/>
          <w:b/>
          <w:color w:val="auto"/>
          <w:sz w:val="24"/>
          <w:highlight w:val="none"/>
          <w:lang w:val="zh-CN"/>
        </w:rPr>
        <w:t>解密成功的，其投标将不能被接受，投标人自行承担相应后果。</w:t>
      </w:r>
    </w:p>
    <w:p w14:paraId="3DF9F0FB">
      <w:pPr>
        <w:autoSpaceDE w:val="0"/>
        <w:autoSpaceDN w:val="0"/>
        <w:adjustRightInd w:val="0"/>
        <w:snapToGrid w:val="0"/>
        <w:spacing w:beforeLines="50" w:line="300" w:lineRule="auto"/>
        <w:ind w:firstLine="539"/>
        <w:rPr>
          <w:rFonts w:ascii="宋体" w:hAnsi="宋体" w:cs="楷体_GB2312"/>
          <w:b/>
          <w:color w:val="auto"/>
          <w:sz w:val="24"/>
          <w:highlight w:val="none"/>
          <w:lang w:val="zh-CN"/>
        </w:rPr>
      </w:pPr>
      <w:r>
        <w:rPr>
          <w:rFonts w:hint="eastAsia" w:ascii="宋体" w:hAnsi="宋体" w:cs="楷体_GB2312"/>
          <w:b/>
          <w:color w:val="auto"/>
          <w:sz w:val="24"/>
          <w:highlight w:val="none"/>
          <w:lang w:val="zh-CN"/>
        </w:rPr>
        <w:t>鉴于网上电子交易方式的特点，管理员将根据系统情况下达解密指令。</w:t>
      </w:r>
    </w:p>
    <w:p w14:paraId="78F00784">
      <w:pPr>
        <w:autoSpaceDE w:val="0"/>
        <w:autoSpaceDN w:val="0"/>
        <w:adjustRightInd w:val="0"/>
        <w:snapToGrid w:val="0"/>
        <w:spacing w:beforeLines="50" w:line="300" w:lineRule="auto"/>
        <w:ind w:firstLine="539"/>
        <w:rPr>
          <w:rFonts w:ascii="宋体" w:cs="楷体_GB2312"/>
          <w:color w:val="auto"/>
          <w:sz w:val="24"/>
          <w:highlight w:val="none"/>
          <w:lang w:val="zh-CN"/>
        </w:rPr>
      </w:pPr>
      <w:r>
        <w:rPr>
          <w:rFonts w:ascii="宋体" w:hAnsi="宋体" w:cs="楷体_GB2312"/>
          <w:b/>
          <w:color w:val="auto"/>
          <w:sz w:val="24"/>
          <w:highlight w:val="none"/>
          <w:lang w:val="zh-CN"/>
        </w:rPr>
        <w:t>5.2.2</w:t>
      </w:r>
      <w:r>
        <w:rPr>
          <w:rFonts w:hint="eastAsia" w:ascii="宋体" w:hAnsi="宋体" w:cs="楷体_GB2312"/>
          <w:b/>
          <w:color w:val="auto"/>
          <w:sz w:val="24"/>
          <w:highlight w:val="none"/>
          <w:lang w:val="zh-CN"/>
        </w:rPr>
        <w:t xml:space="preserve"> 投标人对开标过程和开标记录有疑义，以及认为采购人、采购代理机构相关工作人员有需要回避的情形的，应在系统中提出询问或者回避申请，否则，视为对开标无异议。</w:t>
      </w:r>
    </w:p>
    <w:p w14:paraId="3EE47783">
      <w:pPr>
        <w:autoSpaceDE w:val="0"/>
        <w:autoSpaceDN w:val="0"/>
        <w:adjustRightInd w:val="0"/>
        <w:snapToGrid w:val="0"/>
        <w:spacing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5.2.3 </w:t>
      </w:r>
      <w:r>
        <w:rPr>
          <w:rFonts w:hint="eastAsia" w:ascii="宋体" w:hAnsi="宋体" w:cs="楷体_GB2312"/>
          <w:color w:val="auto"/>
          <w:sz w:val="24"/>
          <w:highlight w:val="none"/>
          <w:lang w:val="zh-CN"/>
        </w:rPr>
        <w:t>在开标或评审过程中，有效投标应在三家以上（包括三家）；有效投标不足三家的应予终止（废标）。</w:t>
      </w:r>
    </w:p>
    <w:p w14:paraId="4BE18B22">
      <w:pPr>
        <w:autoSpaceDE w:val="0"/>
        <w:autoSpaceDN w:val="0"/>
        <w:adjustRightInd w:val="0"/>
        <w:snapToGrid w:val="0"/>
        <w:spacing w:beforeLines="50" w:line="300" w:lineRule="auto"/>
        <w:ind w:firstLine="539"/>
        <w:rPr>
          <w:rFonts w:ascii="宋体" w:cs="楷体_GB2312"/>
          <w:color w:val="auto"/>
          <w:sz w:val="24"/>
          <w:highlight w:val="none"/>
          <w:lang w:val="zh-CN"/>
        </w:rPr>
      </w:pPr>
    </w:p>
    <w:p w14:paraId="3795CE23">
      <w:pPr>
        <w:autoSpaceDE w:val="0"/>
        <w:autoSpaceDN w:val="0"/>
        <w:adjustRightInd w:val="0"/>
        <w:snapToGrid w:val="0"/>
        <w:spacing w:beforeLines="50" w:line="300" w:lineRule="auto"/>
        <w:ind w:firstLine="539"/>
        <w:outlineLvl w:val="1"/>
        <w:rPr>
          <w:rFonts w:ascii="宋体" w:cs="楷体_GB2312"/>
          <w:color w:val="auto"/>
          <w:sz w:val="24"/>
          <w:highlight w:val="none"/>
          <w:lang w:val="zh-CN"/>
        </w:rPr>
      </w:pPr>
      <w:bookmarkStart w:id="34" w:name="_Toc209083635"/>
      <w:r>
        <w:rPr>
          <w:rFonts w:ascii="黑体" w:hAnsi="黑体" w:eastAsia="黑体" w:cs="楷体_GB2312"/>
          <w:b/>
          <w:bCs/>
          <w:color w:val="auto"/>
          <w:sz w:val="28"/>
          <w:szCs w:val="28"/>
          <w:highlight w:val="none"/>
          <w:lang w:val="zh-CN"/>
        </w:rPr>
        <w:t xml:space="preserve">6. </w:t>
      </w:r>
      <w:r>
        <w:rPr>
          <w:rFonts w:hint="eastAsia" w:ascii="黑体" w:hAnsi="黑体" w:eastAsia="黑体" w:cs="楷体_GB2312"/>
          <w:b/>
          <w:bCs/>
          <w:color w:val="auto"/>
          <w:sz w:val="28"/>
          <w:szCs w:val="28"/>
          <w:highlight w:val="none"/>
          <w:lang w:val="zh-CN"/>
        </w:rPr>
        <w:t>评审</w:t>
      </w:r>
      <w:bookmarkEnd w:id="34"/>
    </w:p>
    <w:p w14:paraId="17DEEE36">
      <w:pPr>
        <w:autoSpaceDE w:val="0"/>
        <w:autoSpaceDN w:val="0"/>
        <w:adjustRightInd w:val="0"/>
        <w:snapToGrid w:val="0"/>
        <w:spacing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6.1 </w:t>
      </w:r>
      <w:r>
        <w:rPr>
          <w:rFonts w:hint="eastAsia" w:ascii="黑体" w:hAnsi="黑体" w:eastAsia="黑体" w:cs="楷体_GB2312"/>
          <w:b/>
          <w:color w:val="auto"/>
          <w:sz w:val="24"/>
          <w:highlight w:val="none"/>
          <w:lang w:val="zh-CN"/>
        </w:rPr>
        <w:t xml:space="preserve">谈判小组  </w:t>
      </w:r>
    </w:p>
    <w:p w14:paraId="6721A7F6">
      <w:pPr>
        <w:autoSpaceDE w:val="0"/>
        <w:autoSpaceDN w:val="0"/>
        <w:adjustRightInd w:val="0"/>
        <w:snapToGrid w:val="0"/>
        <w:spacing w:beforeLines="50" w:line="300" w:lineRule="auto"/>
        <w:ind w:firstLine="539"/>
        <w:rPr>
          <w:rFonts w:ascii="宋体" w:hAnsi="宋体" w:cs="楷体_GB2312"/>
          <w:color w:val="auto"/>
          <w:sz w:val="24"/>
          <w:highlight w:val="none"/>
          <w:lang w:val="zh-CN"/>
        </w:rPr>
      </w:pPr>
      <w:r>
        <w:rPr>
          <w:rFonts w:hint="eastAsia" w:ascii="宋体" w:hAnsi="宋体" w:cs="楷体_GB2312"/>
          <w:color w:val="auto"/>
          <w:sz w:val="24"/>
          <w:highlight w:val="none"/>
          <w:lang w:val="zh-CN"/>
        </w:rPr>
        <w:t>评审工作由依法组建的谈判小组负责。谈判小组由3人及以上单数组成，其中评审专家人数不少于谈判小组成员总数的2/3，评审专家是在监督部门监督下从政府采购专家库中随机抽取产生。</w:t>
      </w:r>
    </w:p>
    <w:p w14:paraId="5502C4FE">
      <w:pPr>
        <w:autoSpaceDE w:val="0"/>
        <w:autoSpaceDN w:val="0"/>
        <w:adjustRightInd w:val="0"/>
        <w:snapToGrid w:val="0"/>
        <w:spacing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6.2 </w:t>
      </w:r>
      <w:r>
        <w:rPr>
          <w:rFonts w:hint="eastAsia" w:ascii="黑体" w:hAnsi="黑体" w:eastAsia="黑体" w:cs="楷体_GB2312"/>
          <w:b/>
          <w:color w:val="auto"/>
          <w:sz w:val="24"/>
          <w:highlight w:val="none"/>
          <w:lang w:val="zh-CN"/>
        </w:rPr>
        <w:t>评审原则</w:t>
      </w:r>
    </w:p>
    <w:p w14:paraId="40884392">
      <w:pPr>
        <w:autoSpaceDE w:val="0"/>
        <w:autoSpaceDN w:val="0"/>
        <w:adjustRightInd w:val="0"/>
        <w:snapToGrid w:val="0"/>
        <w:spacing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6.2.1 </w:t>
      </w:r>
      <w:r>
        <w:rPr>
          <w:rFonts w:hint="eastAsia" w:ascii="宋体" w:hAnsi="宋体" w:cs="楷体_GB2312"/>
          <w:color w:val="auto"/>
          <w:sz w:val="24"/>
          <w:highlight w:val="none"/>
          <w:lang w:val="zh-CN"/>
        </w:rPr>
        <w:t>坚持公开、公平、公正地对待所有投标人。</w:t>
      </w:r>
    </w:p>
    <w:p w14:paraId="7B2A2804">
      <w:pPr>
        <w:autoSpaceDE w:val="0"/>
        <w:autoSpaceDN w:val="0"/>
        <w:adjustRightInd w:val="0"/>
        <w:snapToGrid w:val="0"/>
        <w:spacing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6.2.2 </w:t>
      </w:r>
      <w:r>
        <w:rPr>
          <w:rFonts w:hint="eastAsia" w:ascii="宋体" w:hAnsi="宋体" w:cs="楷体_GB2312"/>
          <w:color w:val="auto"/>
          <w:sz w:val="24"/>
          <w:highlight w:val="none"/>
          <w:lang w:val="zh-CN"/>
        </w:rPr>
        <w:t>按照同一评审程序及方法审查所有投标人的投标文件。</w:t>
      </w:r>
    </w:p>
    <w:p w14:paraId="377F49CC">
      <w:pPr>
        <w:autoSpaceDE w:val="0"/>
        <w:autoSpaceDN w:val="0"/>
        <w:adjustRightInd w:val="0"/>
        <w:snapToGrid w:val="0"/>
        <w:spacing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6.2.3 </w:t>
      </w:r>
      <w:r>
        <w:rPr>
          <w:rFonts w:hint="eastAsia" w:ascii="宋体" w:hAnsi="宋体" w:cs="楷体_GB2312"/>
          <w:color w:val="auto"/>
          <w:sz w:val="24"/>
          <w:highlight w:val="none"/>
          <w:lang w:val="zh-CN"/>
        </w:rPr>
        <w:t>反对不正当竞争</w:t>
      </w:r>
    </w:p>
    <w:p w14:paraId="4792869E">
      <w:pPr>
        <w:autoSpaceDE w:val="0"/>
        <w:autoSpaceDN w:val="0"/>
        <w:adjustRightInd w:val="0"/>
        <w:snapToGrid w:val="0"/>
        <w:spacing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6.3 </w:t>
      </w:r>
      <w:r>
        <w:rPr>
          <w:rFonts w:hint="eastAsia" w:ascii="黑体" w:hAnsi="黑体" w:eastAsia="黑体" w:cs="楷体_GB2312"/>
          <w:b/>
          <w:color w:val="auto"/>
          <w:sz w:val="24"/>
          <w:highlight w:val="none"/>
          <w:lang w:val="zh-CN"/>
        </w:rPr>
        <w:t>评审</w:t>
      </w:r>
    </w:p>
    <w:p w14:paraId="59E6799D">
      <w:pPr>
        <w:autoSpaceDE w:val="0"/>
        <w:autoSpaceDN w:val="0"/>
        <w:adjustRightInd w:val="0"/>
        <w:snapToGrid w:val="0"/>
        <w:spacing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6.3.1</w:t>
      </w:r>
      <w:r>
        <w:rPr>
          <w:rFonts w:hint="eastAsia" w:ascii="宋体" w:hAnsi="宋体" w:cs="楷体_GB2312"/>
          <w:color w:val="auto"/>
          <w:sz w:val="24"/>
          <w:highlight w:val="none"/>
          <w:lang w:val="zh-CN"/>
        </w:rPr>
        <w:t xml:space="preserve"> 评审工作在谈判小组内独立进行。谈判小组按照第四章“评审办法”规定的方法、评审因素、标准和程序对投标文件进行评审。第四章“评审办法”没有规定的方法、评审因素和标准，不作为评审依据。</w:t>
      </w:r>
    </w:p>
    <w:p w14:paraId="78621BF1">
      <w:pPr>
        <w:autoSpaceDE w:val="0"/>
        <w:autoSpaceDN w:val="0"/>
        <w:adjustRightInd w:val="0"/>
        <w:snapToGrid w:val="0"/>
        <w:spacing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6.3.2</w:t>
      </w:r>
      <w:r>
        <w:rPr>
          <w:rFonts w:hint="eastAsia" w:ascii="宋体" w:hAnsi="宋体" w:cs="楷体_GB2312"/>
          <w:color w:val="auto"/>
          <w:sz w:val="24"/>
          <w:highlight w:val="none"/>
          <w:lang w:val="zh-CN"/>
        </w:rPr>
        <w:t xml:space="preserve"> 在开标、评审期间，投标人不得向谈判小组成员询问情况，不得进行旨在影响评审结果的活动。</w:t>
      </w:r>
    </w:p>
    <w:p w14:paraId="63B060F7">
      <w:pPr>
        <w:autoSpaceDE w:val="0"/>
        <w:autoSpaceDN w:val="0"/>
        <w:adjustRightInd w:val="0"/>
        <w:snapToGrid w:val="0"/>
        <w:spacing w:beforeLines="50" w:line="300" w:lineRule="auto"/>
        <w:ind w:firstLine="539"/>
        <w:rPr>
          <w:rFonts w:ascii="宋体" w:cs="楷体_GB2312"/>
          <w:color w:val="auto"/>
          <w:sz w:val="24"/>
          <w:highlight w:val="none"/>
          <w:lang w:val="zh-CN"/>
        </w:rPr>
      </w:pPr>
      <w:r>
        <w:rPr>
          <w:rFonts w:ascii="黑体" w:hAnsi="黑体" w:eastAsia="黑体" w:cs="楷体_GB2312"/>
          <w:b/>
          <w:color w:val="auto"/>
          <w:sz w:val="24"/>
          <w:highlight w:val="none"/>
          <w:lang w:val="zh-CN"/>
        </w:rPr>
        <w:t xml:space="preserve">6.4 </w:t>
      </w:r>
      <w:r>
        <w:rPr>
          <w:rFonts w:hint="eastAsia" w:ascii="黑体" w:hAnsi="黑体" w:eastAsia="黑体" w:cs="楷体_GB2312"/>
          <w:b/>
          <w:color w:val="auto"/>
          <w:sz w:val="24"/>
          <w:highlight w:val="none"/>
          <w:lang w:val="zh-CN"/>
        </w:rPr>
        <w:t xml:space="preserve"> 谈判：</w:t>
      </w:r>
      <w:r>
        <w:rPr>
          <w:rFonts w:hint="eastAsia" w:ascii="宋体" w:hAnsi="宋体" w:cs="楷体_GB2312"/>
          <w:color w:val="auto"/>
          <w:sz w:val="24"/>
          <w:highlight w:val="none"/>
          <w:lang w:val="zh-CN"/>
        </w:rPr>
        <w:t>见第四章评审办法</w:t>
      </w:r>
      <w:r>
        <w:rPr>
          <w:rFonts w:ascii="宋体" w:hAnsi="宋体" w:cs="楷体_GB2312"/>
          <w:color w:val="auto"/>
          <w:sz w:val="24"/>
          <w:highlight w:val="none"/>
          <w:lang w:val="zh-CN"/>
        </w:rPr>
        <w:t>3.5</w:t>
      </w:r>
      <w:r>
        <w:rPr>
          <w:rFonts w:hint="eastAsia" w:ascii="宋体" w:hAnsi="宋体" w:cs="楷体_GB2312"/>
          <w:color w:val="auto"/>
          <w:sz w:val="24"/>
          <w:highlight w:val="none"/>
          <w:lang w:val="zh-CN"/>
        </w:rPr>
        <w:t>款谈判规则。</w:t>
      </w:r>
    </w:p>
    <w:p w14:paraId="39CE0A64">
      <w:pPr>
        <w:autoSpaceDE w:val="0"/>
        <w:autoSpaceDN w:val="0"/>
        <w:adjustRightInd w:val="0"/>
        <w:snapToGrid w:val="0"/>
        <w:spacing w:beforeLines="50" w:line="300" w:lineRule="auto"/>
        <w:ind w:firstLine="539"/>
        <w:rPr>
          <w:rFonts w:ascii="宋体" w:cs="楷体_GB2312"/>
          <w:color w:val="auto"/>
          <w:sz w:val="24"/>
          <w:highlight w:val="none"/>
          <w:lang w:val="zh-CN"/>
        </w:rPr>
      </w:pPr>
    </w:p>
    <w:p w14:paraId="1470812C">
      <w:pPr>
        <w:autoSpaceDE w:val="0"/>
        <w:autoSpaceDN w:val="0"/>
        <w:adjustRightInd w:val="0"/>
        <w:snapToGrid w:val="0"/>
        <w:spacing w:beforeLines="50" w:line="300" w:lineRule="auto"/>
        <w:ind w:firstLine="539"/>
        <w:outlineLvl w:val="1"/>
        <w:rPr>
          <w:rFonts w:ascii="黑体" w:hAnsi="黑体" w:eastAsia="黑体" w:cs="楷体_GB2312"/>
          <w:b/>
          <w:bCs/>
          <w:color w:val="auto"/>
          <w:sz w:val="28"/>
          <w:szCs w:val="28"/>
          <w:highlight w:val="none"/>
          <w:lang w:val="zh-CN"/>
        </w:rPr>
      </w:pPr>
      <w:bookmarkStart w:id="35" w:name="_Toc209083636"/>
      <w:r>
        <w:rPr>
          <w:rFonts w:ascii="黑体" w:hAnsi="黑体" w:eastAsia="黑体" w:cs="楷体_GB2312"/>
          <w:b/>
          <w:bCs/>
          <w:color w:val="auto"/>
          <w:sz w:val="28"/>
          <w:szCs w:val="28"/>
          <w:highlight w:val="none"/>
          <w:lang w:val="zh-CN"/>
        </w:rPr>
        <w:t xml:space="preserve">7. </w:t>
      </w:r>
      <w:r>
        <w:rPr>
          <w:rFonts w:hint="eastAsia" w:ascii="黑体" w:hAnsi="黑体" w:eastAsia="黑体" w:cs="楷体_GB2312"/>
          <w:b/>
          <w:bCs/>
          <w:color w:val="auto"/>
          <w:sz w:val="28"/>
          <w:szCs w:val="28"/>
          <w:highlight w:val="none"/>
          <w:lang w:val="zh-CN"/>
        </w:rPr>
        <w:t>授予合同</w:t>
      </w:r>
      <w:bookmarkEnd w:id="35"/>
    </w:p>
    <w:p w14:paraId="7C46B99F">
      <w:pPr>
        <w:autoSpaceDE w:val="0"/>
        <w:autoSpaceDN w:val="0"/>
        <w:adjustRightInd w:val="0"/>
        <w:snapToGrid w:val="0"/>
        <w:spacing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7.1 </w:t>
      </w:r>
      <w:r>
        <w:rPr>
          <w:rFonts w:hint="eastAsia" w:ascii="黑体" w:hAnsi="黑体" w:eastAsia="黑体" w:cs="楷体_GB2312"/>
          <w:b/>
          <w:color w:val="auto"/>
          <w:sz w:val="24"/>
          <w:highlight w:val="none"/>
          <w:lang w:val="zh-CN"/>
        </w:rPr>
        <w:t>确定成交供应商方式</w:t>
      </w:r>
    </w:p>
    <w:p w14:paraId="67482721">
      <w:pPr>
        <w:autoSpaceDE w:val="0"/>
        <w:autoSpaceDN w:val="0"/>
        <w:adjustRightInd w:val="0"/>
        <w:snapToGrid w:val="0"/>
        <w:spacing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除投标人须知前附表规定授权谈判小组直接确定成交供应商外，采购人应当自收到评审报告之日起</w:t>
      </w:r>
      <w:r>
        <w:rPr>
          <w:rFonts w:ascii="宋体" w:hAnsi="宋体" w:cs="楷体_GB2312"/>
          <w:color w:val="auto"/>
          <w:sz w:val="24"/>
          <w:highlight w:val="none"/>
          <w:lang w:val="zh-CN"/>
        </w:rPr>
        <w:t>5</w:t>
      </w:r>
      <w:r>
        <w:rPr>
          <w:rFonts w:hint="eastAsia" w:ascii="宋体" w:hAnsi="宋体" w:cs="楷体_GB2312"/>
          <w:color w:val="auto"/>
          <w:sz w:val="24"/>
          <w:highlight w:val="none"/>
          <w:lang w:val="zh-CN"/>
        </w:rPr>
        <w:t>个工作日内在评审报告推荐的成交候选人中按顺序确定成交供应商。若排名第一的成交候选人放弃中标（成交），或者因不可抗力不能履行合同，或者被查实存在影响成交结果的违法行为等情形、不符合成交条件的，采购人可以按照谈判小组提出的成交候选人名单排序依次确定其他成交候选人为成交供应商，也可以重新采购。</w:t>
      </w:r>
    </w:p>
    <w:p w14:paraId="53A70866">
      <w:pPr>
        <w:autoSpaceDE w:val="0"/>
        <w:autoSpaceDN w:val="0"/>
        <w:adjustRightInd w:val="0"/>
        <w:snapToGrid w:val="0"/>
        <w:spacing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7.2 </w:t>
      </w:r>
      <w:r>
        <w:rPr>
          <w:rFonts w:hint="eastAsia" w:ascii="黑体" w:hAnsi="黑体" w:eastAsia="黑体" w:cs="楷体_GB2312"/>
          <w:b/>
          <w:color w:val="auto"/>
          <w:sz w:val="24"/>
          <w:highlight w:val="none"/>
          <w:lang w:val="zh-CN"/>
        </w:rPr>
        <w:t>成交结果公告</w:t>
      </w:r>
    </w:p>
    <w:p w14:paraId="24AD0B5B">
      <w:pPr>
        <w:autoSpaceDE w:val="0"/>
        <w:autoSpaceDN w:val="0"/>
        <w:adjustRightInd w:val="0"/>
        <w:snapToGrid w:val="0"/>
        <w:spacing w:beforeLines="50" w:line="300" w:lineRule="auto"/>
        <w:ind w:firstLine="539"/>
        <w:rPr>
          <w:rFonts w:ascii="宋体" w:hAnsi="宋体" w:cs="楷体_GB2312"/>
          <w:color w:val="auto"/>
          <w:sz w:val="24"/>
          <w:highlight w:val="none"/>
          <w:lang w:val="zh-CN"/>
        </w:rPr>
      </w:pPr>
      <w:r>
        <w:rPr>
          <w:rFonts w:hint="eastAsia" w:ascii="宋体" w:hAnsi="宋体" w:cs="楷体_GB2312"/>
          <w:color w:val="auto"/>
          <w:sz w:val="24"/>
          <w:highlight w:val="none"/>
          <w:lang w:val="zh-CN"/>
        </w:rPr>
        <w:t>采购代理机构在成交供应商确定后1个工作日内，在谈判公告所述媒体公告成交结果。同时向成交供应商发出成交通知书。成交结果公告期限为</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个工作日。</w:t>
      </w:r>
    </w:p>
    <w:p w14:paraId="6ECF0680">
      <w:pPr>
        <w:autoSpaceDE w:val="0"/>
        <w:autoSpaceDN w:val="0"/>
        <w:adjustRightInd w:val="0"/>
        <w:snapToGrid w:val="0"/>
        <w:spacing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7.3 </w:t>
      </w:r>
      <w:r>
        <w:rPr>
          <w:rFonts w:hint="eastAsia" w:ascii="黑体" w:hAnsi="黑体" w:eastAsia="黑体" w:cs="楷体_GB2312"/>
          <w:b/>
          <w:color w:val="auto"/>
          <w:sz w:val="24"/>
          <w:highlight w:val="none"/>
          <w:lang w:val="zh-CN"/>
        </w:rPr>
        <w:t>质疑、投诉：</w:t>
      </w:r>
    </w:p>
    <w:p w14:paraId="784DB10C">
      <w:pPr>
        <w:autoSpaceDE w:val="0"/>
        <w:autoSpaceDN w:val="0"/>
        <w:adjustRightInd w:val="0"/>
        <w:snapToGrid w:val="0"/>
        <w:spacing w:beforeLines="50" w:line="300" w:lineRule="auto"/>
        <w:ind w:firstLine="537" w:firstLineChars="224"/>
        <w:rPr>
          <w:rFonts w:ascii="宋体" w:cs="楷体_GB2312"/>
          <w:color w:val="auto"/>
          <w:sz w:val="24"/>
          <w:highlight w:val="none"/>
          <w:lang w:val="zh-CN"/>
        </w:rPr>
      </w:pPr>
      <w:r>
        <w:rPr>
          <w:rFonts w:ascii="宋体" w:hAnsi="宋体"/>
          <w:color w:val="auto"/>
          <w:sz w:val="24"/>
          <w:highlight w:val="none"/>
        </w:rPr>
        <w:t>7.3.1</w:t>
      </w:r>
      <w:r>
        <w:rPr>
          <w:rFonts w:hint="eastAsia" w:ascii="宋体" w:hAnsi="宋体" w:cs="楷体_GB2312"/>
          <w:color w:val="auto"/>
          <w:sz w:val="24"/>
          <w:highlight w:val="none"/>
          <w:lang w:val="zh-CN"/>
        </w:rPr>
        <w:t>见投标人须知前附表</w:t>
      </w:r>
    </w:p>
    <w:p w14:paraId="558F24CD">
      <w:pPr>
        <w:adjustRightInd w:val="0"/>
        <w:snapToGrid w:val="0"/>
        <w:spacing w:beforeLines="50" w:line="240" w:lineRule="auto"/>
        <w:ind w:firstLine="600" w:firstLineChars="250"/>
        <w:rPr>
          <w:rFonts w:ascii="宋体"/>
          <w:color w:val="auto"/>
          <w:sz w:val="24"/>
          <w:highlight w:val="none"/>
        </w:rPr>
      </w:pPr>
      <w:r>
        <w:rPr>
          <w:rFonts w:ascii="宋体" w:hAnsi="宋体"/>
          <w:color w:val="auto"/>
          <w:sz w:val="24"/>
          <w:highlight w:val="none"/>
        </w:rPr>
        <w:t>7.3.2</w:t>
      </w:r>
      <w:r>
        <w:rPr>
          <w:rFonts w:hint="eastAsia" w:ascii="宋体" w:hAnsi="宋体"/>
          <w:color w:val="auto"/>
          <w:sz w:val="24"/>
          <w:highlight w:val="none"/>
        </w:rPr>
        <w:t>询问或者质疑事项可能影响成交结果的，采购人应当暂停签订合同，已经签订合同的，应当中止履行合同。</w:t>
      </w:r>
    </w:p>
    <w:p w14:paraId="4ADF7DBC">
      <w:pPr>
        <w:autoSpaceDE w:val="0"/>
        <w:autoSpaceDN w:val="0"/>
        <w:adjustRightInd w:val="0"/>
        <w:snapToGrid w:val="0"/>
        <w:spacing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7.4 </w:t>
      </w:r>
      <w:r>
        <w:rPr>
          <w:rFonts w:hint="eastAsia" w:ascii="黑体" w:hAnsi="黑体" w:eastAsia="黑体" w:cs="楷体_GB2312"/>
          <w:b/>
          <w:color w:val="auto"/>
          <w:sz w:val="24"/>
          <w:highlight w:val="none"/>
          <w:lang w:val="zh-CN"/>
        </w:rPr>
        <w:t>成交通知：</w:t>
      </w:r>
      <w:r>
        <w:rPr>
          <w:rFonts w:hint="eastAsia" w:ascii="宋体" w:hAnsi="宋体" w:cs="楷体_GB2312"/>
          <w:color w:val="auto"/>
          <w:sz w:val="24"/>
          <w:highlight w:val="none"/>
          <w:lang w:val="zh-CN"/>
        </w:rPr>
        <w:t>见投标人须知前附表</w:t>
      </w:r>
    </w:p>
    <w:p w14:paraId="0182CEBC">
      <w:pPr>
        <w:autoSpaceDE w:val="0"/>
        <w:autoSpaceDN w:val="0"/>
        <w:adjustRightInd w:val="0"/>
        <w:snapToGrid w:val="0"/>
        <w:spacing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7.5 </w:t>
      </w:r>
      <w:r>
        <w:rPr>
          <w:rFonts w:hint="eastAsia" w:ascii="黑体" w:hAnsi="黑体" w:eastAsia="黑体" w:cs="楷体_GB2312"/>
          <w:b/>
          <w:color w:val="auto"/>
          <w:sz w:val="24"/>
          <w:highlight w:val="none"/>
          <w:lang w:val="zh-CN"/>
        </w:rPr>
        <w:t>履约保证金</w:t>
      </w:r>
    </w:p>
    <w:p w14:paraId="49069567">
      <w:pPr>
        <w:autoSpaceDE w:val="0"/>
        <w:autoSpaceDN w:val="0"/>
        <w:adjustRightInd w:val="0"/>
        <w:snapToGrid w:val="0"/>
        <w:spacing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7.5.1</w:t>
      </w:r>
      <w:r>
        <w:rPr>
          <w:rFonts w:hint="eastAsia" w:ascii="宋体" w:hAnsi="宋体" w:cs="楷体_GB2312"/>
          <w:color w:val="auto"/>
          <w:sz w:val="24"/>
          <w:highlight w:val="none"/>
          <w:lang w:val="zh-CN"/>
        </w:rPr>
        <w:t xml:space="preserve"> 在签订合同时，成交供应商应按投标人须知前附表规定向采购人提交履约保证金。</w:t>
      </w:r>
    </w:p>
    <w:p w14:paraId="0ACDF8DE">
      <w:pPr>
        <w:autoSpaceDE w:val="0"/>
        <w:autoSpaceDN w:val="0"/>
        <w:adjustRightInd w:val="0"/>
        <w:snapToGrid w:val="0"/>
        <w:spacing w:beforeLines="50" w:line="300" w:lineRule="auto"/>
        <w:ind w:firstLine="539"/>
        <w:rPr>
          <w:rFonts w:ascii="宋体" w:hAnsi="宋体" w:cs="楷体_GB2312"/>
          <w:color w:val="auto"/>
          <w:sz w:val="24"/>
          <w:highlight w:val="none"/>
          <w:lang w:val="zh-CN"/>
        </w:rPr>
      </w:pPr>
      <w:r>
        <w:rPr>
          <w:rFonts w:ascii="宋体" w:hAnsi="宋体" w:cs="楷体_GB2312"/>
          <w:color w:val="auto"/>
          <w:sz w:val="24"/>
          <w:highlight w:val="none"/>
          <w:lang w:val="zh-CN"/>
        </w:rPr>
        <w:t xml:space="preserve">7.5.2 </w:t>
      </w:r>
      <w:r>
        <w:rPr>
          <w:rFonts w:hint="eastAsia" w:ascii="宋体" w:hAnsi="宋体" w:cs="楷体_GB2312"/>
          <w:color w:val="auto"/>
          <w:sz w:val="24"/>
          <w:highlight w:val="none"/>
          <w:lang w:val="zh-CN"/>
        </w:rPr>
        <w:t>成交供应商不能按本章第</w:t>
      </w:r>
      <w:r>
        <w:rPr>
          <w:rFonts w:ascii="宋体" w:hAnsi="宋体" w:cs="楷体_GB2312"/>
          <w:color w:val="auto"/>
          <w:sz w:val="24"/>
          <w:highlight w:val="none"/>
          <w:lang w:val="zh-CN"/>
        </w:rPr>
        <w:t>7.5.1</w:t>
      </w:r>
      <w:r>
        <w:rPr>
          <w:rFonts w:hint="eastAsia" w:ascii="宋体" w:hAnsi="宋体" w:cs="楷体_GB2312"/>
          <w:color w:val="auto"/>
          <w:sz w:val="24"/>
          <w:highlight w:val="none"/>
          <w:lang w:val="zh-CN"/>
        </w:rPr>
        <w:t>项要求提交履约保证金的，视为放弃成交资格，</w:t>
      </w:r>
      <w:r>
        <w:rPr>
          <w:rFonts w:hint="eastAsia" w:ascii="宋体" w:hAnsi="宋体"/>
          <w:color w:val="auto"/>
          <w:sz w:val="24"/>
          <w:szCs w:val="24"/>
          <w:highlight w:val="none"/>
        </w:rPr>
        <w:t>依据谈判文件“第三章</w:t>
      </w:r>
      <w:r>
        <w:rPr>
          <w:rFonts w:hint="eastAsia" w:ascii="宋体" w:hAnsi="宋体" w:cs="楷体_GB2312"/>
          <w:color w:val="auto"/>
          <w:sz w:val="24"/>
          <w:szCs w:val="22"/>
          <w:highlight w:val="none"/>
        </w:rPr>
        <w:t>3.5.5 违背承诺的责任追究措施</w:t>
      </w:r>
      <w:r>
        <w:rPr>
          <w:rFonts w:hint="eastAsia" w:ascii="宋体" w:hAnsi="宋体"/>
          <w:color w:val="auto"/>
          <w:sz w:val="24"/>
          <w:szCs w:val="24"/>
          <w:highlight w:val="none"/>
        </w:rPr>
        <w:t>”，投标人</w:t>
      </w:r>
      <w:r>
        <w:rPr>
          <w:rFonts w:hint="eastAsia" w:ascii="宋体" w:hAnsi="宋体" w:cs="楷体_GB2312"/>
          <w:color w:val="auto"/>
          <w:sz w:val="24"/>
          <w:szCs w:val="22"/>
          <w:highlight w:val="none"/>
        </w:rPr>
        <w:t>承担相应法律责任及违约责任。</w:t>
      </w:r>
      <w:r>
        <w:rPr>
          <w:rFonts w:hint="eastAsia" w:ascii="宋体" w:hAnsi="宋体" w:cs="楷体_GB2312"/>
          <w:color w:val="auto"/>
          <w:sz w:val="24"/>
          <w:highlight w:val="none"/>
          <w:lang w:val="zh-CN"/>
        </w:rPr>
        <w:t>给采购人及采购代理机构造成损失的，成交供应商应当予以赔偿。</w:t>
      </w:r>
    </w:p>
    <w:p w14:paraId="421F506F">
      <w:pPr>
        <w:autoSpaceDE w:val="0"/>
        <w:autoSpaceDN w:val="0"/>
        <w:adjustRightInd w:val="0"/>
        <w:snapToGrid w:val="0"/>
        <w:spacing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7.6 </w:t>
      </w:r>
      <w:r>
        <w:rPr>
          <w:rFonts w:hint="eastAsia" w:ascii="黑体" w:hAnsi="黑体" w:eastAsia="黑体" w:cs="楷体_GB2312"/>
          <w:b/>
          <w:color w:val="auto"/>
          <w:sz w:val="24"/>
          <w:highlight w:val="none"/>
          <w:lang w:val="zh-CN"/>
        </w:rPr>
        <w:t>签订合同</w:t>
      </w:r>
    </w:p>
    <w:p w14:paraId="025DBC19">
      <w:pPr>
        <w:autoSpaceDE w:val="0"/>
        <w:autoSpaceDN w:val="0"/>
        <w:adjustRightInd w:val="0"/>
        <w:snapToGrid w:val="0"/>
        <w:spacing w:beforeLines="50" w:line="300" w:lineRule="auto"/>
        <w:ind w:firstLine="539"/>
        <w:rPr>
          <w:rFonts w:ascii="宋体" w:hAnsi="宋体"/>
          <w:color w:val="auto"/>
          <w:sz w:val="24"/>
          <w:highlight w:val="none"/>
        </w:rPr>
      </w:pPr>
      <w:r>
        <w:rPr>
          <w:rFonts w:ascii="宋体" w:hAnsi="宋体"/>
          <w:color w:val="auto"/>
          <w:sz w:val="24"/>
          <w:highlight w:val="none"/>
        </w:rPr>
        <w:t xml:space="preserve">7.6.1 </w:t>
      </w:r>
      <w:r>
        <w:rPr>
          <w:rFonts w:hint="eastAsia" w:ascii="宋体" w:hAnsi="宋体"/>
          <w:color w:val="auto"/>
          <w:sz w:val="24"/>
          <w:highlight w:val="none"/>
        </w:rPr>
        <w:t>据优化营商环境精神，成交供应商应在《成交通知书》发出后1个工作日内，按照谈判文件确定的合同文本以及成交标的、技术和服务等事项与采购人签订</w:t>
      </w:r>
      <w:r>
        <w:rPr>
          <w:rFonts w:hint="eastAsia" w:ascii="宋体" w:hAnsi="宋体" w:cs="楷体_GB2312"/>
          <w:color w:val="auto"/>
          <w:sz w:val="24"/>
          <w:highlight w:val="none"/>
          <w:lang w:val="zh-CN"/>
        </w:rPr>
        <w:t>书面</w:t>
      </w:r>
      <w:r>
        <w:rPr>
          <w:rFonts w:hint="eastAsia" w:ascii="宋体" w:hAnsi="宋体"/>
          <w:color w:val="auto"/>
          <w:sz w:val="24"/>
          <w:highlight w:val="none"/>
        </w:rPr>
        <w:t>政府采购合同。</w:t>
      </w:r>
    </w:p>
    <w:p w14:paraId="2967EB19">
      <w:pPr>
        <w:autoSpaceDE w:val="0"/>
        <w:autoSpaceDN w:val="0"/>
        <w:adjustRightInd w:val="0"/>
        <w:snapToGrid w:val="0"/>
        <w:spacing w:beforeLines="50" w:line="300" w:lineRule="auto"/>
        <w:ind w:firstLine="539"/>
        <w:rPr>
          <w:rFonts w:ascii="宋体" w:hAnsi="宋体" w:cs="楷体_GB2312"/>
          <w:color w:val="auto"/>
          <w:sz w:val="24"/>
          <w:highlight w:val="none"/>
          <w:lang w:val="zh-CN"/>
        </w:rPr>
      </w:pPr>
      <w:r>
        <w:rPr>
          <w:rFonts w:ascii="宋体" w:hAnsi="宋体"/>
          <w:color w:val="auto"/>
          <w:sz w:val="24"/>
          <w:highlight w:val="none"/>
        </w:rPr>
        <w:t xml:space="preserve">7.6.2 </w:t>
      </w:r>
      <w:r>
        <w:rPr>
          <w:rFonts w:hint="eastAsia" w:ascii="宋体" w:hAnsi="宋体"/>
          <w:color w:val="auto"/>
          <w:sz w:val="24"/>
          <w:highlight w:val="none"/>
        </w:rPr>
        <w:t>如成交供应商不按时签订合同、</w:t>
      </w:r>
      <w:r>
        <w:rPr>
          <w:rFonts w:hint="eastAsia" w:ascii="宋体" w:hAnsi="宋体" w:cs="楷体_GB2312"/>
          <w:color w:val="auto"/>
          <w:sz w:val="24"/>
          <w:highlight w:val="none"/>
          <w:lang w:val="zh-CN"/>
        </w:rPr>
        <w:t>拒签合同的，取消其成交资格，</w:t>
      </w:r>
      <w:r>
        <w:rPr>
          <w:rFonts w:hint="eastAsia" w:ascii="宋体" w:hAnsi="宋体"/>
          <w:color w:val="auto"/>
          <w:sz w:val="24"/>
          <w:szCs w:val="24"/>
          <w:highlight w:val="none"/>
        </w:rPr>
        <w:t>依据谈判文件“第三章</w:t>
      </w:r>
      <w:r>
        <w:rPr>
          <w:rFonts w:hint="eastAsia" w:ascii="宋体" w:hAnsi="宋体" w:cs="楷体_GB2312"/>
          <w:color w:val="auto"/>
          <w:sz w:val="24"/>
          <w:szCs w:val="22"/>
          <w:highlight w:val="none"/>
        </w:rPr>
        <w:t>3.5.5 违背承诺的责任追究措施</w:t>
      </w:r>
      <w:r>
        <w:rPr>
          <w:rFonts w:hint="eastAsia" w:ascii="宋体" w:hAnsi="宋体"/>
          <w:color w:val="auto"/>
          <w:sz w:val="24"/>
          <w:szCs w:val="24"/>
          <w:highlight w:val="none"/>
        </w:rPr>
        <w:t>”，投标人</w:t>
      </w:r>
      <w:r>
        <w:rPr>
          <w:rFonts w:hint="eastAsia" w:ascii="宋体" w:hAnsi="宋体" w:cs="楷体_GB2312"/>
          <w:color w:val="auto"/>
          <w:sz w:val="24"/>
          <w:szCs w:val="22"/>
          <w:highlight w:val="none"/>
        </w:rPr>
        <w:t>承担相应法律责任及违约责任。</w:t>
      </w:r>
      <w:r>
        <w:rPr>
          <w:rFonts w:hint="eastAsia" w:ascii="宋体" w:hAnsi="宋体" w:cs="楷体_GB2312"/>
          <w:color w:val="auto"/>
          <w:sz w:val="24"/>
          <w:highlight w:val="none"/>
          <w:lang w:val="zh-CN"/>
        </w:rPr>
        <w:t>给采购人造成损失的，成交供应商应当予以赔偿。</w:t>
      </w:r>
    </w:p>
    <w:p w14:paraId="74A19F5C">
      <w:pPr>
        <w:widowControl w:val="0"/>
        <w:adjustRightInd w:val="0"/>
        <w:snapToGrid w:val="0"/>
        <w:spacing w:beforeLines="50" w:line="300" w:lineRule="auto"/>
        <w:ind w:firstLine="566"/>
        <w:rPr>
          <w:rFonts w:ascii="宋体" w:hAnsi="宋体"/>
          <w:color w:val="auto"/>
          <w:sz w:val="24"/>
          <w:szCs w:val="24"/>
          <w:highlight w:val="none"/>
        </w:rPr>
      </w:pPr>
      <w:r>
        <w:rPr>
          <w:rFonts w:ascii="宋体" w:hAnsi="宋体"/>
          <w:color w:val="auto"/>
          <w:sz w:val="24"/>
          <w:szCs w:val="24"/>
          <w:highlight w:val="none"/>
        </w:rPr>
        <w:t>7.6.3</w:t>
      </w:r>
      <w:r>
        <w:rPr>
          <w:rFonts w:hint="eastAsia" w:ascii="宋体" w:hAnsi="宋体"/>
          <w:color w:val="auto"/>
          <w:sz w:val="24"/>
          <w:szCs w:val="24"/>
          <w:highlight w:val="none"/>
        </w:rPr>
        <w:t xml:space="preserve"> 合同生效：成交供应商与采购人签订的合同，双方签字后盖章生效</w:t>
      </w:r>
      <w:r>
        <w:rPr>
          <w:rFonts w:hint="eastAsia"/>
          <w:color w:val="auto"/>
          <w:sz w:val="24"/>
          <w:szCs w:val="24"/>
          <w:highlight w:val="none"/>
        </w:rPr>
        <w:t>。</w:t>
      </w:r>
      <w:r>
        <w:rPr>
          <w:rFonts w:hint="eastAsia" w:ascii="宋体" w:hAnsi="宋体"/>
          <w:color w:val="auto"/>
          <w:sz w:val="24"/>
          <w:szCs w:val="24"/>
          <w:highlight w:val="none"/>
        </w:rPr>
        <w:t>采购人要在合同签订后1个工作日内登陆安阳市政府采购网进行备案并公告。</w:t>
      </w:r>
    </w:p>
    <w:p w14:paraId="56E00B51">
      <w:pPr>
        <w:widowControl w:val="0"/>
        <w:adjustRightInd w:val="0"/>
        <w:snapToGrid w:val="0"/>
        <w:spacing w:beforeLines="50" w:line="300" w:lineRule="auto"/>
        <w:ind w:firstLine="549"/>
        <w:rPr>
          <w:rFonts w:ascii="宋体" w:hAnsi="宋体"/>
          <w:color w:val="auto"/>
          <w:sz w:val="24"/>
          <w:szCs w:val="24"/>
          <w:highlight w:val="none"/>
        </w:rPr>
      </w:pPr>
      <w:r>
        <w:rPr>
          <w:rFonts w:ascii="宋体" w:hAnsi="宋体"/>
          <w:color w:val="auto"/>
          <w:sz w:val="24"/>
          <w:szCs w:val="24"/>
          <w:highlight w:val="none"/>
        </w:rPr>
        <w:t>7.6.4</w:t>
      </w:r>
      <w:r>
        <w:rPr>
          <w:rFonts w:hint="eastAsia" w:ascii="宋体" w:hAnsi="宋体"/>
          <w:color w:val="auto"/>
          <w:sz w:val="24"/>
          <w:szCs w:val="24"/>
          <w:highlight w:val="none"/>
        </w:rPr>
        <w:t>《成交通知书》、谈判文件</w:t>
      </w:r>
      <w:r>
        <w:rPr>
          <w:rFonts w:hint="eastAsia" w:ascii="宋体" w:hAnsi="宋体"/>
          <w:color w:val="auto"/>
          <w:spacing w:val="20"/>
          <w:sz w:val="24"/>
          <w:szCs w:val="24"/>
          <w:highlight w:val="none"/>
        </w:rPr>
        <w:t>及其修改补充澄清</w:t>
      </w:r>
      <w:r>
        <w:rPr>
          <w:rFonts w:hint="eastAsia" w:ascii="宋体" w:hAnsi="宋体"/>
          <w:color w:val="auto"/>
          <w:sz w:val="24"/>
          <w:szCs w:val="24"/>
          <w:highlight w:val="none"/>
        </w:rPr>
        <w:t>、成交供应商的投标文件</w:t>
      </w:r>
      <w:r>
        <w:rPr>
          <w:rFonts w:hint="eastAsia" w:ascii="宋体" w:hAnsi="宋体"/>
          <w:color w:val="auto"/>
          <w:spacing w:val="20"/>
          <w:sz w:val="24"/>
          <w:szCs w:val="24"/>
          <w:highlight w:val="none"/>
        </w:rPr>
        <w:t>及其修改补充澄清</w:t>
      </w:r>
      <w:r>
        <w:rPr>
          <w:rFonts w:hint="eastAsia" w:ascii="宋体" w:hAnsi="宋体"/>
          <w:color w:val="auto"/>
          <w:sz w:val="24"/>
          <w:szCs w:val="24"/>
          <w:highlight w:val="none"/>
        </w:rPr>
        <w:t>等，均为签订合同的依据。所定合同不得对谈判文件和成交供应商的投标文件作实质性修改，采购人和成交供应商不得私下订立背离合同实质性内容的协议。</w:t>
      </w:r>
    </w:p>
    <w:p w14:paraId="70AFB0DA">
      <w:pPr>
        <w:widowControl w:val="0"/>
        <w:adjustRightInd w:val="0"/>
        <w:snapToGrid w:val="0"/>
        <w:spacing w:beforeLines="50" w:line="300" w:lineRule="auto"/>
        <w:ind w:firstLine="549"/>
        <w:rPr>
          <w:rFonts w:ascii="宋体" w:hAnsi="宋体"/>
          <w:color w:val="auto"/>
          <w:sz w:val="24"/>
          <w:szCs w:val="24"/>
          <w:highlight w:val="none"/>
        </w:rPr>
      </w:pPr>
      <w:r>
        <w:rPr>
          <w:rFonts w:ascii="宋体" w:hAnsi="宋体"/>
          <w:color w:val="auto"/>
          <w:sz w:val="24"/>
          <w:szCs w:val="24"/>
          <w:highlight w:val="none"/>
        </w:rPr>
        <w:t xml:space="preserve">7.6.5 </w:t>
      </w:r>
      <w:r>
        <w:rPr>
          <w:rFonts w:hint="eastAsia" w:ascii="宋体" w:hAnsi="宋体"/>
          <w:color w:val="auto"/>
          <w:sz w:val="24"/>
          <w:szCs w:val="24"/>
          <w:highlight w:val="none"/>
        </w:rPr>
        <w:t>评审会后，成交供应商、采购人之间擅自私下谈判、变更中标（成交）标的、价格及</w:t>
      </w:r>
      <w:r>
        <w:rPr>
          <w:rFonts w:hint="eastAsia" w:ascii="宋体" w:hAnsi="宋体"/>
          <w:color w:val="auto"/>
          <w:sz w:val="24"/>
          <w:highlight w:val="none"/>
        </w:rPr>
        <w:t>招投</w:t>
      </w:r>
      <w:r>
        <w:rPr>
          <w:rFonts w:hint="eastAsia" w:ascii="宋体" w:hAnsi="宋体"/>
          <w:color w:val="auto"/>
          <w:sz w:val="24"/>
          <w:szCs w:val="24"/>
          <w:highlight w:val="none"/>
        </w:rPr>
        <w:t>标文件实质性内容的，有关部门将按《中华人民共和国政府采购法》及相关法规的规定处理。</w:t>
      </w:r>
    </w:p>
    <w:p w14:paraId="49C402BF">
      <w:pPr>
        <w:widowControl w:val="0"/>
        <w:adjustRightInd w:val="0"/>
        <w:snapToGrid w:val="0"/>
        <w:spacing w:beforeLines="50" w:line="300" w:lineRule="auto"/>
        <w:ind w:firstLine="549"/>
        <w:rPr>
          <w:color w:val="auto"/>
          <w:sz w:val="24"/>
          <w:szCs w:val="24"/>
          <w:highlight w:val="none"/>
        </w:rPr>
      </w:pPr>
      <w:r>
        <w:rPr>
          <w:rFonts w:ascii="宋体" w:hAnsi="宋体"/>
          <w:color w:val="auto"/>
          <w:sz w:val="24"/>
          <w:szCs w:val="24"/>
          <w:highlight w:val="none"/>
        </w:rPr>
        <w:t>7.6.</w:t>
      </w:r>
      <w:r>
        <w:rPr>
          <w:rFonts w:hint="eastAsia" w:ascii="宋体" w:hAnsi="宋体"/>
          <w:color w:val="auto"/>
          <w:sz w:val="24"/>
          <w:szCs w:val="24"/>
          <w:highlight w:val="none"/>
        </w:rPr>
        <w:t>6采购人与成交供应商签订《政府采购合同》后，合同履行中产生的纠纷、争议，由采购人与成交供应</w:t>
      </w:r>
      <w:r>
        <w:rPr>
          <w:rFonts w:hint="eastAsia"/>
          <w:color w:val="auto"/>
          <w:sz w:val="24"/>
          <w:szCs w:val="24"/>
          <w:highlight w:val="none"/>
        </w:rPr>
        <w:t>商按合同条款及《中华人民共和国民法典》处理。</w:t>
      </w:r>
    </w:p>
    <w:p w14:paraId="008CD245">
      <w:pPr>
        <w:widowControl w:val="0"/>
        <w:adjustRightInd w:val="0"/>
        <w:snapToGrid w:val="0"/>
        <w:spacing w:beforeLines="50" w:line="300" w:lineRule="auto"/>
        <w:ind w:firstLine="555"/>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7.7 </w:t>
      </w:r>
      <w:r>
        <w:rPr>
          <w:rFonts w:hint="eastAsia" w:ascii="黑体" w:hAnsi="黑体" w:eastAsia="黑体" w:cs="楷体_GB2312"/>
          <w:b/>
          <w:color w:val="auto"/>
          <w:sz w:val="24"/>
          <w:highlight w:val="none"/>
          <w:lang w:val="zh-CN"/>
        </w:rPr>
        <w:t>合同补充变更</w:t>
      </w:r>
    </w:p>
    <w:p w14:paraId="260ECFA3">
      <w:pPr>
        <w:widowControl w:val="0"/>
        <w:adjustRightInd w:val="0"/>
        <w:snapToGrid w:val="0"/>
        <w:spacing w:beforeLines="50" w:line="300" w:lineRule="auto"/>
        <w:ind w:firstLine="555"/>
        <w:rPr>
          <w:rFonts w:ascii="宋体" w:hAnsi="宋体"/>
          <w:color w:val="auto"/>
          <w:sz w:val="24"/>
          <w:szCs w:val="24"/>
          <w:highlight w:val="none"/>
        </w:rPr>
      </w:pPr>
      <w:r>
        <w:rPr>
          <w:rFonts w:ascii="宋体" w:hAnsi="宋体"/>
          <w:color w:val="auto"/>
          <w:sz w:val="24"/>
          <w:szCs w:val="24"/>
          <w:highlight w:val="none"/>
        </w:rPr>
        <w:t xml:space="preserve">7.7.1 </w:t>
      </w:r>
      <w:r>
        <w:rPr>
          <w:rFonts w:hint="eastAsia" w:ascii="宋体" w:hAnsi="宋体"/>
          <w:color w:val="auto"/>
          <w:sz w:val="24"/>
          <w:szCs w:val="24"/>
          <w:highlight w:val="none"/>
        </w:rPr>
        <w:t>政府采购合同履行中，采购人需追加或减少与合同标的相同的货物、工程和服务的（即追加或减少原合同标的数量），在不改变合同条款（包括原合同单价）的前提下，双方可以协商签订补充合同，但所有补充合同总金额不得超过原合同采购金额的</w:t>
      </w:r>
      <w:r>
        <w:rPr>
          <w:rFonts w:ascii="宋体" w:hAnsi="宋体"/>
          <w:color w:val="auto"/>
          <w:sz w:val="24"/>
          <w:szCs w:val="24"/>
          <w:highlight w:val="none"/>
        </w:rPr>
        <w:t>10%</w:t>
      </w:r>
      <w:r>
        <w:rPr>
          <w:rFonts w:hint="eastAsia" w:ascii="宋体" w:hAnsi="宋体"/>
          <w:color w:val="auto"/>
          <w:sz w:val="24"/>
          <w:szCs w:val="24"/>
          <w:highlight w:val="none"/>
        </w:rPr>
        <w:t>，不得调增原合同单价，不得超出项目预算，超过原合同采购金额的</w:t>
      </w:r>
      <w:r>
        <w:rPr>
          <w:rFonts w:ascii="宋体" w:hAnsi="宋体"/>
          <w:color w:val="auto"/>
          <w:sz w:val="24"/>
          <w:szCs w:val="24"/>
          <w:highlight w:val="none"/>
        </w:rPr>
        <w:t>10%</w:t>
      </w:r>
      <w:r>
        <w:rPr>
          <w:rFonts w:hint="eastAsia" w:ascii="宋体" w:hAnsi="宋体"/>
          <w:color w:val="auto"/>
          <w:sz w:val="24"/>
          <w:szCs w:val="24"/>
          <w:highlight w:val="none"/>
        </w:rPr>
        <w:t>，应重新组织采购活动。</w:t>
      </w:r>
    </w:p>
    <w:p w14:paraId="4B13632F">
      <w:pPr>
        <w:widowControl w:val="0"/>
        <w:adjustRightInd w:val="0"/>
        <w:snapToGrid w:val="0"/>
        <w:spacing w:beforeLines="50" w:line="300" w:lineRule="auto"/>
        <w:ind w:firstLine="555"/>
        <w:rPr>
          <w:color w:val="auto"/>
          <w:sz w:val="24"/>
          <w:szCs w:val="24"/>
          <w:highlight w:val="none"/>
        </w:rPr>
      </w:pPr>
    </w:p>
    <w:p w14:paraId="4AAD4C5C">
      <w:pPr>
        <w:widowControl w:val="0"/>
        <w:adjustRightInd w:val="0"/>
        <w:snapToGrid w:val="0"/>
        <w:spacing w:beforeLines="50" w:line="300" w:lineRule="auto"/>
        <w:ind w:firstLine="561"/>
        <w:outlineLvl w:val="1"/>
        <w:rPr>
          <w:rFonts w:ascii="黑体" w:hAnsi="黑体" w:eastAsia="黑体" w:cs="楷体_GB2312"/>
          <w:b/>
          <w:bCs/>
          <w:color w:val="auto"/>
          <w:sz w:val="28"/>
          <w:szCs w:val="28"/>
          <w:highlight w:val="none"/>
          <w:lang w:val="zh-CN"/>
        </w:rPr>
      </w:pPr>
      <w:bookmarkStart w:id="36" w:name="_Toc209083637"/>
      <w:r>
        <w:rPr>
          <w:rFonts w:ascii="黑体" w:hAnsi="黑体" w:eastAsia="黑体" w:cs="楷体_GB2312"/>
          <w:b/>
          <w:bCs/>
          <w:color w:val="auto"/>
          <w:sz w:val="28"/>
          <w:szCs w:val="28"/>
          <w:highlight w:val="none"/>
          <w:lang w:val="zh-CN"/>
        </w:rPr>
        <w:t xml:space="preserve">8. </w:t>
      </w:r>
      <w:r>
        <w:rPr>
          <w:rFonts w:hint="eastAsia" w:ascii="黑体" w:hAnsi="黑体" w:eastAsia="黑体" w:cs="楷体_GB2312"/>
          <w:b/>
          <w:bCs/>
          <w:color w:val="auto"/>
          <w:sz w:val="28"/>
          <w:szCs w:val="28"/>
          <w:highlight w:val="none"/>
          <w:lang w:val="zh-CN"/>
        </w:rPr>
        <w:t>验收</w:t>
      </w:r>
      <w:bookmarkEnd w:id="36"/>
    </w:p>
    <w:p w14:paraId="0CB1AC26">
      <w:pPr>
        <w:widowControl w:val="0"/>
        <w:adjustRightInd w:val="0"/>
        <w:snapToGrid w:val="0"/>
        <w:spacing w:beforeLines="50" w:line="300" w:lineRule="auto"/>
        <w:ind w:firstLine="561"/>
        <w:rPr>
          <w:rFonts w:ascii="宋体" w:cs="楷体_GB2312"/>
          <w:color w:val="auto"/>
          <w:sz w:val="24"/>
          <w:highlight w:val="none"/>
          <w:lang w:val="zh-CN"/>
        </w:rPr>
      </w:pPr>
      <w:r>
        <w:rPr>
          <w:rFonts w:ascii="宋体" w:hAnsi="宋体" w:cs="楷体_GB2312"/>
          <w:color w:val="auto"/>
          <w:sz w:val="24"/>
          <w:highlight w:val="none"/>
          <w:lang w:val="zh-CN"/>
        </w:rPr>
        <w:t>8.1</w:t>
      </w:r>
      <w:r>
        <w:rPr>
          <w:rFonts w:hint="eastAsia" w:ascii="宋体" w:hAnsi="宋体" w:cs="楷体_GB2312"/>
          <w:color w:val="auto"/>
          <w:sz w:val="24"/>
          <w:highlight w:val="none"/>
          <w:lang w:val="zh-CN"/>
        </w:rPr>
        <w:t>验收时间：所供货物安装调试结束、具备正常使用及验收条件时，由采购</w:t>
      </w:r>
      <w:r>
        <w:rPr>
          <w:rFonts w:hint="eastAsia" w:ascii="宋体" w:hAnsi="宋体" w:cs="楷体_GB2312"/>
          <w:color w:val="auto"/>
          <w:sz w:val="24"/>
          <w:highlight w:val="none"/>
        </w:rPr>
        <w:t>人</w:t>
      </w:r>
      <w:r>
        <w:rPr>
          <w:rFonts w:hint="eastAsia" w:ascii="宋体" w:hAnsi="宋体" w:cs="楷体_GB2312"/>
          <w:color w:val="auto"/>
          <w:sz w:val="24"/>
          <w:highlight w:val="none"/>
          <w:lang w:val="zh-CN"/>
        </w:rPr>
        <w:t>成立验收工作组负责验收。</w:t>
      </w:r>
      <w:r>
        <w:rPr>
          <w:rFonts w:hint="eastAsia" w:ascii="宋体" w:hAnsi="宋体" w:cs="楷体_GB2312"/>
          <w:color w:val="auto"/>
          <w:sz w:val="24"/>
          <w:highlight w:val="none"/>
        </w:rPr>
        <w:t>技术复杂、社会影响较大的货物类项目，可以根据需要设置出厂检验、到货检验、安装调试检验、配套服务检验等多重验收环节；服务类项目，可根据项目特点对服务期内的服务实施情况进行分期考核，结合考核情况和服务效果进行验收。</w:t>
      </w:r>
    </w:p>
    <w:p w14:paraId="00059D2E">
      <w:pPr>
        <w:widowControl w:val="0"/>
        <w:adjustRightInd w:val="0"/>
        <w:snapToGrid w:val="0"/>
        <w:spacing w:beforeLines="50" w:line="300" w:lineRule="auto"/>
        <w:ind w:firstLine="561"/>
        <w:rPr>
          <w:rFonts w:ascii="宋体" w:hAnsi="宋体" w:cs="楷体_GB2312"/>
          <w:color w:val="auto"/>
          <w:sz w:val="24"/>
          <w:highlight w:val="none"/>
          <w:lang w:val="zh-CN"/>
        </w:rPr>
      </w:pPr>
      <w:r>
        <w:rPr>
          <w:rFonts w:ascii="宋体" w:hAnsi="宋体" w:cs="楷体_GB2312"/>
          <w:color w:val="auto"/>
          <w:sz w:val="24"/>
          <w:highlight w:val="none"/>
          <w:lang w:val="zh-CN"/>
        </w:rPr>
        <w:t>8.2</w:t>
      </w:r>
      <w:r>
        <w:rPr>
          <w:rFonts w:hint="eastAsia" w:ascii="宋体" w:hAnsi="宋体" w:cs="楷体_GB2312"/>
          <w:color w:val="auto"/>
          <w:sz w:val="24"/>
          <w:highlight w:val="none"/>
          <w:lang w:val="zh-CN"/>
        </w:rPr>
        <w:t>验收工作组：合同履约验收工作应成立验收工作组专门负责。</w:t>
      </w:r>
    </w:p>
    <w:p w14:paraId="64073BE8">
      <w:pPr>
        <w:widowControl w:val="0"/>
        <w:adjustRightInd w:val="0"/>
        <w:snapToGrid w:val="0"/>
        <w:spacing w:beforeLines="50" w:line="300" w:lineRule="auto"/>
        <w:ind w:firstLine="561"/>
        <w:rPr>
          <w:rFonts w:ascii="宋体" w:hAnsi="宋体" w:cs="楷体_GB2312"/>
          <w:color w:val="auto"/>
          <w:sz w:val="24"/>
          <w:highlight w:val="none"/>
          <w:lang w:val="zh-CN"/>
        </w:rPr>
      </w:pPr>
      <w:r>
        <w:rPr>
          <w:rFonts w:hint="eastAsia" w:ascii="宋体" w:hAnsi="宋体" w:cs="楷体_GB2312"/>
          <w:color w:val="auto"/>
          <w:sz w:val="24"/>
          <w:highlight w:val="none"/>
          <w:lang w:val="zh-CN"/>
        </w:rPr>
        <w:t>直接参与该项目政府采购活动的主要负责人不得作为验收工作的主要负责人。</w:t>
      </w:r>
      <w:r>
        <w:rPr>
          <w:rFonts w:hint="eastAsia" w:ascii="宋体" w:hAnsi="宋体" w:cs="楷体_GB2312"/>
          <w:color w:val="auto"/>
          <w:sz w:val="24"/>
          <w:highlight w:val="none"/>
        </w:rPr>
        <w:t>对于采购人和使用人分离的采购项目，应当邀请实际使用人参与验收；政府向社会公众提供的公共服务项目，验收时应当邀请服务对象参与并出具意见，验收结果应当向社会公告。</w:t>
      </w:r>
    </w:p>
    <w:p w14:paraId="61265EF7">
      <w:pPr>
        <w:widowControl w:val="0"/>
        <w:adjustRightInd w:val="0"/>
        <w:snapToGrid w:val="0"/>
        <w:spacing w:beforeLines="50" w:line="300" w:lineRule="auto"/>
        <w:ind w:firstLine="561"/>
        <w:rPr>
          <w:rFonts w:ascii="宋体" w:hAnsi="宋体" w:cs="楷体_GB2312"/>
          <w:color w:val="auto"/>
          <w:sz w:val="24"/>
          <w:highlight w:val="none"/>
        </w:rPr>
      </w:pPr>
      <w:r>
        <w:rPr>
          <w:rFonts w:hint="eastAsia" w:ascii="宋体" w:hAnsi="宋体" w:cs="楷体_GB2312"/>
          <w:color w:val="auto"/>
          <w:sz w:val="24"/>
          <w:highlight w:val="none"/>
        </w:rPr>
        <w:t>8.2.1</w:t>
      </w:r>
      <w:r>
        <w:rPr>
          <w:rFonts w:hint="eastAsia" w:ascii="宋体" w:hAnsi="宋体" w:cs="楷体_GB2312"/>
          <w:color w:val="auto"/>
          <w:sz w:val="24"/>
          <w:highlight w:val="none"/>
          <w:lang w:val="zh-CN"/>
        </w:rPr>
        <w:t>政府采购合同金额</w:t>
      </w:r>
      <w:r>
        <w:rPr>
          <w:rFonts w:hint="eastAsia" w:ascii="宋体" w:hAnsi="宋体" w:cs="楷体_GB2312"/>
          <w:color w:val="auto"/>
          <w:sz w:val="24"/>
          <w:highlight w:val="none"/>
        </w:rPr>
        <w:t>在</w:t>
      </w:r>
      <w:r>
        <w:rPr>
          <w:rFonts w:hint="eastAsia" w:ascii="宋体" w:hAnsi="宋体" w:cs="楷体_GB2312"/>
          <w:color w:val="auto"/>
          <w:sz w:val="24"/>
          <w:highlight w:val="none"/>
          <w:lang w:val="zh-CN"/>
        </w:rPr>
        <w:t>10万元以下（</w:t>
      </w:r>
      <w:r>
        <w:rPr>
          <w:rFonts w:hint="eastAsia" w:ascii="宋体" w:hAnsi="宋体" w:cs="楷体_GB2312"/>
          <w:color w:val="auto"/>
          <w:sz w:val="24"/>
          <w:highlight w:val="none"/>
        </w:rPr>
        <w:t>含10万元</w:t>
      </w:r>
      <w:r>
        <w:rPr>
          <w:rFonts w:hint="eastAsia" w:ascii="宋体" w:hAnsi="宋体" w:cs="楷体_GB2312"/>
          <w:color w:val="auto"/>
          <w:sz w:val="24"/>
          <w:highlight w:val="none"/>
          <w:lang w:val="zh-CN"/>
        </w:rPr>
        <w:t>）的项目，原则上可以不邀请评审专家参加，组织方成立验收小组自行验收。</w:t>
      </w:r>
      <w:r>
        <w:rPr>
          <w:rFonts w:hint="eastAsia" w:ascii="宋体" w:hAnsi="宋体" w:cs="楷体_GB2312"/>
          <w:color w:val="auto"/>
          <w:sz w:val="24"/>
          <w:highlight w:val="none"/>
        </w:rPr>
        <w:t>自行验收时，验收小组应仔细对照采购文件及合同，对标的物的数量、质量、规格、型号等参数逐一核对，并编制验收报告。组织方认为不能独立完成验收任务的，可以邀请评审专家参与验收。</w:t>
      </w:r>
    </w:p>
    <w:p w14:paraId="32110E75">
      <w:pPr>
        <w:widowControl w:val="0"/>
        <w:adjustRightInd w:val="0"/>
        <w:snapToGrid w:val="0"/>
        <w:spacing w:beforeLines="50" w:line="300" w:lineRule="auto"/>
        <w:ind w:firstLine="561"/>
        <w:rPr>
          <w:rFonts w:ascii="宋体" w:hAnsi="宋体" w:cs="楷体_GB2312"/>
          <w:color w:val="auto"/>
          <w:sz w:val="24"/>
          <w:highlight w:val="none"/>
        </w:rPr>
      </w:pPr>
      <w:r>
        <w:rPr>
          <w:rFonts w:hint="eastAsia" w:ascii="宋体" w:hAnsi="宋体" w:cs="楷体_GB2312"/>
          <w:color w:val="auto"/>
          <w:sz w:val="24"/>
          <w:highlight w:val="none"/>
        </w:rPr>
        <w:t>8.2.2</w:t>
      </w:r>
      <w:r>
        <w:rPr>
          <w:rFonts w:hint="eastAsia" w:ascii="宋体" w:hAnsi="宋体" w:cs="楷体_GB2312"/>
          <w:color w:val="auto"/>
          <w:sz w:val="24"/>
          <w:highlight w:val="none"/>
          <w:lang w:val="zh-CN"/>
        </w:rPr>
        <w:t>政府采购合同金额50万元以下的（含50万元）的项目，验收工作组应不少于三人；政府采购合同金额50万元以上的项目，验收工作组应由</w:t>
      </w:r>
      <w:r>
        <w:rPr>
          <w:rFonts w:hint="eastAsia" w:ascii="宋体" w:hAnsi="宋体" w:cs="楷体_GB2312"/>
          <w:color w:val="auto"/>
          <w:sz w:val="24"/>
          <w:highlight w:val="none"/>
        </w:rPr>
        <w:t>采购人</w:t>
      </w:r>
      <w:r>
        <w:rPr>
          <w:rFonts w:hint="eastAsia" w:ascii="宋体" w:hAnsi="宋体" w:cs="楷体_GB2312"/>
          <w:color w:val="auto"/>
          <w:sz w:val="24"/>
          <w:highlight w:val="none"/>
          <w:lang w:val="zh-CN"/>
        </w:rPr>
        <w:t>领导牵头，财务、审计、监察、资产管理、技术等部门人员参与，成员不少于五人。验收工作</w:t>
      </w:r>
      <w:r>
        <w:rPr>
          <w:rFonts w:hint="eastAsia" w:ascii="宋体" w:hAnsi="宋体" w:cs="楷体_GB2312"/>
          <w:color w:val="auto"/>
          <w:sz w:val="24"/>
          <w:highlight w:val="none"/>
        </w:rPr>
        <w:t>原则上</w:t>
      </w:r>
      <w:r>
        <w:rPr>
          <w:rFonts w:hint="eastAsia" w:ascii="宋体" w:hAnsi="宋体" w:cs="楷体_GB2312"/>
          <w:color w:val="auto"/>
          <w:sz w:val="24"/>
          <w:highlight w:val="none"/>
          <w:lang w:val="zh-CN"/>
        </w:rPr>
        <w:t>应当邀请采购评审专家参加验收；大型、复杂或者技术性很强的政府采购项目，应当邀请国家认可的质量检测机构参加验收工作；国家规定强制性检测的采购项目，</w:t>
      </w:r>
      <w:r>
        <w:rPr>
          <w:rFonts w:hint="eastAsia" w:ascii="宋体" w:hAnsi="宋体" w:cs="楷体_GB2312"/>
          <w:color w:val="auto"/>
          <w:sz w:val="24"/>
          <w:highlight w:val="none"/>
        </w:rPr>
        <w:t>采购人</w:t>
      </w:r>
      <w:r>
        <w:rPr>
          <w:rFonts w:hint="eastAsia" w:ascii="宋体" w:hAnsi="宋体" w:cs="楷体_GB2312"/>
          <w:color w:val="auto"/>
          <w:sz w:val="24"/>
          <w:highlight w:val="none"/>
          <w:lang w:val="zh-CN"/>
        </w:rPr>
        <w:t>必须委托国家认可专业检测机构进行验收。</w:t>
      </w:r>
    </w:p>
    <w:p w14:paraId="2F17E823">
      <w:pPr>
        <w:widowControl w:val="0"/>
        <w:adjustRightInd w:val="0"/>
        <w:snapToGrid w:val="0"/>
        <w:spacing w:beforeLines="50" w:line="300" w:lineRule="auto"/>
        <w:ind w:firstLine="561"/>
        <w:rPr>
          <w:rFonts w:ascii="宋体" w:hAnsi="宋体" w:cs="楷体_GB2312"/>
          <w:color w:val="auto"/>
          <w:sz w:val="24"/>
          <w:highlight w:val="none"/>
        </w:rPr>
      </w:pPr>
      <w:r>
        <w:rPr>
          <w:rFonts w:hint="eastAsia" w:ascii="宋体" w:hAnsi="宋体" w:cs="楷体_GB2312"/>
          <w:color w:val="auto"/>
          <w:sz w:val="24"/>
          <w:highlight w:val="none"/>
        </w:rPr>
        <w:t>8.3验收时，验收小组按照采购合同的约定对每一项技术、服务、安全标准的履约情况进行确认。</w:t>
      </w:r>
      <w:r>
        <w:rPr>
          <w:rFonts w:hint="eastAsia" w:ascii="宋体" w:hAnsi="宋体" w:cs="楷体_GB2312"/>
          <w:color w:val="auto"/>
          <w:sz w:val="24"/>
          <w:highlight w:val="none"/>
          <w:lang w:val="zh-CN"/>
        </w:rPr>
        <w:t>验收时需要进行破坏性试验的，供应商应进行充分的配合并提供备品备件。</w:t>
      </w:r>
    </w:p>
    <w:p w14:paraId="47AFEDF1">
      <w:pPr>
        <w:widowControl w:val="0"/>
        <w:adjustRightInd w:val="0"/>
        <w:snapToGrid w:val="0"/>
        <w:spacing w:beforeLines="50" w:line="300" w:lineRule="auto"/>
        <w:ind w:firstLine="561"/>
        <w:rPr>
          <w:rFonts w:ascii="宋体" w:hAnsi="宋体" w:cs="楷体_GB2312"/>
          <w:color w:val="auto"/>
          <w:sz w:val="24"/>
          <w:highlight w:val="none"/>
        </w:rPr>
      </w:pPr>
      <w:r>
        <w:rPr>
          <w:rFonts w:ascii="宋体" w:hAnsi="宋体" w:cs="楷体_GB2312"/>
          <w:color w:val="auto"/>
          <w:sz w:val="24"/>
          <w:highlight w:val="none"/>
          <w:lang w:val="zh-CN"/>
        </w:rPr>
        <w:t>8.</w:t>
      </w:r>
      <w:r>
        <w:rPr>
          <w:rFonts w:hint="eastAsia" w:ascii="宋体" w:hAnsi="宋体" w:cs="楷体_GB2312"/>
          <w:color w:val="auto"/>
          <w:sz w:val="24"/>
          <w:highlight w:val="none"/>
        </w:rPr>
        <w:t>4</w:t>
      </w:r>
      <w:r>
        <w:rPr>
          <w:rFonts w:hint="eastAsia" w:ascii="宋体" w:hAnsi="宋体" w:cs="楷体_GB2312"/>
          <w:color w:val="auto"/>
          <w:sz w:val="24"/>
          <w:highlight w:val="none"/>
          <w:lang w:val="zh-CN"/>
        </w:rPr>
        <w:t>验收报告：验收后，由采购</w:t>
      </w:r>
      <w:r>
        <w:rPr>
          <w:rFonts w:hint="eastAsia" w:ascii="宋体" w:hAnsi="宋体" w:cs="楷体_GB2312"/>
          <w:color w:val="auto"/>
          <w:sz w:val="24"/>
          <w:highlight w:val="none"/>
        </w:rPr>
        <w:t>人</w:t>
      </w:r>
      <w:r>
        <w:rPr>
          <w:rFonts w:hint="eastAsia" w:ascii="宋体" w:hAnsi="宋体" w:cs="楷体_GB2312"/>
          <w:color w:val="auto"/>
          <w:sz w:val="24"/>
          <w:highlight w:val="none"/>
          <w:lang w:val="zh-CN"/>
        </w:rPr>
        <w:t>及专家等出具验收报告（</w:t>
      </w:r>
      <w:r>
        <w:rPr>
          <w:rFonts w:hint="eastAsia" w:ascii="宋体" w:hAnsi="宋体" w:cs="楷体_GB2312"/>
          <w:color w:val="auto"/>
          <w:sz w:val="24"/>
          <w:highlight w:val="none"/>
        </w:rPr>
        <w:t>自行验收的，由采购人出具</w:t>
      </w:r>
      <w:r>
        <w:rPr>
          <w:rFonts w:hint="eastAsia" w:ascii="宋体" w:hAnsi="宋体" w:cs="楷体_GB2312"/>
          <w:color w:val="auto"/>
          <w:sz w:val="24"/>
          <w:highlight w:val="none"/>
          <w:lang w:val="zh-CN"/>
        </w:rPr>
        <w:t>），国家规定强制性检测的采购项目应附国家认可的专业检测机构出具的验收报告。</w:t>
      </w:r>
    </w:p>
    <w:p w14:paraId="6E74C39C">
      <w:pPr>
        <w:widowControl w:val="0"/>
        <w:adjustRightInd w:val="0"/>
        <w:snapToGrid w:val="0"/>
        <w:spacing w:beforeLines="50" w:line="300" w:lineRule="auto"/>
        <w:ind w:firstLine="561"/>
        <w:rPr>
          <w:rFonts w:ascii="宋体" w:cs="楷体_GB2312"/>
          <w:color w:val="auto"/>
          <w:sz w:val="24"/>
          <w:highlight w:val="none"/>
          <w:lang w:val="zh-CN"/>
        </w:rPr>
      </w:pPr>
      <w:r>
        <w:rPr>
          <w:rFonts w:hint="eastAsia" w:ascii="宋体" w:hAnsi="宋体" w:cs="楷体_GB2312"/>
          <w:color w:val="auto"/>
          <w:sz w:val="24"/>
          <w:highlight w:val="none"/>
          <w:lang w:val="zh-CN"/>
        </w:rPr>
        <w:t>8.</w:t>
      </w:r>
      <w:r>
        <w:rPr>
          <w:rFonts w:hint="eastAsia" w:ascii="宋体" w:hAnsi="宋体" w:cs="楷体_GB2312"/>
          <w:color w:val="auto"/>
          <w:sz w:val="24"/>
          <w:highlight w:val="none"/>
        </w:rPr>
        <w:t>5</w:t>
      </w:r>
      <w:r>
        <w:rPr>
          <w:rFonts w:hint="eastAsia" w:ascii="宋体" w:hAnsi="宋体" w:cs="楷体_GB2312"/>
          <w:color w:val="auto"/>
          <w:sz w:val="24"/>
          <w:highlight w:val="none"/>
          <w:lang w:val="zh-CN"/>
        </w:rPr>
        <w:t>验收中发现成交供应商未按合同约定的时间、地点或方式履约，提供的货物或服务的数量、质量、性能、功能达不到合同约定的，或者提供假冒伪劣产品等违反合同约定的，验收人员应在验收报告中注明违约情形和事项，并应及时通知财政部门。属假冒伪劣产品的，同时向工商管理、质量监督等行政执法部门举报。</w:t>
      </w:r>
    </w:p>
    <w:p w14:paraId="0995B8C7">
      <w:pPr>
        <w:autoSpaceDE w:val="0"/>
        <w:autoSpaceDN w:val="0"/>
        <w:adjustRightInd w:val="0"/>
        <w:snapToGrid w:val="0"/>
        <w:spacing w:beforeLines="50" w:line="300" w:lineRule="auto"/>
        <w:ind w:firstLine="539"/>
        <w:rPr>
          <w:rFonts w:ascii="宋体" w:hAnsi="宋体" w:cs="楷体_GB2312"/>
          <w:color w:val="auto"/>
          <w:sz w:val="24"/>
          <w:highlight w:val="none"/>
          <w:lang w:val="zh-CN"/>
        </w:rPr>
      </w:pPr>
      <w:r>
        <w:rPr>
          <w:rFonts w:hint="eastAsia" w:ascii="宋体" w:hAnsi="宋体" w:cs="楷体_GB2312"/>
          <w:color w:val="auto"/>
          <w:sz w:val="24"/>
          <w:highlight w:val="none"/>
          <w:lang w:val="zh-CN"/>
        </w:rPr>
        <w:t>8.6 验收公告的时限：采购人要在政府采购项目验收完成后1个工作日内登陆安阳市政府采购网进行验收公告。</w:t>
      </w:r>
    </w:p>
    <w:p w14:paraId="408AEE24">
      <w:pPr>
        <w:widowControl w:val="0"/>
        <w:adjustRightInd w:val="0"/>
        <w:snapToGrid w:val="0"/>
        <w:spacing w:beforeLines="50" w:line="300" w:lineRule="auto"/>
        <w:ind w:firstLine="561"/>
        <w:rPr>
          <w:rFonts w:ascii="宋体" w:cs="楷体_GB2312"/>
          <w:color w:val="auto"/>
          <w:sz w:val="24"/>
          <w:highlight w:val="none"/>
          <w:lang w:val="zh-CN"/>
        </w:rPr>
      </w:pPr>
    </w:p>
    <w:p w14:paraId="27FA57BB">
      <w:pPr>
        <w:widowControl w:val="0"/>
        <w:adjustRightInd w:val="0"/>
        <w:snapToGrid w:val="0"/>
        <w:spacing w:beforeLines="50" w:line="300" w:lineRule="auto"/>
        <w:ind w:firstLine="561"/>
        <w:outlineLvl w:val="1"/>
        <w:rPr>
          <w:rFonts w:ascii="黑体" w:hAnsi="黑体" w:eastAsia="黑体" w:cs="楷体_GB2312"/>
          <w:b/>
          <w:bCs/>
          <w:color w:val="auto"/>
          <w:sz w:val="28"/>
          <w:szCs w:val="28"/>
          <w:highlight w:val="none"/>
          <w:lang w:val="zh-CN"/>
        </w:rPr>
      </w:pPr>
      <w:bookmarkStart w:id="37" w:name="_Toc209083638"/>
      <w:r>
        <w:rPr>
          <w:rFonts w:ascii="黑体" w:hAnsi="黑体" w:eastAsia="黑体" w:cs="楷体_GB2312"/>
          <w:b/>
          <w:bCs/>
          <w:color w:val="auto"/>
          <w:sz w:val="28"/>
          <w:szCs w:val="28"/>
          <w:highlight w:val="none"/>
          <w:lang w:val="zh-CN"/>
        </w:rPr>
        <w:t>9.</w:t>
      </w:r>
      <w:r>
        <w:rPr>
          <w:rFonts w:hint="eastAsia" w:ascii="黑体" w:hAnsi="黑体" w:eastAsia="黑体" w:cs="楷体_GB2312"/>
          <w:b/>
          <w:bCs/>
          <w:color w:val="auto"/>
          <w:sz w:val="28"/>
          <w:szCs w:val="28"/>
          <w:highlight w:val="none"/>
          <w:lang w:val="zh-CN"/>
        </w:rPr>
        <w:t>付款</w:t>
      </w:r>
      <w:bookmarkEnd w:id="37"/>
    </w:p>
    <w:p w14:paraId="25BD2A08">
      <w:pPr>
        <w:widowControl w:val="0"/>
        <w:adjustRightInd w:val="0"/>
        <w:snapToGrid w:val="0"/>
        <w:spacing w:beforeLines="50" w:line="300" w:lineRule="auto"/>
        <w:ind w:firstLine="561"/>
        <w:rPr>
          <w:rFonts w:ascii="宋体" w:cs="楷体_GB2312"/>
          <w:color w:val="auto"/>
          <w:sz w:val="24"/>
          <w:highlight w:val="none"/>
          <w:lang w:val="zh-CN"/>
        </w:rPr>
      </w:pPr>
      <w:r>
        <w:rPr>
          <w:rFonts w:hint="eastAsia" w:ascii="宋体" w:hAnsi="宋体" w:cs="楷体_GB2312"/>
          <w:color w:val="auto"/>
          <w:sz w:val="24"/>
          <w:highlight w:val="none"/>
          <w:lang w:val="zh-CN"/>
        </w:rPr>
        <w:t>见投标人须知前附表</w:t>
      </w:r>
    </w:p>
    <w:p w14:paraId="74ED66D9">
      <w:pPr>
        <w:widowControl w:val="0"/>
        <w:adjustRightInd w:val="0"/>
        <w:snapToGrid w:val="0"/>
        <w:spacing w:beforeLines="50" w:line="300" w:lineRule="auto"/>
        <w:ind w:firstLine="561"/>
        <w:rPr>
          <w:rFonts w:ascii="黑体" w:hAnsi="黑体" w:eastAsia="黑体" w:cs="楷体_GB2312"/>
          <w:b/>
          <w:bCs/>
          <w:color w:val="auto"/>
          <w:sz w:val="28"/>
          <w:szCs w:val="28"/>
          <w:highlight w:val="none"/>
          <w:lang w:val="zh-CN"/>
        </w:rPr>
      </w:pPr>
    </w:p>
    <w:p w14:paraId="46F0165D">
      <w:pPr>
        <w:widowControl w:val="0"/>
        <w:adjustRightInd w:val="0"/>
        <w:snapToGrid w:val="0"/>
        <w:spacing w:beforeLines="50" w:line="300" w:lineRule="auto"/>
        <w:ind w:firstLine="561"/>
        <w:outlineLvl w:val="1"/>
        <w:rPr>
          <w:rFonts w:ascii="黑体" w:hAnsi="黑体" w:eastAsia="黑体" w:cs="楷体_GB2312"/>
          <w:b/>
          <w:bCs/>
          <w:color w:val="auto"/>
          <w:sz w:val="28"/>
          <w:szCs w:val="28"/>
          <w:highlight w:val="none"/>
          <w:lang w:val="zh-CN"/>
        </w:rPr>
      </w:pPr>
      <w:bookmarkStart w:id="38" w:name="_Toc209083639"/>
      <w:r>
        <w:rPr>
          <w:rFonts w:ascii="黑体" w:hAnsi="黑体" w:eastAsia="黑体" w:cs="楷体_GB2312"/>
          <w:b/>
          <w:bCs/>
          <w:color w:val="auto"/>
          <w:sz w:val="28"/>
          <w:szCs w:val="28"/>
          <w:highlight w:val="none"/>
          <w:lang w:val="zh-CN"/>
        </w:rPr>
        <w:t xml:space="preserve">10. </w:t>
      </w:r>
      <w:r>
        <w:rPr>
          <w:rFonts w:hint="eastAsia" w:ascii="黑体" w:hAnsi="黑体" w:eastAsia="黑体" w:cs="楷体_GB2312"/>
          <w:b/>
          <w:bCs/>
          <w:color w:val="auto"/>
          <w:sz w:val="28"/>
          <w:szCs w:val="28"/>
          <w:highlight w:val="none"/>
          <w:lang w:val="zh-CN"/>
        </w:rPr>
        <w:t>其他</w:t>
      </w:r>
      <w:bookmarkEnd w:id="38"/>
    </w:p>
    <w:p w14:paraId="63FD9B47">
      <w:pPr>
        <w:widowControl w:val="0"/>
        <w:adjustRightInd w:val="0"/>
        <w:snapToGrid w:val="0"/>
        <w:spacing w:beforeLines="50" w:line="300" w:lineRule="auto"/>
        <w:ind w:firstLine="561"/>
        <w:rPr>
          <w:rFonts w:ascii="宋体" w:cs="楷体_GB2312"/>
          <w:color w:val="auto"/>
          <w:sz w:val="24"/>
          <w:highlight w:val="none"/>
          <w:lang w:val="zh-CN"/>
        </w:rPr>
      </w:pPr>
      <w:r>
        <w:rPr>
          <w:rFonts w:ascii="宋体" w:hAnsi="宋体" w:cs="楷体_GB2312"/>
          <w:color w:val="auto"/>
          <w:sz w:val="24"/>
          <w:highlight w:val="none"/>
          <w:lang w:val="zh-CN"/>
        </w:rPr>
        <w:t xml:space="preserve">10.1 </w:t>
      </w:r>
      <w:r>
        <w:rPr>
          <w:rFonts w:hint="eastAsia" w:ascii="宋体" w:hAnsi="宋体" w:cs="楷体_GB2312"/>
          <w:color w:val="auto"/>
          <w:sz w:val="24"/>
          <w:highlight w:val="none"/>
          <w:lang w:val="zh-CN"/>
        </w:rPr>
        <w:t>中标服务费等：见投标人须知前附表</w:t>
      </w:r>
    </w:p>
    <w:p w14:paraId="469F721D">
      <w:pPr>
        <w:widowControl w:val="0"/>
        <w:adjustRightInd w:val="0"/>
        <w:snapToGrid w:val="0"/>
        <w:spacing w:beforeLines="50" w:line="300" w:lineRule="auto"/>
        <w:ind w:firstLine="561"/>
        <w:rPr>
          <w:rFonts w:ascii="宋体" w:hAnsi="宋体" w:cs="楷体_GB2312"/>
          <w:color w:val="auto"/>
          <w:sz w:val="24"/>
          <w:highlight w:val="none"/>
          <w:lang w:val="zh-CN"/>
        </w:rPr>
      </w:pPr>
      <w:r>
        <w:rPr>
          <w:rFonts w:ascii="宋体" w:hAnsi="宋体" w:cs="楷体_GB2312"/>
          <w:color w:val="auto"/>
          <w:sz w:val="24"/>
          <w:highlight w:val="none"/>
          <w:lang w:val="zh-CN"/>
        </w:rPr>
        <w:t xml:space="preserve">10.2 </w:t>
      </w:r>
      <w:r>
        <w:rPr>
          <w:rFonts w:hint="eastAsia" w:ascii="宋体" w:hAnsi="宋体" w:cs="楷体_GB2312"/>
          <w:color w:val="auto"/>
          <w:sz w:val="24"/>
          <w:highlight w:val="none"/>
          <w:lang w:val="zh-CN"/>
        </w:rPr>
        <w:t>同义解释。谈判文件中：“投标”同义“提交响应文件”，“投标人”同义“提交响应文件的供应商”，“投标文件”同义“响应文件”，</w:t>
      </w:r>
      <w:r>
        <w:rPr>
          <w:rFonts w:hint="eastAsia" w:ascii="宋体" w:cs="楷体_GB2312"/>
          <w:color w:val="auto"/>
          <w:sz w:val="24"/>
          <w:highlight w:val="none"/>
          <w:lang w:val="zh-CN"/>
        </w:rPr>
        <w:t>“</w:t>
      </w:r>
      <w:r>
        <w:rPr>
          <w:rFonts w:hint="eastAsia" w:ascii="宋体" w:hAnsi="宋体" w:cs="楷体_GB2312"/>
          <w:color w:val="auto"/>
          <w:sz w:val="24"/>
          <w:highlight w:val="none"/>
          <w:lang w:val="zh-CN"/>
        </w:rPr>
        <w:t>开标”同义“响应文件的开启</w:t>
      </w:r>
      <w:r>
        <w:rPr>
          <w:rFonts w:hint="eastAsia" w:ascii="宋体" w:cs="楷体_GB2312"/>
          <w:color w:val="auto"/>
          <w:sz w:val="24"/>
          <w:highlight w:val="none"/>
          <w:lang w:val="zh-CN"/>
        </w:rPr>
        <w:t>”</w:t>
      </w:r>
      <w:r>
        <w:rPr>
          <w:rFonts w:hint="eastAsia" w:ascii="宋体" w:hAnsi="宋体" w:cs="楷体_GB2312"/>
          <w:color w:val="auto"/>
          <w:sz w:val="24"/>
          <w:highlight w:val="none"/>
          <w:lang w:val="zh-CN"/>
        </w:rPr>
        <w:t>，“中标”同义“成交”，“中标供应商”同义“成交供应商</w:t>
      </w:r>
      <w:r>
        <w:rPr>
          <w:rFonts w:hint="eastAsia" w:ascii="宋体" w:cs="楷体_GB2312"/>
          <w:color w:val="auto"/>
          <w:sz w:val="24"/>
          <w:highlight w:val="none"/>
          <w:lang w:val="zh-CN"/>
        </w:rPr>
        <w:t>”。</w:t>
      </w:r>
    </w:p>
    <w:p w14:paraId="35B9AD6D">
      <w:pPr>
        <w:widowControl w:val="0"/>
        <w:adjustRightInd w:val="0"/>
        <w:snapToGrid w:val="0"/>
        <w:spacing w:beforeLines="50" w:line="300" w:lineRule="auto"/>
        <w:ind w:firstLine="561"/>
        <w:rPr>
          <w:rFonts w:ascii="宋体" w:cs="楷体_GB2312"/>
          <w:color w:val="auto"/>
          <w:sz w:val="24"/>
          <w:highlight w:val="none"/>
          <w:lang w:val="zh-CN"/>
        </w:rPr>
      </w:pPr>
      <w:r>
        <w:rPr>
          <w:rFonts w:ascii="宋体" w:hAnsi="宋体" w:cs="楷体_GB2312"/>
          <w:color w:val="auto"/>
          <w:sz w:val="24"/>
          <w:highlight w:val="none"/>
          <w:lang w:val="zh-CN"/>
        </w:rPr>
        <w:t xml:space="preserve">10.3 </w:t>
      </w:r>
      <w:r>
        <w:rPr>
          <w:rFonts w:hint="eastAsia" w:ascii="宋体" w:hAnsi="宋体" w:cs="楷体_GB2312"/>
          <w:color w:val="auto"/>
          <w:sz w:val="24"/>
          <w:highlight w:val="none"/>
          <w:lang w:val="zh-CN"/>
        </w:rPr>
        <w:t>投标人资格条件中包含非法人单位的，谈判文件中法定代表人一词相应包含表示证照标示的负责人；投标人资格条件中包含自然人的，谈判文件中法定代表人一词相应包含表示自然人，自然人应由其本人签署投标文件、参加投标，不应再授权他人。</w:t>
      </w:r>
    </w:p>
    <w:p w14:paraId="22132476">
      <w:pPr>
        <w:widowControl w:val="0"/>
        <w:autoSpaceDE w:val="0"/>
        <w:autoSpaceDN w:val="0"/>
        <w:adjustRightInd w:val="0"/>
        <w:spacing w:beforeLines="50" w:line="300" w:lineRule="auto"/>
        <w:ind w:firstLine="480" w:firstLineChars="200"/>
        <w:jc w:val="left"/>
        <w:textAlignment w:val="auto"/>
        <w:rPr>
          <w:rFonts w:ascii="宋体" w:hAnsi="宋体" w:cs="楷体_GB2312"/>
          <w:color w:val="auto"/>
          <w:sz w:val="24"/>
          <w:highlight w:val="none"/>
          <w:lang w:val="zh-CN"/>
        </w:rPr>
      </w:pPr>
      <w:r>
        <w:rPr>
          <w:rFonts w:ascii="宋体" w:hAnsi="宋体" w:cs="楷体_GB2312"/>
          <w:color w:val="auto"/>
          <w:sz w:val="24"/>
          <w:highlight w:val="none"/>
          <w:lang w:val="zh-CN"/>
        </w:rPr>
        <w:t xml:space="preserve">10.4  </w:t>
      </w:r>
      <w:r>
        <w:rPr>
          <w:rFonts w:hint="eastAsia" w:ascii="宋体" w:hAnsi="宋体" w:cs="楷体_GB2312"/>
          <w:color w:val="auto"/>
          <w:sz w:val="24"/>
          <w:highlight w:val="none"/>
          <w:lang w:val="zh-CN"/>
        </w:rPr>
        <w:t>谈判文件第一章至第四章各章中，用序号标示条、款、项、目，例如：</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为第</w:t>
      </w:r>
      <w:r>
        <w:rPr>
          <w:rFonts w:ascii="宋体" w:hAnsi="宋体" w:cs="楷体_GB2312"/>
          <w:color w:val="auto"/>
          <w:sz w:val="24"/>
          <w:highlight w:val="none"/>
          <w:lang w:val="zh-CN"/>
        </w:rPr>
        <w:t xml:space="preserve">1 </w:t>
      </w:r>
      <w:r>
        <w:rPr>
          <w:rFonts w:hint="eastAsia" w:ascii="宋体" w:hAnsi="宋体" w:cs="楷体_GB2312"/>
          <w:color w:val="auto"/>
          <w:sz w:val="24"/>
          <w:highlight w:val="none"/>
          <w:lang w:val="zh-CN"/>
        </w:rPr>
        <w:t>条，</w:t>
      </w:r>
      <w:r>
        <w:rPr>
          <w:rFonts w:ascii="宋体" w:hAnsi="宋体" w:cs="楷体_GB2312"/>
          <w:color w:val="auto"/>
          <w:sz w:val="24"/>
          <w:highlight w:val="none"/>
          <w:lang w:val="zh-CN"/>
        </w:rPr>
        <w:t>1.1</w:t>
      </w:r>
      <w:r>
        <w:rPr>
          <w:rFonts w:hint="eastAsia" w:ascii="宋体" w:hAnsi="宋体" w:cs="楷体_GB2312"/>
          <w:color w:val="auto"/>
          <w:sz w:val="24"/>
          <w:highlight w:val="none"/>
          <w:lang w:val="zh-CN"/>
        </w:rPr>
        <w:t>为第</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条第</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款（简称</w:t>
      </w:r>
      <w:r>
        <w:rPr>
          <w:rFonts w:ascii="宋体" w:hAnsi="宋体" w:cs="楷体_GB2312"/>
          <w:color w:val="auto"/>
          <w:sz w:val="24"/>
          <w:highlight w:val="none"/>
          <w:lang w:val="zh-CN"/>
        </w:rPr>
        <w:t>1.1</w:t>
      </w:r>
      <w:r>
        <w:rPr>
          <w:rFonts w:hint="eastAsia" w:ascii="宋体" w:hAnsi="宋体" w:cs="楷体_GB2312"/>
          <w:color w:val="auto"/>
          <w:sz w:val="24"/>
          <w:highlight w:val="none"/>
          <w:lang w:val="zh-CN"/>
        </w:rPr>
        <w:t>款），</w:t>
      </w:r>
      <w:r>
        <w:rPr>
          <w:rFonts w:ascii="宋体" w:hAnsi="宋体" w:cs="楷体_GB2312"/>
          <w:color w:val="auto"/>
          <w:sz w:val="24"/>
          <w:highlight w:val="none"/>
          <w:lang w:val="zh-CN"/>
        </w:rPr>
        <w:t>1.1.1</w:t>
      </w:r>
      <w:r>
        <w:rPr>
          <w:rFonts w:hint="eastAsia" w:ascii="宋体" w:hAnsi="宋体" w:cs="楷体_GB2312"/>
          <w:color w:val="auto"/>
          <w:sz w:val="24"/>
          <w:highlight w:val="none"/>
          <w:lang w:val="zh-CN"/>
        </w:rPr>
        <w:t>为第</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条第</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款第</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项（简称</w:t>
      </w:r>
      <w:r>
        <w:rPr>
          <w:rFonts w:ascii="宋体" w:hAnsi="宋体" w:cs="楷体_GB2312"/>
          <w:color w:val="auto"/>
          <w:sz w:val="24"/>
          <w:highlight w:val="none"/>
          <w:lang w:val="zh-CN"/>
        </w:rPr>
        <w:t>1.1.1</w:t>
      </w:r>
      <w:r>
        <w:rPr>
          <w:rFonts w:hint="eastAsia" w:ascii="宋体" w:hAnsi="宋体" w:cs="楷体_GB2312"/>
          <w:color w:val="auto"/>
          <w:sz w:val="24"/>
          <w:highlight w:val="none"/>
          <w:lang w:val="zh-CN"/>
        </w:rPr>
        <w:t>项）。“条”包含款、项、目；“款”包含项、目；“项”包含目。</w:t>
      </w:r>
    </w:p>
    <w:p w14:paraId="048A3EF1">
      <w:pPr>
        <w:widowControl w:val="0"/>
        <w:autoSpaceDE w:val="0"/>
        <w:autoSpaceDN w:val="0"/>
        <w:adjustRightInd w:val="0"/>
        <w:spacing w:beforeLines="50" w:line="300" w:lineRule="auto"/>
        <w:ind w:firstLine="480" w:firstLineChars="200"/>
        <w:jc w:val="left"/>
        <w:textAlignment w:val="auto"/>
        <w:rPr>
          <w:rFonts w:ascii="宋体" w:hAnsi="宋体" w:cs="楷体_GB2312"/>
          <w:color w:val="auto"/>
          <w:sz w:val="24"/>
          <w:highlight w:val="none"/>
          <w:lang w:val="zh-CN"/>
        </w:rPr>
      </w:pPr>
    </w:p>
    <w:p w14:paraId="43C16730">
      <w:pPr>
        <w:widowControl w:val="0"/>
        <w:adjustRightInd w:val="0"/>
        <w:snapToGrid w:val="0"/>
        <w:spacing w:beforeLines="50" w:line="300" w:lineRule="auto"/>
        <w:ind w:firstLine="561"/>
        <w:outlineLvl w:val="1"/>
        <w:rPr>
          <w:rFonts w:ascii="黑体" w:hAnsi="黑体" w:eastAsia="黑体" w:cs="楷体_GB2312"/>
          <w:b/>
          <w:bCs/>
          <w:color w:val="auto"/>
          <w:sz w:val="28"/>
          <w:szCs w:val="28"/>
          <w:highlight w:val="none"/>
          <w:lang w:val="zh-CN"/>
        </w:rPr>
      </w:pPr>
      <w:bookmarkStart w:id="39" w:name="_Toc209083640"/>
      <w:bookmarkStart w:id="40" w:name="_Toc58858635"/>
      <w:r>
        <w:rPr>
          <w:rFonts w:hint="eastAsia" w:ascii="黑体" w:hAnsi="黑体" w:eastAsia="黑体" w:cs="楷体_GB2312"/>
          <w:b/>
          <w:bCs/>
          <w:color w:val="auto"/>
          <w:sz w:val="28"/>
          <w:szCs w:val="28"/>
          <w:highlight w:val="none"/>
          <w:lang w:val="zh-CN"/>
        </w:rPr>
        <w:t>11. 河南省政府采购合同融资政策告知函</w:t>
      </w:r>
      <w:bookmarkEnd w:id="39"/>
      <w:bookmarkEnd w:id="40"/>
    </w:p>
    <w:p w14:paraId="78F99F9E">
      <w:pPr>
        <w:widowControl w:val="0"/>
        <w:adjustRightInd w:val="0"/>
        <w:snapToGrid w:val="0"/>
        <w:spacing w:beforeLines="50" w:line="300" w:lineRule="auto"/>
        <w:ind w:firstLine="555"/>
        <w:rPr>
          <w:rFonts w:ascii="宋体" w:hAnsi="宋体"/>
          <w:color w:val="auto"/>
          <w:sz w:val="24"/>
          <w:szCs w:val="24"/>
          <w:highlight w:val="none"/>
        </w:rPr>
      </w:pPr>
      <w:r>
        <w:rPr>
          <w:rFonts w:hint="eastAsia" w:ascii="宋体" w:hAnsi="宋体"/>
          <w:color w:val="auto"/>
          <w:sz w:val="24"/>
          <w:szCs w:val="24"/>
          <w:highlight w:val="none"/>
        </w:rPr>
        <w:t>各供应商：</w:t>
      </w:r>
    </w:p>
    <w:p w14:paraId="5B17AEF6">
      <w:pPr>
        <w:widowControl w:val="0"/>
        <w:adjustRightInd w:val="0"/>
        <w:snapToGrid w:val="0"/>
        <w:spacing w:beforeLines="50" w:line="300" w:lineRule="auto"/>
        <w:ind w:firstLine="555"/>
        <w:rPr>
          <w:rFonts w:ascii="宋体" w:hAnsi="宋体"/>
          <w:color w:val="auto"/>
          <w:sz w:val="24"/>
          <w:szCs w:val="24"/>
          <w:highlight w:val="none"/>
        </w:rPr>
      </w:pPr>
      <w:r>
        <w:rPr>
          <w:rFonts w:hint="eastAsia" w:ascii="宋体" w:hAnsi="宋体"/>
          <w:color w:val="auto"/>
          <w:sz w:val="24"/>
          <w:szCs w:val="24"/>
          <w:highlight w:val="none"/>
        </w:rPr>
        <w:t>欢迎贵公司参与河南省政府采购活动！</w:t>
      </w:r>
    </w:p>
    <w:p w14:paraId="3BD4331D">
      <w:pPr>
        <w:widowControl w:val="0"/>
        <w:adjustRightInd w:val="0"/>
        <w:snapToGrid w:val="0"/>
        <w:spacing w:beforeLines="50" w:line="300" w:lineRule="auto"/>
        <w:ind w:firstLine="555"/>
        <w:rPr>
          <w:rFonts w:ascii="宋体" w:hAnsi="宋体"/>
          <w:color w:val="auto"/>
          <w:sz w:val="24"/>
          <w:szCs w:val="24"/>
          <w:highlight w:val="none"/>
        </w:rPr>
      </w:pPr>
      <w:r>
        <w:rPr>
          <w:rFonts w:hint="eastAsia" w:ascii="宋体" w:hAnsi="宋体"/>
          <w:color w:val="auto"/>
          <w:sz w:val="24"/>
          <w:szCs w:val="24"/>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4DADFCD5">
      <w:pPr>
        <w:widowControl w:val="0"/>
        <w:adjustRightInd w:val="0"/>
        <w:snapToGrid w:val="0"/>
        <w:spacing w:beforeLines="50" w:line="300" w:lineRule="auto"/>
        <w:ind w:firstLine="555"/>
        <w:rPr>
          <w:rFonts w:ascii="宋体" w:hAnsi="宋体"/>
          <w:color w:val="auto"/>
          <w:sz w:val="24"/>
          <w:szCs w:val="24"/>
          <w:highlight w:val="none"/>
        </w:rPr>
      </w:pPr>
      <w:r>
        <w:rPr>
          <w:rFonts w:hint="eastAsia" w:ascii="宋体" w:hAnsi="宋体"/>
          <w:color w:val="auto"/>
          <w:sz w:val="24"/>
          <w:szCs w:val="24"/>
          <w:highlight w:val="none"/>
        </w:rPr>
        <w:t>贷款渠道和提供贷款的金融机构，可在河南省政府采购网“河南省政府采购合同融资平台”查询联系。</w:t>
      </w:r>
    </w:p>
    <w:p w14:paraId="0BC9AF8A">
      <w:pPr>
        <w:widowControl w:val="0"/>
        <w:adjustRightInd w:val="0"/>
        <w:snapToGrid w:val="0"/>
        <w:spacing w:beforeLines="50" w:line="300" w:lineRule="auto"/>
        <w:ind w:firstLine="555"/>
        <w:rPr>
          <w:rFonts w:ascii="宋体" w:hAnsi="宋体"/>
          <w:b/>
          <w:color w:val="auto"/>
          <w:sz w:val="24"/>
          <w:szCs w:val="24"/>
          <w:highlight w:val="none"/>
        </w:rPr>
      </w:pPr>
      <w:r>
        <w:rPr>
          <w:rFonts w:ascii="宋体" w:hAnsi="宋体"/>
          <w:color w:val="auto"/>
          <w:sz w:val="24"/>
          <w:szCs w:val="24"/>
          <w:highlight w:val="none"/>
        </w:rPr>
        <w:br w:type="page"/>
      </w:r>
    </w:p>
    <w:p w14:paraId="5F09BBFC">
      <w:pPr>
        <w:widowControl w:val="0"/>
        <w:snapToGrid w:val="0"/>
        <w:spacing w:line="360" w:lineRule="auto"/>
        <w:ind w:firstLine="567"/>
        <w:jc w:val="center"/>
        <w:outlineLvl w:val="0"/>
        <w:rPr>
          <w:rFonts w:ascii="黑体" w:hAnsi="黑体" w:eastAsia="黑体"/>
          <w:b/>
          <w:color w:val="auto"/>
          <w:sz w:val="36"/>
          <w:szCs w:val="36"/>
          <w:highlight w:val="none"/>
          <w:lang w:val="zh-CN"/>
        </w:rPr>
      </w:pPr>
      <w:bookmarkStart w:id="41" w:name="_Toc209083641"/>
      <w:r>
        <w:rPr>
          <w:rFonts w:hint="eastAsia" w:ascii="黑体" w:hAnsi="黑体" w:eastAsia="黑体"/>
          <w:b/>
          <w:color w:val="auto"/>
          <w:sz w:val="36"/>
          <w:szCs w:val="36"/>
          <w:highlight w:val="none"/>
          <w:lang w:val="zh-CN"/>
        </w:rPr>
        <w:t>第四章 评审办法</w:t>
      </w:r>
      <w:bookmarkEnd w:id="41"/>
    </w:p>
    <w:p w14:paraId="673512A7">
      <w:pPr>
        <w:widowControl w:val="0"/>
        <w:snapToGrid w:val="0"/>
        <w:spacing w:line="360" w:lineRule="auto"/>
        <w:outlineLvl w:val="0"/>
        <w:rPr>
          <w:b/>
          <w:color w:val="auto"/>
          <w:sz w:val="24"/>
          <w:szCs w:val="24"/>
          <w:highlight w:val="none"/>
        </w:rPr>
      </w:pPr>
    </w:p>
    <w:p w14:paraId="7D445C16">
      <w:pPr>
        <w:spacing w:line="500" w:lineRule="exact"/>
        <w:jc w:val="left"/>
        <w:outlineLvl w:val="1"/>
        <w:rPr>
          <w:rFonts w:ascii="黑体" w:hAnsi="黑体" w:eastAsia="黑体"/>
          <w:b/>
          <w:color w:val="auto"/>
          <w:sz w:val="28"/>
          <w:szCs w:val="28"/>
          <w:highlight w:val="none"/>
          <w:lang w:val="zh-CN"/>
        </w:rPr>
      </w:pPr>
      <w:bookmarkStart w:id="42" w:name="_Toc209083642"/>
      <w:r>
        <w:rPr>
          <w:rFonts w:hint="eastAsia" w:ascii="黑体" w:hAnsi="黑体" w:eastAsia="黑体"/>
          <w:b/>
          <w:color w:val="auto"/>
          <w:sz w:val="28"/>
          <w:szCs w:val="28"/>
          <w:highlight w:val="none"/>
        </w:rPr>
        <w:t>评审办法前附表</w:t>
      </w:r>
      <w:bookmarkEnd w:id="42"/>
    </w:p>
    <w:tbl>
      <w:tblPr>
        <w:tblStyle w:val="16"/>
        <w:tblW w:w="100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
        <w:gridCol w:w="560"/>
        <w:gridCol w:w="960"/>
        <w:gridCol w:w="2217"/>
        <w:gridCol w:w="5736"/>
      </w:tblGrid>
      <w:tr w14:paraId="0BB0B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124" w:type="dxa"/>
            <w:gridSpan w:val="2"/>
            <w:vAlign w:val="center"/>
          </w:tcPr>
          <w:p w14:paraId="3AE59891">
            <w:pPr>
              <w:pStyle w:val="48"/>
              <w:jc w:val="center"/>
              <w:rPr>
                <w:rFonts w:hAnsi="宋体"/>
                <w:b/>
                <w:color w:val="auto"/>
                <w:szCs w:val="24"/>
                <w:highlight w:val="none"/>
              </w:rPr>
            </w:pPr>
            <w:r>
              <w:rPr>
                <w:rFonts w:hint="eastAsia" w:hAnsi="宋体"/>
                <w:b/>
                <w:color w:val="auto"/>
                <w:szCs w:val="24"/>
                <w:highlight w:val="none"/>
              </w:rPr>
              <w:t>条款号</w:t>
            </w:r>
          </w:p>
        </w:tc>
        <w:tc>
          <w:tcPr>
            <w:tcW w:w="3177" w:type="dxa"/>
            <w:gridSpan w:val="2"/>
            <w:vAlign w:val="center"/>
          </w:tcPr>
          <w:p w14:paraId="00847C84">
            <w:pPr>
              <w:pStyle w:val="48"/>
              <w:jc w:val="center"/>
              <w:rPr>
                <w:rFonts w:hAnsi="宋体"/>
                <w:b/>
                <w:color w:val="auto"/>
                <w:szCs w:val="24"/>
                <w:highlight w:val="none"/>
              </w:rPr>
            </w:pPr>
            <w:r>
              <w:rPr>
                <w:rFonts w:hint="eastAsia" w:hAnsi="宋体"/>
                <w:b/>
                <w:color w:val="auto"/>
                <w:szCs w:val="24"/>
                <w:highlight w:val="none"/>
              </w:rPr>
              <w:t>评审因素</w:t>
            </w:r>
          </w:p>
        </w:tc>
        <w:tc>
          <w:tcPr>
            <w:tcW w:w="5736" w:type="dxa"/>
            <w:vAlign w:val="center"/>
          </w:tcPr>
          <w:p w14:paraId="23ED55F3">
            <w:pPr>
              <w:pStyle w:val="48"/>
              <w:jc w:val="center"/>
              <w:rPr>
                <w:rFonts w:hAnsi="宋体"/>
                <w:b/>
                <w:color w:val="auto"/>
                <w:szCs w:val="24"/>
                <w:highlight w:val="none"/>
              </w:rPr>
            </w:pPr>
            <w:r>
              <w:rPr>
                <w:rFonts w:hint="eastAsia" w:hAnsi="宋体"/>
                <w:b/>
                <w:color w:val="auto"/>
                <w:szCs w:val="24"/>
                <w:highlight w:val="none"/>
              </w:rPr>
              <w:t>评审标准</w:t>
            </w:r>
          </w:p>
        </w:tc>
      </w:tr>
      <w:tr w14:paraId="40BE5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4" w:hRule="atLeast"/>
          <w:jc w:val="center"/>
        </w:trPr>
        <w:tc>
          <w:tcPr>
            <w:tcW w:w="564" w:type="dxa"/>
            <w:vMerge w:val="restart"/>
            <w:vAlign w:val="center"/>
          </w:tcPr>
          <w:p w14:paraId="25F84F2A">
            <w:pPr>
              <w:pStyle w:val="48"/>
              <w:spacing w:line="360" w:lineRule="auto"/>
              <w:ind w:right="-101" w:rightChars="-48"/>
              <w:jc w:val="center"/>
              <w:rPr>
                <w:rFonts w:hAnsi="宋体"/>
                <w:color w:val="auto"/>
                <w:szCs w:val="24"/>
                <w:highlight w:val="none"/>
              </w:rPr>
            </w:pPr>
            <w:r>
              <w:rPr>
                <w:rFonts w:hAnsi="宋体"/>
                <w:color w:val="auto"/>
                <w:szCs w:val="24"/>
                <w:highlight w:val="none"/>
              </w:rPr>
              <w:t>2.1.1</w:t>
            </w:r>
          </w:p>
        </w:tc>
        <w:tc>
          <w:tcPr>
            <w:tcW w:w="560" w:type="dxa"/>
            <w:vMerge w:val="restart"/>
            <w:vAlign w:val="center"/>
          </w:tcPr>
          <w:p w14:paraId="3D19E47A">
            <w:pPr>
              <w:pStyle w:val="48"/>
              <w:jc w:val="center"/>
              <w:rPr>
                <w:rFonts w:hAnsi="宋体"/>
                <w:color w:val="auto"/>
                <w:szCs w:val="24"/>
                <w:highlight w:val="none"/>
              </w:rPr>
            </w:pPr>
            <w:r>
              <w:rPr>
                <w:rFonts w:hint="eastAsia" w:hAnsi="宋体"/>
                <w:color w:val="auto"/>
                <w:szCs w:val="24"/>
                <w:highlight w:val="none"/>
              </w:rPr>
              <w:t>资</w:t>
            </w:r>
          </w:p>
          <w:p w14:paraId="6E8954F0">
            <w:pPr>
              <w:pStyle w:val="48"/>
              <w:jc w:val="center"/>
              <w:rPr>
                <w:rFonts w:hAnsi="宋体"/>
                <w:color w:val="auto"/>
                <w:szCs w:val="24"/>
                <w:highlight w:val="none"/>
              </w:rPr>
            </w:pPr>
            <w:r>
              <w:rPr>
                <w:rFonts w:hint="eastAsia" w:hAnsi="宋体"/>
                <w:color w:val="auto"/>
                <w:szCs w:val="24"/>
                <w:highlight w:val="none"/>
              </w:rPr>
              <w:t>格</w:t>
            </w:r>
          </w:p>
          <w:p w14:paraId="49A94084">
            <w:pPr>
              <w:pStyle w:val="48"/>
              <w:jc w:val="center"/>
              <w:rPr>
                <w:rFonts w:hAnsi="宋体"/>
                <w:color w:val="auto"/>
                <w:szCs w:val="24"/>
                <w:highlight w:val="none"/>
              </w:rPr>
            </w:pPr>
            <w:r>
              <w:rPr>
                <w:rFonts w:hint="eastAsia" w:hAnsi="宋体"/>
                <w:color w:val="auto"/>
                <w:szCs w:val="24"/>
                <w:highlight w:val="none"/>
              </w:rPr>
              <w:t>性</w:t>
            </w:r>
          </w:p>
          <w:p w14:paraId="662B7260">
            <w:pPr>
              <w:pStyle w:val="48"/>
              <w:jc w:val="center"/>
              <w:rPr>
                <w:rFonts w:hAnsi="宋体"/>
                <w:color w:val="auto"/>
                <w:szCs w:val="24"/>
                <w:highlight w:val="none"/>
              </w:rPr>
            </w:pPr>
            <w:r>
              <w:rPr>
                <w:rFonts w:hint="eastAsia" w:hAnsi="宋体"/>
                <w:color w:val="auto"/>
                <w:szCs w:val="24"/>
                <w:highlight w:val="none"/>
              </w:rPr>
              <w:t>审</w:t>
            </w:r>
          </w:p>
          <w:p w14:paraId="106F8DE7">
            <w:pPr>
              <w:pStyle w:val="48"/>
              <w:jc w:val="center"/>
              <w:rPr>
                <w:rFonts w:hAnsi="宋体"/>
                <w:color w:val="auto"/>
                <w:szCs w:val="24"/>
                <w:highlight w:val="none"/>
              </w:rPr>
            </w:pPr>
            <w:r>
              <w:rPr>
                <w:rFonts w:hint="eastAsia" w:hAnsi="宋体"/>
                <w:color w:val="auto"/>
                <w:szCs w:val="24"/>
                <w:highlight w:val="none"/>
              </w:rPr>
              <w:t>查</w:t>
            </w:r>
          </w:p>
        </w:tc>
        <w:tc>
          <w:tcPr>
            <w:tcW w:w="3177" w:type="dxa"/>
            <w:gridSpan w:val="2"/>
            <w:vAlign w:val="center"/>
          </w:tcPr>
          <w:p w14:paraId="0708185E">
            <w:pPr>
              <w:widowControl w:val="0"/>
              <w:snapToGrid w:val="0"/>
              <w:spacing w:line="240" w:lineRule="auto"/>
              <w:rPr>
                <w:rFonts w:ascii="宋体"/>
                <w:color w:val="auto"/>
                <w:sz w:val="24"/>
                <w:szCs w:val="24"/>
                <w:highlight w:val="none"/>
              </w:rPr>
            </w:pPr>
            <w:r>
              <w:rPr>
                <w:rFonts w:hint="eastAsia"/>
                <w:color w:val="auto"/>
                <w:sz w:val="24"/>
                <w:szCs w:val="24"/>
                <w:highlight w:val="none"/>
              </w:rPr>
              <w:t>第一章“谈判公告”第</w:t>
            </w:r>
            <w:r>
              <w:rPr>
                <w:color w:val="auto"/>
                <w:sz w:val="24"/>
                <w:szCs w:val="24"/>
                <w:highlight w:val="none"/>
              </w:rPr>
              <w:t>2</w:t>
            </w:r>
            <w:r>
              <w:rPr>
                <w:rFonts w:hint="eastAsia"/>
                <w:color w:val="auto"/>
                <w:sz w:val="24"/>
                <w:szCs w:val="24"/>
                <w:highlight w:val="none"/>
              </w:rPr>
              <w:t>条各项资格要求</w:t>
            </w:r>
          </w:p>
        </w:tc>
        <w:tc>
          <w:tcPr>
            <w:tcW w:w="5736" w:type="dxa"/>
            <w:vAlign w:val="center"/>
          </w:tcPr>
          <w:p w14:paraId="1E0D012B">
            <w:pPr>
              <w:widowControl w:val="0"/>
              <w:snapToGrid w:val="0"/>
              <w:spacing w:line="240" w:lineRule="auto"/>
              <w:rPr>
                <w:rFonts w:ascii="宋体"/>
                <w:color w:val="auto"/>
                <w:sz w:val="24"/>
                <w:szCs w:val="24"/>
                <w:highlight w:val="none"/>
              </w:rPr>
            </w:pPr>
            <w:r>
              <w:rPr>
                <w:rFonts w:hint="eastAsia" w:ascii="宋体" w:hAnsi="宋体"/>
                <w:color w:val="auto"/>
                <w:sz w:val="24"/>
                <w:szCs w:val="24"/>
                <w:highlight w:val="none"/>
              </w:rPr>
              <w:t>符合第一章“谈判公告”第</w:t>
            </w:r>
            <w:r>
              <w:rPr>
                <w:rFonts w:ascii="宋体" w:hAnsi="宋体"/>
                <w:color w:val="auto"/>
                <w:sz w:val="24"/>
                <w:szCs w:val="24"/>
                <w:highlight w:val="none"/>
              </w:rPr>
              <w:t>2</w:t>
            </w:r>
            <w:r>
              <w:rPr>
                <w:rFonts w:hint="eastAsia" w:ascii="宋体" w:hAnsi="宋体"/>
                <w:color w:val="auto"/>
                <w:sz w:val="24"/>
                <w:szCs w:val="24"/>
                <w:highlight w:val="none"/>
              </w:rPr>
              <w:t>条各项</w:t>
            </w:r>
            <w:r>
              <w:rPr>
                <w:rFonts w:hint="eastAsia"/>
                <w:color w:val="auto"/>
                <w:sz w:val="24"/>
                <w:szCs w:val="24"/>
                <w:highlight w:val="none"/>
              </w:rPr>
              <w:t>资格要求所需证件材料及证明材料</w:t>
            </w:r>
          </w:p>
        </w:tc>
      </w:tr>
      <w:tr w14:paraId="43759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564" w:type="dxa"/>
            <w:vMerge w:val="continue"/>
            <w:vAlign w:val="center"/>
          </w:tcPr>
          <w:p w14:paraId="6F466038">
            <w:pPr>
              <w:pStyle w:val="48"/>
              <w:spacing w:line="360" w:lineRule="auto"/>
              <w:jc w:val="center"/>
              <w:rPr>
                <w:rFonts w:hAnsi="宋体"/>
                <w:color w:val="auto"/>
                <w:szCs w:val="24"/>
                <w:highlight w:val="none"/>
              </w:rPr>
            </w:pPr>
          </w:p>
        </w:tc>
        <w:tc>
          <w:tcPr>
            <w:tcW w:w="560" w:type="dxa"/>
            <w:vMerge w:val="continue"/>
            <w:vAlign w:val="center"/>
          </w:tcPr>
          <w:p w14:paraId="3F01ACF7">
            <w:pPr>
              <w:pStyle w:val="48"/>
              <w:spacing w:line="360" w:lineRule="auto"/>
              <w:jc w:val="center"/>
              <w:rPr>
                <w:rFonts w:hAnsi="宋体"/>
                <w:color w:val="auto"/>
                <w:szCs w:val="24"/>
                <w:highlight w:val="none"/>
              </w:rPr>
            </w:pPr>
          </w:p>
        </w:tc>
        <w:tc>
          <w:tcPr>
            <w:tcW w:w="3177" w:type="dxa"/>
            <w:gridSpan w:val="2"/>
            <w:vAlign w:val="center"/>
          </w:tcPr>
          <w:p w14:paraId="760CB568">
            <w:pPr>
              <w:widowControl w:val="0"/>
              <w:snapToGrid w:val="0"/>
              <w:spacing w:line="240" w:lineRule="auto"/>
              <w:rPr>
                <w:color w:val="auto"/>
                <w:sz w:val="24"/>
                <w:szCs w:val="24"/>
                <w:highlight w:val="none"/>
              </w:rPr>
            </w:pPr>
            <w:r>
              <w:rPr>
                <w:rFonts w:hint="eastAsia"/>
                <w:color w:val="auto"/>
                <w:sz w:val="24"/>
                <w:szCs w:val="24"/>
                <w:highlight w:val="none"/>
              </w:rPr>
              <w:t>投标承诺函</w:t>
            </w:r>
          </w:p>
        </w:tc>
        <w:tc>
          <w:tcPr>
            <w:tcW w:w="5736" w:type="dxa"/>
            <w:vAlign w:val="center"/>
          </w:tcPr>
          <w:p w14:paraId="2826E023">
            <w:pPr>
              <w:widowControl w:val="0"/>
              <w:snapToGrid w:val="0"/>
              <w:spacing w:line="240" w:lineRule="auto"/>
              <w:rPr>
                <w:rFonts w:ascii="宋体"/>
                <w:color w:val="auto"/>
                <w:sz w:val="24"/>
                <w:szCs w:val="24"/>
                <w:highlight w:val="none"/>
              </w:rPr>
            </w:pPr>
            <w:r>
              <w:rPr>
                <w:rFonts w:hint="eastAsia" w:ascii="宋体" w:hAnsi="宋体"/>
                <w:color w:val="auto"/>
                <w:sz w:val="24"/>
                <w:szCs w:val="24"/>
                <w:highlight w:val="none"/>
              </w:rPr>
              <w:t>符合第三章“投标人须知”</w:t>
            </w:r>
            <w:r>
              <w:rPr>
                <w:rFonts w:ascii="宋体" w:hAnsi="宋体"/>
                <w:color w:val="auto"/>
                <w:sz w:val="24"/>
                <w:szCs w:val="24"/>
                <w:highlight w:val="none"/>
              </w:rPr>
              <w:t>3.5</w:t>
            </w:r>
            <w:r>
              <w:rPr>
                <w:rFonts w:hint="eastAsia" w:ascii="宋体" w:hAnsi="宋体"/>
                <w:color w:val="auto"/>
                <w:sz w:val="24"/>
                <w:szCs w:val="24"/>
                <w:highlight w:val="none"/>
              </w:rPr>
              <w:t>款规定</w:t>
            </w:r>
          </w:p>
        </w:tc>
      </w:tr>
      <w:tr w14:paraId="11635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564" w:type="dxa"/>
            <w:vMerge w:val="continue"/>
            <w:vAlign w:val="center"/>
          </w:tcPr>
          <w:p w14:paraId="7D7E932A">
            <w:pPr>
              <w:pStyle w:val="48"/>
              <w:spacing w:line="360" w:lineRule="auto"/>
              <w:jc w:val="center"/>
              <w:rPr>
                <w:rFonts w:hAnsi="宋体"/>
                <w:color w:val="auto"/>
                <w:szCs w:val="24"/>
                <w:highlight w:val="none"/>
              </w:rPr>
            </w:pPr>
          </w:p>
        </w:tc>
        <w:tc>
          <w:tcPr>
            <w:tcW w:w="560" w:type="dxa"/>
            <w:vMerge w:val="continue"/>
            <w:vAlign w:val="center"/>
          </w:tcPr>
          <w:p w14:paraId="6F0A4686">
            <w:pPr>
              <w:pStyle w:val="48"/>
              <w:spacing w:line="360" w:lineRule="auto"/>
              <w:jc w:val="center"/>
              <w:rPr>
                <w:rFonts w:hAnsi="宋体"/>
                <w:color w:val="auto"/>
                <w:szCs w:val="24"/>
                <w:highlight w:val="none"/>
              </w:rPr>
            </w:pPr>
          </w:p>
        </w:tc>
        <w:tc>
          <w:tcPr>
            <w:tcW w:w="3177" w:type="dxa"/>
            <w:gridSpan w:val="2"/>
            <w:vAlign w:val="center"/>
          </w:tcPr>
          <w:p w14:paraId="31FF251F">
            <w:pPr>
              <w:widowControl w:val="0"/>
              <w:snapToGrid w:val="0"/>
              <w:spacing w:line="240" w:lineRule="auto"/>
              <w:rPr>
                <w:color w:val="auto"/>
                <w:sz w:val="24"/>
                <w:szCs w:val="24"/>
                <w:highlight w:val="none"/>
              </w:rPr>
            </w:pPr>
            <w:r>
              <w:rPr>
                <w:rFonts w:hint="eastAsia"/>
                <w:color w:val="auto"/>
                <w:sz w:val="24"/>
                <w:szCs w:val="24"/>
                <w:highlight w:val="none"/>
              </w:rPr>
              <w:t>联合体（如有）</w:t>
            </w:r>
          </w:p>
        </w:tc>
        <w:tc>
          <w:tcPr>
            <w:tcW w:w="5736" w:type="dxa"/>
            <w:vAlign w:val="center"/>
          </w:tcPr>
          <w:p w14:paraId="51794AD6">
            <w:pPr>
              <w:widowControl w:val="0"/>
              <w:snapToGrid w:val="0"/>
              <w:spacing w:line="240" w:lineRule="auto"/>
              <w:rPr>
                <w:rFonts w:ascii="宋体"/>
                <w:color w:val="auto"/>
                <w:sz w:val="24"/>
                <w:szCs w:val="24"/>
                <w:highlight w:val="none"/>
              </w:rPr>
            </w:pPr>
            <w:r>
              <w:rPr>
                <w:rFonts w:hint="eastAsia" w:ascii="宋体" w:hAnsi="宋体"/>
                <w:color w:val="auto"/>
                <w:sz w:val="24"/>
                <w:szCs w:val="24"/>
                <w:highlight w:val="none"/>
              </w:rPr>
              <w:t>符合第三章“投标人须知”</w:t>
            </w:r>
            <w:r>
              <w:rPr>
                <w:rFonts w:ascii="宋体" w:hAnsi="宋体"/>
                <w:color w:val="auto"/>
                <w:sz w:val="24"/>
                <w:szCs w:val="24"/>
                <w:highlight w:val="none"/>
              </w:rPr>
              <w:t>1.4</w:t>
            </w:r>
            <w:r>
              <w:rPr>
                <w:rFonts w:hint="eastAsia" w:ascii="宋体" w:hAnsi="宋体"/>
                <w:color w:val="auto"/>
                <w:sz w:val="24"/>
                <w:szCs w:val="24"/>
                <w:highlight w:val="none"/>
              </w:rPr>
              <w:t>款规定</w:t>
            </w:r>
          </w:p>
        </w:tc>
      </w:tr>
      <w:tr w14:paraId="0131D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564" w:type="dxa"/>
            <w:vMerge w:val="restart"/>
            <w:vAlign w:val="center"/>
          </w:tcPr>
          <w:p w14:paraId="45D5DEE6">
            <w:pPr>
              <w:pStyle w:val="48"/>
              <w:spacing w:line="360" w:lineRule="auto"/>
              <w:ind w:right="-160" w:rightChars="-76"/>
              <w:jc w:val="center"/>
              <w:rPr>
                <w:rFonts w:hAnsi="宋体"/>
                <w:color w:val="auto"/>
                <w:szCs w:val="24"/>
                <w:highlight w:val="none"/>
              </w:rPr>
            </w:pPr>
            <w:r>
              <w:rPr>
                <w:rFonts w:hAnsi="宋体"/>
                <w:color w:val="auto"/>
                <w:szCs w:val="24"/>
                <w:highlight w:val="none"/>
              </w:rPr>
              <w:t>2.1.2</w:t>
            </w:r>
          </w:p>
        </w:tc>
        <w:tc>
          <w:tcPr>
            <w:tcW w:w="560" w:type="dxa"/>
            <w:vMerge w:val="restart"/>
            <w:vAlign w:val="center"/>
          </w:tcPr>
          <w:p w14:paraId="3DCB8E26">
            <w:pPr>
              <w:pStyle w:val="48"/>
              <w:spacing w:line="360" w:lineRule="auto"/>
              <w:jc w:val="center"/>
              <w:rPr>
                <w:rFonts w:hAnsi="宋体"/>
                <w:color w:val="auto"/>
                <w:szCs w:val="24"/>
                <w:highlight w:val="none"/>
              </w:rPr>
            </w:pPr>
            <w:r>
              <w:rPr>
                <w:rFonts w:hint="eastAsia" w:hAnsi="宋体"/>
                <w:color w:val="auto"/>
                <w:szCs w:val="24"/>
                <w:highlight w:val="none"/>
              </w:rPr>
              <w:t>符</w:t>
            </w:r>
          </w:p>
          <w:p w14:paraId="442442BA">
            <w:pPr>
              <w:pStyle w:val="48"/>
              <w:spacing w:line="360" w:lineRule="auto"/>
              <w:jc w:val="center"/>
              <w:rPr>
                <w:rFonts w:hAnsi="宋体"/>
                <w:color w:val="auto"/>
                <w:szCs w:val="24"/>
                <w:highlight w:val="none"/>
              </w:rPr>
            </w:pPr>
            <w:r>
              <w:rPr>
                <w:rFonts w:hint="eastAsia" w:hAnsi="宋体"/>
                <w:color w:val="auto"/>
                <w:szCs w:val="24"/>
                <w:highlight w:val="none"/>
              </w:rPr>
              <w:t>合</w:t>
            </w:r>
          </w:p>
          <w:p w14:paraId="192B4A27">
            <w:pPr>
              <w:pStyle w:val="48"/>
              <w:spacing w:line="360" w:lineRule="auto"/>
              <w:jc w:val="center"/>
              <w:rPr>
                <w:rFonts w:hAnsi="宋体"/>
                <w:color w:val="auto"/>
                <w:szCs w:val="24"/>
                <w:highlight w:val="none"/>
              </w:rPr>
            </w:pPr>
            <w:r>
              <w:rPr>
                <w:rFonts w:hint="eastAsia" w:hAnsi="宋体"/>
                <w:color w:val="auto"/>
                <w:szCs w:val="24"/>
                <w:highlight w:val="none"/>
              </w:rPr>
              <w:t>性</w:t>
            </w:r>
          </w:p>
          <w:p w14:paraId="0A462F5E">
            <w:pPr>
              <w:pStyle w:val="48"/>
              <w:spacing w:line="360" w:lineRule="auto"/>
              <w:jc w:val="center"/>
              <w:rPr>
                <w:rFonts w:hAnsi="宋体"/>
                <w:color w:val="auto"/>
                <w:szCs w:val="24"/>
                <w:highlight w:val="none"/>
              </w:rPr>
            </w:pPr>
            <w:r>
              <w:rPr>
                <w:rFonts w:hint="eastAsia" w:hAnsi="宋体"/>
                <w:color w:val="auto"/>
                <w:szCs w:val="24"/>
                <w:highlight w:val="none"/>
              </w:rPr>
              <w:t>审</w:t>
            </w:r>
          </w:p>
          <w:p w14:paraId="4101E1A2">
            <w:pPr>
              <w:pStyle w:val="48"/>
              <w:spacing w:line="360" w:lineRule="auto"/>
              <w:jc w:val="center"/>
              <w:rPr>
                <w:rFonts w:hAnsi="宋体"/>
                <w:color w:val="auto"/>
                <w:szCs w:val="24"/>
                <w:highlight w:val="none"/>
              </w:rPr>
            </w:pPr>
            <w:r>
              <w:rPr>
                <w:rFonts w:hint="eastAsia" w:hAnsi="宋体"/>
                <w:color w:val="auto"/>
                <w:szCs w:val="24"/>
                <w:highlight w:val="none"/>
              </w:rPr>
              <w:t>查</w:t>
            </w:r>
          </w:p>
        </w:tc>
        <w:tc>
          <w:tcPr>
            <w:tcW w:w="960" w:type="dxa"/>
            <w:vMerge w:val="restart"/>
            <w:vAlign w:val="center"/>
          </w:tcPr>
          <w:p w14:paraId="6B17F4E4">
            <w:pPr>
              <w:pStyle w:val="48"/>
              <w:adjustRightInd/>
              <w:snapToGrid w:val="0"/>
              <w:jc w:val="center"/>
              <w:rPr>
                <w:rFonts w:hAnsi="宋体"/>
                <w:color w:val="auto"/>
                <w:szCs w:val="24"/>
                <w:highlight w:val="none"/>
              </w:rPr>
            </w:pPr>
            <w:r>
              <w:rPr>
                <w:rFonts w:hint="eastAsia" w:hAnsi="宋体"/>
                <w:color w:val="auto"/>
                <w:szCs w:val="24"/>
                <w:highlight w:val="none"/>
              </w:rPr>
              <w:t>有效性</w:t>
            </w:r>
          </w:p>
        </w:tc>
        <w:tc>
          <w:tcPr>
            <w:tcW w:w="2217" w:type="dxa"/>
            <w:vAlign w:val="center"/>
          </w:tcPr>
          <w:p w14:paraId="14B4B2F4">
            <w:pPr>
              <w:pStyle w:val="48"/>
              <w:adjustRightInd/>
              <w:snapToGrid w:val="0"/>
              <w:jc w:val="center"/>
              <w:rPr>
                <w:rFonts w:hAnsi="宋体"/>
                <w:color w:val="auto"/>
                <w:szCs w:val="24"/>
                <w:highlight w:val="none"/>
              </w:rPr>
            </w:pPr>
            <w:r>
              <w:rPr>
                <w:rFonts w:hint="eastAsia" w:hAnsi="宋体"/>
                <w:color w:val="auto"/>
                <w:szCs w:val="24"/>
                <w:highlight w:val="none"/>
              </w:rPr>
              <w:t>投标人名称</w:t>
            </w:r>
          </w:p>
        </w:tc>
        <w:tc>
          <w:tcPr>
            <w:tcW w:w="5736" w:type="dxa"/>
            <w:vAlign w:val="center"/>
          </w:tcPr>
          <w:p w14:paraId="5D6438AA">
            <w:pPr>
              <w:pStyle w:val="48"/>
              <w:adjustRightInd/>
              <w:snapToGrid w:val="0"/>
              <w:rPr>
                <w:rFonts w:hAnsi="宋体"/>
                <w:color w:val="auto"/>
                <w:szCs w:val="24"/>
                <w:highlight w:val="none"/>
              </w:rPr>
            </w:pPr>
            <w:r>
              <w:rPr>
                <w:rFonts w:hint="eastAsia" w:hAnsi="宋体"/>
                <w:color w:val="auto"/>
                <w:szCs w:val="24"/>
                <w:highlight w:val="none"/>
              </w:rPr>
              <w:t>与营业执照证等证照及签章一致</w:t>
            </w:r>
          </w:p>
        </w:tc>
      </w:tr>
      <w:tr w14:paraId="36E61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564" w:type="dxa"/>
            <w:vMerge w:val="continue"/>
            <w:vAlign w:val="center"/>
          </w:tcPr>
          <w:p w14:paraId="552FA3BB">
            <w:pPr>
              <w:pStyle w:val="48"/>
              <w:spacing w:line="360" w:lineRule="auto"/>
              <w:jc w:val="center"/>
              <w:rPr>
                <w:rFonts w:hAnsi="宋体"/>
                <w:color w:val="auto"/>
                <w:szCs w:val="24"/>
                <w:highlight w:val="none"/>
              </w:rPr>
            </w:pPr>
          </w:p>
        </w:tc>
        <w:tc>
          <w:tcPr>
            <w:tcW w:w="560" w:type="dxa"/>
            <w:vMerge w:val="continue"/>
            <w:vAlign w:val="center"/>
          </w:tcPr>
          <w:p w14:paraId="6C8D6B85">
            <w:pPr>
              <w:pStyle w:val="48"/>
              <w:spacing w:line="360" w:lineRule="auto"/>
              <w:jc w:val="center"/>
              <w:rPr>
                <w:rFonts w:hAnsi="宋体"/>
                <w:color w:val="auto"/>
                <w:szCs w:val="24"/>
                <w:highlight w:val="none"/>
              </w:rPr>
            </w:pPr>
          </w:p>
        </w:tc>
        <w:tc>
          <w:tcPr>
            <w:tcW w:w="960" w:type="dxa"/>
            <w:vMerge w:val="continue"/>
            <w:vAlign w:val="center"/>
          </w:tcPr>
          <w:p w14:paraId="07BB7604">
            <w:pPr>
              <w:pStyle w:val="48"/>
              <w:adjustRightInd/>
              <w:snapToGrid w:val="0"/>
              <w:jc w:val="center"/>
              <w:rPr>
                <w:rFonts w:hAnsi="宋体"/>
                <w:color w:val="auto"/>
                <w:szCs w:val="24"/>
                <w:highlight w:val="none"/>
              </w:rPr>
            </w:pPr>
          </w:p>
        </w:tc>
        <w:tc>
          <w:tcPr>
            <w:tcW w:w="2217" w:type="dxa"/>
            <w:vAlign w:val="center"/>
          </w:tcPr>
          <w:p w14:paraId="31B805E2">
            <w:pPr>
              <w:pStyle w:val="48"/>
              <w:adjustRightInd/>
              <w:snapToGrid w:val="0"/>
              <w:jc w:val="center"/>
              <w:rPr>
                <w:rFonts w:hAnsi="宋体"/>
                <w:color w:val="auto"/>
                <w:szCs w:val="24"/>
                <w:highlight w:val="none"/>
              </w:rPr>
            </w:pPr>
            <w:r>
              <w:rPr>
                <w:rFonts w:hint="eastAsia" w:hAnsi="宋体"/>
                <w:color w:val="auto"/>
                <w:szCs w:val="24"/>
                <w:highlight w:val="none"/>
              </w:rPr>
              <w:t>签字或盖章</w:t>
            </w:r>
          </w:p>
        </w:tc>
        <w:tc>
          <w:tcPr>
            <w:tcW w:w="5736" w:type="dxa"/>
            <w:vAlign w:val="center"/>
          </w:tcPr>
          <w:p w14:paraId="241F91BB">
            <w:pPr>
              <w:pStyle w:val="48"/>
              <w:adjustRightInd/>
              <w:snapToGrid w:val="0"/>
              <w:rPr>
                <w:rFonts w:hAnsi="宋体"/>
                <w:color w:val="auto"/>
                <w:szCs w:val="24"/>
                <w:highlight w:val="none"/>
              </w:rPr>
            </w:pPr>
            <w:r>
              <w:rPr>
                <w:rFonts w:hint="eastAsia" w:hAnsi="宋体"/>
                <w:color w:val="auto"/>
                <w:szCs w:val="24"/>
                <w:highlight w:val="none"/>
              </w:rPr>
              <w:t>符合第三章“投标人须知”</w:t>
            </w:r>
            <w:r>
              <w:rPr>
                <w:rFonts w:hAnsi="宋体"/>
                <w:color w:val="auto"/>
                <w:szCs w:val="24"/>
                <w:highlight w:val="none"/>
              </w:rPr>
              <w:t>3.7.4</w:t>
            </w:r>
            <w:r>
              <w:rPr>
                <w:rFonts w:hint="eastAsia" w:hAnsi="宋体"/>
                <w:color w:val="auto"/>
                <w:szCs w:val="24"/>
                <w:highlight w:val="none"/>
              </w:rPr>
              <w:t>项规定</w:t>
            </w:r>
          </w:p>
        </w:tc>
      </w:tr>
      <w:tr w14:paraId="32177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jc w:val="center"/>
        </w:trPr>
        <w:tc>
          <w:tcPr>
            <w:tcW w:w="564" w:type="dxa"/>
            <w:vMerge w:val="continue"/>
            <w:vAlign w:val="center"/>
          </w:tcPr>
          <w:p w14:paraId="03DB89F6">
            <w:pPr>
              <w:pStyle w:val="48"/>
              <w:spacing w:line="360" w:lineRule="auto"/>
              <w:jc w:val="center"/>
              <w:rPr>
                <w:rFonts w:hAnsi="宋体"/>
                <w:color w:val="auto"/>
                <w:szCs w:val="24"/>
                <w:highlight w:val="none"/>
              </w:rPr>
            </w:pPr>
          </w:p>
        </w:tc>
        <w:tc>
          <w:tcPr>
            <w:tcW w:w="560" w:type="dxa"/>
            <w:vMerge w:val="continue"/>
            <w:vAlign w:val="center"/>
          </w:tcPr>
          <w:p w14:paraId="793F4933">
            <w:pPr>
              <w:pStyle w:val="48"/>
              <w:spacing w:line="360" w:lineRule="auto"/>
              <w:jc w:val="center"/>
              <w:rPr>
                <w:rFonts w:hAnsi="宋体"/>
                <w:color w:val="auto"/>
                <w:szCs w:val="24"/>
                <w:highlight w:val="none"/>
              </w:rPr>
            </w:pPr>
          </w:p>
        </w:tc>
        <w:tc>
          <w:tcPr>
            <w:tcW w:w="960" w:type="dxa"/>
            <w:vAlign w:val="center"/>
          </w:tcPr>
          <w:p w14:paraId="514E5555">
            <w:pPr>
              <w:pStyle w:val="48"/>
              <w:adjustRightInd/>
              <w:snapToGrid w:val="0"/>
              <w:jc w:val="center"/>
              <w:rPr>
                <w:rFonts w:hAnsi="宋体"/>
                <w:color w:val="auto"/>
                <w:szCs w:val="24"/>
                <w:highlight w:val="none"/>
              </w:rPr>
            </w:pPr>
            <w:r>
              <w:rPr>
                <w:rFonts w:hint="eastAsia" w:hAnsi="宋体"/>
                <w:color w:val="auto"/>
                <w:szCs w:val="24"/>
                <w:highlight w:val="none"/>
              </w:rPr>
              <w:t>完整性</w:t>
            </w:r>
          </w:p>
        </w:tc>
        <w:tc>
          <w:tcPr>
            <w:tcW w:w="2217" w:type="dxa"/>
            <w:vAlign w:val="center"/>
          </w:tcPr>
          <w:p w14:paraId="016445A0">
            <w:pPr>
              <w:pStyle w:val="48"/>
              <w:adjustRightInd/>
              <w:snapToGrid w:val="0"/>
              <w:jc w:val="center"/>
              <w:rPr>
                <w:rFonts w:hAnsi="宋体"/>
                <w:color w:val="auto"/>
                <w:szCs w:val="24"/>
                <w:highlight w:val="none"/>
              </w:rPr>
            </w:pPr>
            <w:r>
              <w:rPr>
                <w:rFonts w:hint="eastAsia" w:hAnsi="宋体"/>
                <w:color w:val="auto"/>
                <w:szCs w:val="24"/>
                <w:highlight w:val="none"/>
              </w:rPr>
              <w:t>投标文件组成</w:t>
            </w:r>
          </w:p>
        </w:tc>
        <w:tc>
          <w:tcPr>
            <w:tcW w:w="5736" w:type="dxa"/>
            <w:vAlign w:val="center"/>
          </w:tcPr>
          <w:p w14:paraId="12F0CAA2">
            <w:pPr>
              <w:pStyle w:val="48"/>
              <w:adjustRightInd/>
              <w:snapToGrid w:val="0"/>
              <w:rPr>
                <w:rFonts w:hAnsi="宋体"/>
                <w:color w:val="auto"/>
                <w:szCs w:val="24"/>
                <w:highlight w:val="none"/>
              </w:rPr>
            </w:pPr>
            <w:r>
              <w:rPr>
                <w:rFonts w:hint="eastAsia" w:hAnsi="宋体"/>
                <w:color w:val="auto"/>
                <w:szCs w:val="24"/>
                <w:highlight w:val="none"/>
              </w:rPr>
              <w:t>符合第三章“投标人须知”</w:t>
            </w:r>
            <w:r>
              <w:rPr>
                <w:rFonts w:hAnsi="宋体"/>
                <w:color w:val="auto"/>
                <w:szCs w:val="24"/>
                <w:highlight w:val="none"/>
              </w:rPr>
              <w:t>3.2</w:t>
            </w:r>
            <w:r>
              <w:rPr>
                <w:rFonts w:hint="eastAsia" w:hAnsi="宋体"/>
                <w:color w:val="auto"/>
                <w:szCs w:val="24"/>
                <w:highlight w:val="none"/>
              </w:rPr>
              <w:t>款规定</w:t>
            </w:r>
          </w:p>
        </w:tc>
      </w:tr>
      <w:tr w14:paraId="2F526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564" w:type="dxa"/>
            <w:vMerge w:val="continue"/>
            <w:vAlign w:val="center"/>
          </w:tcPr>
          <w:p w14:paraId="7987B896">
            <w:pPr>
              <w:pStyle w:val="48"/>
              <w:spacing w:line="360" w:lineRule="auto"/>
              <w:jc w:val="center"/>
              <w:rPr>
                <w:rFonts w:hAnsi="宋体"/>
                <w:color w:val="auto"/>
                <w:szCs w:val="24"/>
                <w:highlight w:val="none"/>
              </w:rPr>
            </w:pPr>
          </w:p>
        </w:tc>
        <w:tc>
          <w:tcPr>
            <w:tcW w:w="560" w:type="dxa"/>
            <w:vMerge w:val="continue"/>
            <w:vAlign w:val="center"/>
          </w:tcPr>
          <w:p w14:paraId="7CCACF0D">
            <w:pPr>
              <w:pStyle w:val="48"/>
              <w:spacing w:line="360" w:lineRule="auto"/>
              <w:jc w:val="center"/>
              <w:rPr>
                <w:rFonts w:hAnsi="宋体"/>
                <w:color w:val="auto"/>
                <w:szCs w:val="24"/>
                <w:highlight w:val="none"/>
              </w:rPr>
            </w:pPr>
          </w:p>
        </w:tc>
        <w:tc>
          <w:tcPr>
            <w:tcW w:w="960" w:type="dxa"/>
            <w:vMerge w:val="restart"/>
            <w:vAlign w:val="center"/>
          </w:tcPr>
          <w:p w14:paraId="07932369">
            <w:pPr>
              <w:pStyle w:val="48"/>
              <w:snapToGrid w:val="0"/>
              <w:jc w:val="center"/>
              <w:rPr>
                <w:rFonts w:hAnsi="宋体"/>
                <w:color w:val="auto"/>
                <w:szCs w:val="24"/>
                <w:highlight w:val="none"/>
              </w:rPr>
            </w:pPr>
            <w:r>
              <w:rPr>
                <w:rFonts w:hint="eastAsia" w:hAnsi="宋体"/>
                <w:color w:val="auto"/>
                <w:szCs w:val="24"/>
                <w:highlight w:val="none"/>
              </w:rPr>
              <w:t>响应程度</w:t>
            </w:r>
          </w:p>
        </w:tc>
        <w:tc>
          <w:tcPr>
            <w:tcW w:w="2217" w:type="dxa"/>
            <w:vAlign w:val="center"/>
          </w:tcPr>
          <w:p w14:paraId="5E3EF0B4">
            <w:pPr>
              <w:pStyle w:val="48"/>
              <w:adjustRightInd/>
              <w:snapToGrid w:val="0"/>
              <w:jc w:val="center"/>
              <w:rPr>
                <w:rFonts w:hAnsi="宋体"/>
                <w:color w:val="auto"/>
                <w:szCs w:val="24"/>
                <w:highlight w:val="none"/>
              </w:rPr>
            </w:pPr>
            <w:r>
              <w:rPr>
                <w:rFonts w:hint="eastAsia" w:hAnsi="宋体"/>
                <w:color w:val="auto"/>
                <w:szCs w:val="24"/>
                <w:highlight w:val="none"/>
              </w:rPr>
              <w:t>投标报价</w:t>
            </w:r>
          </w:p>
        </w:tc>
        <w:tc>
          <w:tcPr>
            <w:tcW w:w="5736" w:type="dxa"/>
            <w:vAlign w:val="center"/>
          </w:tcPr>
          <w:p w14:paraId="085C2D43">
            <w:pPr>
              <w:pStyle w:val="48"/>
              <w:adjustRightInd/>
              <w:snapToGrid w:val="0"/>
              <w:rPr>
                <w:rFonts w:hAnsi="宋体"/>
                <w:color w:val="auto"/>
                <w:szCs w:val="24"/>
                <w:highlight w:val="none"/>
              </w:rPr>
            </w:pPr>
            <w:r>
              <w:rPr>
                <w:rFonts w:hint="eastAsia" w:hAnsi="宋体"/>
                <w:color w:val="auto"/>
                <w:szCs w:val="24"/>
                <w:highlight w:val="none"/>
              </w:rPr>
              <w:t>符合第二章“采购项目及技术服务要求”</w:t>
            </w:r>
            <w:r>
              <w:rPr>
                <w:rFonts w:hAnsi="宋体"/>
                <w:color w:val="auto"/>
                <w:szCs w:val="24"/>
                <w:highlight w:val="none"/>
              </w:rPr>
              <w:t>1.3</w:t>
            </w:r>
            <w:r>
              <w:rPr>
                <w:rFonts w:hint="eastAsia" w:hAnsi="宋体"/>
                <w:color w:val="auto"/>
                <w:szCs w:val="24"/>
                <w:highlight w:val="none"/>
              </w:rPr>
              <w:t>款规定</w:t>
            </w:r>
          </w:p>
        </w:tc>
      </w:tr>
      <w:tr w14:paraId="0A265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564" w:type="dxa"/>
            <w:vMerge w:val="continue"/>
            <w:vAlign w:val="center"/>
          </w:tcPr>
          <w:p w14:paraId="0D3A258F">
            <w:pPr>
              <w:pStyle w:val="48"/>
              <w:spacing w:line="360" w:lineRule="auto"/>
              <w:jc w:val="center"/>
              <w:rPr>
                <w:rFonts w:hAnsi="宋体"/>
                <w:color w:val="auto"/>
                <w:szCs w:val="24"/>
                <w:highlight w:val="none"/>
              </w:rPr>
            </w:pPr>
          </w:p>
        </w:tc>
        <w:tc>
          <w:tcPr>
            <w:tcW w:w="560" w:type="dxa"/>
            <w:vMerge w:val="continue"/>
            <w:vAlign w:val="center"/>
          </w:tcPr>
          <w:p w14:paraId="385DE55A">
            <w:pPr>
              <w:pStyle w:val="48"/>
              <w:spacing w:line="360" w:lineRule="auto"/>
              <w:jc w:val="center"/>
              <w:rPr>
                <w:rFonts w:hAnsi="宋体"/>
                <w:color w:val="auto"/>
                <w:szCs w:val="24"/>
                <w:highlight w:val="none"/>
              </w:rPr>
            </w:pPr>
          </w:p>
        </w:tc>
        <w:tc>
          <w:tcPr>
            <w:tcW w:w="960" w:type="dxa"/>
            <w:vMerge w:val="continue"/>
            <w:vAlign w:val="center"/>
          </w:tcPr>
          <w:p w14:paraId="64A599BB">
            <w:pPr>
              <w:pStyle w:val="48"/>
              <w:snapToGrid w:val="0"/>
              <w:jc w:val="center"/>
              <w:rPr>
                <w:rFonts w:hAnsi="宋体"/>
                <w:color w:val="auto"/>
                <w:szCs w:val="24"/>
                <w:highlight w:val="none"/>
              </w:rPr>
            </w:pPr>
          </w:p>
        </w:tc>
        <w:tc>
          <w:tcPr>
            <w:tcW w:w="2217" w:type="dxa"/>
            <w:vAlign w:val="center"/>
          </w:tcPr>
          <w:p w14:paraId="4D5A978B">
            <w:pPr>
              <w:pStyle w:val="48"/>
              <w:adjustRightInd/>
              <w:snapToGrid w:val="0"/>
              <w:jc w:val="center"/>
              <w:rPr>
                <w:rFonts w:hAnsi="宋体"/>
                <w:color w:val="auto"/>
                <w:szCs w:val="24"/>
                <w:highlight w:val="none"/>
              </w:rPr>
            </w:pPr>
            <w:r>
              <w:rPr>
                <w:rFonts w:hint="eastAsia" w:hAnsi="宋体"/>
                <w:color w:val="auto"/>
                <w:szCs w:val="24"/>
                <w:highlight w:val="none"/>
              </w:rPr>
              <w:t>投标内容</w:t>
            </w:r>
          </w:p>
        </w:tc>
        <w:tc>
          <w:tcPr>
            <w:tcW w:w="5736" w:type="dxa"/>
            <w:vAlign w:val="center"/>
          </w:tcPr>
          <w:p w14:paraId="35F77FF9">
            <w:pPr>
              <w:pStyle w:val="48"/>
              <w:adjustRightInd/>
              <w:snapToGrid w:val="0"/>
              <w:rPr>
                <w:rFonts w:hAnsi="宋体"/>
                <w:color w:val="auto"/>
                <w:szCs w:val="24"/>
                <w:highlight w:val="none"/>
              </w:rPr>
            </w:pPr>
            <w:r>
              <w:rPr>
                <w:rFonts w:hint="eastAsia" w:hAnsi="宋体"/>
                <w:color w:val="auto"/>
                <w:szCs w:val="24"/>
                <w:highlight w:val="none"/>
              </w:rPr>
              <w:t>符合第二章“采购项目及技术服务要求”第</w:t>
            </w:r>
            <w:r>
              <w:rPr>
                <w:rFonts w:hAnsi="宋体"/>
                <w:color w:val="auto"/>
                <w:szCs w:val="24"/>
                <w:highlight w:val="none"/>
              </w:rPr>
              <w:t>2</w:t>
            </w:r>
            <w:r>
              <w:rPr>
                <w:rFonts w:hint="eastAsia" w:hAnsi="宋体"/>
                <w:color w:val="auto"/>
                <w:szCs w:val="24"/>
                <w:highlight w:val="none"/>
              </w:rPr>
              <w:t>条规定</w:t>
            </w:r>
          </w:p>
        </w:tc>
      </w:tr>
      <w:tr w14:paraId="1ABE7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564" w:type="dxa"/>
            <w:vMerge w:val="continue"/>
            <w:vAlign w:val="center"/>
          </w:tcPr>
          <w:p w14:paraId="6D057C7D">
            <w:pPr>
              <w:pStyle w:val="48"/>
              <w:spacing w:line="360" w:lineRule="auto"/>
              <w:jc w:val="center"/>
              <w:rPr>
                <w:rFonts w:hAnsi="宋体"/>
                <w:color w:val="auto"/>
                <w:szCs w:val="24"/>
                <w:highlight w:val="none"/>
              </w:rPr>
            </w:pPr>
          </w:p>
        </w:tc>
        <w:tc>
          <w:tcPr>
            <w:tcW w:w="560" w:type="dxa"/>
            <w:vMerge w:val="continue"/>
            <w:vAlign w:val="center"/>
          </w:tcPr>
          <w:p w14:paraId="043C5189">
            <w:pPr>
              <w:pStyle w:val="48"/>
              <w:spacing w:line="360" w:lineRule="auto"/>
              <w:jc w:val="center"/>
              <w:rPr>
                <w:rFonts w:hAnsi="宋体"/>
                <w:color w:val="auto"/>
                <w:szCs w:val="24"/>
                <w:highlight w:val="none"/>
              </w:rPr>
            </w:pPr>
          </w:p>
        </w:tc>
        <w:tc>
          <w:tcPr>
            <w:tcW w:w="960" w:type="dxa"/>
            <w:vMerge w:val="continue"/>
            <w:vAlign w:val="center"/>
          </w:tcPr>
          <w:p w14:paraId="76861388">
            <w:pPr>
              <w:pStyle w:val="48"/>
              <w:snapToGrid w:val="0"/>
              <w:jc w:val="center"/>
              <w:rPr>
                <w:rFonts w:hAnsi="宋体"/>
                <w:color w:val="auto"/>
                <w:szCs w:val="24"/>
                <w:highlight w:val="none"/>
              </w:rPr>
            </w:pPr>
          </w:p>
        </w:tc>
        <w:tc>
          <w:tcPr>
            <w:tcW w:w="2217" w:type="dxa"/>
            <w:vAlign w:val="center"/>
          </w:tcPr>
          <w:p w14:paraId="19D096DF">
            <w:pPr>
              <w:pStyle w:val="48"/>
              <w:adjustRightInd/>
              <w:snapToGrid w:val="0"/>
              <w:jc w:val="center"/>
              <w:rPr>
                <w:rFonts w:hAnsi="宋体"/>
                <w:color w:val="auto"/>
                <w:szCs w:val="24"/>
                <w:highlight w:val="none"/>
              </w:rPr>
            </w:pPr>
            <w:r>
              <w:rPr>
                <w:rFonts w:hint="eastAsia" w:hAnsi="宋体"/>
                <w:color w:val="auto"/>
                <w:szCs w:val="24"/>
                <w:highlight w:val="none"/>
              </w:rPr>
              <w:t>交验期、交验地</w:t>
            </w:r>
          </w:p>
        </w:tc>
        <w:tc>
          <w:tcPr>
            <w:tcW w:w="5736" w:type="dxa"/>
            <w:vAlign w:val="center"/>
          </w:tcPr>
          <w:p w14:paraId="4E01546F">
            <w:pPr>
              <w:pStyle w:val="48"/>
              <w:adjustRightInd/>
              <w:snapToGrid w:val="0"/>
              <w:jc w:val="both"/>
              <w:rPr>
                <w:rFonts w:hAnsi="宋体"/>
                <w:color w:val="auto"/>
                <w:szCs w:val="24"/>
                <w:highlight w:val="none"/>
              </w:rPr>
            </w:pPr>
            <w:r>
              <w:rPr>
                <w:rFonts w:hint="eastAsia" w:hAnsi="宋体"/>
                <w:color w:val="auto"/>
                <w:szCs w:val="24"/>
                <w:highlight w:val="none"/>
              </w:rPr>
              <w:t>符合第二章“采购项目及技术服务要求”</w:t>
            </w:r>
            <w:r>
              <w:rPr>
                <w:rFonts w:hAnsi="宋体"/>
                <w:color w:val="auto"/>
                <w:szCs w:val="24"/>
                <w:highlight w:val="none"/>
              </w:rPr>
              <w:t>1.2</w:t>
            </w:r>
            <w:r>
              <w:rPr>
                <w:rFonts w:hint="eastAsia" w:hAnsi="宋体"/>
                <w:color w:val="auto"/>
                <w:szCs w:val="24"/>
                <w:highlight w:val="none"/>
              </w:rPr>
              <w:t>款规定</w:t>
            </w:r>
          </w:p>
        </w:tc>
      </w:tr>
      <w:tr w14:paraId="3063F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564" w:type="dxa"/>
            <w:vMerge w:val="continue"/>
            <w:vAlign w:val="center"/>
          </w:tcPr>
          <w:p w14:paraId="5F43A354">
            <w:pPr>
              <w:pStyle w:val="48"/>
              <w:spacing w:line="360" w:lineRule="auto"/>
              <w:jc w:val="center"/>
              <w:rPr>
                <w:rFonts w:hAnsi="宋体"/>
                <w:color w:val="auto"/>
                <w:szCs w:val="24"/>
                <w:highlight w:val="none"/>
              </w:rPr>
            </w:pPr>
          </w:p>
        </w:tc>
        <w:tc>
          <w:tcPr>
            <w:tcW w:w="560" w:type="dxa"/>
            <w:vMerge w:val="continue"/>
            <w:vAlign w:val="center"/>
          </w:tcPr>
          <w:p w14:paraId="1914764B">
            <w:pPr>
              <w:pStyle w:val="48"/>
              <w:spacing w:line="360" w:lineRule="auto"/>
              <w:jc w:val="center"/>
              <w:rPr>
                <w:rFonts w:hAnsi="宋体"/>
                <w:color w:val="auto"/>
                <w:szCs w:val="24"/>
                <w:highlight w:val="none"/>
              </w:rPr>
            </w:pPr>
          </w:p>
        </w:tc>
        <w:tc>
          <w:tcPr>
            <w:tcW w:w="960" w:type="dxa"/>
            <w:vMerge w:val="continue"/>
            <w:vAlign w:val="center"/>
          </w:tcPr>
          <w:p w14:paraId="45E44DB8">
            <w:pPr>
              <w:pStyle w:val="48"/>
              <w:snapToGrid w:val="0"/>
              <w:jc w:val="center"/>
              <w:rPr>
                <w:rFonts w:hAnsi="宋体"/>
                <w:color w:val="auto"/>
                <w:szCs w:val="24"/>
                <w:highlight w:val="none"/>
              </w:rPr>
            </w:pPr>
          </w:p>
        </w:tc>
        <w:tc>
          <w:tcPr>
            <w:tcW w:w="2217" w:type="dxa"/>
            <w:vAlign w:val="center"/>
          </w:tcPr>
          <w:p w14:paraId="23ACB31E">
            <w:pPr>
              <w:pStyle w:val="48"/>
              <w:adjustRightInd/>
              <w:snapToGrid w:val="0"/>
              <w:jc w:val="center"/>
              <w:rPr>
                <w:rFonts w:hAnsi="宋体"/>
                <w:color w:val="auto"/>
                <w:szCs w:val="24"/>
                <w:highlight w:val="none"/>
              </w:rPr>
            </w:pPr>
            <w:r>
              <w:rPr>
                <w:rFonts w:hint="eastAsia" w:hAnsi="宋体"/>
                <w:color w:val="auto"/>
                <w:szCs w:val="24"/>
                <w:highlight w:val="none"/>
              </w:rPr>
              <w:t>技术要求</w:t>
            </w:r>
          </w:p>
        </w:tc>
        <w:tc>
          <w:tcPr>
            <w:tcW w:w="5736" w:type="dxa"/>
            <w:vAlign w:val="center"/>
          </w:tcPr>
          <w:p w14:paraId="7BB4AAE0">
            <w:pPr>
              <w:pStyle w:val="48"/>
              <w:adjustRightInd/>
              <w:snapToGrid w:val="0"/>
              <w:jc w:val="both"/>
              <w:rPr>
                <w:rFonts w:hAnsi="宋体"/>
                <w:color w:val="auto"/>
                <w:szCs w:val="24"/>
                <w:highlight w:val="none"/>
              </w:rPr>
            </w:pPr>
            <w:r>
              <w:rPr>
                <w:rFonts w:hint="eastAsia" w:hAnsi="宋体"/>
                <w:color w:val="auto"/>
                <w:szCs w:val="24"/>
                <w:highlight w:val="none"/>
              </w:rPr>
              <w:t>符合第二章“采购项目及技术服务要求”第</w:t>
            </w:r>
            <w:r>
              <w:rPr>
                <w:rFonts w:hAnsi="宋体"/>
                <w:color w:val="auto"/>
                <w:szCs w:val="24"/>
                <w:highlight w:val="none"/>
              </w:rPr>
              <w:t>2</w:t>
            </w:r>
            <w:r>
              <w:rPr>
                <w:rFonts w:hint="eastAsia" w:hAnsi="宋体"/>
                <w:color w:val="auto"/>
                <w:szCs w:val="24"/>
                <w:highlight w:val="none"/>
              </w:rPr>
              <w:t>条规定。</w:t>
            </w:r>
          </w:p>
        </w:tc>
      </w:tr>
      <w:tr w14:paraId="22F22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564" w:type="dxa"/>
            <w:vMerge w:val="continue"/>
            <w:vAlign w:val="center"/>
          </w:tcPr>
          <w:p w14:paraId="4E3A71D2">
            <w:pPr>
              <w:pStyle w:val="48"/>
              <w:spacing w:line="360" w:lineRule="auto"/>
              <w:jc w:val="center"/>
              <w:rPr>
                <w:rFonts w:hAnsi="宋体"/>
                <w:color w:val="auto"/>
                <w:szCs w:val="24"/>
                <w:highlight w:val="none"/>
              </w:rPr>
            </w:pPr>
          </w:p>
        </w:tc>
        <w:tc>
          <w:tcPr>
            <w:tcW w:w="560" w:type="dxa"/>
            <w:vMerge w:val="continue"/>
            <w:vAlign w:val="center"/>
          </w:tcPr>
          <w:p w14:paraId="3A703AE1">
            <w:pPr>
              <w:pStyle w:val="48"/>
              <w:spacing w:line="360" w:lineRule="auto"/>
              <w:jc w:val="center"/>
              <w:rPr>
                <w:rFonts w:hAnsi="宋体"/>
                <w:color w:val="auto"/>
                <w:szCs w:val="24"/>
                <w:highlight w:val="none"/>
              </w:rPr>
            </w:pPr>
          </w:p>
        </w:tc>
        <w:tc>
          <w:tcPr>
            <w:tcW w:w="960" w:type="dxa"/>
            <w:vMerge w:val="continue"/>
            <w:vAlign w:val="center"/>
          </w:tcPr>
          <w:p w14:paraId="0789145D">
            <w:pPr>
              <w:pStyle w:val="48"/>
              <w:snapToGrid w:val="0"/>
              <w:jc w:val="center"/>
              <w:rPr>
                <w:rFonts w:hAnsi="宋体"/>
                <w:color w:val="auto"/>
                <w:szCs w:val="24"/>
                <w:highlight w:val="none"/>
              </w:rPr>
            </w:pPr>
          </w:p>
        </w:tc>
        <w:tc>
          <w:tcPr>
            <w:tcW w:w="2217" w:type="dxa"/>
            <w:vAlign w:val="center"/>
          </w:tcPr>
          <w:p w14:paraId="790E7156">
            <w:pPr>
              <w:pStyle w:val="48"/>
              <w:adjustRightInd/>
              <w:snapToGrid w:val="0"/>
              <w:jc w:val="center"/>
              <w:rPr>
                <w:rFonts w:hAnsi="宋体"/>
                <w:color w:val="auto"/>
                <w:szCs w:val="24"/>
                <w:highlight w:val="none"/>
              </w:rPr>
            </w:pPr>
            <w:r>
              <w:rPr>
                <w:rFonts w:hint="eastAsia" w:hAnsi="宋体"/>
                <w:color w:val="auto"/>
                <w:szCs w:val="24"/>
                <w:highlight w:val="none"/>
              </w:rPr>
              <w:t>售后服务</w:t>
            </w:r>
          </w:p>
        </w:tc>
        <w:tc>
          <w:tcPr>
            <w:tcW w:w="5736" w:type="dxa"/>
            <w:vAlign w:val="center"/>
          </w:tcPr>
          <w:p w14:paraId="21D044FA">
            <w:pPr>
              <w:pStyle w:val="48"/>
              <w:adjustRightInd/>
              <w:snapToGrid w:val="0"/>
              <w:rPr>
                <w:rFonts w:hAnsi="宋体"/>
                <w:color w:val="auto"/>
                <w:szCs w:val="24"/>
                <w:highlight w:val="none"/>
              </w:rPr>
            </w:pPr>
            <w:r>
              <w:rPr>
                <w:rFonts w:hint="eastAsia" w:hAnsi="宋体"/>
                <w:color w:val="auto"/>
                <w:szCs w:val="24"/>
                <w:highlight w:val="none"/>
              </w:rPr>
              <w:t>符合第二章“采购项目及技术服务要求”</w:t>
            </w:r>
            <w:r>
              <w:rPr>
                <w:rFonts w:hAnsi="宋体" w:cs="宋体"/>
                <w:color w:val="auto"/>
                <w:szCs w:val="24"/>
                <w:highlight w:val="none"/>
              </w:rPr>
              <w:t xml:space="preserve"> 2.</w:t>
            </w:r>
            <w:r>
              <w:rPr>
                <w:rFonts w:hint="eastAsia" w:hAnsi="宋体" w:cs="宋体"/>
                <w:color w:val="auto"/>
                <w:szCs w:val="24"/>
                <w:highlight w:val="none"/>
              </w:rPr>
              <w:t>8款</w:t>
            </w:r>
            <w:r>
              <w:rPr>
                <w:rFonts w:hint="eastAsia" w:hAnsi="宋体"/>
                <w:color w:val="auto"/>
                <w:szCs w:val="24"/>
                <w:highlight w:val="none"/>
              </w:rPr>
              <w:t>规定</w:t>
            </w:r>
          </w:p>
        </w:tc>
      </w:tr>
      <w:tr w14:paraId="625EB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564" w:type="dxa"/>
            <w:vMerge w:val="continue"/>
            <w:vAlign w:val="center"/>
          </w:tcPr>
          <w:p w14:paraId="079B655A">
            <w:pPr>
              <w:pStyle w:val="48"/>
              <w:spacing w:line="360" w:lineRule="auto"/>
              <w:jc w:val="center"/>
              <w:rPr>
                <w:rFonts w:hAnsi="宋体"/>
                <w:color w:val="auto"/>
                <w:szCs w:val="24"/>
                <w:highlight w:val="none"/>
              </w:rPr>
            </w:pPr>
          </w:p>
        </w:tc>
        <w:tc>
          <w:tcPr>
            <w:tcW w:w="560" w:type="dxa"/>
            <w:vMerge w:val="continue"/>
            <w:vAlign w:val="center"/>
          </w:tcPr>
          <w:p w14:paraId="225897EE">
            <w:pPr>
              <w:pStyle w:val="48"/>
              <w:spacing w:line="360" w:lineRule="auto"/>
              <w:jc w:val="center"/>
              <w:rPr>
                <w:rFonts w:hAnsi="宋体"/>
                <w:color w:val="auto"/>
                <w:szCs w:val="24"/>
                <w:highlight w:val="none"/>
              </w:rPr>
            </w:pPr>
          </w:p>
        </w:tc>
        <w:tc>
          <w:tcPr>
            <w:tcW w:w="960" w:type="dxa"/>
            <w:vMerge w:val="continue"/>
            <w:vAlign w:val="center"/>
          </w:tcPr>
          <w:p w14:paraId="512069D5">
            <w:pPr>
              <w:pStyle w:val="48"/>
              <w:adjustRightInd/>
              <w:snapToGrid w:val="0"/>
              <w:jc w:val="center"/>
              <w:rPr>
                <w:rFonts w:hAnsi="宋体"/>
                <w:color w:val="auto"/>
                <w:szCs w:val="24"/>
                <w:highlight w:val="none"/>
              </w:rPr>
            </w:pPr>
          </w:p>
        </w:tc>
        <w:tc>
          <w:tcPr>
            <w:tcW w:w="2217" w:type="dxa"/>
            <w:vAlign w:val="center"/>
          </w:tcPr>
          <w:p w14:paraId="50BF6201">
            <w:pPr>
              <w:pStyle w:val="48"/>
              <w:adjustRightInd/>
              <w:snapToGrid w:val="0"/>
              <w:jc w:val="center"/>
              <w:rPr>
                <w:rFonts w:hAnsi="宋体"/>
                <w:color w:val="auto"/>
                <w:szCs w:val="24"/>
                <w:highlight w:val="none"/>
              </w:rPr>
            </w:pPr>
            <w:r>
              <w:rPr>
                <w:rFonts w:hint="eastAsia" w:hAnsi="宋体"/>
                <w:color w:val="auto"/>
                <w:szCs w:val="24"/>
                <w:highlight w:val="none"/>
              </w:rPr>
              <w:t>投标有效期</w:t>
            </w:r>
          </w:p>
        </w:tc>
        <w:tc>
          <w:tcPr>
            <w:tcW w:w="5736" w:type="dxa"/>
            <w:vAlign w:val="center"/>
          </w:tcPr>
          <w:p w14:paraId="00EEF49C">
            <w:pPr>
              <w:snapToGrid w:val="0"/>
              <w:spacing w:line="240" w:lineRule="auto"/>
              <w:rPr>
                <w:rFonts w:ascii="宋体"/>
                <w:color w:val="auto"/>
                <w:sz w:val="24"/>
                <w:highlight w:val="none"/>
              </w:rPr>
            </w:pPr>
            <w:r>
              <w:rPr>
                <w:rFonts w:hint="eastAsia" w:ascii="宋体" w:hAnsi="宋体"/>
                <w:color w:val="auto"/>
                <w:sz w:val="24"/>
                <w:highlight w:val="none"/>
              </w:rPr>
              <w:t>符合第三章“投标人须知”</w:t>
            </w:r>
            <w:r>
              <w:rPr>
                <w:rFonts w:ascii="宋体" w:hAnsi="宋体"/>
                <w:color w:val="auto"/>
                <w:sz w:val="24"/>
                <w:highlight w:val="none"/>
              </w:rPr>
              <w:t>3.4</w:t>
            </w:r>
            <w:r>
              <w:rPr>
                <w:rFonts w:hint="eastAsia" w:ascii="宋体" w:hAnsi="宋体"/>
                <w:color w:val="auto"/>
                <w:sz w:val="24"/>
                <w:highlight w:val="none"/>
              </w:rPr>
              <w:t>款规定</w:t>
            </w:r>
          </w:p>
        </w:tc>
      </w:tr>
      <w:tr w14:paraId="19C93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564" w:type="dxa"/>
            <w:vMerge w:val="continue"/>
            <w:vAlign w:val="center"/>
          </w:tcPr>
          <w:p w14:paraId="7C1E84B6">
            <w:pPr>
              <w:pStyle w:val="48"/>
              <w:spacing w:line="360" w:lineRule="auto"/>
              <w:jc w:val="center"/>
              <w:rPr>
                <w:rFonts w:hAnsi="宋体"/>
                <w:color w:val="auto"/>
                <w:szCs w:val="24"/>
                <w:highlight w:val="none"/>
              </w:rPr>
            </w:pPr>
          </w:p>
        </w:tc>
        <w:tc>
          <w:tcPr>
            <w:tcW w:w="560" w:type="dxa"/>
            <w:vMerge w:val="continue"/>
            <w:vAlign w:val="center"/>
          </w:tcPr>
          <w:p w14:paraId="564A5177">
            <w:pPr>
              <w:pStyle w:val="48"/>
              <w:spacing w:line="360" w:lineRule="auto"/>
              <w:jc w:val="center"/>
              <w:rPr>
                <w:rFonts w:hAnsi="宋体"/>
                <w:color w:val="auto"/>
                <w:szCs w:val="24"/>
                <w:highlight w:val="none"/>
              </w:rPr>
            </w:pPr>
          </w:p>
        </w:tc>
        <w:tc>
          <w:tcPr>
            <w:tcW w:w="960" w:type="dxa"/>
            <w:vMerge w:val="continue"/>
            <w:vAlign w:val="center"/>
          </w:tcPr>
          <w:p w14:paraId="3F878743">
            <w:pPr>
              <w:pStyle w:val="48"/>
              <w:adjustRightInd/>
              <w:snapToGrid w:val="0"/>
              <w:jc w:val="center"/>
              <w:rPr>
                <w:rFonts w:hAnsi="宋体"/>
                <w:color w:val="auto"/>
                <w:szCs w:val="24"/>
                <w:highlight w:val="none"/>
              </w:rPr>
            </w:pPr>
          </w:p>
        </w:tc>
        <w:tc>
          <w:tcPr>
            <w:tcW w:w="2217" w:type="dxa"/>
            <w:vAlign w:val="center"/>
          </w:tcPr>
          <w:p w14:paraId="7423078F">
            <w:pPr>
              <w:pStyle w:val="48"/>
              <w:adjustRightInd/>
              <w:snapToGrid w:val="0"/>
              <w:jc w:val="center"/>
              <w:rPr>
                <w:rFonts w:hAnsi="宋体"/>
                <w:color w:val="auto"/>
                <w:szCs w:val="24"/>
                <w:highlight w:val="none"/>
              </w:rPr>
            </w:pPr>
            <w:r>
              <w:rPr>
                <w:rFonts w:hint="eastAsia" w:hAnsi="宋体"/>
                <w:color w:val="auto"/>
                <w:szCs w:val="24"/>
                <w:highlight w:val="none"/>
              </w:rPr>
              <w:t>投标文件格式</w:t>
            </w:r>
          </w:p>
        </w:tc>
        <w:tc>
          <w:tcPr>
            <w:tcW w:w="5736" w:type="dxa"/>
            <w:vAlign w:val="center"/>
          </w:tcPr>
          <w:p w14:paraId="4337F5B2">
            <w:pPr>
              <w:pStyle w:val="48"/>
              <w:adjustRightInd/>
              <w:snapToGrid w:val="0"/>
              <w:rPr>
                <w:rFonts w:hAnsi="宋体"/>
                <w:color w:val="auto"/>
                <w:szCs w:val="24"/>
                <w:highlight w:val="none"/>
              </w:rPr>
            </w:pPr>
            <w:r>
              <w:rPr>
                <w:rFonts w:hint="eastAsia" w:hAnsi="宋体"/>
                <w:color w:val="auto"/>
                <w:szCs w:val="24"/>
                <w:highlight w:val="none"/>
              </w:rPr>
              <w:t>符合第六章“投标文件格式”规定</w:t>
            </w:r>
          </w:p>
        </w:tc>
      </w:tr>
      <w:tr w14:paraId="26972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564" w:type="dxa"/>
            <w:vMerge w:val="continue"/>
            <w:vAlign w:val="center"/>
          </w:tcPr>
          <w:p w14:paraId="78655A81">
            <w:pPr>
              <w:pStyle w:val="48"/>
              <w:spacing w:line="360" w:lineRule="auto"/>
              <w:jc w:val="center"/>
              <w:rPr>
                <w:rFonts w:hAnsi="宋体"/>
                <w:color w:val="auto"/>
                <w:szCs w:val="24"/>
                <w:highlight w:val="none"/>
              </w:rPr>
            </w:pPr>
          </w:p>
        </w:tc>
        <w:tc>
          <w:tcPr>
            <w:tcW w:w="560" w:type="dxa"/>
            <w:vMerge w:val="continue"/>
            <w:vAlign w:val="center"/>
          </w:tcPr>
          <w:p w14:paraId="53C84027">
            <w:pPr>
              <w:pStyle w:val="48"/>
              <w:spacing w:line="360" w:lineRule="auto"/>
              <w:jc w:val="center"/>
              <w:rPr>
                <w:rFonts w:hAnsi="宋体"/>
                <w:color w:val="auto"/>
                <w:szCs w:val="24"/>
                <w:highlight w:val="none"/>
              </w:rPr>
            </w:pPr>
          </w:p>
        </w:tc>
        <w:tc>
          <w:tcPr>
            <w:tcW w:w="960" w:type="dxa"/>
            <w:vMerge w:val="continue"/>
            <w:vAlign w:val="center"/>
          </w:tcPr>
          <w:p w14:paraId="234FCF4A">
            <w:pPr>
              <w:pStyle w:val="48"/>
              <w:adjustRightInd/>
              <w:snapToGrid w:val="0"/>
              <w:jc w:val="center"/>
              <w:rPr>
                <w:rFonts w:hAnsi="宋体"/>
                <w:color w:val="auto"/>
                <w:szCs w:val="24"/>
                <w:highlight w:val="none"/>
              </w:rPr>
            </w:pPr>
          </w:p>
        </w:tc>
        <w:tc>
          <w:tcPr>
            <w:tcW w:w="2217" w:type="dxa"/>
            <w:vAlign w:val="center"/>
          </w:tcPr>
          <w:p w14:paraId="306BFE5F">
            <w:pPr>
              <w:pStyle w:val="48"/>
              <w:adjustRightInd/>
              <w:snapToGrid w:val="0"/>
              <w:jc w:val="center"/>
              <w:rPr>
                <w:rFonts w:hAnsi="宋体"/>
                <w:color w:val="auto"/>
                <w:szCs w:val="24"/>
                <w:highlight w:val="none"/>
              </w:rPr>
            </w:pPr>
            <w:r>
              <w:rPr>
                <w:rFonts w:hint="eastAsia" w:hAnsi="宋体"/>
                <w:color w:val="auto"/>
                <w:highlight w:val="none"/>
              </w:rPr>
              <w:t>付款</w:t>
            </w:r>
          </w:p>
        </w:tc>
        <w:tc>
          <w:tcPr>
            <w:tcW w:w="5736" w:type="dxa"/>
            <w:vAlign w:val="center"/>
          </w:tcPr>
          <w:p w14:paraId="12F04541">
            <w:pPr>
              <w:snapToGrid w:val="0"/>
              <w:spacing w:line="240" w:lineRule="auto"/>
              <w:rPr>
                <w:rFonts w:ascii="宋体"/>
                <w:color w:val="auto"/>
                <w:sz w:val="24"/>
                <w:highlight w:val="none"/>
              </w:rPr>
            </w:pPr>
            <w:r>
              <w:rPr>
                <w:rFonts w:hint="eastAsia" w:ascii="宋体" w:hAnsi="宋体"/>
                <w:color w:val="auto"/>
                <w:sz w:val="24"/>
                <w:highlight w:val="none"/>
              </w:rPr>
              <w:t>符合第三章“投标人须知”第</w:t>
            </w:r>
            <w:r>
              <w:rPr>
                <w:rFonts w:ascii="宋体" w:hAnsi="宋体"/>
                <w:color w:val="auto"/>
                <w:sz w:val="24"/>
                <w:highlight w:val="none"/>
              </w:rPr>
              <w:t>9</w:t>
            </w:r>
            <w:r>
              <w:rPr>
                <w:rFonts w:hint="eastAsia" w:ascii="宋体" w:hAnsi="宋体"/>
                <w:color w:val="auto"/>
                <w:sz w:val="24"/>
                <w:highlight w:val="none"/>
              </w:rPr>
              <w:t>条规定</w:t>
            </w:r>
          </w:p>
        </w:tc>
      </w:tr>
      <w:tr w14:paraId="47FD4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564" w:type="dxa"/>
            <w:vMerge w:val="continue"/>
            <w:vAlign w:val="center"/>
          </w:tcPr>
          <w:p w14:paraId="313713C6">
            <w:pPr>
              <w:pStyle w:val="48"/>
              <w:spacing w:line="360" w:lineRule="auto"/>
              <w:jc w:val="center"/>
              <w:rPr>
                <w:rFonts w:hAnsi="宋体"/>
                <w:color w:val="auto"/>
                <w:szCs w:val="24"/>
                <w:highlight w:val="none"/>
              </w:rPr>
            </w:pPr>
          </w:p>
        </w:tc>
        <w:tc>
          <w:tcPr>
            <w:tcW w:w="560" w:type="dxa"/>
            <w:vMerge w:val="continue"/>
            <w:vAlign w:val="center"/>
          </w:tcPr>
          <w:p w14:paraId="50817ECB">
            <w:pPr>
              <w:pStyle w:val="48"/>
              <w:spacing w:line="360" w:lineRule="auto"/>
              <w:jc w:val="center"/>
              <w:rPr>
                <w:rFonts w:hAnsi="宋体"/>
                <w:color w:val="auto"/>
                <w:szCs w:val="24"/>
                <w:highlight w:val="none"/>
              </w:rPr>
            </w:pPr>
          </w:p>
        </w:tc>
        <w:tc>
          <w:tcPr>
            <w:tcW w:w="960" w:type="dxa"/>
            <w:vMerge w:val="continue"/>
            <w:vAlign w:val="center"/>
          </w:tcPr>
          <w:p w14:paraId="32DD8C83">
            <w:pPr>
              <w:pStyle w:val="48"/>
              <w:adjustRightInd/>
              <w:snapToGrid w:val="0"/>
              <w:jc w:val="center"/>
              <w:rPr>
                <w:rFonts w:hAnsi="宋体"/>
                <w:color w:val="auto"/>
                <w:szCs w:val="24"/>
                <w:highlight w:val="none"/>
              </w:rPr>
            </w:pPr>
          </w:p>
        </w:tc>
        <w:tc>
          <w:tcPr>
            <w:tcW w:w="2217" w:type="dxa"/>
            <w:vAlign w:val="center"/>
          </w:tcPr>
          <w:p w14:paraId="2CEC45C3">
            <w:pPr>
              <w:pStyle w:val="48"/>
              <w:adjustRightInd/>
              <w:snapToGrid w:val="0"/>
              <w:jc w:val="center"/>
              <w:rPr>
                <w:rFonts w:hAnsi="宋体"/>
                <w:color w:val="auto"/>
                <w:highlight w:val="none"/>
              </w:rPr>
            </w:pPr>
            <w:r>
              <w:rPr>
                <w:rFonts w:hint="eastAsia" w:hAnsi="宋体"/>
                <w:color w:val="auto"/>
                <w:highlight w:val="none"/>
              </w:rPr>
              <w:t>偏差描述</w:t>
            </w:r>
          </w:p>
        </w:tc>
        <w:tc>
          <w:tcPr>
            <w:tcW w:w="5736" w:type="dxa"/>
            <w:vAlign w:val="center"/>
          </w:tcPr>
          <w:p w14:paraId="36BAB667">
            <w:pPr>
              <w:snapToGrid w:val="0"/>
              <w:spacing w:line="240" w:lineRule="auto"/>
              <w:rPr>
                <w:rFonts w:ascii="宋体"/>
                <w:color w:val="auto"/>
                <w:sz w:val="24"/>
                <w:highlight w:val="none"/>
              </w:rPr>
            </w:pPr>
            <w:r>
              <w:rPr>
                <w:rFonts w:hint="eastAsia" w:ascii="宋体" w:hAnsi="宋体"/>
                <w:color w:val="auto"/>
                <w:sz w:val="24"/>
                <w:highlight w:val="none"/>
              </w:rPr>
              <w:t>符合第三章“投标人须知”</w:t>
            </w:r>
            <w:r>
              <w:rPr>
                <w:rFonts w:ascii="宋体" w:hAnsi="宋体"/>
                <w:color w:val="auto"/>
                <w:sz w:val="24"/>
                <w:highlight w:val="none"/>
              </w:rPr>
              <w:t>3.7.3</w:t>
            </w:r>
            <w:r>
              <w:rPr>
                <w:rFonts w:hint="eastAsia" w:ascii="宋体" w:hAnsi="宋体"/>
                <w:color w:val="auto"/>
                <w:sz w:val="24"/>
                <w:highlight w:val="none"/>
              </w:rPr>
              <w:t>项规定</w:t>
            </w:r>
          </w:p>
        </w:tc>
      </w:tr>
      <w:tr w14:paraId="6617A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564" w:type="dxa"/>
            <w:vMerge w:val="continue"/>
            <w:vAlign w:val="center"/>
          </w:tcPr>
          <w:p w14:paraId="6016D034">
            <w:pPr>
              <w:pStyle w:val="48"/>
              <w:spacing w:line="360" w:lineRule="auto"/>
              <w:jc w:val="center"/>
              <w:rPr>
                <w:rFonts w:hAnsi="宋体"/>
                <w:color w:val="auto"/>
                <w:szCs w:val="24"/>
                <w:highlight w:val="none"/>
              </w:rPr>
            </w:pPr>
          </w:p>
        </w:tc>
        <w:tc>
          <w:tcPr>
            <w:tcW w:w="560" w:type="dxa"/>
            <w:vMerge w:val="continue"/>
            <w:vAlign w:val="center"/>
          </w:tcPr>
          <w:p w14:paraId="68BFF440">
            <w:pPr>
              <w:pStyle w:val="48"/>
              <w:spacing w:line="360" w:lineRule="auto"/>
              <w:jc w:val="center"/>
              <w:rPr>
                <w:rFonts w:hAnsi="宋体"/>
                <w:color w:val="auto"/>
                <w:szCs w:val="24"/>
                <w:highlight w:val="none"/>
              </w:rPr>
            </w:pPr>
          </w:p>
        </w:tc>
        <w:tc>
          <w:tcPr>
            <w:tcW w:w="960" w:type="dxa"/>
            <w:vMerge w:val="continue"/>
            <w:vAlign w:val="center"/>
          </w:tcPr>
          <w:p w14:paraId="4A20C400">
            <w:pPr>
              <w:pStyle w:val="48"/>
              <w:adjustRightInd/>
              <w:snapToGrid w:val="0"/>
              <w:jc w:val="center"/>
              <w:rPr>
                <w:rFonts w:hAnsi="宋体"/>
                <w:color w:val="auto"/>
                <w:szCs w:val="24"/>
                <w:highlight w:val="none"/>
              </w:rPr>
            </w:pPr>
          </w:p>
        </w:tc>
        <w:tc>
          <w:tcPr>
            <w:tcW w:w="2217" w:type="dxa"/>
            <w:vAlign w:val="center"/>
          </w:tcPr>
          <w:p w14:paraId="2FFD3A2C">
            <w:pPr>
              <w:snapToGrid w:val="0"/>
              <w:spacing w:line="240" w:lineRule="auto"/>
              <w:jc w:val="center"/>
              <w:rPr>
                <w:rFonts w:ascii="宋体"/>
                <w:color w:val="auto"/>
                <w:sz w:val="24"/>
                <w:highlight w:val="none"/>
              </w:rPr>
            </w:pPr>
            <w:r>
              <w:rPr>
                <w:rFonts w:hint="eastAsia" w:ascii="宋体" w:hAnsi="宋体"/>
                <w:color w:val="auto"/>
                <w:sz w:val="24"/>
                <w:highlight w:val="none"/>
              </w:rPr>
              <w:t>谈判文件总体响应</w:t>
            </w:r>
          </w:p>
        </w:tc>
        <w:tc>
          <w:tcPr>
            <w:tcW w:w="5736" w:type="dxa"/>
            <w:vAlign w:val="center"/>
          </w:tcPr>
          <w:p w14:paraId="1C51F840">
            <w:pPr>
              <w:autoSpaceDE w:val="0"/>
              <w:autoSpaceDN w:val="0"/>
              <w:snapToGrid w:val="0"/>
              <w:spacing w:line="240" w:lineRule="auto"/>
              <w:rPr>
                <w:rFonts w:ascii="宋体"/>
                <w:color w:val="auto"/>
                <w:sz w:val="24"/>
                <w:highlight w:val="none"/>
              </w:rPr>
            </w:pPr>
            <w:r>
              <w:rPr>
                <w:rFonts w:hint="eastAsia" w:ascii="宋体" w:hAnsi="宋体"/>
                <w:color w:val="auto"/>
                <w:sz w:val="24"/>
                <w:highlight w:val="none"/>
              </w:rPr>
              <w:t>符合第三章“投标人须知”</w:t>
            </w:r>
            <w:r>
              <w:rPr>
                <w:rFonts w:ascii="宋体" w:hAnsi="宋体"/>
                <w:color w:val="auto"/>
                <w:sz w:val="24"/>
                <w:highlight w:val="none"/>
              </w:rPr>
              <w:t>1.3</w:t>
            </w:r>
            <w:r>
              <w:rPr>
                <w:rFonts w:hint="eastAsia" w:ascii="宋体" w:hAnsi="宋体"/>
                <w:color w:val="auto"/>
                <w:sz w:val="24"/>
                <w:highlight w:val="none"/>
              </w:rPr>
              <w:t>项规定</w:t>
            </w:r>
          </w:p>
        </w:tc>
      </w:tr>
      <w:tr w14:paraId="0E603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jc w:val="center"/>
        </w:trPr>
        <w:tc>
          <w:tcPr>
            <w:tcW w:w="564" w:type="dxa"/>
            <w:vMerge w:val="continue"/>
            <w:vAlign w:val="center"/>
          </w:tcPr>
          <w:p w14:paraId="242BC844">
            <w:pPr>
              <w:pStyle w:val="48"/>
              <w:spacing w:line="360" w:lineRule="auto"/>
              <w:jc w:val="center"/>
              <w:rPr>
                <w:rFonts w:hAnsi="宋体"/>
                <w:color w:val="auto"/>
                <w:szCs w:val="24"/>
                <w:highlight w:val="none"/>
              </w:rPr>
            </w:pPr>
          </w:p>
        </w:tc>
        <w:tc>
          <w:tcPr>
            <w:tcW w:w="560" w:type="dxa"/>
            <w:vMerge w:val="continue"/>
            <w:vAlign w:val="center"/>
          </w:tcPr>
          <w:p w14:paraId="1E081766">
            <w:pPr>
              <w:pStyle w:val="48"/>
              <w:spacing w:line="360" w:lineRule="auto"/>
              <w:jc w:val="center"/>
              <w:rPr>
                <w:rFonts w:hAnsi="宋体"/>
                <w:color w:val="auto"/>
                <w:szCs w:val="24"/>
                <w:highlight w:val="none"/>
              </w:rPr>
            </w:pPr>
          </w:p>
        </w:tc>
        <w:tc>
          <w:tcPr>
            <w:tcW w:w="960" w:type="dxa"/>
            <w:vMerge w:val="continue"/>
            <w:vAlign w:val="center"/>
          </w:tcPr>
          <w:p w14:paraId="2DB29973">
            <w:pPr>
              <w:snapToGrid w:val="0"/>
              <w:spacing w:line="240" w:lineRule="auto"/>
              <w:jc w:val="center"/>
              <w:rPr>
                <w:rFonts w:ascii="宋体"/>
                <w:color w:val="auto"/>
                <w:sz w:val="24"/>
                <w:highlight w:val="none"/>
              </w:rPr>
            </w:pPr>
          </w:p>
        </w:tc>
        <w:tc>
          <w:tcPr>
            <w:tcW w:w="2217" w:type="dxa"/>
            <w:vAlign w:val="center"/>
          </w:tcPr>
          <w:p w14:paraId="44BBE004">
            <w:pPr>
              <w:snapToGrid w:val="0"/>
              <w:spacing w:line="240" w:lineRule="auto"/>
              <w:jc w:val="center"/>
              <w:rPr>
                <w:rFonts w:ascii="宋体" w:hAnsi="宋体"/>
                <w:color w:val="auto"/>
                <w:sz w:val="24"/>
                <w:szCs w:val="24"/>
                <w:highlight w:val="none"/>
              </w:rPr>
            </w:pPr>
            <w:r>
              <w:rPr>
                <w:rFonts w:hint="eastAsia" w:ascii="宋体" w:hAnsi="宋体"/>
                <w:color w:val="auto"/>
                <w:sz w:val="24"/>
                <w:szCs w:val="24"/>
                <w:highlight w:val="none"/>
              </w:rPr>
              <w:t>其他</w:t>
            </w:r>
          </w:p>
        </w:tc>
        <w:tc>
          <w:tcPr>
            <w:tcW w:w="5736" w:type="dxa"/>
            <w:vAlign w:val="center"/>
          </w:tcPr>
          <w:p w14:paraId="4862250F">
            <w:pPr>
              <w:autoSpaceDE w:val="0"/>
              <w:autoSpaceDN w:val="0"/>
              <w:snapToGrid w:val="0"/>
              <w:spacing w:line="240" w:lineRule="auto"/>
              <w:rPr>
                <w:rFonts w:ascii="宋体" w:hAnsi="宋体"/>
                <w:color w:val="auto"/>
                <w:sz w:val="24"/>
                <w:szCs w:val="24"/>
                <w:highlight w:val="none"/>
              </w:rPr>
            </w:pPr>
            <w:r>
              <w:rPr>
                <w:rFonts w:hint="eastAsia" w:ascii="宋体" w:hAnsi="宋体"/>
                <w:color w:val="auto"/>
                <w:sz w:val="24"/>
                <w:szCs w:val="24"/>
                <w:highlight w:val="none"/>
              </w:rPr>
              <w:t>如涉及台式计算机、便携式计算机、一体式计算机、工作站、通用服务器、操作系统、数据库的，符合第六章14-2附件要求。</w:t>
            </w:r>
          </w:p>
        </w:tc>
      </w:tr>
      <w:tr w14:paraId="4FF30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564" w:type="dxa"/>
            <w:vAlign w:val="center"/>
          </w:tcPr>
          <w:p w14:paraId="52F0DD5A">
            <w:pPr>
              <w:pStyle w:val="48"/>
              <w:spacing w:line="360" w:lineRule="auto"/>
              <w:ind w:right="-155" w:rightChars="-74"/>
              <w:jc w:val="center"/>
              <w:rPr>
                <w:rFonts w:hAnsi="宋体"/>
                <w:color w:val="auto"/>
                <w:szCs w:val="24"/>
                <w:highlight w:val="none"/>
              </w:rPr>
            </w:pPr>
            <w:r>
              <w:rPr>
                <w:rFonts w:hAnsi="宋体"/>
                <w:color w:val="auto"/>
                <w:szCs w:val="24"/>
                <w:highlight w:val="none"/>
              </w:rPr>
              <w:t>2.2</w:t>
            </w:r>
          </w:p>
        </w:tc>
        <w:tc>
          <w:tcPr>
            <w:tcW w:w="560" w:type="dxa"/>
            <w:vAlign w:val="center"/>
          </w:tcPr>
          <w:p w14:paraId="57CD3949">
            <w:pPr>
              <w:pStyle w:val="48"/>
              <w:jc w:val="center"/>
              <w:rPr>
                <w:rFonts w:hAnsi="宋体"/>
                <w:color w:val="auto"/>
                <w:szCs w:val="24"/>
                <w:highlight w:val="none"/>
              </w:rPr>
            </w:pPr>
            <w:r>
              <w:rPr>
                <w:rFonts w:hint="eastAsia" w:hAnsi="宋体"/>
                <w:color w:val="auto"/>
                <w:szCs w:val="24"/>
                <w:highlight w:val="none"/>
              </w:rPr>
              <w:t>详细评审</w:t>
            </w:r>
          </w:p>
        </w:tc>
        <w:tc>
          <w:tcPr>
            <w:tcW w:w="3177" w:type="dxa"/>
            <w:gridSpan w:val="2"/>
            <w:vAlign w:val="center"/>
          </w:tcPr>
          <w:p w14:paraId="2422A546">
            <w:pPr>
              <w:pStyle w:val="48"/>
              <w:adjustRightInd/>
              <w:snapToGrid w:val="0"/>
              <w:jc w:val="center"/>
              <w:rPr>
                <w:rFonts w:hAnsi="宋体"/>
                <w:color w:val="auto"/>
                <w:szCs w:val="24"/>
                <w:highlight w:val="none"/>
              </w:rPr>
            </w:pPr>
            <w:r>
              <w:rPr>
                <w:rFonts w:hint="eastAsia" w:hAnsi="宋体"/>
                <w:color w:val="auto"/>
                <w:szCs w:val="24"/>
                <w:highlight w:val="none"/>
              </w:rPr>
              <w:t>小微企业价格扣除</w:t>
            </w:r>
          </w:p>
        </w:tc>
        <w:tc>
          <w:tcPr>
            <w:tcW w:w="5736" w:type="dxa"/>
            <w:vAlign w:val="center"/>
          </w:tcPr>
          <w:p w14:paraId="31519DFB">
            <w:pPr>
              <w:pStyle w:val="48"/>
              <w:adjustRightInd/>
              <w:snapToGrid w:val="0"/>
              <w:jc w:val="both"/>
              <w:rPr>
                <w:rFonts w:hAnsi="宋体"/>
                <w:color w:val="auto"/>
                <w:szCs w:val="24"/>
                <w:highlight w:val="none"/>
              </w:rPr>
            </w:pPr>
            <w:r>
              <w:rPr>
                <w:rFonts w:hint="eastAsia" w:hAnsi="宋体"/>
                <w:color w:val="auto"/>
                <w:szCs w:val="24"/>
                <w:highlight w:val="none"/>
              </w:rPr>
              <w:t>按照第四章“评审办法”第</w:t>
            </w:r>
            <w:r>
              <w:rPr>
                <w:rFonts w:hAnsi="宋体"/>
                <w:color w:val="auto"/>
                <w:szCs w:val="24"/>
                <w:highlight w:val="none"/>
              </w:rPr>
              <w:t>4</w:t>
            </w:r>
            <w:r>
              <w:rPr>
                <w:rFonts w:hint="eastAsia" w:hAnsi="宋体"/>
                <w:color w:val="auto"/>
                <w:szCs w:val="24"/>
                <w:highlight w:val="none"/>
              </w:rPr>
              <w:t>条规定</w:t>
            </w:r>
          </w:p>
        </w:tc>
      </w:tr>
    </w:tbl>
    <w:p w14:paraId="501AC1BE">
      <w:pPr>
        <w:autoSpaceDE w:val="0"/>
        <w:autoSpaceDN w:val="0"/>
        <w:adjustRightInd w:val="0"/>
        <w:snapToGrid w:val="0"/>
        <w:spacing w:beforeLines="50" w:line="300" w:lineRule="auto"/>
        <w:ind w:firstLine="539"/>
        <w:rPr>
          <w:rFonts w:ascii="宋体" w:cs="楷体_GB2312"/>
          <w:color w:val="auto"/>
          <w:sz w:val="24"/>
          <w:highlight w:val="none"/>
          <w:lang w:val="zh-CN"/>
        </w:rPr>
      </w:pPr>
      <w:r>
        <w:rPr>
          <w:rFonts w:hint="eastAsia" w:ascii="宋体" w:cs="楷体_GB2312"/>
          <w:color w:val="auto"/>
          <w:sz w:val="24"/>
          <w:highlight w:val="none"/>
          <w:lang w:val="zh-CN"/>
        </w:rPr>
        <w:t>注：谈判小组将依据第六章14-3附件“证明材料查询核验工作的清单及要求”对核验证明材料进行形式要件审核。</w:t>
      </w:r>
    </w:p>
    <w:p w14:paraId="6547BD8A">
      <w:pPr>
        <w:spacing w:line="240" w:lineRule="auto"/>
        <w:jc w:val="left"/>
        <w:textAlignment w:val="auto"/>
        <w:rPr>
          <w:rFonts w:ascii="黑体" w:hAnsi="黑体" w:eastAsia="黑体" w:cs="楷体_GB2312"/>
          <w:b/>
          <w:bCs/>
          <w:color w:val="auto"/>
          <w:sz w:val="28"/>
          <w:szCs w:val="28"/>
          <w:highlight w:val="none"/>
          <w:lang w:val="zh-CN"/>
        </w:rPr>
      </w:pPr>
      <w:r>
        <w:rPr>
          <w:rFonts w:ascii="黑体" w:hAnsi="黑体" w:eastAsia="黑体" w:cs="楷体_GB2312"/>
          <w:b/>
          <w:bCs/>
          <w:color w:val="auto"/>
          <w:sz w:val="28"/>
          <w:szCs w:val="28"/>
          <w:highlight w:val="none"/>
          <w:lang w:val="zh-CN"/>
        </w:rPr>
        <w:br w:type="page"/>
      </w:r>
    </w:p>
    <w:p w14:paraId="56AF09E8">
      <w:pPr>
        <w:autoSpaceDE w:val="0"/>
        <w:autoSpaceDN w:val="0"/>
        <w:adjustRightInd w:val="0"/>
        <w:snapToGrid w:val="0"/>
        <w:spacing w:beforeLines="50" w:line="300" w:lineRule="auto"/>
        <w:ind w:firstLine="562" w:firstLineChars="200"/>
        <w:jc w:val="left"/>
        <w:outlineLvl w:val="1"/>
        <w:rPr>
          <w:rFonts w:ascii="黑体" w:hAnsi="黑体" w:eastAsia="黑体" w:cs="楷体_GB2312"/>
          <w:b/>
          <w:bCs/>
          <w:color w:val="auto"/>
          <w:sz w:val="28"/>
          <w:szCs w:val="28"/>
          <w:highlight w:val="none"/>
          <w:lang w:val="zh-CN"/>
        </w:rPr>
      </w:pPr>
      <w:bookmarkStart w:id="43" w:name="_Toc209083643"/>
      <w:r>
        <w:rPr>
          <w:rFonts w:ascii="黑体" w:hAnsi="黑体" w:eastAsia="黑体" w:cs="楷体_GB2312"/>
          <w:b/>
          <w:bCs/>
          <w:color w:val="auto"/>
          <w:sz w:val="28"/>
          <w:szCs w:val="28"/>
          <w:highlight w:val="none"/>
          <w:lang w:val="zh-CN"/>
        </w:rPr>
        <w:t xml:space="preserve">1. </w:t>
      </w:r>
      <w:r>
        <w:rPr>
          <w:rFonts w:hint="eastAsia" w:ascii="黑体" w:hAnsi="黑体" w:eastAsia="黑体" w:cs="楷体_GB2312"/>
          <w:b/>
          <w:bCs/>
          <w:color w:val="auto"/>
          <w:sz w:val="28"/>
          <w:szCs w:val="28"/>
          <w:highlight w:val="none"/>
          <w:lang w:val="zh-CN"/>
        </w:rPr>
        <w:t>评审方法（评定成交的标准）</w:t>
      </w:r>
      <w:bookmarkEnd w:id="43"/>
    </w:p>
    <w:p w14:paraId="5A687422">
      <w:pPr>
        <w:autoSpaceDE w:val="0"/>
        <w:autoSpaceDN w:val="0"/>
        <w:adjustRightInd w:val="0"/>
        <w:snapToGrid w:val="0"/>
        <w:spacing w:beforeLines="50" w:line="300" w:lineRule="auto"/>
        <w:ind w:firstLine="619" w:firstLineChars="257"/>
        <w:jc w:val="left"/>
        <w:rPr>
          <w:rFonts w:ascii="宋体"/>
          <w:b/>
          <w:color w:val="auto"/>
          <w:sz w:val="24"/>
          <w:highlight w:val="none"/>
        </w:rPr>
      </w:pPr>
      <w:r>
        <w:rPr>
          <w:rFonts w:hint="eastAsia"/>
          <w:b/>
          <w:color w:val="auto"/>
          <w:sz w:val="24"/>
          <w:szCs w:val="24"/>
          <w:highlight w:val="none"/>
        </w:rPr>
        <w:t>本次政府采购项目（标段&lt;包&gt;）按照最低评标价法确定成交供应商，即在符合采购需求、提供的产品质量和服务均能满足采购文件规定的实质性要求且最后报价（扣除经评审合格的“价格扣除”，见本章第</w:t>
      </w:r>
      <w:r>
        <w:rPr>
          <w:b/>
          <w:color w:val="auto"/>
          <w:sz w:val="24"/>
          <w:szCs w:val="24"/>
          <w:highlight w:val="none"/>
        </w:rPr>
        <w:t>4</w:t>
      </w:r>
      <w:r>
        <w:rPr>
          <w:rFonts w:hint="eastAsia"/>
          <w:b/>
          <w:color w:val="auto"/>
          <w:sz w:val="24"/>
          <w:szCs w:val="24"/>
          <w:highlight w:val="none"/>
        </w:rPr>
        <w:t>条）最低的原则确定各标段（包）成交供应商。</w:t>
      </w:r>
    </w:p>
    <w:p w14:paraId="2DFE2513">
      <w:pPr>
        <w:autoSpaceDE w:val="0"/>
        <w:autoSpaceDN w:val="0"/>
        <w:adjustRightInd w:val="0"/>
        <w:snapToGrid w:val="0"/>
        <w:spacing w:beforeLines="50" w:line="300" w:lineRule="auto"/>
        <w:ind w:firstLine="616" w:firstLineChars="257"/>
        <w:jc w:val="left"/>
        <w:rPr>
          <w:rFonts w:ascii="宋体"/>
          <w:color w:val="auto"/>
          <w:sz w:val="24"/>
          <w:highlight w:val="none"/>
        </w:rPr>
      </w:pPr>
    </w:p>
    <w:p w14:paraId="5B4FD4A7">
      <w:pPr>
        <w:pStyle w:val="48"/>
        <w:snapToGrid w:val="0"/>
        <w:spacing w:beforeLines="50" w:line="300" w:lineRule="auto"/>
        <w:ind w:firstLine="422" w:firstLineChars="150"/>
        <w:jc w:val="both"/>
        <w:outlineLvl w:val="1"/>
        <w:rPr>
          <w:rFonts w:ascii="黑体" w:hAnsi="黑体" w:eastAsia="黑体" w:cs="楷体_GB2312"/>
          <w:b/>
          <w:bCs/>
          <w:color w:val="auto"/>
          <w:sz w:val="28"/>
          <w:szCs w:val="28"/>
          <w:highlight w:val="none"/>
          <w:u w:color="000000"/>
          <w:lang w:val="zh-CN"/>
        </w:rPr>
      </w:pPr>
      <w:bookmarkStart w:id="44" w:name="_Toc209083644"/>
      <w:r>
        <w:rPr>
          <w:rFonts w:ascii="黑体" w:hAnsi="黑体" w:eastAsia="黑体" w:cs="楷体_GB2312"/>
          <w:b/>
          <w:bCs/>
          <w:color w:val="auto"/>
          <w:sz w:val="28"/>
          <w:szCs w:val="28"/>
          <w:highlight w:val="none"/>
          <w:u w:color="000000"/>
          <w:lang w:val="zh-CN"/>
        </w:rPr>
        <w:t xml:space="preserve">2. </w:t>
      </w:r>
      <w:r>
        <w:rPr>
          <w:rFonts w:hint="eastAsia" w:ascii="黑体" w:hAnsi="黑体" w:eastAsia="黑体" w:cs="楷体_GB2312"/>
          <w:b/>
          <w:bCs/>
          <w:color w:val="auto"/>
          <w:sz w:val="28"/>
          <w:szCs w:val="28"/>
          <w:highlight w:val="none"/>
          <w:u w:color="000000"/>
          <w:lang w:val="zh-CN"/>
        </w:rPr>
        <w:t>评审标准</w:t>
      </w:r>
      <w:bookmarkEnd w:id="44"/>
    </w:p>
    <w:p w14:paraId="5CFBC181">
      <w:pPr>
        <w:autoSpaceDE w:val="0"/>
        <w:autoSpaceDN w:val="0"/>
        <w:adjustRightInd w:val="0"/>
        <w:snapToGrid w:val="0"/>
        <w:spacing w:before="50" w:line="300" w:lineRule="auto"/>
        <w:ind w:firstLine="482" w:firstLineChars="200"/>
        <w:jc w:val="left"/>
        <w:rPr>
          <w:rFonts w:ascii="黑体" w:hAnsi="黑体" w:eastAsia="黑体"/>
          <w:b/>
          <w:color w:val="auto"/>
          <w:sz w:val="24"/>
          <w:highlight w:val="none"/>
        </w:rPr>
      </w:pPr>
      <w:r>
        <w:rPr>
          <w:rFonts w:ascii="黑体" w:hAnsi="黑体" w:eastAsia="黑体"/>
          <w:b/>
          <w:color w:val="auto"/>
          <w:sz w:val="24"/>
          <w:highlight w:val="none"/>
        </w:rPr>
        <w:t xml:space="preserve">2.1 </w:t>
      </w:r>
      <w:r>
        <w:rPr>
          <w:rFonts w:hint="eastAsia" w:ascii="黑体" w:hAnsi="黑体" w:eastAsia="黑体"/>
          <w:b/>
          <w:color w:val="auto"/>
          <w:sz w:val="24"/>
          <w:highlight w:val="none"/>
        </w:rPr>
        <w:t>初步评审标准</w:t>
      </w:r>
    </w:p>
    <w:p w14:paraId="442C3831">
      <w:pPr>
        <w:autoSpaceDE w:val="0"/>
        <w:autoSpaceDN w:val="0"/>
        <w:adjustRightInd w:val="0"/>
        <w:snapToGrid w:val="0"/>
        <w:spacing w:before="50" w:line="300" w:lineRule="auto"/>
        <w:ind w:firstLine="480" w:firstLineChars="200"/>
        <w:jc w:val="left"/>
        <w:rPr>
          <w:rFonts w:ascii="宋体"/>
          <w:color w:val="auto"/>
          <w:sz w:val="24"/>
          <w:highlight w:val="none"/>
        </w:rPr>
      </w:pPr>
      <w:r>
        <w:rPr>
          <w:rFonts w:ascii="宋体" w:hAnsi="宋体"/>
          <w:color w:val="auto"/>
          <w:sz w:val="24"/>
          <w:highlight w:val="none"/>
        </w:rPr>
        <w:t xml:space="preserve">2.1.1 </w:t>
      </w:r>
      <w:r>
        <w:rPr>
          <w:rFonts w:hint="eastAsia" w:ascii="宋体" w:hAnsi="宋体"/>
          <w:color w:val="auto"/>
          <w:sz w:val="24"/>
          <w:highlight w:val="none"/>
        </w:rPr>
        <w:t>资格性审查标准：见评审办法前附表。</w:t>
      </w:r>
    </w:p>
    <w:p w14:paraId="56CA410F">
      <w:pPr>
        <w:autoSpaceDE w:val="0"/>
        <w:autoSpaceDN w:val="0"/>
        <w:adjustRightInd w:val="0"/>
        <w:snapToGrid w:val="0"/>
        <w:spacing w:before="50" w:line="300" w:lineRule="auto"/>
        <w:ind w:firstLine="480" w:firstLineChars="200"/>
        <w:jc w:val="left"/>
        <w:rPr>
          <w:rFonts w:ascii="宋体"/>
          <w:color w:val="auto"/>
          <w:sz w:val="24"/>
          <w:highlight w:val="none"/>
        </w:rPr>
      </w:pPr>
      <w:r>
        <w:rPr>
          <w:rFonts w:ascii="宋体" w:hAnsi="宋体"/>
          <w:color w:val="auto"/>
          <w:sz w:val="24"/>
          <w:highlight w:val="none"/>
        </w:rPr>
        <w:t xml:space="preserve">2.1.2 </w:t>
      </w:r>
      <w:r>
        <w:rPr>
          <w:rFonts w:hint="eastAsia" w:ascii="宋体" w:hAnsi="宋体"/>
          <w:color w:val="auto"/>
          <w:sz w:val="24"/>
          <w:highlight w:val="none"/>
        </w:rPr>
        <w:t>符合性审查标准：见评审办法前附表。</w:t>
      </w:r>
    </w:p>
    <w:p w14:paraId="3F7FC33B">
      <w:pPr>
        <w:autoSpaceDE w:val="0"/>
        <w:autoSpaceDN w:val="0"/>
        <w:adjustRightInd w:val="0"/>
        <w:snapToGrid w:val="0"/>
        <w:spacing w:before="50" w:line="300" w:lineRule="auto"/>
        <w:ind w:firstLine="482" w:firstLineChars="200"/>
        <w:jc w:val="left"/>
        <w:rPr>
          <w:rFonts w:ascii="黑体" w:hAnsi="黑体" w:eastAsia="黑体"/>
          <w:b/>
          <w:color w:val="auto"/>
          <w:sz w:val="24"/>
          <w:highlight w:val="none"/>
        </w:rPr>
      </w:pPr>
      <w:r>
        <w:rPr>
          <w:rFonts w:ascii="黑体" w:hAnsi="黑体" w:eastAsia="黑体"/>
          <w:b/>
          <w:color w:val="auto"/>
          <w:sz w:val="24"/>
          <w:highlight w:val="none"/>
        </w:rPr>
        <w:t xml:space="preserve">2.2 </w:t>
      </w:r>
      <w:r>
        <w:rPr>
          <w:rFonts w:hint="eastAsia" w:ascii="黑体" w:hAnsi="黑体" w:eastAsia="黑体"/>
          <w:b/>
          <w:color w:val="auto"/>
          <w:sz w:val="24"/>
          <w:highlight w:val="none"/>
        </w:rPr>
        <w:t>详细评审标准</w:t>
      </w:r>
      <w:r>
        <w:rPr>
          <w:rFonts w:hint="eastAsia" w:ascii="宋体" w:hAnsi="宋体"/>
          <w:color w:val="auto"/>
          <w:sz w:val="24"/>
          <w:highlight w:val="none"/>
        </w:rPr>
        <w:t>：见评审办法前附表</w:t>
      </w:r>
    </w:p>
    <w:p w14:paraId="38FC3C7D">
      <w:pPr>
        <w:autoSpaceDE w:val="0"/>
        <w:autoSpaceDN w:val="0"/>
        <w:adjustRightInd w:val="0"/>
        <w:snapToGrid w:val="0"/>
        <w:spacing w:beforeLines="50" w:line="300" w:lineRule="auto"/>
        <w:ind w:left="540" w:leftChars="257"/>
        <w:jc w:val="left"/>
        <w:rPr>
          <w:rFonts w:ascii="宋体"/>
          <w:color w:val="auto"/>
          <w:sz w:val="24"/>
          <w:highlight w:val="none"/>
        </w:rPr>
      </w:pPr>
    </w:p>
    <w:p w14:paraId="47CF84A8">
      <w:pPr>
        <w:pStyle w:val="48"/>
        <w:snapToGrid w:val="0"/>
        <w:spacing w:beforeLines="50" w:line="300" w:lineRule="auto"/>
        <w:ind w:firstLine="562" w:firstLineChars="200"/>
        <w:jc w:val="both"/>
        <w:outlineLvl w:val="1"/>
        <w:rPr>
          <w:rFonts w:ascii="黑体" w:hAnsi="黑体" w:eastAsia="黑体" w:cs="楷体_GB2312"/>
          <w:b/>
          <w:bCs/>
          <w:color w:val="auto"/>
          <w:sz w:val="28"/>
          <w:szCs w:val="28"/>
          <w:highlight w:val="none"/>
          <w:u w:color="000000"/>
          <w:lang w:val="zh-CN"/>
        </w:rPr>
      </w:pPr>
      <w:bookmarkStart w:id="45" w:name="_Toc209083645"/>
      <w:r>
        <w:rPr>
          <w:rFonts w:ascii="黑体" w:hAnsi="黑体" w:eastAsia="黑体" w:cs="楷体_GB2312"/>
          <w:b/>
          <w:bCs/>
          <w:color w:val="auto"/>
          <w:sz w:val="28"/>
          <w:szCs w:val="28"/>
          <w:highlight w:val="none"/>
          <w:u w:color="000000"/>
          <w:lang w:val="zh-CN"/>
        </w:rPr>
        <w:t xml:space="preserve">3. </w:t>
      </w:r>
      <w:r>
        <w:rPr>
          <w:rFonts w:hint="eastAsia" w:ascii="黑体" w:hAnsi="黑体" w:eastAsia="黑体" w:cs="楷体_GB2312"/>
          <w:b/>
          <w:bCs/>
          <w:color w:val="auto"/>
          <w:sz w:val="28"/>
          <w:szCs w:val="28"/>
          <w:highlight w:val="none"/>
          <w:u w:color="000000"/>
          <w:lang w:val="zh-CN"/>
        </w:rPr>
        <w:t>评审程序</w:t>
      </w:r>
      <w:bookmarkEnd w:id="45"/>
    </w:p>
    <w:p w14:paraId="202BE3EF">
      <w:pPr>
        <w:autoSpaceDE w:val="0"/>
        <w:autoSpaceDN w:val="0"/>
        <w:adjustRightInd w:val="0"/>
        <w:snapToGrid w:val="0"/>
        <w:spacing w:beforeLines="50" w:line="300" w:lineRule="auto"/>
        <w:ind w:firstLine="482" w:firstLineChars="200"/>
        <w:jc w:val="left"/>
        <w:rPr>
          <w:rFonts w:ascii="黑体" w:hAnsi="黑体" w:eastAsia="黑体"/>
          <w:b/>
          <w:color w:val="auto"/>
          <w:sz w:val="24"/>
          <w:szCs w:val="24"/>
          <w:highlight w:val="none"/>
        </w:rPr>
      </w:pPr>
      <w:r>
        <w:rPr>
          <w:rFonts w:hint="eastAsia" w:ascii="黑体" w:hAnsi="黑体" w:eastAsia="黑体"/>
          <w:b/>
          <w:color w:val="auto"/>
          <w:sz w:val="24"/>
          <w:szCs w:val="24"/>
          <w:highlight w:val="none"/>
        </w:rPr>
        <w:t>谈判小组按标段（包）进行评审</w:t>
      </w:r>
    </w:p>
    <w:p w14:paraId="6B2A1D2C">
      <w:pPr>
        <w:autoSpaceDE w:val="0"/>
        <w:autoSpaceDN w:val="0"/>
        <w:adjustRightInd w:val="0"/>
        <w:snapToGrid w:val="0"/>
        <w:spacing w:beforeLines="50" w:line="300" w:lineRule="auto"/>
        <w:ind w:firstLine="482" w:firstLineChars="200"/>
        <w:jc w:val="left"/>
        <w:rPr>
          <w:rFonts w:ascii="黑体" w:hAnsi="黑体" w:eastAsia="黑体"/>
          <w:b/>
          <w:color w:val="auto"/>
          <w:sz w:val="24"/>
          <w:highlight w:val="none"/>
        </w:rPr>
      </w:pPr>
      <w:r>
        <w:rPr>
          <w:rFonts w:ascii="黑体" w:hAnsi="黑体" w:eastAsia="黑体"/>
          <w:b/>
          <w:color w:val="auto"/>
          <w:sz w:val="24"/>
          <w:highlight w:val="none"/>
        </w:rPr>
        <w:t xml:space="preserve">3.1 </w:t>
      </w:r>
      <w:r>
        <w:rPr>
          <w:rFonts w:hint="eastAsia" w:ascii="黑体" w:hAnsi="黑体" w:eastAsia="黑体"/>
          <w:b/>
          <w:color w:val="auto"/>
          <w:sz w:val="24"/>
          <w:highlight w:val="none"/>
        </w:rPr>
        <w:t>确认谈判文件</w:t>
      </w:r>
    </w:p>
    <w:p w14:paraId="2D653D25">
      <w:pPr>
        <w:pStyle w:val="48"/>
        <w:snapToGrid w:val="0"/>
        <w:spacing w:beforeLines="50" w:line="300" w:lineRule="auto"/>
        <w:ind w:firstLine="480" w:firstLineChars="200"/>
        <w:jc w:val="both"/>
        <w:rPr>
          <w:rFonts w:hAnsi="宋体"/>
          <w:color w:val="auto"/>
          <w:highlight w:val="none"/>
        </w:rPr>
      </w:pPr>
      <w:r>
        <w:rPr>
          <w:rFonts w:hAnsi="宋体"/>
          <w:color w:val="auto"/>
          <w:highlight w:val="none"/>
        </w:rPr>
        <w:t xml:space="preserve">3.1.1 </w:t>
      </w:r>
      <w:r>
        <w:rPr>
          <w:rFonts w:hint="eastAsia" w:hAnsi="宋体"/>
          <w:color w:val="auto"/>
          <w:highlight w:val="none"/>
        </w:rPr>
        <w:t>谈判小组确认谈判文件，谈判文件内容违反国家有关强制性规定的，谈判小组应当停止评审并向采购人或者采购代理机构书面说明情况。</w:t>
      </w:r>
    </w:p>
    <w:p w14:paraId="52823084">
      <w:pPr>
        <w:pStyle w:val="48"/>
        <w:snapToGrid w:val="0"/>
        <w:spacing w:beforeLines="50" w:line="300" w:lineRule="auto"/>
        <w:ind w:firstLine="480" w:firstLineChars="200"/>
        <w:jc w:val="both"/>
        <w:rPr>
          <w:rFonts w:hAnsi="宋体"/>
          <w:color w:val="auto"/>
          <w:highlight w:val="none"/>
        </w:rPr>
      </w:pPr>
      <w:r>
        <w:rPr>
          <w:rFonts w:hAnsi="宋体"/>
          <w:color w:val="auto"/>
          <w:highlight w:val="none"/>
        </w:rPr>
        <w:t xml:space="preserve">3.1.2  </w:t>
      </w:r>
      <w:r>
        <w:rPr>
          <w:rFonts w:hint="eastAsia" w:hAnsi="宋体"/>
          <w:color w:val="auto"/>
          <w:highlight w:val="none"/>
        </w:rPr>
        <w:t>谈判小组</w:t>
      </w:r>
      <w:r>
        <w:rPr>
          <w:rFonts w:hint="eastAsia" w:ascii="??" w:hAnsi="??" w:cs="宋体"/>
          <w:color w:val="auto"/>
          <w:szCs w:val="21"/>
          <w:highlight w:val="none"/>
        </w:rPr>
        <w:t>要求解释</w:t>
      </w:r>
      <w:r>
        <w:rPr>
          <w:rFonts w:hint="eastAsia" w:hAnsi="宋体"/>
          <w:color w:val="auto"/>
          <w:highlight w:val="none"/>
        </w:rPr>
        <w:t>谈判文件的，书面提出需解释的相关谈判文件的具体内容后、由采购代理机构或者采购人进行书面解释。</w:t>
      </w:r>
    </w:p>
    <w:p w14:paraId="467EEF49">
      <w:pPr>
        <w:autoSpaceDE w:val="0"/>
        <w:autoSpaceDN w:val="0"/>
        <w:adjustRightInd w:val="0"/>
        <w:snapToGrid w:val="0"/>
        <w:spacing w:beforeLines="50" w:line="300" w:lineRule="auto"/>
        <w:ind w:firstLine="482" w:firstLineChars="200"/>
        <w:jc w:val="left"/>
        <w:rPr>
          <w:rFonts w:ascii="黑体" w:hAnsi="黑体" w:eastAsia="黑体"/>
          <w:b/>
          <w:color w:val="auto"/>
          <w:sz w:val="24"/>
          <w:highlight w:val="none"/>
        </w:rPr>
      </w:pPr>
      <w:r>
        <w:rPr>
          <w:rFonts w:ascii="黑体" w:hAnsi="黑体" w:eastAsia="黑体"/>
          <w:b/>
          <w:color w:val="auto"/>
          <w:sz w:val="24"/>
          <w:highlight w:val="none"/>
        </w:rPr>
        <w:t>3.2</w:t>
      </w:r>
      <w:r>
        <w:rPr>
          <w:rFonts w:hint="eastAsia" w:ascii="黑体" w:hAnsi="黑体" w:eastAsia="黑体"/>
          <w:b/>
          <w:color w:val="auto"/>
          <w:sz w:val="24"/>
          <w:highlight w:val="none"/>
        </w:rPr>
        <w:t>初步评审</w:t>
      </w:r>
    </w:p>
    <w:p w14:paraId="4F959EBA">
      <w:pPr>
        <w:autoSpaceDE w:val="0"/>
        <w:autoSpaceDN w:val="0"/>
        <w:adjustRightInd w:val="0"/>
        <w:snapToGrid w:val="0"/>
        <w:spacing w:beforeLines="50" w:line="300" w:lineRule="auto"/>
        <w:ind w:firstLine="616" w:firstLineChars="257"/>
        <w:jc w:val="left"/>
        <w:rPr>
          <w:rFonts w:ascii="宋体"/>
          <w:color w:val="auto"/>
          <w:sz w:val="24"/>
          <w:highlight w:val="none"/>
        </w:rPr>
      </w:pPr>
      <w:r>
        <w:rPr>
          <w:rFonts w:ascii="宋体" w:hAnsi="宋体"/>
          <w:color w:val="auto"/>
          <w:sz w:val="24"/>
          <w:highlight w:val="none"/>
        </w:rPr>
        <w:t>3.2.1</w:t>
      </w:r>
      <w:r>
        <w:rPr>
          <w:rFonts w:hint="eastAsia" w:ascii="宋体" w:hAnsi="宋体"/>
          <w:color w:val="auto"/>
          <w:sz w:val="24"/>
          <w:highlight w:val="none"/>
        </w:rPr>
        <w:t>谈判小组依据本章第2.</w:t>
      </w:r>
      <w:r>
        <w:rPr>
          <w:rFonts w:ascii="宋体" w:hAnsi="宋体"/>
          <w:color w:val="auto"/>
          <w:sz w:val="24"/>
          <w:highlight w:val="none"/>
        </w:rPr>
        <w:t>1.1</w:t>
      </w:r>
      <w:r>
        <w:rPr>
          <w:rFonts w:hint="eastAsia" w:ascii="宋体" w:hAnsi="宋体"/>
          <w:color w:val="auto"/>
          <w:sz w:val="24"/>
          <w:highlight w:val="none"/>
        </w:rPr>
        <w:t>、2.</w:t>
      </w:r>
      <w:r>
        <w:rPr>
          <w:rFonts w:ascii="宋体" w:hAnsi="宋体"/>
          <w:color w:val="auto"/>
          <w:sz w:val="24"/>
          <w:highlight w:val="none"/>
        </w:rPr>
        <w:t xml:space="preserve">1.2 </w:t>
      </w:r>
      <w:r>
        <w:rPr>
          <w:rFonts w:hint="eastAsia" w:ascii="宋体" w:hAnsi="宋体"/>
          <w:color w:val="auto"/>
          <w:sz w:val="24"/>
          <w:highlight w:val="none"/>
        </w:rPr>
        <w:t>款规定的标准对投标文件进行资格性、符合性评审。有一项不符合评审标准的，作无效投标处理。</w:t>
      </w:r>
    </w:p>
    <w:p w14:paraId="6C6C8B84">
      <w:pPr>
        <w:autoSpaceDE w:val="0"/>
        <w:autoSpaceDN w:val="0"/>
        <w:adjustRightInd w:val="0"/>
        <w:snapToGrid w:val="0"/>
        <w:spacing w:beforeLines="50" w:line="300" w:lineRule="auto"/>
        <w:ind w:firstLine="616" w:firstLineChars="257"/>
        <w:jc w:val="left"/>
        <w:rPr>
          <w:rFonts w:ascii="宋体"/>
          <w:color w:val="auto"/>
          <w:sz w:val="24"/>
          <w:highlight w:val="none"/>
        </w:rPr>
      </w:pPr>
      <w:r>
        <w:rPr>
          <w:rFonts w:ascii="宋体" w:hAnsi="宋体"/>
          <w:color w:val="auto"/>
          <w:sz w:val="24"/>
          <w:highlight w:val="none"/>
        </w:rPr>
        <w:t xml:space="preserve">3.2.2 </w:t>
      </w:r>
      <w:r>
        <w:rPr>
          <w:rFonts w:hint="eastAsia" w:ascii="宋体" w:hAnsi="宋体"/>
          <w:color w:val="auto"/>
          <w:sz w:val="24"/>
          <w:highlight w:val="none"/>
        </w:rPr>
        <w:t>投标人有以下情形之一的，其投标作无效投标处理：</w:t>
      </w:r>
    </w:p>
    <w:p w14:paraId="68A614F5">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）投标人不符合国家或者谈判文件规定的资格条件；</w:t>
      </w:r>
    </w:p>
    <w:p w14:paraId="769465E7">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）投标人没有按照谈判文件要求提供投标承诺函；</w:t>
      </w:r>
    </w:p>
    <w:p w14:paraId="7D54CC42">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）投标联合体不符合谈判文件规定；</w:t>
      </w:r>
    </w:p>
    <w:p w14:paraId="1A3E35C3">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4</w:t>
      </w:r>
      <w:r>
        <w:rPr>
          <w:rFonts w:hint="eastAsia" w:ascii="宋体" w:hAnsi="宋体"/>
          <w:color w:val="auto"/>
          <w:sz w:val="24"/>
          <w:highlight w:val="none"/>
        </w:rPr>
        <w:t>）投标文件的签字盖章不符合谈判文件规定；</w:t>
      </w:r>
    </w:p>
    <w:p w14:paraId="2F0C6833">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5</w:t>
      </w:r>
      <w:r>
        <w:rPr>
          <w:rFonts w:hint="eastAsia" w:ascii="宋体" w:hAnsi="宋体"/>
          <w:color w:val="auto"/>
          <w:sz w:val="24"/>
          <w:highlight w:val="none"/>
        </w:rPr>
        <w:t>）投标报价高于谈判公告公布的预算金额</w:t>
      </w:r>
      <w:r>
        <w:rPr>
          <w:rFonts w:hint="eastAsia" w:ascii="宋体" w:hAnsi="宋体"/>
          <w:color w:val="auto"/>
          <w:sz w:val="24"/>
          <w:highlight w:val="none"/>
          <w:lang w:val="en-US" w:eastAsia="zh-CN"/>
        </w:rPr>
        <w:t>及</w:t>
      </w:r>
      <w:r>
        <w:rPr>
          <w:rFonts w:hint="eastAsia" w:ascii="宋体" w:hAnsi="宋体"/>
          <w:color w:val="auto"/>
          <w:sz w:val="24"/>
          <w:highlight w:val="none"/>
        </w:rPr>
        <w:t>标段（包）内容中最高限价；</w:t>
      </w:r>
    </w:p>
    <w:p w14:paraId="707A9A37">
      <w:pPr>
        <w:autoSpaceDE w:val="0"/>
        <w:autoSpaceDN w:val="0"/>
        <w:adjustRightInd w:val="0"/>
        <w:snapToGrid w:val="0"/>
        <w:spacing w:line="300" w:lineRule="auto"/>
        <w:ind w:firstLine="616" w:firstLineChars="257"/>
        <w:jc w:val="left"/>
        <w:rPr>
          <w:rFonts w:hint="eastAsia" w:ascii="宋体" w:eastAsia="宋体"/>
          <w:color w:val="auto"/>
          <w:sz w:val="24"/>
          <w:highlight w:val="none"/>
          <w:lang w:eastAsia="zh-CN"/>
        </w:rPr>
      </w:pPr>
      <w:r>
        <w:rPr>
          <w:rFonts w:hint="eastAsia" w:ascii="宋体" w:hAnsi="宋体"/>
          <w:color w:val="auto"/>
          <w:sz w:val="24"/>
          <w:highlight w:val="none"/>
        </w:rPr>
        <w:t>（</w:t>
      </w:r>
      <w:r>
        <w:rPr>
          <w:rFonts w:ascii="宋体" w:hAnsi="宋体"/>
          <w:color w:val="auto"/>
          <w:sz w:val="24"/>
          <w:highlight w:val="none"/>
        </w:rPr>
        <w:t>6</w:t>
      </w:r>
      <w:r>
        <w:rPr>
          <w:rFonts w:hint="eastAsia" w:ascii="宋体" w:hAnsi="宋体"/>
          <w:color w:val="auto"/>
          <w:sz w:val="24"/>
          <w:highlight w:val="none"/>
        </w:rPr>
        <w:t>）同一投标人提交两个以上不同的投标文件（响应文件）或者投标报价，投标文件（响应文件）的每种报价有两个报价或其他选择性报价的</w:t>
      </w:r>
      <w:r>
        <w:rPr>
          <w:rFonts w:hint="eastAsia" w:ascii="宋体" w:hAnsi="宋体"/>
          <w:color w:val="auto"/>
          <w:sz w:val="24"/>
          <w:highlight w:val="none"/>
          <w:lang w:eastAsia="zh-CN"/>
        </w:rPr>
        <w:t>；</w:t>
      </w:r>
    </w:p>
    <w:p w14:paraId="2C8E22D0">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7</w:t>
      </w:r>
      <w:r>
        <w:rPr>
          <w:rFonts w:hint="eastAsia" w:ascii="宋体" w:hAnsi="宋体"/>
          <w:color w:val="auto"/>
          <w:sz w:val="24"/>
          <w:highlight w:val="none"/>
        </w:rPr>
        <w:t>）投标文件（响应文件）没有对谈判文件的实质性要求和条件作出实质性响应，或不符合谈判文件的实质性要求和条件；</w:t>
      </w:r>
    </w:p>
    <w:p w14:paraId="75C60EFD">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8</w:t>
      </w:r>
      <w:r>
        <w:rPr>
          <w:rFonts w:hint="eastAsia" w:ascii="宋体" w:hAnsi="宋体"/>
          <w:color w:val="auto"/>
          <w:sz w:val="24"/>
          <w:highlight w:val="none"/>
        </w:rPr>
        <w:t>）投标文件（响应文件）附有采购项目不能接受的条件或不符合国家强制性规定的；</w:t>
      </w:r>
    </w:p>
    <w:p w14:paraId="749705B1">
      <w:pPr>
        <w:autoSpaceDE w:val="0"/>
        <w:autoSpaceDN w:val="0"/>
        <w:adjustRightInd w:val="0"/>
        <w:snapToGrid w:val="0"/>
        <w:spacing w:line="300" w:lineRule="auto"/>
        <w:ind w:firstLine="616" w:firstLineChars="257"/>
        <w:jc w:val="left"/>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9</w:t>
      </w:r>
      <w:r>
        <w:rPr>
          <w:rFonts w:hint="eastAsia" w:ascii="宋体" w:hAnsi="宋体"/>
          <w:color w:val="auto"/>
          <w:sz w:val="24"/>
          <w:highlight w:val="none"/>
        </w:rPr>
        <w:t>）单位负责人为同一人或者存在控股、管理关系的不同单位，参加同一项目（标段</w:t>
      </w:r>
      <w:r>
        <w:rPr>
          <w:rFonts w:hint="eastAsia" w:ascii="宋体" w:hAnsi="宋体" w:cs="楷体_GB2312"/>
          <w:color w:val="auto"/>
          <w:sz w:val="24"/>
          <w:highlight w:val="none"/>
          <w:lang w:val="zh-CN"/>
        </w:rPr>
        <w:t>&lt;包&gt;</w:t>
      </w:r>
      <w:r>
        <w:rPr>
          <w:rFonts w:hint="eastAsia" w:ascii="宋体" w:hAnsi="宋体"/>
          <w:color w:val="auto"/>
          <w:sz w:val="24"/>
          <w:highlight w:val="none"/>
        </w:rPr>
        <w:t>）投标的；</w:t>
      </w:r>
    </w:p>
    <w:p w14:paraId="1DCA8888">
      <w:pPr>
        <w:autoSpaceDE w:val="0"/>
        <w:autoSpaceDN w:val="0"/>
        <w:adjustRightInd w:val="0"/>
        <w:snapToGrid w:val="0"/>
        <w:spacing w:line="300" w:lineRule="auto"/>
        <w:ind w:firstLine="616" w:firstLineChars="257"/>
        <w:jc w:val="left"/>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10</w:t>
      </w:r>
      <w:r>
        <w:rPr>
          <w:rFonts w:hint="eastAsia" w:ascii="宋体" w:hAnsi="宋体"/>
          <w:color w:val="auto"/>
          <w:sz w:val="24"/>
          <w:highlight w:val="none"/>
        </w:rPr>
        <w:t>）为采购项目提供整体设计、规范编制或者项目管理、监理、检测等服务的供应商，不得再参加该采购项目的其他采购活动。</w:t>
      </w:r>
    </w:p>
    <w:p w14:paraId="5480C8CC">
      <w:pPr>
        <w:autoSpaceDE w:val="0"/>
        <w:autoSpaceDN w:val="0"/>
        <w:adjustRightInd w:val="0"/>
        <w:snapToGrid w:val="0"/>
        <w:spacing w:beforeLines="50" w:line="300" w:lineRule="auto"/>
        <w:ind w:firstLine="566" w:firstLineChars="236"/>
        <w:jc w:val="left"/>
        <w:rPr>
          <w:rFonts w:ascii="宋体" w:hAnsi="宋体"/>
          <w:color w:val="auto"/>
          <w:sz w:val="24"/>
          <w:highlight w:val="none"/>
        </w:rPr>
      </w:pPr>
      <w:r>
        <w:rPr>
          <w:rFonts w:hint="eastAsia" w:ascii="宋体" w:hAnsi="宋体"/>
          <w:color w:val="auto"/>
          <w:sz w:val="24"/>
          <w:highlight w:val="none"/>
        </w:rPr>
        <w:t>（11）组成联合体或者接受分包的小微企业与联合体内其他企业、分包企业之间存在直接控股、管理关系的。</w:t>
      </w:r>
    </w:p>
    <w:p w14:paraId="6DC00579">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2）提供虚假材料谋取中标（成交）的；</w:t>
      </w:r>
    </w:p>
    <w:p w14:paraId="4FB6FCCD">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3）投标人有串通投标、行贿等违法行为。其中，有下列情形之一的，视为投标人相互串通投标：</w:t>
      </w:r>
    </w:p>
    <w:p w14:paraId="43F93E00">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hAnsi="宋体"/>
          <w:color w:val="auto"/>
          <w:sz w:val="24"/>
          <w:highlight w:val="none"/>
        </w:rPr>
        <w:t>◆不同投标人的投标文件由同一单位或者个人编制；</w:t>
      </w:r>
    </w:p>
    <w:p w14:paraId="25926FE0">
      <w:pPr>
        <w:autoSpaceDE w:val="0"/>
        <w:autoSpaceDN w:val="0"/>
        <w:adjustRightInd w:val="0"/>
        <w:snapToGrid w:val="0"/>
        <w:spacing w:line="300" w:lineRule="auto"/>
        <w:ind w:firstLine="616" w:firstLineChars="257"/>
        <w:jc w:val="left"/>
        <w:rPr>
          <w:rFonts w:ascii="宋体"/>
          <w:color w:val="auto"/>
          <w:sz w:val="24"/>
          <w:highlight w:val="none"/>
        </w:rPr>
      </w:pPr>
      <w:r>
        <w:rPr>
          <w:rFonts w:ascii="宋体"/>
          <w:color w:val="auto"/>
          <w:sz w:val="24"/>
          <w:highlight w:val="none"/>
        </w:rPr>
        <w:t> </w:t>
      </w:r>
      <w:r>
        <w:rPr>
          <w:rFonts w:hint="eastAsia" w:ascii="宋体" w:hAnsi="宋体"/>
          <w:color w:val="auto"/>
          <w:sz w:val="24"/>
          <w:highlight w:val="none"/>
        </w:rPr>
        <w:t>◆不同投标人委托同一单位或者个人办理投标事宜；</w:t>
      </w:r>
    </w:p>
    <w:p w14:paraId="1714917E">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hAnsi="宋体"/>
          <w:color w:val="auto"/>
          <w:sz w:val="24"/>
          <w:highlight w:val="none"/>
        </w:rPr>
        <w:t>◆不同投标人的投标文件载明的项目管理成员为同一人；</w:t>
      </w:r>
    </w:p>
    <w:p w14:paraId="6700E226">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hAnsi="宋体"/>
          <w:color w:val="auto"/>
          <w:sz w:val="24"/>
          <w:highlight w:val="none"/>
        </w:rPr>
        <w:t>◆不同投标人的投标文件异常一致或者投标报价呈规律性差异；</w:t>
      </w:r>
    </w:p>
    <w:p w14:paraId="5A4FFE11">
      <w:pPr>
        <w:autoSpaceDE w:val="0"/>
        <w:autoSpaceDN w:val="0"/>
        <w:adjustRightInd w:val="0"/>
        <w:snapToGrid w:val="0"/>
        <w:spacing w:line="300" w:lineRule="auto"/>
        <w:ind w:firstLine="616" w:firstLineChars="257"/>
        <w:jc w:val="left"/>
        <w:rPr>
          <w:rFonts w:ascii="宋体" w:hAnsi="宋体"/>
          <w:color w:val="auto"/>
          <w:sz w:val="24"/>
          <w:highlight w:val="none"/>
        </w:rPr>
      </w:pPr>
      <w:r>
        <w:rPr>
          <w:rFonts w:hint="eastAsia" w:ascii="宋体" w:hAnsi="宋体"/>
          <w:color w:val="auto"/>
          <w:sz w:val="24"/>
          <w:highlight w:val="none"/>
        </w:rPr>
        <w:t>◆不同投标人的投标文件相互混装。</w:t>
      </w:r>
    </w:p>
    <w:p w14:paraId="2E793F2D">
      <w:pPr>
        <w:autoSpaceDE w:val="0"/>
        <w:autoSpaceDN w:val="0"/>
        <w:adjustRightInd w:val="0"/>
        <w:snapToGrid w:val="0"/>
        <w:spacing w:line="300" w:lineRule="auto"/>
        <w:ind w:firstLine="616" w:firstLineChars="257"/>
        <w:jc w:val="left"/>
        <w:rPr>
          <w:rFonts w:ascii="宋体" w:hAnsi="宋体"/>
          <w:color w:val="auto"/>
          <w:sz w:val="24"/>
          <w:highlight w:val="none"/>
        </w:rPr>
      </w:pPr>
      <w:r>
        <w:rPr>
          <w:rFonts w:hint="eastAsia" w:ascii="宋体" w:hAnsi="宋体"/>
          <w:color w:val="auto"/>
          <w:sz w:val="24"/>
          <w:highlight w:val="none"/>
        </w:rPr>
        <w:t>（14）根据豫财购〔2021〕6号文件，参与同一个标段(包)的供应商存在下列情形之一的，其投标(响应)文件无效:</w:t>
      </w:r>
    </w:p>
    <w:p w14:paraId="75207CA5">
      <w:pPr>
        <w:autoSpaceDE w:val="0"/>
        <w:autoSpaceDN w:val="0"/>
        <w:adjustRightInd w:val="0"/>
        <w:snapToGrid w:val="0"/>
        <w:spacing w:line="300" w:lineRule="auto"/>
        <w:ind w:firstLine="616" w:firstLineChars="257"/>
        <w:jc w:val="left"/>
        <w:rPr>
          <w:rFonts w:ascii="宋体" w:hAnsi="宋体"/>
          <w:color w:val="auto"/>
          <w:sz w:val="24"/>
          <w:highlight w:val="none"/>
        </w:rPr>
      </w:pPr>
      <w:r>
        <w:rPr>
          <w:rFonts w:hint="eastAsia" w:ascii="宋体" w:hAnsi="宋体"/>
          <w:color w:val="auto"/>
          <w:sz w:val="24"/>
          <w:highlight w:val="none"/>
        </w:rPr>
        <w:t>◆不同供应商的电子投标(响应)文件上传计算机的网卡MAC地址、CPU序列号和硬盘序列号等硬件信息相同的；</w:t>
      </w:r>
    </w:p>
    <w:p w14:paraId="20F1497C">
      <w:pPr>
        <w:autoSpaceDE w:val="0"/>
        <w:autoSpaceDN w:val="0"/>
        <w:adjustRightInd w:val="0"/>
        <w:snapToGrid w:val="0"/>
        <w:spacing w:line="300" w:lineRule="auto"/>
        <w:ind w:firstLine="616" w:firstLineChars="257"/>
        <w:jc w:val="left"/>
        <w:rPr>
          <w:rFonts w:ascii="宋体" w:hAnsi="宋体"/>
          <w:color w:val="auto"/>
          <w:sz w:val="24"/>
          <w:highlight w:val="none"/>
        </w:rPr>
      </w:pPr>
      <w:r>
        <w:rPr>
          <w:rFonts w:hint="eastAsia" w:ascii="宋体" w:hAnsi="宋体"/>
          <w:color w:val="auto"/>
          <w:sz w:val="24"/>
          <w:highlight w:val="none"/>
        </w:rPr>
        <w:t>◆不同供应商的投标(响应)文件由同一电子设备编制、打印加密或者上传；</w:t>
      </w:r>
    </w:p>
    <w:p w14:paraId="72208E49">
      <w:pPr>
        <w:autoSpaceDE w:val="0"/>
        <w:autoSpaceDN w:val="0"/>
        <w:adjustRightInd w:val="0"/>
        <w:snapToGrid w:val="0"/>
        <w:spacing w:line="300" w:lineRule="auto"/>
        <w:ind w:firstLine="616" w:firstLineChars="257"/>
        <w:jc w:val="left"/>
        <w:rPr>
          <w:rFonts w:ascii="宋体" w:hAnsi="宋体"/>
          <w:color w:val="auto"/>
          <w:sz w:val="24"/>
          <w:highlight w:val="none"/>
        </w:rPr>
      </w:pPr>
      <w:r>
        <w:rPr>
          <w:rFonts w:hint="eastAsia" w:ascii="宋体" w:hAnsi="宋体"/>
          <w:color w:val="auto"/>
          <w:sz w:val="24"/>
          <w:highlight w:val="none"/>
        </w:rPr>
        <w:t>◆不同供应商的投标(响应)文件由同一电子设备打印、复印；</w:t>
      </w:r>
    </w:p>
    <w:p w14:paraId="3B625E61">
      <w:pPr>
        <w:autoSpaceDE w:val="0"/>
        <w:autoSpaceDN w:val="0"/>
        <w:adjustRightInd w:val="0"/>
        <w:snapToGrid w:val="0"/>
        <w:spacing w:line="300" w:lineRule="auto"/>
        <w:ind w:firstLine="616" w:firstLineChars="257"/>
        <w:jc w:val="left"/>
        <w:rPr>
          <w:rFonts w:ascii="宋体" w:hAnsi="宋体"/>
          <w:color w:val="auto"/>
          <w:sz w:val="24"/>
          <w:highlight w:val="none"/>
        </w:rPr>
      </w:pPr>
      <w:r>
        <w:rPr>
          <w:rFonts w:hint="eastAsia" w:ascii="宋体" w:hAnsi="宋体"/>
          <w:color w:val="auto"/>
          <w:sz w:val="24"/>
          <w:highlight w:val="none"/>
        </w:rPr>
        <w:t>◆不同供应商的投标(响应)文件由同一人送达或者分发，或者不同供应商联系人为同一人或不同联系人的联系电话一致的；</w:t>
      </w:r>
    </w:p>
    <w:p w14:paraId="01252829">
      <w:pPr>
        <w:autoSpaceDE w:val="0"/>
        <w:autoSpaceDN w:val="0"/>
        <w:adjustRightInd w:val="0"/>
        <w:snapToGrid w:val="0"/>
        <w:spacing w:line="300" w:lineRule="auto"/>
        <w:ind w:firstLine="616" w:firstLineChars="257"/>
        <w:jc w:val="left"/>
        <w:rPr>
          <w:rFonts w:ascii="宋体" w:hAnsi="宋体"/>
          <w:color w:val="auto"/>
          <w:sz w:val="24"/>
          <w:highlight w:val="none"/>
        </w:rPr>
      </w:pPr>
      <w:r>
        <w:rPr>
          <w:rFonts w:hint="eastAsia" w:ascii="宋体" w:hAnsi="宋体"/>
          <w:color w:val="auto"/>
          <w:sz w:val="24"/>
          <w:highlight w:val="none"/>
        </w:rPr>
        <w:t>◆不同供应商的投标(响应)文件的内容存在两处以上细节错误一致；</w:t>
      </w:r>
    </w:p>
    <w:p w14:paraId="77C550F3">
      <w:pPr>
        <w:autoSpaceDE w:val="0"/>
        <w:autoSpaceDN w:val="0"/>
        <w:adjustRightInd w:val="0"/>
        <w:snapToGrid w:val="0"/>
        <w:spacing w:line="300" w:lineRule="auto"/>
        <w:ind w:firstLine="616" w:firstLineChars="257"/>
        <w:jc w:val="left"/>
        <w:rPr>
          <w:rFonts w:ascii="宋体" w:hAnsi="宋体"/>
          <w:color w:val="auto"/>
          <w:sz w:val="24"/>
          <w:highlight w:val="none"/>
        </w:rPr>
      </w:pPr>
      <w:r>
        <w:rPr>
          <w:rFonts w:hint="eastAsia" w:ascii="宋体" w:hAnsi="宋体"/>
          <w:color w:val="auto"/>
          <w:sz w:val="24"/>
          <w:highlight w:val="none"/>
        </w:rPr>
        <w:t>◆不同供应商的法定代表人、委托代理人、项目经理、项目负责人等由同一个单位缴纳社会保险或者领取报酬的；</w:t>
      </w:r>
    </w:p>
    <w:p w14:paraId="0BA17316">
      <w:pPr>
        <w:autoSpaceDE w:val="0"/>
        <w:autoSpaceDN w:val="0"/>
        <w:adjustRightInd w:val="0"/>
        <w:snapToGrid w:val="0"/>
        <w:spacing w:line="300" w:lineRule="auto"/>
        <w:ind w:firstLine="616" w:firstLineChars="257"/>
        <w:jc w:val="left"/>
        <w:rPr>
          <w:rFonts w:ascii="宋体" w:hAnsi="宋体"/>
          <w:color w:val="auto"/>
          <w:sz w:val="24"/>
          <w:highlight w:val="none"/>
        </w:rPr>
      </w:pPr>
      <w:r>
        <w:rPr>
          <w:rFonts w:hint="eastAsia" w:ascii="宋体" w:hAnsi="宋体"/>
          <w:color w:val="auto"/>
          <w:sz w:val="24"/>
          <w:highlight w:val="none"/>
        </w:rPr>
        <w:t>◆不同供应商投标(响应)文件中法定代表人或者负责人签字出自同一人之手；</w:t>
      </w:r>
    </w:p>
    <w:p w14:paraId="73DD5B8E">
      <w:pPr>
        <w:autoSpaceDE w:val="0"/>
        <w:autoSpaceDN w:val="0"/>
        <w:adjustRightInd w:val="0"/>
        <w:snapToGrid w:val="0"/>
        <w:spacing w:line="300" w:lineRule="auto"/>
        <w:ind w:firstLine="616" w:firstLineChars="257"/>
        <w:jc w:val="left"/>
        <w:rPr>
          <w:rFonts w:ascii="宋体" w:hAnsi="宋体"/>
          <w:color w:val="auto"/>
          <w:sz w:val="24"/>
          <w:highlight w:val="none"/>
        </w:rPr>
      </w:pPr>
      <w:r>
        <w:rPr>
          <w:rFonts w:hint="eastAsia" w:ascii="宋体" w:hAnsi="宋体"/>
          <w:color w:val="auto"/>
          <w:sz w:val="24"/>
          <w:highlight w:val="none"/>
        </w:rPr>
        <w:t>◆其它涉嫌串通的情形。</w:t>
      </w:r>
    </w:p>
    <w:p w14:paraId="1F3A657D">
      <w:pPr>
        <w:autoSpaceDE w:val="0"/>
        <w:autoSpaceDN w:val="0"/>
        <w:adjustRightInd w:val="0"/>
        <w:snapToGrid w:val="0"/>
        <w:spacing w:line="300" w:lineRule="auto"/>
        <w:ind w:firstLine="616" w:firstLineChars="257"/>
        <w:jc w:val="left"/>
        <w:rPr>
          <w:rFonts w:ascii="宋体" w:hAnsi="宋体"/>
          <w:color w:val="auto"/>
          <w:sz w:val="24"/>
          <w:highlight w:val="none"/>
        </w:rPr>
      </w:pPr>
      <w:r>
        <w:rPr>
          <w:rFonts w:hint="eastAsia" w:ascii="宋体" w:hAnsi="宋体"/>
          <w:color w:val="auto"/>
          <w:sz w:val="24"/>
          <w:highlight w:val="none"/>
        </w:rPr>
        <w:t>(15)不同投标人上传电子投标(响应)文件的IP地址相同，该供应商投标(响应)文件无效。</w:t>
      </w:r>
    </w:p>
    <w:p w14:paraId="5EA31FFB">
      <w:pPr>
        <w:autoSpaceDE w:val="0"/>
        <w:autoSpaceDN w:val="0"/>
        <w:adjustRightInd w:val="0"/>
        <w:snapToGrid w:val="0"/>
        <w:spacing w:line="300" w:lineRule="auto"/>
        <w:ind w:firstLine="616" w:firstLineChars="257"/>
        <w:jc w:val="left"/>
        <w:rPr>
          <w:rFonts w:ascii="宋体" w:hAnsi="宋体"/>
          <w:color w:val="auto"/>
          <w:sz w:val="24"/>
          <w:highlight w:val="none"/>
        </w:rPr>
      </w:pPr>
      <w:r>
        <w:rPr>
          <w:rFonts w:hint="eastAsia" w:ascii="宋体" w:hAnsi="宋体"/>
          <w:color w:val="auto"/>
          <w:sz w:val="24"/>
          <w:highlight w:val="none"/>
        </w:rPr>
        <w:t>(16)据豫财购〔2021〕6号文件精神，工程领域招标投标行政主管部门对供应商串通投标等予以市场禁入的，在本次政府采购活动中，该供应商投标(响应)文件无效。</w:t>
      </w:r>
    </w:p>
    <w:p w14:paraId="7D0E8177">
      <w:pPr>
        <w:autoSpaceDE w:val="0"/>
        <w:autoSpaceDN w:val="0"/>
        <w:adjustRightInd w:val="0"/>
        <w:snapToGrid w:val="0"/>
        <w:spacing w:beforeLines="50" w:line="300" w:lineRule="auto"/>
        <w:ind w:firstLine="539"/>
        <w:rPr>
          <w:rFonts w:ascii="宋体" w:hAnsi="宋体"/>
          <w:color w:val="auto"/>
          <w:sz w:val="24"/>
          <w:highlight w:val="none"/>
        </w:rPr>
      </w:pPr>
      <w:r>
        <w:rPr>
          <w:rFonts w:hint="eastAsia" w:ascii="宋体" w:hAnsi="宋体"/>
          <w:color w:val="auto"/>
          <w:sz w:val="24"/>
          <w:highlight w:val="none"/>
        </w:rPr>
        <w:t>（17）如涉及台式计算机、便携式计算机、一体式计算机、工作站、通用服务器、操作系统、数据库的，不符合第六章14-2附件要求</w:t>
      </w:r>
      <w:r>
        <w:rPr>
          <w:rFonts w:hint="eastAsia" w:ascii="宋体" w:hAnsi="宋体"/>
          <w:color w:val="auto"/>
          <w:sz w:val="24"/>
          <w:szCs w:val="24"/>
          <w:highlight w:val="none"/>
        </w:rPr>
        <w:t>。</w:t>
      </w:r>
    </w:p>
    <w:p w14:paraId="0197D0DE">
      <w:pPr>
        <w:autoSpaceDE w:val="0"/>
        <w:autoSpaceDN w:val="0"/>
        <w:adjustRightInd w:val="0"/>
        <w:snapToGrid w:val="0"/>
        <w:spacing w:beforeLines="50" w:line="300" w:lineRule="auto"/>
        <w:ind w:firstLine="566" w:firstLineChars="236"/>
        <w:jc w:val="left"/>
        <w:rPr>
          <w:rFonts w:ascii="宋体"/>
          <w:color w:val="auto"/>
          <w:sz w:val="24"/>
          <w:highlight w:val="none"/>
        </w:rPr>
      </w:pPr>
      <w:r>
        <w:rPr>
          <w:rFonts w:ascii="宋体" w:hAnsi="宋体"/>
          <w:color w:val="auto"/>
          <w:sz w:val="24"/>
          <w:highlight w:val="none"/>
        </w:rPr>
        <w:t>3.2.3</w:t>
      </w:r>
      <w:r>
        <w:rPr>
          <w:rFonts w:hint="eastAsia" w:ascii="宋体" w:hAnsi="宋体"/>
          <w:b/>
          <w:color w:val="auto"/>
          <w:sz w:val="24"/>
          <w:highlight w:val="none"/>
        </w:rPr>
        <w:t>未实质性响应谈判文件的响应文件按无效处理，谈判小组应当告知有关供应商。</w:t>
      </w:r>
    </w:p>
    <w:p w14:paraId="6C461D40">
      <w:pPr>
        <w:autoSpaceDE w:val="0"/>
        <w:autoSpaceDN w:val="0"/>
        <w:adjustRightInd w:val="0"/>
        <w:snapToGrid w:val="0"/>
        <w:spacing w:beforeLines="50" w:line="300" w:lineRule="auto"/>
        <w:ind w:firstLine="566" w:firstLineChars="236"/>
        <w:jc w:val="left"/>
        <w:rPr>
          <w:rFonts w:ascii="宋体" w:hAnsi="宋体"/>
          <w:b/>
          <w:color w:val="auto"/>
          <w:sz w:val="24"/>
          <w:highlight w:val="none"/>
        </w:rPr>
      </w:pPr>
      <w:r>
        <w:rPr>
          <w:rFonts w:ascii="宋体" w:hAnsi="宋体"/>
          <w:color w:val="auto"/>
          <w:sz w:val="24"/>
          <w:highlight w:val="none"/>
        </w:rPr>
        <w:t>3.2</w:t>
      </w:r>
      <w:r>
        <w:rPr>
          <w:rFonts w:ascii="宋体"/>
          <w:color w:val="auto"/>
          <w:sz w:val="24"/>
          <w:highlight w:val="none"/>
        </w:rPr>
        <w:t>.</w:t>
      </w:r>
      <w:r>
        <w:rPr>
          <w:rFonts w:ascii="宋体" w:hAnsi="宋体"/>
          <w:color w:val="auto"/>
          <w:sz w:val="24"/>
          <w:highlight w:val="none"/>
        </w:rPr>
        <w:t>4</w:t>
      </w:r>
      <w:r>
        <w:rPr>
          <w:rFonts w:hint="eastAsia" w:ascii="宋体" w:hAnsi="宋体"/>
          <w:color w:val="auto"/>
          <w:sz w:val="24"/>
          <w:highlight w:val="none"/>
        </w:rPr>
        <w:t>开标一览表（报价一览表）与报价明细表有差别时，以开标一览表（报价一览表）为准；大写文字表示的数据与小写数字表示的有差别时，以大写文字表示的数据为准；单价与开标一览表（报价一览表）总价不符时，以开标一览表（报价一览表）总价为准。如投标人拒绝接受上述意见，其</w:t>
      </w:r>
      <w:r>
        <w:rPr>
          <w:rFonts w:hint="eastAsia" w:ascii="宋体" w:hAnsi="宋体"/>
          <w:b/>
          <w:color w:val="auto"/>
          <w:sz w:val="24"/>
          <w:highlight w:val="none"/>
        </w:rPr>
        <w:t>投标将被拒绝。</w:t>
      </w:r>
    </w:p>
    <w:p w14:paraId="6F7274E8">
      <w:pPr>
        <w:autoSpaceDE w:val="0"/>
        <w:autoSpaceDN w:val="0"/>
        <w:adjustRightInd w:val="0"/>
        <w:snapToGrid w:val="0"/>
        <w:spacing w:beforeLines="50" w:line="300" w:lineRule="auto"/>
        <w:ind w:firstLine="566" w:firstLineChars="236"/>
        <w:jc w:val="left"/>
        <w:rPr>
          <w:rFonts w:ascii="宋体"/>
          <w:color w:val="auto"/>
          <w:sz w:val="24"/>
          <w:highlight w:val="none"/>
        </w:rPr>
      </w:pPr>
      <w:r>
        <w:rPr>
          <w:rFonts w:ascii="宋体" w:hAnsi="宋体"/>
          <w:color w:val="auto"/>
          <w:sz w:val="24"/>
          <w:highlight w:val="none"/>
        </w:rPr>
        <w:t xml:space="preserve">3.2.5 </w:t>
      </w:r>
      <w:r>
        <w:rPr>
          <w:rFonts w:hint="eastAsia" w:ascii="宋体" w:hAnsi="宋体"/>
          <w:color w:val="auto"/>
          <w:sz w:val="24"/>
          <w:highlight w:val="none"/>
        </w:rPr>
        <w:t>谈判小组负责审查确定每一投标项目是否对谈判文件的实质性要求作出了实质性的响应，而没有重大偏离和保留。实质性响应的投标是指投标符合谈判文件的所有条款、条件和规定且没有重大偏离和保留（重大偏离和保留是指影响到谈判文件和投标人的义务的规定，而纠正这些偏离将影响到其他提交实质性响应投标人的公平竞争地位）。</w:t>
      </w:r>
    </w:p>
    <w:p w14:paraId="470E16BB">
      <w:pPr>
        <w:autoSpaceDE w:val="0"/>
        <w:autoSpaceDN w:val="0"/>
        <w:adjustRightInd w:val="0"/>
        <w:snapToGrid w:val="0"/>
        <w:spacing w:beforeLines="50" w:line="300" w:lineRule="auto"/>
        <w:ind w:firstLine="566" w:firstLineChars="236"/>
        <w:jc w:val="left"/>
        <w:rPr>
          <w:rFonts w:ascii="宋体"/>
          <w:color w:val="auto"/>
          <w:sz w:val="24"/>
          <w:highlight w:val="none"/>
        </w:rPr>
      </w:pPr>
      <w:r>
        <w:rPr>
          <w:rFonts w:ascii="宋体" w:hAnsi="宋体"/>
          <w:color w:val="auto"/>
          <w:sz w:val="24"/>
          <w:highlight w:val="none"/>
        </w:rPr>
        <w:t xml:space="preserve">3.2.6 </w:t>
      </w:r>
      <w:r>
        <w:rPr>
          <w:rFonts w:hint="eastAsia" w:ascii="宋体" w:hAnsi="宋体"/>
          <w:color w:val="auto"/>
          <w:sz w:val="24"/>
          <w:highlight w:val="none"/>
        </w:rPr>
        <w:t>谈判小组判断投标文件（响应文件）的响应性仅基于投标文件（响应文件）本身而不靠外部证据。</w:t>
      </w:r>
    </w:p>
    <w:p w14:paraId="510E8E3E">
      <w:pPr>
        <w:autoSpaceDE w:val="0"/>
        <w:autoSpaceDN w:val="0"/>
        <w:adjustRightInd w:val="0"/>
        <w:snapToGrid w:val="0"/>
        <w:spacing w:beforeLines="50" w:line="300" w:lineRule="auto"/>
        <w:ind w:firstLine="566" w:firstLineChars="236"/>
        <w:jc w:val="left"/>
        <w:rPr>
          <w:rFonts w:ascii="宋体"/>
          <w:color w:val="auto"/>
          <w:sz w:val="24"/>
          <w:highlight w:val="none"/>
        </w:rPr>
      </w:pPr>
      <w:r>
        <w:rPr>
          <w:rFonts w:ascii="宋体" w:hAnsi="宋体"/>
          <w:color w:val="auto"/>
          <w:sz w:val="24"/>
          <w:highlight w:val="none"/>
        </w:rPr>
        <w:t xml:space="preserve">3.2.7 </w:t>
      </w:r>
      <w:r>
        <w:rPr>
          <w:rFonts w:hint="eastAsia" w:ascii="宋体" w:hAnsi="宋体"/>
          <w:color w:val="auto"/>
          <w:sz w:val="24"/>
          <w:highlight w:val="none"/>
        </w:rPr>
        <w:t>谈判小组拒绝被确定为非实质性响应的投标人，投标人不得通过修正或撤销不符之处而使其投标成为实质性响应的投标。</w:t>
      </w:r>
    </w:p>
    <w:p w14:paraId="54A87AF6">
      <w:pPr>
        <w:autoSpaceDE w:val="0"/>
        <w:autoSpaceDN w:val="0"/>
        <w:adjustRightInd w:val="0"/>
        <w:snapToGrid w:val="0"/>
        <w:spacing w:beforeLines="50" w:line="300" w:lineRule="auto"/>
        <w:ind w:firstLine="566" w:firstLineChars="236"/>
        <w:jc w:val="left"/>
        <w:rPr>
          <w:rFonts w:ascii="宋体"/>
          <w:color w:val="auto"/>
          <w:sz w:val="24"/>
          <w:highlight w:val="none"/>
        </w:rPr>
      </w:pPr>
      <w:r>
        <w:rPr>
          <w:rFonts w:ascii="宋体" w:hAnsi="宋体"/>
          <w:color w:val="auto"/>
          <w:sz w:val="24"/>
          <w:highlight w:val="none"/>
        </w:rPr>
        <w:t xml:space="preserve">3.2.8 </w:t>
      </w:r>
      <w:r>
        <w:rPr>
          <w:rFonts w:hint="eastAsia" w:ascii="宋体" w:hAnsi="宋体"/>
          <w:color w:val="auto"/>
          <w:sz w:val="24"/>
          <w:highlight w:val="none"/>
        </w:rPr>
        <w:t>允许投标人修改投标中不构成重大偏离的、微小的、非正规、不一致或不规则的地方。</w:t>
      </w:r>
    </w:p>
    <w:p w14:paraId="75CC12D4">
      <w:pPr>
        <w:autoSpaceDE w:val="0"/>
        <w:autoSpaceDN w:val="0"/>
        <w:adjustRightInd w:val="0"/>
        <w:snapToGrid w:val="0"/>
        <w:spacing w:beforeLines="50" w:line="300" w:lineRule="auto"/>
        <w:ind w:firstLine="569" w:firstLineChars="236"/>
        <w:jc w:val="left"/>
        <w:rPr>
          <w:rFonts w:ascii="黑体" w:hAnsi="黑体" w:eastAsia="黑体"/>
          <w:b/>
          <w:color w:val="auto"/>
          <w:sz w:val="24"/>
          <w:highlight w:val="none"/>
        </w:rPr>
      </w:pPr>
      <w:r>
        <w:rPr>
          <w:rFonts w:ascii="黑体" w:hAnsi="黑体" w:eastAsia="黑体"/>
          <w:b/>
          <w:color w:val="auto"/>
          <w:sz w:val="24"/>
          <w:highlight w:val="none"/>
        </w:rPr>
        <w:t xml:space="preserve">3.3 </w:t>
      </w:r>
      <w:r>
        <w:rPr>
          <w:rFonts w:hint="eastAsia" w:ascii="黑体" w:hAnsi="黑体" w:eastAsia="黑体"/>
          <w:b/>
          <w:color w:val="auto"/>
          <w:sz w:val="24"/>
          <w:highlight w:val="none"/>
        </w:rPr>
        <w:t>详细评审</w:t>
      </w:r>
    </w:p>
    <w:p w14:paraId="2DA4D477">
      <w:pPr>
        <w:autoSpaceDE w:val="0"/>
        <w:autoSpaceDN w:val="0"/>
        <w:adjustRightInd w:val="0"/>
        <w:snapToGrid w:val="0"/>
        <w:spacing w:beforeLines="50" w:line="300" w:lineRule="auto"/>
        <w:ind w:firstLine="566" w:firstLineChars="236"/>
        <w:jc w:val="left"/>
        <w:rPr>
          <w:rFonts w:ascii="宋体" w:hAnsi="宋体"/>
          <w:color w:val="auto"/>
          <w:sz w:val="24"/>
          <w:highlight w:val="none"/>
        </w:rPr>
      </w:pPr>
      <w:r>
        <w:rPr>
          <w:rFonts w:ascii="宋体" w:hAnsi="宋体"/>
          <w:color w:val="auto"/>
          <w:sz w:val="24"/>
          <w:highlight w:val="none"/>
        </w:rPr>
        <w:t>3.3.1</w:t>
      </w:r>
      <w:r>
        <w:rPr>
          <w:rFonts w:hint="eastAsia" w:ascii="宋体" w:hAnsi="宋体"/>
          <w:color w:val="auto"/>
          <w:sz w:val="24"/>
          <w:highlight w:val="none"/>
        </w:rPr>
        <w:t xml:space="preserve"> 按本章第</w:t>
      </w:r>
      <w:r>
        <w:rPr>
          <w:rFonts w:ascii="宋体" w:hAnsi="宋体"/>
          <w:color w:val="auto"/>
          <w:sz w:val="24"/>
          <w:highlight w:val="none"/>
        </w:rPr>
        <w:t xml:space="preserve">4 </w:t>
      </w:r>
      <w:r>
        <w:rPr>
          <w:rFonts w:hint="eastAsia" w:ascii="宋体" w:hAnsi="宋体"/>
          <w:color w:val="auto"/>
          <w:sz w:val="24"/>
          <w:highlight w:val="none"/>
        </w:rPr>
        <w:t>条规定执行促进中小企业发展扶持政策，用扣除后的价格参与评审。</w:t>
      </w:r>
    </w:p>
    <w:p w14:paraId="11BAB8EA">
      <w:pPr>
        <w:autoSpaceDE w:val="0"/>
        <w:autoSpaceDN w:val="0"/>
        <w:adjustRightInd w:val="0"/>
        <w:snapToGrid w:val="0"/>
        <w:spacing w:beforeLines="50" w:line="300" w:lineRule="auto"/>
        <w:ind w:firstLine="566" w:firstLineChars="236"/>
        <w:jc w:val="left"/>
        <w:rPr>
          <w:rFonts w:ascii="宋体"/>
          <w:color w:val="auto"/>
          <w:sz w:val="24"/>
          <w:highlight w:val="none"/>
        </w:rPr>
      </w:pPr>
      <w:r>
        <w:rPr>
          <w:rFonts w:ascii="宋体"/>
          <w:color w:val="auto"/>
          <w:sz w:val="24"/>
          <w:highlight w:val="none"/>
        </w:rPr>
        <w:t>3.</w:t>
      </w:r>
      <w:r>
        <w:rPr>
          <w:rFonts w:hint="eastAsia" w:ascii="宋体"/>
          <w:color w:val="auto"/>
          <w:sz w:val="24"/>
          <w:highlight w:val="none"/>
        </w:rPr>
        <w:t>3</w:t>
      </w:r>
      <w:r>
        <w:rPr>
          <w:rFonts w:ascii="宋体"/>
          <w:color w:val="auto"/>
          <w:sz w:val="24"/>
          <w:highlight w:val="none"/>
        </w:rPr>
        <w:t>.</w:t>
      </w:r>
      <w:r>
        <w:rPr>
          <w:rFonts w:hint="eastAsia" w:ascii="宋体"/>
          <w:color w:val="auto"/>
          <w:sz w:val="24"/>
          <w:highlight w:val="none"/>
        </w:rPr>
        <w:t xml:space="preserve">2 </w:t>
      </w:r>
      <w:r>
        <w:rPr>
          <w:rFonts w:hint="eastAsia" w:ascii="宋体" w:hAnsi="宋体"/>
          <w:color w:val="auto"/>
          <w:sz w:val="24"/>
          <w:highlight w:val="none"/>
        </w:rPr>
        <w:t>提供相同品牌产品的不同投标人参加同一合同项下投标的，以其中通过资格审查、符合性审查且报价最低的参加评标；报价相同的，由谈判小组按照随机抽取方式确定一个参加评标的投标人，其他投标无效。</w:t>
      </w:r>
    </w:p>
    <w:p w14:paraId="40801394">
      <w:pPr>
        <w:adjustRightInd w:val="0"/>
        <w:snapToGrid w:val="0"/>
        <w:spacing w:line="300" w:lineRule="auto"/>
        <w:ind w:firstLine="480"/>
        <w:jc w:val="left"/>
        <w:rPr>
          <w:rFonts w:ascii="宋体" w:cs="宋体"/>
          <w:color w:val="auto"/>
          <w:sz w:val="24"/>
          <w:highlight w:val="none"/>
        </w:rPr>
      </w:pPr>
      <w:r>
        <w:rPr>
          <w:rFonts w:hint="eastAsia" w:ascii="宋体" w:hAnsi="宋体" w:cs="宋体"/>
          <w:color w:val="auto"/>
          <w:sz w:val="24"/>
          <w:highlight w:val="none"/>
        </w:rPr>
        <w:t>多家投标人提供的核心产品品牌相同的，按前项规定处理。</w:t>
      </w:r>
    </w:p>
    <w:p w14:paraId="1EB4CDE6">
      <w:pPr>
        <w:autoSpaceDE w:val="0"/>
        <w:autoSpaceDN w:val="0"/>
        <w:adjustRightInd w:val="0"/>
        <w:snapToGrid w:val="0"/>
        <w:spacing w:beforeLines="50" w:line="300" w:lineRule="auto"/>
        <w:ind w:firstLine="566" w:firstLineChars="236"/>
        <w:jc w:val="left"/>
        <w:rPr>
          <w:rFonts w:ascii="宋体"/>
          <w:color w:val="auto"/>
          <w:sz w:val="24"/>
          <w:highlight w:val="none"/>
        </w:rPr>
      </w:pPr>
      <w:r>
        <w:rPr>
          <w:rFonts w:ascii="宋体" w:hAnsi="宋体"/>
          <w:color w:val="auto"/>
          <w:sz w:val="24"/>
          <w:highlight w:val="none"/>
        </w:rPr>
        <w:t>3.3.</w:t>
      </w:r>
      <w:r>
        <w:rPr>
          <w:rFonts w:hint="eastAsia" w:ascii="宋体" w:hAnsi="宋体"/>
          <w:color w:val="auto"/>
          <w:sz w:val="24"/>
          <w:highlight w:val="none"/>
        </w:rPr>
        <w:t>3 谈判小组认为供应商的报价明显低于其他通过符合性审查投标人的报价，有可能影响产品质量或者不能诚信履约的，应当要求其在合理的时间内提供书面说明，必要时提交相关证明材料；供应商不能证明其报价合理性的，谈判小组应当将其作为无效投标处理。</w:t>
      </w:r>
    </w:p>
    <w:p w14:paraId="291F4ADF">
      <w:pPr>
        <w:autoSpaceDE w:val="0"/>
        <w:autoSpaceDN w:val="0"/>
        <w:adjustRightInd w:val="0"/>
        <w:snapToGrid w:val="0"/>
        <w:spacing w:beforeLines="50" w:line="300" w:lineRule="auto"/>
        <w:ind w:firstLine="569" w:firstLineChars="236"/>
        <w:jc w:val="left"/>
        <w:rPr>
          <w:rFonts w:ascii="黑体" w:hAnsi="黑体" w:eastAsia="黑体"/>
          <w:b/>
          <w:color w:val="auto"/>
          <w:sz w:val="24"/>
          <w:highlight w:val="none"/>
        </w:rPr>
      </w:pPr>
      <w:r>
        <w:rPr>
          <w:rFonts w:ascii="黑体" w:hAnsi="黑体" w:eastAsia="黑体"/>
          <w:b/>
          <w:color w:val="auto"/>
          <w:sz w:val="24"/>
          <w:highlight w:val="none"/>
        </w:rPr>
        <w:t xml:space="preserve">3.4 </w:t>
      </w:r>
      <w:r>
        <w:rPr>
          <w:rFonts w:hint="eastAsia" w:ascii="黑体" w:hAnsi="黑体" w:eastAsia="黑体"/>
          <w:b/>
          <w:color w:val="auto"/>
          <w:sz w:val="24"/>
          <w:highlight w:val="none"/>
        </w:rPr>
        <w:t>投标文件（响应文件）的澄清</w:t>
      </w:r>
    </w:p>
    <w:p w14:paraId="2445018E">
      <w:pPr>
        <w:autoSpaceDE w:val="0"/>
        <w:autoSpaceDN w:val="0"/>
        <w:adjustRightInd w:val="0"/>
        <w:snapToGrid w:val="0"/>
        <w:spacing w:beforeLines="50" w:line="300" w:lineRule="auto"/>
        <w:ind w:firstLine="569" w:firstLineChars="236"/>
        <w:jc w:val="left"/>
        <w:rPr>
          <w:rFonts w:ascii="宋体" w:hAnsi="宋体"/>
          <w:b/>
          <w:color w:val="auto"/>
          <w:sz w:val="24"/>
          <w:highlight w:val="none"/>
        </w:rPr>
      </w:pPr>
      <w:r>
        <w:rPr>
          <w:rFonts w:hint="eastAsia" w:ascii="宋体" w:hAnsi="宋体"/>
          <w:b/>
          <w:color w:val="auto"/>
          <w:sz w:val="24"/>
          <w:highlight w:val="none"/>
        </w:rPr>
        <w:t>投标文件（响应文件）的澄清在谈</w:t>
      </w:r>
      <w:r>
        <w:rPr>
          <w:rFonts w:ascii="宋体" w:hAnsi="宋体"/>
          <w:b/>
          <w:color w:val="auto"/>
          <w:sz w:val="24"/>
          <w:highlight w:val="none"/>
        </w:rPr>
        <w:t>判公告所述</w:t>
      </w:r>
      <w:r>
        <w:rPr>
          <w:rFonts w:hint="eastAsia" w:ascii="宋体" w:hAnsi="宋体"/>
          <w:b/>
          <w:color w:val="auto"/>
          <w:sz w:val="24"/>
          <w:highlight w:val="none"/>
        </w:rPr>
        <w:t>网</w:t>
      </w:r>
      <w:r>
        <w:rPr>
          <w:rFonts w:ascii="宋体" w:hAnsi="宋体"/>
          <w:b/>
          <w:color w:val="auto"/>
          <w:sz w:val="24"/>
          <w:highlight w:val="none"/>
        </w:rPr>
        <w:t>上</w:t>
      </w:r>
      <w:r>
        <w:rPr>
          <w:rFonts w:hint="eastAsia" w:ascii="宋体" w:hAnsi="宋体"/>
          <w:b/>
          <w:color w:val="auto"/>
          <w:sz w:val="24"/>
          <w:highlight w:val="none"/>
        </w:rPr>
        <w:t>电子交易系统</w:t>
      </w:r>
      <w:r>
        <w:rPr>
          <w:rFonts w:ascii="宋体" w:hAnsi="宋体"/>
          <w:b/>
          <w:color w:val="auto"/>
          <w:sz w:val="24"/>
          <w:highlight w:val="none"/>
        </w:rPr>
        <w:t>进行。</w:t>
      </w:r>
    </w:p>
    <w:p w14:paraId="402412E2">
      <w:pPr>
        <w:autoSpaceDE w:val="0"/>
        <w:autoSpaceDN w:val="0"/>
        <w:adjustRightInd w:val="0"/>
        <w:snapToGrid w:val="0"/>
        <w:spacing w:beforeLines="50" w:line="300" w:lineRule="auto"/>
        <w:ind w:firstLine="569" w:firstLineChars="236"/>
        <w:jc w:val="left"/>
        <w:rPr>
          <w:rFonts w:ascii="宋体" w:hAnsi="宋体"/>
          <w:b/>
          <w:color w:val="auto"/>
          <w:sz w:val="24"/>
          <w:highlight w:val="none"/>
        </w:rPr>
      </w:pPr>
      <w:r>
        <w:rPr>
          <w:rFonts w:ascii="宋体" w:hAnsi="宋体"/>
          <w:b/>
          <w:color w:val="auto"/>
          <w:sz w:val="24"/>
          <w:highlight w:val="none"/>
        </w:rPr>
        <w:t>3.</w:t>
      </w:r>
      <w:r>
        <w:rPr>
          <w:rFonts w:hint="eastAsia" w:ascii="宋体" w:hAnsi="宋体"/>
          <w:b/>
          <w:color w:val="auto"/>
          <w:sz w:val="24"/>
          <w:highlight w:val="none"/>
        </w:rPr>
        <w:t>4</w:t>
      </w:r>
      <w:r>
        <w:rPr>
          <w:rFonts w:ascii="宋体" w:hAnsi="宋体"/>
          <w:b/>
          <w:color w:val="auto"/>
          <w:sz w:val="24"/>
          <w:highlight w:val="none"/>
        </w:rPr>
        <w:t>.1</w:t>
      </w:r>
      <w:r>
        <w:rPr>
          <w:rFonts w:hint="eastAsia" w:ascii="宋体" w:hAnsi="宋体"/>
          <w:b/>
          <w:color w:val="auto"/>
          <w:sz w:val="24"/>
          <w:highlight w:val="none"/>
        </w:rPr>
        <w:t xml:space="preserve"> 评审期间，投标人法定代表人须时刻关注电子开标室并保持通讯畅通。如因通讯不畅导致投标人无法及时澄清而被认定为无效响应等后果的</w:t>
      </w:r>
      <w:r>
        <w:rPr>
          <w:rFonts w:ascii="宋体" w:hAnsi="宋体"/>
          <w:b/>
          <w:color w:val="auto"/>
          <w:sz w:val="24"/>
          <w:highlight w:val="none"/>
        </w:rPr>
        <w:t>，</w:t>
      </w:r>
      <w:r>
        <w:rPr>
          <w:rFonts w:hint="eastAsia" w:ascii="宋体" w:hAnsi="宋体"/>
          <w:b/>
          <w:color w:val="auto"/>
          <w:sz w:val="24"/>
          <w:highlight w:val="none"/>
        </w:rPr>
        <w:t>由投标人自行承担。</w:t>
      </w:r>
    </w:p>
    <w:p w14:paraId="2D2CAE0E">
      <w:pPr>
        <w:autoSpaceDE w:val="0"/>
        <w:autoSpaceDN w:val="0"/>
        <w:adjustRightInd w:val="0"/>
        <w:snapToGrid w:val="0"/>
        <w:spacing w:beforeLines="50" w:line="300" w:lineRule="auto"/>
        <w:ind w:firstLine="566" w:firstLineChars="236"/>
        <w:jc w:val="left"/>
        <w:rPr>
          <w:rFonts w:ascii="宋体"/>
          <w:color w:val="auto"/>
          <w:sz w:val="24"/>
          <w:highlight w:val="none"/>
        </w:rPr>
      </w:pPr>
      <w:r>
        <w:rPr>
          <w:rFonts w:ascii="宋体" w:hAnsi="宋体"/>
          <w:color w:val="auto"/>
          <w:sz w:val="24"/>
          <w:highlight w:val="none"/>
        </w:rPr>
        <w:t>3.4.2</w:t>
      </w:r>
      <w:r>
        <w:rPr>
          <w:rFonts w:hint="eastAsia" w:ascii="宋体" w:hAnsi="宋体"/>
          <w:color w:val="auto"/>
          <w:sz w:val="24"/>
          <w:highlight w:val="none"/>
        </w:rPr>
        <w:t>　为有助于对投标文件（响应文件）进行审查、评估和比较，谈判小组有权个别的向投标人提出质疑，请投标人澄清其投标内容。</w:t>
      </w:r>
    </w:p>
    <w:p w14:paraId="2048FCE2">
      <w:pPr>
        <w:autoSpaceDE w:val="0"/>
        <w:autoSpaceDN w:val="0"/>
        <w:adjustRightInd w:val="0"/>
        <w:snapToGrid w:val="0"/>
        <w:spacing w:beforeLines="50" w:line="300" w:lineRule="auto"/>
        <w:ind w:firstLine="566" w:firstLineChars="236"/>
        <w:jc w:val="left"/>
        <w:rPr>
          <w:rFonts w:ascii="宋体"/>
          <w:color w:val="auto"/>
          <w:sz w:val="24"/>
          <w:highlight w:val="none"/>
        </w:rPr>
      </w:pPr>
      <w:r>
        <w:rPr>
          <w:rFonts w:ascii="宋体" w:hAnsi="宋体"/>
          <w:color w:val="auto"/>
          <w:sz w:val="24"/>
          <w:highlight w:val="none"/>
        </w:rPr>
        <w:t>3.4.3</w:t>
      </w:r>
      <w:r>
        <w:rPr>
          <w:rFonts w:hint="eastAsia" w:ascii="宋体" w:hAnsi="宋体"/>
          <w:color w:val="auto"/>
          <w:sz w:val="24"/>
          <w:highlight w:val="none"/>
        </w:rPr>
        <w:t>　谈判小组可以要求投标人对投标文件（响应文件）中含义不明确、同类问题表述不一致或者有明显文字和计算错误的内容等作出必要的澄清、说明或者更正。投标人的澄清、说明或者更正不得超出投标文件（响应文件）的范围或者改变投标文件（响应文件）的实质性内容。</w:t>
      </w:r>
    </w:p>
    <w:p w14:paraId="6CE2272F">
      <w:pPr>
        <w:autoSpaceDE w:val="0"/>
        <w:autoSpaceDN w:val="0"/>
        <w:adjustRightInd w:val="0"/>
        <w:snapToGrid w:val="0"/>
        <w:spacing w:beforeLines="50" w:line="300" w:lineRule="auto"/>
        <w:ind w:firstLine="569" w:firstLineChars="236"/>
        <w:jc w:val="left"/>
        <w:rPr>
          <w:rFonts w:ascii="宋体" w:hAnsi="宋体"/>
          <w:b/>
          <w:color w:val="auto"/>
          <w:sz w:val="24"/>
          <w:highlight w:val="none"/>
        </w:rPr>
      </w:pPr>
      <w:r>
        <w:rPr>
          <w:rFonts w:ascii="宋体" w:hAnsi="宋体"/>
          <w:b/>
          <w:color w:val="auto"/>
          <w:sz w:val="24"/>
          <w:highlight w:val="none"/>
        </w:rPr>
        <w:t>3.4.4</w:t>
      </w:r>
      <w:r>
        <w:rPr>
          <w:rFonts w:hint="eastAsia" w:ascii="宋体" w:hAnsi="宋体"/>
          <w:b/>
          <w:color w:val="auto"/>
          <w:sz w:val="24"/>
          <w:highlight w:val="none"/>
        </w:rPr>
        <w:t>　投标人的澄清、说明或者更正应当采用书面形式，应加</w:t>
      </w:r>
      <w:r>
        <w:rPr>
          <w:rFonts w:ascii="宋体" w:hAnsi="宋体"/>
          <w:b/>
          <w:color w:val="auto"/>
          <w:sz w:val="24"/>
          <w:highlight w:val="none"/>
        </w:rPr>
        <w:t>盖</w:t>
      </w:r>
      <w:r>
        <w:rPr>
          <w:rFonts w:hint="eastAsia" w:ascii="宋体" w:hAnsi="宋体"/>
          <w:b/>
          <w:color w:val="auto"/>
          <w:sz w:val="24"/>
          <w:highlight w:val="none"/>
        </w:rPr>
        <w:t>投</w:t>
      </w:r>
      <w:r>
        <w:rPr>
          <w:rFonts w:ascii="宋体" w:hAnsi="宋体"/>
          <w:b/>
          <w:color w:val="auto"/>
          <w:sz w:val="24"/>
          <w:highlight w:val="none"/>
        </w:rPr>
        <w:t>标人</w:t>
      </w:r>
      <w:r>
        <w:rPr>
          <w:rFonts w:hint="eastAsia" w:ascii="宋体" w:hAnsi="宋体"/>
          <w:b/>
          <w:color w:val="auto"/>
          <w:sz w:val="24"/>
          <w:highlight w:val="none"/>
        </w:rPr>
        <w:t>电子签章或其法定代表人电子签名</w:t>
      </w:r>
      <w:r>
        <w:rPr>
          <w:rFonts w:hint="eastAsia" w:ascii="宋体" w:hAnsi="宋体" w:cs="楷体_GB2312"/>
          <w:b/>
          <w:color w:val="auto"/>
          <w:sz w:val="24"/>
          <w:highlight w:val="none"/>
        </w:rPr>
        <w:t>（签章）</w:t>
      </w:r>
      <w:r>
        <w:rPr>
          <w:rFonts w:hint="eastAsia" w:ascii="宋体" w:hAnsi="宋体"/>
          <w:b/>
          <w:color w:val="auto"/>
          <w:sz w:val="24"/>
          <w:highlight w:val="none"/>
        </w:rPr>
        <w:t>。并将澄清等内容作为附件上传至系统中。</w:t>
      </w:r>
    </w:p>
    <w:p w14:paraId="4FAEF8B8">
      <w:pPr>
        <w:autoSpaceDE w:val="0"/>
        <w:autoSpaceDN w:val="0"/>
        <w:adjustRightInd w:val="0"/>
        <w:snapToGrid w:val="0"/>
        <w:spacing w:beforeLines="50" w:line="300" w:lineRule="auto"/>
        <w:ind w:firstLine="566" w:firstLineChars="236"/>
        <w:jc w:val="left"/>
        <w:rPr>
          <w:rFonts w:ascii="宋体"/>
          <w:color w:val="auto"/>
          <w:sz w:val="24"/>
          <w:highlight w:val="none"/>
        </w:rPr>
      </w:pPr>
      <w:r>
        <w:rPr>
          <w:rFonts w:ascii="宋体" w:hAnsi="宋体"/>
          <w:color w:val="auto"/>
          <w:sz w:val="24"/>
          <w:highlight w:val="none"/>
        </w:rPr>
        <w:t>3.4.5</w:t>
      </w:r>
      <w:r>
        <w:rPr>
          <w:rFonts w:hint="eastAsia" w:ascii="宋体" w:hAnsi="宋体"/>
          <w:color w:val="auto"/>
          <w:sz w:val="24"/>
          <w:highlight w:val="none"/>
        </w:rPr>
        <w:t>　投标人的澄清文件是投标文件（响应文件）的组成部分，并取代投标文件（响应文件）中被澄清的部分。</w:t>
      </w:r>
    </w:p>
    <w:p w14:paraId="74289160">
      <w:pPr>
        <w:autoSpaceDE w:val="0"/>
        <w:autoSpaceDN w:val="0"/>
        <w:adjustRightInd w:val="0"/>
        <w:snapToGrid w:val="0"/>
        <w:spacing w:beforeLines="50" w:line="300" w:lineRule="auto"/>
        <w:ind w:firstLine="566" w:firstLineChars="236"/>
        <w:jc w:val="left"/>
        <w:rPr>
          <w:rFonts w:ascii="宋体"/>
          <w:color w:val="auto"/>
          <w:sz w:val="24"/>
          <w:highlight w:val="none"/>
        </w:rPr>
      </w:pPr>
      <w:r>
        <w:rPr>
          <w:rFonts w:ascii="宋体" w:hAnsi="宋体"/>
          <w:color w:val="auto"/>
          <w:sz w:val="24"/>
          <w:highlight w:val="none"/>
        </w:rPr>
        <w:t>3.4.6</w:t>
      </w:r>
      <w:r>
        <w:rPr>
          <w:rFonts w:hint="eastAsia" w:ascii="宋体" w:hAnsi="宋体"/>
          <w:color w:val="auto"/>
          <w:sz w:val="24"/>
          <w:highlight w:val="none"/>
        </w:rPr>
        <w:t>　澄清文件应按谈判小组规定的时间提交。</w:t>
      </w:r>
    </w:p>
    <w:p w14:paraId="053303C1">
      <w:pPr>
        <w:autoSpaceDE w:val="0"/>
        <w:autoSpaceDN w:val="0"/>
        <w:adjustRightInd w:val="0"/>
        <w:snapToGrid w:val="0"/>
        <w:spacing w:beforeLines="50" w:line="300" w:lineRule="auto"/>
        <w:ind w:firstLine="569" w:firstLineChars="236"/>
        <w:jc w:val="left"/>
        <w:rPr>
          <w:rFonts w:ascii="黑体" w:hAnsi="黑体" w:eastAsia="黑体"/>
          <w:b/>
          <w:color w:val="auto"/>
          <w:sz w:val="24"/>
          <w:highlight w:val="none"/>
        </w:rPr>
      </w:pPr>
      <w:r>
        <w:rPr>
          <w:rFonts w:ascii="黑体" w:hAnsi="黑体" w:eastAsia="黑体"/>
          <w:b/>
          <w:color w:val="auto"/>
          <w:sz w:val="24"/>
          <w:highlight w:val="none"/>
        </w:rPr>
        <w:t xml:space="preserve">3.5 </w:t>
      </w:r>
      <w:r>
        <w:rPr>
          <w:rFonts w:hint="eastAsia" w:ascii="黑体" w:hAnsi="黑体" w:eastAsia="黑体"/>
          <w:b/>
          <w:color w:val="auto"/>
          <w:sz w:val="24"/>
          <w:highlight w:val="none"/>
        </w:rPr>
        <w:t>谈判规则</w:t>
      </w:r>
    </w:p>
    <w:p w14:paraId="02C6B298">
      <w:pPr>
        <w:autoSpaceDE w:val="0"/>
        <w:autoSpaceDN w:val="0"/>
        <w:adjustRightInd w:val="0"/>
        <w:snapToGrid w:val="0"/>
        <w:spacing w:beforeLines="50" w:line="300" w:lineRule="auto"/>
        <w:ind w:firstLine="569" w:firstLineChars="236"/>
        <w:jc w:val="left"/>
        <w:rPr>
          <w:rFonts w:ascii="黑体" w:hAnsi="黑体" w:eastAsia="黑体"/>
          <w:b/>
          <w:color w:val="auto"/>
          <w:sz w:val="24"/>
          <w:highlight w:val="none"/>
        </w:rPr>
      </w:pPr>
      <w:r>
        <w:rPr>
          <w:rFonts w:hint="eastAsia" w:ascii="宋体" w:hAnsi="宋体"/>
          <w:b/>
          <w:color w:val="auto"/>
          <w:sz w:val="24"/>
          <w:highlight w:val="none"/>
        </w:rPr>
        <w:t>评</w:t>
      </w:r>
      <w:r>
        <w:rPr>
          <w:rFonts w:ascii="宋体" w:hAnsi="宋体"/>
          <w:b/>
          <w:color w:val="auto"/>
          <w:sz w:val="24"/>
          <w:highlight w:val="none"/>
        </w:rPr>
        <w:t>审</w:t>
      </w:r>
      <w:r>
        <w:rPr>
          <w:rFonts w:hint="eastAsia" w:ascii="宋体" w:hAnsi="宋体"/>
          <w:b/>
          <w:color w:val="auto"/>
          <w:sz w:val="24"/>
          <w:highlight w:val="none"/>
        </w:rPr>
        <w:t>谈判在谈</w:t>
      </w:r>
      <w:r>
        <w:rPr>
          <w:rFonts w:ascii="宋体" w:hAnsi="宋体"/>
          <w:b/>
          <w:color w:val="auto"/>
          <w:sz w:val="24"/>
          <w:highlight w:val="none"/>
        </w:rPr>
        <w:t>判公告所述</w:t>
      </w:r>
      <w:r>
        <w:rPr>
          <w:rFonts w:hint="eastAsia" w:ascii="宋体" w:hAnsi="宋体"/>
          <w:b/>
          <w:color w:val="auto"/>
          <w:sz w:val="24"/>
          <w:highlight w:val="none"/>
        </w:rPr>
        <w:t>网</w:t>
      </w:r>
      <w:r>
        <w:rPr>
          <w:rFonts w:ascii="宋体" w:hAnsi="宋体"/>
          <w:b/>
          <w:color w:val="auto"/>
          <w:sz w:val="24"/>
          <w:highlight w:val="none"/>
        </w:rPr>
        <w:t>上</w:t>
      </w:r>
      <w:r>
        <w:rPr>
          <w:rFonts w:hint="eastAsia" w:ascii="宋体" w:hAnsi="宋体"/>
          <w:b/>
          <w:color w:val="auto"/>
          <w:sz w:val="24"/>
          <w:highlight w:val="none"/>
        </w:rPr>
        <w:t>电子交易系统</w:t>
      </w:r>
      <w:r>
        <w:rPr>
          <w:rFonts w:ascii="宋体" w:hAnsi="宋体"/>
          <w:b/>
          <w:color w:val="auto"/>
          <w:sz w:val="24"/>
          <w:highlight w:val="none"/>
        </w:rPr>
        <w:t>进行。</w:t>
      </w:r>
    </w:p>
    <w:p w14:paraId="56FEF013">
      <w:pPr>
        <w:autoSpaceDE w:val="0"/>
        <w:autoSpaceDN w:val="0"/>
        <w:adjustRightInd w:val="0"/>
        <w:snapToGrid w:val="0"/>
        <w:spacing w:beforeLines="50" w:line="300" w:lineRule="auto"/>
        <w:ind w:firstLine="566" w:firstLineChars="236"/>
        <w:rPr>
          <w:rFonts w:ascii="宋体"/>
          <w:color w:val="auto"/>
          <w:sz w:val="24"/>
          <w:highlight w:val="none"/>
        </w:rPr>
      </w:pPr>
      <w:r>
        <w:rPr>
          <w:rFonts w:ascii="宋体" w:hAnsi="宋体"/>
          <w:color w:val="auto"/>
          <w:sz w:val="24"/>
          <w:highlight w:val="none"/>
        </w:rPr>
        <w:t xml:space="preserve">3.5.1 </w:t>
      </w:r>
      <w:r>
        <w:rPr>
          <w:rFonts w:hint="eastAsia" w:ascii="宋体" w:hAnsi="宋体"/>
          <w:color w:val="auto"/>
          <w:sz w:val="24"/>
          <w:highlight w:val="none"/>
        </w:rPr>
        <w:t>本次政府采购采取竞争性谈判方式。谈判小组将据评审情况就所投货物的技术、服务、价格等事项与有关投标人分别进行谈判。谈判的任何一方不得将与谈判有关的技术资料、价格和其他信息透露给其他供应商。</w:t>
      </w:r>
    </w:p>
    <w:p w14:paraId="5AEDBC77">
      <w:pPr>
        <w:autoSpaceDE w:val="0"/>
        <w:autoSpaceDN w:val="0"/>
        <w:adjustRightInd w:val="0"/>
        <w:snapToGrid w:val="0"/>
        <w:spacing w:beforeLines="50" w:line="300" w:lineRule="auto"/>
        <w:ind w:firstLine="566" w:firstLineChars="236"/>
        <w:jc w:val="left"/>
        <w:rPr>
          <w:rFonts w:ascii="宋体"/>
          <w:color w:val="auto"/>
          <w:sz w:val="24"/>
          <w:highlight w:val="none"/>
        </w:rPr>
      </w:pPr>
      <w:r>
        <w:rPr>
          <w:rFonts w:ascii="宋体" w:hAnsi="宋体"/>
          <w:color w:val="auto"/>
          <w:sz w:val="24"/>
          <w:highlight w:val="none"/>
        </w:rPr>
        <w:t xml:space="preserve">3.5.2 </w:t>
      </w:r>
      <w:r>
        <w:rPr>
          <w:rFonts w:hint="eastAsia" w:ascii="宋体" w:hAnsi="宋体"/>
          <w:color w:val="auto"/>
          <w:sz w:val="24"/>
          <w:highlight w:val="none"/>
        </w:rPr>
        <w:t>谈判小组根据谈判文件规定的程序、评定成交的标准等事项与实质性响应谈判文件要求的投标人进行谈判。</w:t>
      </w:r>
    </w:p>
    <w:p w14:paraId="1178E40C">
      <w:pPr>
        <w:autoSpaceDE w:val="0"/>
        <w:autoSpaceDN w:val="0"/>
        <w:adjustRightInd w:val="0"/>
        <w:snapToGrid w:val="0"/>
        <w:spacing w:beforeLines="50" w:line="300" w:lineRule="auto"/>
        <w:ind w:firstLine="566" w:firstLineChars="236"/>
        <w:jc w:val="left"/>
        <w:rPr>
          <w:rFonts w:ascii="宋体"/>
          <w:color w:val="auto"/>
          <w:sz w:val="24"/>
          <w:highlight w:val="none"/>
        </w:rPr>
      </w:pPr>
      <w:r>
        <w:rPr>
          <w:rFonts w:ascii="宋体" w:hAnsi="宋体"/>
          <w:color w:val="auto"/>
          <w:sz w:val="24"/>
          <w:highlight w:val="none"/>
        </w:rPr>
        <w:t xml:space="preserve">3.5.3 </w:t>
      </w:r>
      <w:r>
        <w:rPr>
          <w:rFonts w:hint="eastAsia" w:ascii="宋体" w:hAnsi="宋体"/>
          <w:color w:val="auto"/>
          <w:sz w:val="24"/>
          <w:highlight w:val="none"/>
        </w:rPr>
        <w:t>谈判小组所有成员集中与单一投标人分别进行谈判，并给予所有参加谈判的投标人平等的谈判机会。</w:t>
      </w:r>
    </w:p>
    <w:p w14:paraId="22FD93B8">
      <w:pPr>
        <w:autoSpaceDE w:val="0"/>
        <w:autoSpaceDN w:val="0"/>
        <w:adjustRightInd w:val="0"/>
        <w:snapToGrid w:val="0"/>
        <w:spacing w:beforeLines="50" w:line="300" w:lineRule="auto"/>
        <w:ind w:firstLine="566" w:firstLineChars="236"/>
        <w:jc w:val="left"/>
        <w:rPr>
          <w:rFonts w:ascii="宋体"/>
          <w:color w:val="auto"/>
          <w:sz w:val="24"/>
          <w:highlight w:val="none"/>
        </w:rPr>
      </w:pPr>
      <w:r>
        <w:rPr>
          <w:rFonts w:ascii="宋体" w:hAnsi="宋体"/>
          <w:color w:val="auto"/>
          <w:sz w:val="24"/>
          <w:highlight w:val="none"/>
        </w:rPr>
        <w:t xml:space="preserve">3.5.4 </w:t>
      </w:r>
      <w:r>
        <w:rPr>
          <w:rFonts w:hint="eastAsia" w:ascii="宋体" w:hAnsi="宋体"/>
          <w:color w:val="auto"/>
          <w:sz w:val="24"/>
          <w:highlight w:val="none"/>
        </w:rPr>
        <w:t>在谈判过程中，谈判小组可以根据谈判文件和谈判情况实质性变动采购需求中的技术、服务要求以及合同草案条款，谈判文件中的其他内容将不再变动。实质性变动的内容，经采购人代表确认</w:t>
      </w:r>
      <w:r>
        <w:rPr>
          <w:rFonts w:hint="eastAsia" w:ascii="宋体" w:hAnsi="宋体"/>
          <w:b/>
          <w:color w:val="auto"/>
          <w:sz w:val="24"/>
          <w:highlight w:val="none"/>
        </w:rPr>
        <w:t>后，谈判小组将在评审界面的对话框及时通知所有参加谈判的供应商。评审期间，供应商可通过评审界面的对话框接受询问。谈判结束后，未实质性响应谈判文件的响应文件按无效处理，谈判小组应当告知有关供应商。</w:t>
      </w:r>
    </w:p>
    <w:p w14:paraId="5FC45CBC">
      <w:pPr>
        <w:autoSpaceDE w:val="0"/>
        <w:autoSpaceDN w:val="0"/>
        <w:adjustRightInd w:val="0"/>
        <w:snapToGrid w:val="0"/>
        <w:spacing w:beforeLines="50" w:line="300" w:lineRule="auto"/>
        <w:ind w:firstLine="566" w:firstLineChars="236"/>
        <w:jc w:val="left"/>
        <w:rPr>
          <w:rFonts w:ascii="宋体"/>
          <w:color w:val="auto"/>
          <w:sz w:val="24"/>
          <w:highlight w:val="none"/>
        </w:rPr>
      </w:pPr>
      <w:r>
        <w:rPr>
          <w:rFonts w:ascii="宋体" w:hAnsi="宋体"/>
          <w:color w:val="auto"/>
          <w:sz w:val="24"/>
          <w:highlight w:val="none"/>
        </w:rPr>
        <w:t xml:space="preserve">3.5.5 </w:t>
      </w:r>
      <w:r>
        <w:rPr>
          <w:rFonts w:hint="eastAsia" w:ascii="宋体" w:hAnsi="宋体"/>
          <w:color w:val="auto"/>
          <w:sz w:val="24"/>
          <w:highlight w:val="none"/>
        </w:rPr>
        <w:t>对谈判文件作出的实质性变动是谈判文件的有效组成部分。</w:t>
      </w:r>
    </w:p>
    <w:p w14:paraId="3FED09F2">
      <w:pPr>
        <w:autoSpaceDE w:val="0"/>
        <w:autoSpaceDN w:val="0"/>
        <w:adjustRightInd w:val="0"/>
        <w:snapToGrid w:val="0"/>
        <w:spacing w:beforeLines="50" w:line="300" w:lineRule="auto"/>
        <w:ind w:firstLine="566" w:firstLineChars="236"/>
        <w:jc w:val="left"/>
        <w:rPr>
          <w:rFonts w:ascii="宋体"/>
          <w:color w:val="auto"/>
          <w:sz w:val="24"/>
          <w:highlight w:val="none"/>
        </w:rPr>
      </w:pPr>
      <w:r>
        <w:rPr>
          <w:rFonts w:ascii="宋体" w:hAnsi="宋体"/>
          <w:color w:val="auto"/>
          <w:sz w:val="24"/>
          <w:highlight w:val="none"/>
        </w:rPr>
        <w:t xml:space="preserve">3.5.6 </w:t>
      </w:r>
      <w:r>
        <w:rPr>
          <w:rFonts w:hint="eastAsia" w:ascii="宋体" w:hAnsi="宋体"/>
          <w:color w:val="auto"/>
          <w:sz w:val="24"/>
          <w:highlight w:val="none"/>
        </w:rPr>
        <w:t>投标人应当按照谈判文件的变动情况和谈判小组的要求重新提交投标文件（响应文件）或修订投标文件相应条款，</w:t>
      </w:r>
      <w:r>
        <w:rPr>
          <w:rFonts w:hint="eastAsia" w:ascii="宋体" w:hAnsi="宋体"/>
          <w:b/>
          <w:color w:val="auto"/>
          <w:sz w:val="24"/>
          <w:highlight w:val="none"/>
        </w:rPr>
        <w:t>并应加</w:t>
      </w:r>
      <w:r>
        <w:rPr>
          <w:rFonts w:ascii="宋体" w:hAnsi="宋体"/>
          <w:b/>
          <w:color w:val="auto"/>
          <w:sz w:val="24"/>
          <w:highlight w:val="none"/>
        </w:rPr>
        <w:t>盖</w:t>
      </w:r>
      <w:r>
        <w:rPr>
          <w:rFonts w:hint="eastAsia" w:ascii="宋体" w:hAnsi="宋体"/>
          <w:b/>
          <w:color w:val="auto"/>
          <w:sz w:val="24"/>
          <w:highlight w:val="none"/>
        </w:rPr>
        <w:t>投</w:t>
      </w:r>
      <w:r>
        <w:rPr>
          <w:rFonts w:ascii="宋体" w:hAnsi="宋体"/>
          <w:b/>
          <w:color w:val="auto"/>
          <w:sz w:val="24"/>
          <w:highlight w:val="none"/>
        </w:rPr>
        <w:t>标人</w:t>
      </w:r>
      <w:r>
        <w:rPr>
          <w:rFonts w:hint="eastAsia" w:ascii="宋体" w:hAnsi="宋体"/>
          <w:b/>
          <w:color w:val="auto"/>
          <w:sz w:val="24"/>
          <w:highlight w:val="none"/>
        </w:rPr>
        <w:t>或其法定代表人的电子签名</w:t>
      </w:r>
      <w:r>
        <w:rPr>
          <w:rFonts w:hint="eastAsia" w:ascii="宋体" w:hAnsi="宋体" w:cs="楷体_GB2312"/>
          <w:b/>
          <w:color w:val="auto"/>
          <w:sz w:val="24"/>
          <w:highlight w:val="none"/>
        </w:rPr>
        <w:t>（签章）</w:t>
      </w:r>
      <w:r>
        <w:rPr>
          <w:rFonts w:hint="eastAsia" w:ascii="宋体" w:hAnsi="宋体"/>
          <w:b/>
          <w:color w:val="auto"/>
          <w:sz w:val="24"/>
          <w:highlight w:val="none"/>
        </w:rPr>
        <w:t>。</w:t>
      </w:r>
    </w:p>
    <w:p w14:paraId="3D3D75D6">
      <w:pPr>
        <w:autoSpaceDE w:val="0"/>
        <w:autoSpaceDN w:val="0"/>
        <w:adjustRightInd w:val="0"/>
        <w:snapToGrid w:val="0"/>
        <w:spacing w:beforeLines="50" w:line="300" w:lineRule="auto"/>
        <w:ind w:firstLine="566" w:firstLineChars="236"/>
        <w:jc w:val="left"/>
        <w:rPr>
          <w:rFonts w:ascii="宋体"/>
          <w:color w:val="auto"/>
          <w:sz w:val="24"/>
          <w:highlight w:val="none"/>
        </w:rPr>
      </w:pPr>
      <w:r>
        <w:rPr>
          <w:rFonts w:ascii="宋体" w:hAnsi="宋体"/>
          <w:color w:val="auto"/>
          <w:sz w:val="24"/>
          <w:highlight w:val="none"/>
        </w:rPr>
        <w:t xml:space="preserve">3.5.7 </w:t>
      </w:r>
      <w:r>
        <w:rPr>
          <w:rFonts w:hint="eastAsia" w:ascii="宋体" w:hAnsi="宋体"/>
          <w:color w:val="auto"/>
          <w:sz w:val="24"/>
          <w:highlight w:val="none"/>
        </w:rPr>
        <w:t>价格谈判</w:t>
      </w:r>
    </w:p>
    <w:p w14:paraId="7BAC5A24">
      <w:pPr>
        <w:autoSpaceDE w:val="0"/>
        <w:autoSpaceDN w:val="0"/>
        <w:adjustRightInd w:val="0"/>
        <w:snapToGrid w:val="0"/>
        <w:spacing w:beforeLines="50" w:line="300" w:lineRule="auto"/>
        <w:ind w:firstLine="566" w:firstLineChars="236"/>
        <w:jc w:val="left"/>
        <w:rPr>
          <w:rFonts w:ascii="宋体"/>
          <w:color w:val="auto"/>
          <w:sz w:val="24"/>
          <w:highlight w:val="none"/>
        </w:rPr>
      </w:pPr>
      <w:r>
        <w:rPr>
          <w:rFonts w:ascii="宋体" w:hAnsi="宋体"/>
          <w:color w:val="auto"/>
          <w:sz w:val="24"/>
          <w:highlight w:val="none"/>
        </w:rPr>
        <w:t xml:space="preserve">3.5.7.1 </w:t>
      </w:r>
      <w:r>
        <w:rPr>
          <w:rFonts w:hint="eastAsia" w:ascii="宋体" w:hAnsi="宋体"/>
          <w:color w:val="auto"/>
          <w:sz w:val="24"/>
          <w:highlight w:val="none"/>
        </w:rPr>
        <w:t>见第二章“采购项目及技术服务要求”</w:t>
      </w:r>
      <w:r>
        <w:rPr>
          <w:rFonts w:ascii="宋体" w:hAnsi="宋体"/>
          <w:color w:val="auto"/>
          <w:sz w:val="24"/>
          <w:highlight w:val="none"/>
        </w:rPr>
        <w:t>1.3.2</w:t>
      </w:r>
      <w:r>
        <w:rPr>
          <w:rFonts w:hint="eastAsia" w:ascii="宋体" w:hAnsi="宋体"/>
          <w:color w:val="auto"/>
          <w:sz w:val="24"/>
          <w:highlight w:val="none"/>
        </w:rPr>
        <w:t>项规定</w:t>
      </w:r>
    </w:p>
    <w:p w14:paraId="5C1F43EF">
      <w:pPr>
        <w:autoSpaceDE w:val="0"/>
        <w:autoSpaceDN w:val="0"/>
        <w:adjustRightInd w:val="0"/>
        <w:snapToGrid w:val="0"/>
        <w:spacing w:beforeLines="50" w:line="300" w:lineRule="auto"/>
        <w:ind w:firstLine="566" w:firstLineChars="236"/>
        <w:jc w:val="left"/>
        <w:rPr>
          <w:rFonts w:ascii="宋体"/>
          <w:color w:val="auto"/>
          <w:sz w:val="24"/>
          <w:highlight w:val="none"/>
        </w:rPr>
      </w:pPr>
      <w:r>
        <w:rPr>
          <w:rFonts w:ascii="宋体" w:hAnsi="宋体"/>
          <w:color w:val="auto"/>
          <w:sz w:val="24"/>
          <w:highlight w:val="none"/>
        </w:rPr>
        <w:t xml:space="preserve">3.5.7.2 </w:t>
      </w:r>
      <w:r>
        <w:rPr>
          <w:rFonts w:hint="eastAsia" w:ascii="宋体" w:hAnsi="宋体"/>
          <w:color w:val="auto"/>
          <w:sz w:val="24"/>
          <w:highlight w:val="none"/>
        </w:rPr>
        <w:t>谈判小组应当要求所有继续参加谈判的供应商在规定时间内提交最后报价，提交最后报价的供应商不得少于</w:t>
      </w:r>
      <w:r>
        <w:rPr>
          <w:rFonts w:ascii="宋体" w:hAnsi="宋体"/>
          <w:color w:val="auto"/>
          <w:sz w:val="24"/>
          <w:highlight w:val="none"/>
        </w:rPr>
        <w:t>3</w:t>
      </w:r>
      <w:r>
        <w:rPr>
          <w:rFonts w:hint="eastAsia" w:ascii="宋体" w:hAnsi="宋体"/>
          <w:color w:val="auto"/>
          <w:sz w:val="24"/>
          <w:highlight w:val="none"/>
        </w:rPr>
        <w:t>家。最后报价是投标文件（响应文件）的有效组成部分。</w:t>
      </w:r>
    </w:p>
    <w:p w14:paraId="6F1C1931">
      <w:pPr>
        <w:autoSpaceDE w:val="0"/>
        <w:autoSpaceDN w:val="0"/>
        <w:adjustRightInd w:val="0"/>
        <w:snapToGrid w:val="0"/>
        <w:spacing w:beforeLines="50" w:line="300" w:lineRule="auto"/>
        <w:ind w:firstLine="566" w:firstLineChars="236"/>
        <w:jc w:val="left"/>
        <w:rPr>
          <w:rFonts w:ascii="宋体" w:hAnsi="宋体"/>
          <w:color w:val="auto"/>
          <w:sz w:val="24"/>
          <w:highlight w:val="none"/>
        </w:rPr>
      </w:pPr>
      <w:r>
        <w:rPr>
          <w:rFonts w:ascii="宋体" w:hAnsi="宋体"/>
          <w:color w:val="auto"/>
          <w:sz w:val="24"/>
          <w:highlight w:val="none"/>
        </w:rPr>
        <w:t>3.5.8</w:t>
      </w:r>
      <w:r>
        <w:rPr>
          <w:rFonts w:hint="eastAsia" w:ascii="宋体" w:hAnsi="宋体"/>
          <w:color w:val="auto"/>
          <w:sz w:val="24"/>
          <w:highlight w:val="none"/>
        </w:rPr>
        <w:t xml:space="preserve"> 谈判文件的实质性变动影响到投标人因此无法继续参加谈判的，投标人可以在提交最后报价之前退出谈判。其响应文件按无效处理的投标人，所提交的最后报价也按无效处理。</w:t>
      </w:r>
    </w:p>
    <w:p w14:paraId="605380EC">
      <w:pPr>
        <w:autoSpaceDE w:val="0"/>
        <w:autoSpaceDN w:val="0"/>
        <w:adjustRightInd w:val="0"/>
        <w:snapToGrid w:val="0"/>
        <w:spacing w:beforeLines="50" w:line="300" w:lineRule="auto"/>
        <w:ind w:firstLine="569" w:firstLineChars="236"/>
        <w:jc w:val="left"/>
        <w:rPr>
          <w:rFonts w:ascii="宋体" w:hAnsi="宋体"/>
          <w:b/>
          <w:color w:val="auto"/>
          <w:sz w:val="24"/>
          <w:highlight w:val="none"/>
        </w:rPr>
      </w:pPr>
      <w:r>
        <w:rPr>
          <w:rFonts w:ascii="宋体" w:hAnsi="宋体"/>
          <w:b/>
          <w:color w:val="auto"/>
          <w:sz w:val="24"/>
          <w:highlight w:val="none"/>
        </w:rPr>
        <w:t>3.5.9</w:t>
      </w:r>
      <w:r>
        <w:rPr>
          <w:rFonts w:hint="eastAsia" w:ascii="宋体" w:hAnsi="宋体"/>
          <w:b/>
          <w:color w:val="auto"/>
          <w:sz w:val="24"/>
          <w:highlight w:val="none"/>
        </w:rPr>
        <w:t xml:space="preserve"> 投标人提交最后报价应在系统中填列。</w:t>
      </w:r>
    </w:p>
    <w:p w14:paraId="6EEA9266">
      <w:pPr>
        <w:autoSpaceDE w:val="0"/>
        <w:autoSpaceDN w:val="0"/>
        <w:adjustRightInd w:val="0"/>
        <w:snapToGrid w:val="0"/>
        <w:spacing w:beforeLines="50" w:line="300" w:lineRule="auto"/>
        <w:ind w:firstLine="569" w:firstLineChars="236"/>
        <w:jc w:val="left"/>
        <w:rPr>
          <w:rFonts w:ascii="宋体" w:hAnsi="宋体"/>
          <w:b/>
          <w:color w:val="auto"/>
          <w:sz w:val="24"/>
          <w:highlight w:val="none"/>
        </w:rPr>
      </w:pPr>
      <w:r>
        <w:rPr>
          <w:rFonts w:ascii="宋体" w:hAnsi="宋体"/>
          <w:b/>
          <w:color w:val="auto"/>
          <w:sz w:val="24"/>
          <w:highlight w:val="none"/>
        </w:rPr>
        <w:t>3.5.10</w:t>
      </w:r>
      <w:r>
        <w:rPr>
          <w:rFonts w:hint="eastAsia"/>
          <w:b/>
          <w:color w:val="auto"/>
          <w:sz w:val="24"/>
          <w:szCs w:val="24"/>
          <w:highlight w:val="none"/>
        </w:rPr>
        <w:t>本项目在开标后只进行一轮报价，即最后报价。网</w:t>
      </w:r>
      <w:r>
        <w:rPr>
          <w:b/>
          <w:color w:val="auto"/>
          <w:sz w:val="24"/>
          <w:szCs w:val="24"/>
          <w:highlight w:val="none"/>
        </w:rPr>
        <w:t>上交易系统中</w:t>
      </w:r>
      <w:r>
        <w:rPr>
          <w:rFonts w:hint="eastAsia"/>
          <w:b/>
          <w:color w:val="auto"/>
          <w:sz w:val="24"/>
          <w:szCs w:val="24"/>
          <w:highlight w:val="none"/>
        </w:rPr>
        <w:t>管理员发起最后报价后，</w:t>
      </w:r>
      <w:r>
        <w:rPr>
          <w:rFonts w:hint="eastAsia" w:ascii="宋体" w:hAnsi="宋体"/>
          <w:b/>
          <w:color w:val="auto"/>
          <w:sz w:val="24"/>
          <w:highlight w:val="none"/>
        </w:rPr>
        <w:t>如投标人未在指定时限内提交最后报价，视为该供应商根据谈判情况退出谈判。</w:t>
      </w:r>
    </w:p>
    <w:p w14:paraId="1BD57499">
      <w:pPr>
        <w:autoSpaceDE w:val="0"/>
        <w:autoSpaceDN w:val="0"/>
        <w:adjustRightInd w:val="0"/>
        <w:snapToGrid w:val="0"/>
        <w:spacing w:beforeLines="50" w:line="300" w:lineRule="auto"/>
        <w:ind w:firstLine="569" w:firstLineChars="236"/>
        <w:jc w:val="left"/>
        <w:rPr>
          <w:rFonts w:ascii="宋体" w:hAnsi="宋体"/>
          <w:b/>
          <w:color w:val="auto"/>
          <w:sz w:val="24"/>
          <w:highlight w:val="none"/>
        </w:rPr>
      </w:pPr>
      <w:r>
        <w:rPr>
          <w:rFonts w:ascii="宋体" w:hAnsi="宋体"/>
          <w:b/>
          <w:color w:val="auto"/>
          <w:sz w:val="24"/>
          <w:highlight w:val="none"/>
        </w:rPr>
        <w:t xml:space="preserve">3.5.11 </w:t>
      </w:r>
      <w:r>
        <w:rPr>
          <w:rFonts w:hint="eastAsia" w:ascii="宋体" w:hAnsi="宋体"/>
          <w:b/>
          <w:color w:val="auto"/>
          <w:sz w:val="24"/>
          <w:highlight w:val="none"/>
        </w:rPr>
        <w:t>投标人在网上报价过程中，如遇到网上投标系统的操作问题，可通过网上预留的咨询电话进行咨询。投标人因未按照要求进行操作、投标人办理的数字证书失效等其他自身原因导致响应文件错误或无效的，谈判小组将认定其为无效投</w:t>
      </w:r>
      <w:r>
        <w:rPr>
          <w:rFonts w:ascii="宋体" w:hAnsi="宋体"/>
          <w:b/>
          <w:color w:val="auto"/>
          <w:sz w:val="24"/>
          <w:highlight w:val="none"/>
        </w:rPr>
        <w:t>标</w:t>
      </w:r>
      <w:r>
        <w:rPr>
          <w:rFonts w:hint="eastAsia" w:ascii="宋体" w:hAnsi="宋体"/>
          <w:b/>
          <w:color w:val="auto"/>
          <w:sz w:val="24"/>
          <w:highlight w:val="none"/>
        </w:rPr>
        <w:t>。</w:t>
      </w:r>
    </w:p>
    <w:p w14:paraId="239E31AF">
      <w:pPr>
        <w:autoSpaceDE w:val="0"/>
        <w:autoSpaceDN w:val="0"/>
        <w:adjustRightInd w:val="0"/>
        <w:snapToGrid w:val="0"/>
        <w:spacing w:beforeLines="50" w:line="300" w:lineRule="auto"/>
        <w:ind w:firstLine="569" w:firstLineChars="236"/>
        <w:jc w:val="left"/>
        <w:rPr>
          <w:rFonts w:ascii="宋体"/>
          <w:color w:val="auto"/>
          <w:sz w:val="24"/>
          <w:highlight w:val="none"/>
        </w:rPr>
      </w:pPr>
      <w:r>
        <w:rPr>
          <w:rFonts w:ascii="黑体" w:hAnsi="黑体" w:eastAsia="黑体"/>
          <w:b/>
          <w:color w:val="auto"/>
          <w:sz w:val="24"/>
          <w:highlight w:val="none"/>
        </w:rPr>
        <w:t xml:space="preserve">3.6 </w:t>
      </w:r>
      <w:r>
        <w:rPr>
          <w:rFonts w:hint="eastAsia" w:ascii="黑体" w:hAnsi="黑体" w:eastAsia="黑体"/>
          <w:b/>
          <w:color w:val="auto"/>
          <w:sz w:val="24"/>
          <w:highlight w:val="none"/>
        </w:rPr>
        <w:t>复核</w:t>
      </w:r>
      <w:r>
        <w:rPr>
          <w:rFonts w:hint="eastAsia" w:ascii="宋体" w:hAnsi="宋体"/>
          <w:color w:val="auto"/>
          <w:sz w:val="24"/>
          <w:highlight w:val="none"/>
        </w:rPr>
        <w:t>：谈判小组对排名第一的、报价最低的、投标或相应文件被认定为无效的情形按谈判文件实质性要求进行重点复核。</w:t>
      </w:r>
    </w:p>
    <w:p w14:paraId="327F73FA">
      <w:pPr>
        <w:autoSpaceDE w:val="0"/>
        <w:autoSpaceDN w:val="0"/>
        <w:adjustRightInd w:val="0"/>
        <w:snapToGrid w:val="0"/>
        <w:spacing w:beforeLines="50" w:line="300" w:lineRule="auto"/>
        <w:ind w:firstLine="569" w:firstLineChars="236"/>
        <w:jc w:val="left"/>
        <w:rPr>
          <w:rFonts w:ascii="黑体" w:hAnsi="黑体" w:eastAsia="黑体"/>
          <w:b/>
          <w:color w:val="auto"/>
          <w:sz w:val="24"/>
          <w:highlight w:val="none"/>
        </w:rPr>
      </w:pPr>
      <w:r>
        <w:rPr>
          <w:rFonts w:ascii="黑体" w:hAnsi="黑体" w:eastAsia="黑体"/>
          <w:b/>
          <w:color w:val="auto"/>
          <w:sz w:val="24"/>
          <w:highlight w:val="none"/>
        </w:rPr>
        <w:t xml:space="preserve">3.7 </w:t>
      </w:r>
      <w:r>
        <w:rPr>
          <w:rFonts w:hint="eastAsia" w:ascii="黑体" w:hAnsi="黑体" w:eastAsia="黑体"/>
          <w:b/>
          <w:color w:val="auto"/>
          <w:sz w:val="24"/>
          <w:highlight w:val="none"/>
        </w:rPr>
        <w:t>评审结果</w:t>
      </w:r>
    </w:p>
    <w:p w14:paraId="2B1CA980">
      <w:pPr>
        <w:autoSpaceDE w:val="0"/>
        <w:autoSpaceDN w:val="0"/>
        <w:adjustRightInd w:val="0"/>
        <w:snapToGrid w:val="0"/>
        <w:spacing w:beforeLines="50" w:line="300" w:lineRule="auto"/>
        <w:ind w:firstLine="616" w:firstLineChars="257"/>
        <w:jc w:val="left"/>
        <w:rPr>
          <w:rFonts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 xml:space="preserve">7 </w:t>
      </w:r>
      <w:r>
        <w:rPr>
          <w:rFonts w:ascii="宋体" w:hAnsi="宋体"/>
          <w:color w:val="auto"/>
          <w:sz w:val="24"/>
          <w:highlight w:val="none"/>
        </w:rPr>
        <w:t>.1</w:t>
      </w:r>
      <w:r>
        <w:rPr>
          <w:rFonts w:hint="eastAsia" w:ascii="宋体" w:hAnsi="宋体"/>
          <w:color w:val="auto"/>
          <w:sz w:val="24"/>
          <w:highlight w:val="none"/>
        </w:rPr>
        <w:t xml:space="preserve"> 谈判小组从质量和服务均能满足谈判文件实质性响应要求的投标人中，按照报价（扣除经评审合格的“价格扣除”，见本章第</w:t>
      </w:r>
      <w:r>
        <w:rPr>
          <w:rFonts w:ascii="宋体" w:hAnsi="宋体"/>
          <w:color w:val="auto"/>
          <w:sz w:val="24"/>
          <w:highlight w:val="none"/>
        </w:rPr>
        <w:t>4</w:t>
      </w:r>
      <w:r>
        <w:rPr>
          <w:rFonts w:hint="eastAsia" w:ascii="宋体" w:hAnsi="宋体"/>
          <w:color w:val="auto"/>
          <w:sz w:val="24"/>
          <w:highlight w:val="none"/>
        </w:rPr>
        <w:t>条）由低到高的顺序提出</w:t>
      </w:r>
      <w:r>
        <w:rPr>
          <w:rFonts w:ascii="宋体" w:hAnsi="宋体"/>
          <w:color w:val="auto"/>
          <w:sz w:val="24"/>
          <w:highlight w:val="none"/>
        </w:rPr>
        <w:t>3</w:t>
      </w:r>
      <w:r>
        <w:rPr>
          <w:rFonts w:hint="eastAsia" w:ascii="宋体" w:hAnsi="宋体"/>
          <w:color w:val="auto"/>
          <w:sz w:val="24"/>
          <w:highlight w:val="none"/>
        </w:rPr>
        <w:t>名以上成交候选人，并编写书面评审报告。</w:t>
      </w:r>
    </w:p>
    <w:p w14:paraId="0B62373B">
      <w:pPr>
        <w:autoSpaceDE w:val="0"/>
        <w:autoSpaceDN w:val="0"/>
        <w:adjustRightInd w:val="0"/>
        <w:snapToGrid w:val="0"/>
        <w:spacing w:beforeLines="50" w:line="300" w:lineRule="auto"/>
        <w:ind w:firstLine="566" w:firstLineChars="236"/>
        <w:jc w:val="left"/>
        <w:rPr>
          <w:rFonts w:ascii="宋体"/>
          <w:color w:val="auto"/>
          <w:sz w:val="24"/>
          <w:highlight w:val="none"/>
        </w:rPr>
      </w:pPr>
      <w:r>
        <w:rPr>
          <w:rFonts w:ascii="宋体" w:hAnsi="宋体"/>
          <w:color w:val="auto"/>
          <w:sz w:val="24"/>
          <w:highlight w:val="none"/>
        </w:rPr>
        <w:t>3.</w:t>
      </w:r>
      <w:r>
        <w:rPr>
          <w:rFonts w:hint="eastAsia" w:ascii="宋体" w:hAnsi="宋体"/>
          <w:color w:val="auto"/>
          <w:sz w:val="24"/>
          <w:highlight w:val="none"/>
        </w:rPr>
        <w:t>7</w:t>
      </w:r>
      <w:r>
        <w:rPr>
          <w:rFonts w:ascii="宋体" w:hAnsi="宋体"/>
          <w:color w:val="auto"/>
          <w:sz w:val="24"/>
          <w:highlight w:val="none"/>
        </w:rPr>
        <w:t xml:space="preserve">.2 </w:t>
      </w:r>
      <w:r>
        <w:rPr>
          <w:rFonts w:hint="eastAsia" w:ascii="宋体" w:hAnsi="宋体"/>
          <w:color w:val="auto"/>
          <w:sz w:val="24"/>
          <w:highlight w:val="none"/>
        </w:rPr>
        <w:t>确定成交供应商：按第三章“投标人须知前附表”</w:t>
      </w:r>
      <w:r>
        <w:rPr>
          <w:rFonts w:ascii="宋体" w:hAnsi="宋体"/>
          <w:color w:val="auto"/>
          <w:sz w:val="24"/>
          <w:highlight w:val="none"/>
        </w:rPr>
        <w:t>7.1</w:t>
      </w:r>
      <w:r>
        <w:rPr>
          <w:rFonts w:hint="eastAsia" w:ascii="宋体" w:hAnsi="宋体"/>
          <w:color w:val="auto"/>
          <w:sz w:val="24"/>
          <w:highlight w:val="none"/>
        </w:rPr>
        <w:t>款规定及本章第</w:t>
      </w:r>
      <w:r>
        <w:rPr>
          <w:rFonts w:ascii="宋体" w:hAnsi="宋体"/>
          <w:color w:val="auto"/>
          <w:sz w:val="24"/>
          <w:highlight w:val="none"/>
        </w:rPr>
        <w:t>1</w:t>
      </w:r>
      <w:r>
        <w:rPr>
          <w:rFonts w:hint="eastAsia" w:ascii="宋体" w:hAnsi="宋体"/>
          <w:color w:val="auto"/>
          <w:sz w:val="24"/>
          <w:highlight w:val="none"/>
        </w:rPr>
        <w:t>条规定。</w:t>
      </w:r>
    </w:p>
    <w:p w14:paraId="04F795BA">
      <w:pPr>
        <w:autoSpaceDE w:val="0"/>
        <w:autoSpaceDN w:val="0"/>
        <w:adjustRightInd w:val="0"/>
        <w:snapToGrid w:val="0"/>
        <w:spacing w:beforeLines="50" w:line="300" w:lineRule="auto"/>
        <w:ind w:firstLine="569" w:firstLineChars="236"/>
        <w:jc w:val="left"/>
        <w:rPr>
          <w:rFonts w:ascii="黑体" w:hAnsi="黑体" w:eastAsia="黑体"/>
          <w:b/>
          <w:color w:val="auto"/>
          <w:sz w:val="24"/>
          <w:highlight w:val="none"/>
        </w:rPr>
      </w:pPr>
      <w:r>
        <w:rPr>
          <w:rFonts w:ascii="黑体" w:hAnsi="黑体" w:eastAsia="黑体"/>
          <w:b/>
          <w:color w:val="auto"/>
          <w:sz w:val="24"/>
          <w:highlight w:val="none"/>
        </w:rPr>
        <w:t xml:space="preserve">3.8 </w:t>
      </w:r>
      <w:r>
        <w:rPr>
          <w:rFonts w:hint="eastAsia" w:ascii="黑体" w:hAnsi="黑体" w:eastAsia="黑体"/>
          <w:b/>
          <w:color w:val="auto"/>
          <w:sz w:val="24"/>
          <w:highlight w:val="none"/>
        </w:rPr>
        <w:t>谈判终止</w:t>
      </w:r>
    </w:p>
    <w:p w14:paraId="208587A3">
      <w:pPr>
        <w:autoSpaceDE w:val="0"/>
        <w:autoSpaceDN w:val="0"/>
        <w:adjustRightInd w:val="0"/>
        <w:snapToGrid w:val="0"/>
        <w:spacing w:beforeLines="50" w:line="300" w:lineRule="auto"/>
        <w:ind w:firstLine="566" w:firstLineChars="236"/>
        <w:jc w:val="left"/>
        <w:rPr>
          <w:rFonts w:ascii="宋体"/>
          <w:color w:val="auto"/>
          <w:sz w:val="24"/>
          <w:highlight w:val="none"/>
        </w:rPr>
      </w:pPr>
      <w:r>
        <w:rPr>
          <w:rFonts w:ascii="宋体" w:hAnsi="宋体"/>
          <w:color w:val="auto"/>
          <w:sz w:val="24"/>
          <w:highlight w:val="none"/>
        </w:rPr>
        <w:t>3.</w:t>
      </w:r>
      <w:r>
        <w:rPr>
          <w:rFonts w:hint="eastAsia" w:ascii="宋体" w:hAnsi="宋体"/>
          <w:color w:val="auto"/>
          <w:sz w:val="24"/>
          <w:highlight w:val="none"/>
        </w:rPr>
        <w:t>8</w:t>
      </w:r>
      <w:r>
        <w:rPr>
          <w:rFonts w:ascii="宋体" w:hAnsi="宋体"/>
          <w:color w:val="auto"/>
          <w:sz w:val="24"/>
          <w:highlight w:val="none"/>
        </w:rPr>
        <w:t xml:space="preserve">.1 </w:t>
      </w:r>
      <w:r>
        <w:rPr>
          <w:rFonts w:hint="eastAsia" w:ascii="宋体" w:hAnsi="宋体"/>
          <w:color w:val="auto"/>
          <w:sz w:val="24"/>
          <w:highlight w:val="none"/>
        </w:rPr>
        <w:t>出现下列情形之一的，终止竞争性谈判活动：</w:t>
      </w:r>
    </w:p>
    <w:p w14:paraId="6639F5AE">
      <w:pPr>
        <w:autoSpaceDE w:val="0"/>
        <w:autoSpaceDN w:val="0"/>
        <w:adjustRightInd w:val="0"/>
        <w:snapToGrid w:val="0"/>
        <w:spacing w:line="300" w:lineRule="auto"/>
        <w:ind w:firstLine="566" w:firstLineChars="236"/>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）因情况变化，不再符合规定的竞争性谈判方式适用情形的；</w:t>
      </w:r>
    </w:p>
    <w:p w14:paraId="786A790B">
      <w:pPr>
        <w:autoSpaceDE w:val="0"/>
        <w:autoSpaceDN w:val="0"/>
        <w:adjustRightInd w:val="0"/>
        <w:snapToGrid w:val="0"/>
        <w:spacing w:line="300" w:lineRule="auto"/>
        <w:ind w:firstLine="566" w:firstLineChars="236"/>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）出现影响采购公正的违法、违规行为的；</w:t>
      </w:r>
    </w:p>
    <w:p w14:paraId="4C0B4EF0">
      <w:pPr>
        <w:autoSpaceDE w:val="0"/>
        <w:autoSpaceDN w:val="0"/>
        <w:adjustRightInd w:val="0"/>
        <w:snapToGrid w:val="0"/>
        <w:spacing w:line="300" w:lineRule="auto"/>
        <w:ind w:firstLine="566" w:firstLineChars="236"/>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）在采购过程中符合竞争要求的供应商或者报价未超过预算金额的供应商不足</w:t>
      </w:r>
      <w:r>
        <w:rPr>
          <w:rFonts w:ascii="宋体" w:hAnsi="宋体"/>
          <w:color w:val="auto"/>
          <w:sz w:val="24"/>
          <w:highlight w:val="none"/>
        </w:rPr>
        <w:t>3</w:t>
      </w:r>
      <w:r>
        <w:rPr>
          <w:rFonts w:hint="eastAsia" w:ascii="宋体" w:hAnsi="宋体"/>
          <w:color w:val="auto"/>
          <w:sz w:val="24"/>
          <w:highlight w:val="none"/>
        </w:rPr>
        <w:t>家的。</w:t>
      </w:r>
    </w:p>
    <w:p w14:paraId="4ED3897F">
      <w:pPr>
        <w:autoSpaceDE w:val="0"/>
        <w:autoSpaceDN w:val="0"/>
        <w:adjustRightInd w:val="0"/>
        <w:snapToGrid w:val="0"/>
        <w:spacing w:line="300" w:lineRule="auto"/>
        <w:ind w:firstLine="566" w:firstLineChars="236"/>
        <w:jc w:val="left"/>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4</w:t>
      </w:r>
      <w:r>
        <w:rPr>
          <w:rFonts w:hint="eastAsia" w:ascii="宋体" w:hAnsi="宋体"/>
          <w:color w:val="auto"/>
          <w:sz w:val="24"/>
          <w:highlight w:val="none"/>
        </w:rPr>
        <w:t>）在采购活动中因重大变故，采购任务取消的</w:t>
      </w:r>
      <w:r>
        <w:rPr>
          <w:rFonts w:ascii="宋体" w:hAnsi="宋体"/>
          <w:color w:val="auto"/>
          <w:sz w:val="24"/>
          <w:highlight w:val="none"/>
        </w:rPr>
        <w:t>.</w:t>
      </w:r>
    </w:p>
    <w:p w14:paraId="49F594A4">
      <w:pPr>
        <w:autoSpaceDE w:val="0"/>
        <w:autoSpaceDN w:val="0"/>
        <w:adjustRightInd w:val="0"/>
        <w:snapToGrid w:val="0"/>
        <w:spacing w:beforeLines="50" w:line="300" w:lineRule="auto"/>
        <w:ind w:firstLine="566" w:firstLineChars="236"/>
        <w:jc w:val="left"/>
        <w:rPr>
          <w:rFonts w:ascii="宋体"/>
          <w:color w:val="auto"/>
          <w:sz w:val="24"/>
          <w:highlight w:val="none"/>
        </w:rPr>
      </w:pPr>
      <w:r>
        <w:rPr>
          <w:rFonts w:ascii="宋体" w:hAnsi="宋体"/>
          <w:color w:val="auto"/>
          <w:sz w:val="24"/>
          <w:highlight w:val="none"/>
        </w:rPr>
        <w:t>3.</w:t>
      </w:r>
      <w:r>
        <w:rPr>
          <w:rFonts w:hint="eastAsia" w:ascii="宋体" w:hAnsi="宋体"/>
          <w:color w:val="auto"/>
          <w:sz w:val="24"/>
          <w:highlight w:val="none"/>
        </w:rPr>
        <w:t>8</w:t>
      </w:r>
      <w:r>
        <w:rPr>
          <w:rFonts w:ascii="宋体" w:hAnsi="宋体"/>
          <w:color w:val="auto"/>
          <w:sz w:val="24"/>
          <w:highlight w:val="none"/>
        </w:rPr>
        <w:t xml:space="preserve">.2 </w:t>
      </w:r>
      <w:r>
        <w:rPr>
          <w:rFonts w:hint="eastAsia" w:ascii="宋体" w:hAnsi="宋体"/>
          <w:color w:val="auto"/>
          <w:sz w:val="24"/>
          <w:highlight w:val="none"/>
        </w:rPr>
        <w:t>谈判小组要在采购项目（标段</w:t>
      </w:r>
      <w:r>
        <w:rPr>
          <w:rFonts w:hint="eastAsia" w:ascii="宋体" w:hAnsi="宋体" w:cs="楷体_GB2312"/>
          <w:color w:val="auto"/>
          <w:sz w:val="24"/>
          <w:highlight w:val="none"/>
          <w:lang w:val="zh-CN"/>
        </w:rPr>
        <w:t>&lt;包&gt;</w:t>
      </w:r>
      <w:r>
        <w:rPr>
          <w:rFonts w:hint="eastAsia" w:ascii="宋体" w:hAnsi="宋体"/>
          <w:color w:val="auto"/>
          <w:sz w:val="24"/>
          <w:highlight w:val="none"/>
        </w:rPr>
        <w:t>）谈判失败时，出具谈判文件是否存在不合理条款的论证意见，要协助采购人、采购代理机构、财政部门答复质疑或处理投诉事项。　</w:t>
      </w:r>
    </w:p>
    <w:p w14:paraId="5C28DFF8">
      <w:pPr>
        <w:autoSpaceDE w:val="0"/>
        <w:autoSpaceDN w:val="0"/>
        <w:adjustRightInd w:val="0"/>
        <w:snapToGrid w:val="0"/>
        <w:spacing w:beforeLines="50" w:line="300" w:lineRule="auto"/>
        <w:ind w:firstLine="566" w:firstLineChars="236"/>
        <w:jc w:val="left"/>
        <w:rPr>
          <w:rFonts w:ascii="宋体"/>
          <w:color w:val="auto"/>
          <w:sz w:val="24"/>
          <w:highlight w:val="none"/>
        </w:rPr>
      </w:pPr>
    </w:p>
    <w:p w14:paraId="18EEB89A">
      <w:pPr>
        <w:pStyle w:val="48"/>
        <w:snapToGrid w:val="0"/>
        <w:spacing w:beforeLines="50" w:line="300" w:lineRule="auto"/>
        <w:ind w:firstLine="422" w:firstLineChars="150"/>
        <w:jc w:val="both"/>
        <w:outlineLvl w:val="1"/>
        <w:rPr>
          <w:rFonts w:ascii="黑体" w:hAnsi="黑体" w:eastAsia="黑体" w:cs="楷体_GB2312"/>
          <w:b/>
          <w:bCs/>
          <w:color w:val="auto"/>
          <w:sz w:val="28"/>
          <w:szCs w:val="28"/>
          <w:highlight w:val="none"/>
          <w:lang w:val="zh-CN"/>
        </w:rPr>
      </w:pPr>
      <w:bookmarkStart w:id="46" w:name="_Toc60844012"/>
      <w:bookmarkStart w:id="47" w:name="_Toc209083646"/>
      <w:r>
        <w:rPr>
          <w:rFonts w:ascii="黑体" w:hAnsi="黑体" w:eastAsia="黑体" w:cs="楷体_GB2312"/>
          <w:b/>
          <w:bCs/>
          <w:color w:val="auto"/>
          <w:sz w:val="28"/>
          <w:szCs w:val="28"/>
          <w:highlight w:val="none"/>
          <w:lang w:val="zh-CN"/>
        </w:rPr>
        <w:t xml:space="preserve">4. </w:t>
      </w:r>
      <w:r>
        <w:rPr>
          <w:rFonts w:hint="eastAsia" w:ascii="黑体" w:hAnsi="黑体" w:eastAsia="黑体" w:cs="楷体_GB2312"/>
          <w:b/>
          <w:bCs/>
          <w:color w:val="auto"/>
          <w:sz w:val="28"/>
          <w:szCs w:val="28"/>
          <w:highlight w:val="none"/>
          <w:lang w:val="zh-CN"/>
        </w:rPr>
        <w:t>政府采购促进中小企业发展扶持政策</w:t>
      </w:r>
      <w:bookmarkEnd w:id="46"/>
      <w:bookmarkEnd w:id="47"/>
    </w:p>
    <w:p w14:paraId="2C02FD96">
      <w:pPr>
        <w:autoSpaceDE w:val="0"/>
        <w:autoSpaceDN w:val="0"/>
        <w:adjustRightInd w:val="0"/>
        <w:snapToGrid w:val="0"/>
        <w:spacing w:beforeLines="50" w:line="300" w:lineRule="auto"/>
        <w:ind w:firstLine="566" w:firstLineChars="236"/>
        <w:jc w:val="left"/>
        <w:rPr>
          <w:rFonts w:ascii="宋体" w:hAnsi="宋体"/>
          <w:color w:val="auto"/>
          <w:sz w:val="24"/>
          <w:highlight w:val="none"/>
        </w:rPr>
      </w:pPr>
      <w:r>
        <w:rPr>
          <w:rFonts w:hint="eastAsia" w:ascii="宋体" w:hAnsi="宋体"/>
          <w:color w:val="auto"/>
          <w:sz w:val="24"/>
          <w:highlight w:val="none"/>
        </w:rPr>
        <w:t>4.1</w:t>
      </w:r>
      <w:r>
        <w:rPr>
          <w:rFonts w:ascii="宋体" w:hAnsi="宋体"/>
          <w:color w:val="auto"/>
          <w:sz w:val="24"/>
          <w:highlight w:val="none"/>
        </w:rPr>
        <w:t>在政府采购活动中，供应商提供的货物、工程或者服务符合下列情形的， 享受</w:t>
      </w:r>
      <w:r>
        <w:rPr>
          <w:rFonts w:hint="eastAsia" w:ascii="宋体" w:hAnsi="宋体"/>
          <w:color w:val="auto"/>
          <w:sz w:val="24"/>
          <w:highlight w:val="none"/>
        </w:rPr>
        <w:t>《政府采购促进中小企业发展管理办法》</w:t>
      </w:r>
      <w:r>
        <w:rPr>
          <w:rFonts w:ascii="宋体" w:hAnsi="宋体"/>
          <w:color w:val="auto"/>
          <w:sz w:val="24"/>
          <w:highlight w:val="none"/>
        </w:rPr>
        <w:t>规定的中小企业扶持政策：</w:t>
      </w:r>
      <w:r>
        <w:rPr>
          <w:rFonts w:ascii="宋体" w:hAnsi="宋体"/>
          <w:color w:val="auto"/>
          <w:sz w:val="24"/>
          <w:highlight w:val="none"/>
        </w:rPr>
        <w:br w:type="textWrapping"/>
      </w:r>
      <w:r>
        <w:rPr>
          <w:rFonts w:ascii="宋体" w:hAnsi="宋体"/>
          <w:color w:val="auto"/>
          <w:sz w:val="24"/>
          <w:highlight w:val="none"/>
        </w:rPr>
        <w:t>（一） 在货物采购项目中，货物由中小企业制造，即货物由中小企业生产且使用该中小企业商号或者注册商标；</w:t>
      </w:r>
      <w:r>
        <w:rPr>
          <w:rFonts w:ascii="宋体" w:hAnsi="宋体"/>
          <w:color w:val="auto"/>
          <w:sz w:val="24"/>
          <w:highlight w:val="none"/>
        </w:rPr>
        <w:br w:type="textWrapping"/>
      </w:r>
      <w:r>
        <w:rPr>
          <w:rFonts w:ascii="宋体" w:hAnsi="宋体"/>
          <w:color w:val="auto"/>
          <w:sz w:val="24"/>
          <w:highlight w:val="none"/>
        </w:rPr>
        <w:t>（二） 在工程采购项目中，工程由中小企业承建，即工程施工单位为中小企业；</w:t>
      </w:r>
      <w:r>
        <w:rPr>
          <w:rFonts w:ascii="宋体" w:hAnsi="宋体"/>
          <w:color w:val="auto"/>
          <w:sz w:val="24"/>
          <w:highlight w:val="none"/>
        </w:rPr>
        <w:br w:type="textWrapping"/>
      </w:r>
      <w:r>
        <w:rPr>
          <w:rFonts w:ascii="宋体" w:hAnsi="宋体"/>
          <w:color w:val="auto"/>
          <w:sz w:val="24"/>
          <w:highlight w:val="none"/>
        </w:rPr>
        <w:t>（三）在服务采购项目中，服务由中小企业承接，即提供服务的人员为中小企业依照《中华人民共和国劳动合同法》订立劳动合同的从业人员</w:t>
      </w:r>
      <w:r>
        <w:rPr>
          <w:rFonts w:hint="eastAsia" w:ascii="宋体" w:hAnsi="宋体"/>
          <w:color w:val="auto"/>
          <w:sz w:val="24"/>
          <w:highlight w:val="none"/>
        </w:rPr>
        <w:t>。</w:t>
      </w:r>
    </w:p>
    <w:p w14:paraId="563BA4C0">
      <w:pPr>
        <w:autoSpaceDE w:val="0"/>
        <w:autoSpaceDN w:val="0"/>
        <w:adjustRightInd w:val="0"/>
        <w:snapToGrid w:val="0"/>
        <w:spacing w:beforeLines="50" w:line="300" w:lineRule="auto"/>
        <w:ind w:firstLine="566" w:firstLineChars="236"/>
        <w:jc w:val="left"/>
        <w:rPr>
          <w:rFonts w:ascii="宋体" w:hAnsi="宋体"/>
          <w:color w:val="auto"/>
          <w:sz w:val="24"/>
          <w:highlight w:val="none"/>
        </w:rPr>
      </w:pPr>
      <w:r>
        <w:rPr>
          <w:rFonts w:ascii="宋体" w:hAnsi="宋体"/>
          <w:color w:val="auto"/>
          <w:sz w:val="24"/>
          <w:highlight w:val="none"/>
        </w:rPr>
        <w:t>在货物采购项目中，供应商提供的货物既有中小企业制造货物，也有大型企业制造货物的，不享受中小企业扶持政策。</w:t>
      </w:r>
      <w:r>
        <w:rPr>
          <w:rFonts w:ascii="宋体" w:hAnsi="宋体"/>
          <w:color w:val="auto"/>
          <w:sz w:val="24"/>
          <w:highlight w:val="none"/>
        </w:rPr>
        <w:br w:type="textWrapping"/>
      </w:r>
      <w:r>
        <w:rPr>
          <w:rFonts w:ascii="宋体" w:hAnsi="宋体"/>
          <w:color w:val="auto"/>
          <w:sz w:val="24"/>
          <w:highlight w:val="none"/>
        </w:rPr>
        <w:t>以联合体形式参加政府采购活动，联合体各方均为中小企业的，联合体视同中小企业。其中，联合体各方均为小微企业的，联合体视同小微企业。</w:t>
      </w:r>
    </w:p>
    <w:p w14:paraId="21BCA5A7">
      <w:pPr>
        <w:autoSpaceDE w:val="0"/>
        <w:autoSpaceDN w:val="0"/>
        <w:adjustRightInd w:val="0"/>
        <w:snapToGrid w:val="0"/>
        <w:spacing w:beforeLines="50" w:line="300" w:lineRule="auto"/>
        <w:ind w:firstLine="566" w:firstLineChars="236"/>
        <w:jc w:val="left"/>
        <w:rPr>
          <w:rFonts w:ascii="宋体" w:hAnsi="宋体"/>
          <w:color w:val="auto"/>
          <w:sz w:val="24"/>
          <w:highlight w:val="none"/>
        </w:rPr>
      </w:pPr>
      <w:r>
        <w:rPr>
          <w:rFonts w:hint="eastAsia" w:ascii="宋体" w:hAnsi="宋体"/>
          <w:color w:val="auto"/>
          <w:sz w:val="24"/>
          <w:highlight w:val="none"/>
        </w:rPr>
        <w:t>4.2 符合中小企业划分标准的个体工商户，在政府采购活动中视同中小企业。</w:t>
      </w:r>
    </w:p>
    <w:p w14:paraId="73869C4E">
      <w:pPr>
        <w:autoSpaceDE w:val="0"/>
        <w:autoSpaceDN w:val="0"/>
        <w:adjustRightInd w:val="0"/>
        <w:snapToGrid w:val="0"/>
        <w:spacing w:beforeLines="50" w:line="300" w:lineRule="auto"/>
        <w:ind w:firstLine="566" w:firstLineChars="236"/>
        <w:jc w:val="left"/>
        <w:rPr>
          <w:rFonts w:ascii="宋体" w:hAnsi="宋体"/>
          <w:color w:val="auto"/>
          <w:sz w:val="24"/>
          <w:highlight w:val="none"/>
        </w:rPr>
      </w:pPr>
      <w:r>
        <w:rPr>
          <w:rFonts w:ascii="宋体" w:hAnsi="宋体"/>
          <w:color w:val="auto"/>
          <w:sz w:val="24"/>
          <w:highlight w:val="none"/>
        </w:rPr>
        <w:t>4.</w:t>
      </w:r>
      <w:r>
        <w:rPr>
          <w:rFonts w:hint="eastAsia" w:ascii="宋体" w:hAnsi="宋体"/>
          <w:color w:val="auto"/>
          <w:sz w:val="24"/>
          <w:highlight w:val="none"/>
        </w:rPr>
        <w:t>3监狱企业、符合法</w:t>
      </w:r>
      <w:r>
        <w:rPr>
          <w:rFonts w:ascii="宋体" w:hAnsi="宋体"/>
          <w:color w:val="auto"/>
          <w:sz w:val="24"/>
          <w:highlight w:val="none"/>
        </w:rPr>
        <w:t>定</w:t>
      </w:r>
      <w:r>
        <w:rPr>
          <w:rFonts w:hint="eastAsia" w:ascii="宋体" w:hAnsi="宋体"/>
          <w:color w:val="auto"/>
          <w:sz w:val="24"/>
          <w:highlight w:val="none"/>
        </w:rPr>
        <w:t>条件的残疾人福利性单位视同小型、微型企业，享受预留份额、评审中价格扣除等政府采购促进中小企业发展的政府采购政策。监狱企业参加政府采购活动时，应当提供由省级以上监狱管理局、戒毒管理局（含新疆生产建设兵团）出具的属于监狱企业的证明文件。符合法定条件的残疾人福利性单位提供财库〔2017〕141号规定的《残疾人福利性单位声明函》，残疾人福利性单位属于小型、微型企业的，不重复享受政策。</w:t>
      </w:r>
    </w:p>
    <w:p w14:paraId="21123ED3">
      <w:pPr>
        <w:autoSpaceDE w:val="0"/>
        <w:autoSpaceDN w:val="0"/>
        <w:adjustRightInd w:val="0"/>
        <w:snapToGrid w:val="0"/>
        <w:spacing w:beforeLines="50" w:line="300" w:lineRule="auto"/>
        <w:ind w:firstLine="566" w:firstLineChars="236"/>
        <w:jc w:val="left"/>
        <w:rPr>
          <w:rFonts w:ascii="宋体" w:hAnsi="宋体"/>
          <w:color w:val="auto"/>
          <w:sz w:val="24"/>
          <w:highlight w:val="none"/>
        </w:rPr>
      </w:pPr>
      <w:r>
        <w:rPr>
          <w:rFonts w:ascii="宋体" w:hAnsi="宋体"/>
          <w:color w:val="auto"/>
          <w:sz w:val="24"/>
          <w:highlight w:val="none"/>
        </w:rPr>
        <w:t>4.</w:t>
      </w:r>
      <w:r>
        <w:rPr>
          <w:rFonts w:hint="eastAsia" w:ascii="宋体" w:hAnsi="宋体"/>
          <w:color w:val="auto"/>
          <w:sz w:val="24"/>
          <w:highlight w:val="none"/>
        </w:rPr>
        <w:t>3</w:t>
      </w:r>
      <w:r>
        <w:rPr>
          <w:rFonts w:ascii="宋体" w:hAnsi="宋体"/>
          <w:color w:val="auto"/>
          <w:sz w:val="24"/>
          <w:highlight w:val="none"/>
        </w:rPr>
        <w:t>.1</w:t>
      </w:r>
      <w:r>
        <w:rPr>
          <w:rFonts w:hint="eastAsia" w:ascii="宋体" w:hAnsi="宋体"/>
          <w:color w:val="auto"/>
          <w:sz w:val="24"/>
          <w:highlight w:val="none"/>
        </w:rPr>
        <w:t xml:space="preserve"> 享受政府采购支持政策的残疾人福利性单位应当同时满足以下条件：</w:t>
      </w:r>
    </w:p>
    <w:p w14:paraId="10B1FDF6">
      <w:pPr>
        <w:autoSpaceDE w:val="0"/>
        <w:autoSpaceDN w:val="0"/>
        <w:adjustRightInd w:val="0"/>
        <w:snapToGrid w:val="0"/>
        <w:spacing w:beforeLines="50" w:line="300" w:lineRule="auto"/>
        <w:ind w:firstLine="566" w:firstLineChars="236"/>
        <w:jc w:val="left"/>
        <w:rPr>
          <w:rFonts w:ascii="宋体" w:hAnsi="宋体"/>
          <w:color w:val="auto"/>
          <w:sz w:val="24"/>
          <w:highlight w:val="none"/>
        </w:rPr>
      </w:pPr>
      <w:r>
        <w:rPr>
          <w:rFonts w:hint="eastAsia" w:ascii="宋体" w:hAnsi="宋体"/>
          <w:color w:val="auto"/>
          <w:sz w:val="24"/>
          <w:highlight w:val="none"/>
        </w:rPr>
        <w:t>（1）安置的残疾人占本单位在职职工人数的比例不低于25%（含25%），并且安置的残疾人人数不少于10人（含10人）；</w:t>
      </w:r>
    </w:p>
    <w:p w14:paraId="20410FDB">
      <w:pPr>
        <w:autoSpaceDE w:val="0"/>
        <w:autoSpaceDN w:val="0"/>
        <w:adjustRightInd w:val="0"/>
        <w:snapToGrid w:val="0"/>
        <w:spacing w:beforeLines="50" w:line="300" w:lineRule="auto"/>
        <w:ind w:firstLine="566" w:firstLineChars="236"/>
        <w:jc w:val="left"/>
        <w:rPr>
          <w:rFonts w:ascii="宋体" w:hAnsi="宋体"/>
          <w:color w:val="auto"/>
          <w:sz w:val="24"/>
          <w:highlight w:val="none"/>
        </w:rPr>
      </w:pPr>
      <w:r>
        <w:rPr>
          <w:rFonts w:hint="eastAsia" w:ascii="宋体" w:hAnsi="宋体"/>
          <w:color w:val="auto"/>
          <w:sz w:val="24"/>
          <w:highlight w:val="none"/>
        </w:rPr>
        <w:t>（2）依法与安置的每位残疾人签订了一年以上（含一年）的劳动合同或服务协议；</w:t>
      </w:r>
    </w:p>
    <w:p w14:paraId="2A092396">
      <w:pPr>
        <w:autoSpaceDE w:val="0"/>
        <w:autoSpaceDN w:val="0"/>
        <w:adjustRightInd w:val="0"/>
        <w:snapToGrid w:val="0"/>
        <w:spacing w:beforeLines="50" w:line="300" w:lineRule="auto"/>
        <w:ind w:firstLine="566" w:firstLineChars="236"/>
        <w:jc w:val="left"/>
        <w:rPr>
          <w:rFonts w:ascii="宋体" w:hAnsi="宋体"/>
          <w:color w:val="auto"/>
          <w:sz w:val="24"/>
          <w:highlight w:val="none"/>
        </w:rPr>
      </w:pPr>
      <w:r>
        <w:rPr>
          <w:rFonts w:hint="eastAsia" w:ascii="宋体" w:hAnsi="宋体"/>
          <w:color w:val="auto"/>
          <w:sz w:val="24"/>
          <w:highlight w:val="none"/>
        </w:rPr>
        <w:t>（3）为安置的每位残疾人按月足额缴纳了基本养老保险、基本医疗保险、失业保险、工伤保险和生育保险等社会保险费；</w:t>
      </w:r>
    </w:p>
    <w:p w14:paraId="015F798A">
      <w:pPr>
        <w:autoSpaceDE w:val="0"/>
        <w:autoSpaceDN w:val="0"/>
        <w:adjustRightInd w:val="0"/>
        <w:snapToGrid w:val="0"/>
        <w:spacing w:beforeLines="50" w:line="300" w:lineRule="auto"/>
        <w:ind w:firstLine="566" w:firstLineChars="236"/>
        <w:jc w:val="left"/>
        <w:rPr>
          <w:rFonts w:ascii="宋体" w:hAnsi="宋体"/>
          <w:color w:val="auto"/>
          <w:sz w:val="24"/>
          <w:highlight w:val="none"/>
        </w:rPr>
      </w:pPr>
      <w:r>
        <w:rPr>
          <w:rFonts w:hint="eastAsia" w:ascii="宋体" w:hAnsi="宋体"/>
          <w:color w:val="auto"/>
          <w:sz w:val="24"/>
          <w:highlight w:val="none"/>
        </w:rPr>
        <w:t>（4）通过银行等金融机构向安置的每位残疾人，按月支付了不低于单位所在区县适用的经省级人民政府批准的月最低工资标准的工资；</w:t>
      </w:r>
    </w:p>
    <w:p w14:paraId="6A93D2C7">
      <w:pPr>
        <w:autoSpaceDE w:val="0"/>
        <w:autoSpaceDN w:val="0"/>
        <w:adjustRightInd w:val="0"/>
        <w:snapToGrid w:val="0"/>
        <w:spacing w:beforeLines="50" w:line="300" w:lineRule="auto"/>
        <w:ind w:firstLine="566" w:firstLineChars="236"/>
        <w:jc w:val="left"/>
        <w:rPr>
          <w:rFonts w:ascii="宋体" w:hAnsi="宋体"/>
          <w:color w:val="auto"/>
          <w:sz w:val="24"/>
          <w:highlight w:val="none"/>
        </w:rPr>
      </w:pPr>
      <w:r>
        <w:rPr>
          <w:rFonts w:hint="eastAsia" w:ascii="宋体" w:hAnsi="宋体"/>
          <w:color w:val="auto"/>
          <w:sz w:val="24"/>
          <w:highlight w:val="none"/>
        </w:rPr>
        <w:t>（5）提供本单位制造的货物、承担的工程或者服务（以下简称产品），或者提供其他残疾人福利性单位制造的货物（不包括使用非残疾人福利性单位注册商标的货物）。</w:t>
      </w:r>
    </w:p>
    <w:p w14:paraId="4C561F71">
      <w:pPr>
        <w:autoSpaceDE w:val="0"/>
        <w:autoSpaceDN w:val="0"/>
        <w:adjustRightInd w:val="0"/>
        <w:snapToGrid w:val="0"/>
        <w:spacing w:beforeLines="50" w:line="300" w:lineRule="auto"/>
        <w:ind w:firstLine="566" w:firstLineChars="236"/>
        <w:jc w:val="left"/>
        <w:rPr>
          <w:rFonts w:ascii="宋体" w:hAnsi="宋体"/>
          <w:color w:val="auto"/>
          <w:sz w:val="24"/>
          <w:highlight w:val="none"/>
        </w:rPr>
      </w:pPr>
      <w:r>
        <w:rPr>
          <w:rFonts w:hint="eastAsia" w:ascii="宋体" w:hAnsi="宋体"/>
          <w:color w:val="auto"/>
          <w:sz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77B4D3E2">
      <w:pPr>
        <w:autoSpaceDE w:val="0"/>
        <w:autoSpaceDN w:val="0"/>
        <w:adjustRightInd w:val="0"/>
        <w:snapToGrid w:val="0"/>
        <w:spacing w:beforeLines="50" w:line="300" w:lineRule="auto"/>
        <w:ind w:firstLine="539"/>
        <w:rPr>
          <w:rFonts w:ascii="宋体" w:hAnsi="宋体"/>
          <w:color w:val="auto"/>
          <w:sz w:val="24"/>
          <w:szCs w:val="22"/>
          <w:highlight w:val="none"/>
        </w:rPr>
      </w:pPr>
      <w:r>
        <w:rPr>
          <w:rFonts w:hint="eastAsia" w:ascii="宋体" w:hAnsi="宋体"/>
          <w:color w:val="auto"/>
          <w:sz w:val="24"/>
          <w:highlight w:val="none"/>
        </w:rPr>
        <w:t xml:space="preserve">4.4 </w:t>
      </w:r>
      <w:r>
        <w:rPr>
          <w:rFonts w:hint="eastAsia"/>
          <w:color w:val="auto"/>
          <w:sz w:val="24"/>
          <w:szCs w:val="24"/>
          <w:highlight w:val="none"/>
        </w:rPr>
        <w:t>参加</w:t>
      </w:r>
      <w:r>
        <w:rPr>
          <w:rFonts w:hint="eastAsia" w:ascii="宋体" w:hAnsi="宋体"/>
          <w:color w:val="auto"/>
          <w:sz w:val="24"/>
          <w:highlight w:val="none"/>
        </w:rPr>
        <w:t>本次政府采购项目的中小企业应按附件格式提供《中小企业声明函》。</w:t>
      </w:r>
      <w:r>
        <w:rPr>
          <w:rFonts w:hint="eastAsia" w:ascii="宋体" w:hAnsi="宋体" w:cs="宋体"/>
          <w:color w:val="auto"/>
          <w:sz w:val="24"/>
          <w:szCs w:val="24"/>
          <w:highlight w:val="none"/>
        </w:rPr>
        <w:t>如谈判文件接受以联合体形式参加投标的，联合体各方均应按附件格式提供《中小企业声明函》。</w:t>
      </w:r>
    </w:p>
    <w:p w14:paraId="566F7768">
      <w:pPr>
        <w:autoSpaceDE w:val="0"/>
        <w:autoSpaceDN w:val="0"/>
        <w:adjustRightInd w:val="0"/>
        <w:snapToGrid w:val="0"/>
        <w:spacing w:beforeLines="50" w:line="300" w:lineRule="auto"/>
        <w:ind w:firstLine="600" w:firstLineChars="250"/>
        <w:jc w:val="left"/>
        <w:rPr>
          <w:rFonts w:ascii="宋体" w:hAnsi="宋体"/>
          <w:color w:val="auto"/>
          <w:sz w:val="24"/>
          <w:highlight w:val="none"/>
        </w:rPr>
      </w:pPr>
      <w:r>
        <w:rPr>
          <w:rFonts w:hint="eastAsia" w:ascii="宋体" w:hAnsi="宋体"/>
          <w:color w:val="auto"/>
          <w:sz w:val="24"/>
          <w:highlight w:val="none"/>
        </w:rPr>
        <w:t>供应商按照财库〔2020〕46号规定及谈判文件要求提供声明函内容不实的，属于提供虚假材料谋取中标、成交，依照《中华人民共和国政府采购法》等国家有关规定追究相应责任。</w:t>
      </w:r>
    </w:p>
    <w:p w14:paraId="50A39EA0">
      <w:pPr>
        <w:autoSpaceDE w:val="0"/>
        <w:autoSpaceDN w:val="0"/>
        <w:adjustRightInd w:val="0"/>
        <w:snapToGrid w:val="0"/>
        <w:spacing w:beforeLines="50" w:line="300" w:lineRule="auto"/>
        <w:ind w:firstLine="600" w:firstLineChars="250"/>
        <w:jc w:val="left"/>
        <w:rPr>
          <w:rFonts w:ascii="宋体" w:hAnsi="宋体"/>
          <w:color w:val="auto"/>
          <w:sz w:val="24"/>
          <w:highlight w:val="none"/>
        </w:rPr>
      </w:pPr>
      <w:r>
        <w:rPr>
          <w:rFonts w:hint="eastAsia" w:ascii="宋体" w:hAnsi="宋体"/>
          <w:color w:val="auto"/>
          <w:sz w:val="24"/>
          <w:highlight w:val="none"/>
        </w:rPr>
        <w:t>4.5 《政府采购促进中小企业发展管理办法》各项中小企业扶持政策中，价格扣除扶持政策仅小型、微型企业适用。</w:t>
      </w:r>
    </w:p>
    <w:p w14:paraId="4A359058">
      <w:pPr>
        <w:autoSpaceDE w:val="0"/>
        <w:autoSpaceDN w:val="0"/>
        <w:adjustRightInd w:val="0"/>
        <w:snapToGrid w:val="0"/>
        <w:spacing w:beforeLines="50" w:line="300" w:lineRule="auto"/>
        <w:ind w:firstLine="566" w:firstLineChars="236"/>
        <w:jc w:val="left"/>
        <w:rPr>
          <w:rFonts w:ascii="宋体" w:hAnsi="宋体"/>
          <w:color w:val="auto"/>
          <w:sz w:val="24"/>
          <w:highlight w:val="none"/>
        </w:rPr>
      </w:pPr>
      <w:r>
        <w:rPr>
          <w:rFonts w:hint="eastAsia" w:ascii="宋体" w:hAnsi="宋体"/>
          <w:color w:val="auto"/>
          <w:sz w:val="24"/>
          <w:highlight w:val="none"/>
        </w:rPr>
        <w:t>4.6 小微企业价格扣除扶持政策：</w:t>
      </w:r>
    </w:p>
    <w:p w14:paraId="517CD836">
      <w:pPr>
        <w:adjustRightInd w:val="0"/>
        <w:snapToGrid w:val="0"/>
        <w:spacing w:beforeLines="50" w:line="300" w:lineRule="auto"/>
        <w:ind w:firstLine="600" w:firstLineChars="250"/>
        <w:rPr>
          <w:rFonts w:ascii="宋体" w:hAnsi="宋体"/>
          <w:color w:val="auto"/>
          <w:sz w:val="24"/>
          <w:szCs w:val="24"/>
          <w:highlight w:val="none"/>
        </w:rPr>
      </w:pPr>
      <w:r>
        <w:rPr>
          <w:rFonts w:hint="eastAsia" w:ascii="宋体" w:hAnsi="宋体"/>
          <w:color w:val="auto"/>
          <w:sz w:val="24"/>
          <w:szCs w:val="24"/>
          <w:highlight w:val="none"/>
        </w:rPr>
        <w:t>4.6.1本次政府采购项目对符合《政府采购促进中小企业发展管理办法》小型和微型企业的报价给予20%的扣除，用扣除后的价格参与评审。</w:t>
      </w:r>
    </w:p>
    <w:p w14:paraId="3CE59D20">
      <w:pPr>
        <w:autoSpaceDE w:val="0"/>
        <w:autoSpaceDN w:val="0"/>
        <w:adjustRightInd w:val="0"/>
        <w:snapToGrid w:val="0"/>
        <w:spacing w:beforeLines="50" w:line="300" w:lineRule="auto"/>
        <w:ind w:firstLine="684" w:firstLineChars="285"/>
        <w:jc w:val="left"/>
        <w:rPr>
          <w:rFonts w:ascii="宋体" w:hAnsi="宋体"/>
          <w:color w:val="auto"/>
          <w:sz w:val="24"/>
          <w:highlight w:val="none"/>
        </w:rPr>
      </w:pPr>
      <w:r>
        <w:rPr>
          <w:rFonts w:hint="eastAsia" w:ascii="宋体" w:hAnsi="宋体"/>
          <w:color w:val="auto"/>
          <w:sz w:val="24"/>
          <w:highlight w:val="none"/>
        </w:rPr>
        <w:t>（1）投标人所投货物均由小型和微型企业制造，享受小微企业价格扣除扶持政策。</w:t>
      </w:r>
    </w:p>
    <w:p w14:paraId="0C0E4A68">
      <w:pPr>
        <w:autoSpaceDE w:val="0"/>
        <w:autoSpaceDN w:val="0"/>
        <w:adjustRightInd w:val="0"/>
        <w:snapToGrid w:val="0"/>
        <w:spacing w:beforeLines="50" w:line="300" w:lineRule="auto"/>
        <w:ind w:firstLine="684" w:firstLineChars="285"/>
        <w:jc w:val="left"/>
        <w:rPr>
          <w:rFonts w:ascii="宋体" w:hAnsi="宋体"/>
          <w:color w:val="auto"/>
          <w:sz w:val="24"/>
          <w:szCs w:val="22"/>
          <w:highlight w:val="none"/>
        </w:rPr>
      </w:pPr>
      <w:r>
        <w:rPr>
          <w:rFonts w:hint="eastAsia" w:ascii="宋体" w:hAnsi="宋体"/>
          <w:color w:val="auto"/>
          <w:sz w:val="24"/>
          <w:highlight w:val="none"/>
        </w:rPr>
        <w:t>（2）投标人所投货物既有小型和微型企业制造，也有中型企业制造或大型企业制造的，不享受小微企业价格扣除扶持政策。</w:t>
      </w:r>
    </w:p>
    <w:p w14:paraId="5E24B0CE">
      <w:pPr>
        <w:adjustRightInd w:val="0"/>
        <w:snapToGrid w:val="0"/>
        <w:spacing w:beforeLines="50" w:line="300" w:lineRule="auto"/>
        <w:ind w:firstLine="600" w:firstLineChars="250"/>
        <w:rPr>
          <w:rFonts w:ascii="宋体" w:hAnsi="宋体"/>
          <w:color w:val="auto"/>
          <w:sz w:val="24"/>
          <w:highlight w:val="none"/>
        </w:rPr>
      </w:pPr>
      <w:r>
        <w:rPr>
          <w:rFonts w:hint="eastAsia" w:ascii="宋体" w:hAnsi="宋体"/>
          <w:color w:val="auto"/>
          <w:sz w:val="24"/>
          <w:szCs w:val="24"/>
          <w:highlight w:val="none"/>
        </w:rPr>
        <w:t>4.6.2</w:t>
      </w:r>
      <w:r>
        <w:rPr>
          <w:rFonts w:hint="eastAsia" w:ascii="宋体" w:hAnsi="宋体"/>
          <w:color w:val="auto"/>
          <w:sz w:val="24"/>
          <w:highlight w:val="none"/>
        </w:rPr>
        <w:t>如谈判文件接受大中型企业与小微企业组成联合体或者允许大中型企业向一家或者多家小微企业分包时，联合协议或分包意向协议约定小微型企业的合同份额占到合同总金额30%以上的，给予联合体或大中型企业6%的价格扣除，用扣除后的价格参加评审。</w:t>
      </w:r>
    </w:p>
    <w:p w14:paraId="6BE385EA">
      <w:pPr>
        <w:adjustRightInd w:val="0"/>
        <w:snapToGrid w:val="0"/>
        <w:spacing w:beforeLines="50" w:line="300" w:lineRule="auto"/>
        <w:ind w:firstLine="600" w:firstLineChars="250"/>
        <w:rPr>
          <w:rFonts w:ascii="宋体" w:hAnsi="宋体"/>
          <w:color w:val="auto"/>
          <w:sz w:val="24"/>
          <w:highlight w:val="none"/>
        </w:rPr>
      </w:pPr>
      <w:r>
        <w:rPr>
          <w:rFonts w:hint="eastAsia" w:ascii="宋体" w:hAnsi="宋体"/>
          <w:color w:val="auto"/>
          <w:sz w:val="24"/>
          <w:highlight w:val="none"/>
        </w:rPr>
        <w:t>组成联合体或者接受分包合同的中小企业与联合体内其他企业、分包企业之间不得存在直接控股、管理关系。</w:t>
      </w:r>
    </w:p>
    <w:p w14:paraId="6449FC87">
      <w:pPr>
        <w:adjustRightInd w:val="0"/>
        <w:snapToGrid w:val="0"/>
        <w:spacing w:beforeLines="50" w:line="300" w:lineRule="auto"/>
        <w:ind w:firstLine="600" w:firstLineChars="250"/>
        <w:rPr>
          <w:rFonts w:ascii="宋体" w:hAnsi="宋体"/>
          <w:color w:val="auto"/>
          <w:sz w:val="24"/>
          <w:szCs w:val="24"/>
          <w:highlight w:val="none"/>
        </w:rPr>
      </w:pPr>
      <w:r>
        <w:rPr>
          <w:rFonts w:hint="eastAsia" w:ascii="宋体" w:hAnsi="宋体"/>
          <w:color w:val="auto"/>
          <w:sz w:val="24"/>
          <w:szCs w:val="24"/>
          <w:highlight w:val="none"/>
        </w:rPr>
        <w:t>4.6.3价格扣除比例或者价格分加分比例对小型企业和微型企业同等对待，不作区分。</w:t>
      </w:r>
    </w:p>
    <w:p w14:paraId="61FFD905">
      <w:pPr>
        <w:autoSpaceDE w:val="0"/>
        <w:autoSpaceDN w:val="0"/>
        <w:adjustRightInd w:val="0"/>
        <w:snapToGrid w:val="0"/>
        <w:spacing w:beforeLines="50" w:line="300" w:lineRule="auto"/>
        <w:ind w:firstLine="566" w:firstLineChars="236"/>
        <w:jc w:val="left"/>
        <w:rPr>
          <w:rFonts w:ascii="宋体" w:hAnsi="宋体"/>
          <w:color w:val="auto"/>
          <w:sz w:val="24"/>
          <w:highlight w:val="none"/>
        </w:rPr>
      </w:pPr>
      <w:r>
        <w:rPr>
          <w:rFonts w:ascii="宋体" w:hAnsi="宋体"/>
          <w:color w:val="auto"/>
          <w:sz w:val="24"/>
          <w:highlight w:val="none"/>
        </w:rPr>
        <w:t>4.</w:t>
      </w:r>
      <w:r>
        <w:rPr>
          <w:rFonts w:hint="eastAsia" w:ascii="宋体" w:hAnsi="宋体"/>
          <w:color w:val="auto"/>
          <w:sz w:val="24"/>
          <w:highlight w:val="none"/>
        </w:rPr>
        <w:t>7 谈判小组对投标人申报的小型和微型企业价格扣除事项进行评审。鉴于小微企业价格扣除政策与合同执行价格无关，为避免投标人申报价格扣除事项的随意性，故特别规定：</w:t>
      </w:r>
    </w:p>
    <w:p w14:paraId="02A45712">
      <w:pPr>
        <w:autoSpaceDE w:val="0"/>
        <w:autoSpaceDN w:val="0"/>
        <w:adjustRightInd w:val="0"/>
        <w:snapToGrid w:val="0"/>
        <w:spacing w:beforeLines="50" w:line="300" w:lineRule="auto"/>
        <w:ind w:firstLine="566" w:firstLineChars="236"/>
        <w:jc w:val="left"/>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）谈判小组对投标人申报的小型和微型企业价格扣除事项的评审结论，分为合格与不合格。</w:t>
      </w:r>
    </w:p>
    <w:p w14:paraId="252832E0">
      <w:pPr>
        <w:autoSpaceDE w:val="0"/>
        <w:autoSpaceDN w:val="0"/>
        <w:adjustRightInd w:val="0"/>
        <w:snapToGrid w:val="0"/>
        <w:spacing w:beforeLines="50" w:line="300" w:lineRule="auto"/>
        <w:ind w:firstLine="600" w:firstLineChars="250"/>
        <w:jc w:val="left"/>
        <w:rPr>
          <w:rFonts w:ascii="宋体" w:hAnsi="宋体"/>
          <w:color w:val="auto"/>
          <w:sz w:val="24"/>
          <w:highlight w:val="none"/>
        </w:rPr>
      </w:pPr>
      <w:r>
        <w:rPr>
          <w:rFonts w:hint="eastAsia" w:ascii="宋体" w:hAnsi="宋体"/>
          <w:color w:val="auto"/>
          <w:sz w:val="24"/>
          <w:highlight w:val="none"/>
        </w:rPr>
        <w:t>（2） A.投标人所投货物均由小型和微型企业制造，享受小微企业价格扣除扶持政策。</w:t>
      </w:r>
    </w:p>
    <w:p w14:paraId="68A6ABF8">
      <w:pPr>
        <w:autoSpaceDE w:val="0"/>
        <w:autoSpaceDN w:val="0"/>
        <w:adjustRightInd w:val="0"/>
        <w:snapToGrid w:val="0"/>
        <w:spacing w:beforeLines="50" w:line="300" w:lineRule="auto"/>
        <w:ind w:firstLine="684" w:firstLineChars="285"/>
        <w:jc w:val="left"/>
        <w:rPr>
          <w:rFonts w:ascii="宋体" w:hAnsi="宋体"/>
          <w:color w:val="auto"/>
          <w:sz w:val="24"/>
          <w:highlight w:val="none"/>
        </w:rPr>
      </w:pPr>
      <w:r>
        <w:rPr>
          <w:rFonts w:hint="eastAsia" w:ascii="宋体" w:hAnsi="宋体"/>
          <w:color w:val="auto"/>
          <w:sz w:val="24"/>
          <w:highlight w:val="none"/>
        </w:rPr>
        <w:t>B.投标人所投货物既有小型和微型企业制造，也有中型企业制造或大型企业制造的，不享受小微企业价格扣除扶持政策。</w:t>
      </w:r>
    </w:p>
    <w:p w14:paraId="17A5C3CE">
      <w:pPr>
        <w:autoSpaceDE w:val="0"/>
        <w:autoSpaceDN w:val="0"/>
        <w:adjustRightInd w:val="0"/>
        <w:snapToGrid w:val="0"/>
        <w:spacing w:beforeLines="50" w:line="300" w:lineRule="auto"/>
        <w:ind w:firstLine="566" w:firstLineChars="236"/>
        <w:jc w:val="left"/>
        <w:rPr>
          <w:rFonts w:ascii="宋体" w:hAnsi="宋体"/>
          <w:color w:val="auto"/>
          <w:sz w:val="24"/>
          <w:highlight w:val="none"/>
        </w:rPr>
      </w:pPr>
      <w:r>
        <w:rPr>
          <w:rFonts w:hint="eastAsia" w:ascii="宋体" w:hAnsi="宋体"/>
          <w:color w:val="auto"/>
          <w:sz w:val="24"/>
          <w:highlight w:val="none"/>
        </w:rPr>
        <w:t>（3）经评审，申报的小微价格扣除事项缺失中小企业声明函、中小企业声明函含有大型中型企业制造产品、中小企业声明函中少列产品、《中小企业声明函》中产品承诺与投标产品不一致、联合协议或分包意向协议不符合中小企业价格扣除规定等任一不符合政策要求及不准确的事项，谈判小组均将评审为不合格，该投标人申报的价格扣除事项不予接受、为</w:t>
      </w:r>
      <w:r>
        <w:rPr>
          <w:rFonts w:ascii="宋体" w:hAnsi="宋体"/>
          <w:color w:val="auto"/>
          <w:sz w:val="24"/>
          <w:highlight w:val="none"/>
        </w:rPr>
        <w:t>0</w:t>
      </w:r>
      <w:r>
        <w:rPr>
          <w:rFonts w:hint="eastAsia" w:ascii="宋体" w:hAnsi="宋体"/>
          <w:color w:val="auto"/>
          <w:sz w:val="24"/>
          <w:highlight w:val="none"/>
        </w:rPr>
        <w:t>。</w:t>
      </w:r>
    </w:p>
    <w:p w14:paraId="4797B543">
      <w:pPr>
        <w:autoSpaceDE w:val="0"/>
        <w:autoSpaceDN w:val="0"/>
        <w:adjustRightInd w:val="0"/>
        <w:snapToGrid w:val="0"/>
        <w:spacing w:beforeLines="50" w:line="300" w:lineRule="auto"/>
        <w:ind w:firstLine="566" w:firstLineChars="236"/>
        <w:jc w:val="left"/>
        <w:rPr>
          <w:rFonts w:ascii="宋体" w:hAnsi="宋体"/>
          <w:color w:val="auto"/>
          <w:sz w:val="24"/>
          <w:highlight w:val="none"/>
        </w:rPr>
      </w:pPr>
      <w:r>
        <w:rPr>
          <w:rFonts w:hint="eastAsia" w:ascii="宋体" w:hAnsi="宋体"/>
          <w:color w:val="auto"/>
          <w:sz w:val="24"/>
          <w:highlight w:val="none"/>
        </w:rPr>
        <w:t>提供虚假材料的为无效投标、并承担相应的法律责任。</w:t>
      </w:r>
    </w:p>
    <w:p w14:paraId="1AC570FE">
      <w:pPr>
        <w:autoSpaceDE w:val="0"/>
        <w:autoSpaceDN w:val="0"/>
        <w:adjustRightInd w:val="0"/>
        <w:snapToGrid w:val="0"/>
        <w:spacing w:beforeLines="50" w:line="300" w:lineRule="auto"/>
        <w:ind w:firstLine="566" w:firstLineChars="236"/>
        <w:jc w:val="left"/>
        <w:rPr>
          <w:rFonts w:ascii="宋体" w:hAnsi="宋体"/>
          <w:color w:val="auto"/>
          <w:sz w:val="24"/>
          <w:highlight w:val="none"/>
        </w:rPr>
      </w:pPr>
      <w:r>
        <w:rPr>
          <w:rFonts w:hint="eastAsia" w:ascii="宋体" w:hAnsi="宋体"/>
          <w:color w:val="auto"/>
          <w:sz w:val="24"/>
          <w:highlight w:val="none"/>
        </w:rPr>
        <w:t>（4）评审合格的，接受其申报的小型和微型企业价格扣除（最后报价的价格扣除），用扣除后的价格参与评审。</w:t>
      </w:r>
    </w:p>
    <w:p w14:paraId="0D748E97">
      <w:pPr>
        <w:autoSpaceDE w:val="0"/>
        <w:autoSpaceDN w:val="0"/>
        <w:adjustRightInd w:val="0"/>
        <w:snapToGrid w:val="0"/>
        <w:spacing w:beforeLines="50" w:line="300" w:lineRule="auto"/>
        <w:ind w:firstLine="566" w:firstLineChars="236"/>
        <w:jc w:val="left"/>
        <w:rPr>
          <w:rFonts w:ascii="宋体" w:hAnsi="宋体"/>
          <w:color w:val="auto"/>
          <w:sz w:val="24"/>
          <w:highlight w:val="none"/>
        </w:rPr>
      </w:pPr>
      <w:r>
        <w:rPr>
          <w:rFonts w:hint="eastAsia" w:ascii="宋体" w:hAnsi="宋体"/>
          <w:color w:val="auto"/>
          <w:sz w:val="24"/>
          <w:highlight w:val="none"/>
        </w:rPr>
        <w:t>（5）评审不合格的，不接受其小微企业价格扣除，但将不作为无效投标。</w:t>
      </w:r>
    </w:p>
    <w:p w14:paraId="5DC649F1">
      <w:pPr>
        <w:autoSpaceDE w:val="0"/>
        <w:autoSpaceDN w:val="0"/>
        <w:adjustRightInd w:val="0"/>
        <w:snapToGrid w:val="0"/>
        <w:spacing w:beforeLines="50" w:line="300" w:lineRule="auto"/>
        <w:ind w:firstLine="566" w:firstLineChars="236"/>
        <w:jc w:val="left"/>
        <w:rPr>
          <w:rFonts w:ascii="宋体" w:hAnsi="宋体"/>
          <w:color w:val="auto"/>
          <w:sz w:val="24"/>
          <w:highlight w:val="none"/>
        </w:rPr>
      </w:pPr>
      <w:r>
        <w:rPr>
          <w:rFonts w:hint="eastAsia" w:ascii="宋体" w:hAnsi="宋体"/>
          <w:color w:val="auto"/>
          <w:sz w:val="24"/>
          <w:highlight w:val="none"/>
        </w:rPr>
        <w:t>注：小微企业价格扣除，仅作为价格评审的依据，并不影响合同执行价格，合同执行价格为成交供应商的最后报价。</w:t>
      </w:r>
    </w:p>
    <w:p w14:paraId="5DA3DAE8">
      <w:pPr>
        <w:autoSpaceDE w:val="0"/>
        <w:autoSpaceDN w:val="0"/>
        <w:adjustRightInd w:val="0"/>
        <w:snapToGrid w:val="0"/>
        <w:spacing w:beforeLines="50" w:line="300" w:lineRule="auto"/>
        <w:ind w:firstLine="566" w:firstLineChars="236"/>
        <w:jc w:val="left"/>
        <w:rPr>
          <w:rFonts w:ascii="宋体" w:hAnsi="宋体"/>
          <w:color w:val="auto"/>
          <w:sz w:val="24"/>
          <w:highlight w:val="none"/>
        </w:rPr>
      </w:pPr>
      <w:r>
        <w:rPr>
          <w:rFonts w:hint="eastAsia" w:ascii="宋体" w:hAnsi="宋体"/>
          <w:color w:val="auto"/>
          <w:sz w:val="24"/>
          <w:highlight w:val="none"/>
        </w:rPr>
        <w:t>4.8 根据财政部、工业和信息化部有关负责人就印发《政府采购促进中小企业发展管理办法》答记者问，为方便广大中小企业、政府部门和社会公众识别企业规模类型，工业和信息化部组织开发了中小企业规模类型自测小程序，并于2020年2月27日上线运行，在国务院客户端和工业和信息化部网站上均有链接，广大中小企业和各类社会机构填写企业所属的行业和指标数据自动生成企业规模类型测试结果。</w:t>
      </w:r>
    </w:p>
    <w:p w14:paraId="51672C60">
      <w:pPr>
        <w:autoSpaceDE w:val="0"/>
        <w:autoSpaceDN w:val="0"/>
        <w:adjustRightInd w:val="0"/>
        <w:snapToGrid w:val="0"/>
        <w:spacing w:beforeLines="50" w:line="300" w:lineRule="auto"/>
        <w:ind w:firstLine="566" w:firstLineChars="236"/>
        <w:jc w:val="left"/>
        <w:rPr>
          <w:rFonts w:ascii="宋体" w:hAnsi="宋体"/>
          <w:color w:val="auto"/>
          <w:sz w:val="24"/>
          <w:highlight w:val="none"/>
        </w:rPr>
      </w:pPr>
      <w:r>
        <w:rPr>
          <w:rFonts w:hint="eastAsia" w:ascii="宋体" w:hAnsi="宋体"/>
          <w:color w:val="auto"/>
          <w:sz w:val="24"/>
          <w:highlight w:val="none"/>
        </w:rPr>
        <w:t>4.9中标、成交供应商享受中小企业扶持政策的，中标、成交供应商的《中小企业声明函》将随中标、成交结果公开。</w:t>
      </w:r>
    </w:p>
    <w:p w14:paraId="67BF7B61">
      <w:pPr>
        <w:autoSpaceDE w:val="0"/>
        <w:autoSpaceDN w:val="0"/>
        <w:adjustRightInd w:val="0"/>
        <w:snapToGrid w:val="0"/>
        <w:spacing w:beforeLines="50" w:line="300" w:lineRule="auto"/>
        <w:ind w:firstLine="566" w:firstLineChars="236"/>
        <w:jc w:val="left"/>
        <w:rPr>
          <w:rFonts w:ascii="宋体" w:hAnsi="宋体"/>
          <w:color w:val="auto"/>
          <w:sz w:val="24"/>
          <w:highlight w:val="none"/>
        </w:rPr>
      </w:pPr>
      <w:r>
        <w:rPr>
          <w:rFonts w:hint="eastAsia" w:ascii="宋体" w:hAnsi="宋体"/>
          <w:color w:val="auto"/>
          <w:sz w:val="24"/>
          <w:highlight w:val="none"/>
        </w:rPr>
        <w:t>4.10依法享受扶持政策获得政府采购合同的，小微企业不得将合同分包给大中型企业，中型企业不得将合同分包给大型企业。</w:t>
      </w:r>
    </w:p>
    <w:p w14:paraId="795D2C8A">
      <w:pPr>
        <w:autoSpaceDE w:val="0"/>
        <w:autoSpaceDN w:val="0"/>
        <w:adjustRightInd w:val="0"/>
        <w:snapToGrid w:val="0"/>
        <w:spacing w:beforeLines="50" w:line="300" w:lineRule="auto"/>
        <w:ind w:firstLine="566" w:firstLineChars="236"/>
        <w:jc w:val="left"/>
        <w:rPr>
          <w:rFonts w:ascii="宋体" w:hAnsi="宋体"/>
          <w:color w:val="auto"/>
          <w:sz w:val="24"/>
          <w:highlight w:val="none"/>
        </w:rPr>
      </w:pPr>
      <w:r>
        <w:rPr>
          <w:rFonts w:hint="eastAsia" w:ascii="宋体" w:hAnsi="宋体"/>
          <w:color w:val="auto"/>
          <w:sz w:val="24"/>
          <w:highlight w:val="none"/>
        </w:rPr>
        <w:t>4.11政府采购监督检查、投诉处理及政府采购行政处罚中对中小企业的认定，由货物制造商或者工程、服务供应商注册登记所在地的县级以上人民政府中小企业主管部门负责。</w:t>
      </w:r>
    </w:p>
    <w:p w14:paraId="3685DE1D">
      <w:pPr>
        <w:autoSpaceDE w:val="0"/>
        <w:autoSpaceDN w:val="0"/>
        <w:adjustRightInd w:val="0"/>
        <w:snapToGrid w:val="0"/>
        <w:spacing w:beforeLines="50" w:line="300" w:lineRule="auto"/>
        <w:ind w:firstLine="566" w:firstLineChars="236"/>
        <w:jc w:val="left"/>
        <w:rPr>
          <w:rFonts w:ascii="宋体" w:hAnsi="宋体"/>
          <w:color w:val="auto"/>
          <w:sz w:val="24"/>
          <w:highlight w:val="none"/>
        </w:rPr>
      </w:pPr>
    </w:p>
    <w:p w14:paraId="74CA0B93">
      <w:pPr>
        <w:widowControl w:val="0"/>
        <w:snapToGrid w:val="0"/>
        <w:spacing w:line="657" w:lineRule="atLeast"/>
        <w:jc w:val="center"/>
        <w:outlineLvl w:val="0"/>
        <w:rPr>
          <w:rFonts w:ascii="黑体" w:eastAsia="黑体"/>
          <w:b/>
          <w:color w:val="auto"/>
          <w:sz w:val="36"/>
          <w:szCs w:val="36"/>
          <w:highlight w:val="none"/>
        </w:rPr>
      </w:pPr>
      <w:bookmarkStart w:id="48" w:name="_Toc209083647"/>
      <w:r>
        <w:rPr>
          <w:rFonts w:hint="eastAsia" w:ascii="黑体" w:eastAsia="黑体"/>
          <w:b/>
          <w:color w:val="auto"/>
          <w:sz w:val="36"/>
          <w:szCs w:val="36"/>
          <w:highlight w:val="none"/>
        </w:rPr>
        <w:t>第五章 合同主要条款</w:t>
      </w:r>
      <w:bookmarkEnd w:id="48"/>
    </w:p>
    <w:p w14:paraId="70F00D38">
      <w:pPr>
        <w:widowControl w:val="0"/>
        <w:snapToGrid w:val="0"/>
        <w:spacing w:line="657" w:lineRule="atLeast"/>
        <w:jc w:val="center"/>
        <w:rPr>
          <w:rFonts w:ascii="黑体" w:eastAsia="黑体"/>
          <w:b/>
          <w:color w:val="auto"/>
          <w:spacing w:val="20"/>
          <w:sz w:val="36"/>
          <w:szCs w:val="36"/>
          <w:highlight w:val="none"/>
        </w:rPr>
      </w:pPr>
    </w:p>
    <w:p w14:paraId="29E701CB">
      <w:pPr>
        <w:pStyle w:val="5"/>
        <w:spacing w:after="0"/>
        <w:ind w:left="5250"/>
        <w:jc w:val="center"/>
        <w:rPr>
          <w:rFonts w:ascii="宋体" w:hAnsi="宋体" w:cs="宋体"/>
          <w:b/>
          <w:bCs/>
          <w:color w:val="auto"/>
          <w:spacing w:val="-20"/>
          <w:kern w:val="44"/>
          <w:sz w:val="48"/>
          <w:szCs w:val="48"/>
          <w:highlight w:val="none"/>
        </w:rPr>
      </w:pPr>
    </w:p>
    <w:p w14:paraId="085B9C9C">
      <w:pPr>
        <w:pStyle w:val="5"/>
        <w:spacing w:after="0"/>
        <w:ind w:left="5250"/>
        <w:jc w:val="center"/>
        <w:rPr>
          <w:rFonts w:ascii="宋体" w:hAnsi="宋体" w:cs="宋体"/>
          <w:b/>
          <w:bCs/>
          <w:color w:val="auto"/>
          <w:spacing w:val="-20"/>
          <w:kern w:val="44"/>
          <w:sz w:val="48"/>
          <w:szCs w:val="48"/>
          <w:highlight w:val="none"/>
        </w:rPr>
      </w:pPr>
    </w:p>
    <w:p w14:paraId="34DB4797">
      <w:pPr>
        <w:pStyle w:val="5"/>
        <w:spacing w:after="0"/>
        <w:ind w:left="5250"/>
        <w:jc w:val="center"/>
        <w:rPr>
          <w:rFonts w:ascii="宋体" w:hAnsi="宋体" w:cs="宋体"/>
          <w:b/>
          <w:bCs/>
          <w:color w:val="auto"/>
          <w:spacing w:val="-20"/>
          <w:kern w:val="44"/>
          <w:sz w:val="48"/>
          <w:szCs w:val="48"/>
          <w:highlight w:val="none"/>
        </w:rPr>
      </w:pPr>
    </w:p>
    <w:p w14:paraId="57DB5F74">
      <w:pPr>
        <w:pStyle w:val="5"/>
        <w:spacing w:after="0"/>
        <w:jc w:val="center"/>
        <w:rPr>
          <w:rFonts w:ascii="宋体" w:hAnsi="宋体" w:cs="宋体"/>
          <w:b/>
          <w:bCs/>
          <w:color w:val="auto"/>
          <w:spacing w:val="-20"/>
          <w:kern w:val="44"/>
          <w:sz w:val="48"/>
          <w:szCs w:val="48"/>
          <w:highlight w:val="none"/>
        </w:rPr>
      </w:pPr>
      <w:r>
        <w:rPr>
          <w:rFonts w:hint="eastAsia" w:ascii="宋体" w:hAnsi="宋体" w:cs="宋体"/>
          <w:b/>
          <w:bCs/>
          <w:color w:val="auto"/>
          <w:spacing w:val="-20"/>
          <w:kern w:val="44"/>
          <w:sz w:val="48"/>
          <w:szCs w:val="48"/>
          <w:highlight w:val="none"/>
        </w:rPr>
        <w:t>政府采购货物买卖合同</w:t>
      </w:r>
    </w:p>
    <w:p w14:paraId="7014A1F2">
      <w:pPr>
        <w:pStyle w:val="5"/>
        <w:spacing w:after="0"/>
        <w:jc w:val="center"/>
        <w:rPr>
          <w:rFonts w:ascii="宋体" w:hAnsi="宋体" w:cs="宋体"/>
          <w:b/>
          <w:bCs/>
          <w:color w:val="auto"/>
          <w:spacing w:val="-20"/>
          <w:kern w:val="44"/>
          <w:sz w:val="48"/>
          <w:szCs w:val="48"/>
          <w:highlight w:val="none"/>
        </w:rPr>
      </w:pPr>
      <w:r>
        <w:rPr>
          <w:rFonts w:hint="eastAsia" w:ascii="宋体" w:hAnsi="宋体" w:cs="宋体"/>
          <w:b/>
          <w:bCs/>
          <w:color w:val="auto"/>
          <w:spacing w:val="-20"/>
          <w:kern w:val="44"/>
          <w:sz w:val="48"/>
          <w:szCs w:val="48"/>
          <w:highlight w:val="none"/>
        </w:rPr>
        <w:t>（试行）</w:t>
      </w:r>
    </w:p>
    <w:p w14:paraId="2BDEA74F">
      <w:pPr>
        <w:rPr>
          <w:rFonts w:ascii="宋体" w:hAnsi="宋体" w:cs="宋体"/>
          <w:b/>
          <w:bCs/>
          <w:color w:val="auto"/>
          <w:spacing w:val="-20"/>
          <w:kern w:val="44"/>
          <w:sz w:val="40"/>
          <w:szCs w:val="40"/>
          <w:highlight w:val="none"/>
        </w:rPr>
      </w:pPr>
    </w:p>
    <w:p w14:paraId="1A8704BC">
      <w:pPr>
        <w:rPr>
          <w:rFonts w:ascii="宋体" w:hAnsi="宋体" w:cs="宋体"/>
          <w:b/>
          <w:bCs/>
          <w:color w:val="auto"/>
          <w:spacing w:val="-20"/>
          <w:kern w:val="44"/>
          <w:sz w:val="40"/>
          <w:szCs w:val="40"/>
          <w:highlight w:val="none"/>
        </w:rPr>
      </w:pPr>
    </w:p>
    <w:p w14:paraId="15CF00D0">
      <w:pPr>
        <w:rPr>
          <w:rFonts w:ascii="宋体" w:hAnsi="宋体" w:cs="宋体"/>
          <w:b/>
          <w:bCs/>
          <w:color w:val="auto"/>
          <w:spacing w:val="-20"/>
          <w:kern w:val="44"/>
          <w:sz w:val="40"/>
          <w:szCs w:val="40"/>
          <w:highlight w:val="none"/>
        </w:rPr>
      </w:pPr>
    </w:p>
    <w:p w14:paraId="5205ECC4">
      <w:pPr>
        <w:spacing w:line="360" w:lineRule="auto"/>
        <w:ind w:left="420" w:leftChars="200"/>
        <w:rPr>
          <w:color w:val="auto"/>
          <w:sz w:val="32"/>
          <w:szCs w:val="32"/>
          <w:highlight w:val="none"/>
        </w:rPr>
      </w:pPr>
      <w:r>
        <w:rPr>
          <w:rFonts w:hint="eastAsia" w:ascii="宋体" w:hAnsi="宋体" w:cs="宋体"/>
          <w:color w:val="auto"/>
          <w:sz w:val="32"/>
          <w:szCs w:val="32"/>
          <w:highlight w:val="none"/>
        </w:rPr>
        <w:t>项目名称：</w:t>
      </w:r>
    </w:p>
    <w:p w14:paraId="46E41263">
      <w:pPr>
        <w:spacing w:line="360" w:lineRule="auto"/>
        <w:ind w:left="420" w:leftChars="200"/>
        <w:rPr>
          <w:color w:val="auto"/>
          <w:sz w:val="32"/>
          <w:szCs w:val="32"/>
          <w:highlight w:val="none"/>
          <w:u w:val="single"/>
        </w:rPr>
      </w:pPr>
      <w:r>
        <w:rPr>
          <w:rFonts w:hint="eastAsia"/>
          <w:color w:val="auto"/>
          <w:sz w:val="32"/>
          <w:szCs w:val="32"/>
          <w:highlight w:val="none"/>
        </w:rPr>
        <w:t>合同编号：</w:t>
      </w:r>
    </w:p>
    <w:p w14:paraId="58F6CDC6">
      <w:pPr>
        <w:spacing w:line="360" w:lineRule="auto"/>
        <w:ind w:left="420" w:leftChars="200"/>
        <w:rPr>
          <w:color w:val="auto"/>
          <w:sz w:val="32"/>
          <w:szCs w:val="32"/>
          <w:highlight w:val="none"/>
        </w:rPr>
      </w:pPr>
      <w:r>
        <w:rPr>
          <w:rFonts w:hint="eastAsia"/>
          <w:color w:val="auto"/>
          <w:sz w:val="32"/>
          <w:szCs w:val="32"/>
          <w:highlight w:val="none"/>
        </w:rPr>
        <w:t>甲    方：</w:t>
      </w:r>
    </w:p>
    <w:p w14:paraId="672A16FE">
      <w:pPr>
        <w:spacing w:line="360" w:lineRule="auto"/>
        <w:ind w:left="420" w:leftChars="200"/>
        <w:rPr>
          <w:color w:val="auto"/>
          <w:sz w:val="32"/>
          <w:szCs w:val="32"/>
          <w:highlight w:val="none"/>
          <w:u w:val="single"/>
        </w:rPr>
      </w:pPr>
      <w:r>
        <w:rPr>
          <w:rFonts w:hint="eastAsia"/>
          <w:color w:val="auto"/>
          <w:sz w:val="32"/>
          <w:szCs w:val="32"/>
          <w:highlight w:val="none"/>
        </w:rPr>
        <w:t>乙    方：</w:t>
      </w:r>
    </w:p>
    <w:p w14:paraId="30F2A5BA">
      <w:pPr>
        <w:spacing w:line="360" w:lineRule="auto"/>
        <w:ind w:left="420" w:leftChars="200"/>
        <w:rPr>
          <w:color w:val="auto"/>
          <w:sz w:val="32"/>
          <w:szCs w:val="32"/>
          <w:highlight w:val="none"/>
        </w:rPr>
      </w:pPr>
      <w:r>
        <w:rPr>
          <w:rFonts w:hint="eastAsia"/>
          <w:color w:val="auto"/>
          <w:sz w:val="32"/>
          <w:szCs w:val="32"/>
          <w:highlight w:val="none"/>
        </w:rPr>
        <w:t>签订时间：</w:t>
      </w:r>
    </w:p>
    <w:p w14:paraId="4AD84656">
      <w:pPr>
        <w:rPr>
          <w:color w:val="auto"/>
          <w:highlight w:val="none"/>
        </w:rPr>
      </w:pPr>
    </w:p>
    <w:p w14:paraId="5C811546">
      <w:pPr>
        <w:rPr>
          <w:rFonts w:eastAsia="黑体"/>
          <w:color w:val="auto"/>
          <w:sz w:val="44"/>
          <w:szCs w:val="44"/>
          <w:highlight w:val="none"/>
        </w:rPr>
      </w:pPr>
      <w:r>
        <w:rPr>
          <w:rFonts w:eastAsia="黑体"/>
          <w:color w:val="auto"/>
          <w:sz w:val="44"/>
          <w:szCs w:val="44"/>
          <w:highlight w:val="none"/>
        </w:rPr>
        <w:br w:type="page"/>
      </w:r>
    </w:p>
    <w:p w14:paraId="275617B8">
      <w:pPr>
        <w:rPr>
          <w:rFonts w:eastAsia="黑体"/>
          <w:color w:val="auto"/>
          <w:sz w:val="44"/>
          <w:szCs w:val="44"/>
          <w:highlight w:val="none"/>
        </w:rPr>
      </w:pPr>
    </w:p>
    <w:p w14:paraId="0A7D170B">
      <w:pPr>
        <w:rPr>
          <w:rFonts w:eastAsia="黑体"/>
          <w:color w:val="auto"/>
          <w:sz w:val="44"/>
          <w:szCs w:val="44"/>
          <w:highlight w:val="none"/>
        </w:rPr>
      </w:pPr>
    </w:p>
    <w:p w14:paraId="0418C9D9">
      <w:pPr>
        <w:jc w:val="center"/>
        <w:rPr>
          <w:rFonts w:eastAsia="黑体"/>
          <w:color w:val="auto"/>
          <w:sz w:val="44"/>
          <w:szCs w:val="44"/>
          <w:highlight w:val="none"/>
        </w:rPr>
      </w:pPr>
      <w:r>
        <w:rPr>
          <w:rFonts w:hint="eastAsia" w:eastAsia="黑体"/>
          <w:color w:val="auto"/>
          <w:sz w:val="44"/>
          <w:szCs w:val="44"/>
          <w:highlight w:val="none"/>
        </w:rPr>
        <w:t>使 用 说 明</w:t>
      </w:r>
    </w:p>
    <w:p w14:paraId="680AE71F">
      <w:pPr>
        <w:ind w:firstLine="640" w:firstLineChars="200"/>
        <w:rPr>
          <w:rFonts w:ascii="仿宋_GB2312" w:hAnsi="仿宋_GB2312" w:eastAsia="仿宋_GB2312" w:cs="仿宋_GB2312"/>
          <w:color w:val="auto"/>
          <w:sz w:val="32"/>
          <w:szCs w:val="32"/>
          <w:highlight w:val="none"/>
        </w:rPr>
      </w:pPr>
    </w:p>
    <w:p w14:paraId="7A6242FE">
      <w:pPr>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1.本合同标准文本适用于购买现成货物的采购项目，不包括需要供应商定制开发、创新研发的货物采购项目。</w:t>
      </w:r>
    </w:p>
    <w:p w14:paraId="536882D8">
      <w:pPr>
        <w:rPr>
          <w:rFonts w:eastAsia="黑体"/>
          <w:color w:val="auto"/>
          <w:sz w:val="44"/>
          <w:szCs w:val="44"/>
          <w:highlight w:val="none"/>
        </w:rPr>
      </w:pPr>
      <w:r>
        <w:rPr>
          <w:rFonts w:hint="eastAsia" w:ascii="仿宋_GB2312" w:hAnsi="仿宋_GB2312" w:eastAsia="仿宋_GB2312" w:cs="仿宋_GB2312"/>
          <w:color w:val="auto"/>
          <w:sz w:val="32"/>
          <w:szCs w:val="32"/>
          <w:highlight w:val="none"/>
        </w:rPr>
        <w:t>2.本合同标准文本为政府采购货物买卖合同编制提供参考，可以结合采购项目具体情况，对文本作必要的调整修订后使用。</w:t>
      </w:r>
    </w:p>
    <w:p w14:paraId="759BE4FE">
      <w:pPr>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3.本合同标准文本各条款中，如涉及填写多家供应商、制造商，多种采购标的、分包主要内容等信息的，可根据采购项目具体情况添加信息项。</w:t>
      </w:r>
    </w:p>
    <w:p w14:paraId="4E54F5F0">
      <w:pPr>
        <w:ind w:firstLine="560" w:firstLineChars="200"/>
        <w:rPr>
          <w:rFonts w:ascii="仿宋_GB2312" w:hAnsi="仿宋_GB2312" w:eastAsia="仿宋_GB2312" w:cs="仿宋_GB2312"/>
          <w:color w:val="auto"/>
          <w:sz w:val="28"/>
          <w:szCs w:val="28"/>
          <w:highlight w:val="none"/>
        </w:rPr>
        <w:sectPr>
          <w:pgSz w:w="11906" w:h="16838"/>
          <w:pgMar w:top="1440" w:right="991" w:bottom="1440" w:left="1560" w:header="851" w:footer="992" w:gutter="0"/>
          <w:cols w:space="425" w:num="1"/>
          <w:docGrid w:type="lines" w:linePitch="312" w:charSpace="0"/>
        </w:sectPr>
      </w:pPr>
      <w:r>
        <w:rPr>
          <w:rFonts w:hint="eastAsia" w:ascii="仿宋_GB2312" w:hAnsi="仿宋_GB2312" w:eastAsia="仿宋_GB2312" w:cs="仿宋_GB2312"/>
          <w:color w:val="auto"/>
          <w:sz w:val="28"/>
          <w:szCs w:val="28"/>
          <w:highlight w:val="none"/>
        </w:rPr>
        <w:t>据中标文件、采购文件填列修订。</w:t>
      </w:r>
    </w:p>
    <w:p w14:paraId="29CB6B25">
      <w:pPr>
        <w:pStyle w:val="3"/>
        <w:adjustRightInd w:val="0"/>
        <w:snapToGrid w:val="0"/>
        <w:spacing w:line="400" w:lineRule="exact"/>
        <w:jc w:val="center"/>
        <w:rPr>
          <w:rFonts w:ascii="黑体" w:hAnsi="黑体" w:eastAsia="黑体"/>
          <w:color w:val="auto"/>
          <w:sz w:val="28"/>
          <w:szCs w:val="28"/>
          <w:highlight w:val="none"/>
        </w:rPr>
      </w:pPr>
      <w:bookmarkStart w:id="49" w:name="_Toc22209"/>
    </w:p>
    <w:p w14:paraId="73F34D0F">
      <w:pPr>
        <w:pStyle w:val="3"/>
        <w:adjustRightInd w:val="0"/>
        <w:snapToGrid w:val="0"/>
        <w:spacing w:line="400" w:lineRule="exact"/>
        <w:jc w:val="center"/>
        <w:rPr>
          <w:rFonts w:ascii="黑体" w:hAnsi="华文中宋" w:eastAsia="黑体"/>
          <w:b w:val="0"/>
          <w:bCs w:val="0"/>
          <w:color w:val="auto"/>
          <w:sz w:val="28"/>
          <w:szCs w:val="28"/>
          <w:highlight w:val="none"/>
        </w:rPr>
      </w:pPr>
      <w:bookmarkStart w:id="50" w:name="_Toc209083648"/>
      <w:bookmarkStart w:id="51" w:name="_Toc191287885"/>
      <w:r>
        <w:rPr>
          <w:rFonts w:hint="eastAsia" w:ascii="黑体" w:hAnsi="黑体" w:eastAsia="黑体"/>
          <w:b w:val="0"/>
          <w:bCs w:val="0"/>
          <w:color w:val="auto"/>
          <w:sz w:val="28"/>
          <w:szCs w:val="28"/>
          <w:highlight w:val="none"/>
        </w:rPr>
        <w:t xml:space="preserve">第一节 </w:t>
      </w:r>
      <w:r>
        <w:rPr>
          <w:rFonts w:hint="eastAsia" w:ascii="黑体" w:hAnsi="华文中宋" w:eastAsia="黑体"/>
          <w:b w:val="0"/>
          <w:bCs w:val="0"/>
          <w:color w:val="auto"/>
          <w:sz w:val="28"/>
          <w:szCs w:val="28"/>
          <w:highlight w:val="none"/>
        </w:rPr>
        <w:t>政府采购合同协议书</w:t>
      </w:r>
      <w:bookmarkEnd w:id="49"/>
      <w:bookmarkEnd w:id="50"/>
      <w:bookmarkEnd w:id="51"/>
    </w:p>
    <w:p w14:paraId="4F6F1949">
      <w:pPr>
        <w:pStyle w:val="3"/>
        <w:adjustRightInd w:val="0"/>
        <w:snapToGrid w:val="0"/>
        <w:spacing w:line="400" w:lineRule="exact"/>
        <w:jc w:val="center"/>
        <w:rPr>
          <w:rFonts w:ascii="黑体" w:hAnsi="华文中宋" w:eastAsia="黑体"/>
          <w:b w:val="0"/>
          <w:bCs w:val="0"/>
          <w:color w:val="auto"/>
          <w:sz w:val="28"/>
          <w:szCs w:val="28"/>
          <w:highlight w:val="none"/>
        </w:rPr>
      </w:pPr>
    </w:p>
    <w:p w14:paraId="24253880">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甲方（全称）：（采购人、受采购人委托签订合同的单位或采购</w:t>
      </w:r>
      <w:r>
        <w:rPr>
          <w:rFonts w:hint="eastAsia" w:ascii="宋体" w:hAnsi="宋体"/>
          <w:color w:val="auto"/>
          <w:szCs w:val="21"/>
          <w:highlight w:val="none"/>
        </w:rPr>
        <w:tab/>
      </w:r>
      <w:r>
        <w:rPr>
          <w:rFonts w:hint="eastAsia" w:ascii="宋体" w:hAnsi="宋体"/>
          <w:color w:val="auto"/>
          <w:szCs w:val="21"/>
          <w:highlight w:val="none"/>
        </w:rPr>
        <w:t xml:space="preserve">                                   文件约定的合同甲方）</w:t>
      </w:r>
    </w:p>
    <w:p w14:paraId="1AC2B624">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乙方1（全称）：（供应商）</w:t>
      </w:r>
    </w:p>
    <w:p w14:paraId="5EA1BCCC">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乙方2（全称）：（联合体成员供应商或其他合同主体）（如有）</w:t>
      </w:r>
    </w:p>
    <w:p w14:paraId="098E5A16">
      <w:pPr>
        <w:adjustRightInd w:val="0"/>
        <w:snapToGrid w:val="0"/>
        <w:spacing w:line="400" w:lineRule="exact"/>
        <w:rPr>
          <w:rFonts w:ascii="宋体" w:hAnsi="宋体"/>
          <w:color w:val="auto"/>
          <w:szCs w:val="21"/>
          <w:highlight w:val="none"/>
        </w:rPr>
      </w:pPr>
      <w:r>
        <w:rPr>
          <w:rFonts w:hint="eastAsia"/>
          <w:color w:val="auto"/>
          <w:highlight w:val="none"/>
        </w:rPr>
        <w:t>乙方</w:t>
      </w:r>
      <w:r>
        <w:rPr>
          <w:rFonts w:hint="eastAsia" w:ascii="宋体" w:hAnsi="宋体"/>
          <w:color w:val="auto"/>
          <w:szCs w:val="21"/>
          <w:highlight w:val="none"/>
        </w:rPr>
        <w:t>3</w:t>
      </w:r>
      <w:r>
        <w:rPr>
          <w:rFonts w:hint="eastAsia"/>
          <w:color w:val="auto"/>
          <w:highlight w:val="none"/>
        </w:rPr>
        <w:t>（全称）</w:t>
      </w:r>
      <w:r>
        <w:rPr>
          <w:rFonts w:hint="eastAsia" w:ascii="宋体" w:hAnsi="宋体"/>
          <w:color w:val="auto"/>
          <w:szCs w:val="21"/>
          <w:highlight w:val="none"/>
        </w:rPr>
        <w:t>（联合体成员供应商或其他合同主体）（如有）</w:t>
      </w:r>
    </w:p>
    <w:p w14:paraId="6E4AF347">
      <w:pPr>
        <w:spacing w:line="400" w:lineRule="exact"/>
        <w:rPr>
          <w:color w:val="auto"/>
          <w:highlight w:val="none"/>
        </w:rPr>
      </w:pPr>
    </w:p>
    <w:p w14:paraId="18358368">
      <w:pPr>
        <w:pStyle w:val="6"/>
        <w:adjustRightInd w:val="0"/>
        <w:spacing w:line="40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5BEFB5B5">
      <w:pPr>
        <w:widowControl w:val="0"/>
        <w:numPr>
          <w:ilvl w:val="0"/>
          <w:numId w:val="2"/>
        </w:numPr>
        <w:adjustRightInd w:val="0"/>
        <w:snapToGrid w:val="0"/>
        <w:spacing w:line="400" w:lineRule="exact"/>
        <w:ind w:firstLine="422" w:firstLineChars="200"/>
        <w:textAlignment w:val="auto"/>
        <w:rPr>
          <w:rFonts w:ascii="宋体" w:hAnsi="宋体"/>
          <w:b/>
          <w:color w:val="auto"/>
          <w:szCs w:val="21"/>
          <w:highlight w:val="none"/>
        </w:rPr>
      </w:pPr>
      <w:r>
        <w:rPr>
          <w:rFonts w:hint="eastAsia" w:ascii="宋体" w:hAnsi="宋体"/>
          <w:b/>
          <w:color w:val="auto"/>
          <w:szCs w:val="21"/>
          <w:highlight w:val="none"/>
        </w:rPr>
        <w:t>项目信息</w:t>
      </w:r>
    </w:p>
    <w:p w14:paraId="32415C58">
      <w:pPr>
        <w:pStyle w:val="6"/>
        <w:numPr>
          <w:ilvl w:val="0"/>
          <w:numId w:val="3"/>
        </w:numPr>
        <w:adjustRightInd w:val="0"/>
        <w:spacing w:before="0" w:line="400" w:lineRule="exact"/>
        <w:ind w:firstLine="560" w:firstLineChars="200"/>
        <w:textAlignment w:val="auto"/>
        <w:rPr>
          <w:rFonts w:ascii="宋体" w:hAnsi="宋体"/>
          <w:color w:val="auto"/>
          <w:szCs w:val="21"/>
          <w:highlight w:val="none"/>
          <w:u w:val="single"/>
        </w:rPr>
      </w:pPr>
      <w:r>
        <w:rPr>
          <w:rFonts w:hint="eastAsia" w:ascii="宋体" w:hAnsi="宋体"/>
          <w:color w:val="auto"/>
          <w:szCs w:val="21"/>
          <w:highlight w:val="none"/>
        </w:rPr>
        <w:t>采购项目名称：</w:t>
      </w:r>
    </w:p>
    <w:p w14:paraId="78744F4F">
      <w:pPr>
        <w:pStyle w:val="6"/>
        <w:numPr>
          <w:ilvl w:val="255"/>
          <w:numId w:val="0"/>
        </w:numPr>
        <w:tabs>
          <w:tab w:val="left" w:pos="999"/>
        </w:tabs>
        <w:adjustRightInd w:val="0"/>
        <w:spacing w:line="400" w:lineRule="exact"/>
        <w:rPr>
          <w:rFonts w:ascii="宋体" w:hAnsi="宋体"/>
          <w:color w:val="auto"/>
          <w:szCs w:val="21"/>
          <w:highlight w:val="none"/>
        </w:rPr>
      </w:pPr>
      <w:r>
        <w:rPr>
          <w:rFonts w:hint="eastAsia" w:ascii="宋体" w:hAnsi="宋体"/>
          <w:color w:val="auto"/>
          <w:szCs w:val="21"/>
          <w:highlight w:val="none"/>
        </w:rPr>
        <w:t xml:space="preserve">         采购项目编号：</w:t>
      </w:r>
    </w:p>
    <w:p w14:paraId="13899B20">
      <w:pPr>
        <w:pStyle w:val="6"/>
        <w:adjustRightInd w:val="0"/>
        <w:spacing w:line="400" w:lineRule="exact"/>
        <w:ind w:firstLine="560" w:firstLineChars="200"/>
        <w:rPr>
          <w:rFonts w:ascii="宋体" w:hAnsi="宋体"/>
          <w:color w:val="auto"/>
          <w:szCs w:val="21"/>
          <w:highlight w:val="none"/>
        </w:rPr>
      </w:pPr>
      <w:r>
        <w:rPr>
          <w:rFonts w:hint="eastAsia" w:ascii="宋体" w:hAnsi="宋体"/>
          <w:color w:val="auto"/>
          <w:szCs w:val="21"/>
          <w:highlight w:val="none"/>
        </w:rPr>
        <w:t>（2）采购计划编号：</w:t>
      </w:r>
    </w:p>
    <w:p w14:paraId="08D6A0F1">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（3）项目内容：</w:t>
      </w:r>
    </w:p>
    <w:p w14:paraId="7F99E7CF">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 xml:space="preserve">     采购标的及数量（台/套</w:t>
      </w:r>
      <w:r>
        <w:rPr>
          <w:rFonts w:ascii="宋体" w:hAnsi="宋体"/>
          <w:color w:val="auto"/>
          <w:szCs w:val="21"/>
          <w:highlight w:val="none"/>
        </w:rPr>
        <w:t>/</w:t>
      </w:r>
      <w:r>
        <w:rPr>
          <w:rFonts w:hint="eastAsia" w:ascii="宋体" w:hAnsi="宋体"/>
          <w:color w:val="auto"/>
          <w:szCs w:val="21"/>
          <w:highlight w:val="none"/>
        </w:rPr>
        <w:t>个</w:t>
      </w:r>
      <w:r>
        <w:rPr>
          <w:rFonts w:ascii="宋体" w:hAnsi="宋体"/>
          <w:color w:val="auto"/>
          <w:szCs w:val="21"/>
          <w:highlight w:val="none"/>
        </w:rPr>
        <w:t>/</w:t>
      </w:r>
      <w:r>
        <w:rPr>
          <w:rFonts w:hint="eastAsia" w:ascii="宋体" w:hAnsi="宋体"/>
          <w:color w:val="auto"/>
          <w:szCs w:val="21"/>
          <w:highlight w:val="none"/>
        </w:rPr>
        <w:t>架</w:t>
      </w:r>
      <w:r>
        <w:rPr>
          <w:rFonts w:ascii="宋体" w:hAnsi="宋体"/>
          <w:color w:val="auto"/>
          <w:szCs w:val="21"/>
          <w:highlight w:val="none"/>
        </w:rPr>
        <w:t>/</w:t>
      </w:r>
      <w:r>
        <w:rPr>
          <w:rFonts w:hint="eastAsia" w:ascii="宋体" w:hAnsi="宋体"/>
          <w:color w:val="auto"/>
          <w:szCs w:val="21"/>
          <w:highlight w:val="none"/>
        </w:rPr>
        <w:t>组等）：</w:t>
      </w:r>
    </w:p>
    <w:p w14:paraId="0B48F2B9">
      <w:pPr>
        <w:numPr>
          <w:ilvl w:val="255"/>
          <w:numId w:val="0"/>
        </w:numPr>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品牌：规格型号：</w:t>
      </w:r>
    </w:p>
    <w:p w14:paraId="6BD393CB">
      <w:pPr>
        <w:adjustRightInd w:val="0"/>
        <w:snapToGrid w:val="0"/>
        <w:spacing w:line="400" w:lineRule="exact"/>
        <w:ind w:firstLine="945" w:firstLineChars="450"/>
        <w:rPr>
          <w:rFonts w:ascii="宋体" w:hAnsi="宋体"/>
          <w:color w:val="auto"/>
          <w:szCs w:val="21"/>
          <w:highlight w:val="none"/>
          <w:u w:val="single"/>
        </w:rPr>
      </w:pPr>
      <w:r>
        <w:rPr>
          <w:rFonts w:hint="eastAsia" w:ascii="宋体" w:hAnsi="宋体"/>
          <w:color w:val="auto"/>
          <w:szCs w:val="21"/>
          <w:highlight w:val="none"/>
        </w:rPr>
        <w:t>采购标的的技术要求、商务要求具体见附件。</w:t>
      </w:r>
    </w:p>
    <w:p w14:paraId="4A9A550F">
      <w:pPr>
        <w:numPr>
          <w:ilvl w:val="255"/>
          <w:numId w:val="0"/>
        </w:numPr>
        <w:adjustRightInd w:val="0"/>
        <w:snapToGrid w:val="0"/>
        <w:spacing w:line="400" w:lineRule="exact"/>
        <w:ind w:firstLine="945" w:firstLineChars="450"/>
        <w:rPr>
          <w:rFonts w:ascii="宋体" w:hAnsi="宋体" w:cs="宋体"/>
          <w:color w:val="auto"/>
          <w:szCs w:val="21"/>
          <w:highlight w:val="none"/>
        </w:rPr>
      </w:pPr>
      <w:r>
        <w:rPr>
          <w:rFonts w:hint="eastAsia" w:ascii="汉仪书宋二S" w:hAnsi="汉仪书宋二S" w:eastAsia="汉仪书宋二S" w:cs="汉仪书宋二S"/>
          <w:color w:val="auto"/>
          <w:szCs w:val="21"/>
          <w:highlight w:val="none"/>
        </w:rPr>
        <w:t>①</w:t>
      </w:r>
      <w:r>
        <w:rPr>
          <w:rFonts w:hint="eastAsia" w:ascii="宋体" w:hAnsi="宋体" w:cs="宋体"/>
          <w:color w:val="auto"/>
          <w:szCs w:val="21"/>
          <w:highlight w:val="none"/>
        </w:rPr>
        <w:t>涉及信息类产品，请填写该产品关键部件的品牌、型号：</w:t>
      </w:r>
    </w:p>
    <w:p w14:paraId="2E15E6E3">
      <w:pPr>
        <w:numPr>
          <w:ilvl w:val="255"/>
          <w:numId w:val="0"/>
        </w:numPr>
        <w:adjustRightInd w:val="0"/>
        <w:snapToGrid w:val="0"/>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 xml:space="preserve">     标的名称：</w:t>
      </w:r>
    </w:p>
    <w:p w14:paraId="153351D7">
      <w:pPr>
        <w:numPr>
          <w:ilvl w:val="255"/>
          <w:numId w:val="0"/>
        </w:numPr>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     关键部件： 品牌： 型号：</w:t>
      </w:r>
    </w:p>
    <w:p w14:paraId="7B5AD389">
      <w:pPr>
        <w:pStyle w:val="65"/>
        <w:ind w:firstLine="420"/>
        <w:rPr>
          <w:rFonts w:ascii="宋体" w:hAnsi="宋体" w:eastAsia="宋体" w:cs="宋体"/>
          <w:color w:val="auto"/>
          <w:sz w:val="21"/>
          <w:highlight w:val="none"/>
        </w:rPr>
      </w:pPr>
      <w:r>
        <w:rPr>
          <w:rFonts w:hint="eastAsia" w:ascii="宋体" w:hAnsi="宋体" w:eastAsia="宋体" w:cs="宋体"/>
          <w:color w:val="auto"/>
          <w:kern w:val="2"/>
          <w:sz w:val="21"/>
          <w:highlight w:val="none"/>
        </w:rPr>
        <w:t>关键部件</w:t>
      </w:r>
      <w:r>
        <w:rPr>
          <w:rFonts w:hint="eastAsia" w:ascii="宋体" w:hAnsi="宋体" w:eastAsia="宋体" w:cs="宋体"/>
          <w:color w:val="auto"/>
          <w:sz w:val="21"/>
          <w:highlight w:val="none"/>
        </w:rPr>
        <w:t>： 品牌： 型号：</w:t>
      </w:r>
    </w:p>
    <w:p w14:paraId="18CA35DC">
      <w:pPr>
        <w:pStyle w:val="65"/>
        <w:ind w:firstLine="420"/>
        <w:rPr>
          <w:rFonts w:ascii="宋体" w:hAnsi="宋体" w:eastAsia="宋体" w:cs="宋体"/>
          <w:color w:val="auto"/>
          <w:sz w:val="21"/>
          <w:highlight w:val="none"/>
        </w:rPr>
      </w:pPr>
      <w:r>
        <w:rPr>
          <w:rFonts w:hint="eastAsia" w:ascii="宋体" w:hAnsi="宋体" w:eastAsia="宋体" w:cs="宋体"/>
          <w:color w:val="auto"/>
          <w:sz w:val="21"/>
          <w:highlight w:val="none"/>
        </w:rPr>
        <w:t xml:space="preserve">     关键部件： 品牌： 型号：</w:t>
      </w:r>
    </w:p>
    <w:p w14:paraId="39DE3D55">
      <w:pPr>
        <w:pStyle w:val="65"/>
        <w:numPr>
          <w:ilvl w:val="255"/>
          <w:numId w:val="0"/>
        </w:numPr>
        <w:snapToGrid w:val="0"/>
        <w:rPr>
          <w:rFonts w:ascii="宋体" w:hAnsi="宋体" w:eastAsia="宋体" w:cs="宋体"/>
          <w:color w:val="auto"/>
          <w:sz w:val="21"/>
          <w:highlight w:val="none"/>
        </w:rPr>
      </w:pPr>
      <w:r>
        <w:rPr>
          <w:rFonts w:hint="eastAsia" w:ascii="宋体" w:hAnsi="宋体" w:eastAsia="宋体" w:cs="宋体"/>
          <w:color w:val="auto"/>
          <w:sz w:val="21"/>
          <w:highlight w:val="none"/>
        </w:rPr>
        <w:t xml:space="preserve">   （注：关键部件是指财政部会同有关部门发布的政府采购需求标准规定的需要通过国家有关部门指定的测评机构开展的安全可靠测评的软硬件，如CPU芯片、操作系统、数据库等。）</w:t>
      </w:r>
    </w:p>
    <w:p w14:paraId="72DE4342">
      <w:pPr>
        <w:pStyle w:val="65"/>
        <w:numPr>
          <w:ilvl w:val="255"/>
          <w:numId w:val="0"/>
        </w:numPr>
        <w:snapToGrid w:val="0"/>
        <w:rPr>
          <w:rFonts w:ascii="宋体" w:hAnsi="宋体" w:eastAsia="宋体" w:cs="宋体"/>
          <w:color w:val="auto"/>
          <w:sz w:val="21"/>
          <w:highlight w:val="none"/>
        </w:rPr>
      </w:pPr>
      <w:r>
        <w:rPr>
          <w:rFonts w:hint="eastAsia" w:ascii="汉仪书宋二S" w:hAnsi="汉仪书宋二S" w:eastAsia="汉仪书宋二S" w:cs="汉仪书宋二S"/>
          <w:color w:val="auto"/>
          <w:sz w:val="21"/>
          <w:highlight w:val="none"/>
        </w:rPr>
        <w:t>②</w:t>
      </w:r>
      <w:r>
        <w:rPr>
          <w:rFonts w:hint="eastAsia" w:ascii="宋体" w:hAnsi="宋体" w:eastAsia="宋体" w:cs="宋体"/>
          <w:color w:val="auto"/>
          <w:sz w:val="21"/>
          <w:highlight w:val="none"/>
        </w:rPr>
        <w:t>涉及车辆采购，请填写是否属于新能源汽车：</w:t>
      </w:r>
    </w:p>
    <w:p w14:paraId="69CCA816">
      <w:pPr>
        <w:pStyle w:val="65"/>
        <w:numPr>
          <w:ilvl w:val="255"/>
          <w:numId w:val="0"/>
        </w:numPr>
        <w:snapToGrid w:val="0"/>
        <w:rPr>
          <w:rFonts w:ascii="宋体" w:hAnsi="宋体" w:eastAsia="宋体" w:cs="宋体"/>
          <w:color w:val="auto"/>
          <w:sz w:val="21"/>
          <w:highlight w:val="none"/>
        </w:rPr>
      </w:pP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是，《政府采购品目分类目录》底级品目名称： 数量： 金额：</w:t>
      </w:r>
    </w:p>
    <w:p w14:paraId="72A34FAC">
      <w:pPr>
        <w:pStyle w:val="65"/>
        <w:numPr>
          <w:ilvl w:val="255"/>
          <w:numId w:val="0"/>
        </w:numPr>
        <w:snapToGrid w:val="0"/>
        <w:rPr>
          <w:rFonts w:ascii="宋体" w:hAnsi="宋体" w:eastAsia="宋体" w:cs="宋体"/>
          <w:color w:val="auto"/>
          <w:sz w:val="21"/>
          <w:highlight w:val="none"/>
        </w:rPr>
      </w:pP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否</w:t>
      </w:r>
    </w:p>
    <w:p w14:paraId="756BD150">
      <w:pPr>
        <w:pStyle w:val="65"/>
        <w:numPr>
          <w:ilvl w:val="255"/>
          <w:numId w:val="0"/>
        </w:numPr>
        <w:snapToGrid w:val="0"/>
        <w:rPr>
          <w:rFonts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ascii="宋体" w:hAnsi="宋体" w:eastAsia="宋体" w:cs="宋体"/>
          <w:color w:val="auto"/>
          <w:sz w:val="21"/>
          <w:highlight w:val="none"/>
        </w:rPr>
        <w:t>4</w:t>
      </w:r>
      <w:r>
        <w:rPr>
          <w:rFonts w:hint="eastAsia" w:ascii="宋体" w:hAnsi="宋体" w:eastAsia="宋体" w:cs="宋体"/>
          <w:color w:val="auto"/>
          <w:sz w:val="21"/>
          <w:highlight w:val="none"/>
        </w:rPr>
        <w:t>）政府采购组织形式：</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政府集中采购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部门集中采购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分散采购</w:t>
      </w:r>
    </w:p>
    <w:p w14:paraId="61A5294C">
      <w:pPr>
        <w:pStyle w:val="65"/>
        <w:numPr>
          <w:ilvl w:val="255"/>
          <w:numId w:val="0"/>
        </w:numPr>
        <w:snapToGrid w:val="0"/>
        <w:ind w:firstLine="420"/>
        <w:rPr>
          <w:rFonts w:ascii="宋体" w:hAnsi="宋体" w:eastAsia="宋体" w:cs="宋体"/>
          <w:color w:val="auto"/>
          <w:sz w:val="21"/>
          <w:highlight w:val="none"/>
        </w:rPr>
      </w:pPr>
      <w:r>
        <w:rPr>
          <w:rFonts w:hint="eastAsia" w:ascii="宋体" w:hAnsi="宋体" w:eastAsia="宋体" w:cs="宋体"/>
          <w:color w:val="auto"/>
          <w:sz w:val="21"/>
          <w:highlight w:val="none"/>
        </w:rPr>
        <w:t>（</w:t>
      </w:r>
      <w:r>
        <w:rPr>
          <w:rFonts w:ascii="宋体" w:hAnsi="宋体" w:eastAsia="宋体" w:cs="宋体"/>
          <w:color w:val="auto"/>
          <w:sz w:val="21"/>
          <w:highlight w:val="none"/>
        </w:rPr>
        <w:t>5</w:t>
      </w:r>
      <w:r>
        <w:rPr>
          <w:rFonts w:hint="eastAsia" w:ascii="宋体" w:hAnsi="宋体" w:eastAsia="宋体" w:cs="宋体"/>
          <w:color w:val="auto"/>
          <w:sz w:val="21"/>
          <w:highlight w:val="none"/>
        </w:rPr>
        <w:t>）政府采购方式：</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公开招标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邀请招标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竞争性谈判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竞争性磋商</w:t>
      </w:r>
    </w:p>
    <w:p w14:paraId="1FE50460">
      <w:pPr>
        <w:pStyle w:val="65"/>
        <w:numPr>
          <w:ilvl w:val="255"/>
          <w:numId w:val="0"/>
        </w:numPr>
        <w:snapToGrid w:val="0"/>
        <w:ind w:firstLine="420"/>
        <w:rPr>
          <w:rFonts w:ascii="宋体" w:hAnsi="宋体" w:eastAsia="宋体" w:cs="宋体"/>
          <w:color w:val="auto"/>
          <w:sz w:val="21"/>
          <w:highlight w:val="none"/>
          <w:u w:val="single"/>
        </w:rPr>
      </w:pP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询价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单一来源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框架协议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其他：</w:t>
      </w:r>
    </w:p>
    <w:p w14:paraId="75CA442B">
      <w:pPr>
        <w:pStyle w:val="65"/>
        <w:numPr>
          <w:ilvl w:val="255"/>
          <w:numId w:val="0"/>
        </w:numPr>
        <w:snapToGrid w:val="0"/>
        <w:ind w:firstLine="420"/>
        <w:rPr>
          <w:rFonts w:ascii="宋体" w:hAnsi="宋体" w:eastAsia="宋体" w:cs="宋体"/>
          <w:color w:val="auto"/>
          <w:sz w:val="21"/>
          <w:highlight w:val="none"/>
        </w:rPr>
      </w:pPr>
      <w:r>
        <w:rPr>
          <w:rFonts w:hint="eastAsia" w:ascii="宋体" w:hAnsi="宋体" w:eastAsia="宋体" w:cs="宋体"/>
          <w:color w:val="auto"/>
          <w:sz w:val="21"/>
          <w:highlight w:val="none"/>
        </w:rPr>
        <w:t>（注：在框架协议采购的第二阶段，可选择使用该合同文本）</w:t>
      </w:r>
    </w:p>
    <w:p w14:paraId="13DF2E75">
      <w:pPr>
        <w:pStyle w:val="65"/>
        <w:numPr>
          <w:ilvl w:val="255"/>
          <w:numId w:val="0"/>
        </w:numPr>
        <w:snapToGrid w:val="0"/>
        <w:ind w:firstLine="220" w:firstLineChars="100"/>
        <w:rPr>
          <w:rFonts w:ascii="宋体" w:hAnsi="宋体" w:eastAsia="宋体" w:cs="Times New Roman"/>
          <w:color w:val="auto"/>
          <w:kern w:val="2"/>
          <w:sz w:val="21"/>
          <w:highlight w:val="none"/>
        </w:rPr>
      </w:pPr>
      <w:r>
        <w:rPr>
          <w:rFonts w:hint="eastAsia" w:ascii="宋体" w:hAnsi="宋体"/>
          <w:color w:val="auto"/>
          <w:highlight w:val="none"/>
        </w:rPr>
        <w:t xml:space="preserve"> （</w:t>
      </w:r>
      <w:r>
        <w:rPr>
          <w:rFonts w:ascii="宋体" w:hAnsi="宋体"/>
          <w:color w:val="auto"/>
          <w:highlight w:val="none"/>
        </w:rPr>
        <w:t>6</w:t>
      </w:r>
      <w:r>
        <w:rPr>
          <w:rFonts w:hint="eastAsia" w:ascii="宋体" w:hAnsi="宋体"/>
          <w:color w:val="auto"/>
          <w:highlight w:val="none"/>
        </w:rPr>
        <w:t>）</w:t>
      </w:r>
      <w:r>
        <w:rPr>
          <w:rFonts w:hint="eastAsia" w:ascii="宋体" w:hAnsi="宋体" w:eastAsia="宋体" w:cs="Times New Roman"/>
          <w:color w:val="auto"/>
          <w:kern w:val="2"/>
          <w:sz w:val="21"/>
          <w:highlight w:val="none"/>
        </w:rPr>
        <w:t>中标（成交）采购标的制造商是否为中小企业：</w:t>
      </w:r>
      <w:r>
        <w:rPr>
          <w:rFonts w:hint="eastAsia" w:ascii="宋体" w:hAnsi="宋体" w:eastAsia="宋体" w:cs="Times New Roman"/>
          <w:color w:val="auto"/>
          <w:kern w:val="2"/>
          <w:sz w:val="21"/>
          <w:highlight w:val="none"/>
        </w:rPr>
        <w:sym w:font="Wingdings" w:char="00A8"/>
      </w:r>
      <w:r>
        <w:rPr>
          <w:rFonts w:hint="eastAsia" w:ascii="宋体" w:hAnsi="宋体" w:eastAsia="宋体" w:cs="Times New Roman"/>
          <w:color w:val="auto"/>
          <w:kern w:val="2"/>
          <w:sz w:val="21"/>
          <w:highlight w:val="none"/>
        </w:rPr>
        <w:t xml:space="preserve">是      </w:t>
      </w:r>
      <w:r>
        <w:rPr>
          <w:rFonts w:hint="eastAsia" w:ascii="宋体" w:hAnsi="宋体" w:eastAsia="宋体" w:cs="Times New Roman"/>
          <w:color w:val="auto"/>
          <w:kern w:val="2"/>
          <w:sz w:val="21"/>
          <w:highlight w:val="none"/>
        </w:rPr>
        <w:sym w:font="Wingdings" w:char="00A8"/>
      </w:r>
      <w:r>
        <w:rPr>
          <w:rFonts w:hint="eastAsia" w:ascii="宋体" w:hAnsi="宋体" w:eastAsia="宋体" w:cs="Times New Roman"/>
          <w:color w:val="auto"/>
          <w:kern w:val="2"/>
          <w:sz w:val="21"/>
          <w:highlight w:val="none"/>
        </w:rPr>
        <w:t>否</w:t>
      </w:r>
    </w:p>
    <w:p w14:paraId="4C1E70A2">
      <w:pPr>
        <w:numPr>
          <w:ilvl w:val="255"/>
          <w:numId w:val="0"/>
        </w:numPr>
        <w:adjustRightInd w:val="0"/>
        <w:snapToGrid w:val="0"/>
        <w:spacing w:line="400" w:lineRule="exact"/>
        <w:rPr>
          <w:rFonts w:ascii="宋体" w:hAnsi="宋体"/>
          <w:iCs/>
          <w:color w:val="auto"/>
          <w:szCs w:val="21"/>
          <w:highlight w:val="none"/>
        </w:rPr>
      </w:pPr>
      <w:r>
        <w:rPr>
          <w:rFonts w:hint="eastAsia" w:ascii="宋体" w:hAnsi="宋体"/>
          <w:color w:val="auto"/>
          <w:szCs w:val="21"/>
          <w:highlight w:val="none"/>
        </w:rPr>
        <w:t xml:space="preserve">         本合同是否为专门面向中小企业的采购合同（中小企业预留合同）：</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1DD75930">
      <w:pPr>
        <w:numPr>
          <w:ilvl w:val="255"/>
          <w:numId w:val="0"/>
        </w:numPr>
        <w:adjustRightInd w:val="0"/>
        <w:snapToGrid w:val="0"/>
        <w:spacing w:line="400" w:lineRule="exact"/>
        <w:rPr>
          <w:rFonts w:ascii="宋体" w:hAnsi="宋体"/>
          <w:iCs/>
          <w:color w:val="auto"/>
          <w:szCs w:val="21"/>
          <w:highlight w:val="none"/>
        </w:rPr>
      </w:pPr>
      <w:r>
        <w:rPr>
          <w:rFonts w:hint="eastAsia"/>
          <w:color w:val="auto"/>
          <w:highlight w:val="none"/>
        </w:rPr>
        <w:t xml:space="preserve">         若本项目不专门面向中小企业采购，是否给予小微企业评审优惠：</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2D2E2C9A">
      <w:pPr>
        <w:numPr>
          <w:ilvl w:val="255"/>
          <w:numId w:val="0"/>
        </w:numPr>
        <w:adjustRightInd w:val="0"/>
        <w:snapToGrid w:val="0"/>
        <w:spacing w:line="400" w:lineRule="exact"/>
        <w:rPr>
          <w:rFonts w:ascii="宋体" w:hAnsi="宋体"/>
          <w:iCs/>
          <w:color w:val="auto"/>
          <w:szCs w:val="21"/>
          <w:highlight w:val="none"/>
        </w:rPr>
      </w:pPr>
      <w:r>
        <w:rPr>
          <w:rFonts w:hint="eastAsia"/>
          <w:color w:val="auto"/>
          <w:highlight w:val="none"/>
        </w:rPr>
        <w:t xml:space="preserve">         中标（成交）采购标的制造商是否为残疾人福利性单位：</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4C21933D">
      <w:pPr>
        <w:snapToGrid w:val="0"/>
        <w:spacing w:line="400" w:lineRule="exact"/>
        <w:rPr>
          <w:color w:val="auto"/>
          <w:highlight w:val="none"/>
        </w:rPr>
      </w:pPr>
      <w:r>
        <w:rPr>
          <w:rFonts w:hint="eastAsia"/>
          <w:color w:val="auto"/>
          <w:highlight w:val="none"/>
        </w:rPr>
        <w:t xml:space="preserve">         中标（成交）采购标的制造商是否为监狱企业：</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4A047B5E">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7</w:t>
      </w:r>
      <w:r>
        <w:rPr>
          <w:rFonts w:hint="eastAsia" w:ascii="宋体" w:hAnsi="宋体"/>
          <w:color w:val="auto"/>
          <w:szCs w:val="21"/>
          <w:highlight w:val="none"/>
        </w:rPr>
        <w:t>）合同是否分包：</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72B1B31E">
      <w:pPr>
        <w:adjustRightInd w:val="0"/>
        <w:snapToGrid w:val="0"/>
        <w:spacing w:line="400" w:lineRule="exact"/>
        <w:ind w:firstLine="840" w:firstLineChars="400"/>
        <w:rPr>
          <w:rFonts w:ascii="宋体" w:hAnsi="宋体"/>
          <w:color w:val="auto"/>
          <w:szCs w:val="21"/>
          <w:highlight w:val="none"/>
          <w:u w:val="single"/>
        </w:rPr>
      </w:pPr>
      <w:r>
        <w:rPr>
          <w:rFonts w:hint="eastAsia" w:ascii="宋体" w:hAnsi="宋体"/>
          <w:color w:val="auto"/>
          <w:szCs w:val="21"/>
          <w:highlight w:val="none"/>
        </w:rPr>
        <w:t xml:space="preserve"> 分包主要内容：</w:t>
      </w:r>
    </w:p>
    <w:p w14:paraId="38768AAB">
      <w:pPr>
        <w:adjustRightInd w:val="0"/>
        <w:snapToGrid w:val="0"/>
        <w:spacing w:line="400" w:lineRule="exact"/>
        <w:ind w:firstLine="840" w:firstLineChars="400"/>
        <w:rPr>
          <w:rFonts w:ascii="宋体" w:hAnsi="宋体"/>
          <w:color w:val="auto"/>
          <w:szCs w:val="21"/>
          <w:highlight w:val="none"/>
        </w:rPr>
      </w:pPr>
      <w:r>
        <w:rPr>
          <w:rFonts w:hint="eastAsia" w:ascii="宋体" w:hAnsi="宋体"/>
          <w:color w:val="auto"/>
          <w:szCs w:val="21"/>
          <w:highlight w:val="none"/>
        </w:rPr>
        <w:t xml:space="preserve"> 分包供应商/制造商名称（如供应商和制造商不同，请分别填写）：</w:t>
      </w:r>
    </w:p>
    <w:p w14:paraId="1EE2C154">
      <w:pPr>
        <w:adjustRightInd w:val="0"/>
        <w:snapToGrid w:val="0"/>
        <w:spacing w:line="400" w:lineRule="exact"/>
        <w:ind w:firstLine="840" w:firstLineChars="400"/>
        <w:rPr>
          <w:rFonts w:ascii="宋体" w:hAnsi="宋体"/>
          <w:color w:val="auto"/>
          <w:szCs w:val="21"/>
          <w:highlight w:val="none"/>
          <w:u w:val="single"/>
        </w:rPr>
      </w:pPr>
    </w:p>
    <w:p w14:paraId="20E5FD3F">
      <w:pPr>
        <w:adjustRightInd w:val="0"/>
        <w:snapToGrid w:val="0"/>
        <w:spacing w:line="400" w:lineRule="exact"/>
        <w:ind w:firstLine="840" w:firstLineChars="400"/>
        <w:rPr>
          <w:rFonts w:ascii="宋体" w:hAnsi="宋体"/>
          <w:color w:val="auto"/>
          <w:szCs w:val="21"/>
          <w:highlight w:val="none"/>
        </w:rPr>
      </w:pPr>
      <w:r>
        <w:rPr>
          <w:rFonts w:hint="eastAsia" w:ascii="宋体" w:hAnsi="宋体"/>
          <w:color w:val="auto"/>
          <w:szCs w:val="21"/>
          <w:highlight w:val="none"/>
        </w:rPr>
        <w:t xml:space="preserve"> 分包供应商/制造商类型（如果供应商和制造商不同，只填写制造商类型）：</w:t>
      </w:r>
    </w:p>
    <w:p w14:paraId="4E14AF50">
      <w:pPr>
        <w:adjustRightInd w:val="0"/>
        <w:snapToGrid w:val="0"/>
        <w:spacing w:line="400" w:lineRule="exact"/>
        <w:ind w:firstLine="840" w:firstLineChars="400"/>
        <w:rPr>
          <w:rFonts w:ascii="宋体" w:hAnsi="宋体"/>
          <w:iCs/>
          <w:color w:val="auto"/>
          <w:szCs w:val="21"/>
          <w:highlight w:val="none"/>
        </w:rPr>
      </w:pP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大型企业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中型企业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小微型企业  </w:t>
      </w:r>
    </w:p>
    <w:p w14:paraId="0E934C64">
      <w:pPr>
        <w:adjustRightInd w:val="0"/>
        <w:snapToGrid w:val="0"/>
        <w:spacing w:line="400" w:lineRule="exact"/>
        <w:ind w:firstLine="840" w:firstLineChars="400"/>
        <w:rPr>
          <w:rFonts w:eastAsia="华文楷体"/>
          <w:color w:val="auto"/>
          <w:highlight w:val="none"/>
        </w:rPr>
      </w:pP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残疾人福利性单位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监狱企业 </w:t>
      </w:r>
      <w:r>
        <w:rPr>
          <w:rFonts w:hint="eastAsia" w:ascii="宋体" w:hAnsi="宋体"/>
          <w:iCs/>
          <w:color w:val="auto"/>
          <w:szCs w:val="21"/>
          <w:highlight w:val="none"/>
        </w:rPr>
        <w:sym w:font="Wingdings" w:char="00A8"/>
      </w:r>
      <w:r>
        <w:rPr>
          <w:rFonts w:hint="eastAsia" w:ascii="宋体" w:hAnsi="宋体"/>
          <w:iCs/>
          <w:color w:val="auto"/>
          <w:szCs w:val="21"/>
          <w:highlight w:val="none"/>
        </w:rPr>
        <w:t>其他</w:t>
      </w:r>
    </w:p>
    <w:p w14:paraId="745691EA">
      <w:pPr>
        <w:numPr>
          <w:ilvl w:val="255"/>
          <w:numId w:val="0"/>
        </w:numPr>
        <w:adjustRightInd w:val="0"/>
        <w:snapToGrid w:val="0"/>
        <w:spacing w:line="400" w:lineRule="exact"/>
        <w:rPr>
          <w:rFonts w:ascii="宋体" w:hAnsi="宋体" w:cs="宋体"/>
          <w:iCs/>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8</w:t>
      </w:r>
      <w:r>
        <w:rPr>
          <w:rFonts w:hint="eastAsia" w:ascii="宋体" w:hAnsi="宋体" w:cs="宋体"/>
          <w:color w:val="auto"/>
          <w:szCs w:val="21"/>
          <w:highlight w:val="none"/>
        </w:rPr>
        <w:t>）中标（成交）供应商是否为外商投资企业：</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是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否</w:t>
      </w:r>
    </w:p>
    <w:p w14:paraId="27ABC64F">
      <w:pPr>
        <w:pStyle w:val="65"/>
        <w:tabs>
          <w:tab w:val="left" w:pos="1340"/>
        </w:tabs>
        <w:ind w:firstLine="420"/>
        <w:rPr>
          <w:rFonts w:ascii="宋体" w:hAnsi="宋体" w:eastAsia="宋体" w:cs="宋体"/>
          <w:color w:val="auto"/>
          <w:sz w:val="21"/>
          <w:highlight w:val="none"/>
          <w:u w:val="single"/>
        </w:rPr>
      </w:pPr>
      <w:r>
        <w:rPr>
          <w:rFonts w:hint="eastAsia" w:ascii="宋体" w:hAnsi="宋体" w:eastAsia="宋体" w:cs="宋体"/>
          <w:color w:val="auto"/>
          <w:sz w:val="21"/>
          <w:highlight w:val="none"/>
        </w:rPr>
        <w:t xml:space="preserve">     外商投资企业类型：</w:t>
      </w:r>
      <w:r>
        <w:rPr>
          <w:rFonts w:hint="eastAsia" w:ascii="宋体" w:hAnsi="宋体" w:eastAsia="宋体" w:cs="宋体"/>
          <w:iCs/>
          <w:color w:val="auto"/>
          <w:sz w:val="21"/>
          <w:highlight w:val="none"/>
        </w:rPr>
        <w:sym w:font="Wingdings" w:char="00A8"/>
      </w:r>
      <w:r>
        <w:rPr>
          <w:rFonts w:hint="eastAsia" w:ascii="宋体" w:hAnsi="宋体" w:eastAsia="宋体" w:cs="宋体"/>
          <w:color w:val="auto"/>
          <w:sz w:val="21"/>
          <w:highlight w:val="none"/>
        </w:rPr>
        <w:t xml:space="preserve">全部由外国投资者投资  </w:t>
      </w:r>
      <w:r>
        <w:rPr>
          <w:rFonts w:hint="eastAsia" w:ascii="宋体" w:hAnsi="宋体" w:eastAsia="宋体" w:cs="宋体"/>
          <w:iCs/>
          <w:color w:val="auto"/>
          <w:sz w:val="21"/>
          <w:highlight w:val="none"/>
        </w:rPr>
        <w:sym w:font="Wingdings" w:char="00A8"/>
      </w:r>
      <w:r>
        <w:rPr>
          <w:rFonts w:hint="eastAsia" w:ascii="宋体" w:hAnsi="宋体" w:eastAsia="宋体" w:cs="宋体"/>
          <w:iCs/>
          <w:color w:val="auto"/>
          <w:sz w:val="21"/>
          <w:highlight w:val="none"/>
        </w:rPr>
        <w:t>部分由外国投资者投资</w:t>
      </w:r>
    </w:p>
    <w:p w14:paraId="2CEC9E97">
      <w:pPr>
        <w:numPr>
          <w:ilvl w:val="255"/>
          <w:numId w:val="0"/>
        </w:numPr>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9</w:t>
      </w:r>
      <w:r>
        <w:rPr>
          <w:rFonts w:hint="eastAsia" w:ascii="宋体" w:hAnsi="宋体" w:cs="宋体"/>
          <w:color w:val="auto"/>
          <w:szCs w:val="21"/>
          <w:highlight w:val="none"/>
        </w:rPr>
        <w:t>）是否涉及进口产品：</w:t>
      </w:r>
    </w:p>
    <w:p w14:paraId="1C0719F7">
      <w:pPr>
        <w:numPr>
          <w:ilvl w:val="255"/>
          <w:numId w:val="0"/>
        </w:numPr>
        <w:adjustRightInd w:val="0"/>
        <w:snapToGrid w:val="0"/>
        <w:spacing w:line="400" w:lineRule="exact"/>
        <w:ind w:firstLine="840" w:firstLineChars="400"/>
        <w:rPr>
          <w:rFonts w:ascii="宋体" w:hAnsi="宋体" w:cs="宋体"/>
          <w:color w:val="auto"/>
          <w:szCs w:val="21"/>
          <w:highlight w:val="none"/>
          <w:u w:val="single"/>
        </w:rPr>
      </w:pPr>
      <w:r>
        <w:rPr>
          <w:rFonts w:hint="eastAsia" w:ascii="宋体" w:hAnsi="宋体" w:cs="宋体"/>
          <w:color w:val="auto"/>
          <w:szCs w:val="21"/>
          <w:highlight w:val="none"/>
        </w:rPr>
        <w:sym w:font="Wingdings" w:char="00A8"/>
      </w:r>
      <w:r>
        <w:rPr>
          <w:rFonts w:hint="eastAsia" w:ascii="宋体" w:hAnsi="宋体" w:cs="宋体"/>
          <w:color w:val="auto"/>
          <w:szCs w:val="21"/>
          <w:highlight w:val="none"/>
        </w:rPr>
        <w:t>是，《政府采购品目分类目录》底级品目名称： 金额：</w:t>
      </w:r>
    </w:p>
    <w:p w14:paraId="08CEE5F0">
      <w:pPr>
        <w:numPr>
          <w:ilvl w:val="255"/>
          <w:numId w:val="0"/>
        </w:numPr>
        <w:adjustRightInd w:val="0"/>
        <w:snapToGrid w:val="0"/>
        <w:spacing w:line="400" w:lineRule="exact"/>
        <w:ind w:firstLine="840" w:firstLineChars="400"/>
        <w:rPr>
          <w:rFonts w:ascii="宋体" w:hAnsi="宋体"/>
          <w:color w:val="auto"/>
          <w:szCs w:val="21"/>
          <w:highlight w:val="none"/>
        </w:rPr>
      </w:pPr>
      <w:r>
        <w:rPr>
          <w:rFonts w:hint="eastAsia" w:ascii="宋体" w:hAnsi="宋体" w:cs="宋体"/>
          <w:color w:val="auto"/>
          <w:szCs w:val="21"/>
          <w:highlight w:val="none"/>
        </w:rPr>
        <w:t xml:space="preserve">        国别： 品牌： 规格型号：</w:t>
      </w:r>
    </w:p>
    <w:p w14:paraId="15EC75B2">
      <w:pPr>
        <w:adjustRightInd w:val="0"/>
        <w:snapToGrid w:val="0"/>
        <w:spacing w:line="400" w:lineRule="exact"/>
        <w:ind w:firstLine="840" w:firstLineChars="400"/>
        <w:rPr>
          <w:rFonts w:ascii="宋体" w:hAnsi="宋体"/>
          <w:color w:val="auto"/>
          <w:szCs w:val="21"/>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否</w:t>
      </w:r>
    </w:p>
    <w:p w14:paraId="1911D95A">
      <w:pPr>
        <w:numPr>
          <w:ilvl w:val="255"/>
          <w:numId w:val="0"/>
        </w:numPr>
        <w:tabs>
          <w:tab w:val="left" w:pos="740"/>
        </w:tabs>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（1</w:t>
      </w:r>
      <w:r>
        <w:rPr>
          <w:rFonts w:ascii="宋体" w:hAnsi="宋体"/>
          <w:color w:val="auto"/>
          <w:szCs w:val="21"/>
          <w:highlight w:val="none"/>
        </w:rPr>
        <w:t>0</w:t>
      </w:r>
      <w:r>
        <w:rPr>
          <w:rFonts w:hint="eastAsia" w:ascii="宋体" w:hAnsi="宋体"/>
          <w:color w:val="auto"/>
          <w:szCs w:val="21"/>
          <w:highlight w:val="none"/>
        </w:rPr>
        <w:t>）是否涉及节能产品：</w:t>
      </w:r>
    </w:p>
    <w:p w14:paraId="06BD36A6">
      <w:pPr>
        <w:numPr>
          <w:ilvl w:val="255"/>
          <w:numId w:val="0"/>
        </w:numPr>
        <w:tabs>
          <w:tab w:val="left" w:pos="740"/>
        </w:tabs>
        <w:adjustRightInd w:val="0"/>
        <w:snapToGrid w:val="0"/>
        <w:spacing w:line="400" w:lineRule="exact"/>
        <w:rPr>
          <w:rFonts w:ascii="宋体" w:hAnsi="宋体"/>
          <w:iCs/>
          <w:color w:val="auto"/>
          <w:szCs w:val="21"/>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是，《节能产品政府采购品目清单》的底级品目名称：</w:t>
      </w:r>
    </w:p>
    <w:p w14:paraId="1BF845F7">
      <w:pPr>
        <w:numPr>
          <w:ilvl w:val="255"/>
          <w:numId w:val="0"/>
        </w:numPr>
        <w:tabs>
          <w:tab w:val="left" w:pos="740"/>
        </w:tabs>
        <w:adjustRightInd w:val="0"/>
        <w:snapToGrid w:val="0"/>
        <w:spacing w:line="400" w:lineRule="exact"/>
        <w:rPr>
          <w:rFonts w:ascii="宋体" w:hAnsi="宋体"/>
          <w:iCs/>
          <w:color w:val="auto"/>
          <w:szCs w:val="21"/>
          <w:highlight w:val="none"/>
        </w:rPr>
      </w:pP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强制采购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优先采购    </w:t>
      </w:r>
    </w:p>
    <w:p w14:paraId="148002CE">
      <w:pPr>
        <w:numPr>
          <w:ilvl w:val="255"/>
          <w:numId w:val="0"/>
        </w:numPr>
        <w:tabs>
          <w:tab w:val="left" w:pos="740"/>
        </w:tabs>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否</w:t>
      </w:r>
    </w:p>
    <w:p w14:paraId="0B38DA3B">
      <w:pPr>
        <w:numPr>
          <w:ilvl w:val="255"/>
          <w:numId w:val="0"/>
        </w:numPr>
        <w:tabs>
          <w:tab w:val="left" w:pos="740"/>
        </w:tabs>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是否涉及环境标志产品：</w:t>
      </w:r>
    </w:p>
    <w:p w14:paraId="1456A370">
      <w:pPr>
        <w:numPr>
          <w:ilvl w:val="255"/>
          <w:numId w:val="0"/>
        </w:numPr>
        <w:tabs>
          <w:tab w:val="left" w:pos="740"/>
        </w:tabs>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是，《环境标志产品政府采购品目清单》的底级品目名称：</w:t>
      </w:r>
    </w:p>
    <w:p w14:paraId="4FE01B19">
      <w:pPr>
        <w:numPr>
          <w:ilvl w:val="255"/>
          <w:numId w:val="0"/>
        </w:numPr>
        <w:tabs>
          <w:tab w:val="left" w:pos="740"/>
        </w:tabs>
        <w:adjustRightInd w:val="0"/>
        <w:snapToGrid w:val="0"/>
        <w:spacing w:line="400" w:lineRule="exact"/>
        <w:rPr>
          <w:rFonts w:ascii="宋体" w:hAnsi="宋体"/>
          <w:iCs/>
          <w:color w:val="auto"/>
          <w:szCs w:val="21"/>
          <w:highlight w:val="none"/>
        </w:rPr>
      </w:pP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强制采购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优先采购    </w:t>
      </w:r>
    </w:p>
    <w:p w14:paraId="5A45DAC6">
      <w:pPr>
        <w:numPr>
          <w:ilvl w:val="255"/>
          <w:numId w:val="0"/>
        </w:numPr>
        <w:tabs>
          <w:tab w:val="left" w:pos="740"/>
        </w:tabs>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否</w:t>
      </w:r>
    </w:p>
    <w:p w14:paraId="130657C1">
      <w:pPr>
        <w:pStyle w:val="65"/>
        <w:numPr>
          <w:ilvl w:val="255"/>
          <w:numId w:val="0"/>
        </w:numPr>
        <w:snapToGrid w:val="0"/>
        <w:rPr>
          <w:rFonts w:ascii="宋体" w:hAnsi="宋体" w:eastAsia="宋体" w:cs="Times New Roman"/>
          <w:color w:val="auto"/>
          <w:kern w:val="2"/>
          <w:sz w:val="21"/>
          <w:highlight w:val="none"/>
        </w:rPr>
      </w:pPr>
      <w:r>
        <w:rPr>
          <w:rFonts w:hint="eastAsia" w:ascii="宋体" w:hAnsi="宋体" w:eastAsia="宋体" w:cs="Times New Roman"/>
          <w:color w:val="auto"/>
          <w:kern w:val="2"/>
          <w:sz w:val="21"/>
          <w:highlight w:val="none"/>
        </w:rPr>
        <w:t xml:space="preserve">是否涉及绿色产品： </w:t>
      </w:r>
    </w:p>
    <w:p w14:paraId="1BE03156">
      <w:pPr>
        <w:pStyle w:val="65"/>
        <w:ind w:firstLine="420" w:firstLineChars="0"/>
        <w:rPr>
          <w:rFonts w:ascii="宋体" w:hAnsi="宋体" w:eastAsia="宋体"/>
          <w:color w:val="auto"/>
          <w:highlight w:val="none"/>
          <w:u w:val="single"/>
        </w:rPr>
      </w:pPr>
      <w:r>
        <w:rPr>
          <w:rFonts w:hint="eastAsia" w:ascii="宋体" w:hAnsi="宋体" w:eastAsia="宋体" w:cs="Times New Roman"/>
          <w:color w:val="auto"/>
          <w:kern w:val="2"/>
          <w:sz w:val="21"/>
          <w:highlight w:val="none"/>
        </w:rPr>
        <w:sym w:font="Wingdings" w:char="00A8"/>
      </w:r>
      <w:r>
        <w:rPr>
          <w:rFonts w:hint="eastAsia" w:ascii="宋体" w:hAnsi="宋体" w:eastAsia="宋体" w:cs="Times New Roman"/>
          <w:color w:val="auto"/>
          <w:kern w:val="2"/>
          <w:sz w:val="21"/>
          <w:highlight w:val="none"/>
        </w:rPr>
        <w:t>是，绿色产品政府采购相关政策确定的底级品目名称：</w:t>
      </w:r>
    </w:p>
    <w:p w14:paraId="58FC3E6D">
      <w:pPr>
        <w:numPr>
          <w:ilvl w:val="255"/>
          <w:numId w:val="0"/>
        </w:numPr>
        <w:tabs>
          <w:tab w:val="left" w:pos="740"/>
        </w:tabs>
        <w:adjustRightInd w:val="0"/>
        <w:snapToGrid w:val="0"/>
        <w:spacing w:line="400" w:lineRule="exact"/>
        <w:rPr>
          <w:rFonts w:ascii="宋体" w:hAnsi="宋体"/>
          <w:iCs/>
          <w:color w:val="auto"/>
          <w:szCs w:val="21"/>
          <w:highlight w:val="none"/>
        </w:rPr>
      </w:pP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强制采购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优先采购    </w:t>
      </w:r>
    </w:p>
    <w:p w14:paraId="30A0A47A">
      <w:pPr>
        <w:pStyle w:val="65"/>
        <w:ind w:firstLine="420" w:firstLineChars="0"/>
        <w:rPr>
          <w:rFonts w:ascii="宋体" w:hAnsi="宋体"/>
          <w:color w:val="auto"/>
          <w:sz w:val="21"/>
          <w:highlight w:val="none"/>
        </w:rPr>
      </w:pPr>
      <w:r>
        <w:rPr>
          <w:rFonts w:hint="eastAsia" w:ascii="宋体" w:hAnsi="宋体" w:eastAsia="宋体" w:cs="Times New Roman"/>
          <w:color w:val="auto"/>
          <w:kern w:val="2"/>
          <w:sz w:val="21"/>
          <w:highlight w:val="none"/>
        </w:rPr>
        <w:sym w:font="Wingdings" w:char="00A8"/>
      </w:r>
      <w:r>
        <w:rPr>
          <w:rFonts w:hint="eastAsia" w:ascii="宋体" w:hAnsi="宋体" w:eastAsia="宋体" w:cs="Times New Roman"/>
          <w:color w:val="auto"/>
          <w:kern w:val="2"/>
          <w:sz w:val="21"/>
          <w:highlight w:val="none"/>
        </w:rPr>
        <w:t>否</w:t>
      </w:r>
    </w:p>
    <w:p w14:paraId="2C84EB7E">
      <w:pPr>
        <w:numPr>
          <w:ilvl w:val="255"/>
          <w:numId w:val="0"/>
        </w:num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（1</w:t>
      </w:r>
      <w:r>
        <w:rPr>
          <w:rFonts w:ascii="宋体" w:hAnsi="宋体"/>
          <w:color w:val="auto"/>
          <w:szCs w:val="21"/>
          <w:highlight w:val="none"/>
        </w:rPr>
        <w:t>1</w:t>
      </w:r>
      <w:r>
        <w:rPr>
          <w:rFonts w:hint="eastAsia" w:ascii="宋体" w:hAnsi="宋体"/>
          <w:color w:val="auto"/>
          <w:szCs w:val="21"/>
          <w:highlight w:val="none"/>
        </w:rPr>
        <w:t>）涉及商品包装和快递包装的，是否参考《商品包装政府采购需求标准（试行）》、《快递包装政府采购需求标准（试行）》明确产品及相关快递服务的具体包装要求：</w:t>
      </w:r>
    </w:p>
    <w:p w14:paraId="67959DBB">
      <w:pPr>
        <w:numPr>
          <w:ilvl w:val="255"/>
          <w:numId w:val="0"/>
        </w:numPr>
        <w:adjustRightInd w:val="0"/>
        <w:snapToGrid w:val="0"/>
        <w:spacing w:line="400" w:lineRule="exact"/>
        <w:ind w:firstLine="840" w:firstLineChars="400"/>
        <w:rPr>
          <w:rFonts w:ascii="宋体" w:hAnsi="宋体"/>
          <w:color w:val="auto"/>
          <w:szCs w:val="21"/>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 xml:space="preserve">是       </w:t>
      </w:r>
      <w:r>
        <w:rPr>
          <w:rFonts w:hint="eastAsia" w:ascii="宋体" w:hAnsi="宋体"/>
          <w:color w:val="auto"/>
          <w:szCs w:val="21"/>
          <w:highlight w:val="none"/>
        </w:rPr>
        <w:sym w:font="Wingdings" w:char="00A8"/>
      </w:r>
      <w:r>
        <w:rPr>
          <w:rFonts w:hint="eastAsia" w:ascii="宋体" w:hAnsi="宋体"/>
          <w:color w:val="auto"/>
          <w:szCs w:val="21"/>
          <w:highlight w:val="none"/>
        </w:rPr>
        <w:t xml:space="preserve">否      </w:t>
      </w:r>
      <w:r>
        <w:rPr>
          <w:rFonts w:hint="eastAsia" w:ascii="宋体" w:hAnsi="宋体"/>
          <w:color w:val="auto"/>
          <w:szCs w:val="21"/>
          <w:highlight w:val="none"/>
        </w:rPr>
        <w:sym w:font="Wingdings" w:char="00A8"/>
      </w:r>
      <w:r>
        <w:rPr>
          <w:rFonts w:hint="eastAsia" w:ascii="宋体" w:hAnsi="宋体"/>
          <w:color w:val="auto"/>
          <w:szCs w:val="21"/>
          <w:highlight w:val="none"/>
        </w:rPr>
        <w:t>不涉及</w:t>
      </w:r>
    </w:p>
    <w:p w14:paraId="7834BB89">
      <w:pPr>
        <w:widowControl w:val="0"/>
        <w:numPr>
          <w:ilvl w:val="0"/>
          <w:numId w:val="2"/>
        </w:numPr>
        <w:adjustRightInd w:val="0"/>
        <w:snapToGrid w:val="0"/>
        <w:spacing w:line="400" w:lineRule="exact"/>
        <w:ind w:firstLine="422" w:firstLineChars="200"/>
        <w:textAlignment w:val="auto"/>
        <w:rPr>
          <w:rFonts w:ascii="宋体" w:hAnsi="宋体"/>
          <w:b/>
          <w:color w:val="auto"/>
          <w:szCs w:val="21"/>
          <w:highlight w:val="none"/>
        </w:rPr>
      </w:pPr>
      <w:r>
        <w:rPr>
          <w:rFonts w:hint="eastAsia" w:ascii="宋体" w:hAnsi="宋体"/>
          <w:b/>
          <w:color w:val="auto"/>
          <w:szCs w:val="21"/>
          <w:highlight w:val="none"/>
        </w:rPr>
        <w:t>合同金额</w:t>
      </w:r>
    </w:p>
    <w:p w14:paraId="6831FF7B">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（1）合同金额小写：</w:t>
      </w:r>
    </w:p>
    <w:p w14:paraId="1FA79340">
      <w:pPr>
        <w:adjustRightInd w:val="0"/>
        <w:snapToGrid w:val="0"/>
        <w:spacing w:line="400" w:lineRule="exact"/>
        <w:rPr>
          <w:rFonts w:ascii="宋体" w:hAnsi="宋体"/>
          <w:color w:val="auto"/>
          <w:szCs w:val="21"/>
          <w:highlight w:val="none"/>
          <w:u w:val="single"/>
        </w:rPr>
      </w:pPr>
      <w:r>
        <w:rPr>
          <w:rFonts w:hint="eastAsia" w:ascii="宋体" w:hAnsi="宋体"/>
          <w:color w:val="auto"/>
          <w:szCs w:val="21"/>
          <w:highlight w:val="none"/>
        </w:rPr>
        <w:t xml:space="preserve">                 大写：</w:t>
      </w:r>
    </w:p>
    <w:p w14:paraId="14358B60">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分包金额（如有）小写：</w:t>
      </w:r>
    </w:p>
    <w:p w14:paraId="43C0A13C">
      <w:pPr>
        <w:adjustRightInd w:val="0"/>
        <w:snapToGrid w:val="0"/>
        <w:spacing w:line="400" w:lineRule="exact"/>
        <w:rPr>
          <w:rFonts w:ascii="宋体" w:hAnsi="宋体"/>
          <w:color w:val="auto"/>
          <w:szCs w:val="21"/>
          <w:highlight w:val="none"/>
          <w:u w:val="single"/>
        </w:rPr>
      </w:pPr>
      <w:r>
        <w:rPr>
          <w:rFonts w:hint="eastAsia" w:ascii="宋体" w:hAnsi="宋体"/>
          <w:color w:val="auto"/>
          <w:szCs w:val="21"/>
          <w:highlight w:val="none"/>
        </w:rPr>
        <w:t xml:space="preserve">                     大写：</w:t>
      </w:r>
    </w:p>
    <w:p w14:paraId="3AF1C967">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（注：固定单价合同应填写单价和最高限价）</w:t>
      </w:r>
    </w:p>
    <w:p w14:paraId="5C05A7C4">
      <w:pPr>
        <w:numPr>
          <w:ilvl w:val="255"/>
          <w:numId w:val="0"/>
        </w:num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（2）合同定价方式（采用组合定价方式的，可以勾选多项）：</w:t>
      </w:r>
    </w:p>
    <w:p w14:paraId="4CCE69D7">
      <w:pPr>
        <w:adjustRightInd w:val="0"/>
        <w:snapToGrid w:val="0"/>
        <w:spacing w:line="400" w:lineRule="exact"/>
        <w:ind w:firstLine="420" w:firstLineChars="200"/>
        <w:rPr>
          <w:rFonts w:ascii="宋体" w:hAnsi="宋体"/>
          <w:color w:val="auto"/>
          <w:szCs w:val="21"/>
          <w:highlight w:val="none"/>
        </w:rPr>
      </w:pP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固定总价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固定单价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固定费率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成本补偿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绩效激励 </w:t>
      </w:r>
      <w:r>
        <w:rPr>
          <w:rFonts w:hint="eastAsia" w:ascii="宋体" w:hAnsi="宋体"/>
          <w:iCs/>
          <w:color w:val="auto"/>
          <w:szCs w:val="21"/>
          <w:highlight w:val="none"/>
        </w:rPr>
        <w:sym w:font="Wingdings" w:char="00A8"/>
      </w:r>
      <w:r>
        <w:rPr>
          <w:rFonts w:hint="eastAsia" w:ascii="宋体" w:hAnsi="宋体"/>
          <w:iCs/>
          <w:color w:val="auto"/>
          <w:szCs w:val="21"/>
          <w:highlight w:val="none"/>
        </w:rPr>
        <w:t>其他</w:t>
      </w:r>
    </w:p>
    <w:p w14:paraId="1D7C31C6">
      <w:pPr>
        <w:pStyle w:val="66"/>
        <w:spacing w:line="400" w:lineRule="exact"/>
        <w:rPr>
          <w:color w:val="auto"/>
          <w:highlight w:val="none"/>
        </w:rPr>
      </w:pPr>
      <w:r>
        <w:rPr>
          <w:rFonts w:hint="eastAsia" w:ascii="宋体" w:hAnsi="宋体"/>
          <w:color w:val="auto"/>
          <w:highlight w:val="none"/>
        </w:rPr>
        <w:t>（3）付款方式（按项目实际勾选填写）：</w:t>
      </w:r>
    </w:p>
    <w:p w14:paraId="6BCFE57B">
      <w:pPr>
        <w:adjustRightInd w:val="0"/>
        <w:snapToGrid w:val="0"/>
        <w:spacing w:line="400" w:lineRule="exact"/>
        <w:ind w:firstLine="630" w:firstLineChars="300"/>
        <w:rPr>
          <w:rFonts w:ascii="宋体" w:hAnsi="宋体"/>
          <w:color w:val="auto"/>
          <w:szCs w:val="21"/>
          <w:highlight w:val="none"/>
          <w:u w:val="single"/>
        </w:rPr>
      </w:pPr>
      <w:r>
        <w:rPr>
          <w:rFonts w:hint="eastAsia" w:ascii="宋体" w:hAnsi="宋体"/>
          <w:color w:val="auto"/>
          <w:szCs w:val="21"/>
          <w:highlight w:val="none"/>
        </w:rPr>
        <w:sym w:font="Wingdings" w:char="00A8"/>
      </w:r>
      <w:r>
        <w:rPr>
          <w:rFonts w:hint="eastAsia" w:ascii="宋体" w:hAnsi="宋体"/>
          <w:color w:val="auto"/>
          <w:szCs w:val="21"/>
          <w:highlight w:val="none"/>
        </w:rPr>
        <w:t>全额付款：</w:t>
      </w:r>
      <w:r>
        <w:rPr>
          <w:rFonts w:hint="eastAsia" w:ascii="宋体" w:hAnsi="宋体"/>
          <w:color w:val="auto"/>
          <w:szCs w:val="21"/>
          <w:highlight w:val="none"/>
          <w:u w:val="single"/>
        </w:rPr>
        <w:t xml:space="preserve">     （应明确一次性支付合同款项的条件）                    </w:t>
      </w:r>
    </w:p>
    <w:p w14:paraId="338FB583">
      <w:pPr>
        <w:snapToGrid w:val="0"/>
        <w:spacing w:line="400" w:lineRule="exact"/>
        <w:ind w:firstLine="630" w:firstLineChars="300"/>
        <w:rPr>
          <w:color w:val="auto"/>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分期付款：</w:t>
      </w:r>
      <w:r>
        <w:rPr>
          <w:rFonts w:hint="eastAsia" w:ascii="宋体" w:hAnsi="宋体"/>
          <w:color w:val="auto"/>
          <w:szCs w:val="21"/>
          <w:highlight w:val="none"/>
          <w:u w:val="single"/>
        </w:rPr>
        <w:t xml:space="preserve">  （应明确分期支付合同款项的各期比例和支付条件，各期支付条件应与分期履约验收情况挂钩） </w:t>
      </w:r>
      <w:r>
        <w:rPr>
          <w:rFonts w:hint="eastAsia" w:ascii="宋体" w:hAnsi="宋体"/>
          <w:color w:val="auto"/>
          <w:szCs w:val="21"/>
          <w:highlight w:val="none"/>
        </w:rPr>
        <w:t>，其中涉及预付款的：</w:t>
      </w:r>
      <w:r>
        <w:rPr>
          <w:rFonts w:hint="eastAsia" w:ascii="宋体" w:hAnsi="宋体"/>
          <w:color w:val="auto"/>
          <w:szCs w:val="21"/>
          <w:highlight w:val="none"/>
          <w:u w:val="single"/>
        </w:rPr>
        <w:t xml:space="preserve"> （应明确预付款的支付比例和支付条件） </w:t>
      </w:r>
    </w:p>
    <w:p w14:paraId="01A52465">
      <w:pPr>
        <w:adjustRightInd w:val="0"/>
        <w:snapToGrid w:val="0"/>
        <w:spacing w:line="400" w:lineRule="exact"/>
        <w:ind w:firstLine="630" w:firstLineChars="300"/>
        <w:rPr>
          <w:rFonts w:ascii="宋体" w:hAnsi="宋体"/>
          <w:color w:val="auto"/>
          <w:szCs w:val="21"/>
          <w:highlight w:val="none"/>
          <w:u w:val="single"/>
        </w:rPr>
      </w:pPr>
      <w:r>
        <w:rPr>
          <w:rFonts w:hint="eastAsia" w:ascii="宋体" w:hAnsi="宋体"/>
          <w:color w:val="auto"/>
          <w:szCs w:val="21"/>
          <w:highlight w:val="none"/>
        </w:rPr>
        <w:sym w:font="Wingdings" w:char="00A8"/>
      </w:r>
      <w:r>
        <w:rPr>
          <w:rFonts w:hint="eastAsia" w:ascii="宋体" w:hAnsi="宋体"/>
          <w:color w:val="auto"/>
          <w:szCs w:val="21"/>
          <w:highlight w:val="none"/>
        </w:rPr>
        <w:t>成本补偿：</w:t>
      </w:r>
      <w:r>
        <w:rPr>
          <w:rFonts w:hint="eastAsia" w:ascii="宋体" w:hAnsi="宋体"/>
          <w:color w:val="auto"/>
          <w:szCs w:val="21"/>
          <w:highlight w:val="none"/>
          <w:u w:val="single"/>
        </w:rPr>
        <w:t xml:space="preserve">      （应明确按照成本补偿方式的支付方式和支付条件）   </w:t>
      </w:r>
    </w:p>
    <w:p w14:paraId="5EA9C0B5">
      <w:pPr>
        <w:adjustRightInd w:val="0"/>
        <w:snapToGrid w:val="0"/>
        <w:spacing w:line="400" w:lineRule="exact"/>
        <w:ind w:firstLine="630" w:firstLineChars="300"/>
        <w:rPr>
          <w:rFonts w:ascii="宋体" w:hAnsi="宋体"/>
          <w:color w:val="auto"/>
          <w:szCs w:val="21"/>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绩效激励：</w:t>
      </w:r>
      <w:r>
        <w:rPr>
          <w:rFonts w:hint="eastAsia" w:ascii="宋体" w:hAnsi="宋体"/>
          <w:color w:val="auto"/>
          <w:szCs w:val="21"/>
          <w:highlight w:val="none"/>
          <w:u w:val="single"/>
        </w:rPr>
        <w:t xml:space="preserve">      （应明确按照绩效激励方式的支付方式和支付条件）   </w:t>
      </w:r>
    </w:p>
    <w:p w14:paraId="200C100B">
      <w:pPr>
        <w:widowControl w:val="0"/>
        <w:numPr>
          <w:ilvl w:val="0"/>
          <w:numId w:val="2"/>
        </w:numPr>
        <w:adjustRightInd w:val="0"/>
        <w:snapToGrid w:val="0"/>
        <w:spacing w:line="400" w:lineRule="exact"/>
        <w:ind w:firstLine="422" w:firstLineChars="200"/>
        <w:textAlignment w:val="auto"/>
        <w:rPr>
          <w:rFonts w:ascii="宋体" w:hAnsi="宋体"/>
          <w:b/>
          <w:color w:val="auto"/>
          <w:szCs w:val="21"/>
          <w:highlight w:val="none"/>
          <w:u w:val="single"/>
        </w:rPr>
      </w:pPr>
      <w:r>
        <w:rPr>
          <w:rFonts w:hint="eastAsia" w:ascii="宋体" w:hAnsi="宋体"/>
          <w:b/>
          <w:color w:val="auto"/>
          <w:szCs w:val="21"/>
          <w:highlight w:val="none"/>
        </w:rPr>
        <w:t>合同履行</w:t>
      </w:r>
    </w:p>
    <w:p w14:paraId="167EDD78">
      <w:pPr>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（1）起始日期：年月日，完成日期：年月日。</w:t>
      </w:r>
    </w:p>
    <w:p w14:paraId="536A942E">
      <w:pPr>
        <w:adjustRightInd w:val="0"/>
        <w:snapToGrid w:val="0"/>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（2）履约地点</w:t>
      </w:r>
      <w:r>
        <w:rPr>
          <w:rFonts w:hint="eastAsia" w:ascii="宋体" w:hAnsi="宋体" w:cs="宋体"/>
          <w:bCs/>
          <w:color w:val="auto"/>
          <w:szCs w:val="21"/>
          <w:highlight w:val="none"/>
        </w:rPr>
        <w:t>：</w:t>
      </w:r>
    </w:p>
    <w:p w14:paraId="6925A586">
      <w:pPr>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bCs/>
          <w:color w:val="auto"/>
          <w:szCs w:val="21"/>
          <w:highlight w:val="none"/>
        </w:rPr>
        <w:t>（3）履约担保：</w:t>
      </w:r>
      <w:r>
        <w:rPr>
          <w:rFonts w:hint="eastAsia" w:ascii="宋体" w:hAnsi="宋体" w:cs="宋体"/>
          <w:color w:val="auto"/>
          <w:highlight w:val="none"/>
        </w:rPr>
        <w:t>是否收取履约保证金：</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 xml:space="preserve">是    </w:t>
      </w:r>
      <w:r>
        <w:rPr>
          <w:rFonts w:hint="eastAsia" w:ascii="MS Mincho" w:hAnsi="MS Mincho" w:eastAsia="MS Mincho" w:cs="MS Mincho"/>
          <w:color w:val="auto"/>
          <w:szCs w:val="21"/>
          <w:highlight w:val="none"/>
        </w:rPr>
        <w:t>☑</w:t>
      </w:r>
      <w:r>
        <w:rPr>
          <w:rFonts w:hint="eastAsia" w:ascii="宋体" w:hAnsi="宋体" w:cs="宋体"/>
          <w:color w:val="auto"/>
          <w:szCs w:val="21"/>
          <w:highlight w:val="none"/>
        </w:rPr>
        <w:t>否</w:t>
      </w:r>
    </w:p>
    <w:p w14:paraId="01E7C753">
      <w:pPr>
        <w:pStyle w:val="65"/>
        <w:ind w:firstLine="420"/>
        <w:rPr>
          <w:rFonts w:ascii="宋体" w:hAnsi="宋体" w:eastAsia="宋体" w:cs="宋体"/>
          <w:color w:val="auto"/>
          <w:sz w:val="21"/>
          <w:highlight w:val="none"/>
        </w:rPr>
      </w:pPr>
      <w:r>
        <w:rPr>
          <w:rFonts w:hint="eastAsia" w:ascii="宋体" w:hAnsi="宋体" w:eastAsia="宋体" w:cs="宋体"/>
          <w:color w:val="auto"/>
          <w:sz w:val="21"/>
          <w:highlight w:val="none"/>
        </w:rPr>
        <w:t xml:space="preserve">  收取履约保证金形式：</w:t>
      </w:r>
    </w:p>
    <w:p w14:paraId="0462330C">
      <w:pPr>
        <w:pStyle w:val="65"/>
        <w:ind w:firstLine="420"/>
        <w:rPr>
          <w:rFonts w:ascii="宋体" w:hAnsi="宋体" w:eastAsia="宋体" w:cs="宋体"/>
          <w:color w:val="auto"/>
          <w:sz w:val="21"/>
          <w:highlight w:val="none"/>
        </w:rPr>
      </w:pPr>
      <w:r>
        <w:rPr>
          <w:rFonts w:hint="eastAsia" w:ascii="宋体" w:hAnsi="宋体" w:eastAsia="宋体" w:cs="宋体"/>
          <w:color w:val="auto"/>
          <w:sz w:val="21"/>
          <w:highlight w:val="none"/>
        </w:rPr>
        <w:t xml:space="preserve">    收取履约保证金金额：</w:t>
      </w:r>
    </w:p>
    <w:p w14:paraId="79F379BC">
      <w:pPr>
        <w:snapToGrid w:val="0"/>
        <w:spacing w:line="400" w:lineRule="exact"/>
        <w:ind w:firstLine="420" w:firstLineChars="200"/>
        <w:rPr>
          <w:rFonts w:ascii="宋体" w:hAnsi="宋体" w:cs="宋体"/>
          <w:color w:val="auto"/>
          <w:highlight w:val="none"/>
        </w:rPr>
      </w:pPr>
      <w:r>
        <w:rPr>
          <w:rFonts w:hint="eastAsia" w:ascii="宋体" w:hAnsi="宋体" w:cs="宋体"/>
          <w:bCs/>
          <w:color w:val="auto"/>
          <w:szCs w:val="21"/>
          <w:highlight w:val="none"/>
        </w:rPr>
        <w:t xml:space="preserve">    履约担保期限：</w:t>
      </w:r>
    </w:p>
    <w:p w14:paraId="05EC70BB">
      <w:pPr>
        <w:adjustRightInd w:val="0"/>
        <w:snapToGrid w:val="0"/>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（4）分期履行要求：</w:t>
      </w:r>
    </w:p>
    <w:p w14:paraId="64E78575">
      <w:pPr>
        <w:adjustRightInd w:val="0"/>
        <w:snapToGrid w:val="0"/>
        <w:spacing w:line="400" w:lineRule="exact"/>
        <w:ind w:firstLine="420" w:firstLineChars="200"/>
        <w:rPr>
          <w:rFonts w:ascii="宋体" w:hAnsi="宋体" w:cs="宋体"/>
          <w:color w:val="auto"/>
          <w:szCs w:val="21"/>
          <w:highlight w:val="none"/>
          <w:u w:val="single"/>
        </w:rPr>
      </w:pPr>
      <w:r>
        <w:rPr>
          <w:rFonts w:hint="eastAsia" w:ascii="宋体" w:hAnsi="宋体" w:cs="宋体"/>
          <w:bCs/>
          <w:color w:val="auto"/>
          <w:szCs w:val="21"/>
          <w:highlight w:val="none"/>
        </w:rPr>
        <w:t>（5）风险处置措施和替代方案：</w:t>
      </w:r>
    </w:p>
    <w:p w14:paraId="19B78D20">
      <w:pPr>
        <w:widowControl w:val="0"/>
        <w:numPr>
          <w:ilvl w:val="0"/>
          <w:numId w:val="2"/>
        </w:numPr>
        <w:adjustRightInd w:val="0"/>
        <w:snapToGrid w:val="0"/>
        <w:spacing w:line="400" w:lineRule="exact"/>
        <w:ind w:firstLine="422" w:firstLineChars="200"/>
        <w:textAlignment w:val="auto"/>
        <w:rPr>
          <w:rFonts w:ascii="宋体" w:hAnsi="宋体"/>
          <w:b/>
          <w:color w:val="auto"/>
          <w:szCs w:val="21"/>
          <w:highlight w:val="none"/>
        </w:rPr>
      </w:pPr>
      <w:r>
        <w:rPr>
          <w:rFonts w:hint="eastAsia" w:ascii="宋体" w:hAnsi="宋体"/>
          <w:b/>
          <w:color w:val="auto"/>
          <w:szCs w:val="21"/>
          <w:highlight w:val="none"/>
        </w:rPr>
        <w:t>合同验收</w:t>
      </w:r>
    </w:p>
    <w:p w14:paraId="3D077124">
      <w:pPr>
        <w:widowControl w:val="0"/>
        <w:numPr>
          <w:ilvl w:val="0"/>
          <w:numId w:val="4"/>
        </w:numPr>
        <w:adjustRightInd w:val="0"/>
        <w:snapToGrid w:val="0"/>
        <w:spacing w:line="400" w:lineRule="exact"/>
        <w:ind w:firstLine="420" w:firstLineChars="200"/>
        <w:textAlignment w:val="auto"/>
        <w:rPr>
          <w:rFonts w:ascii="宋体" w:hAnsi="宋体"/>
          <w:bCs/>
          <w:color w:val="auto"/>
          <w:szCs w:val="21"/>
          <w:highlight w:val="none"/>
        </w:rPr>
      </w:pPr>
      <w:r>
        <w:rPr>
          <w:rFonts w:hint="eastAsia" w:ascii="宋体" w:hAnsi="宋体"/>
          <w:bCs/>
          <w:color w:val="auto"/>
          <w:szCs w:val="21"/>
          <w:highlight w:val="none"/>
        </w:rPr>
        <w:t>验收组织方式：</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自行组织 </w:t>
      </w:r>
      <w:r>
        <w:rPr>
          <w:rFonts w:hint="eastAsia" w:ascii="宋体" w:hAnsi="宋体" w:cs="宋体"/>
          <w:color w:val="auto"/>
          <w:szCs w:val="21"/>
          <w:highlight w:val="none"/>
        </w:rPr>
        <w:sym w:font="Wingdings" w:char="00A8"/>
      </w:r>
      <w:r>
        <w:rPr>
          <w:rFonts w:hint="eastAsia" w:ascii="宋体" w:hAnsi="宋体"/>
          <w:bCs/>
          <w:color w:val="auto"/>
          <w:szCs w:val="21"/>
          <w:highlight w:val="none"/>
        </w:rPr>
        <w:t>委托第三方组织</w:t>
      </w:r>
    </w:p>
    <w:p w14:paraId="58385A91">
      <w:pPr>
        <w:adjustRightInd w:val="0"/>
        <w:snapToGrid w:val="0"/>
        <w:spacing w:line="400" w:lineRule="exact"/>
        <w:rPr>
          <w:rFonts w:ascii="宋体" w:hAnsi="宋体"/>
          <w:bCs/>
          <w:color w:val="auto"/>
          <w:szCs w:val="21"/>
          <w:highlight w:val="none"/>
        </w:rPr>
      </w:pPr>
      <w:r>
        <w:rPr>
          <w:rFonts w:hint="eastAsia" w:ascii="宋体" w:hAnsi="宋体"/>
          <w:bCs/>
          <w:color w:val="auto"/>
          <w:szCs w:val="21"/>
          <w:highlight w:val="none"/>
        </w:rPr>
        <w:t xml:space="preserve">         验收主体：</w:t>
      </w:r>
    </w:p>
    <w:p w14:paraId="6AF06576">
      <w:pPr>
        <w:adjustRightInd w:val="0"/>
        <w:snapToGrid w:val="0"/>
        <w:spacing w:line="400" w:lineRule="exact"/>
        <w:rPr>
          <w:rFonts w:ascii="宋体" w:hAnsi="宋体"/>
          <w:bCs/>
          <w:color w:val="auto"/>
          <w:szCs w:val="21"/>
          <w:highlight w:val="none"/>
        </w:rPr>
      </w:pPr>
      <w:r>
        <w:rPr>
          <w:rFonts w:hint="eastAsia" w:ascii="宋体" w:hAnsi="宋体"/>
          <w:bCs/>
          <w:color w:val="auto"/>
          <w:szCs w:val="21"/>
          <w:highlight w:val="none"/>
        </w:rPr>
        <w:t xml:space="preserve">        是否邀请本项目的其他供应商参加验收：</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14:paraId="47191BF2">
      <w:pPr>
        <w:adjustRightInd w:val="0"/>
        <w:snapToGrid w:val="0"/>
        <w:spacing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是否邀请专家参加验收：</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14:paraId="12CE9EA5">
      <w:pPr>
        <w:adjustRightInd w:val="0"/>
        <w:snapToGrid w:val="0"/>
        <w:spacing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是否邀请服务对象参加验收：</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14:paraId="3AE69D27">
      <w:pPr>
        <w:adjustRightInd w:val="0"/>
        <w:snapToGrid w:val="0"/>
        <w:spacing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是否邀请第三方检测机构参加验收：</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14:paraId="3FD23F77">
      <w:pPr>
        <w:adjustRightInd w:val="0"/>
        <w:snapToGrid w:val="0"/>
        <w:spacing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是否进行抽查检测：</w:t>
      </w:r>
      <w:r>
        <w:rPr>
          <w:rFonts w:hint="eastAsia" w:ascii="宋体" w:hAnsi="宋体" w:cs="宋体"/>
          <w:color w:val="auto"/>
          <w:szCs w:val="21"/>
          <w:highlight w:val="none"/>
        </w:rPr>
        <w:sym w:font="Wingdings" w:char="00A8"/>
      </w:r>
      <w:r>
        <w:rPr>
          <w:rFonts w:hint="eastAsia" w:ascii="宋体" w:hAnsi="宋体"/>
          <w:bCs/>
          <w:color w:val="auto"/>
          <w:szCs w:val="21"/>
          <w:highlight w:val="none"/>
        </w:rPr>
        <w:t>是，抽查比例：</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14:paraId="53F4B3F7">
      <w:pPr>
        <w:adjustRightInd w:val="0"/>
        <w:snapToGrid w:val="0"/>
        <w:spacing w:line="400" w:lineRule="exact"/>
        <w:ind w:firstLine="840" w:firstLineChars="400"/>
        <w:rPr>
          <w:rFonts w:ascii="宋体" w:hAnsi="宋体"/>
          <w:bCs/>
          <w:color w:val="auto"/>
          <w:szCs w:val="21"/>
          <w:highlight w:val="none"/>
          <w:u w:val="single"/>
        </w:rPr>
      </w:pPr>
      <w:r>
        <w:rPr>
          <w:rFonts w:hint="eastAsia" w:ascii="宋体" w:hAnsi="宋体"/>
          <w:bCs/>
          <w:color w:val="auto"/>
          <w:szCs w:val="21"/>
          <w:highlight w:val="none"/>
        </w:rPr>
        <w:t>是否存在破坏性检测：</w:t>
      </w:r>
      <w:r>
        <w:rPr>
          <w:rFonts w:hint="eastAsia" w:ascii="宋体" w:hAnsi="宋体" w:cs="宋体"/>
          <w:color w:val="auto"/>
          <w:szCs w:val="21"/>
          <w:highlight w:val="none"/>
        </w:rPr>
        <w:sym w:font="Wingdings" w:char="00A8"/>
      </w:r>
      <w:r>
        <w:rPr>
          <w:rFonts w:hint="eastAsia" w:ascii="宋体" w:hAnsi="宋体"/>
          <w:bCs/>
          <w:color w:val="auto"/>
          <w:szCs w:val="21"/>
          <w:highlight w:val="none"/>
        </w:rPr>
        <w:t>是，</w:t>
      </w:r>
      <w:r>
        <w:rPr>
          <w:rFonts w:hint="eastAsia" w:ascii="宋体" w:hAnsi="宋体"/>
          <w:bCs/>
          <w:color w:val="auto"/>
          <w:szCs w:val="21"/>
          <w:highlight w:val="none"/>
          <w:u w:val="single"/>
        </w:rPr>
        <w:t>（应明确对被破坏的检测产品的处理方式）</w:t>
      </w:r>
    </w:p>
    <w:p w14:paraId="4A426F60">
      <w:pPr>
        <w:adjustRightInd w:val="0"/>
        <w:snapToGrid w:val="0"/>
        <w:spacing w:line="400" w:lineRule="exact"/>
        <w:ind w:firstLine="840" w:firstLineChars="400"/>
        <w:rPr>
          <w:rFonts w:ascii="宋体" w:hAnsi="宋体"/>
          <w:bCs/>
          <w:color w:val="auto"/>
          <w:szCs w:val="21"/>
          <w:highlight w:val="none"/>
        </w:rPr>
      </w:pP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14:paraId="51DA6319">
      <w:pPr>
        <w:adjustRightInd w:val="0"/>
        <w:snapToGrid w:val="0"/>
        <w:spacing w:line="400" w:lineRule="exact"/>
        <w:ind w:firstLine="840" w:firstLineChars="400"/>
        <w:rPr>
          <w:rFonts w:ascii="宋体" w:hAnsi="宋体"/>
          <w:bCs/>
          <w:color w:val="auto"/>
          <w:szCs w:val="21"/>
          <w:highlight w:val="none"/>
          <w:u w:val="single"/>
        </w:rPr>
      </w:pPr>
      <w:r>
        <w:rPr>
          <w:rFonts w:hint="eastAsia" w:ascii="宋体" w:hAnsi="宋体"/>
          <w:bCs/>
          <w:color w:val="auto"/>
          <w:szCs w:val="21"/>
          <w:highlight w:val="none"/>
        </w:rPr>
        <w:t>验收组织的其他事项：</w:t>
      </w:r>
    </w:p>
    <w:p w14:paraId="05568720">
      <w:pPr>
        <w:adjustRightInd w:val="0"/>
        <w:snapToGrid w:val="0"/>
        <w:spacing w:line="400" w:lineRule="exact"/>
        <w:ind w:firstLine="420" w:firstLineChars="200"/>
        <w:rPr>
          <w:rFonts w:ascii="宋体" w:hAnsi="宋体"/>
          <w:bCs/>
          <w:color w:val="auto"/>
          <w:szCs w:val="21"/>
          <w:highlight w:val="none"/>
          <w:u w:val="single"/>
        </w:rPr>
      </w:pPr>
      <w:r>
        <w:rPr>
          <w:rFonts w:hint="eastAsia" w:ascii="宋体" w:hAnsi="宋体"/>
          <w:bCs/>
          <w:color w:val="auto"/>
          <w:szCs w:val="21"/>
          <w:highlight w:val="none"/>
        </w:rPr>
        <w:t>（2）履约验收时间：</w:t>
      </w:r>
      <w:r>
        <w:rPr>
          <w:rFonts w:hint="eastAsia" w:ascii="宋体" w:hAnsi="宋体"/>
          <w:bCs/>
          <w:color w:val="auto"/>
          <w:szCs w:val="21"/>
          <w:highlight w:val="none"/>
          <w:u w:val="single"/>
        </w:rPr>
        <w:t xml:space="preserve">（计划于何时验收/供应商提出验收申请之日起   日内组织验收） </w:t>
      </w:r>
    </w:p>
    <w:p w14:paraId="5E26F229">
      <w:pPr>
        <w:adjustRightInd w:val="0"/>
        <w:snapToGrid w:val="0"/>
        <w:spacing w:line="400" w:lineRule="exact"/>
        <w:ind w:firstLine="420" w:firstLineChars="200"/>
        <w:rPr>
          <w:rFonts w:ascii="宋体" w:hAnsi="宋体"/>
          <w:bCs/>
          <w:color w:val="auto"/>
          <w:szCs w:val="21"/>
          <w:highlight w:val="none"/>
        </w:rPr>
      </w:pPr>
      <w:r>
        <w:rPr>
          <w:rFonts w:hint="eastAsia" w:ascii="宋体" w:hAnsi="宋体"/>
          <w:bCs/>
          <w:color w:val="auto"/>
          <w:szCs w:val="21"/>
          <w:highlight w:val="none"/>
        </w:rPr>
        <w:t>（3）履约验收方式：</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一次性验收         </w:t>
      </w:r>
    </w:p>
    <w:p w14:paraId="70B9D3BE">
      <w:pPr>
        <w:adjustRightInd w:val="0"/>
        <w:snapToGrid w:val="0"/>
        <w:spacing w:line="400" w:lineRule="exact"/>
        <w:rPr>
          <w:rFonts w:ascii="宋体" w:hAnsi="宋体"/>
          <w:bCs/>
          <w:color w:val="auto"/>
          <w:szCs w:val="21"/>
          <w:highlight w:val="none"/>
        </w:rPr>
      </w:pPr>
      <w:r>
        <w:rPr>
          <w:rFonts w:hint="eastAsia" w:ascii="宋体" w:hAnsi="宋体" w:cs="宋体"/>
          <w:color w:val="auto"/>
          <w:szCs w:val="21"/>
          <w:highlight w:val="none"/>
        </w:rPr>
        <w:sym w:font="Wingdings" w:char="00A8"/>
      </w:r>
      <w:r>
        <w:rPr>
          <w:rFonts w:hint="eastAsia" w:ascii="宋体" w:hAnsi="宋体"/>
          <w:bCs/>
          <w:color w:val="auto"/>
          <w:szCs w:val="21"/>
          <w:highlight w:val="none"/>
        </w:rPr>
        <w:t>分期/分项验收：</w:t>
      </w:r>
      <w:r>
        <w:rPr>
          <w:rFonts w:hint="eastAsia" w:ascii="宋体" w:hAnsi="宋体"/>
          <w:bCs/>
          <w:color w:val="auto"/>
          <w:szCs w:val="21"/>
          <w:highlight w:val="none"/>
          <w:u w:val="single"/>
        </w:rPr>
        <w:t xml:space="preserve"> （应明确分期</w:t>
      </w:r>
      <w:r>
        <w:rPr>
          <w:rFonts w:ascii="宋体" w:hAnsi="宋体"/>
          <w:bCs/>
          <w:color w:val="auto"/>
          <w:szCs w:val="21"/>
          <w:highlight w:val="none"/>
          <w:u w:val="single"/>
        </w:rPr>
        <w:t>/</w:t>
      </w:r>
      <w:r>
        <w:rPr>
          <w:rFonts w:hint="eastAsia" w:ascii="宋体" w:hAnsi="宋体"/>
          <w:bCs/>
          <w:color w:val="auto"/>
          <w:szCs w:val="21"/>
          <w:highlight w:val="none"/>
          <w:u w:val="single"/>
        </w:rPr>
        <w:t xml:space="preserve">分项验收的工作安排）  </w:t>
      </w:r>
    </w:p>
    <w:p w14:paraId="3BCD0328">
      <w:pPr>
        <w:adjustRightInd w:val="0"/>
        <w:snapToGrid w:val="0"/>
        <w:spacing w:line="400" w:lineRule="exact"/>
        <w:ind w:firstLine="420" w:firstLineChars="200"/>
        <w:rPr>
          <w:rFonts w:ascii="宋体" w:hAnsi="宋体"/>
          <w:bCs/>
          <w:color w:val="auto"/>
          <w:szCs w:val="21"/>
          <w:highlight w:val="none"/>
        </w:rPr>
      </w:pPr>
      <w:r>
        <w:rPr>
          <w:rFonts w:hint="eastAsia" w:ascii="宋体" w:hAnsi="宋体"/>
          <w:bCs/>
          <w:color w:val="auto"/>
          <w:szCs w:val="21"/>
          <w:highlight w:val="none"/>
        </w:rPr>
        <w:t>（4）履约验收程序：</w:t>
      </w:r>
    </w:p>
    <w:p w14:paraId="7B062751">
      <w:pPr>
        <w:adjustRightInd w:val="0"/>
        <w:snapToGrid w:val="0"/>
        <w:spacing w:line="400" w:lineRule="exact"/>
        <w:ind w:firstLine="420" w:firstLineChars="200"/>
        <w:rPr>
          <w:rFonts w:ascii="宋体" w:hAnsi="宋体"/>
          <w:bCs/>
          <w:color w:val="auto"/>
          <w:szCs w:val="21"/>
          <w:highlight w:val="none"/>
          <w:u w:val="single"/>
        </w:rPr>
      </w:pPr>
      <w:r>
        <w:rPr>
          <w:rFonts w:hint="eastAsia" w:ascii="宋体" w:hAnsi="宋体"/>
          <w:bCs/>
          <w:color w:val="auto"/>
          <w:szCs w:val="21"/>
          <w:highlight w:val="none"/>
        </w:rPr>
        <w:t>（5）履约验收的内容：</w:t>
      </w:r>
      <w:r>
        <w:rPr>
          <w:rFonts w:hint="eastAsia" w:ascii="宋体" w:hAnsi="宋体"/>
          <w:bCs/>
          <w:color w:val="auto"/>
          <w:szCs w:val="21"/>
          <w:highlight w:val="none"/>
          <w:u w:val="single"/>
        </w:rPr>
        <w:t xml:space="preserve"> （应当包括每一项技术和商务要求的履约情况，特别是落实政府采购扶持中小企业，支持绿色发展和乡村振兴等政策情况）                                      </w:t>
      </w:r>
    </w:p>
    <w:p w14:paraId="27DCEDC8">
      <w:pPr>
        <w:adjustRightInd w:val="0"/>
        <w:snapToGrid w:val="0"/>
        <w:spacing w:line="400" w:lineRule="exact"/>
        <w:ind w:firstLine="420" w:firstLineChars="200"/>
        <w:rPr>
          <w:rFonts w:ascii="宋体" w:hAnsi="宋体"/>
          <w:bCs/>
          <w:color w:val="auto"/>
          <w:szCs w:val="21"/>
          <w:highlight w:val="none"/>
          <w:u w:val="single"/>
        </w:rPr>
      </w:pPr>
      <w:r>
        <w:rPr>
          <w:rFonts w:hint="eastAsia" w:ascii="宋体" w:hAnsi="宋体"/>
          <w:bCs/>
          <w:color w:val="auto"/>
          <w:szCs w:val="21"/>
          <w:highlight w:val="none"/>
        </w:rPr>
        <w:t>（6）履约验收标准：</w:t>
      </w:r>
    </w:p>
    <w:p w14:paraId="16F14FA8">
      <w:pPr>
        <w:pStyle w:val="65"/>
        <w:ind w:firstLine="420"/>
        <w:rPr>
          <w:rFonts w:ascii="宋体" w:hAnsi="宋体" w:eastAsia="宋体" w:cs="宋体"/>
          <w:color w:val="auto"/>
          <w:sz w:val="21"/>
          <w:highlight w:val="none"/>
        </w:rPr>
      </w:pPr>
      <w:r>
        <w:rPr>
          <w:rFonts w:hint="eastAsia" w:ascii="宋体" w:hAnsi="宋体" w:eastAsia="宋体" w:cs="宋体"/>
          <w:bCs/>
          <w:color w:val="auto"/>
          <w:sz w:val="21"/>
          <w:highlight w:val="none"/>
        </w:rPr>
        <w:t>（7）是否以采购活动中供应商提供的样品作为参考：</w:t>
      </w:r>
      <w:r>
        <w:rPr>
          <w:rFonts w:hint="eastAsia" w:ascii="宋体" w:hAnsi="宋体" w:eastAsia="宋体" w:cs="宋体"/>
          <w:color w:val="auto"/>
          <w:sz w:val="21"/>
          <w:highlight w:val="none"/>
        </w:rPr>
        <w:sym w:font="Wingdings" w:char="00A8"/>
      </w:r>
      <w:r>
        <w:rPr>
          <w:rFonts w:hint="eastAsia" w:ascii="宋体" w:hAnsi="宋体" w:eastAsia="宋体" w:cs="宋体"/>
          <w:bCs/>
          <w:color w:val="auto"/>
          <w:sz w:val="21"/>
          <w:highlight w:val="none"/>
        </w:rPr>
        <w:t xml:space="preserve">是  </w:t>
      </w:r>
      <w:r>
        <w:rPr>
          <w:rFonts w:hint="eastAsia" w:ascii="宋体" w:hAnsi="宋体" w:eastAsia="宋体" w:cs="宋体"/>
          <w:color w:val="auto"/>
          <w:sz w:val="21"/>
          <w:highlight w:val="none"/>
        </w:rPr>
        <w:sym w:font="Wingdings" w:char="00A8"/>
      </w:r>
      <w:r>
        <w:rPr>
          <w:rFonts w:hint="eastAsia" w:ascii="宋体" w:hAnsi="宋体" w:eastAsia="宋体" w:cs="宋体"/>
          <w:bCs/>
          <w:color w:val="auto"/>
          <w:sz w:val="21"/>
          <w:highlight w:val="none"/>
        </w:rPr>
        <w:t>否</w:t>
      </w:r>
    </w:p>
    <w:p w14:paraId="37CD8B1E">
      <w:pPr>
        <w:adjustRightInd w:val="0"/>
        <w:snapToGrid w:val="0"/>
        <w:spacing w:line="400" w:lineRule="exact"/>
        <w:ind w:firstLine="420" w:firstLineChars="200"/>
        <w:rPr>
          <w:rFonts w:ascii="宋体" w:hAnsi="宋体" w:cs="宋体"/>
          <w:bCs/>
          <w:color w:val="auto"/>
          <w:szCs w:val="21"/>
          <w:highlight w:val="none"/>
          <w:u w:val="single"/>
        </w:rPr>
      </w:pPr>
      <w:r>
        <w:rPr>
          <w:rFonts w:hint="eastAsia" w:ascii="宋体" w:hAnsi="宋体" w:cs="宋体"/>
          <w:bCs/>
          <w:color w:val="auto"/>
          <w:szCs w:val="21"/>
          <w:highlight w:val="none"/>
        </w:rPr>
        <w:t>（8）履约验收其他事项：</w:t>
      </w:r>
      <w:r>
        <w:rPr>
          <w:rFonts w:hint="eastAsia" w:ascii="宋体" w:hAnsi="宋体" w:cs="宋体"/>
          <w:bCs/>
          <w:color w:val="auto"/>
          <w:szCs w:val="21"/>
          <w:highlight w:val="none"/>
          <w:u w:val="single"/>
        </w:rPr>
        <w:t xml:space="preserve">      （产权过户登记等）          </w:t>
      </w:r>
    </w:p>
    <w:p w14:paraId="791ECD2F">
      <w:pPr>
        <w:widowControl w:val="0"/>
        <w:numPr>
          <w:ilvl w:val="0"/>
          <w:numId w:val="2"/>
        </w:numPr>
        <w:adjustRightInd w:val="0"/>
        <w:snapToGrid w:val="0"/>
        <w:spacing w:line="400" w:lineRule="exact"/>
        <w:ind w:firstLine="422" w:firstLineChars="200"/>
        <w:textAlignment w:val="auto"/>
        <w:rPr>
          <w:rFonts w:ascii="宋体" w:hAnsi="宋体"/>
          <w:b/>
          <w:color w:val="auto"/>
          <w:szCs w:val="21"/>
          <w:highlight w:val="none"/>
        </w:rPr>
      </w:pPr>
      <w:r>
        <w:rPr>
          <w:rFonts w:hint="eastAsia" w:ascii="宋体" w:hAnsi="宋体"/>
          <w:b/>
          <w:color w:val="auto"/>
          <w:szCs w:val="21"/>
          <w:highlight w:val="none"/>
        </w:rPr>
        <w:t>组成合同的文件</w:t>
      </w:r>
    </w:p>
    <w:p w14:paraId="2A0C64BD">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本协议书与下列文件一起构成合同文件，如下述文件之间有任何抵触、矛盾或歧义，应按以下顺序解释：</w:t>
      </w:r>
    </w:p>
    <w:p w14:paraId="6C0662AF">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（1）政府采购合同协议书及其变更、补充协议</w:t>
      </w:r>
    </w:p>
    <w:p w14:paraId="096F9EED">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（2）政府采购合同专用条款</w:t>
      </w:r>
    </w:p>
    <w:p w14:paraId="24B8F002">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（3）政府采购合同通用条款</w:t>
      </w:r>
    </w:p>
    <w:p w14:paraId="2177D422">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（4）中标（成交）通知书</w:t>
      </w:r>
    </w:p>
    <w:p w14:paraId="31B52FEA">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（5）投标（响应）文件</w:t>
      </w:r>
    </w:p>
    <w:p w14:paraId="17B12A1C">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（6）采购文件</w:t>
      </w:r>
    </w:p>
    <w:p w14:paraId="5A73FFE9">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（7）有关技术文件，图纸</w:t>
      </w:r>
    </w:p>
    <w:p w14:paraId="2EF124AA">
      <w:pPr>
        <w:pStyle w:val="65"/>
        <w:ind w:firstLine="420"/>
        <w:rPr>
          <w:rFonts w:ascii="宋体" w:hAnsi="宋体" w:eastAsia="宋体" w:cs="宋体"/>
          <w:color w:val="auto"/>
          <w:kern w:val="2"/>
          <w:sz w:val="21"/>
          <w:highlight w:val="none"/>
        </w:rPr>
      </w:pPr>
      <w:r>
        <w:rPr>
          <w:rFonts w:hint="eastAsia" w:ascii="宋体" w:hAnsi="宋体" w:eastAsia="宋体" w:cs="宋体"/>
          <w:color w:val="auto"/>
          <w:sz w:val="21"/>
          <w:highlight w:val="none"/>
        </w:rPr>
        <w:t>（8）</w:t>
      </w:r>
      <w:r>
        <w:rPr>
          <w:rFonts w:hint="eastAsia" w:ascii="宋体" w:hAnsi="宋体" w:eastAsia="宋体" w:cs="宋体"/>
          <w:color w:val="auto"/>
          <w:kern w:val="2"/>
          <w:sz w:val="21"/>
          <w:highlight w:val="none"/>
        </w:rPr>
        <w:t>国家法律、行政法规和规章制度规定或合同约定的作为合同组成部分的其他文件</w:t>
      </w:r>
    </w:p>
    <w:p w14:paraId="4444799D">
      <w:pPr>
        <w:widowControl w:val="0"/>
        <w:numPr>
          <w:ilvl w:val="0"/>
          <w:numId w:val="2"/>
        </w:numPr>
        <w:adjustRightInd w:val="0"/>
        <w:snapToGrid w:val="0"/>
        <w:spacing w:line="400" w:lineRule="exact"/>
        <w:ind w:firstLine="422" w:firstLineChars="200"/>
        <w:textAlignment w:val="auto"/>
        <w:rPr>
          <w:rFonts w:ascii="宋体" w:hAnsi="宋体"/>
          <w:b/>
          <w:color w:val="auto"/>
          <w:szCs w:val="21"/>
          <w:highlight w:val="none"/>
        </w:rPr>
      </w:pPr>
      <w:r>
        <w:rPr>
          <w:rFonts w:hint="eastAsia" w:ascii="宋体" w:hAnsi="宋体"/>
          <w:b/>
          <w:color w:val="auto"/>
          <w:szCs w:val="21"/>
          <w:highlight w:val="none"/>
        </w:rPr>
        <w:t>合同生效</w:t>
      </w:r>
    </w:p>
    <w:p w14:paraId="686638B1">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本合同自生效。</w:t>
      </w:r>
    </w:p>
    <w:p w14:paraId="2E72FFA8">
      <w:pPr>
        <w:widowControl w:val="0"/>
        <w:numPr>
          <w:ilvl w:val="0"/>
          <w:numId w:val="2"/>
        </w:numPr>
        <w:adjustRightInd w:val="0"/>
        <w:snapToGrid w:val="0"/>
        <w:spacing w:line="400" w:lineRule="exact"/>
        <w:ind w:firstLine="422" w:firstLineChars="200"/>
        <w:textAlignment w:val="auto"/>
        <w:rPr>
          <w:rFonts w:ascii="宋体" w:hAnsi="宋体"/>
          <w:b/>
          <w:color w:val="auto"/>
          <w:szCs w:val="21"/>
          <w:highlight w:val="none"/>
        </w:rPr>
      </w:pPr>
      <w:r>
        <w:rPr>
          <w:rFonts w:hint="eastAsia" w:ascii="宋体" w:hAnsi="宋体"/>
          <w:b/>
          <w:color w:val="auto"/>
          <w:szCs w:val="21"/>
          <w:highlight w:val="none"/>
        </w:rPr>
        <w:t>合同份数</w:t>
      </w:r>
    </w:p>
    <w:p w14:paraId="757E14DF">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本合同一式份，甲方执份，乙方执份，均具有同等法律效力。</w:t>
      </w:r>
    </w:p>
    <w:p w14:paraId="0845F8A7">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合同订立时间：年月日</w:t>
      </w:r>
    </w:p>
    <w:p w14:paraId="694BB5C3">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合同订立地点：</w:t>
      </w:r>
    </w:p>
    <w:p w14:paraId="4D9BA333">
      <w:pPr>
        <w:adjustRightInd w:val="0"/>
        <w:snapToGrid w:val="0"/>
        <w:spacing w:line="400" w:lineRule="exact"/>
        <w:ind w:firstLine="420" w:firstLineChars="200"/>
        <w:rPr>
          <w:color w:val="auto"/>
          <w:highlight w:val="none"/>
        </w:rPr>
      </w:pPr>
      <w:r>
        <w:rPr>
          <w:rFonts w:hint="eastAsia" w:ascii="宋体" w:hAnsi="宋体"/>
          <w:color w:val="auto"/>
          <w:szCs w:val="21"/>
          <w:highlight w:val="none"/>
        </w:rPr>
        <w:t>附件：具体标的及其技术要求和商务要求、联合协议、分包意向协议等。</w:t>
      </w:r>
    </w:p>
    <w:p w14:paraId="52783509">
      <w:pPr>
        <w:pStyle w:val="66"/>
        <w:spacing w:line="400" w:lineRule="exact"/>
        <w:rPr>
          <w:color w:val="auto"/>
          <w:highlight w:val="none"/>
        </w:rPr>
      </w:pPr>
    </w:p>
    <w:p w14:paraId="5F232C96">
      <w:pPr>
        <w:pStyle w:val="3"/>
        <w:spacing w:line="400" w:lineRule="exact"/>
        <w:rPr>
          <w:rFonts w:ascii="宋体" w:hAnsi="宋体"/>
          <w:b w:val="0"/>
          <w:bCs w:val="0"/>
          <w:color w:val="auto"/>
          <w:sz w:val="21"/>
          <w:szCs w:val="21"/>
          <w:highlight w:val="none"/>
        </w:rPr>
      </w:pPr>
    </w:p>
    <w:p w14:paraId="0DC05369">
      <w:pPr>
        <w:rPr>
          <w:color w:val="auto"/>
          <w:highlight w:val="none"/>
        </w:rPr>
      </w:pPr>
      <w:r>
        <w:rPr>
          <w:rFonts w:hint="eastAsia"/>
          <w:color w:val="auto"/>
          <w:highlight w:val="none"/>
        </w:rPr>
        <w:br w:type="page"/>
      </w:r>
    </w:p>
    <w:p w14:paraId="3103391C">
      <w:pPr>
        <w:pStyle w:val="66"/>
        <w:rPr>
          <w:color w:val="auto"/>
          <w:highlight w:val="none"/>
        </w:rPr>
      </w:pPr>
    </w:p>
    <w:tbl>
      <w:tblPr>
        <w:tblStyle w:val="16"/>
        <w:tblW w:w="9457"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2130"/>
        <w:gridCol w:w="2716"/>
        <w:gridCol w:w="2228"/>
        <w:gridCol w:w="2383"/>
      </w:tblGrid>
      <w:tr w14:paraId="1FF260F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846" w:type="dxa"/>
            <w:gridSpan w:val="2"/>
            <w:tcBorders>
              <w:bottom w:val="single" w:color="auto" w:sz="2" w:space="0"/>
              <w:right w:val="single" w:color="auto" w:sz="2" w:space="0"/>
            </w:tcBorders>
            <w:vAlign w:val="center"/>
          </w:tcPr>
          <w:p w14:paraId="36E9CE3F">
            <w:pPr>
              <w:adjustRightInd w:val="0"/>
              <w:snapToGrid w:val="0"/>
              <w:spacing w:line="300" w:lineRule="exact"/>
              <w:jc w:val="center"/>
              <w:rPr>
                <w:color w:val="auto"/>
                <w:highlight w:val="none"/>
              </w:rPr>
            </w:pPr>
            <w:r>
              <w:rPr>
                <w:color w:val="auto"/>
                <w:szCs w:val="21"/>
                <w:highlight w:val="none"/>
              </w:rPr>
              <w:t>甲方</w:t>
            </w:r>
            <w:r>
              <w:rPr>
                <w:rFonts w:hint="eastAsia"/>
                <w:color w:val="auto"/>
                <w:szCs w:val="21"/>
                <w:highlight w:val="none"/>
              </w:rPr>
              <w:t>（采购人</w:t>
            </w:r>
            <w:r>
              <w:rPr>
                <w:rFonts w:hint="eastAsia" w:ascii="宋体" w:hAnsi="宋体"/>
                <w:color w:val="auto"/>
                <w:szCs w:val="21"/>
                <w:highlight w:val="none"/>
              </w:rPr>
              <w:t>、受采购人委托签订合同的单位或</w:t>
            </w:r>
            <w:r>
              <w:rPr>
                <w:rFonts w:hint="eastAsia"/>
                <w:color w:val="auto"/>
                <w:szCs w:val="21"/>
                <w:highlight w:val="none"/>
              </w:rPr>
              <w:t>采购文件约定的合同甲方）</w:t>
            </w:r>
          </w:p>
        </w:tc>
        <w:tc>
          <w:tcPr>
            <w:tcW w:w="4611" w:type="dxa"/>
            <w:gridSpan w:val="2"/>
            <w:tcBorders>
              <w:left w:val="single" w:color="auto" w:sz="2" w:space="0"/>
              <w:bottom w:val="single" w:color="auto" w:sz="2" w:space="0"/>
            </w:tcBorders>
            <w:vAlign w:val="center"/>
          </w:tcPr>
          <w:p w14:paraId="147EB0D5">
            <w:pPr>
              <w:adjustRightInd w:val="0"/>
              <w:snapToGrid w:val="0"/>
              <w:spacing w:line="300" w:lineRule="exact"/>
              <w:jc w:val="center"/>
              <w:rPr>
                <w:color w:val="auto"/>
                <w:highlight w:val="none"/>
              </w:rPr>
            </w:pPr>
            <w:r>
              <w:rPr>
                <w:color w:val="auto"/>
                <w:szCs w:val="21"/>
                <w:highlight w:val="none"/>
              </w:rPr>
              <w:t>乙方</w:t>
            </w:r>
            <w:r>
              <w:rPr>
                <w:rFonts w:hint="eastAsia"/>
                <w:color w:val="auto"/>
                <w:szCs w:val="21"/>
                <w:highlight w:val="none"/>
              </w:rPr>
              <w:t>（供应商）</w:t>
            </w:r>
          </w:p>
        </w:tc>
      </w:tr>
      <w:tr w14:paraId="4951C53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2130" w:type="dxa"/>
            <w:tcBorders>
              <w:top w:val="single" w:color="auto" w:sz="2" w:space="0"/>
              <w:bottom w:val="single" w:color="auto" w:sz="2" w:space="0"/>
              <w:right w:val="single" w:color="auto" w:sz="2" w:space="0"/>
            </w:tcBorders>
            <w:vAlign w:val="center"/>
          </w:tcPr>
          <w:p w14:paraId="767765BD">
            <w:pPr>
              <w:adjustRightInd w:val="0"/>
              <w:snapToGrid w:val="0"/>
              <w:spacing w:line="300" w:lineRule="exact"/>
              <w:jc w:val="center"/>
              <w:rPr>
                <w:color w:val="auto"/>
                <w:szCs w:val="21"/>
                <w:highlight w:val="none"/>
              </w:rPr>
            </w:pPr>
            <w:r>
              <w:rPr>
                <w:color w:val="auto"/>
                <w:szCs w:val="21"/>
                <w:highlight w:val="none"/>
              </w:rPr>
              <w:t>单位名称</w:t>
            </w:r>
            <w:r>
              <w:rPr>
                <w:rFonts w:hint="eastAsia"/>
                <w:color w:val="auto"/>
                <w:szCs w:val="21"/>
                <w:highlight w:val="none"/>
              </w:rPr>
              <w:t>（公章或合同章）</w:t>
            </w:r>
          </w:p>
        </w:tc>
        <w:tc>
          <w:tcPr>
            <w:tcW w:w="2716" w:type="dxa"/>
            <w:tcBorders>
              <w:top w:val="single" w:color="auto" w:sz="2" w:space="0"/>
              <w:left w:val="single" w:color="auto" w:sz="2" w:space="0"/>
              <w:bottom w:val="single" w:color="auto" w:sz="2" w:space="0"/>
              <w:right w:val="single" w:color="auto" w:sz="2" w:space="0"/>
            </w:tcBorders>
            <w:vAlign w:val="center"/>
          </w:tcPr>
          <w:p w14:paraId="257E2586">
            <w:pPr>
              <w:adjustRightInd w:val="0"/>
              <w:snapToGrid w:val="0"/>
              <w:spacing w:line="300" w:lineRule="exact"/>
              <w:jc w:val="center"/>
              <w:rPr>
                <w:color w:val="auto"/>
                <w:szCs w:val="21"/>
                <w:highlight w:val="none"/>
              </w:rPr>
            </w:pPr>
          </w:p>
        </w:tc>
        <w:tc>
          <w:tcPr>
            <w:tcW w:w="2228" w:type="dxa"/>
            <w:tcBorders>
              <w:top w:val="single" w:color="auto" w:sz="2" w:space="0"/>
              <w:left w:val="single" w:color="auto" w:sz="2" w:space="0"/>
              <w:bottom w:val="single" w:color="auto" w:sz="2" w:space="0"/>
              <w:right w:val="single" w:color="auto" w:sz="2" w:space="0"/>
            </w:tcBorders>
            <w:vAlign w:val="center"/>
          </w:tcPr>
          <w:p w14:paraId="39CFD2E7">
            <w:pPr>
              <w:adjustRightInd w:val="0"/>
              <w:snapToGrid w:val="0"/>
              <w:spacing w:line="300" w:lineRule="exact"/>
              <w:jc w:val="center"/>
              <w:rPr>
                <w:color w:val="auto"/>
                <w:szCs w:val="21"/>
                <w:highlight w:val="none"/>
              </w:rPr>
            </w:pPr>
            <w:r>
              <w:rPr>
                <w:color w:val="auto"/>
                <w:szCs w:val="21"/>
                <w:highlight w:val="none"/>
              </w:rPr>
              <w:t>单位名称</w:t>
            </w:r>
            <w:r>
              <w:rPr>
                <w:rFonts w:hint="eastAsia"/>
                <w:color w:val="auto"/>
                <w:szCs w:val="21"/>
                <w:highlight w:val="none"/>
              </w:rPr>
              <w:t>（公章或合同章）</w:t>
            </w:r>
          </w:p>
        </w:tc>
        <w:tc>
          <w:tcPr>
            <w:tcW w:w="2383" w:type="dxa"/>
            <w:tcBorders>
              <w:top w:val="single" w:color="auto" w:sz="2" w:space="0"/>
              <w:left w:val="single" w:color="auto" w:sz="2" w:space="0"/>
              <w:bottom w:val="single" w:color="auto" w:sz="2" w:space="0"/>
            </w:tcBorders>
            <w:vAlign w:val="center"/>
          </w:tcPr>
          <w:p w14:paraId="13FE63F4">
            <w:pPr>
              <w:adjustRightInd w:val="0"/>
              <w:snapToGrid w:val="0"/>
              <w:spacing w:line="300" w:lineRule="exact"/>
              <w:jc w:val="center"/>
              <w:rPr>
                <w:color w:val="auto"/>
                <w:spacing w:val="20"/>
                <w:szCs w:val="21"/>
                <w:highlight w:val="none"/>
              </w:rPr>
            </w:pPr>
          </w:p>
        </w:tc>
      </w:tr>
      <w:tr w14:paraId="3700F32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2130" w:type="dxa"/>
            <w:vMerge w:val="restart"/>
            <w:tcBorders>
              <w:top w:val="single" w:color="auto" w:sz="2" w:space="0"/>
              <w:right w:val="single" w:color="auto" w:sz="2" w:space="0"/>
            </w:tcBorders>
            <w:vAlign w:val="center"/>
          </w:tcPr>
          <w:p w14:paraId="7CBAAAA7">
            <w:pPr>
              <w:adjustRightInd w:val="0"/>
              <w:snapToGrid w:val="0"/>
              <w:spacing w:line="300" w:lineRule="exact"/>
              <w:jc w:val="center"/>
              <w:rPr>
                <w:color w:val="auto"/>
                <w:szCs w:val="21"/>
                <w:highlight w:val="none"/>
              </w:rPr>
            </w:pPr>
            <w:r>
              <w:rPr>
                <w:color w:val="auto"/>
                <w:szCs w:val="21"/>
                <w:highlight w:val="none"/>
              </w:rPr>
              <w:t>法定代表人</w:t>
            </w:r>
          </w:p>
          <w:p w14:paraId="6037EB46">
            <w:pPr>
              <w:adjustRightInd w:val="0"/>
              <w:snapToGrid w:val="0"/>
              <w:spacing w:line="300" w:lineRule="exact"/>
              <w:ind w:firstLine="100" w:firstLineChars="48"/>
              <w:jc w:val="center"/>
              <w:rPr>
                <w:color w:val="auto"/>
                <w:szCs w:val="21"/>
                <w:highlight w:val="none"/>
              </w:rPr>
            </w:pPr>
            <w:r>
              <w:rPr>
                <w:rFonts w:hint="eastAsia"/>
                <w:color w:val="auto"/>
                <w:szCs w:val="21"/>
                <w:highlight w:val="none"/>
              </w:rPr>
              <w:t>或其</w:t>
            </w:r>
            <w:r>
              <w:rPr>
                <w:color w:val="auto"/>
                <w:szCs w:val="21"/>
                <w:highlight w:val="none"/>
              </w:rPr>
              <w:t>委托代理人</w:t>
            </w:r>
            <w:r>
              <w:rPr>
                <w:rFonts w:hint="eastAsia"/>
                <w:color w:val="auto"/>
                <w:szCs w:val="21"/>
                <w:highlight w:val="none"/>
              </w:rPr>
              <w:t>（签章）</w:t>
            </w:r>
          </w:p>
        </w:tc>
        <w:tc>
          <w:tcPr>
            <w:tcW w:w="2716" w:type="dxa"/>
            <w:vMerge w:val="restart"/>
            <w:tcBorders>
              <w:top w:val="single" w:color="auto" w:sz="2" w:space="0"/>
              <w:left w:val="single" w:color="auto" w:sz="2" w:space="0"/>
              <w:right w:val="single" w:color="auto" w:sz="2" w:space="0"/>
            </w:tcBorders>
            <w:vAlign w:val="center"/>
          </w:tcPr>
          <w:p w14:paraId="22C938AC">
            <w:pPr>
              <w:adjustRightInd w:val="0"/>
              <w:snapToGrid w:val="0"/>
              <w:spacing w:line="300" w:lineRule="exact"/>
              <w:jc w:val="center"/>
              <w:rPr>
                <w:color w:val="auto"/>
                <w:szCs w:val="21"/>
                <w:highlight w:val="none"/>
              </w:rPr>
            </w:pPr>
          </w:p>
        </w:tc>
        <w:tc>
          <w:tcPr>
            <w:tcW w:w="2228" w:type="dxa"/>
            <w:tcBorders>
              <w:top w:val="single" w:color="auto" w:sz="2" w:space="0"/>
              <w:left w:val="single" w:color="auto" w:sz="2" w:space="0"/>
              <w:right w:val="single" w:color="auto" w:sz="2" w:space="0"/>
            </w:tcBorders>
            <w:vAlign w:val="center"/>
          </w:tcPr>
          <w:p w14:paraId="7FF9DFB2">
            <w:pPr>
              <w:adjustRightInd w:val="0"/>
              <w:snapToGrid w:val="0"/>
              <w:spacing w:line="300" w:lineRule="exact"/>
              <w:jc w:val="center"/>
              <w:rPr>
                <w:color w:val="auto"/>
                <w:szCs w:val="21"/>
                <w:highlight w:val="none"/>
              </w:rPr>
            </w:pPr>
            <w:r>
              <w:rPr>
                <w:color w:val="auto"/>
                <w:szCs w:val="21"/>
                <w:highlight w:val="none"/>
              </w:rPr>
              <w:t>法定代表人</w:t>
            </w:r>
          </w:p>
          <w:p w14:paraId="5CA5A3E4">
            <w:pPr>
              <w:adjustRightInd w:val="0"/>
              <w:snapToGrid w:val="0"/>
              <w:spacing w:line="300" w:lineRule="exact"/>
              <w:jc w:val="center"/>
              <w:rPr>
                <w:color w:val="auto"/>
                <w:szCs w:val="21"/>
                <w:highlight w:val="none"/>
              </w:rPr>
            </w:pPr>
            <w:r>
              <w:rPr>
                <w:rFonts w:hint="eastAsia"/>
                <w:color w:val="auto"/>
                <w:szCs w:val="21"/>
                <w:highlight w:val="none"/>
              </w:rPr>
              <w:t>或其</w:t>
            </w:r>
            <w:r>
              <w:rPr>
                <w:color w:val="auto"/>
                <w:szCs w:val="21"/>
                <w:highlight w:val="none"/>
              </w:rPr>
              <w:t>委托代理人</w:t>
            </w:r>
            <w:r>
              <w:rPr>
                <w:rFonts w:hint="eastAsia"/>
                <w:color w:val="auto"/>
                <w:szCs w:val="21"/>
                <w:highlight w:val="none"/>
              </w:rPr>
              <w:t>（签章）</w:t>
            </w:r>
          </w:p>
        </w:tc>
        <w:tc>
          <w:tcPr>
            <w:tcW w:w="2383" w:type="dxa"/>
            <w:tcBorders>
              <w:top w:val="single" w:color="auto" w:sz="2" w:space="0"/>
              <w:left w:val="single" w:color="auto" w:sz="2" w:space="0"/>
              <w:bottom w:val="single" w:color="auto" w:sz="2" w:space="0"/>
            </w:tcBorders>
            <w:vAlign w:val="center"/>
          </w:tcPr>
          <w:p w14:paraId="357CD43E">
            <w:pPr>
              <w:adjustRightInd w:val="0"/>
              <w:snapToGrid w:val="0"/>
              <w:spacing w:line="300" w:lineRule="exact"/>
              <w:jc w:val="center"/>
              <w:rPr>
                <w:color w:val="auto"/>
                <w:szCs w:val="21"/>
                <w:highlight w:val="none"/>
              </w:rPr>
            </w:pPr>
          </w:p>
        </w:tc>
      </w:tr>
      <w:tr w14:paraId="5F110B7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0" w:type="dxa"/>
            <w:vMerge w:val="continue"/>
            <w:tcBorders>
              <w:bottom w:val="single" w:color="auto" w:sz="2" w:space="0"/>
              <w:right w:val="single" w:color="auto" w:sz="2" w:space="0"/>
            </w:tcBorders>
            <w:vAlign w:val="center"/>
          </w:tcPr>
          <w:p w14:paraId="64A92FB7">
            <w:pPr>
              <w:adjustRightInd w:val="0"/>
              <w:snapToGrid w:val="0"/>
              <w:spacing w:line="300" w:lineRule="exact"/>
              <w:jc w:val="center"/>
              <w:rPr>
                <w:color w:val="auto"/>
                <w:szCs w:val="21"/>
                <w:highlight w:val="none"/>
              </w:rPr>
            </w:pPr>
          </w:p>
        </w:tc>
        <w:tc>
          <w:tcPr>
            <w:tcW w:w="2716" w:type="dxa"/>
            <w:vMerge w:val="continue"/>
            <w:tcBorders>
              <w:left w:val="single" w:color="auto" w:sz="2" w:space="0"/>
              <w:bottom w:val="single" w:color="auto" w:sz="2" w:space="0"/>
              <w:right w:val="single" w:color="auto" w:sz="2" w:space="0"/>
            </w:tcBorders>
            <w:vAlign w:val="center"/>
          </w:tcPr>
          <w:p w14:paraId="28AEA51D">
            <w:pPr>
              <w:adjustRightInd w:val="0"/>
              <w:snapToGrid w:val="0"/>
              <w:spacing w:line="300" w:lineRule="exact"/>
              <w:jc w:val="center"/>
              <w:rPr>
                <w:color w:val="auto"/>
                <w:szCs w:val="21"/>
                <w:highlight w:val="none"/>
              </w:rPr>
            </w:pPr>
          </w:p>
        </w:tc>
        <w:tc>
          <w:tcPr>
            <w:tcW w:w="2228" w:type="dxa"/>
            <w:tcBorders>
              <w:top w:val="single" w:color="auto" w:sz="2" w:space="0"/>
              <w:left w:val="single" w:color="auto" w:sz="2" w:space="0"/>
              <w:bottom w:val="single" w:color="auto" w:sz="2" w:space="0"/>
              <w:right w:val="single" w:color="auto" w:sz="2" w:space="0"/>
            </w:tcBorders>
            <w:vAlign w:val="center"/>
          </w:tcPr>
          <w:p w14:paraId="0A00B4CC">
            <w:pPr>
              <w:adjustRightInd w:val="0"/>
              <w:snapToGrid w:val="0"/>
              <w:spacing w:line="300" w:lineRule="exact"/>
              <w:jc w:val="center"/>
              <w:rPr>
                <w:color w:val="auto"/>
                <w:szCs w:val="21"/>
                <w:highlight w:val="none"/>
              </w:rPr>
            </w:pPr>
            <w:r>
              <w:rPr>
                <w:rFonts w:hint="eastAsia"/>
                <w:color w:val="auto"/>
                <w:szCs w:val="21"/>
                <w:highlight w:val="none"/>
              </w:rPr>
              <w:t>拥有者性别</w:t>
            </w:r>
          </w:p>
        </w:tc>
        <w:tc>
          <w:tcPr>
            <w:tcW w:w="2383" w:type="dxa"/>
            <w:tcBorders>
              <w:top w:val="single" w:color="auto" w:sz="2" w:space="0"/>
              <w:left w:val="single" w:color="auto" w:sz="2" w:space="0"/>
              <w:bottom w:val="single" w:color="auto" w:sz="2" w:space="0"/>
            </w:tcBorders>
            <w:vAlign w:val="center"/>
          </w:tcPr>
          <w:p w14:paraId="14988024">
            <w:pPr>
              <w:adjustRightInd w:val="0"/>
              <w:snapToGrid w:val="0"/>
              <w:spacing w:line="300" w:lineRule="exact"/>
              <w:jc w:val="center"/>
              <w:rPr>
                <w:color w:val="auto"/>
                <w:spacing w:val="20"/>
                <w:szCs w:val="21"/>
                <w:highlight w:val="none"/>
              </w:rPr>
            </w:pPr>
          </w:p>
        </w:tc>
      </w:tr>
      <w:tr w14:paraId="27707C4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0" w:type="dxa"/>
            <w:tcBorders>
              <w:top w:val="single" w:color="auto" w:sz="2" w:space="0"/>
              <w:bottom w:val="single" w:color="auto" w:sz="2" w:space="0"/>
              <w:right w:val="single" w:color="auto" w:sz="2" w:space="0"/>
            </w:tcBorders>
            <w:vAlign w:val="center"/>
          </w:tcPr>
          <w:p w14:paraId="3E3EE5CF">
            <w:pPr>
              <w:adjustRightInd w:val="0"/>
              <w:snapToGrid w:val="0"/>
              <w:spacing w:line="300" w:lineRule="exact"/>
              <w:jc w:val="center"/>
              <w:rPr>
                <w:color w:val="auto"/>
                <w:szCs w:val="21"/>
                <w:highlight w:val="none"/>
              </w:rPr>
            </w:pPr>
            <w:r>
              <w:rPr>
                <w:rFonts w:hint="eastAsia"/>
                <w:color w:val="auto"/>
                <w:szCs w:val="21"/>
                <w:highlight w:val="none"/>
              </w:rPr>
              <w:t>住  所</w:t>
            </w:r>
          </w:p>
        </w:tc>
        <w:tc>
          <w:tcPr>
            <w:tcW w:w="2716" w:type="dxa"/>
            <w:tcBorders>
              <w:top w:val="single" w:color="auto" w:sz="2" w:space="0"/>
              <w:left w:val="single" w:color="auto" w:sz="2" w:space="0"/>
              <w:bottom w:val="single" w:color="auto" w:sz="2" w:space="0"/>
              <w:right w:val="single" w:color="auto" w:sz="2" w:space="0"/>
            </w:tcBorders>
            <w:vAlign w:val="center"/>
          </w:tcPr>
          <w:p w14:paraId="0568832D">
            <w:pPr>
              <w:adjustRightInd w:val="0"/>
              <w:snapToGrid w:val="0"/>
              <w:spacing w:line="300" w:lineRule="exact"/>
              <w:jc w:val="center"/>
              <w:rPr>
                <w:color w:val="auto"/>
                <w:szCs w:val="21"/>
                <w:highlight w:val="none"/>
              </w:rPr>
            </w:pPr>
          </w:p>
        </w:tc>
        <w:tc>
          <w:tcPr>
            <w:tcW w:w="2228" w:type="dxa"/>
            <w:tcBorders>
              <w:top w:val="single" w:color="auto" w:sz="2" w:space="0"/>
              <w:left w:val="single" w:color="auto" w:sz="2" w:space="0"/>
              <w:bottom w:val="single" w:color="auto" w:sz="2" w:space="0"/>
              <w:right w:val="single" w:color="auto" w:sz="2" w:space="0"/>
            </w:tcBorders>
            <w:vAlign w:val="center"/>
          </w:tcPr>
          <w:p w14:paraId="116FC9B6">
            <w:pPr>
              <w:adjustRightInd w:val="0"/>
              <w:snapToGrid w:val="0"/>
              <w:spacing w:line="300" w:lineRule="exact"/>
              <w:jc w:val="center"/>
              <w:rPr>
                <w:color w:val="auto"/>
                <w:szCs w:val="21"/>
                <w:highlight w:val="none"/>
              </w:rPr>
            </w:pPr>
            <w:r>
              <w:rPr>
                <w:rFonts w:hint="eastAsia"/>
                <w:color w:val="auto"/>
                <w:szCs w:val="21"/>
                <w:highlight w:val="none"/>
              </w:rPr>
              <w:t>住  所</w:t>
            </w:r>
          </w:p>
        </w:tc>
        <w:tc>
          <w:tcPr>
            <w:tcW w:w="2383" w:type="dxa"/>
            <w:tcBorders>
              <w:top w:val="single" w:color="auto" w:sz="2" w:space="0"/>
              <w:left w:val="single" w:color="auto" w:sz="2" w:space="0"/>
              <w:bottom w:val="single" w:color="auto" w:sz="2" w:space="0"/>
            </w:tcBorders>
            <w:vAlign w:val="center"/>
          </w:tcPr>
          <w:p w14:paraId="5A591271">
            <w:pPr>
              <w:adjustRightInd w:val="0"/>
              <w:snapToGrid w:val="0"/>
              <w:spacing w:line="300" w:lineRule="exact"/>
              <w:jc w:val="center"/>
              <w:rPr>
                <w:color w:val="auto"/>
                <w:spacing w:val="20"/>
                <w:szCs w:val="21"/>
                <w:highlight w:val="none"/>
              </w:rPr>
            </w:pPr>
          </w:p>
        </w:tc>
      </w:tr>
      <w:tr w14:paraId="0FFC625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0" w:type="dxa"/>
            <w:tcBorders>
              <w:top w:val="single" w:color="auto" w:sz="2" w:space="0"/>
              <w:bottom w:val="single" w:color="auto" w:sz="2" w:space="0"/>
              <w:right w:val="single" w:color="auto" w:sz="2" w:space="0"/>
            </w:tcBorders>
            <w:vAlign w:val="center"/>
          </w:tcPr>
          <w:p w14:paraId="768372DA">
            <w:pPr>
              <w:adjustRightInd w:val="0"/>
              <w:snapToGrid w:val="0"/>
              <w:spacing w:line="300" w:lineRule="exact"/>
              <w:jc w:val="center"/>
              <w:rPr>
                <w:color w:val="auto"/>
                <w:szCs w:val="21"/>
                <w:highlight w:val="none"/>
              </w:rPr>
            </w:pPr>
            <w:r>
              <w:rPr>
                <w:color w:val="auto"/>
                <w:szCs w:val="21"/>
                <w:highlight w:val="none"/>
              </w:rPr>
              <w:t>联 系 人</w:t>
            </w:r>
          </w:p>
        </w:tc>
        <w:tc>
          <w:tcPr>
            <w:tcW w:w="2716" w:type="dxa"/>
            <w:tcBorders>
              <w:top w:val="single" w:color="auto" w:sz="2" w:space="0"/>
              <w:left w:val="single" w:color="auto" w:sz="2" w:space="0"/>
              <w:bottom w:val="single" w:color="auto" w:sz="2" w:space="0"/>
              <w:right w:val="single" w:color="auto" w:sz="2" w:space="0"/>
            </w:tcBorders>
            <w:vAlign w:val="center"/>
          </w:tcPr>
          <w:p w14:paraId="1A8D7DC1">
            <w:pPr>
              <w:adjustRightInd w:val="0"/>
              <w:snapToGrid w:val="0"/>
              <w:spacing w:line="300" w:lineRule="exact"/>
              <w:jc w:val="center"/>
              <w:rPr>
                <w:color w:val="auto"/>
                <w:szCs w:val="21"/>
                <w:highlight w:val="none"/>
              </w:rPr>
            </w:pPr>
          </w:p>
        </w:tc>
        <w:tc>
          <w:tcPr>
            <w:tcW w:w="2228" w:type="dxa"/>
            <w:tcBorders>
              <w:top w:val="single" w:color="auto" w:sz="2" w:space="0"/>
              <w:left w:val="single" w:color="auto" w:sz="2" w:space="0"/>
              <w:bottom w:val="single" w:color="auto" w:sz="2" w:space="0"/>
              <w:right w:val="single" w:color="auto" w:sz="2" w:space="0"/>
            </w:tcBorders>
            <w:vAlign w:val="center"/>
          </w:tcPr>
          <w:p w14:paraId="75398F3E">
            <w:pPr>
              <w:adjustRightInd w:val="0"/>
              <w:snapToGrid w:val="0"/>
              <w:spacing w:line="300" w:lineRule="exact"/>
              <w:jc w:val="center"/>
              <w:rPr>
                <w:color w:val="auto"/>
                <w:szCs w:val="21"/>
                <w:highlight w:val="none"/>
              </w:rPr>
            </w:pPr>
            <w:r>
              <w:rPr>
                <w:color w:val="auto"/>
                <w:szCs w:val="21"/>
                <w:highlight w:val="none"/>
              </w:rPr>
              <w:t>联 系 人</w:t>
            </w:r>
          </w:p>
        </w:tc>
        <w:tc>
          <w:tcPr>
            <w:tcW w:w="2383" w:type="dxa"/>
            <w:tcBorders>
              <w:top w:val="single" w:color="auto" w:sz="2" w:space="0"/>
              <w:left w:val="single" w:color="auto" w:sz="2" w:space="0"/>
              <w:bottom w:val="single" w:color="auto" w:sz="2" w:space="0"/>
            </w:tcBorders>
            <w:vAlign w:val="center"/>
          </w:tcPr>
          <w:p w14:paraId="67DF3370">
            <w:pPr>
              <w:adjustRightInd w:val="0"/>
              <w:snapToGrid w:val="0"/>
              <w:spacing w:line="300" w:lineRule="exact"/>
              <w:jc w:val="center"/>
              <w:rPr>
                <w:color w:val="auto"/>
                <w:spacing w:val="20"/>
                <w:szCs w:val="21"/>
                <w:highlight w:val="none"/>
              </w:rPr>
            </w:pPr>
          </w:p>
        </w:tc>
      </w:tr>
      <w:tr w14:paraId="181A105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0" w:type="dxa"/>
            <w:tcBorders>
              <w:top w:val="single" w:color="auto" w:sz="2" w:space="0"/>
              <w:bottom w:val="single" w:color="auto" w:sz="2" w:space="0"/>
              <w:right w:val="single" w:color="auto" w:sz="2" w:space="0"/>
            </w:tcBorders>
            <w:vAlign w:val="center"/>
          </w:tcPr>
          <w:p w14:paraId="5C12356D">
            <w:pPr>
              <w:adjustRightInd w:val="0"/>
              <w:snapToGrid w:val="0"/>
              <w:spacing w:line="300" w:lineRule="exact"/>
              <w:jc w:val="center"/>
              <w:rPr>
                <w:color w:val="auto"/>
                <w:szCs w:val="21"/>
                <w:highlight w:val="none"/>
              </w:rPr>
            </w:pPr>
            <w:r>
              <w:rPr>
                <w:color w:val="auto"/>
                <w:szCs w:val="21"/>
                <w:highlight w:val="none"/>
              </w:rPr>
              <w:t>联系电话</w:t>
            </w:r>
          </w:p>
        </w:tc>
        <w:tc>
          <w:tcPr>
            <w:tcW w:w="2716" w:type="dxa"/>
            <w:tcBorders>
              <w:top w:val="single" w:color="auto" w:sz="2" w:space="0"/>
              <w:left w:val="single" w:color="auto" w:sz="2" w:space="0"/>
              <w:bottom w:val="single" w:color="auto" w:sz="2" w:space="0"/>
              <w:right w:val="single" w:color="auto" w:sz="2" w:space="0"/>
            </w:tcBorders>
            <w:vAlign w:val="center"/>
          </w:tcPr>
          <w:p w14:paraId="5B58C677">
            <w:pPr>
              <w:adjustRightInd w:val="0"/>
              <w:snapToGrid w:val="0"/>
              <w:spacing w:line="300" w:lineRule="exact"/>
              <w:jc w:val="center"/>
              <w:rPr>
                <w:color w:val="auto"/>
                <w:szCs w:val="21"/>
                <w:highlight w:val="none"/>
              </w:rPr>
            </w:pPr>
          </w:p>
        </w:tc>
        <w:tc>
          <w:tcPr>
            <w:tcW w:w="2228" w:type="dxa"/>
            <w:tcBorders>
              <w:top w:val="single" w:color="auto" w:sz="2" w:space="0"/>
              <w:left w:val="single" w:color="auto" w:sz="2" w:space="0"/>
              <w:bottom w:val="single" w:color="auto" w:sz="2" w:space="0"/>
              <w:right w:val="single" w:color="auto" w:sz="2" w:space="0"/>
            </w:tcBorders>
            <w:vAlign w:val="center"/>
          </w:tcPr>
          <w:p w14:paraId="27E3FD0C">
            <w:pPr>
              <w:adjustRightInd w:val="0"/>
              <w:snapToGrid w:val="0"/>
              <w:spacing w:line="300" w:lineRule="exact"/>
              <w:jc w:val="center"/>
              <w:rPr>
                <w:color w:val="auto"/>
                <w:szCs w:val="21"/>
                <w:highlight w:val="none"/>
              </w:rPr>
            </w:pPr>
            <w:r>
              <w:rPr>
                <w:color w:val="auto"/>
                <w:szCs w:val="21"/>
                <w:highlight w:val="none"/>
              </w:rPr>
              <w:t>联系电话</w:t>
            </w:r>
          </w:p>
        </w:tc>
        <w:tc>
          <w:tcPr>
            <w:tcW w:w="2383" w:type="dxa"/>
            <w:tcBorders>
              <w:top w:val="single" w:color="auto" w:sz="2" w:space="0"/>
              <w:left w:val="single" w:color="auto" w:sz="2" w:space="0"/>
              <w:bottom w:val="single" w:color="auto" w:sz="2" w:space="0"/>
            </w:tcBorders>
            <w:vAlign w:val="center"/>
          </w:tcPr>
          <w:p w14:paraId="138EFF9B">
            <w:pPr>
              <w:adjustRightInd w:val="0"/>
              <w:snapToGrid w:val="0"/>
              <w:spacing w:line="300" w:lineRule="exact"/>
              <w:jc w:val="center"/>
              <w:rPr>
                <w:color w:val="auto"/>
                <w:spacing w:val="20"/>
                <w:szCs w:val="21"/>
                <w:highlight w:val="none"/>
              </w:rPr>
            </w:pPr>
          </w:p>
        </w:tc>
      </w:tr>
      <w:tr w14:paraId="2BBE155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0" w:type="dxa"/>
            <w:tcBorders>
              <w:top w:val="single" w:color="auto" w:sz="2" w:space="0"/>
              <w:bottom w:val="single" w:color="auto" w:sz="2" w:space="0"/>
              <w:right w:val="single" w:color="auto" w:sz="2" w:space="0"/>
            </w:tcBorders>
            <w:vAlign w:val="center"/>
          </w:tcPr>
          <w:p w14:paraId="66E34531">
            <w:pPr>
              <w:adjustRightInd w:val="0"/>
              <w:snapToGrid w:val="0"/>
              <w:spacing w:line="300" w:lineRule="exact"/>
              <w:jc w:val="center"/>
              <w:rPr>
                <w:color w:val="auto"/>
                <w:szCs w:val="21"/>
                <w:highlight w:val="none"/>
              </w:rPr>
            </w:pPr>
            <w:r>
              <w:rPr>
                <w:rFonts w:hint="eastAsia"/>
                <w:color w:val="auto"/>
                <w:szCs w:val="21"/>
                <w:highlight w:val="none"/>
              </w:rPr>
              <w:t>通信地址</w:t>
            </w:r>
          </w:p>
        </w:tc>
        <w:tc>
          <w:tcPr>
            <w:tcW w:w="2716" w:type="dxa"/>
            <w:tcBorders>
              <w:top w:val="single" w:color="auto" w:sz="2" w:space="0"/>
              <w:left w:val="single" w:color="auto" w:sz="2" w:space="0"/>
              <w:bottom w:val="single" w:color="auto" w:sz="2" w:space="0"/>
              <w:right w:val="single" w:color="auto" w:sz="2" w:space="0"/>
            </w:tcBorders>
            <w:vAlign w:val="center"/>
          </w:tcPr>
          <w:p w14:paraId="40A98521">
            <w:pPr>
              <w:adjustRightInd w:val="0"/>
              <w:snapToGrid w:val="0"/>
              <w:spacing w:line="300" w:lineRule="exact"/>
              <w:jc w:val="center"/>
              <w:rPr>
                <w:color w:val="auto"/>
                <w:szCs w:val="21"/>
                <w:highlight w:val="none"/>
              </w:rPr>
            </w:pPr>
          </w:p>
        </w:tc>
        <w:tc>
          <w:tcPr>
            <w:tcW w:w="2228" w:type="dxa"/>
            <w:tcBorders>
              <w:top w:val="single" w:color="auto" w:sz="2" w:space="0"/>
              <w:left w:val="single" w:color="auto" w:sz="2" w:space="0"/>
              <w:bottom w:val="single" w:color="auto" w:sz="2" w:space="0"/>
              <w:right w:val="single" w:color="auto" w:sz="2" w:space="0"/>
            </w:tcBorders>
            <w:vAlign w:val="center"/>
          </w:tcPr>
          <w:p w14:paraId="14B1F8C0">
            <w:pPr>
              <w:adjustRightInd w:val="0"/>
              <w:snapToGrid w:val="0"/>
              <w:spacing w:line="300" w:lineRule="exact"/>
              <w:jc w:val="center"/>
              <w:rPr>
                <w:color w:val="auto"/>
                <w:szCs w:val="21"/>
                <w:highlight w:val="none"/>
              </w:rPr>
            </w:pPr>
            <w:r>
              <w:rPr>
                <w:rFonts w:hint="eastAsia"/>
                <w:color w:val="auto"/>
                <w:szCs w:val="21"/>
                <w:highlight w:val="none"/>
              </w:rPr>
              <w:t>通信地址</w:t>
            </w:r>
          </w:p>
        </w:tc>
        <w:tc>
          <w:tcPr>
            <w:tcW w:w="2383" w:type="dxa"/>
            <w:tcBorders>
              <w:top w:val="single" w:color="auto" w:sz="2" w:space="0"/>
              <w:left w:val="single" w:color="auto" w:sz="2" w:space="0"/>
              <w:bottom w:val="single" w:color="auto" w:sz="2" w:space="0"/>
            </w:tcBorders>
            <w:vAlign w:val="center"/>
          </w:tcPr>
          <w:p w14:paraId="7B0AE108">
            <w:pPr>
              <w:adjustRightInd w:val="0"/>
              <w:snapToGrid w:val="0"/>
              <w:spacing w:line="300" w:lineRule="exact"/>
              <w:jc w:val="center"/>
              <w:rPr>
                <w:color w:val="auto"/>
                <w:spacing w:val="20"/>
                <w:szCs w:val="21"/>
                <w:highlight w:val="none"/>
              </w:rPr>
            </w:pPr>
          </w:p>
        </w:tc>
      </w:tr>
      <w:tr w14:paraId="35FAD66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0" w:type="dxa"/>
            <w:tcBorders>
              <w:top w:val="single" w:color="auto" w:sz="2" w:space="0"/>
              <w:bottom w:val="single" w:color="auto" w:sz="2" w:space="0"/>
              <w:right w:val="single" w:color="auto" w:sz="2" w:space="0"/>
            </w:tcBorders>
            <w:vAlign w:val="center"/>
          </w:tcPr>
          <w:p w14:paraId="2C410742">
            <w:pPr>
              <w:adjustRightInd w:val="0"/>
              <w:snapToGrid w:val="0"/>
              <w:spacing w:line="300" w:lineRule="exact"/>
              <w:jc w:val="center"/>
              <w:rPr>
                <w:color w:val="auto"/>
                <w:szCs w:val="21"/>
                <w:highlight w:val="none"/>
              </w:rPr>
            </w:pPr>
            <w:r>
              <w:rPr>
                <w:color w:val="auto"/>
                <w:szCs w:val="21"/>
                <w:highlight w:val="none"/>
              </w:rPr>
              <w:t>邮政编码</w:t>
            </w:r>
          </w:p>
        </w:tc>
        <w:tc>
          <w:tcPr>
            <w:tcW w:w="2716" w:type="dxa"/>
            <w:tcBorders>
              <w:top w:val="single" w:color="auto" w:sz="2" w:space="0"/>
              <w:left w:val="single" w:color="auto" w:sz="2" w:space="0"/>
              <w:bottom w:val="single" w:color="auto" w:sz="2" w:space="0"/>
              <w:right w:val="single" w:color="auto" w:sz="2" w:space="0"/>
            </w:tcBorders>
            <w:vAlign w:val="center"/>
          </w:tcPr>
          <w:p w14:paraId="76C7FF17">
            <w:pPr>
              <w:adjustRightInd w:val="0"/>
              <w:snapToGrid w:val="0"/>
              <w:spacing w:line="300" w:lineRule="exact"/>
              <w:jc w:val="center"/>
              <w:rPr>
                <w:color w:val="auto"/>
                <w:szCs w:val="21"/>
                <w:highlight w:val="none"/>
              </w:rPr>
            </w:pPr>
          </w:p>
        </w:tc>
        <w:tc>
          <w:tcPr>
            <w:tcW w:w="2228" w:type="dxa"/>
            <w:tcBorders>
              <w:top w:val="single" w:color="auto" w:sz="2" w:space="0"/>
              <w:left w:val="single" w:color="auto" w:sz="2" w:space="0"/>
              <w:bottom w:val="single" w:color="auto" w:sz="2" w:space="0"/>
              <w:right w:val="single" w:color="auto" w:sz="2" w:space="0"/>
            </w:tcBorders>
            <w:vAlign w:val="center"/>
          </w:tcPr>
          <w:p w14:paraId="2E593001">
            <w:pPr>
              <w:adjustRightInd w:val="0"/>
              <w:snapToGrid w:val="0"/>
              <w:spacing w:line="300" w:lineRule="exact"/>
              <w:jc w:val="center"/>
              <w:rPr>
                <w:color w:val="auto"/>
                <w:szCs w:val="21"/>
                <w:highlight w:val="none"/>
              </w:rPr>
            </w:pPr>
            <w:r>
              <w:rPr>
                <w:color w:val="auto"/>
                <w:szCs w:val="21"/>
                <w:highlight w:val="none"/>
              </w:rPr>
              <w:t>邮政编码</w:t>
            </w:r>
          </w:p>
        </w:tc>
        <w:tc>
          <w:tcPr>
            <w:tcW w:w="2383" w:type="dxa"/>
            <w:tcBorders>
              <w:top w:val="single" w:color="auto" w:sz="2" w:space="0"/>
              <w:left w:val="single" w:color="auto" w:sz="2" w:space="0"/>
              <w:bottom w:val="single" w:color="auto" w:sz="2" w:space="0"/>
            </w:tcBorders>
            <w:vAlign w:val="center"/>
          </w:tcPr>
          <w:p w14:paraId="5E94BA27">
            <w:pPr>
              <w:adjustRightInd w:val="0"/>
              <w:snapToGrid w:val="0"/>
              <w:spacing w:line="300" w:lineRule="exact"/>
              <w:jc w:val="center"/>
              <w:rPr>
                <w:color w:val="auto"/>
                <w:spacing w:val="20"/>
                <w:szCs w:val="21"/>
                <w:highlight w:val="none"/>
              </w:rPr>
            </w:pPr>
          </w:p>
        </w:tc>
      </w:tr>
      <w:tr w14:paraId="5CC9BC5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0" w:type="dxa"/>
            <w:tcBorders>
              <w:top w:val="single" w:color="auto" w:sz="2" w:space="0"/>
              <w:bottom w:val="single" w:color="auto" w:sz="2" w:space="0"/>
              <w:right w:val="single" w:color="auto" w:sz="2" w:space="0"/>
            </w:tcBorders>
            <w:vAlign w:val="center"/>
          </w:tcPr>
          <w:p w14:paraId="6628BCE7">
            <w:pPr>
              <w:adjustRightInd w:val="0"/>
              <w:snapToGrid w:val="0"/>
              <w:spacing w:line="300" w:lineRule="exact"/>
              <w:jc w:val="center"/>
              <w:rPr>
                <w:color w:val="auto"/>
                <w:szCs w:val="21"/>
                <w:highlight w:val="none"/>
              </w:rPr>
            </w:pPr>
            <w:r>
              <w:rPr>
                <w:rFonts w:hint="eastAsia"/>
                <w:color w:val="auto"/>
                <w:szCs w:val="21"/>
                <w:highlight w:val="none"/>
              </w:rPr>
              <w:t>电子邮箱</w:t>
            </w:r>
          </w:p>
        </w:tc>
        <w:tc>
          <w:tcPr>
            <w:tcW w:w="2716" w:type="dxa"/>
            <w:tcBorders>
              <w:top w:val="single" w:color="auto" w:sz="2" w:space="0"/>
              <w:left w:val="single" w:color="auto" w:sz="2" w:space="0"/>
              <w:bottom w:val="single" w:color="auto" w:sz="2" w:space="0"/>
              <w:right w:val="single" w:color="auto" w:sz="2" w:space="0"/>
            </w:tcBorders>
            <w:vAlign w:val="center"/>
          </w:tcPr>
          <w:p w14:paraId="6964961F">
            <w:pPr>
              <w:adjustRightInd w:val="0"/>
              <w:snapToGrid w:val="0"/>
              <w:spacing w:line="300" w:lineRule="exact"/>
              <w:jc w:val="center"/>
              <w:rPr>
                <w:color w:val="auto"/>
                <w:szCs w:val="21"/>
                <w:highlight w:val="none"/>
              </w:rPr>
            </w:pPr>
          </w:p>
        </w:tc>
        <w:tc>
          <w:tcPr>
            <w:tcW w:w="2228" w:type="dxa"/>
            <w:tcBorders>
              <w:top w:val="single" w:color="auto" w:sz="2" w:space="0"/>
              <w:left w:val="single" w:color="auto" w:sz="2" w:space="0"/>
              <w:bottom w:val="single" w:color="auto" w:sz="2" w:space="0"/>
              <w:right w:val="single" w:color="auto" w:sz="2" w:space="0"/>
            </w:tcBorders>
            <w:vAlign w:val="center"/>
          </w:tcPr>
          <w:p w14:paraId="32878A7D">
            <w:pPr>
              <w:adjustRightInd w:val="0"/>
              <w:snapToGrid w:val="0"/>
              <w:spacing w:line="300" w:lineRule="exact"/>
              <w:jc w:val="center"/>
              <w:rPr>
                <w:color w:val="auto"/>
                <w:szCs w:val="21"/>
                <w:highlight w:val="none"/>
              </w:rPr>
            </w:pPr>
            <w:r>
              <w:rPr>
                <w:rFonts w:hint="eastAsia"/>
                <w:color w:val="auto"/>
                <w:szCs w:val="21"/>
                <w:highlight w:val="none"/>
              </w:rPr>
              <w:t>电子邮箱</w:t>
            </w:r>
          </w:p>
        </w:tc>
        <w:tc>
          <w:tcPr>
            <w:tcW w:w="2383" w:type="dxa"/>
            <w:tcBorders>
              <w:top w:val="single" w:color="auto" w:sz="2" w:space="0"/>
              <w:left w:val="single" w:color="auto" w:sz="2" w:space="0"/>
              <w:bottom w:val="single" w:color="auto" w:sz="2" w:space="0"/>
            </w:tcBorders>
            <w:vAlign w:val="center"/>
          </w:tcPr>
          <w:p w14:paraId="286FB1D2">
            <w:pPr>
              <w:adjustRightInd w:val="0"/>
              <w:snapToGrid w:val="0"/>
              <w:spacing w:line="300" w:lineRule="exact"/>
              <w:jc w:val="center"/>
              <w:rPr>
                <w:color w:val="auto"/>
                <w:spacing w:val="20"/>
                <w:szCs w:val="21"/>
                <w:highlight w:val="none"/>
              </w:rPr>
            </w:pPr>
          </w:p>
        </w:tc>
      </w:tr>
      <w:tr w14:paraId="6CCC545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0" w:type="dxa"/>
            <w:tcBorders>
              <w:top w:val="single" w:color="auto" w:sz="2" w:space="0"/>
              <w:bottom w:val="single" w:color="auto" w:sz="2" w:space="0"/>
              <w:right w:val="single" w:color="auto" w:sz="2" w:space="0"/>
            </w:tcBorders>
            <w:vAlign w:val="center"/>
          </w:tcPr>
          <w:p w14:paraId="43AB5420">
            <w:pPr>
              <w:adjustRightInd w:val="0"/>
              <w:snapToGrid w:val="0"/>
              <w:spacing w:line="300" w:lineRule="exact"/>
              <w:jc w:val="center"/>
              <w:rPr>
                <w:color w:val="auto"/>
                <w:szCs w:val="21"/>
                <w:highlight w:val="none"/>
              </w:rPr>
            </w:pPr>
            <w:r>
              <w:rPr>
                <w:rFonts w:hint="eastAsia"/>
                <w:color w:val="auto"/>
                <w:szCs w:val="21"/>
                <w:highlight w:val="none"/>
              </w:rPr>
              <w:t>统一社会信用代码</w:t>
            </w:r>
          </w:p>
        </w:tc>
        <w:tc>
          <w:tcPr>
            <w:tcW w:w="2716" w:type="dxa"/>
            <w:tcBorders>
              <w:top w:val="single" w:color="auto" w:sz="2" w:space="0"/>
              <w:left w:val="single" w:color="auto" w:sz="2" w:space="0"/>
              <w:bottom w:val="single" w:color="auto" w:sz="2" w:space="0"/>
              <w:right w:val="single" w:color="auto" w:sz="2" w:space="0"/>
            </w:tcBorders>
            <w:vAlign w:val="center"/>
          </w:tcPr>
          <w:p w14:paraId="6457F09F">
            <w:pPr>
              <w:adjustRightInd w:val="0"/>
              <w:snapToGrid w:val="0"/>
              <w:spacing w:line="300" w:lineRule="exact"/>
              <w:jc w:val="center"/>
              <w:rPr>
                <w:color w:val="auto"/>
                <w:szCs w:val="21"/>
                <w:highlight w:val="none"/>
              </w:rPr>
            </w:pPr>
          </w:p>
        </w:tc>
        <w:tc>
          <w:tcPr>
            <w:tcW w:w="2228" w:type="dxa"/>
            <w:tcBorders>
              <w:top w:val="single" w:color="auto" w:sz="2" w:space="0"/>
              <w:left w:val="single" w:color="auto" w:sz="2" w:space="0"/>
              <w:bottom w:val="single" w:color="auto" w:sz="2" w:space="0"/>
              <w:right w:val="single" w:color="auto" w:sz="2" w:space="0"/>
            </w:tcBorders>
            <w:vAlign w:val="center"/>
          </w:tcPr>
          <w:p w14:paraId="364DC317">
            <w:pPr>
              <w:adjustRightInd w:val="0"/>
              <w:snapToGrid w:val="0"/>
              <w:spacing w:line="300" w:lineRule="exact"/>
              <w:jc w:val="center"/>
              <w:rPr>
                <w:color w:val="auto"/>
                <w:szCs w:val="21"/>
                <w:highlight w:val="none"/>
              </w:rPr>
            </w:pPr>
            <w:r>
              <w:rPr>
                <w:rFonts w:hint="eastAsia"/>
                <w:color w:val="auto"/>
                <w:szCs w:val="21"/>
                <w:highlight w:val="none"/>
              </w:rPr>
              <w:t>统一社会信用代码</w:t>
            </w:r>
          </w:p>
        </w:tc>
        <w:tc>
          <w:tcPr>
            <w:tcW w:w="2383" w:type="dxa"/>
            <w:tcBorders>
              <w:top w:val="single" w:color="auto" w:sz="2" w:space="0"/>
              <w:left w:val="single" w:color="auto" w:sz="2" w:space="0"/>
              <w:bottom w:val="single" w:color="auto" w:sz="2" w:space="0"/>
            </w:tcBorders>
            <w:vAlign w:val="center"/>
          </w:tcPr>
          <w:p w14:paraId="3A9265A7">
            <w:pPr>
              <w:adjustRightInd w:val="0"/>
              <w:snapToGrid w:val="0"/>
              <w:spacing w:line="300" w:lineRule="exact"/>
              <w:jc w:val="center"/>
              <w:rPr>
                <w:color w:val="auto"/>
                <w:spacing w:val="20"/>
                <w:szCs w:val="21"/>
                <w:highlight w:val="none"/>
              </w:rPr>
            </w:pPr>
          </w:p>
        </w:tc>
      </w:tr>
      <w:tr w14:paraId="400B3F6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0" w:type="dxa"/>
            <w:tcBorders>
              <w:top w:val="single" w:color="auto" w:sz="2" w:space="0"/>
              <w:bottom w:val="single" w:color="auto" w:sz="2" w:space="0"/>
              <w:right w:val="single" w:color="auto" w:sz="2" w:space="0"/>
            </w:tcBorders>
            <w:vAlign w:val="center"/>
          </w:tcPr>
          <w:p w14:paraId="0C598AB0">
            <w:pPr>
              <w:adjustRightInd w:val="0"/>
              <w:snapToGrid w:val="0"/>
              <w:spacing w:line="300" w:lineRule="exact"/>
              <w:jc w:val="center"/>
              <w:rPr>
                <w:color w:val="auto"/>
                <w:szCs w:val="21"/>
                <w:highlight w:val="none"/>
              </w:rPr>
            </w:pPr>
          </w:p>
        </w:tc>
        <w:tc>
          <w:tcPr>
            <w:tcW w:w="2716" w:type="dxa"/>
            <w:tcBorders>
              <w:top w:val="single" w:color="auto" w:sz="2" w:space="0"/>
              <w:left w:val="single" w:color="auto" w:sz="2" w:space="0"/>
              <w:bottom w:val="single" w:color="auto" w:sz="2" w:space="0"/>
              <w:right w:val="single" w:color="auto" w:sz="2" w:space="0"/>
            </w:tcBorders>
            <w:vAlign w:val="center"/>
          </w:tcPr>
          <w:p w14:paraId="4A0A4B2D">
            <w:pPr>
              <w:adjustRightInd w:val="0"/>
              <w:snapToGrid w:val="0"/>
              <w:spacing w:line="300" w:lineRule="exact"/>
              <w:jc w:val="center"/>
              <w:rPr>
                <w:color w:val="auto"/>
                <w:szCs w:val="21"/>
                <w:highlight w:val="none"/>
              </w:rPr>
            </w:pPr>
          </w:p>
        </w:tc>
        <w:tc>
          <w:tcPr>
            <w:tcW w:w="2228" w:type="dxa"/>
            <w:tcBorders>
              <w:top w:val="single" w:color="auto" w:sz="2" w:space="0"/>
              <w:left w:val="single" w:color="auto" w:sz="2" w:space="0"/>
              <w:bottom w:val="single" w:color="auto" w:sz="2" w:space="0"/>
              <w:right w:val="single" w:color="auto" w:sz="2" w:space="0"/>
            </w:tcBorders>
            <w:vAlign w:val="center"/>
          </w:tcPr>
          <w:p w14:paraId="5D3001F8">
            <w:pPr>
              <w:adjustRightInd w:val="0"/>
              <w:snapToGrid w:val="0"/>
              <w:spacing w:line="300" w:lineRule="exact"/>
              <w:jc w:val="center"/>
              <w:rPr>
                <w:color w:val="auto"/>
                <w:szCs w:val="21"/>
                <w:highlight w:val="none"/>
              </w:rPr>
            </w:pPr>
            <w:r>
              <w:rPr>
                <w:color w:val="auto"/>
                <w:szCs w:val="21"/>
                <w:highlight w:val="none"/>
              </w:rPr>
              <w:t>开户名称</w:t>
            </w:r>
          </w:p>
        </w:tc>
        <w:tc>
          <w:tcPr>
            <w:tcW w:w="2383" w:type="dxa"/>
            <w:tcBorders>
              <w:top w:val="single" w:color="auto" w:sz="2" w:space="0"/>
              <w:left w:val="single" w:color="auto" w:sz="2" w:space="0"/>
              <w:bottom w:val="single" w:color="auto" w:sz="2" w:space="0"/>
            </w:tcBorders>
            <w:vAlign w:val="center"/>
          </w:tcPr>
          <w:p w14:paraId="4332AD04">
            <w:pPr>
              <w:adjustRightInd w:val="0"/>
              <w:snapToGrid w:val="0"/>
              <w:spacing w:line="300" w:lineRule="exact"/>
              <w:jc w:val="center"/>
              <w:rPr>
                <w:color w:val="auto"/>
                <w:spacing w:val="20"/>
                <w:szCs w:val="21"/>
                <w:highlight w:val="none"/>
              </w:rPr>
            </w:pPr>
          </w:p>
        </w:tc>
      </w:tr>
      <w:tr w14:paraId="165C8A0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0" w:type="dxa"/>
            <w:tcBorders>
              <w:top w:val="single" w:color="auto" w:sz="2" w:space="0"/>
              <w:bottom w:val="single" w:color="auto" w:sz="2" w:space="0"/>
              <w:right w:val="single" w:color="auto" w:sz="2" w:space="0"/>
            </w:tcBorders>
            <w:vAlign w:val="center"/>
          </w:tcPr>
          <w:p w14:paraId="0FAE37D4">
            <w:pPr>
              <w:adjustRightInd w:val="0"/>
              <w:snapToGrid w:val="0"/>
              <w:spacing w:line="300" w:lineRule="exact"/>
              <w:jc w:val="center"/>
              <w:rPr>
                <w:color w:val="auto"/>
                <w:szCs w:val="21"/>
                <w:highlight w:val="none"/>
              </w:rPr>
            </w:pPr>
          </w:p>
        </w:tc>
        <w:tc>
          <w:tcPr>
            <w:tcW w:w="2716" w:type="dxa"/>
            <w:tcBorders>
              <w:top w:val="single" w:color="auto" w:sz="2" w:space="0"/>
              <w:left w:val="single" w:color="auto" w:sz="2" w:space="0"/>
              <w:bottom w:val="single" w:color="auto" w:sz="2" w:space="0"/>
              <w:right w:val="single" w:color="auto" w:sz="2" w:space="0"/>
            </w:tcBorders>
            <w:vAlign w:val="center"/>
          </w:tcPr>
          <w:p w14:paraId="11C7E9A0">
            <w:pPr>
              <w:adjustRightInd w:val="0"/>
              <w:snapToGrid w:val="0"/>
              <w:spacing w:line="300" w:lineRule="exact"/>
              <w:jc w:val="center"/>
              <w:rPr>
                <w:color w:val="auto"/>
                <w:szCs w:val="21"/>
                <w:highlight w:val="none"/>
              </w:rPr>
            </w:pPr>
          </w:p>
        </w:tc>
        <w:tc>
          <w:tcPr>
            <w:tcW w:w="2228" w:type="dxa"/>
            <w:tcBorders>
              <w:top w:val="single" w:color="auto" w:sz="2" w:space="0"/>
              <w:left w:val="single" w:color="auto" w:sz="2" w:space="0"/>
              <w:bottom w:val="single" w:color="auto" w:sz="2" w:space="0"/>
              <w:right w:val="single" w:color="auto" w:sz="2" w:space="0"/>
            </w:tcBorders>
            <w:vAlign w:val="center"/>
          </w:tcPr>
          <w:p w14:paraId="60F1ADF7">
            <w:pPr>
              <w:adjustRightInd w:val="0"/>
              <w:snapToGrid w:val="0"/>
              <w:spacing w:line="300" w:lineRule="exact"/>
              <w:jc w:val="center"/>
              <w:rPr>
                <w:color w:val="auto"/>
                <w:szCs w:val="21"/>
                <w:highlight w:val="none"/>
              </w:rPr>
            </w:pPr>
            <w:r>
              <w:rPr>
                <w:color w:val="auto"/>
                <w:szCs w:val="21"/>
                <w:highlight w:val="none"/>
              </w:rPr>
              <w:t>开户银行</w:t>
            </w:r>
          </w:p>
        </w:tc>
        <w:tc>
          <w:tcPr>
            <w:tcW w:w="2383" w:type="dxa"/>
            <w:tcBorders>
              <w:top w:val="single" w:color="auto" w:sz="2" w:space="0"/>
              <w:left w:val="single" w:color="auto" w:sz="2" w:space="0"/>
              <w:bottom w:val="single" w:color="auto" w:sz="2" w:space="0"/>
            </w:tcBorders>
            <w:vAlign w:val="center"/>
          </w:tcPr>
          <w:p w14:paraId="4EAFEAF4">
            <w:pPr>
              <w:adjustRightInd w:val="0"/>
              <w:snapToGrid w:val="0"/>
              <w:spacing w:line="300" w:lineRule="exact"/>
              <w:jc w:val="center"/>
              <w:rPr>
                <w:color w:val="auto"/>
                <w:spacing w:val="20"/>
                <w:szCs w:val="21"/>
                <w:highlight w:val="none"/>
              </w:rPr>
            </w:pPr>
          </w:p>
        </w:tc>
      </w:tr>
      <w:tr w14:paraId="4D0C635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0" w:type="dxa"/>
            <w:tcBorders>
              <w:top w:val="single" w:color="auto" w:sz="2" w:space="0"/>
              <w:bottom w:val="single" w:color="auto" w:sz="2" w:space="0"/>
              <w:right w:val="single" w:color="auto" w:sz="2" w:space="0"/>
            </w:tcBorders>
            <w:vAlign w:val="center"/>
          </w:tcPr>
          <w:p w14:paraId="245A641D">
            <w:pPr>
              <w:adjustRightInd w:val="0"/>
              <w:snapToGrid w:val="0"/>
              <w:spacing w:line="300" w:lineRule="exact"/>
              <w:jc w:val="center"/>
              <w:rPr>
                <w:color w:val="auto"/>
                <w:szCs w:val="21"/>
                <w:highlight w:val="none"/>
              </w:rPr>
            </w:pPr>
          </w:p>
        </w:tc>
        <w:tc>
          <w:tcPr>
            <w:tcW w:w="2716" w:type="dxa"/>
            <w:tcBorders>
              <w:top w:val="single" w:color="auto" w:sz="2" w:space="0"/>
              <w:left w:val="single" w:color="auto" w:sz="2" w:space="0"/>
              <w:bottom w:val="single" w:color="auto" w:sz="2" w:space="0"/>
              <w:right w:val="single" w:color="auto" w:sz="2" w:space="0"/>
            </w:tcBorders>
            <w:vAlign w:val="center"/>
          </w:tcPr>
          <w:p w14:paraId="261B134B">
            <w:pPr>
              <w:adjustRightInd w:val="0"/>
              <w:snapToGrid w:val="0"/>
              <w:spacing w:line="300" w:lineRule="exact"/>
              <w:jc w:val="center"/>
              <w:rPr>
                <w:color w:val="auto"/>
                <w:szCs w:val="21"/>
                <w:highlight w:val="none"/>
              </w:rPr>
            </w:pPr>
          </w:p>
        </w:tc>
        <w:tc>
          <w:tcPr>
            <w:tcW w:w="2228" w:type="dxa"/>
            <w:tcBorders>
              <w:top w:val="single" w:color="auto" w:sz="2" w:space="0"/>
              <w:left w:val="single" w:color="auto" w:sz="2" w:space="0"/>
              <w:bottom w:val="single" w:color="auto" w:sz="2" w:space="0"/>
              <w:right w:val="single" w:color="auto" w:sz="2" w:space="0"/>
            </w:tcBorders>
            <w:vAlign w:val="center"/>
          </w:tcPr>
          <w:p w14:paraId="0E4153C1">
            <w:pPr>
              <w:adjustRightInd w:val="0"/>
              <w:snapToGrid w:val="0"/>
              <w:spacing w:line="300" w:lineRule="exact"/>
              <w:jc w:val="center"/>
              <w:rPr>
                <w:color w:val="auto"/>
                <w:szCs w:val="21"/>
                <w:highlight w:val="none"/>
              </w:rPr>
            </w:pPr>
            <w:r>
              <w:rPr>
                <w:color w:val="auto"/>
                <w:szCs w:val="21"/>
                <w:highlight w:val="none"/>
              </w:rPr>
              <w:t>银行账号</w:t>
            </w:r>
          </w:p>
        </w:tc>
        <w:tc>
          <w:tcPr>
            <w:tcW w:w="2383" w:type="dxa"/>
            <w:tcBorders>
              <w:top w:val="single" w:color="auto" w:sz="2" w:space="0"/>
              <w:left w:val="single" w:color="auto" w:sz="2" w:space="0"/>
              <w:bottom w:val="single" w:color="auto" w:sz="2" w:space="0"/>
            </w:tcBorders>
            <w:vAlign w:val="center"/>
          </w:tcPr>
          <w:p w14:paraId="21E8397D">
            <w:pPr>
              <w:adjustRightInd w:val="0"/>
              <w:snapToGrid w:val="0"/>
              <w:spacing w:line="300" w:lineRule="exact"/>
              <w:jc w:val="center"/>
              <w:rPr>
                <w:color w:val="auto"/>
                <w:spacing w:val="20"/>
                <w:szCs w:val="21"/>
                <w:highlight w:val="none"/>
              </w:rPr>
            </w:pPr>
          </w:p>
        </w:tc>
      </w:tr>
      <w:tr w14:paraId="5EEB338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9457" w:type="dxa"/>
            <w:gridSpan w:val="4"/>
            <w:tcBorders>
              <w:top w:val="single" w:color="auto" w:sz="2" w:space="0"/>
            </w:tcBorders>
            <w:vAlign w:val="center"/>
          </w:tcPr>
          <w:p w14:paraId="00D67EB5">
            <w:pPr>
              <w:pStyle w:val="6"/>
              <w:adjustRightInd w:val="0"/>
              <w:spacing w:beforeLines="50" w:line="360" w:lineRule="auto"/>
              <w:jc w:val="left"/>
              <w:rPr>
                <w:color w:val="auto"/>
                <w:spacing w:val="20"/>
                <w:sz w:val="21"/>
                <w:szCs w:val="21"/>
                <w:highlight w:val="none"/>
              </w:rPr>
            </w:pPr>
            <w:r>
              <w:rPr>
                <w:rFonts w:hint="eastAsia" w:ascii="宋体" w:hAnsi="宋体"/>
                <w:color w:val="auto"/>
                <w:sz w:val="21"/>
                <w:szCs w:val="21"/>
                <w:highlight w:val="none"/>
              </w:rPr>
              <w:t>注：涉及联合体或其他合同主体的信息应按上表格式加列。</w:t>
            </w:r>
          </w:p>
        </w:tc>
      </w:tr>
    </w:tbl>
    <w:p w14:paraId="10AD28F5">
      <w:pPr>
        <w:pStyle w:val="3"/>
        <w:adjustRightInd w:val="0"/>
        <w:snapToGrid w:val="0"/>
        <w:spacing w:beforeLines="50"/>
        <w:jc w:val="center"/>
        <w:rPr>
          <w:rFonts w:ascii="黑体" w:hAnsi="黑体" w:eastAsia="黑体"/>
          <w:color w:val="auto"/>
          <w:sz w:val="28"/>
          <w:szCs w:val="28"/>
          <w:highlight w:val="none"/>
        </w:rPr>
      </w:pPr>
      <w:r>
        <w:rPr>
          <w:rFonts w:ascii="宋体" w:hAnsi="宋体"/>
          <w:color w:val="auto"/>
          <w:sz w:val="21"/>
          <w:szCs w:val="21"/>
          <w:highlight w:val="none"/>
          <w:u w:val="single"/>
        </w:rPr>
        <w:br w:type="page"/>
      </w:r>
      <w:bookmarkStart w:id="52" w:name="_Toc27624"/>
      <w:bookmarkStart w:id="53" w:name="_Toc209083649"/>
      <w:bookmarkStart w:id="54" w:name="_Toc191287886"/>
      <w:r>
        <w:rPr>
          <w:rFonts w:hint="eastAsia" w:ascii="黑体" w:hAnsi="黑体" w:eastAsia="黑体"/>
          <w:b w:val="0"/>
          <w:bCs w:val="0"/>
          <w:color w:val="auto"/>
          <w:sz w:val="28"/>
          <w:szCs w:val="28"/>
          <w:highlight w:val="none"/>
        </w:rPr>
        <w:t>第二节 政府采购合同通用条款</w:t>
      </w:r>
      <w:bookmarkEnd w:id="52"/>
      <w:bookmarkEnd w:id="53"/>
      <w:bookmarkEnd w:id="54"/>
    </w:p>
    <w:p w14:paraId="3AF44890">
      <w:pPr>
        <w:tabs>
          <w:tab w:val="left" w:pos="8820"/>
          <w:tab w:val="left" w:pos="9345"/>
          <w:tab w:val="left" w:pos="9765"/>
        </w:tabs>
        <w:adjustRightInd w:val="0"/>
        <w:snapToGrid w:val="0"/>
        <w:spacing w:line="400" w:lineRule="exact"/>
        <w:jc w:val="left"/>
        <w:rPr>
          <w:rFonts w:ascii="宋体" w:hAnsi="宋体"/>
          <w:b/>
          <w:bCs/>
          <w:color w:val="auto"/>
          <w:sz w:val="24"/>
          <w:highlight w:val="none"/>
        </w:rPr>
      </w:pPr>
      <w:r>
        <w:rPr>
          <w:rFonts w:hint="eastAsia" w:ascii="宋体" w:hAnsi="宋体"/>
          <w:b/>
          <w:color w:val="auto"/>
          <w:sz w:val="24"/>
          <w:highlight w:val="none"/>
        </w:rPr>
        <w:t xml:space="preserve">1. </w:t>
      </w:r>
      <w:r>
        <w:rPr>
          <w:rFonts w:hint="eastAsia" w:ascii="宋体" w:hAnsi="宋体"/>
          <w:b/>
          <w:bCs/>
          <w:color w:val="auto"/>
          <w:sz w:val="24"/>
          <w:highlight w:val="none"/>
        </w:rPr>
        <w:t>定义</w:t>
      </w:r>
    </w:p>
    <w:p w14:paraId="0BED5B4C">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1.1合同当事人</w:t>
      </w:r>
    </w:p>
    <w:p w14:paraId="514D412D">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（1）采购人（以下称甲方）是指使用财政性资金，通过政府采购方式向供应商购买货物及其相关服务的国家机关、事业单位、团体组织。</w:t>
      </w:r>
    </w:p>
    <w:p w14:paraId="5D35BA0D">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（2）供应商（以下称乙方）是指参加政府采购活动并且中标（成交），向采购人提供合同约定的货物及其相关服务的法人、非法人组织或者自然人。</w:t>
      </w:r>
    </w:p>
    <w:p w14:paraId="67FD87E6">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（3）其他合同主体是指除采购人和供应商以外，</w:t>
      </w:r>
      <w:r>
        <w:rPr>
          <w:rFonts w:hint="eastAsia" w:ascii="宋体" w:hAnsi="宋体" w:cs="宋体"/>
          <w:bCs/>
          <w:color w:val="auto"/>
          <w:szCs w:val="21"/>
          <w:highlight w:val="none"/>
        </w:rPr>
        <w:t>依法参与合同缔结或履行，享有权利、承担义务的合同当事人</w:t>
      </w:r>
      <w:r>
        <w:rPr>
          <w:rFonts w:hint="eastAsia" w:ascii="宋体" w:hAnsi="宋体"/>
          <w:color w:val="auto"/>
          <w:szCs w:val="21"/>
          <w:highlight w:val="none"/>
        </w:rPr>
        <w:t>。</w:t>
      </w:r>
    </w:p>
    <w:p w14:paraId="01FC7E7E">
      <w:pPr>
        <w:tabs>
          <w:tab w:val="left" w:pos="570"/>
          <w:tab w:val="left" w:pos="9240"/>
          <w:tab w:val="left" w:pos="9555"/>
        </w:tabs>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1.2本合同下列术语应解释为：</w:t>
      </w:r>
    </w:p>
    <w:p w14:paraId="6C1B945E">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（1）“合同”系指</w:t>
      </w:r>
      <w:r>
        <w:rPr>
          <w:rFonts w:hint="eastAsia" w:ascii="宋体" w:hAnsi="宋体" w:cs="宋体"/>
          <w:bCs/>
          <w:color w:val="auto"/>
          <w:szCs w:val="21"/>
          <w:highlight w:val="none"/>
        </w:rPr>
        <w:t>合同当事人意思表示达成一致的任何协议，包括签署的</w:t>
      </w:r>
      <w:r>
        <w:rPr>
          <w:rFonts w:hint="eastAsia" w:ascii="宋体" w:hAnsi="宋体"/>
          <w:color w:val="auto"/>
          <w:szCs w:val="21"/>
          <w:highlight w:val="none"/>
        </w:rPr>
        <w:t>政府采购合同协议书及其变更、补充协议，政府采购合同专用条款，政府采购合同通用条款，中标（成交）通知书，投标（响应）文件，采购文件，有关技术文件和图纸，以及</w:t>
      </w:r>
      <w:r>
        <w:rPr>
          <w:rFonts w:hint="eastAsia" w:ascii="宋体" w:hAnsi="宋体" w:cs="宋体"/>
          <w:color w:val="auto"/>
          <w:szCs w:val="21"/>
          <w:highlight w:val="none"/>
        </w:rPr>
        <w:t>国家法律、行政法规和规章制度规定或合同约定的作为合同组成部分的其他文件</w:t>
      </w:r>
      <w:r>
        <w:rPr>
          <w:rFonts w:hint="eastAsia" w:ascii="宋体" w:hAnsi="宋体"/>
          <w:color w:val="auto"/>
          <w:szCs w:val="21"/>
          <w:highlight w:val="none"/>
        </w:rPr>
        <w:t>。</w:t>
      </w:r>
    </w:p>
    <w:p w14:paraId="7629A642">
      <w:pPr>
        <w:tabs>
          <w:tab w:val="left" w:pos="570"/>
          <w:tab w:val="left" w:pos="9240"/>
          <w:tab w:val="left" w:pos="9555"/>
        </w:tabs>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（2）“合同价款”系指根据本合同规定乙方在全面履行合同义务后甲方应支付给乙方的价款。</w:t>
      </w:r>
    </w:p>
    <w:p w14:paraId="3DC7E8E1">
      <w:pPr>
        <w:tabs>
          <w:tab w:val="left" w:pos="570"/>
          <w:tab w:val="left" w:pos="9240"/>
          <w:tab w:val="left" w:pos="9555"/>
        </w:tabs>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（3）“货物”系指乙方根据本合同规定须向甲方提供的各种形态和种类的物品，包括原材料、设备、产品（包括软件）及相关的其备品备件、工具、手册及</w:t>
      </w:r>
      <w:r>
        <w:rPr>
          <w:rFonts w:ascii="宋体" w:hAnsi="宋体"/>
          <w:color w:val="auto"/>
          <w:szCs w:val="21"/>
          <w:highlight w:val="none"/>
        </w:rPr>
        <w:t>其他</w:t>
      </w:r>
      <w:r>
        <w:rPr>
          <w:rFonts w:hint="eastAsia" w:ascii="宋体" w:hAnsi="宋体"/>
          <w:color w:val="auto"/>
          <w:szCs w:val="21"/>
          <w:highlight w:val="none"/>
        </w:rPr>
        <w:t>技术资料和材料等。</w:t>
      </w:r>
    </w:p>
    <w:p w14:paraId="1B9ECB4C">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（4）“相关服务”系指根据合同规定，乙方应提供的与货物有关的技术、管理和</w:t>
      </w:r>
      <w:r>
        <w:rPr>
          <w:rFonts w:ascii="宋体" w:hAnsi="宋体"/>
          <w:color w:val="auto"/>
          <w:szCs w:val="21"/>
          <w:highlight w:val="none"/>
        </w:rPr>
        <w:t>其他</w:t>
      </w:r>
      <w:r>
        <w:rPr>
          <w:rFonts w:hint="eastAsia" w:ascii="宋体" w:hAnsi="宋体"/>
          <w:color w:val="auto"/>
          <w:szCs w:val="21"/>
          <w:highlight w:val="none"/>
        </w:rPr>
        <w:t>服务，包括但不限于：管理和质量保证、运输、保险、检验、现场准备、安装、集成、调试、培训、维修、废弃处置、技术支持等以及合同中规定乙方应承担的</w:t>
      </w:r>
      <w:r>
        <w:rPr>
          <w:rFonts w:ascii="宋体" w:hAnsi="宋体"/>
          <w:color w:val="auto"/>
          <w:szCs w:val="21"/>
          <w:highlight w:val="none"/>
        </w:rPr>
        <w:t>其他</w:t>
      </w:r>
      <w:r>
        <w:rPr>
          <w:rFonts w:hint="eastAsia" w:ascii="宋体" w:hAnsi="宋体"/>
          <w:color w:val="auto"/>
          <w:szCs w:val="21"/>
          <w:highlight w:val="none"/>
        </w:rPr>
        <w:t>义务。</w:t>
      </w:r>
    </w:p>
    <w:p w14:paraId="454B5945">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（5）“分包”系指中标（成交）供应商按采购文件、投标（响应）文件的规定，根据分包意向协议，将中标（成交）项目中的部分履约内容，分给具有相应资质条件的供应商履行合同的行为。</w:t>
      </w:r>
    </w:p>
    <w:p w14:paraId="2A7690D1">
      <w:pPr>
        <w:tabs>
          <w:tab w:val="left" w:pos="570"/>
          <w:tab w:val="left" w:pos="9240"/>
          <w:tab w:val="left" w:pos="9555"/>
        </w:tabs>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color w:val="auto"/>
          <w:szCs w:val="21"/>
          <w:highlight w:val="none"/>
        </w:rPr>
        <w:t>政府采购合同专用条款</w:t>
      </w:r>
      <w:r>
        <w:rPr>
          <w:rFonts w:hint="eastAsia" w:ascii="宋体" w:hAnsi="宋体"/>
          <w:color w:val="auto"/>
          <w:szCs w:val="21"/>
          <w:highlight w:val="none"/>
        </w:rPr>
        <w:t>】。</w:t>
      </w:r>
    </w:p>
    <w:p w14:paraId="2F3DA785">
      <w:pPr>
        <w:tabs>
          <w:tab w:val="left" w:pos="570"/>
          <w:tab w:val="left" w:pos="9240"/>
          <w:tab w:val="left" w:pos="9555"/>
        </w:tabs>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（7）其他术语解释，见【</w:t>
      </w:r>
      <w:r>
        <w:rPr>
          <w:rFonts w:hint="eastAsia" w:ascii="宋体" w:hAnsi="宋体"/>
          <w:b/>
          <w:bCs/>
          <w:color w:val="auto"/>
          <w:szCs w:val="21"/>
          <w:highlight w:val="none"/>
        </w:rPr>
        <w:t>政府采购合同专用条款</w:t>
      </w:r>
      <w:r>
        <w:rPr>
          <w:rFonts w:hint="eastAsia" w:ascii="宋体" w:hAnsi="宋体"/>
          <w:color w:val="auto"/>
          <w:szCs w:val="21"/>
          <w:highlight w:val="none"/>
        </w:rPr>
        <w:t>】。</w:t>
      </w:r>
    </w:p>
    <w:p w14:paraId="2620B26B">
      <w:pPr>
        <w:widowControl w:val="0"/>
        <w:numPr>
          <w:ilvl w:val="0"/>
          <w:numId w:val="5"/>
        </w:numPr>
        <w:autoSpaceDE w:val="0"/>
        <w:autoSpaceDN w:val="0"/>
        <w:adjustRightInd w:val="0"/>
        <w:snapToGrid w:val="0"/>
        <w:spacing w:line="400" w:lineRule="exact"/>
        <w:jc w:val="left"/>
        <w:textAlignment w:val="auto"/>
        <w:rPr>
          <w:rFonts w:ascii="宋体" w:hAnsi="宋体"/>
          <w:b/>
          <w:bCs/>
          <w:color w:val="auto"/>
          <w:sz w:val="24"/>
          <w:highlight w:val="none"/>
        </w:rPr>
      </w:pPr>
      <w:r>
        <w:rPr>
          <w:rFonts w:hint="eastAsia" w:ascii="宋体" w:hAnsi="宋体"/>
          <w:b/>
          <w:color w:val="auto"/>
          <w:sz w:val="24"/>
          <w:highlight w:val="none"/>
        </w:rPr>
        <w:t>合同标的及金额</w:t>
      </w:r>
    </w:p>
    <w:p w14:paraId="3301053E">
      <w:pPr>
        <w:autoSpaceDE w:val="0"/>
        <w:autoSpaceDN w:val="0"/>
        <w:adjustRightInd w:val="0"/>
        <w:snapToGrid w:val="0"/>
        <w:spacing w:line="400" w:lineRule="exact"/>
        <w:ind w:firstLine="420" w:firstLineChars="200"/>
        <w:jc w:val="left"/>
        <w:rPr>
          <w:rFonts w:ascii="宋体" w:hAnsi="宋体"/>
          <w:b/>
          <w:bCs/>
          <w:i/>
          <w:iCs/>
          <w:color w:val="auto"/>
          <w:szCs w:val="21"/>
          <w:highlight w:val="none"/>
        </w:rPr>
      </w:pPr>
      <w:r>
        <w:rPr>
          <w:rFonts w:hint="eastAsia" w:ascii="宋体" w:hAnsi="宋体"/>
          <w:color w:val="auto"/>
          <w:szCs w:val="21"/>
          <w:highlight w:val="none"/>
        </w:rPr>
        <w:t>2.1 合同标的及金额应与中标（成交）结果一致。乙方为履行本合同而发生的所有费用均应包含在合同价款中，甲方不再另行支付</w:t>
      </w:r>
      <w:r>
        <w:rPr>
          <w:rFonts w:ascii="宋体" w:hAnsi="宋体"/>
          <w:color w:val="auto"/>
          <w:szCs w:val="21"/>
          <w:highlight w:val="none"/>
        </w:rPr>
        <w:t>其他</w:t>
      </w:r>
      <w:r>
        <w:rPr>
          <w:rFonts w:hint="eastAsia" w:ascii="宋体" w:hAnsi="宋体"/>
          <w:color w:val="auto"/>
          <w:szCs w:val="21"/>
          <w:highlight w:val="none"/>
        </w:rPr>
        <w:t>任何费用。</w:t>
      </w:r>
    </w:p>
    <w:p w14:paraId="1CFDCFF3">
      <w:pPr>
        <w:adjustRightInd w:val="0"/>
        <w:snapToGrid w:val="0"/>
        <w:spacing w:line="400" w:lineRule="exact"/>
        <w:jc w:val="left"/>
        <w:rPr>
          <w:rFonts w:ascii="宋体" w:hAnsi="宋体"/>
          <w:b/>
          <w:color w:val="auto"/>
          <w:sz w:val="24"/>
          <w:highlight w:val="none"/>
        </w:rPr>
      </w:pPr>
      <w:r>
        <w:rPr>
          <w:rFonts w:hint="eastAsia" w:ascii="宋体" w:hAnsi="宋体"/>
          <w:b/>
          <w:color w:val="auto"/>
          <w:sz w:val="24"/>
          <w:highlight w:val="none"/>
        </w:rPr>
        <w:t>3. 履行合同的时间、地点和方式</w:t>
      </w:r>
    </w:p>
    <w:p w14:paraId="2986AD5F">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3.1 </w:t>
      </w:r>
      <w:r>
        <w:rPr>
          <w:rFonts w:hint="eastAsia" w:ascii="宋体" w:hAnsi="宋体" w:cs="宋体"/>
          <w:color w:val="auto"/>
          <w:szCs w:val="21"/>
          <w:highlight w:val="none"/>
        </w:rPr>
        <w:t>乙方应当在约定的时间、地点，按照约定方式履行合同。</w:t>
      </w:r>
    </w:p>
    <w:p w14:paraId="231019B8">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4. 甲方的权利和义务</w:t>
      </w:r>
    </w:p>
    <w:p w14:paraId="335754E0">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4.1</w:t>
      </w:r>
      <w:r>
        <w:rPr>
          <w:rFonts w:ascii="宋体" w:hAnsi="宋体"/>
          <w:color w:val="auto"/>
          <w:szCs w:val="21"/>
          <w:highlight w:val="none"/>
        </w:rPr>
        <w:t xml:space="preserve"> 签署合同后，甲方</w:t>
      </w:r>
      <w:r>
        <w:rPr>
          <w:rFonts w:hint="eastAsia" w:ascii="宋体" w:hAnsi="宋体"/>
          <w:color w:val="auto"/>
          <w:szCs w:val="21"/>
          <w:highlight w:val="none"/>
        </w:rPr>
        <w:t>应</w:t>
      </w:r>
      <w:r>
        <w:rPr>
          <w:rFonts w:ascii="宋体" w:hAnsi="宋体"/>
          <w:color w:val="auto"/>
          <w:szCs w:val="21"/>
          <w:highlight w:val="none"/>
        </w:rPr>
        <w:t>确定</w:t>
      </w:r>
      <w:r>
        <w:rPr>
          <w:rFonts w:hint="eastAsia" w:ascii="宋体" w:hAnsi="宋体"/>
          <w:color w:val="auto"/>
          <w:szCs w:val="21"/>
          <w:highlight w:val="none"/>
        </w:rPr>
        <w:t>项目负责人（或项目联系人）</w:t>
      </w:r>
      <w:r>
        <w:rPr>
          <w:rFonts w:ascii="宋体" w:hAnsi="宋体"/>
          <w:color w:val="auto"/>
          <w:szCs w:val="21"/>
          <w:highlight w:val="none"/>
        </w:rPr>
        <w:t>，负责与本合同有关的事务。</w:t>
      </w:r>
      <w:r>
        <w:rPr>
          <w:rFonts w:hint="eastAsia" w:ascii="宋体" w:hAnsi="宋体"/>
          <w:color w:val="auto"/>
          <w:szCs w:val="21"/>
          <w:highlight w:val="none"/>
        </w:rPr>
        <w:t>甲方有权对乙方的履约行为进行检查，并</w:t>
      </w:r>
      <w:r>
        <w:rPr>
          <w:rFonts w:ascii="宋体" w:hAnsi="宋体"/>
          <w:color w:val="auto"/>
          <w:szCs w:val="21"/>
          <w:highlight w:val="none"/>
        </w:rPr>
        <w:t>及时确认乙方提交的事项</w:t>
      </w:r>
      <w:r>
        <w:rPr>
          <w:rFonts w:hint="eastAsia" w:ascii="宋体" w:hAnsi="宋体"/>
          <w:color w:val="auto"/>
          <w:szCs w:val="21"/>
          <w:highlight w:val="none"/>
        </w:rPr>
        <w:t>。甲方应当</w:t>
      </w:r>
      <w:r>
        <w:rPr>
          <w:rFonts w:ascii="宋体" w:hAnsi="宋体"/>
          <w:color w:val="auto"/>
          <w:szCs w:val="21"/>
          <w:highlight w:val="none"/>
        </w:rPr>
        <w:t>配合乙方完成</w:t>
      </w:r>
      <w:r>
        <w:rPr>
          <w:rFonts w:hint="eastAsia" w:ascii="宋体" w:hAnsi="宋体"/>
          <w:color w:val="auto"/>
          <w:szCs w:val="21"/>
          <w:highlight w:val="none"/>
        </w:rPr>
        <w:t>相关项目</w:t>
      </w:r>
      <w:r>
        <w:rPr>
          <w:rFonts w:ascii="宋体" w:hAnsi="宋体"/>
          <w:color w:val="auto"/>
          <w:szCs w:val="21"/>
          <w:highlight w:val="none"/>
        </w:rPr>
        <w:t>实施工作。</w:t>
      </w:r>
    </w:p>
    <w:p w14:paraId="37301D21">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4.2 </w:t>
      </w:r>
      <w:r>
        <w:rPr>
          <w:rFonts w:ascii="宋体" w:hAnsi="宋体"/>
          <w:color w:val="auto"/>
          <w:szCs w:val="21"/>
          <w:highlight w:val="none"/>
        </w:rPr>
        <w:t>甲方有权要求乙方按时提交各阶段有关</w:t>
      </w:r>
      <w:r>
        <w:rPr>
          <w:rFonts w:hint="eastAsia" w:ascii="宋体" w:hAnsi="宋体"/>
          <w:color w:val="auto"/>
          <w:szCs w:val="21"/>
          <w:highlight w:val="none"/>
        </w:rPr>
        <w:t>安排计划</w:t>
      </w:r>
      <w:r>
        <w:rPr>
          <w:rFonts w:ascii="宋体" w:hAnsi="宋体"/>
          <w:color w:val="auto"/>
          <w:szCs w:val="21"/>
          <w:highlight w:val="none"/>
        </w:rPr>
        <w:t>，并有权</w:t>
      </w:r>
      <w:r>
        <w:rPr>
          <w:rFonts w:hint="eastAsia" w:ascii="宋体" w:hAnsi="宋体"/>
          <w:color w:val="auto"/>
          <w:szCs w:val="21"/>
          <w:highlight w:val="none"/>
        </w:rPr>
        <w:t>定期核对乙方提供货物数量、规格、质量等内容。甲方</w:t>
      </w:r>
      <w:r>
        <w:rPr>
          <w:rFonts w:ascii="宋体" w:hAnsi="宋体"/>
          <w:color w:val="auto"/>
          <w:szCs w:val="21"/>
          <w:highlight w:val="none"/>
        </w:rPr>
        <w:t>有权督促乙方工作并要求乙方</w:t>
      </w:r>
      <w:r>
        <w:rPr>
          <w:rFonts w:hint="eastAsia" w:ascii="宋体" w:hAnsi="宋体"/>
          <w:color w:val="auto"/>
          <w:szCs w:val="21"/>
          <w:highlight w:val="none"/>
        </w:rPr>
        <w:t>更</w:t>
      </w:r>
      <w:r>
        <w:rPr>
          <w:rFonts w:ascii="宋体" w:hAnsi="宋体"/>
          <w:color w:val="auto"/>
          <w:szCs w:val="21"/>
          <w:highlight w:val="none"/>
        </w:rPr>
        <w:t>换不符合要求的</w:t>
      </w:r>
      <w:r>
        <w:rPr>
          <w:rFonts w:hint="eastAsia" w:ascii="宋体" w:hAnsi="宋体"/>
          <w:color w:val="auto"/>
          <w:szCs w:val="21"/>
          <w:highlight w:val="none"/>
        </w:rPr>
        <w:t>货物</w:t>
      </w:r>
      <w:r>
        <w:rPr>
          <w:rFonts w:ascii="宋体" w:hAnsi="宋体"/>
          <w:color w:val="auto"/>
          <w:szCs w:val="21"/>
          <w:highlight w:val="none"/>
        </w:rPr>
        <w:t>。</w:t>
      </w:r>
    </w:p>
    <w:p w14:paraId="4C1F3BB8">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3甲方</w:t>
      </w:r>
      <w:r>
        <w:rPr>
          <w:rFonts w:hint="eastAsia" w:ascii="宋体" w:hAnsi="宋体"/>
          <w:color w:val="auto"/>
          <w:szCs w:val="21"/>
          <w:highlight w:val="none"/>
        </w:rPr>
        <w:t>有权要求乙方对缺陷部分予以修复，并按合同约定享有货物保修及其他合同约定的权利。</w:t>
      </w:r>
    </w:p>
    <w:p w14:paraId="4A95430F">
      <w:pPr>
        <w:snapToGrid w:val="0"/>
        <w:spacing w:line="400" w:lineRule="exact"/>
        <w:ind w:firstLine="420" w:firstLineChars="200"/>
        <w:rPr>
          <w:rFonts w:eastAsia="华文楷体"/>
          <w:color w:val="auto"/>
          <w:highlight w:val="none"/>
        </w:rPr>
      </w:pPr>
      <w:r>
        <w:rPr>
          <w:rFonts w:ascii="宋体" w:hAnsi="宋体"/>
          <w:color w:val="auto"/>
          <w:szCs w:val="21"/>
          <w:highlight w:val="none"/>
        </w:rPr>
        <w:t>4.4 甲方应当按照合同约定及时对交付的货物进行验收</w:t>
      </w:r>
      <w:r>
        <w:rPr>
          <w:rFonts w:hint="eastAsia" w:ascii="宋体" w:hAnsi="宋体"/>
          <w:color w:val="auto"/>
          <w:szCs w:val="21"/>
          <w:highlight w:val="none"/>
        </w:rPr>
        <w:t>，</w:t>
      </w:r>
      <w:r>
        <w:rPr>
          <w:rFonts w:hint="eastAsia" w:ascii="宋体" w:hAnsi="宋体" w:cs="宋体"/>
          <w:color w:val="auto"/>
          <w:szCs w:val="21"/>
          <w:highlight w:val="none"/>
        </w:rPr>
        <w:t>未</w:t>
      </w:r>
      <w:r>
        <w:rPr>
          <w:rFonts w:hint="eastAsia" w:ascii="宋体" w:hAnsi="宋体"/>
          <w:color w:val="auto"/>
          <w:szCs w:val="21"/>
          <w:highlight w:val="none"/>
        </w:rPr>
        <w:t>在</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约定的期限内对乙方履约提出任何异议或者向乙方作出任何说明的，</w:t>
      </w:r>
      <w:r>
        <w:rPr>
          <w:rFonts w:hint="eastAsia" w:ascii="宋体" w:hAnsi="宋体"/>
          <w:color w:val="auto"/>
          <w:szCs w:val="21"/>
          <w:highlight w:val="none"/>
        </w:rPr>
        <w:t>视为验收通过。</w:t>
      </w:r>
    </w:p>
    <w:p w14:paraId="6EEA26BE">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w:t>
      </w:r>
      <w:r>
        <w:rPr>
          <w:rFonts w:ascii="宋体" w:hAnsi="宋体"/>
          <w:color w:val="auto"/>
          <w:szCs w:val="21"/>
          <w:highlight w:val="none"/>
        </w:rPr>
        <w:t xml:space="preserve">5 </w:t>
      </w:r>
      <w:r>
        <w:rPr>
          <w:rFonts w:hint="eastAsia" w:ascii="宋体" w:hAnsi="宋体"/>
          <w:color w:val="auto"/>
          <w:szCs w:val="21"/>
          <w:highlight w:val="none"/>
        </w:rPr>
        <w:t>甲方应当根据合同约定及时向乙方支付合同价款</w:t>
      </w:r>
      <w:r>
        <w:rPr>
          <w:rFonts w:ascii="宋体" w:hAnsi="宋体"/>
          <w:color w:val="auto"/>
          <w:szCs w:val="21"/>
          <w:highlight w:val="none"/>
        </w:rPr>
        <w:t>，不得以内部人员变更、履行内部付款流程等为由，拒绝或迟延支付。</w:t>
      </w:r>
    </w:p>
    <w:p w14:paraId="6A0B1A32">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4.6国家法律法规规定及</w:t>
      </w:r>
      <w:r>
        <w:rPr>
          <w:rFonts w:hint="eastAsia" w:ascii="宋体" w:hAnsi="宋体" w:cs="宋体"/>
          <w:b/>
          <w:bCs/>
          <w:color w:val="auto"/>
          <w:szCs w:val="21"/>
          <w:highlight w:val="none"/>
        </w:rPr>
        <w:t>【政府采购合同专用条款】</w:t>
      </w:r>
      <w:r>
        <w:rPr>
          <w:rFonts w:hint="eastAsia" w:ascii="宋体" w:hAnsi="宋体"/>
          <w:color w:val="auto"/>
          <w:szCs w:val="21"/>
          <w:highlight w:val="none"/>
        </w:rPr>
        <w:t>约定应由甲方承担的其他义务和责任。</w:t>
      </w:r>
    </w:p>
    <w:p w14:paraId="1AA397C2">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5. 乙方的权利和义务</w:t>
      </w:r>
    </w:p>
    <w:p w14:paraId="5F58DDF3">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5.1 </w:t>
      </w:r>
      <w:r>
        <w:rPr>
          <w:rFonts w:ascii="宋体" w:hAnsi="宋体"/>
          <w:color w:val="auto"/>
          <w:szCs w:val="21"/>
          <w:highlight w:val="none"/>
        </w:rPr>
        <w:t>签署合同后，乙方</w:t>
      </w:r>
      <w:r>
        <w:rPr>
          <w:rFonts w:hint="eastAsia" w:ascii="宋体" w:hAnsi="宋体"/>
          <w:color w:val="auto"/>
          <w:szCs w:val="21"/>
          <w:highlight w:val="none"/>
        </w:rPr>
        <w:t>应</w:t>
      </w:r>
      <w:r>
        <w:rPr>
          <w:rFonts w:ascii="宋体" w:hAnsi="宋体"/>
          <w:color w:val="auto"/>
          <w:szCs w:val="21"/>
          <w:highlight w:val="none"/>
        </w:rPr>
        <w:t>确定</w:t>
      </w:r>
      <w:r>
        <w:rPr>
          <w:rFonts w:hint="eastAsia" w:ascii="宋体" w:hAnsi="宋体"/>
          <w:color w:val="auto"/>
          <w:szCs w:val="21"/>
          <w:highlight w:val="none"/>
        </w:rPr>
        <w:t>项目负责人（或项目联系人）</w:t>
      </w:r>
      <w:r>
        <w:rPr>
          <w:rFonts w:ascii="宋体" w:hAnsi="宋体"/>
          <w:color w:val="auto"/>
          <w:szCs w:val="21"/>
          <w:highlight w:val="none"/>
        </w:rPr>
        <w:t>，负责与本合同有关的事务。</w:t>
      </w:r>
    </w:p>
    <w:p w14:paraId="2A35F05D">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2 乙方应按照合同要求</w:t>
      </w:r>
      <w:r>
        <w:rPr>
          <w:rFonts w:hint="eastAsia" w:ascii="宋体" w:hAnsi="宋体"/>
          <w:color w:val="auto"/>
          <w:szCs w:val="21"/>
          <w:highlight w:val="none"/>
        </w:rPr>
        <w:t>履约</w:t>
      </w:r>
      <w:r>
        <w:rPr>
          <w:rFonts w:ascii="宋体" w:hAnsi="宋体"/>
          <w:color w:val="auto"/>
          <w:szCs w:val="21"/>
          <w:highlight w:val="none"/>
        </w:rPr>
        <w:t>，充分合理安排，确保</w:t>
      </w:r>
      <w:r>
        <w:rPr>
          <w:rFonts w:hint="eastAsia" w:ascii="宋体" w:hAnsi="宋体"/>
          <w:color w:val="auto"/>
          <w:szCs w:val="21"/>
          <w:highlight w:val="none"/>
        </w:rPr>
        <w:t>提供的货物及相关服务符合合同有关</w:t>
      </w:r>
      <w:r>
        <w:rPr>
          <w:rFonts w:ascii="宋体" w:hAnsi="宋体"/>
          <w:color w:val="auto"/>
          <w:szCs w:val="21"/>
          <w:highlight w:val="none"/>
        </w:rPr>
        <w:t>要求</w:t>
      </w:r>
      <w:r>
        <w:rPr>
          <w:rFonts w:hint="eastAsia" w:ascii="宋体" w:hAnsi="宋体"/>
          <w:color w:val="auto"/>
          <w:szCs w:val="21"/>
          <w:highlight w:val="none"/>
        </w:rPr>
        <w:t>。接受项目行业管理部门及政府有关部门的指导，配合甲方的履约检查及验收，并</w:t>
      </w:r>
      <w:r>
        <w:rPr>
          <w:rFonts w:ascii="宋体" w:hAnsi="宋体"/>
          <w:color w:val="auto"/>
          <w:szCs w:val="21"/>
          <w:highlight w:val="none"/>
        </w:rPr>
        <w:t>负责项目实施过程中的所有协调工作。</w:t>
      </w:r>
    </w:p>
    <w:p w14:paraId="308175F5">
      <w:pPr>
        <w:pStyle w:val="5"/>
        <w:spacing w:after="0" w:line="400" w:lineRule="exact"/>
        <w:ind w:firstLine="315" w:firstLineChars="150"/>
        <w:rPr>
          <w:rFonts w:ascii="宋体" w:hAnsi="宋体" w:cs="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3</w:t>
      </w:r>
      <w:r>
        <w:rPr>
          <w:rFonts w:hint="eastAsia" w:ascii="宋体" w:hAnsi="宋体"/>
          <w:color w:val="auto"/>
          <w:szCs w:val="21"/>
          <w:highlight w:val="none"/>
        </w:rPr>
        <w:t>乙方有权</w:t>
      </w:r>
      <w:r>
        <w:rPr>
          <w:rFonts w:hint="eastAsia" w:ascii="宋体" w:hAnsi="宋体" w:cs="宋体"/>
          <w:color w:val="auto"/>
          <w:szCs w:val="21"/>
          <w:highlight w:val="none"/>
        </w:rPr>
        <w:t>根据合同约定向甲方收取合同价款。</w:t>
      </w:r>
    </w:p>
    <w:p w14:paraId="2968A9EE">
      <w:pPr>
        <w:pStyle w:val="5"/>
        <w:spacing w:after="0" w:line="400" w:lineRule="exact"/>
        <w:ind w:firstLine="210" w:firstLineChars="100"/>
        <w:rPr>
          <w:rFonts w:ascii="宋体" w:hAnsi="宋体" w:cs="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4</w:t>
      </w:r>
      <w:r>
        <w:rPr>
          <w:rFonts w:hint="eastAsia" w:ascii="宋体" w:hAnsi="宋体" w:cs="宋体"/>
          <w:color w:val="auto"/>
          <w:szCs w:val="21"/>
          <w:highlight w:val="none"/>
        </w:rPr>
        <w:t>国家法律法规规定</w:t>
      </w:r>
      <w:r>
        <w:rPr>
          <w:rFonts w:hint="eastAsia" w:ascii="宋体" w:hAnsi="宋体"/>
          <w:color w:val="auto"/>
          <w:szCs w:val="21"/>
          <w:highlight w:val="none"/>
        </w:rPr>
        <w:t>及</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约定应由乙方承担的其他义务和责任。</w:t>
      </w:r>
    </w:p>
    <w:p w14:paraId="4A3B5AF1">
      <w:pPr>
        <w:widowControl w:val="0"/>
        <w:numPr>
          <w:ilvl w:val="0"/>
          <w:numId w:val="6"/>
        </w:numPr>
        <w:autoSpaceDE w:val="0"/>
        <w:autoSpaceDN w:val="0"/>
        <w:adjustRightInd w:val="0"/>
        <w:snapToGrid w:val="0"/>
        <w:spacing w:line="400" w:lineRule="exact"/>
        <w:jc w:val="left"/>
        <w:textAlignment w:val="auto"/>
        <w:rPr>
          <w:rFonts w:ascii="宋体" w:hAnsi="宋体"/>
          <w:b/>
          <w:bCs/>
          <w:color w:val="auto"/>
          <w:sz w:val="24"/>
          <w:highlight w:val="none"/>
        </w:rPr>
      </w:pPr>
      <w:r>
        <w:rPr>
          <w:rFonts w:hint="eastAsia" w:ascii="宋体" w:hAnsi="宋体"/>
          <w:b/>
          <w:bCs/>
          <w:color w:val="auto"/>
          <w:sz w:val="24"/>
          <w:highlight w:val="none"/>
        </w:rPr>
        <w:t>合同履行</w:t>
      </w:r>
    </w:p>
    <w:p w14:paraId="05050302">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6.1 甲乙双方应当按照</w:t>
      </w:r>
      <w:r>
        <w:rPr>
          <w:rFonts w:hint="eastAsia" w:ascii="宋体" w:hAnsi="宋体" w:cs="宋体"/>
          <w:b/>
          <w:bCs/>
          <w:color w:val="auto"/>
          <w:szCs w:val="21"/>
          <w:highlight w:val="none"/>
        </w:rPr>
        <w:t>【政府采购合同专用条款】</w:t>
      </w:r>
      <w:r>
        <w:rPr>
          <w:rFonts w:hint="eastAsia" w:ascii="宋体" w:hAnsi="宋体"/>
          <w:color w:val="auto"/>
          <w:szCs w:val="21"/>
          <w:highlight w:val="none"/>
        </w:rPr>
        <w:t>约定顺序履行合同义务；如果没有先后顺序的，应当同时履行。</w:t>
      </w:r>
    </w:p>
    <w:p w14:paraId="2AF6152D">
      <w:pPr>
        <w:autoSpaceDE w:val="0"/>
        <w:autoSpaceDN w:val="0"/>
        <w:adjustRightInd w:val="0"/>
        <w:snapToGrid w:val="0"/>
        <w:spacing w:line="400" w:lineRule="exact"/>
        <w:ind w:firstLine="420" w:firstLineChars="200"/>
        <w:jc w:val="left"/>
        <w:rPr>
          <w:color w:val="auto"/>
          <w:highlight w:val="none"/>
        </w:rPr>
      </w:pPr>
      <w:r>
        <w:rPr>
          <w:rFonts w:hint="eastAsia" w:ascii="宋体" w:hAnsi="宋体"/>
          <w:color w:val="auto"/>
          <w:szCs w:val="21"/>
          <w:highlight w:val="none"/>
        </w:rPr>
        <w:t>6.2 甲乙双方按照合同约定顺序履行合同义务时，应当先履行一方未履行的，后履行一方有权拒绝其履行请求。先履行一方履行不符合约定的，后履行一方有权拒绝其相应的履行请求。</w:t>
      </w:r>
    </w:p>
    <w:p w14:paraId="2CC997B4">
      <w:pPr>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7. 货物包装、运输、保险和交付要求</w:t>
      </w:r>
    </w:p>
    <w:p w14:paraId="599A48B9">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7.1 本合同</w:t>
      </w:r>
      <w:r>
        <w:rPr>
          <w:rFonts w:hint="eastAsia" w:ascii="宋体" w:hAnsi="宋体"/>
          <w:bCs/>
          <w:color w:val="auto"/>
          <w:szCs w:val="21"/>
          <w:highlight w:val="none"/>
        </w:rPr>
        <w:t>涉及商品包装、快递包装的，</w:t>
      </w:r>
      <w:r>
        <w:rPr>
          <w:rFonts w:hint="eastAsia" w:ascii="宋体" w:hAnsi="宋体"/>
          <w:color w:val="auto"/>
          <w:szCs w:val="21"/>
          <w:highlight w:val="none"/>
        </w:rPr>
        <w:t>除</w:t>
      </w:r>
      <w:r>
        <w:rPr>
          <w:rFonts w:hint="eastAsia" w:ascii="宋体" w:hAnsi="宋体"/>
          <w:b/>
          <w:color w:val="auto"/>
          <w:szCs w:val="21"/>
          <w:highlight w:val="none"/>
        </w:rPr>
        <w:t>【政府采购合同专用条款】</w:t>
      </w:r>
      <w:r>
        <w:rPr>
          <w:rFonts w:hint="eastAsia" w:ascii="宋体" w:hAnsi="宋体"/>
          <w:bCs/>
          <w:color w:val="auto"/>
          <w:szCs w:val="21"/>
          <w:highlight w:val="none"/>
        </w:rPr>
        <w:t>另有约定外，</w:t>
      </w:r>
      <w:r>
        <w:rPr>
          <w:rFonts w:hint="eastAsia" w:ascii="宋体" w:hAnsi="宋体"/>
          <w:color w:val="auto"/>
          <w:szCs w:val="21"/>
          <w:highlight w:val="none"/>
        </w:rPr>
        <w:t>包装应适应远距离运输、防潮、防震、防锈和防野蛮装卸等要求，确保货物安全无损地运抵</w:t>
      </w:r>
      <w:r>
        <w:rPr>
          <w:rFonts w:hint="eastAsia" w:ascii="宋体" w:hAnsi="宋体"/>
          <w:b/>
          <w:color w:val="auto"/>
          <w:szCs w:val="21"/>
          <w:highlight w:val="none"/>
        </w:rPr>
        <w:t>【政府采购合同专用条款】</w:t>
      </w:r>
      <w:r>
        <w:rPr>
          <w:rFonts w:hint="eastAsia" w:ascii="宋体" w:hAnsi="宋体"/>
          <w:bCs/>
          <w:color w:val="auto"/>
          <w:szCs w:val="21"/>
          <w:highlight w:val="none"/>
        </w:rPr>
        <w:t>约定的</w:t>
      </w:r>
      <w:r>
        <w:rPr>
          <w:rFonts w:hint="eastAsia" w:ascii="宋体" w:hAnsi="宋体"/>
          <w:color w:val="auto"/>
          <w:szCs w:val="21"/>
          <w:highlight w:val="none"/>
        </w:rPr>
        <w:t>指定现场。</w:t>
      </w:r>
    </w:p>
    <w:p w14:paraId="78774D8C">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7.2 除</w:t>
      </w:r>
      <w:r>
        <w:rPr>
          <w:rFonts w:hint="eastAsia" w:ascii="宋体" w:hAnsi="宋体"/>
          <w:b/>
          <w:color w:val="auto"/>
          <w:szCs w:val="21"/>
          <w:highlight w:val="none"/>
        </w:rPr>
        <w:t>【政府采购合同专用条款】</w:t>
      </w:r>
      <w:r>
        <w:rPr>
          <w:rFonts w:hint="eastAsia" w:ascii="宋体" w:hAnsi="宋体"/>
          <w:bCs/>
          <w:color w:val="auto"/>
          <w:szCs w:val="21"/>
          <w:highlight w:val="none"/>
        </w:rPr>
        <w:t>另有约定外，</w:t>
      </w:r>
      <w:r>
        <w:rPr>
          <w:rFonts w:hint="eastAsia" w:ascii="宋体" w:hAnsi="宋体"/>
          <w:color w:val="auto"/>
          <w:szCs w:val="21"/>
          <w:highlight w:val="none"/>
        </w:rPr>
        <w:t>乙方负责办理将货物运抵本合同规定的交货地点，并装卸、交付至甲方的一切运输事项，相关费用应包含在合同价款中。</w:t>
      </w:r>
    </w:p>
    <w:p w14:paraId="1453B894">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7.3 货物保险要求按</w:t>
      </w:r>
      <w:r>
        <w:rPr>
          <w:rFonts w:hint="eastAsia" w:ascii="宋体" w:hAnsi="宋体"/>
          <w:b/>
          <w:color w:val="auto"/>
          <w:szCs w:val="21"/>
          <w:highlight w:val="none"/>
        </w:rPr>
        <w:t>【政府采购合同专用条款】</w:t>
      </w:r>
      <w:r>
        <w:rPr>
          <w:rFonts w:hint="eastAsia" w:ascii="宋体" w:hAnsi="宋体"/>
          <w:bCs/>
          <w:color w:val="auto"/>
          <w:szCs w:val="21"/>
          <w:highlight w:val="none"/>
        </w:rPr>
        <w:t>规定执行</w:t>
      </w:r>
      <w:r>
        <w:rPr>
          <w:rFonts w:hint="eastAsia" w:ascii="宋体" w:hAnsi="宋体"/>
          <w:color w:val="auto"/>
          <w:szCs w:val="21"/>
          <w:highlight w:val="none"/>
        </w:rPr>
        <w:t>。</w:t>
      </w:r>
    </w:p>
    <w:p w14:paraId="0E9F1B01">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7167E12E">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7.5 </w:t>
      </w:r>
      <w:r>
        <w:rPr>
          <w:rFonts w:hint="eastAsia" w:ascii="宋体" w:hAnsi="宋体" w:cs="宋体"/>
          <w:color w:val="auto"/>
          <w:szCs w:val="21"/>
          <w:highlight w:val="none"/>
        </w:rPr>
        <w:t>乙方在运输到达之前应提前通知甲方，并提示货物运输装卸的注意事项，甲方配合乙方做好货物的接收工作。</w:t>
      </w:r>
    </w:p>
    <w:p w14:paraId="3E18E90B">
      <w:pPr>
        <w:pStyle w:val="65"/>
        <w:ind w:firstLine="420"/>
        <w:rPr>
          <w:color w:val="auto"/>
          <w:sz w:val="21"/>
          <w:highlight w:val="none"/>
        </w:rPr>
      </w:pPr>
      <w:r>
        <w:rPr>
          <w:rFonts w:hint="eastAsia" w:ascii="宋体" w:hAnsi="宋体" w:eastAsia="宋体" w:cs="Times New Roman"/>
          <w:color w:val="auto"/>
          <w:kern w:val="2"/>
          <w:sz w:val="21"/>
          <w:highlight w:val="none"/>
        </w:rPr>
        <w:t>7.6 如因包装、运输问题导致货物损毁、丢失或者品质下降，甲方有权要求降价、换货、拒收部分或整批货物，由此产生的费用和损失，均由乙方承担。</w:t>
      </w:r>
    </w:p>
    <w:p w14:paraId="47CB7DC8">
      <w:pPr>
        <w:adjustRightInd w:val="0"/>
        <w:snapToGrid w:val="0"/>
        <w:spacing w:line="400" w:lineRule="exact"/>
        <w:jc w:val="left"/>
        <w:rPr>
          <w:rFonts w:ascii="宋体" w:hAnsi="宋体"/>
          <w:b/>
          <w:color w:val="auto"/>
          <w:sz w:val="24"/>
          <w:highlight w:val="none"/>
        </w:rPr>
      </w:pPr>
      <w:r>
        <w:rPr>
          <w:rFonts w:hint="eastAsia" w:ascii="宋体" w:hAnsi="宋体"/>
          <w:b/>
          <w:color w:val="auto"/>
          <w:sz w:val="24"/>
          <w:highlight w:val="none"/>
        </w:rPr>
        <w:t>8. 质量标准和保证</w:t>
      </w:r>
    </w:p>
    <w:p w14:paraId="4650BF6E">
      <w:pPr>
        <w:pStyle w:val="7"/>
        <w:adjustRightInd w:val="0"/>
        <w:snapToGrid w:val="0"/>
        <w:spacing w:line="400" w:lineRule="exact"/>
        <w:ind w:firstLine="420" w:firstLineChars="200"/>
        <w:jc w:val="left"/>
        <w:rPr>
          <w:rFonts w:hAnsi="宋体"/>
          <w:b/>
          <w:color w:val="auto"/>
          <w:highlight w:val="none"/>
        </w:rPr>
      </w:pPr>
      <w:r>
        <w:rPr>
          <w:rFonts w:hint="eastAsia" w:hAnsi="宋体"/>
          <w:color w:val="auto"/>
          <w:highlight w:val="none"/>
        </w:rPr>
        <w:t>8.1 质量标准</w:t>
      </w:r>
    </w:p>
    <w:p w14:paraId="2C53A595">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（1）本合同下提供的货物应符合合同</w:t>
      </w:r>
      <w:r>
        <w:rPr>
          <w:rFonts w:hint="eastAsia" w:ascii="宋体" w:hAnsi="宋体" w:cs="宋体"/>
          <w:color w:val="auto"/>
          <w:szCs w:val="21"/>
          <w:highlight w:val="none"/>
        </w:rPr>
        <w:t>约定的品牌、规格型号、技术性能、配置、质量、数量等要求。</w:t>
      </w:r>
      <w:r>
        <w:rPr>
          <w:rFonts w:hint="eastAsia" w:ascii="宋体" w:hAnsi="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23583E3F">
      <w:pPr>
        <w:pStyle w:val="7"/>
        <w:adjustRightInd w:val="0"/>
        <w:snapToGrid w:val="0"/>
        <w:spacing w:line="400" w:lineRule="exact"/>
        <w:ind w:firstLine="420" w:firstLineChars="200"/>
        <w:jc w:val="left"/>
        <w:rPr>
          <w:rFonts w:hAnsi="宋体"/>
          <w:color w:val="auto"/>
          <w:highlight w:val="none"/>
        </w:rPr>
      </w:pPr>
      <w:r>
        <w:rPr>
          <w:rFonts w:hint="eastAsia" w:hAnsi="宋体"/>
          <w:color w:val="auto"/>
          <w:highlight w:val="none"/>
        </w:rPr>
        <w:t>（2）采用中华人民共和国法定计量单位。</w:t>
      </w:r>
    </w:p>
    <w:p w14:paraId="01045DFE">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（3）乙方所提供的货物应符合国家有关安全、环保、卫生的规定。</w:t>
      </w:r>
    </w:p>
    <w:p w14:paraId="31099072">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（4）乙方应向甲方提交所提供货物的技术文件，包括相应的中文技术文件，如：产品目录、图纸、操作手册、使用说明、维护手册或服务指南等。上述文件应包装好随货物一同发运。</w:t>
      </w:r>
    </w:p>
    <w:p w14:paraId="1AD838D4">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8.2 保证</w:t>
      </w:r>
    </w:p>
    <w:p w14:paraId="1ABA295E">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（1）乙方应保证提供的货物完全符合合同规定的质量、规格和性能要求。乙方应保证货物在正确安装、正常使用和保养条件下，</w:t>
      </w:r>
      <w:r>
        <w:rPr>
          <w:rFonts w:hint="eastAsia" w:ascii="宋体" w:hAnsi="宋体" w:cs="宋体"/>
          <w:color w:val="auto"/>
          <w:szCs w:val="21"/>
          <w:highlight w:val="none"/>
        </w:rPr>
        <w:t>在其使用寿命期内具备合同约定的性能</w:t>
      </w:r>
      <w:r>
        <w:rPr>
          <w:rFonts w:hint="eastAsia" w:ascii="宋体" w:hAnsi="宋体"/>
          <w:color w:val="auto"/>
          <w:szCs w:val="21"/>
          <w:highlight w:val="none"/>
        </w:rPr>
        <w:t>。存在质量保证期的，货物最终交付验收合格后在</w:t>
      </w:r>
      <w:r>
        <w:rPr>
          <w:rFonts w:hint="eastAsia" w:ascii="宋体" w:hAnsi="宋体"/>
          <w:b/>
          <w:color w:val="auto"/>
          <w:szCs w:val="21"/>
          <w:highlight w:val="none"/>
        </w:rPr>
        <w:t>【政府采购合同专用条款】</w:t>
      </w:r>
      <w:r>
        <w:rPr>
          <w:rFonts w:hint="eastAsia" w:ascii="宋体" w:hAnsi="宋体"/>
          <w:color w:val="auto"/>
          <w:szCs w:val="21"/>
          <w:highlight w:val="none"/>
        </w:rPr>
        <w:t>规定或乙方书面承诺（两者以较长的为准）的质量保证期内，本保证保持有效。</w:t>
      </w:r>
    </w:p>
    <w:p w14:paraId="767FA80F">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（2）在质量保证期内所发现的缺陷，甲方应尽快以书面形式通知乙方。</w:t>
      </w:r>
    </w:p>
    <w:p w14:paraId="4745D6CA">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（3）乙方收到通知后，应在</w:t>
      </w:r>
      <w:r>
        <w:rPr>
          <w:rFonts w:hint="eastAsia" w:ascii="宋体" w:hAnsi="宋体"/>
          <w:b/>
          <w:color w:val="auto"/>
          <w:szCs w:val="21"/>
          <w:highlight w:val="none"/>
        </w:rPr>
        <w:t>【政府采购合同专用条款】</w:t>
      </w:r>
      <w:r>
        <w:rPr>
          <w:rFonts w:hint="eastAsia" w:ascii="宋体" w:hAnsi="宋体"/>
          <w:color w:val="auto"/>
          <w:szCs w:val="21"/>
          <w:highlight w:val="none"/>
        </w:rPr>
        <w:t>规定的响应时间内以合理的速度免费维修或更换有缺陷的货物或部件。</w:t>
      </w:r>
    </w:p>
    <w:p w14:paraId="6D8A873F">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2FE9D8D8">
      <w:pPr>
        <w:adjustRightInd w:val="0"/>
        <w:snapToGrid w:val="0"/>
        <w:spacing w:line="400" w:lineRule="exact"/>
        <w:ind w:firstLine="420" w:firstLineChars="200"/>
        <w:jc w:val="left"/>
        <w:rPr>
          <w:color w:val="auto"/>
          <w:highlight w:val="none"/>
        </w:rPr>
      </w:pPr>
      <w:r>
        <w:rPr>
          <w:rFonts w:hint="eastAsia" w:ascii="宋体" w:hAnsi="宋体"/>
          <w:color w:val="auto"/>
          <w:szCs w:val="21"/>
          <w:highlight w:val="none"/>
        </w:rPr>
        <w:t>（5）乙方在约定的时间内未能弥补缺陷，甲方可采取必要的补救措施，但其风险和费用将由乙方承担，甲方根据合同约定对乙方行使的其他权利不受影响。</w:t>
      </w:r>
    </w:p>
    <w:p w14:paraId="170EDBB6">
      <w:pPr>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9. 权利瑕疵担保</w:t>
      </w:r>
    </w:p>
    <w:p w14:paraId="6AB67505">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9.1 乙方保证对其出售的货物享有合法的权利。</w:t>
      </w:r>
    </w:p>
    <w:p w14:paraId="74F213A8">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9.2 </w:t>
      </w:r>
      <w:r>
        <w:rPr>
          <w:rFonts w:hint="eastAsia" w:ascii="宋体" w:hAnsi="宋体" w:cs="宋体"/>
          <w:color w:val="auto"/>
          <w:szCs w:val="15"/>
          <w:highlight w:val="none"/>
        </w:rPr>
        <w:t>乙方保证在交付的货物上不存在抵押权等担保物权。</w:t>
      </w:r>
    </w:p>
    <w:p w14:paraId="4969C380">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9.3 如甲方使用上述货物构成对第三人侵权的，则由乙方承担全部责任。</w:t>
      </w:r>
    </w:p>
    <w:p w14:paraId="2BA4B757">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10. 知识产权保护</w:t>
      </w:r>
    </w:p>
    <w:p w14:paraId="4D793298">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10.1 乙方对其所销售的货物应当享有知识产权或经权利人合法授权，保证没有侵犯任何第三人的知识产权等权利。</w:t>
      </w:r>
      <w:bookmarkStart w:id="55" w:name="_Hlk163047038"/>
      <w:r>
        <w:rPr>
          <w:rFonts w:hint="eastAsia" w:ascii="宋体" w:hAnsi="宋体" w:cs="宋体"/>
          <w:color w:val="auto"/>
          <w:szCs w:val="15"/>
          <w:highlight w:val="none"/>
        </w:rPr>
        <w:t>因违反前述约定对第三人构成侵权的，应当由乙方向第三人承担法律责任；甲方依法向第三人赔偿后，有权向乙方追偿。甲方有其他损失的，乙方应当赔偿</w:t>
      </w:r>
      <w:bookmarkEnd w:id="55"/>
      <w:r>
        <w:rPr>
          <w:rFonts w:hint="eastAsia" w:ascii="宋体" w:hAnsi="宋体"/>
          <w:color w:val="auto"/>
          <w:szCs w:val="21"/>
          <w:highlight w:val="none"/>
        </w:rPr>
        <w:t>。</w:t>
      </w:r>
    </w:p>
    <w:p w14:paraId="016CC9D3">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11. 保密义务</w:t>
      </w:r>
    </w:p>
    <w:p w14:paraId="270E80FA">
      <w:pPr>
        <w:autoSpaceDE w:val="0"/>
        <w:autoSpaceDN w:val="0"/>
        <w:adjustRightInd w:val="0"/>
        <w:snapToGrid w:val="0"/>
        <w:spacing w:line="400" w:lineRule="exact"/>
        <w:ind w:firstLine="420" w:firstLineChars="200"/>
        <w:jc w:val="left"/>
        <w:rPr>
          <w:rFonts w:ascii="宋体" w:hAnsi="宋体" w:cs="宋体"/>
          <w:color w:val="auto"/>
          <w:szCs w:val="15"/>
          <w:highlight w:val="none"/>
        </w:rPr>
      </w:pPr>
      <w:r>
        <w:rPr>
          <w:rFonts w:hint="eastAsia" w:ascii="宋体" w:hAnsi="宋体" w:cs="宋体"/>
          <w:color w:val="auto"/>
          <w:szCs w:val="15"/>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color w:val="auto"/>
          <w:szCs w:val="15"/>
          <w:highlight w:val="none"/>
        </w:rPr>
        <w:t>【政府采购合同专用条款】</w:t>
      </w:r>
      <w:r>
        <w:rPr>
          <w:rFonts w:hint="eastAsia" w:ascii="宋体" w:hAnsi="宋体" w:cs="宋体"/>
          <w:color w:val="auto"/>
          <w:szCs w:val="15"/>
          <w:highlight w:val="none"/>
        </w:rPr>
        <w:t>中约定。</w:t>
      </w:r>
    </w:p>
    <w:p w14:paraId="42F6B957">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12. 合同价款支付</w:t>
      </w:r>
    </w:p>
    <w:p w14:paraId="02BD0D88">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12.1 合同价款支付按照国库集中支付制度及财政管理相关规定执行。</w:t>
      </w:r>
    </w:p>
    <w:p w14:paraId="792CDE3E">
      <w:pPr>
        <w:pStyle w:val="3"/>
        <w:spacing w:line="400" w:lineRule="exact"/>
        <w:ind w:firstLine="420" w:firstLineChars="200"/>
        <w:rPr>
          <w:color w:val="auto"/>
          <w:highlight w:val="none"/>
        </w:rPr>
      </w:pPr>
      <w:bookmarkStart w:id="56" w:name="_Toc209083650"/>
      <w:bookmarkStart w:id="57" w:name="_Toc191287887"/>
      <w:r>
        <w:rPr>
          <w:rFonts w:hint="eastAsia" w:ascii="宋体" w:hAnsi="宋体"/>
          <w:b w:val="0"/>
          <w:bCs w:val="0"/>
          <w:color w:val="auto"/>
          <w:sz w:val="21"/>
          <w:szCs w:val="21"/>
          <w:highlight w:val="none"/>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color w:val="auto"/>
          <w:sz w:val="21"/>
          <w:szCs w:val="21"/>
          <w:highlight w:val="none"/>
        </w:rPr>
        <w:t>政府采购合同专用条款</w:t>
      </w:r>
      <w:r>
        <w:rPr>
          <w:rFonts w:hint="eastAsia" w:ascii="宋体" w:hAnsi="宋体"/>
          <w:b w:val="0"/>
          <w:bCs w:val="0"/>
          <w:color w:val="auto"/>
          <w:sz w:val="21"/>
          <w:szCs w:val="21"/>
          <w:highlight w:val="none"/>
        </w:rPr>
        <w:t>】中约定。</w:t>
      </w:r>
      <w:bookmarkEnd w:id="56"/>
      <w:bookmarkEnd w:id="57"/>
    </w:p>
    <w:p w14:paraId="3E2AAFEC">
      <w:pPr>
        <w:pStyle w:val="5"/>
        <w:spacing w:after="0" w:line="400" w:lineRule="exact"/>
        <w:rPr>
          <w:rFonts w:ascii="宋体" w:hAnsi="宋体"/>
          <w:b/>
          <w:bCs/>
          <w:color w:val="auto"/>
          <w:sz w:val="24"/>
          <w:szCs w:val="24"/>
          <w:highlight w:val="none"/>
        </w:rPr>
      </w:pPr>
      <w:r>
        <w:rPr>
          <w:rFonts w:hint="eastAsia" w:ascii="宋体" w:hAnsi="宋体"/>
          <w:b/>
          <w:bCs/>
          <w:color w:val="auto"/>
          <w:sz w:val="24"/>
          <w:szCs w:val="24"/>
          <w:highlight w:val="none"/>
        </w:rPr>
        <w:t>13. 履约保证金</w:t>
      </w:r>
    </w:p>
    <w:p w14:paraId="4C6E1299">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13.1 </w:t>
      </w:r>
      <w:r>
        <w:rPr>
          <w:rFonts w:hint="eastAsia" w:ascii="宋体" w:hAnsi="宋体" w:cs="宋体"/>
          <w:color w:val="auto"/>
          <w:szCs w:val="15"/>
          <w:highlight w:val="none"/>
        </w:rPr>
        <w:t>乙方应当以支票、汇票、本票或者金融机构、担保机构出具的保函等非现金形式提交。</w:t>
      </w:r>
    </w:p>
    <w:p w14:paraId="45AD02DC">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13.2 如果乙方出现</w:t>
      </w:r>
      <w:r>
        <w:rPr>
          <w:rFonts w:hint="eastAsia" w:ascii="宋体" w:hAnsi="宋体" w:cs="宋体"/>
          <w:b/>
          <w:bCs/>
          <w:color w:val="auto"/>
          <w:szCs w:val="15"/>
          <w:highlight w:val="none"/>
        </w:rPr>
        <w:t>【政府采购合同专用条款】</w:t>
      </w:r>
      <w:r>
        <w:rPr>
          <w:rFonts w:hint="eastAsia" w:ascii="宋体" w:hAnsi="宋体" w:cs="宋体"/>
          <w:color w:val="auto"/>
          <w:szCs w:val="15"/>
          <w:highlight w:val="none"/>
        </w:rPr>
        <w:t>约定情形的</w:t>
      </w:r>
      <w:r>
        <w:rPr>
          <w:rFonts w:hint="eastAsia" w:ascii="宋体" w:hAnsi="宋体"/>
          <w:color w:val="auto"/>
          <w:szCs w:val="21"/>
          <w:highlight w:val="none"/>
        </w:rPr>
        <w:t>，履约保证金不予退还；如果乙方未能按合同约定全面履行义务，甲方有权从履约保证金中取得补偿或赔偿，且不影响甲方要求乙方承担合同约定的超过履约保证金的违约责任的权利。</w:t>
      </w:r>
    </w:p>
    <w:p w14:paraId="79EB494A">
      <w:pPr>
        <w:spacing w:line="400" w:lineRule="exact"/>
        <w:ind w:firstLine="420"/>
        <w:rPr>
          <w:color w:val="auto"/>
          <w:highlight w:val="none"/>
        </w:rPr>
      </w:pPr>
      <w:r>
        <w:rPr>
          <w:rFonts w:hint="eastAsia" w:ascii="宋体" w:hAnsi="宋体"/>
          <w:color w:val="auto"/>
          <w:szCs w:val="21"/>
          <w:highlight w:val="none"/>
        </w:rPr>
        <w:t>13.3 甲方在项目通过验收后按照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规定的时间内将履约保证金退还乙方；逾期退还的，乙方可要求甲方支付违约金，违约金按照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规定支付。</w:t>
      </w:r>
    </w:p>
    <w:p w14:paraId="0AF7601B">
      <w:pPr>
        <w:autoSpaceDE w:val="0"/>
        <w:autoSpaceDN w:val="0"/>
        <w:adjustRightInd w:val="0"/>
        <w:snapToGrid w:val="0"/>
        <w:spacing w:line="400" w:lineRule="exact"/>
        <w:jc w:val="left"/>
        <w:rPr>
          <w:rFonts w:ascii="宋体" w:hAnsi="宋体"/>
          <w:b/>
          <w:color w:val="auto"/>
          <w:sz w:val="24"/>
          <w:highlight w:val="none"/>
        </w:rPr>
      </w:pPr>
      <w:r>
        <w:rPr>
          <w:rFonts w:hint="eastAsia" w:ascii="宋体" w:hAnsi="宋体"/>
          <w:b/>
          <w:bCs/>
          <w:color w:val="auto"/>
          <w:sz w:val="24"/>
          <w:highlight w:val="none"/>
        </w:rPr>
        <w:t xml:space="preserve">14. </w:t>
      </w:r>
      <w:r>
        <w:rPr>
          <w:rFonts w:hint="eastAsia"/>
          <w:b/>
          <w:color w:val="auto"/>
          <w:sz w:val="24"/>
          <w:highlight w:val="none"/>
        </w:rPr>
        <w:t>售后</w:t>
      </w:r>
      <w:r>
        <w:rPr>
          <w:rFonts w:hint="eastAsia" w:ascii="宋体" w:hAnsi="宋体"/>
          <w:b/>
          <w:color w:val="auto"/>
          <w:sz w:val="24"/>
          <w:highlight w:val="none"/>
        </w:rPr>
        <w:t>服务</w:t>
      </w:r>
    </w:p>
    <w:p w14:paraId="6B820739">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14.1 除项目不涉及或采购活动中明确约定无须承担外，乙方还应提供下列服务：</w:t>
      </w:r>
    </w:p>
    <w:p w14:paraId="0DFD6A08">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（1）货物的现场移动、安装、调试、启动监督及技术支持；</w:t>
      </w:r>
    </w:p>
    <w:p w14:paraId="66156FD7">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（2）提供货物组装和维修所需的专用工具和辅助材料；</w:t>
      </w:r>
    </w:p>
    <w:p w14:paraId="14754FE5">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（3）在</w:t>
      </w:r>
      <w:r>
        <w:rPr>
          <w:rFonts w:hint="eastAsia" w:ascii="宋体" w:hAnsi="宋体" w:cs="宋体"/>
          <w:b/>
          <w:bCs/>
          <w:color w:val="auto"/>
          <w:szCs w:val="15"/>
          <w:highlight w:val="none"/>
        </w:rPr>
        <w:t>【政府采购合同专用条款】</w:t>
      </w:r>
      <w:r>
        <w:rPr>
          <w:rFonts w:hint="eastAsia" w:ascii="宋体" w:hAnsi="宋体"/>
          <w:color w:val="auto"/>
          <w:szCs w:val="21"/>
          <w:highlight w:val="none"/>
        </w:rPr>
        <w:t>约定的期限内对所有的货物实施运行监督、维修，但前提条件是该服务并不能免除乙方在质量保证期内所承担的义务；</w:t>
      </w:r>
    </w:p>
    <w:p w14:paraId="1068F51E">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（4）在制造商所在地或指定现场就货物的安装、启动、运营、维护、废弃处置等对甲方操作人员进行培训</w:t>
      </w:r>
      <w:r>
        <w:rPr>
          <w:rFonts w:hint="eastAsia" w:ascii="宋体" w:hAnsi="宋体" w:cs="宋体"/>
          <w:color w:val="auto"/>
          <w:szCs w:val="15"/>
          <w:highlight w:val="none"/>
        </w:rPr>
        <w:t>；</w:t>
      </w:r>
    </w:p>
    <w:p w14:paraId="0B1D6B43">
      <w:pPr>
        <w:pStyle w:val="65"/>
        <w:ind w:firstLine="420"/>
        <w:rPr>
          <w:rFonts w:ascii="宋体" w:hAnsi="宋体" w:eastAsia="宋体" w:cs="宋体"/>
          <w:color w:val="auto"/>
          <w:sz w:val="21"/>
          <w:highlight w:val="none"/>
        </w:rPr>
      </w:pPr>
      <w:r>
        <w:rPr>
          <w:rFonts w:hint="eastAsia" w:ascii="宋体" w:hAnsi="宋体" w:eastAsia="宋体" w:cs="宋体"/>
          <w:color w:val="auto"/>
          <w:sz w:val="21"/>
          <w:highlight w:val="none"/>
        </w:rPr>
        <w:t>（5）依照法律、行政法规的规定或者按照</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约定，货物在有效使用年限届满后应予回收的，乙方负有自行或者委托第三人对货物予以回收的义务；</w:t>
      </w:r>
    </w:p>
    <w:p w14:paraId="29662674">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（6）</w:t>
      </w:r>
      <w:r>
        <w:rPr>
          <w:rFonts w:hint="eastAsia" w:ascii="宋体" w:hAnsi="宋体"/>
          <w:b/>
          <w:color w:val="auto"/>
          <w:szCs w:val="21"/>
          <w:highlight w:val="none"/>
        </w:rPr>
        <w:t>【政府采购合同专用条款】</w:t>
      </w:r>
      <w:r>
        <w:rPr>
          <w:rFonts w:hint="eastAsia" w:ascii="宋体" w:hAnsi="宋体"/>
          <w:color w:val="auto"/>
          <w:szCs w:val="21"/>
          <w:highlight w:val="none"/>
        </w:rPr>
        <w:t>规定由乙方提供的其他服务。</w:t>
      </w:r>
    </w:p>
    <w:p w14:paraId="7C5B247A">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14.2 乙方提供的售后服务的费用已包含在合同价款中，甲方不再另行支付。</w:t>
      </w:r>
    </w:p>
    <w:p w14:paraId="103EE325">
      <w:pPr>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15. 违约责任</w:t>
      </w:r>
    </w:p>
    <w:p w14:paraId="1C2FD90B">
      <w:pPr>
        <w:adjustRightInd w:val="0"/>
        <w:snapToGrid w:val="0"/>
        <w:spacing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15.1质量瑕疵的违约责任</w:t>
      </w:r>
    </w:p>
    <w:p w14:paraId="2CAFBC9F">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乙方提供的产品不符合合同约定的质量标准或存在产品质量缺陷，甲方有权要求乙方根据</w:t>
      </w:r>
      <w:r>
        <w:rPr>
          <w:rFonts w:hint="eastAsia" w:ascii="宋体" w:hAnsi="宋体"/>
          <w:b/>
          <w:color w:val="auto"/>
          <w:szCs w:val="21"/>
          <w:highlight w:val="none"/>
        </w:rPr>
        <w:t>【政府采购合同专用条款】</w:t>
      </w:r>
      <w:r>
        <w:rPr>
          <w:rFonts w:hint="eastAsia" w:ascii="宋体" w:hAnsi="宋体"/>
          <w:bCs/>
          <w:color w:val="auto"/>
          <w:szCs w:val="21"/>
          <w:highlight w:val="none"/>
        </w:rPr>
        <w:t>要求</w:t>
      </w:r>
      <w:r>
        <w:rPr>
          <w:rFonts w:hint="eastAsia" w:ascii="宋体" w:hAnsi="宋体"/>
          <w:color w:val="auto"/>
          <w:szCs w:val="21"/>
          <w:highlight w:val="none"/>
        </w:rPr>
        <w:t>及时修理、重作、更换，并承担由此给甲方造成的损失。</w:t>
      </w:r>
    </w:p>
    <w:p w14:paraId="66A658EA">
      <w:pPr>
        <w:autoSpaceDE w:val="0"/>
        <w:autoSpaceDN w:val="0"/>
        <w:adjustRightInd w:val="0"/>
        <w:snapToGrid w:val="0"/>
        <w:spacing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15.2 迟延交货的违约责任</w:t>
      </w:r>
    </w:p>
    <w:p w14:paraId="191CC53C">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5629B1CF">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（2）如果乙方没有按照合同规定的时间交货和提供相关服务，甲方有权从货款中扣除误期赔偿费而不影响合同项下的其他补救方法，赔偿费按</w:t>
      </w:r>
      <w:r>
        <w:rPr>
          <w:rFonts w:hint="eastAsia" w:ascii="宋体" w:hAnsi="宋体"/>
          <w:b/>
          <w:color w:val="auto"/>
          <w:szCs w:val="21"/>
          <w:highlight w:val="none"/>
        </w:rPr>
        <w:t>【政府采购合同专用条款】</w:t>
      </w:r>
      <w:r>
        <w:rPr>
          <w:rFonts w:hint="eastAsia" w:ascii="宋体" w:hAnsi="宋体"/>
          <w:color w:val="auto"/>
          <w:szCs w:val="21"/>
          <w:highlight w:val="none"/>
        </w:rPr>
        <w:t>规定执行。如果涉及公共利益，且赔偿金额无法弥补公共利益损失，甲方可要求继续履行或者采取其他补救措施。</w:t>
      </w:r>
    </w:p>
    <w:p w14:paraId="6BF3AEE4">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15.3 迟延支付的违约责任</w:t>
      </w:r>
    </w:p>
    <w:p w14:paraId="22BD2173">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甲方存在迟延支付乙方合同款项的，应当承担</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规定的逾期付款利息。</w:t>
      </w:r>
    </w:p>
    <w:p w14:paraId="21A480CE">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bCs/>
          <w:color w:val="auto"/>
          <w:szCs w:val="21"/>
          <w:highlight w:val="none"/>
        </w:rPr>
        <w:t>15.4其他违约责任根据项目实际需要按</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规定执行。</w:t>
      </w:r>
    </w:p>
    <w:p w14:paraId="2FCE2BE0">
      <w:pPr>
        <w:widowControl w:val="0"/>
        <w:numPr>
          <w:ilvl w:val="0"/>
          <w:numId w:val="7"/>
        </w:numPr>
        <w:autoSpaceDE w:val="0"/>
        <w:autoSpaceDN w:val="0"/>
        <w:adjustRightInd w:val="0"/>
        <w:snapToGrid w:val="0"/>
        <w:spacing w:line="400" w:lineRule="exact"/>
        <w:jc w:val="left"/>
        <w:textAlignment w:val="auto"/>
        <w:rPr>
          <w:rFonts w:ascii="宋体" w:hAnsi="宋体"/>
          <w:b/>
          <w:color w:val="auto"/>
          <w:sz w:val="24"/>
          <w:highlight w:val="none"/>
        </w:rPr>
      </w:pPr>
      <w:r>
        <w:rPr>
          <w:rFonts w:hint="eastAsia" w:ascii="宋体" w:hAnsi="宋体"/>
          <w:b/>
          <w:color w:val="auto"/>
          <w:sz w:val="24"/>
          <w:highlight w:val="none"/>
        </w:rPr>
        <w:t>合同变更、中止与终止</w:t>
      </w:r>
    </w:p>
    <w:p w14:paraId="619FE93F">
      <w:pPr>
        <w:adjustRightInd w:val="0"/>
        <w:snapToGrid w:val="0"/>
        <w:spacing w:line="400" w:lineRule="exact"/>
        <w:jc w:val="left"/>
        <w:rPr>
          <w:rFonts w:ascii="宋体" w:hAnsi="宋体"/>
          <w:color w:val="auto"/>
          <w:szCs w:val="21"/>
          <w:highlight w:val="none"/>
        </w:rPr>
      </w:pPr>
      <w:r>
        <w:rPr>
          <w:rFonts w:hint="eastAsia" w:ascii="宋体" w:hAnsi="宋体"/>
          <w:color w:val="auto"/>
          <w:szCs w:val="21"/>
          <w:highlight w:val="none"/>
        </w:rPr>
        <w:t xml:space="preserve">    16.1合同的变更</w:t>
      </w:r>
    </w:p>
    <w:p w14:paraId="56F770A9">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政府采购合同履行中，在不改变合同其他条款的前提下，甲方可以在合同价款10%的范围内追加与合同标的相同的货物，并就此与乙方协商一致后签订补充协议。</w:t>
      </w:r>
    </w:p>
    <w:p w14:paraId="1933B670">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16.2合同的中止</w:t>
      </w:r>
    </w:p>
    <w:p w14:paraId="5E0F3DC1">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（1）合同履行过程中因供应商就采购文件、采购过程或结果提起投诉的，甲方认为有必要的，可以中止合同的履行。</w:t>
      </w:r>
    </w:p>
    <w:p w14:paraId="69A0125D">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728445A7">
      <w:pPr>
        <w:pStyle w:val="65"/>
        <w:ind w:firstLine="420"/>
        <w:jc w:val="both"/>
        <w:rPr>
          <w:color w:val="auto"/>
          <w:sz w:val="21"/>
          <w:highlight w:val="none"/>
        </w:rPr>
      </w:pPr>
      <w:r>
        <w:rPr>
          <w:rFonts w:hint="eastAsia" w:ascii="宋体" w:hAnsi="宋体" w:eastAsia="宋体" w:cs="宋体"/>
          <w:color w:val="auto"/>
          <w:sz w:val="21"/>
          <w:highlight w:val="none"/>
        </w:rPr>
        <w:t>（3）乙方分立、合并或者变更住所的，应当及时以书面形式告知甲方。乙方没有及时告知甲方，致使合同履行发生困难的，甲方可以中止合同履行并要求乙方承担由此给甲方造成的损失。</w:t>
      </w:r>
    </w:p>
    <w:p w14:paraId="26120202">
      <w:pPr>
        <w:snapToGrid w:val="0"/>
        <w:spacing w:line="400" w:lineRule="exact"/>
        <w:ind w:firstLine="420" w:firstLineChars="200"/>
        <w:jc w:val="left"/>
        <w:rPr>
          <w:color w:val="auto"/>
          <w:highlight w:val="none"/>
        </w:rPr>
      </w:pPr>
      <w:r>
        <w:rPr>
          <w:rFonts w:hint="eastAsia" w:ascii="宋体" w:hAnsi="宋体"/>
          <w:color w:val="auto"/>
          <w:szCs w:val="21"/>
          <w:highlight w:val="none"/>
        </w:rPr>
        <w:t>（4）甲方不得以行政区划调整、政府换届、机构或者职能调整以及相关责任人更替为由中止合同。</w:t>
      </w:r>
    </w:p>
    <w:p w14:paraId="2F898812">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16.3合同的终止</w:t>
      </w:r>
    </w:p>
    <w:p w14:paraId="25659BFD">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（1）合同因有效期限届满而终止；</w:t>
      </w:r>
    </w:p>
    <w:p w14:paraId="79C114A1">
      <w:pPr>
        <w:snapToGrid w:val="0"/>
        <w:spacing w:line="400" w:lineRule="exact"/>
        <w:ind w:firstLine="420" w:firstLineChars="200"/>
        <w:rPr>
          <w:rFonts w:ascii="宋体" w:hAnsi="宋体" w:cs="宋体"/>
          <w:color w:val="auto"/>
          <w:szCs w:val="21"/>
          <w:highlight w:val="none"/>
        </w:rPr>
      </w:pPr>
      <w:r>
        <w:rPr>
          <w:rFonts w:hint="eastAsia" w:ascii="宋体" w:hAnsi="宋体"/>
          <w:color w:val="auto"/>
          <w:szCs w:val="21"/>
          <w:highlight w:val="none"/>
        </w:rPr>
        <w:t>（2）乙方未按合同约定履行，构成根本性违约的，甲方有权终止合同，</w:t>
      </w:r>
      <w:r>
        <w:rPr>
          <w:rFonts w:hint="eastAsia" w:ascii="宋体" w:hAnsi="宋体" w:cs="宋体"/>
          <w:color w:val="auto"/>
          <w:szCs w:val="21"/>
          <w:highlight w:val="none"/>
        </w:rPr>
        <w:t>并追究乙方的违约责任</w:t>
      </w:r>
      <w:r>
        <w:rPr>
          <w:rFonts w:hint="eastAsia" w:ascii="宋体" w:hAnsi="宋体"/>
          <w:color w:val="auto"/>
          <w:szCs w:val="21"/>
          <w:highlight w:val="none"/>
        </w:rPr>
        <w:t>。</w:t>
      </w:r>
    </w:p>
    <w:p w14:paraId="6711BC25">
      <w:pPr>
        <w:pStyle w:val="65"/>
        <w:rPr>
          <w:rFonts w:ascii="宋体" w:hAnsi="宋体"/>
          <w:color w:val="auto"/>
          <w:highlight w:val="none"/>
        </w:rPr>
      </w:pPr>
      <w:r>
        <w:rPr>
          <w:rFonts w:hint="eastAsia" w:ascii="宋体" w:hAnsi="宋体"/>
          <w:color w:val="auto"/>
          <w:highlight w:val="none"/>
        </w:rPr>
        <w:t xml:space="preserve">16.4 </w:t>
      </w:r>
      <w:r>
        <w:rPr>
          <w:rFonts w:hint="eastAsia" w:ascii="宋体" w:hAnsi="宋体" w:eastAsia="宋体" w:cs="Times New Roman"/>
          <w:color w:val="auto"/>
          <w:kern w:val="2"/>
          <w:sz w:val="21"/>
          <w:highlight w:val="none"/>
        </w:rPr>
        <w:t>涉及国家利益、社会公共利益的情形</w:t>
      </w:r>
    </w:p>
    <w:p w14:paraId="02A073F9">
      <w:pPr>
        <w:pStyle w:val="65"/>
        <w:ind w:firstLine="420"/>
        <w:jc w:val="both"/>
        <w:rPr>
          <w:color w:val="auto"/>
          <w:sz w:val="21"/>
          <w:highlight w:val="none"/>
        </w:rPr>
      </w:pPr>
      <w:r>
        <w:rPr>
          <w:rFonts w:hint="eastAsia" w:ascii="宋体" w:hAnsi="宋体" w:eastAsia="宋体" w:cs="宋体"/>
          <w:color w:val="auto"/>
          <w:sz w:val="21"/>
          <w:highlight w:val="none"/>
        </w:rPr>
        <w:t>政府采购合同继续履行将损害国家利益和社会公共利益的，双方当事人应当变更、中止或者终止合同。有过错的一方应当承担赔偿责任，双方都有过错的，各自承担相应的责任。</w:t>
      </w:r>
    </w:p>
    <w:p w14:paraId="61659CB0">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17. 合同分包</w:t>
      </w:r>
    </w:p>
    <w:p w14:paraId="3A36A700">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17.1 乙方不得将合同转包给其他供应商。涉及合同分包的，乙方应根据采购文件和投标（响应）文件规定进行合同分包。</w:t>
      </w:r>
    </w:p>
    <w:p w14:paraId="56A04C08">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17.2 乙方执行政府采购政策向中小企业依法分包的，乙方应当按采购文件和投标（响应）文件签订分包意向协议，分包意向协议属于本合同组成部分。</w:t>
      </w:r>
    </w:p>
    <w:p w14:paraId="5E99606E">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18. 不可抗力</w:t>
      </w:r>
    </w:p>
    <w:p w14:paraId="6B4EE5ED">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18.1 不可抗力是指合同双方不能预见、不能避免且不能克服的客观情况。</w:t>
      </w:r>
    </w:p>
    <w:p w14:paraId="275E6D31">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18.2 任何一方对由于不可抗力造成的部分或全部不能履行合同不承担违约责任。但迟延履行后发生不可抗力的，不能免除责任。</w:t>
      </w:r>
    </w:p>
    <w:p w14:paraId="62FE3267">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5D0D318E">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19. 解决争议的方法</w:t>
      </w:r>
    </w:p>
    <w:p w14:paraId="4DD5D59A">
      <w:pPr>
        <w:pStyle w:val="65"/>
        <w:ind w:firstLine="420"/>
        <w:jc w:val="both"/>
        <w:rPr>
          <w:rFonts w:ascii="宋体" w:hAnsi="宋体" w:eastAsia="宋体" w:cs="宋体"/>
          <w:color w:val="auto"/>
          <w:sz w:val="21"/>
          <w:highlight w:val="none"/>
        </w:rPr>
      </w:pPr>
      <w:r>
        <w:rPr>
          <w:rFonts w:hint="eastAsia" w:ascii="宋体" w:hAnsi="宋体" w:eastAsia="宋体" w:cs="宋体"/>
          <w:color w:val="auto"/>
          <w:sz w:val="21"/>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3E3E62BE">
      <w:pPr>
        <w:pStyle w:val="65"/>
        <w:ind w:firstLine="420"/>
        <w:jc w:val="both"/>
        <w:rPr>
          <w:rFonts w:ascii="宋体" w:hAnsi="宋体" w:eastAsia="宋体" w:cs="宋体"/>
          <w:color w:val="auto"/>
          <w:sz w:val="21"/>
          <w:highlight w:val="none"/>
        </w:rPr>
      </w:pPr>
      <w:r>
        <w:rPr>
          <w:rFonts w:hint="eastAsia" w:ascii="宋体" w:hAnsi="宋体" w:eastAsia="宋体" w:cs="宋体"/>
          <w:color w:val="auto"/>
          <w:sz w:val="21"/>
          <w:highlight w:val="none"/>
        </w:rPr>
        <w:t>19.2 选择仲裁的，应在</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中明确仲裁机构及仲裁地；通过诉讼方式解决的，可以在</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中进一步约定选择与争议有实际联系的地点的人民法院管辖，但管辖法院的约定不得违反级别管辖和专属管辖的规定。</w:t>
      </w:r>
    </w:p>
    <w:p w14:paraId="56F4889E">
      <w:pPr>
        <w:pStyle w:val="65"/>
        <w:ind w:firstLine="420"/>
        <w:jc w:val="both"/>
        <w:rPr>
          <w:rFonts w:ascii="宋体" w:hAnsi="宋体" w:eastAsia="宋体" w:cs="宋体"/>
          <w:color w:val="auto"/>
          <w:sz w:val="21"/>
          <w:highlight w:val="none"/>
        </w:rPr>
      </w:pPr>
      <w:r>
        <w:rPr>
          <w:rFonts w:hint="eastAsia" w:ascii="宋体" w:hAnsi="宋体" w:eastAsia="宋体" w:cs="宋体"/>
          <w:color w:val="auto"/>
          <w:sz w:val="21"/>
          <w:highlight w:val="none"/>
        </w:rPr>
        <w:t>19.3 如甲乙双方有争议的事项不影响合同其他部分的履行，在争议解决期间，合同其他部分应当继续履行。</w:t>
      </w:r>
    </w:p>
    <w:p w14:paraId="1E52C25B">
      <w:pPr>
        <w:autoSpaceDE w:val="0"/>
        <w:autoSpaceDN w:val="0"/>
        <w:adjustRightInd w:val="0"/>
        <w:snapToGrid w:val="0"/>
        <w:spacing w:line="400" w:lineRule="exact"/>
        <w:jc w:val="left"/>
        <w:rPr>
          <w:rFonts w:ascii="宋体" w:hAnsi="宋体"/>
          <w:color w:val="auto"/>
          <w:sz w:val="24"/>
          <w:highlight w:val="none"/>
        </w:rPr>
      </w:pPr>
      <w:r>
        <w:rPr>
          <w:rFonts w:hint="eastAsia" w:ascii="宋体" w:hAnsi="宋体"/>
          <w:b/>
          <w:color w:val="auto"/>
          <w:sz w:val="24"/>
          <w:highlight w:val="none"/>
        </w:rPr>
        <w:t>20. 政府采购政策</w:t>
      </w:r>
    </w:p>
    <w:p w14:paraId="4B6F14B7">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20.1 </w:t>
      </w:r>
      <w:r>
        <w:rPr>
          <w:rFonts w:hint="eastAsia" w:ascii="宋体" w:hAnsi="宋体" w:cs="宋体"/>
          <w:color w:val="auto"/>
          <w:highlight w:val="none"/>
          <w:lang w:val="en-GB"/>
        </w:rPr>
        <w:t>本合同应当按照规定执行政府采购政策。</w:t>
      </w:r>
    </w:p>
    <w:p w14:paraId="77C0F47D">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0.2 本合同依法执行政府采购政策的方式和内容，属于合同履约验收的范围。</w:t>
      </w:r>
      <w:r>
        <w:rPr>
          <w:rFonts w:hint="eastAsia" w:ascii="宋体" w:hAnsi="宋体" w:cs="宋体"/>
          <w:color w:val="auto"/>
          <w:highlight w:val="none"/>
        </w:rPr>
        <w:t>甲乙双方</w:t>
      </w:r>
      <w:r>
        <w:rPr>
          <w:rFonts w:hint="eastAsia" w:ascii="宋体" w:hAnsi="宋体" w:cs="宋体"/>
          <w:color w:val="auto"/>
          <w:highlight w:val="none"/>
          <w:lang w:val="en-GB"/>
        </w:rPr>
        <w:t>未按规定要求执行政府采购政策造成损失的</w:t>
      </w:r>
      <w:r>
        <w:rPr>
          <w:rFonts w:hint="eastAsia" w:ascii="宋体" w:hAnsi="宋体"/>
          <w:color w:val="auto"/>
          <w:szCs w:val="21"/>
          <w:highlight w:val="none"/>
        </w:rPr>
        <w:t>，有过错的一方应当承担赔偿责任，双方都有过错的，各自承担相应的责任。</w:t>
      </w:r>
    </w:p>
    <w:p w14:paraId="68F21917">
      <w:pPr>
        <w:pStyle w:val="5"/>
        <w:spacing w:after="0" w:line="400" w:lineRule="exact"/>
        <w:ind w:firstLine="420" w:firstLineChars="200"/>
        <w:rPr>
          <w:color w:val="auto"/>
          <w:highlight w:val="none"/>
        </w:rPr>
      </w:pPr>
      <w:r>
        <w:rPr>
          <w:rFonts w:ascii="宋体" w:hAnsi="宋体"/>
          <w:color w:val="auto"/>
          <w:szCs w:val="21"/>
          <w:highlight w:val="none"/>
        </w:rPr>
        <w:t>2</w:t>
      </w:r>
      <w:r>
        <w:rPr>
          <w:rFonts w:hint="eastAsia" w:ascii="宋体" w:hAnsi="宋体"/>
          <w:color w:val="auto"/>
          <w:szCs w:val="21"/>
          <w:highlight w:val="none"/>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3E872294">
      <w:pPr>
        <w:autoSpaceDE w:val="0"/>
        <w:autoSpaceDN w:val="0"/>
        <w:adjustRightInd w:val="0"/>
        <w:snapToGrid w:val="0"/>
        <w:spacing w:line="400" w:lineRule="exact"/>
        <w:jc w:val="left"/>
        <w:rPr>
          <w:rFonts w:ascii="宋体" w:hAnsi="宋体"/>
          <w:b/>
          <w:color w:val="auto"/>
          <w:sz w:val="24"/>
          <w:highlight w:val="none"/>
        </w:rPr>
      </w:pPr>
      <w:r>
        <w:rPr>
          <w:rFonts w:hint="eastAsia" w:ascii="宋体" w:hAnsi="宋体"/>
          <w:b/>
          <w:color w:val="auto"/>
          <w:sz w:val="24"/>
          <w:highlight w:val="none"/>
        </w:rPr>
        <w:t>21. 法律适用</w:t>
      </w:r>
    </w:p>
    <w:p w14:paraId="0DA11FEF">
      <w:pPr>
        <w:pStyle w:val="65"/>
        <w:ind w:firstLine="420"/>
        <w:jc w:val="both"/>
        <w:rPr>
          <w:rFonts w:ascii="宋体" w:hAnsi="宋体" w:eastAsia="宋体" w:cs="宋体"/>
          <w:color w:val="auto"/>
          <w:sz w:val="21"/>
          <w:highlight w:val="none"/>
        </w:rPr>
      </w:pPr>
      <w:r>
        <w:rPr>
          <w:rFonts w:hint="eastAsia" w:ascii="宋体" w:hAnsi="宋体" w:eastAsia="宋体" w:cs="宋体"/>
          <w:color w:val="auto"/>
          <w:sz w:val="21"/>
          <w:highlight w:val="none"/>
        </w:rPr>
        <w:t>21.1 本合同的订立、生效、解释、履行及与本合同有关的争议解决，均适用法律、行政法规。</w:t>
      </w:r>
    </w:p>
    <w:p w14:paraId="7343983C">
      <w:pPr>
        <w:pStyle w:val="65"/>
        <w:ind w:firstLine="420"/>
        <w:jc w:val="both"/>
        <w:rPr>
          <w:rFonts w:ascii="宋体" w:hAnsi="宋体" w:eastAsia="宋体" w:cs="宋体"/>
          <w:color w:val="auto"/>
          <w:sz w:val="21"/>
          <w:highlight w:val="none"/>
        </w:rPr>
      </w:pPr>
      <w:r>
        <w:rPr>
          <w:rFonts w:hint="eastAsia" w:ascii="宋体" w:hAnsi="宋体" w:eastAsia="宋体" w:cs="宋体"/>
          <w:color w:val="auto"/>
          <w:sz w:val="21"/>
          <w:highlight w:val="none"/>
        </w:rPr>
        <w:t>21.2 本合同条款与法律、行政法规的强制性规定不一致的，双方当事人应按照法律、行政法规的强制性规定修改本合同的相关条款。</w:t>
      </w:r>
    </w:p>
    <w:p w14:paraId="6EE5F2BF">
      <w:pPr>
        <w:numPr>
          <w:ilvl w:val="255"/>
          <w:numId w:val="0"/>
        </w:numPr>
        <w:autoSpaceDE w:val="0"/>
        <w:autoSpaceDN w:val="0"/>
        <w:adjustRightInd w:val="0"/>
        <w:snapToGrid w:val="0"/>
        <w:spacing w:line="400" w:lineRule="exact"/>
        <w:jc w:val="left"/>
        <w:rPr>
          <w:rFonts w:ascii="宋体" w:hAnsi="宋体"/>
          <w:b/>
          <w:color w:val="auto"/>
          <w:sz w:val="24"/>
          <w:highlight w:val="none"/>
        </w:rPr>
      </w:pPr>
      <w:r>
        <w:rPr>
          <w:rFonts w:hint="eastAsia" w:ascii="宋体" w:hAnsi="宋体"/>
          <w:b/>
          <w:color w:val="auto"/>
          <w:sz w:val="24"/>
          <w:highlight w:val="none"/>
        </w:rPr>
        <w:t>22. 通知</w:t>
      </w:r>
    </w:p>
    <w:p w14:paraId="00E2C7AD">
      <w:pPr>
        <w:pStyle w:val="65"/>
        <w:ind w:firstLine="420"/>
        <w:jc w:val="both"/>
        <w:rPr>
          <w:rFonts w:ascii="宋体" w:hAnsi="宋体" w:eastAsia="宋体" w:cs="宋体"/>
          <w:color w:val="auto"/>
          <w:sz w:val="21"/>
          <w:highlight w:val="none"/>
        </w:rPr>
      </w:pPr>
      <w:r>
        <w:rPr>
          <w:rFonts w:hint="eastAsia" w:ascii="宋体" w:hAnsi="宋体" w:eastAsia="宋体" w:cs="宋体"/>
          <w:color w:val="auto"/>
          <w:sz w:val="21"/>
          <w:highlight w:val="none"/>
        </w:rPr>
        <w:t>22.1 本合同任何一方向对方发出的通知、信件、数据电文等，应当发送至本合同第一部分《政府采购合同协议书》所约定的通讯地址、联系人、联系电话或电子邮箱。</w:t>
      </w:r>
    </w:p>
    <w:p w14:paraId="6E40DDCB">
      <w:pPr>
        <w:pStyle w:val="65"/>
        <w:ind w:firstLine="0" w:firstLineChars="0"/>
        <w:jc w:val="both"/>
        <w:rPr>
          <w:color w:val="auto"/>
          <w:sz w:val="21"/>
          <w:highlight w:val="none"/>
        </w:rPr>
      </w:pPr>
      <w:r>
        <w:rPr>
          <w:rFonts w:hint="eastAsia" w:ascii="宋体" w:hAnsi="宋体" w:eastAsia="宋体" w:cs="宋体"/>
          <w:color w:val="auto"/>
          <w:sz w:val="21"/>
          <w:highlight w:val="none"/>
        </w:rPr>
        <w:t xml:space="preserve">    22.2 一方当事人变更名称、住所、联系人、联系电话或电子邮箱等信息的，应当在变更后3日内及时书面通知对方，对方实际收到变更通知前的送达仍为有效送达。</w:t>
      </w:r>
    </w:p>
    <w:p w14:paraId="360D3ED8">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22.3本合同一方给另一方的通知均应采用书面形式，传真或快递送到本合同中规定的对方的地址和办理签收手续。</w:t>
      </w:r>
    </w:p>
    <w:p w14:paraId="6460B013">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22.4通知以送达之日或通知书中规定的生效之日起生效，两者中以较迟之日为准。</w:t>
      </w:r>
    </w:p>
    <w:p w14:paraId="4221EB23">
      <w:pPr>
        <w:widowControl w:val="0"/>
        <w:numPr>
          <w:ilvl w:val="0"/>
          <w:numId w:val="8"/>
        </w:numPr>
        <w:adjustRightInd w:val="0"/>
        <w:snapToGrid w:val="0"/>
        <w:spacing w:line="400" w:lineRule="exact"/>
        <w:jc w:val="left"/>
        <w:textAlignment w:val="auto"/>
        <w:rPr>
          <w:rFonts w:ascii="宋体" w:hAnsi="宋体"/>
          <w:b/>
          <w:bCs/>
          <w:color w:val="auto"/>
          <w:sz w:val="24"/>
          <w:highlight w:val="none"/>
        </w:rPr>
      </w:pPr>
      <w:r>
        <w:rPr>
          <w:rFonts w:hint="eastAsia" w:ascii="宋体" w:hAnsi="宋体"/>
          <w:b/>
          <w:bCs/>
          <w:color w:val="auto"/>
          <w:sz w:val="24"/>
          <w:highlight w:val="none"/>
        </w:rPr>
        <w:t>合同未尽事项</w:t>
      </w:r>
    </w:p>
    <w:p w14:paraId="37887162">
      <w:pPr>
        <w:adjustRightInd w:val="0"/>
        <w:snapToGrid w:val="0"/>
        <w:spacing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23.1合同未尽事项见</w:t>
      </w:r>
      <w:r>
        <w:rPr>
          <w:rFonts w:hint="eastAsia" w:ascii="宋体" w:hAnsi="宋体"/>
          <w:b/>
          <w:color w:val="auto"/>
          <w:szCs w:val="21"/>
          <w:highlight w:val="none"/>
        </w:rPr>
        <w:t>【政府采购合同专用条款】</w:t>
      </w:r>
      <w:r>
        <w:rPr>
          <w:rFonts w:hint="eastAsia" w:ascii="宋体" w:hAnsi="宋体"/>
          <w:bCs/>
          <w:color w:val="auto"/>
          <w:szCs w:val="21"/>
          <w:highlight w:val="none"/>
        </w:rPr>
        <w:t>。</w:t>
      </w:r>
    </w:p>
    <w:p w14:paraId="61D91922">
      <w:pPr>
        <w:adjustRightInd w:val="0"/>
        <w:snapToGrid w:val="0"/>
        <w:spacing w:line="400" w:lineRule="exact"/>
        <w:jc w:val="left"/>
        <w:rPr>
          <w:rFonts w:ascii="黑体" w:hAnsi="华文中宋" w:eastAsia="黑体"/>
          <w:color w:val="auto"/>
          <w:sz w:val="28"/>
          <w:szCs w:val="28"/>
          <w:highlight w:val="none"/>
        </w:rPr>
      </w:pPr>
      <w:r>
        <w:rPr>
          <w:rFonts w:hint="eastAsia" w:ascii="宋体" w:hAnsi="宋体"/>
          <w:bCs/>
          <w:color w:val="auto"/>
          <w:szCs w:val="21"/>
          <w:highlight w:val="none"/>
        </w:rPr>
        <w:t xml:space="preserve">    23.2 合同附件与合同正文具有同等的法律效力。</w:t>
      </w:r>
      <w:bookmarkStart w:id="58" w:name="_Toc20313"/>
    </w:p>
    <w:p w14:paraId="1FE70765">
      <w:pPr>
        <w:adjustRightInd w:val="0"/>
        <w:snapToGrid w:val="0"/>
        <w:jc w:val="center"/>
        <w:rPr>
          <w:rFonts w:ascii="黑体" w:hAnsi="华文中宋" w:eastAsia="黑体"/>
          <w:color w:val="auto"/>
          <w:sz w:val="28"/>
          <w:szCs w:val="28"/>
          <w:highlight w:val="none"/>
        </w:rPr>
      </w:pPr>
      <w:r>
        <w:rPr>
          <w:rFonts w:hint="eastAsia" w:ascii="黑体" w:hAnsi="华文中宋" w:eastAsia="黑体"/>
          <w:color w:val="auto"/>
          <w:sz w:val="28"/>
          <w:szCs w:val="28"/>
          <w:highlight w:val="none"/>
        </w:rPr>
        <w:br w:type="page"/>
      </w:r>
    </w:p>
    <w:p w14:paraId="5EFC279D">
      <w:pPr>
        <w:pStyle w:val="3"/>
        <w:adjustRightInd w:val="0"/>
        <w:snapToGrid w:val="0"/>
        <w:jc w:val="center"/>
        <w:rPr>
          <w:rFonts w:ascii="黑体" w:hAnsi="华文中宋" w:eastAsia="黑体"/>
          <w:b w:val="0"/>
          <w:bCs w:val="0"/>
          <w:color w:val="auto"/>
          <w:sz w:val="28"/>
          <w:szCs w:val="28"/>
          <w:highlight w:val="none"/>
        </w:rPr>
      </w:pPr>
      <w:bookmarkStart w:id="59" w:name="_Toc191287888"/>
      <w:bookmarkStart w:id="60" w:name="_Toc209083651"/>
      <w:r>
        <w:rPr>
          <w:rFonts w:hint="eastAsia" w:ascii="黑体" w:hAnsi="华文中宋" w:eastAsia="黑体"/>
          <w:b w:val="0"/>
          <w:bCs w:val="0"/>
          <w:color w:val="auto"/>
          <w:sz w:val="28"/>
          <w:szCs w:val="28"/>
          <w:highlight w:val="none"/>
        </w:rPr>
        <w:t>第三节 政府采购合同专用条款</w:t>
      </w:r>
      <w:bookmarkEnd w:id="58"/>
      <w:bookmarkEnd w:id="59"/>
      <w:bookmarkEnd w:id="60"/>
    </w:p>
    <w:tbl>
      <w:tblPr>
        <w:tblStyle w:val="16"/>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3E29747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50778DE">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09A79595">
            <w:pPr>
              <w:adjustRightInd w:val="0"/>
              <w:snapToGrid w:val="0"/>
              <w:jc w:val="center"/>
              <w:rPr>
                <w:rFonts w:ascii="宋体" w:hAnsi="宋体"/>
                <w:color w:val="auto"/>
                <w:szCs w:val="21"/>
                <w:highlight w:val="none"/>
              </w:rPr>
            </w:pPr>
            <w:r>
              <w:rPr>
                <w:rFonts w:hint="eastAsia" w:ascii="宋体" w:hAnsi="宋体"/>
                <w:color w:val="auto"/>
                <w:szCs w:val="21"/>
                <w:highlight w:val="none"/>
              </w:rPr>
              <w:t>第1.2（6）项</w:t>
            </w:r>
          </w:p>
        </w:tc>
        <w:tc>
          <w:tcPr>
            <w:tcW w:w="1742" w:type="dxa"/>
            <w:vAlign w:val="center"/>
          </w:tcPr>
          <w:p w14:paraId="48FC4A66">
            <w:pPr>
              <w:adjustRightInd w:val="0"/>
              <w:snapToGrid w:val="0"/>
              <w:jc w:val="left"/>
              <w:rPr>
                <w:rFonts w:ascii="宋体" w:hAnsi="宋体"/>
                <w:color w:val="auto"/>
                <w:szCs w:val="21"/>
                <w:highlight w:val="none"/>
              </w:rPr>
            </w:pPr>
            <w:r>
              <w:rPr>
                <w:rFonts w:hint="eastAsia" w:ascii="宋体" w:hAnsi="宋体"/>
                <w:color w:val="auto"/>
                <w:szCs w:val="21"/>
                <w:highlight w:val="none"/>
              </w:rPr>
              <w:t>联合体具体要求</w:t>
            </w:r>
          </w:p>
        </w:tc>
        <w:tc>
          <w:tcPr>
            <w:tcW w:w="5170" w:type="dxa"/>
            <w:vAlign w:val="center"/>
          </w:tcPr>
          <w:p w14:paraId="5F0F0669">
            <w:pPr>
              <w:adjustRightInd w:val="0"/>
              <w:snapToGrid w:val="0"/>
              <w:jc w:val="left"/>
              <w:rPr>
                <w:rFonts w:ascii="宋体" w:hAnsi="宋体"/>
                <w:color w:val="auto"/>
                <w:szCs w:val="21"/>
                <w:highlight w:val="none"/>
              </w:rPr>
            </w:pPr>
          </w:p>
        </w:tc>
      </w:tr>
      <w:tr w14:paraId="4F47C9C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3D4462E5">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7C5CC0E0">
            <w:pPr>
              <w:adjustRightInd w:val="0"/>
              <w:snapToGrid w:val="0"/>
              <w:jc w:val="center"/>
              <w:rPr>
                <w:rFonts w:ascii="宋体" w:hAnsi="宋体"/>
                <w:color w:val="auto"/>
                <w:szCs w:val="21"/>
                <w:highlight w:val="none"/>
              </w:rPr>
            </w:pPr>
            <w:r>
              <w:rPr>
                <w:rFonts w:hint="eastAsia" w:ascii="宋体" w:hAnsi="宋体"/>
                <w:color w:val="auto"/>
                <w:szCs w:val="21"/>
                <w:highlight w:val="none"/>
              </w:rPr>
              <w:t>第1.2（7）项</w:t>
            </w:r>
          </w:p>
        </w:tc>
        <w:tc>
          <w:tcPr>
            <w:tcW w:w="1742" w:type="dxa"/>
            <w:vAlign w:val="center"/>
          </w:tcPr>
          <w:p w14:paraId="4C61BFA9">
            <w:pPr>
              <w:adjustRightInd w:val="0"/>
              <w:snapToGrid w:val="0"/>
              <w:jc w:val="left"/>
              <w:rPr>
                <w:rFonts w:ascii="宋体" w:hAnsi="宋体"/>
                <w:color w:val="auto"/>
                <w:szCs w:val="21"/>
                <w:highlight w:val="none"/>
              </w:rPr>
            </w:pPr>
            <w:r>
              <w:rPr>
                <w:rFonts w:hint="eastAsia" w:ascii="宋体" w:hAnsi="宋体"/>
                <w:color w:val="auto"/>
                <w:szCs w:val="21"/>
                <w:highlight w:val="none"/>
              </w:rPr>
              <w:t>其他术语解释</w:t>
            </w:r>
          </w:p>
        </w:tc>
        <w:tc>
          <w:tcPr>
            <w:tcW w:w="5170" w:type="dxa"/>
            <w:vAlign w:val="center"/>
          </w:tcPr>
          <w:p w14:paraId="33BEB790">
            <w:pPr>
              <w:adjustRightInd w:val="0"/>
              <w:snapToGrid w:val="0"/>
              <w:jc w:val="left"/>
              <w:rPr>
                <w:rFonts w:ascii="宋体" w:hAnsi="宋体"/>
                <w:color w:val="auto"/>
                <w:szCs w:val="21"/>
                <w:highlight w:val="none"/>
              </w:rPr>
            </w:pPr>
          </w:p>
        </w:tc>
      </w:tr>
      <w:tr w14:paraId="2DEE949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B875A71">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687B9DC7">
            <w:pPr>
              <w:adjustRightInd w:val="0"/>
              <w:snapToGrid w:val="0"/>
              <w:jc w:val="center"/>
              <w:rPr>
                <w:rFonts w:ascii="宋体" w:hAnsi="宋体"/>
                <w:color w:val="auto"/>
                <w:szCs w:val="21"/>
                <w:highlight w:val="none"/>
              </w:rPr>
            </w:pPr>
            <w:r>
              <w:rPr>
                <w:rFonts w:hint="eastAsia" w:ascii="宋体" w:hAnsi="宋体"/>
                <w:color w:val="auto"/>
                <w:szCs w:val="21"/>
                <w:highlight w:val="none"/>
              </w:rPr>
              <w:t>第4.4款</w:t>
            </w:r>
          </w:p>
        </w:tc>
        <w:tc>
          <w:tcPr>
            <w:tcW w:w="1742" w:type="dxa"/>
            <w:vAlign w:val="center"/>
          </w:tcPr>
          <w:p w14:paraId="7C2D466D">
            <w:pPr>
              <w:adjustRightInd w:val="0"/>
              <w:snapToGrid w:val="0"/>
              <w:jc w:val="left"/>
              <w:rPr>
                <w:rFonts w:ascii="宋体" w:hAnsi="宋体"/>
                <w:color w:val="auto"/>
                <w:szCs w:val="21"/>
                <w:highlight w:val="none"/>
              </w:rPr>
            </w:pPr>
            <w:r>
              <w:rPr>
                <w:rFonts w:hint="eastAsia" w:ascii="宋体" w:hAnsi="宋体"/>
                <w:color w:val="auto"/>
                <w:szCs w:val="21"/>
                <w:highlight w:val="none"/>
              </w:rPr>
              <w:t>履约验收中甲方提出异议或作出说明的期限</w:t>
            </w:r>
          </w:p>
        </w:tc>
        <w:tc>
          <w:tcPr>
            <w:tcW w:w="5170" w:type="dxa"/>
            <w:vAlign w:val="center"/>
          </w:tcPr>
          <w:p w14:paraId="0C5419A5">
            <w:pPr>
              <w:adjustRightInd w:val="0"/>
              <w:snapToGrid w:val="0"/>
              <w:jc w:val="left"/>
              <w:rPr>
                <w:rFonts w:ascii="宋体" w:hAnsi="宋体"/>
                <w:color w:val="auto"/>
                <w:szCs w:val="21"/>
                <w:highlight w:val="none"/>
              </w:rPr>
            </w:pPr>
          </w:p>
        </w:tc>
      </w:tr>
      <w:tr w14:paraId="1C883C7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631EB1C">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181CA940">
            <w:pPr>
              <w:adjustRightInd w:val="0"/>
              <w:snapToGrid w:val="0"/>
              <w:jc w:val="center"/>
              <w:rPr>
                <w:rFonts w:ascii="宋体" w:hAnsi="宋体"/>
                <w:color w:val="auto"/>
                <w:szCs w:val="21"/>
                <w:highlight w:val="none"/>
              </w:rPr>
            </w:pPr>
            <w:r>
              <w:rPr>
                <w:rFonts w:hint="eastAsia" w:ascii="宋体" w:hAnsi="宋体"/>
                <w:color w:val="auto"/>
                <w:szCs w:val="21"/>
                <w:highlight w:val="none"/>
              </w:rPr>
              <w:t>第4.6款</w:t>
            </w:r>
          </w:p>
        </w:tc>
        <w:tc>
          <w:tcPr>
            <w:tcW w:w="1742" w:type="dxa"/>
            <w:vAlign w:val="center"/>
          </w:tcPr>
          <w:p w14:paraId="330A185F">
            <w:pPr>
              <w:adjustRightInd w:val="0"/>
              <w:snapToGrid w:val="0"/>
              <w:jc w:val="left"/>
              <w:rPr>
                <w:rFonts w:ascii="宋体" w:hAnsi="宋体"/>
                <w:color w:val="auto"/>
                <w:szCs w:val="21"/>
                <w:highlight w:val="none"/>
              </w:rPr>
            </w:pPr>
            <w:r>
              <w:rPr>
                <w:rFonts w:hint="eastAsia" w:ascii="宋体" w:hAnsi="宋体"/>
                <w:color w:val="auto"/>
                <w:szCs w:val="21"/>
                <w:highlight w:val="none"/>
              </w:rPr>
              <w:t>约定甲方承担的其他义务和责任</w:t>
            </w:r>
          </w:p>
        </w:tc>
        <w:tc>
          <w:tcPr>
            <w:tcW w:w="5170" w:type="dxa"/>
            <w:vAlign w:val="center"/>
          </w:tcPr>
          <w:p w14:paraId="60CBD08E">
            <w:pPr>
              <w:adjustRightInd w:val="0"/>
              <w:snapToGrid w:val="0"/>
              <w:jc w:val="left"/>
              <w:rPr>
                <w:rFonts w:ascii="宋体" w:hAnsi="宋体"/>
                <w:color w:val="auto"/>
                <w:szCs w:val="21"/>
                <w:highlight w:val="none"/>
              </w:rPr>
            </w:pPr>
          </w:p>
        </w:tc>
      </w:tr>
      <w:tr w14:paraId="5F2E8A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B1A5D2C">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18A061A3">
            <w:pPr>
              <w:snapToGrid w:val="0"/>
              <w:jc w:val="center"/>
              <w:rPr>
                <w:color w:val="auto"/>
                <w:highlight w:val="none"/>
              </w:rPr>
            </w:pPr>
            <w:r>
              <w:rPr>
                <w:rFonts w:hint="eastAsia" w:ascii="宋体" w:hAnsi="宋体"/>
                <w:color w:val="auto"/>
                <w:szCs w:val="21"/>
                <w:highlight w:val="none"/>
              </w:rPr>
              <w:t>第5.4款</w:t>
            </w:r>
          </w:p>
        </w:tc>
        <w:tc>
          <w:tcPr>
            <w:tcW w:w="1742" w:type="dxa"/>
            <w:vAlign w:val="center"/>
          </w:tcPr>
          <w:p w14:paraId="3E7132E2">
            <w:pPr>
              <w:adjustRightInd w:val="0"/>
              <w:snapToGrid w:val="0"/>
              <w:jc w:val="left"/>
              <w:rPr>
                <w:rFonts w:ascii="宋体" w:hAnsi="宋体"/>
                <w:color w:val="auto"/>
                <w:szCs w:val="21"/>
                <w:highlight w:val="none"/>
              </w:rPr>
            </w:pPr>
            <w:r>
              <w:rPr>
                <w:rFonts w:hint="eastAsia" w:ascii="宋体" w:hAnsi="宋体"/>
                <w:color w:val="auto"/>
                <w:szCs w:val="21"/>
                <w:highlight w:val="none"/>
              </w:rPr>
              <w:t>约定乙方承担的其他义务和责任</w:t>
            </w:r>
          </w:p>
        </w:tc>
        <w:tc>
          <w:tcPr>
            <w:tcW w:w="5170" w:type="dxa"/>
            <w:vAlign w:val="center"/>
          </w:tcPr>
          <w:p w14:paraId="2114D050">
            <w:pPr>
              <w:adjustRightInd w:val="0"/>
              <w:snapToGrid w:val="0"/>
              <w:jc w:val="left"/>
              <w:rPr>
                <w:rFonts w:ascii="宋体" w:hAnsi="宋体"/>
                <w:color w:val="auto"/>
                <w:szCs w:val="21"/>
                <w:highlight w:val="none"/>
              </w:rPr>
            </w:pPr>
          </w:p>
        </w:tc>
      </w:tr>
      <w:tr w14:paraId="5FF47F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EA750F6">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087DCD20">
            <w:pPr>
              <w:snapToGrid w:val="0"/>
              <w:jc w:val="center"/>
              <w:rPr>
                <w:rFonts w:ascii="宋体" w:hAnsi="宋体"/>
                <w:color w:val="auto"/>
                <w:szCs w:val="21"/>
                <w:highlight w:val="none"/>
              </w:rPr>
            </w:pPr>
            <w:r>
              <w:rPr>
                <w:rFonts w:hint="eastAsia" w:ascii="宋体" w:hAnsi="宋体"/>
                <w:color w:val="auto"/>
                <w:szCs w:val="21"/>
                <w:highlight w:val="none"/>
              </w:rPr>
              <w:t>第6.1款</w:t>
            </w:r>
          </w:p>
        </w:tc>
        <w:tc>
          <w:tcPr>
            <w:tcW w:w="1742" w:type="dxa"/>
            <w:vAlign w:val="center"/>
          </w:tcPr>
          <w:p w14:paraId="3A769BA2">
            <w:pPr>
              <w:adjustRightInd w:val="0"/>
              <w:snapToGrid w:val="0"/>
              <w:jc w:val="left"/>
              <w:rPr>
                <w:rFonts w:ascii="宋体" w:hAnsi="宋体"/>
                <w:color w:val="auto"/>
                <w:szCs w:val="21"/>
                <w:highlight w:val="none"/>
              </w:rPr>
            </w:pPr>
            <w:r>
              <w:rPr>
                <w:rFonts w:hint="eastAsia" w:ascii="宋体" w:hAnsi="宋体"/>
                <w:color w:val="auto"/>
                <w:szCs w:val="21"/>
                <w:highlight w:val="none"/>
              </w:rPr>
              <w:t>履行合同义务的顺序</w:t>
            </w:r>
          </w:p>
        </w:tc>
        <w:tc>
          <w:tcPr>
            <w:tcW w:w="5170" w:type="dxa"/>
            <w:vAlign w:val="center"/>
          </w:tcPr>
          <w:p w14:paraId="7649AB33">
            <w:pPr>
              <w:adjustRightInd w:val="0"/>
              <w:snapToGrid w:val="0"/>
              <w:jc w:val="left"/>
              <w:rPr>
                <w:rFonts w:ascii="宋体" w:hAnsi="宋体"/>
                <w:color w:val="auto"/>
                <w:szCs w:val="21"/>
                <w:highlight w:val="none"/>
              </w:rPr>
            </w:pPr>
          </w:p>
        </w:tc>
      </w:tr>
      <w:tr w14:paraId="05074A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52DE7624">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003B8987">
            <w:pPr>
              <w:adjustRightInd w:val="0"/>
              <w:snapToGrid w:val="0"/>
              <w:jc w:val="center"/>
              <w:rPr>
                <w:rFonts w:ascii="宋体" w:hAnsi="宋体"/>
                <w:color w:val="auto"/>
                <w:szCs w:val="21"/>
                <w:highlight w:val="none"/>
              </w:rPr>
            </w:pPr>
            <w:r>
              <w:rPr>
                <w:rFonts w:hint="eastAsia" w:ascii="宋体" w:hAnsi="宋体"/>
                <w:color w:val="auto"/>
                <w:szCs w:val="21"/>
                <w:highlight w:val="none"/>
              </w:rPr>
              <w:t>第7.1款</w:t>
            </w:r>
          </w:p>
        </w:tc>
        <w:tc>
          <w:tcPr>
            <w:tcW w:w="1742" w:type="dxa"/>
            <w:vAlign w:val="center"/>
          </w:tcPr>
          <w:p w14:paraId="7BD01230">
            <w:pPr>
              <w:adjustRightInd w:val="0"/>
              <w:snapToGrid w:val="0"/>
              <w:jc w:val="left"/>
              <w:rPr>
                <w:rFonts w:ascii="宋体" w:hAnsi="宋体"/>
                <w:color w:val="auto"/>
                <w:szCs w:val="21"/>
                <w:highlight w:val="none"/>
              </w:rPr>
            </w:pPr>
            <w:r>
              <w:rPr>
                <w:rFonts w:hint="eastAsia" w:ascii="宋体" w:hAnsi="宋体"/>
                <w:color w:val="auto"/>
                <w:szCs w:val="21"/>
                <w:highlight w:val="none"/>
              </w:rPr>
              <w:t>包装特殊要求</w:t>
            </w:r>
          </w:p>
        </w:tc>
        <w:tc>
          <w:tcPr>
            <w:tcW w:w="5170" w:type="dxa"/>
            <w:vAlign w:val="center"/>
          </w:tcPr>
          <w:p w14:paraId="08B9F9DF">
            <w:pPr>
              <w:rPr>
                <w:color w:val="auto"/>
                <w:highlight w:val="none"/>
              </w:rPr>
            </w:pPr>
          </w:p>
        </w:tc>
      </w:tr>
      <w:tr w14:paraId="093C02F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5E7ED338">
            <w:pPr>
              <w:adjustRightInd w:val="0"/>
              <w:snapToGrid w:val="0"/>
              <w:jc w:val="center"/>
              <w:rPr>
                <w:rFonts w:ascii="宋体" w:hAnsi="宋体"/>
                <w:color w:val="auto"/>
                <w:szCs w:val="21"/>
                <w:highlight w:val="none"/>
              </w:rPr>
            </w:pPr>
          </w:p>
        </w:tc>
        <w:tc>
          <w:tcPr>
            <w:tcW w:w="1742" w:type="dxa"/>
            <w:vAlign w:val="center"/>
          </w:tcPr>
          <w:p w14:paraId="04D23017">
            <w:pPr>
              <w:adjustRightInd w:val="0"/>
              <w:snapToGrid w:val="0"/>
              <w:jc w:val="left"/>
              <w:rPr>
                <w:rFonts w:ascii="宋体" w:hAnsi="宋体"/>
                <w:color w:val="auto"/>
                <w:szCs w:val="21"/>
                <w:highlight w:val="none"/>
              </w:rPr>
            </w:pPr>
            <w:r>
              <w:rPr>
                <w:rFonts w:hint="eastAsia" w:ascii="宋体" w:hAnsi="宋体"/>
                <w:color w:val="auto"/>
                <w:szCs w:val="21"/>
                <w:highlight w:val="none"/>
              </w:rPr>
              <w:t>指定现场</w:t>
            </w:r>
          </w:p>
        </w:tc>
        <w:tc>
          <w:tcPr>
            <w:tcW w:w="5170" w:type="dxa"/>
            <w:vAlign w:val="center"/>
          </w:tcPr>
          <w:p w14:paraId="3EB33147">
            <w:pPr>
              <w:rPr>
                <w:color w:val="auto"/>
                <w:highlight w:val="none"/>
              </w:rPr>
            </w:pPr>
          </w:p>
        </w:tc>
      </w:tr>
      <w:tr w14:paraId="46930C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1C9307FF">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1DED2F5D">
            <w:pPr>
              <w:adjustRightInd w:val="0"/>
              <w:snapToGrid w:val="0"/>
              <w:jc w:val="center"/>
              <w:rPr>
                <w:rFonts w:ascii="宋体" w:hAnsi="宋体"/>
                <w:color w:val="auto"/>
                <w:szCs w:val="21"/>
                <w:highlight w:val="none"/>
              </w:rPr>
            </w:pPr>
            <w:r>
              <w:rPr>
                <w:rFonts w:hint="eastAsia" w:ascii="宋体" w:hAnsi="宋体"/>
                <w:color w:val="auto"/>
                <w:szCs w:val="21"/>
                <w:highlight w:val="none"/>
              </w:rPr>
              <w:t>第7.2款</w:t>
            </w:r>
          </w:p>
        </w:tc>
        <w:tc>
          <w:tcPr>
            <w:tcW w:w="1742" w:type="dxa"/>
            <w:vAlign w:val="center"/>
          </w:tcPr>
          <w:p w14:paraId="1052DE9B">
            <w:pPr>
              <w:adjustRightInd w:val="0"/>
              <w:snapToGrid w:val="0"/>
              <w:jc w:val="left"/>
              <w:rPr>
                <w:rFonts w:ascii="宋体" w:hAnsi="宋体"/>
                <w:color w:val="auto"/>
                <w:szCs w:val="21"/>
                <w:highlight w:val="none"/>
              </w:rPr>
            </w:pPr>
            <w:r>
              <w:rPr>
                <w:rFonts w:hint="eastAsia" w:ascii="宋体" w:hAnsi="宋体"/>
                <w:color w:val="auto"/>
                <w:szCs w:val="21"/>
                <w:highlight w:val="none"/>
              </w:rPr>
              <w:t>运输特殊要求</w:t>
            </w:r>
          </w:p>
        </w:tc>
        <w:tc>
          <w:tcPr>
            <w:tcW w:w="5170" w:type="dxa"/>
            <w:vAlign w:val="center"/>
          </w:tcPr>
          <w:p w14:paraId="7F01C5DA">
            <w:pPr>
              <w:rPr>
                <w:color w:val="auto"/>
                <w:highlight w:val="none"/>
              </w:rPr>
            </w:pPr>
          </w:p>
        </w:tc>
      </w:tr>
      <w:tr w14:paraId="5C21AE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213615E4">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29959CCA">
            <w:pPr>
              <w:adjustRightInd w:val="0"/>
              <w:snapToGrid w:val="0"/>
              <w:jc w:val="center"/>
              <w:rPr>
                <w:rFonts w:ascii="宋体" w:hAnsi="宋体"/>
                <w:color w:val="auto"/>
                <w:szCs w:val="21"/>
                <w:highlight w:val="none"/>
              </w:rPr>
            </w:pPr>
            <w:r>
              <w:rPr>
                <w:rFonts w:hint="eastAsia" w:ascii="宋体" w:hAnsi="宋体"/>
                <w:color w:val="auto"/>
                <w:szCs w:val="21"/>
                <w:highlight w:val="none"/>
              </w:rPr>
              <w:t>第7.3款</w:t>
            </w:r>
          </w:p>
        </w:tc>
        <w:tc>
          <w:tcPr>
            <w:tcW w:w="1742" w:type="dxa"/>
            <w:vAlign w:val="center"/>
          </w:tcPr>
          <w:p w14:paraId="0C4F9B94">
            <w:pPr>
              <w:adjustRightInd w:val="0"/>
              <w:snapToGrid w:val="0"/>
              <w:jc w:val="left"/>
              <w:rPr>
                <w:rFonts w:ascii="宋体" w:hAnsi="宋体"/>
                <w:color w:val="auto"/>
                <w:szCs w:val="21"/>
                <w:highlight w:val="none"/>
              </w:rPr>
            </w:pPr>
            <w:r>
              <w:rPr>
                <w:rFonts w:hint="eastAsia" w:ascii="宋体" w:hAnsi="宋体"/>
                <w:color w:val="auto"/>
                <w:szCs w:val="21"/>
                <w:highlight w:val="none"/>
              </w:rPr>
              <w:t>保险要求</w:t>
            </w:r>
          </w:p>
        </w:tc>
        <w:tc>
          <w:tcPr>
            <w:tcW w:w="5170" w:type="dxa"/>
            <w:vAlign w:val="center"/>
          </w:tcPr>
          <w:p w14:paraId="6346EC01">
            <w:pPr>
              <w:rPr>
                <w:color w:val="auto"/>
                <w:highlight w:val="none"/>
              </w:rPr>
            </w:pPr>
          </w:p>
        </w:tc>
      </w:tr>
      <w:tr w14:paraId="098A7D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0DB5E83">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60EB6234">
            <w:pPr>
              <w:adjustRightInd w:val="0"/>
              <w:snapToGrid w:val="0"/>
              <w:jc w:val="center"/>
              <w:rPr>
                <w:rFonts w:ascii="宋体" w:hAnsi="宋体"/>
                <w:color w:val="auto"/>
                <w:szCs w:val="21"/>
                <w:highlight w:val="none"/>
              </w:rPr>
            </w:pPr>
            <w:r>
              <w:rPr>
                <w:rFonts w:hint="eastAsia" w:ascii="宋体" w:hAnsi="宋体"/>
                <w:color w:val="auto"/>
                <w:szCs w:val="21"/>
                <w:highlight w:val="none"/>
              </w:rPr>
              <w:t>第8.2（1）项</w:t>
            </w:r>
          </w:p>
        </w:tc>
        <w:tc>
          <w:tcPr>
            <w:tcW w:w="1742" w:type="dxa"/>
            <w:vAlign w:val="center"/>
          </w:tcPr>
          <w:p w14:paraId="57E237C3">
            <w:pPr>
              <w:adjustRightInd w:val="0"/>
              <w:snapToGrid w:val="0"/>
              <w:jc w:val="left"/>
              <w:rPr>
                <w:rFonts w:ascii="宋体" w:hAnsi="宋体"/>
                <w:color w:val="auto"/>
                <w:szCs w:val="21"/>
                <w:highlight w:val="none"/>
              </w:rPr>
            </w:pPr>
            <w:r>
              <w:rPr>
                <w:rFonts w:hint="eastAsia" w:ascii="宋体" w:hAnsi="宋体"/>
                <w:color w:val="auto"/>
                <w:szCs w:val="21"/>
                <w:highlight w:val="none"/>
              </w:rPr>
              <w:t>质量保证期</w:t>
            </w:r>
          </w:p>
        </w:tc>
        <w:tc>
          <w:tcPr>
            <w:tcW w:w="5170" w:type="dxa"/>
            <w:vAlign w:val="center"/>
          </w:tcPr>
          <w:p w14:paraId="549269E3">
            <w:pPr>
              <w:autoSpaceDE w:val="0"/>
              <w:autoSpaceDN w:val="0"/>
              <w:adjustRightInd w:val="0"/>
              <w:snapToGrid w:val="0"/>
              <w:ind w:firstLine="420" w:firstLineChars="200"/>
              <w:jc w:val="left"/>
              <w:rPr>
                <w:rFonts w:ascii="宋体" w:hAnsi="宋体"/>
                <w:color w:val="auto"/>
                <w:szCs w:val="21"/>
                <w:highlight w:val="none"/>
              </w:rPr>
            </w:pPr>
          </w:p>
        </w:tc>
      </w:tr>
      <w:tr w14:paraId="2E0FEE5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68F0AD6">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7F449F3D">
            <w:pPr>
              <w:adjustRightInd w:val="0"/>
              <w:snapToGrid w:val="0"/>
              <w:jc w:val="center"/>
              <w:rPr>
                <w:rFonts w:ascii="宋体" w:hAnsi="宋体"/>
                <w:color w:val="auto"/>
                <w:szCs w:val="21"/>
                <w:highlight w:val="none"/>
              </w:rPr>
            </w:pPr>
            <w:r>
              <w:rPr>
                <w:rFonts w:hint="eastAsia" w:ascii="宋体" w:hAnsi="宋体"/>
                <w:color w:val="auto"/>
                <w:szCs w:val="21"/>
                <w:highlight w:val="none"/>
              </w:rPr>
              <w:t>第8.2（3）项</w:t>
            </w:r>
          </w:p>
        </w:tc>
        <w:tc>
          <w:tcPr>
            <w:tcW w:w="1742" w:type="dxa"/>
            <w:vAlign w:val="center"/>
          </w:tcPr>
          <w:p w14:paraId="38125696">
            <w:pPr>
              <w:adjustRightInd w:val="0"/>
              <w:snapToGrid w:val="0"/>
              <w:jc w:val="left"/>
              <w:rPr>
                <w:rFonts w:ascii="宋体" w:hAnsi="宋体"/>
                <w:color w:val="auto"/>
                <w:szCs w:val="21"/>
                <w:highlight w:val="none"/>
              </w:rPr>
            </w:pPr>
            <w:r>
              <w:rPr>
                <w:rFonts w:hint="eastAsia" w:ascii="宋体" w:hAnsi="宋体"/>
                <w:color w:val="auto"/>
                <w:szCs w:val="21"/>
                <w:highlight w:val="none"/>
              </w:rPr>
              <w:t>货物质量缺陷</w:t>
            </w:r>
          </w:p>
          <w:p w14:paraId="0EB65AA5">
            <w:pPr>
              <w:adjustRightInd w:val="0"/>
              <w:snapToGrid w:val="0"/>
              <w:jc w:val="left"/>
              <w:rPr>
                <w:rFonts w:ascii="宋体" w:hAnsi="宋体"/>
                <w:color w:val="auto"/>
                <w:szCs w:val="21"/>
                <w:highlight w:val="none"/>
              </w:rPr>
            </w:pPr>
            <w:r>
              <w:rPr>
                <w:rFonts w:hint="eastAsia" w:ascii="宋体" w:hAnsi="宋体"/>
                <w:color w:val="auto"/>
                <w:szCs w:val="21"/>
                <w:highlight w:val="none"/>
              </w:rPr>
              <w:t>响应时间</w:t>
            </w:r>
          </w:p>
        </w:tc>
        <w:tc>
          <w:tcPr>
            <w:tcW w:w="5170" w:type="dxa"/>
            <w:vAlign w:val="center"/>
          </w:tcPr>
          <w:p w14:paraId="27903DBD">
            <w:pPr>
              <w:adjustRightInd w:val="0"/>
              <w:snapToGrid w:val="0"/>
              <w:jc w:val="left"/>
              <w:rPr>
                <w:rFonts w:ascii="宋体" w:hAnsi="宋体"/>
                <w:color w:val="auto"/>
                <w:szCs w:val="21"/>
                <w:highlight w:val="none"/>
              </w:rPr>
            </w:pPr>
          </w:p>
        </w:tc>
      </w:tr>
      <w:tr w14:paraId="23A7056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11E5C2F">
            <w:pPr>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37416DC4">
            <w:pPr>
              <w:pStyle w:val="65"/>
              <w:ind w:firstLine="0" w:firstLineChars="0"/>
              <w:jc w:val="center"/>
              <w:rPr>
                <w:color w:val="auto"/>
                <w:highlight w:val="none"/>
              </w:rPr>
            </w:pPr>
            <w:r>
              <w:rPr>
                <w:rFonts w:hint="eastAsia" w:ascii="宋体" w:hAnsi="宋体" w:eastAsia="宋体" w:cs="宋体"/>
                <w:color w:val="auto"/>
                <w:highlight w:val="none"/>
              </w:rPr>
              <w:t>第11.1款</w:t>
            </w:r>
          </w:p>
        </w:tc>
        <w:tc>
          <w:tcPr>
            <w:tcW w:w="1742" w:type="dxa"/>
            <w:vAlign w:val="center"/>
          </w:tcPr>
          <w:p w14:paraId="39CA59B5">
            <w:pPr>
              <w:adjustRightInd w:val="0"/>
              <w:snapToGrid w:val="0"/>
              <w:rPr>
                <w:rFonts w:ascii="宋体" w:hAnsi="宋体"/>
                <w:color w:val="auto"/>
                <w:szCs w:val="21"/>
                <w:highlight w:val="none"/>
              </w:rPr>
            </w:pPr>
            <w:r>
              <w:rPr>
                <w:rFonts w:hint="eastAsia" w:ascii="宋体" w:hAnsi="宋体"/>
                <w:color w:val="auto"/>
                <w:szCs w:val="21"/>
                <w:highlight w:val="none"/>
              </w:rPr>
              <w:t>其他应当保密的信息</w:t>
            </w:r>
          </w:p>
        </w:tc>
        <w:tc>
          <w:tcPr>
            <w:tcW w:w="5170" w:type="dxa"/>
            <w:vAlign w:val="center"/>
          </w:tcPr>
          <w:p w14:paraId="6F6821B1">
            <w:pPr>
              <w:adjustRightInd w:val="0"/>
              <w:snapToGrid w:val="0"/>
              <w:jc w:val="left"/>
              <w:rPr>
                <w:rFonts w:ascii="宋体" w:hAnsi="宋体"/>
                <w:color w:val="auto"/>
                <w:szCs w:val="21"/>
                <w:highlight w:val="none"/>
              </w:rPr>
            </w:pPr>
          </w:p>
        </w:tc>
      </w:tr>
      <w:tr w14:paraId="5E24B0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1872EC6E">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23F27C8A">
            <w:pPr>
              <w:adjustRightInd w:val="0"/>
              <w:snapToGrid w:val="0"/>
              <w:jc w:val="center"/>
              <w:rPr>
                <w:rFonts w:ascii="宋体" w:hAnsi="宋体"/>
                <w:color w:val="auto"/>
                <w:szCs w:val="21"/>
                <w:highlight w:val="none"/>
              </w:rPr>
            </w:pPr>
            <w:r>
              <w:rPr>
                <w:rFonts w:hint="eastAsia" w:ascii="宋体" w:hAnsi="宋体"/>
                <w:color w:val="auto"/>
                <w:szCs w:val="21"/>
                <w:highlight w:val="none"/>
              </w:rPr>
              <w:t>第12.2款</w:t>
            </w:r>
          </w:p>
        </w:tc>
        <w:tc>
          <w:tcPr>
            <w:tcW w:w="1742" w:type="dxa"/>
            <w:vAlign w:val="center"/>
          </w:tcPr>
          <w:p w14:paraId="22DAEDD3">
            <w:pPr>
              <w:adjustRightInd w:val="0"/>
              <w:snapToGrid w:val="0"/>
              <w:jc w:val="left"/>
              <w:rPr>
                <w:rFonts w:ascii="宋体" w:hAnsi="宋体"/>
                <w:color w:val="auto"/>
                <w:szCs w:val="21"/>
                <w:highlight w:val="none"/>
              </w:rPr>
            </w:pPr>
            <w:r>
              <w:rPr>
                <w:rFonts w:hint="eastAsia" w:ascii="宋体" w:hAnsi="宋体"/>
                <w:color w:val="auto"/>
                <w:szCs w:val="21"/>
                <w:highlight w:val="none"/>
              </w:rPr>
              <w:t>合同价款支付时间</w:t>
            </w:r>
          </w:p>
        </w:tc>
        <w:tc>
          <w:tcPr>
            <w:tcW w:w="5170" w:type="dxa"/>
            <w:vAlign w:val="center"/>
          </w:tcPr>
          <w:p w14:paraId="26FA4BA4">
            <w:pPr>
              <w:adjustRightInd w:val="0"/>
              <w:snapToGrid w:val="0"/>
              <w:jc w:val="left"/>
              <w:rPr>
                <w:rFonts w:ascii="宋体" w:hAnsi="宋体"/>
                <w:color w:val="auto"/>
                <w:szCs w:val="21"/>
                <w:highlight w:val="none"/>
              </w:rPr>
            </w:pPr>
          </w:p>
        </w:tc>
      </w:tr>
      <w:tr w14:paraId="26DC08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66F88A96">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3B747B28">
            <w:pPr>
              <w:adjustRightInd w:val="0"/>
              <w:snapToGrid w:val="0"/>
              <w:jc w:val="center"/>
              <w:rPr>
                <w:rFonts w:ascii="宋体" w:hAnsi="宋体"/>
                <w:color w:val="auto"/>
                <w:szCs w:val="21"/>
                <w:highlight w:val="none"/>
              </w:rPr>
            </w:pPr>
            <w:r>
              <w:rPr>
                <w:rFonts w:hint="eastAsia" w:ascii="宋体" w:hAnsi="宋体"/>
                <w:color w:val="auto"/>
                <w:szCs w:val="21"/>
                <w:highlight w:val="none"/>
              </w:rPr>
              <w:t>第13.2款</w:t>
            </w:r>
          </w:p>
        </w:tc>
        <w:tc>
          <w:tcPr>
            <w:tcW w:w="1742" w:type="dxa"/>
            <w:vAlign w:val="center"/>
          </w:tcPr>
          <w:p w14:paraId="213E05D9">
            <w:pPr>
              <w:adjustRightInd w:val="0"/>
              <w:snapToGrid w:val="0"/>
              <w:jc w:val="left"/>
              <w:rPr>
                <w:rFonts w:ascii="宋体" w:hAnsi="宋体"/>
                <w:color w:val="auto"/>
                <w:szCs w:val="21"/>
                <w:highlight w:val="none"/>
              </w:rPr>
            </w:pPr>
            <w:r>
              <w:rPr>
                <w:rFonts w:hint="eastAsia" w:ascii="宋体" w:hAnsi="宋体"/>
                <w:color w:val="auto"/>
                <w:szCs w:val="21"/>
                <w:highlight w:val="none"/>
              </w:rPr>
              <w:t>履约保证金不予退还的情形</w:t>
            </w:r>
          </w:p>
        </w:tc>
        <w:tc>
          <w:tcPr>
            <w:tcW w:w="5170" w:type="dxa"/>
            <w:vAlign w:val="center"/>
          </w:tcPr>
          <w:p w14:paraId="3318E831">
            <w:pPr>
              <w:adjustRightInd w:val="0"/>
              <w:snapToGrid w:val="0"/>
              <w:jc w:val="left"/>
              <w:rPr>
                <w:rFonts w:ascii="宋体" w:hAnsi="宋体"/>
                <w:color w:val="auto"/>
                <w:szCs w:val="21"/>
                <w:highlight w:val="none"/>
              </w:rPr>
            </w:pPr>
          </w:p>
        </w:tc>
      </w:tr>
      <w:tr w14:paraId="772A27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C9B2FBC">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2DCAD91B">
            <w:pPr>
              <w:adjustRightInd w:val="0"/>
              <w:snapToGrid w:val="0"/>
              <w:jc w:val="center"/>
              <w:rPr>
                <w:rFonts w:ascii="宋体" w:hAnsi="宋体"/>
                <w:color w:val="auto"/>
                <w:szCs w:val="21"/>
                <w:highlight w:val="none"/>
              </w:rPr>
            </w:pPr>
            <w:r>
              <w:rPr>
                <w:rFonts w:hint="eastAsia" w:ascii="宋体" w:hAnsi="宋体"/>
                <w:color w:val="auto"/>
                <w:szCs w:val="21"/>
                <w:highlight w:val="none"/>
              </w:rPr>
              <w:t>第13.3款</w:t>
            </w:r>
          </w:p>
        </w:tc>
        <w:tc>
          <w:tcPr>
            <w:tcW w:w="1742" w:type="dxa"/>
            <w:vAlign w:val="center"/>
          </w:tcPr>
          <w:p w14:paraId="05948EF2">
            <w:pPr>
              <w:adjustRightInd w:val="0"/>
              <w:snapToGrid w:val="0"/>
              <w:jc w:val="left"/>
              <w:rPr>
                <w:rFonts w:ascii="宋体" w:hAnsi="宋体"/>
                <w:color w:val="auto"/>
                <w:szCs w:val="21"/>
                <w:highlight w:val="none"/>
              </w:rPr>
            </w:pPr>
            <w:r>
              <w:rPr>
                <w:rFonts w:hint="eastAsia" w:ascii="宋体" w:hAnsi="宋体"/>
                <w:color w:val="auto"/>
                <w:szCs w:val="21"/>
                <w:highlight w:val="none"/>
              </w:rPr>
              <w:t>履约保证金退还时间及逾期退还的违约金</w:t>
            </w:r>
          </w:p>
        </w:tc>
        <w:tc>
          <w:tcPr>
            <w:tcW w:w="5170" w:type="dxa"/>
            <w:vAlign w:val="center"/>
          </w:tcPr>
          <w:p w14:paraId="4EB32628">
            <w:pPr>
              <w:adjustRightInd w:val="0"/>
              <w:snapToGrid w:val="0"/>
              <w:jc w:val="left"/>
              <w:rPr>
                <w:rFonts w:ascii="宋体" w:hAnsi="宋体"/>
                <w:color w:val="auto"/>
                <w:szCs w:val="21"/>
                <w:highlight w:val="none"/>
              </w:rPr>
            </w:pPr>
          </w:p>
        </w:tc>
      </w:tr>
      <w:tr w14:paraId="19AABD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03B91E17">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13144016">
            <w:pPr>
              <w:adjustRightInd w:val="0"/>
              <w:snapToGrid w:val="0"/>
              <w:jc w:val="center"/>
              <w:rPr>
                <w:rFonts w:ascii="宋体" w:hAnsi="宋体"/>
                <w:color w:val="auto"/>
                <w:szCs w:val="21"/>
                <w:highlight w:val="none"/>
              </w:rPr>
            </w:pPr>
            <w:r>
              <w:rPr>
                <w:rFonts w:hint="eastAsia" w:ascii="宋体" w:hAnsi="宋体"/>
                <w:color w:val="auto"/>
                <w:szCs w:val="21"/>
                <w:highlight w:val="none"/>
              </w:rPr>
              <w:t>第14.1（3）项</w:t>
            </w:r>
          </w:p>
        </w:tc>
        <w:tc>
          <w:tcPr>
            <w:tcW w:w="1742" w:type="dxa"/>
            <w:vAlign w:val="center"/>
          </w:tcPr>
          <w:p w14:paraId="18ED1B08">
            <w:pPr>
              <w:adjustRightInd w:val="0"/>
              <w:snapToGrid w:val="0"/>
              <w:jc w:val="left"/>
              <w:rPr>
                <w:rFonts w:ascii="宋体" w:hAnsi="宋体"/>
                <w:color w:val="auto"/>
                <w:szCs w:val="21"/>
                <w:highlight w:val="none"/>
              </w:rPr>
            </w:pPr>
            <w:r>
              <w:rPr>
                <w:rFonts w:hint="eastAsia" w:ascii="宋体" w:hAnsi="宋体"/>
                <w:color w:val="auto"/>
                <w:szCs w:val="21"/>
                <w:highlight w:val="none"/>
              </w:rPr>
              <w:t>运行监督、维修期限</w:t>
            </w:r>
          </w:p>
        </w:tc>
        <w:tc>
          <w:tcPr>
            <w:tcW w:w="5170" w:type="dxa"/>
            <w:vAlign w:val="center"/>
          </w:tcPr>
          <w:p w14:paraId="52993642">
            <w:pPr>
              <w:adjustRightInd w:val="0"/>
              <w:snapToGrid w:val="0"/>
              <w:jc w:val="left"/>
              <w:rPr>
                <w:rFonts w:ascii="宋体" w:hAnsi="宋体"/>
                <w:color w:val="auto"/>
                <w:szCs w:val="21"/>
                <w:highlight w:val="none"/>
              </w:rPr>
            </w:pPr>
          </w:p>
        </w:tc>
      </w:tr>
      <w:tr w14:paraId="0452E9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00428DC6">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6C5DB336">
            <w:pPr>
              <w:adjustRightInd w:val="0"/>
              <w:snapToGrid w:val="0"/>
              <w:jc w:val="center"/>
              <w:rPr>
                <w:rFonts w:ascii="宋体" w:hAnsi="宋体"/>
                <w:color w:val="auto"/>
                <w:szCs w:val="21"/>
                <w:highlight w:val="none"/>
              </w:rPr>
            </w:pPr>
            <w:r>
              <w:rPr>
                <w:rFonts w:hint="eastAsia" w:ascii="宋体" w:hAnsi="宋体"/>
                <w:color w:val="auto"/>
                <w:szCs w:val="21"/>
                <w:highlight w:val="none"/>
              </w:rPr>
              <w:t>第14.1（5）项</w:t>
            </w:r>
          </w:p>
        </w:tc>
        <w:tc>
          <w:tcPr>
            <w:tcW w:w="1742" w:type="dxa"/>
            <w:vAlign w:val="center"/>
          </w:tcPr>
          <w:p w14:paraId="651D7FC4">
            <w:pPr>
              <w:adjustRightInd w:val="0"/>
              <w:snapToGrid w:val="0"/>
              <w:jc w:val="left"/>
              <w:rPr>
                <w:rFonts w:ascii="宋体" w:hAnsi="宋体"/>
                <w:color w:val="auto"/>
                <w:szCs w:val="21"/>
                <w:highlight w:val="none"/>
              </w:rPr>
            </w:pPr>
            <w:r>
              <w:rPr>
                <w:rFonts w:hint="eastAsia" w:ascii="宋体" w:hAnsi="宋体"/>
                <w:color w:val="auto"/>
                <w:szCs w:val="21"/>
                <w:highlight w:val="none"/>
              </w:rPr>
              <w:t>货物回收的约定</w:t>
            </w:r>
          </w:p>
        </w:tc>
        <w:tc>
          <w:tcPr>
            <w:tcW w:w="5170" w:type="dxa"/>
            <w:vAlign w:val="center"/>
          </w:tcPr>
          <w:p w14:paraId="0B842589">
            <w:pPr>
              <w:adjustRightInd w:val="0"/>
              <w:snapToGrid w:val="0"/>
              <w:jc w:val="left"/>
              <w:rPr>
                <w:rFonts w:ascii="宋体" w:hAnsi="宋体"/>
                <w:color w:val="auto"/>
                <w:szCs w:val="21"/>
                <w:highlight w:val="none"/>
              </w:rPr>
            </w:pPr>
          </w:p>
        </w:tc>
      </w:tr>
      <w:tr w14:paraId="29899E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C868A87">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20B7E73E">
            <w:pPr>
              <w:adjustRightInd w:val="0"/>
              <w:snapToGrid w:val="0"/>
              <w:jc w:val="center"/>
              <w:rPr>
                <w:rFonts w:ascii="宋体" w:hAnsi="宋体"/>
                <w:color w:val="auto"/>
                <w:szCs w:val="21"/>
                <w:highlight w:val="none"/>
              </w:rPr>
            </w:pPr>
            <w:r>
              <w:rPr>
                <w:rFonts w:hint="eastAsia" w:ascii="宋体" w:hAnsi="宋体"/>
                <w:color w:val="auto"/>
                <w:szCs w:val="21"/>
                <w:highlight w:val="none"/>
              </w:rPr>
              <w:t>第14.1（6）项</w:t>
            </w:r>
          </w:p>
        </w:tc>
        <w:tc>
          <w:tcPr>
            <w:tcW w:w="1742" w:type="dxa"/>
            <w:vAlign w:val="center"/>
          </w:tcPr>
          <w:p w14:paraId="65B899DE">
            <w:pPr>
              <w:adjustRightInd w:val="0"/>
              <w:snapToGrid w:val="0"/>
              <w:jc w:val="left"/>
              <w:rPr>
                <w:rFonts w:ascii="宋体" w:hAnsi="宋体"/>
                <w:color w:val="auto"/>
                <w:szCs w:val="21"/>
                <w:highlight w:val="none"/>
              </w:rPr>
            </w:pPr>
            <w:r>
              <w:rPr>
                <w:rFonts w:hint="eastAsia" w:ascii="宋体" w:hAnsi="宋体"/>
                <w:color w:val="auto"/>
                <w:szCs w:val="21"/>
                <w:highlight w:val="none"/>
              </w:rPr>
              <w:t>乙方提供的其他服务</w:t>
            </w:r>
          </w:p>
        </w:tc>
        <w:tc>
          <w:tcPr>
            <w:tcW w:w="5170" w:type="dxa"/>
            <w:vAlign w:val="center"/>
          </w:tcPr>
          <w:p w14:paraId="658CE5C2">
            <w:pPr>
              <w:adjustRightInd w:val="0"/>
              <w:snapToGrid w:val="0"/>
              <w:jc w:val="left"/>
              <w:rPr>
                <w:rFonts w:ascii="宋体" w:hAnsi="宋体"/>
                <w:color w:val="auto"/>
                <w:szCs w:val="21"/>
                <w:highlight w:val="none"/>
              </w:rPr>
            </w:pPr>
          </w:p>
        </w:tc>
      </w:tr>
      <w:tr w14:paraId="734EC99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8325398">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409D0DBE">
            <w:pPr>
              <w:adjustRightInd w:val="0"/>
              <w:snapToGrid w:val="0"/>
              <w:jc w:val="center"/>
              <w:rPr>
                <w:rFonts w:ascii="宋体" w:hAnsi="宋体"/>
                <w:color w:val="auto"/>
                <w:szCs w:val="21"/>
                <w:highlight w:val="none"/>
              </w:rPr>
            </w:pPr>
            <w:r>
              <w:rPr>
                <w:rFonts w:hint="eastAsia" w:ascii="宋体" w:hAnsi="宋体"/>
                <w:color w:val="auto"/>
                <w:szCs w:val="21"/>
                <w:highlight w:val="none"/>
              </w:rPr>
              <w:t>第15.1款</w:t>
            </w:r>
          </w:p>
        </w:tc>
        <w:tc>
          <w:tcPr>
            <w:tcW w:w="1742" w:type="dxa"/>
            <w:vAlign w:val="center"/>
          </w:tcPr>
          <w:p w14:paraId="11CC094D">
            <w:pPr>
              <w:adjustRightInd w:val="0"/>
              <w:snapToGrid w:val="0"/>
              <w:jc w:val="left"/>
              <w:rPr>
                <w:rFonts w:ascii="宋体" w:hAnsi="宋体"/>
                <w:color w:val="auto"/>
                <w:szCs w:val="21"/>
                <w:highlight w:val="none"/>
              </w:rPr>
            </w:pPr>
            <w:r>
              <w:rPr>
                <w:rFonts w:hint="eastAsia" w:ascii="宋体" w:hAnsi="宋体"/>
                <w:color w:val="auto"/>
                <w:szCs w:val="21"/>
                <w:highlight w:val="none"/>
              </w:rPr>
              <w:t>修理、重作、更换相关具体规定</w:t>
            </w:r>
          </w:p>
        </w:tc>
        <w:tc>
          <w:tcPr>
            <w:tcW w:w="5170" w:type="dxa"/>
            <w:vAlign w:val="center"/>
          </w:tcPr>
          <w:p w14:paraId="529B5F4E">
            <w:pPr>
              <w:adjustRightInd w:val="0"/>
              <w:snapToGrid w:val="0"/>
              <w:jc w:val="left"/>
              <w:rPr>
                <w:rFonts w:ascii="宋体" w:hAnsi="宋体"/>
                <w:color w:val="auto"/>
                <w:szCs w:val="21"/>
                <w:highlight w:val="none"/>
              </w:rPr>
            </w:pPr>
          </w:p>
        </w:tc>
      </w:tr>
      <w:tr w14:paraId="77EBB0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7828124">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1D6FA126">
            <w:pPr>
              <w:adjustRightInd w:val="0"/>
              <w:snapToGrid w:val="0"/>
              <w:jc w:val="center"/>
              <w:rPr>
                <w:rFonts w:ascii="宋体" w:hAnsi="宋体"/>
                <w:color w:val="auto"/>
                <w:szCs w:val="21"/>
                <w:highlight w:val="none"/>
              </w:rPr>
            </w:pPr>
            <w:r>
              <w:rPr>
                <w:rFonts w:hint="eastAsia" w:ascii="宋体" w:hAnsi="宋体"/>
                <w:color w:val="auto"/>
                <w:szCs w:val="21"/>
                <w:highlight w:val="none"/>
              </w:rPr>
              <w:t>第15.2（2）项</w:t>
            </w:r>
          </w:p>
        </w:tc>
        <w:tc>
          <w:tcPr>
            <w:tcW w:w="1742" w:type="dxa"/>
            <w:vAlign w:val="center"/>
          </w:tcPr>
          <w:p w14:paraId="6AA26A1A">
            <w:pPr>
              <w:adjustRightInd w:val="0"/>
              <w:snapToGrid w:val="0"/>
              <w:jc w:val="left"/>
              <w:rPr>
                <w:rFonts w:ascii="宋体" w:hAnsi="宋体"/>
                <w:color w:val="auto"/>
                <w:szCs w:val="21"/>
                <w:highlight w:val="none"/>
              </w:rPr>
            </w:pPr>
            <w:r>
              <w:rPr>
                <w:rFonts w:hint="eastAsia" w:ascii="宋体" w:hAnsi="宋体"/>
                <w:color w:val="auto"/>
                <w:szCs w:val="21"/>
                <w:highlight w:val="none"/>
              </w:rPr>
              <w:t>迟延交货赔偿费</w:t>
            </w:r>
          </w:p>
        </w:tc>
        <w:tc>
          <w:tcPr>
            <w:tcW w:w="5170" w:type="dxa"/>
            <w:vAlign w:val="center"/>
          </w:tcPr>
          <w:p w14:paraId="4A35BDED">
            <w:pPr>
              <w:adjustRightInd w:val="0"/>
              <w:snapToGrid w:val="0"/>
              <w:jc w:val="left"/>
              <w:rPr>
                <w:rFonts w:ascii="宋体" w:hAnsi="宋体"/>
                <w:color w:val="auto"/>
                <w:szCs w:val="21"/>
                <w:highlight w:val="none"/>
                <w:u w:val="single"/>
              </w:rPr>
            </w:pPr>
          </w:p>
        </w:tc>
      </w:tr>
      <w:tr w14:paraId="2735126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B46C5CE">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55E53479">
            <w:pPr>
              <w:adjustRightInd w:val="0"/>
              <w:snapToGrid w:val="0"/>
              <w:jc w:val="center"/>
              <w:rPr>
                <w:rFonts w:ascii="宋体" w:hAnsi="宋体"/>
                <w:color w:val="auto"/>
                <w:szCs w:val="21"/>
                <w:highlight w:val="none"/>
              </w:rPr>
            </w:pPr>
            <w:r>
              <w:rPr>
                <w:rFonts w:hint="eastAsia" w:ascii="宋体" w:hAnsi="宋体"/>
                <w:color w:val="auto"/>
                <w:szCs w:val="21"/>
                <w:highlight w:val="none"/>
              </w:rPr>
              <w:t>第15.3款</w:t>
            </w:r>
          </w:p>
        </w:tc>
        <w:tc>
          <w:tcPr>
            <w:tcW w:w="1742" w:type="dxa"/>
            <w:vAlign w:val="center"/>
          </w:tcPr>
          <w:p w14:paraId="70860FD1">
            <w:pPr>
              <w:adjustRightInd w:val="0"/>
              <w:snapToGrid w:val="0"/>
              <w:jc w:val="left"/>
              <w:rPr>
                <w:rFonts w:ascii="宋体" w:hAnsi="宋体"/>
                <w:color w:val="auto"/>
                <w:szCs w:val="21"/>
                <w:highlight w:val="none"/>
              </w:rPr>
            </w:pPr>
            <w:r>
              <w:rPr>
                <w:rFonts w:hint="eastAsia" w:ascii="宋体" w:hAnsi="宋体"/>
                <w:color w:val="auto"/>
                <w:szCs w:val="21"/>
                <w:highlight w:val="none"/>
              </w:rPr>
              <w:t>逾期付款利息</w:t>
            </w:r>
          </w:p>
        </w:tc>
        <w:tc>
          <w:tcPr>
            <w:tcW w:w="5170" w:type="dxa"/>
            <w:vAlign w:val="center"/>
          </w:tcPr>
          <w:p w14:paraId="786C111F">
            <w:pPr>
              <w:adjustRightInd w:val="0"/>
              <w:snapToGrid w:val="0"/>
              <w:jc w:val="left"/>
              <w:rPr>
                <w:rFonts w:ascii="宋体" w:hAnsi="宋体"/>
                <w:color w:val="auto"/>
                <w:szCs w:val="21"/>
                <w:highlight w:val="none"/>
                <w:u w:val="single"/>
              </w:rPr>
            </w:pPr>
          </w:p>
        </w:tc>
      </w:tr>
      <w:tr w14:paraId="59320BD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3D38D397">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0743C93B">
            <w:pPr>
              <w:adjustRightInd w:val="0"/>
              <w:snapToGrid w:val="0"/>
              <w:jc w:val="center"/>
              <w:rPr>
                <w:rFonts w:ascii="宋体" w:hAnsi="宋体"/>
                <w:color w:val="auto"/>
                <w:szCs w:val="21"/>
                <w:highlight w:val="none"/>
              </w:rPr>
            </w:pPr>
            <w:r>
              <w:rPr>
                <w:rFonts w:hint="eastAsia" w:ascii="宋体" w:hAnsi="宋体"/>
                <w:color w:val="auto"/>
                <w:szCs w:val="21"/>
                <w:highlight w:val="none"/>
              </w:rPr>
              <w:t>第15.4款</w:t>
            </w:r>
          </w:p>
        </w:tc>
        <w:tc>
          <w:tcPr>
            <w:tcW w:w="1742" w:type="dxa"/>
            <w:tcBorders>
              <w:left w:val="single" w:color="auto" w:sz="2" w:space="0"/>
              <w:bottom w:val="single" w:color="auto" w:sz="2" w:space="0"/>
              <w:right w:val="single" w:color="auto" w:sz="2" w:space="0"/>
            </w:tcBorders>
            <w:vAlign w:val="center"/>
          </w:tcPr>
          <w:p w14:paraId="44179DF1">
            <w:pPr>
              <w:adjustRightInd w:val="0"/>
              <w:snapToGrid w:val="0"/>
              <w:jc w:val="left"/>
              <w:rPr>
                <w:rFonts w:ascii="宋体" w:hAnsi="宋体"/>
                <w:color w:val="auto"/>
                <w:szCs w:val="21"/>
                <w:highlight w:val="none"/>
              </w:rPr>
            </w:pPr>
            <w:r>
              <w:rPr>
                <w:rFonts w:hint="eastAsia" w:ascii="宋体" w:hAnsi="宋体"/>
                <w:color w:val="auto"/>
                <w:szCs w:val="21"/>
                <w:highlight w:val="none"/>
              </w:rPr>
              <w:t>其他违约责任</w:t>
            </w:r>
          </w:p>
        </w:tc>
        <w:tc>
          <w:tcPr>
            <w:tcW w:w="5170" w:type="dxa"/>
            <w:tcBorders>
              <w:left w:val="single" w:color="auto" w:sz="2" w:space="0"/>
              <w:bottom w:val="single" w:color="auto" w:sz="2" w:space="0"/>
            </w:tcBorders>
            <w:vAlign w:val="center"/>
          </w:tcPr>
          <w:p w14:paraId="20D7DE49">
            <w:pPr>
              <w:adjustRightInd w:val="0"/>
              <w:snapToGrid w:val="0"/>
              <w:jc w:val="left"/>
              <w:rPr>
                <w:rFonts w:ascii="宋体" w:hAnsi="宋体"/>
                <w:color w:val="auto"/>
                <w:szCs w:val="21"/>
                <w:highlight w:val="none"/>
                <w:u w:val="single"/>
              </w:rPr>
            </w:pPr>
          </w:p>
        </w:tc>
      </w:tr>
      <w:tr w14:paraId="05C16D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51EEE442">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4C1F43AE">
            <w:pPr>
              <w:adjustRightInd w:val="0"/>
              <w:snapToGrid w:val="0"/>
              <w:jc w:val="center"/>
              <w:rPr>
                <w:rFonts w:ascii="宋体" w:hAnsi="宋体"/>
                <w:color w:val="auto"/>
                <w:szCs w:val="21"/>
                <w:highlight w:val="none"/>
              </w:rPr>
            </w:pPr>
            <w:r>
              <w:rPr>
                <w:rFonts w:hint="eastAsia" w:ascii="宋体" w:hAnsi="宋体"/>
                <w:color w:val="auto"/>
                <w:szCs w:val="21"/>
                <w:highlight w:val="none"/>
              </w:rPr>
              <w:t>第19.2款</w:t>
            </w:r>
          </w:p>
        </w:tc>
        <w:tc>
          <w:tcPr>
            <w:tcW w:w="1742" w:type="dxa"/>
            <w:tcBorders>
              <w:top w:val="single" w:color="auto" w:sz="2" w:space="0"/>
              <w:left w:val="single" w:color="auto" w:sz="2" w:space="0"/>
              <w:right w:val="single" w:color="auto" w:sz="2" w:space="0"/>
            </w:tcBorders>
            <w:vAlign w:val="center"/>
          </w:tcPr>
          <w:p w14:paraId="0F9A85A4">
            <w:pPr>
              <w:adjustRightInd w:val="0"/>
              <w:snapToGrid w:val="0"/>
              <w:jc w:val="left"/>
              <w:rPr>
                <w:rFonts w:ascii="宋体" w:hAnsi="宋体"/>
                <w:color w:val="auto"/>
                <w:szCs w:val="21"/>
                <w:highlight w:val="none"/>
              </w:rPr>
            </w:pPr>
            <w:r>
              <w:rPr>
                <w:rFonts w:hint="eastAsia" w:ascii="宋体" w:hAnsi="宋体"/>
                <w:color w:val="auto"/>
                <w:szCs w:val="21"/>
                <w:highlight w:val="none"/>
              </w:rPr>
              <w:t>解决争议的方法</w:t>
            </w:r>
          </w:p>
        </w:tc>
        <w:tc>
          <w:tcPr>
            <w:tcW w:w="5170" w:type="dxa"/>
            <w:tcBorders>
              <w:top w:val="single" w:color="auto" w:sz="2" w:space="0"/>
              <w:left w:val="single" w:color="auto" w:sz="2" w:space="0"/>
            </w:tcBorders>
            <w:vAlign w:val="center"/>
          </w:tcPr>
          <w:p w14:paraId="1452A1BC">
            <w:pPr>
              <w:autoSpaceDE w:val="0"/>
              <w:autoSpaceDN w:val="0"/>
              <w:adjustRightInd w:val="0"/>
              <w:snapToGrid w:val="0"/>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因本合同及合同有关事项发生的争议，按下列第种方式解决：</w:t>
            </w:r>
          </w:p>
          <w:p w14:paraId="13242E70">
            <w:pPr>
              <w:autoSpaceDE w:val="0"/>
              <w:autoSpaceDN w:val="0"/>
              <w:adjustRightInd w:val="0"/>
              <w:snapToGrid w:val="0"/>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（1）向仲裁委员会申请仲裁，仲裁地点为；</w:t>
            </w:r>
          </w:p>
          <w:p w14:paraId="322B7525">
            <w:pPr>
              <w:adjustRightInd w:val="0"/>
              <w:snapToGrid w:val="0"/>
              <w:jc w:val="left"/>
              <w:rPr>
                <w:rFonts w:ascii="宋体" w:hAnsi="宋体"/>
                <w:color w:val="auto"/>
                <w:szCs w:val="21"/>
                <w:highlight w:val="none"/>
                <w:u w:val="single"/>
              </w:rPr>
            </w:pPr>
            <w:r>
              <w:rPr>
                <w:rFonts w:hint="eastAsia" w:ascii="宋体" w:hAnsi="宋体" w:cs="宋体"/>
                <w:iCs/>
                <w:color w:val="auto"/>
                <w:szCs w:val="21"/>
                <w:highlight w:val="none"/>
              </w:rPr>
              <w:t>（2）向人民法院起诉。</w:t>
            </w:r>
          </w:p>
        </w:tc>
      </w:tr>
      <w:tr w14:paraId="2AAE0D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6252EEBF">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526337FE">
            <w:pPr>
              <w:adjustRightInd w:val="0"/>
              <w:snapToGrid w:val="0"/>
              <w:jc w:val="center"/>
              <w:rPr>
                <w:rFonts w:ascii="宋体" w:hAnsi="宋体"/>
                <w:color w:val="auto"/>
                <w:szCs w:val="21"/>
                <w:highlight w:val="none"/>
              </w:rPr>
            </w:pPr>
            <w:r>
              <w:rPr>
                <w:rFonts w:hint="eastAsia" w:ascii="宋体" w:hAnsi="宋体"/>
                <w:color w:val="auto"/>
                <w:szCs w:val="21"/>
                <w:highlight w:val="none"/>
              </w:rPr>
              <w:t>第23.1款</w:t>
            </w:r>
          </w:p>
        </w:tc>
        <w:tc>
          <w:tcPr>
            <w:tcW w:w="1742" w:type="dxa"/>
            <w:vAlign w:val="center"/>
          </w:tcPr>
          <w:p w14:paraId="23C22E3F">
            <w:pPr>
              <w:adjustRightInd w:val="0"/>
              <w:snapToGrid w:val="0"/>
              <w:jc w:val="left"/>
              <w:rPr>
                <w:rFonts w:ascii="宋体" w:hAnsi="宋体"/>
                <w:color w:val="auto"/>
                <w:szCs w:val="21"/>
                <w:highlight w:val="none"/>
              </w:rPr>
            </w:pPr>
            <w:r>
              <w:rPr>
                <w:rFonts w:hint="eastAsia" w:ascii="宋体" w:hAnsi="宋体"/>
                <w:bCs/>
                <w:color w:val="auto"/>
                <w:szCs w:val="21"/>
                <w:highlight w:val="none"/>
              </w:rPr>
              <w:t>其他专用条款</w:t>
            </w:r>
          </w:p>
        </w:tc>
        <w:tc>
          <w:tcPr>
            <w:tcW w:w="5170" w:type="dxa"/>
            <w:vAlign w:val="center"/>
          </w:tcPr>
          <w:p w14:paraId="4AAB45F3">
            <w:pPr>
              <w:adjustRightInd w:val="0"/>
              <w:snapToGrid w:val="0"/>
              <w:jc w:val="left"/>
              <w:rPr>
                <w:rFonts w:ascii="宋体" w:hAnsi="宋体"/>
                <w:color w:val="auto"/>
                <w:szCs w:val="21"/>
                <w:highlight w:val="none"/>
              </w:rPr>
            </w:pPr>
          </w:p>
        </w:tc>
      </w:tr>
    </w:tbl>
    <w:p w14:paraId="17536C80">
      <w:pPr>
        <w:rPr>
          <w:color w:val="auto"/>
          <w:highlight w:val="none"/>
        </w:rPr>
      </w:pPr>
    </w:p>
    <w:p w14:paraId="08FC3CF6">
      <w:pPr>
        <w:rPr>
          <w:color w:val="auto"/>
          <w:highlight w:val="none"/>
        </w:rPr>
      </w:pPr>
    </w:p>
    <w:p w14:paraId="6F421E90">
      <w:pPr>
        <w:spacing w:line="240" w:lineRule="auto"/>
        <w:jc w:val="left"/>
        <w:textAlignment w:val="auto"/>
        <w:rPr>
          <w:rFonts w:ascii="宋体"/>
          <w:b/>
          <w:color w:val="auto"/>
          <w:sz w:val="36"/>
          <w:szCs w:val="36"/>
          <w:highlight w:val="none"/>
          <w:lang w:val="zh-CN"/>
        </w:rPr>
      </w:pPr>
      <w:r>
        <w:rPr>
          <w:rFonts w:ascii="宋体"/>
          <w:b/>
          <w:color w:val="auto"/>
          <w:sz w:val="36"/>
          <w:szCs w:val="36"/>
          <w:highlight w:val="none"/>
          <w:lang w:val="zh-CN"/>
        </w:rPr>
        <w:br w:type="page"/>
      </w:r>
    </w:p>
    <w:p w14:paraId="3010D6E2">
      <w:pPr>
        <w:autoSpaceDE w:val="0"/>
        <w:autoSpaceDN w:val="0"/>
        <w:adjustRightInd w:val="0"/>
        <w:spacing w:line="360" w:lineRule="auto"/>
        <w:jc w:val="center"/>
        <w:outlineLvl w:val="0"/>
        <w:rPr>
          <w:rFonts w:ascii="黑体" w:hAnsi="黑体" w:eastAsia="黑体"/>
          <w:b/>
          <w:color w:val="auto"/>
          <w:sz w:val="36"/>
          <w:szCs w:val="36"/>
          <w:highlight w:val="none"/>
          <w:lang w:val="zh-CN"/>
        </w:rPr>
      </w:pPr>
      <w:bookmarkStart w:id="61" w:name="_Toc209083652"/>
      <w:r>
        <w:rPr>
          <w:rFonts w:hint="eastAsia" w:ascii="黑体" w:hAnsi="黑体" w:eastAsia="黑体"/>
          <w:b/>
          <w:color w:val="auto"/>
          <w:sz w:val="36"/>
          <w:szCs w:val="36"/>
          <w:highlight w:val="none"/>
          <w:lang w:val="zh-CN"/>
        </w:rPr>
        <w:t>第六章 投标文件格式</w:t>
      </w:r>
      <w:bookmarkEnd w:id="61"/>
    </w:p>
    <w:p w14:paraId="45313F0E">
      <w:pPr>
        <w:autoSpaceDE w:val="0"/>
        <w:autoSpaceDN w:val="0"/>
        <w:adjustRightInd w:val="0"/>
        <w:spacing w:line="276" w:lineRule="auto"/>
        <w:ind w:firstLine="514" w:firstLineChars="245"/>
        <w:jc w:val="left"/>
        <w:rPr>
          <w:rFonts w:ascii="宋体"/>
          <w:color w:val="auto"/>
          <w:sz w:val="36"/>
          <w:szCs w:val="36"/>
          <w:highlight w:val="none"/>
          <w:lang w:val="zh-CN"/>
        </w:rPr>
      </w:pPr>
      <w:r>
        <w:rPr>
          <w:rFonts w:hint="eastAsia" w:ascii="宋体" w:hAnsi="宋体"/>
          <w:color w:val="auto"/>
          <w:szCs w:val="21"/>
          <w:highlight w:val="none"/>
          <w:lang w:val="zh-CN"/>
        </w:rPr>
        <w:t>投标人应按“投标人须知</w:t>
      </w:r>
      <w:r>
        <w:rPr>
          <w:rFonts w:ascii="宋体"/>
          <w:color w:val="auto"/>
          <w:szCs w:val="21"/>
          <w:highlight w:val="none"/>
          <w:lang w:val="zh-CN"/>
        </w:rPr>
        <w:t>--</w:t>
      </w:r>
      <w:r>
        <w:rPr>
          <w:rFonts w:hint="eastAsia" w:ascii="宋体" w:hAnsi="宋体"/>
          <w:color w:val="auto"/>
          <w:szCs w:val="21"/>
          <w:highlight w:val="none"/>
          <w:lang w:val="zh-CN"/>
        </w:rPr>
        <w:t>投标文件的组成”列示内容编制投标文件，本章“投标文件格式”仅为对投标文件部分内容的格式化规范，并非投标文件所应具备的全部内容</w:t>
      </w:r>
      <w:r>
        <w:rPr>
          <w:rFonts w:hint="eastAsia" w:ascii="宋体" w:hAnsi="宋体"/>
          <w:color w:val="auto"/>
          <w:sz w:val="36"/>
          <w:szCs w:val="36"/>
          <w:highlight w:val="none"/>
          <w:lang w:val="zh-CN"/>
        </w:rPr>
        <w:t>。</w:t>
      </w:r>
    </w:p>
    <w:p w14:paraId="66724678">
      <w:pPr>
        <w:autoSpaceDE w:val="0"/>
        <w:autoSpaceDN w:val="0"/>
        <w:adjustRightInd w:val="0"/>
        <w:spacing w:line="276" w:lineRule="auto"/>
        <w:ind w:firstLine="882" w:firstLineChars="245"/>
        <w:jc w:val="left"/>
        <w:rPr>
          <w:rFonts w:ascii="宋体"/>
          <w:color w:val="auto"/>
          <w:sz w:val="36"/>
          <w:szCs w:val="36"/>
          <w:highlight w:val="none"/>
          <w:lang w:val="zh-CN"/>
        </w:rPr>
      </w:pPr>
    </w:p>
    <w:p w14:paraId="3C1CC7D8">
      <w:pPr>
        <w:autoSpaceDE w:val="0"/>
        <w:autoSpaceDN w:val="0"/>
        <w:adjustRightInd w:val="0"/>
        <w:spacing w:line="360" w:lineRule="auto"/>
        <w:ind w:right="-817"/>
        <w:rPr>
          <w:rFonts w:ascii="宋体"/>
          <w:color w:val="auto"/>
          <w:sz w:val="24"/>
          <w:highlight w:val="none"/>
          <w:u w:val="single"/>
        </w:rPr>
      </w:pPr>
    </w:p>
    <w:p w14:paraId="58AEE6E0">
      <w:pPr>
        <w:autoSpaceDE w:val="0"/>
        <w:autoSpaceDN w:val="0"/>
        <w:adjustRightInd w:val="0"/>
        <w:spacing w:line="360" w:lineRule="auto"/>
        <w:ind w:firstLine="480" w:firstLineChars="200"/>
        <w:jc w:val="left"/>
        <w:rPr>
          <w:rFonts w:ascii="宋体"/>
          <w:color w:val="auto"/>
          <w:sz w:val="24"/>
          <w:highlight w:val="none"/>
          <w:u w:val="single"/>
        </w:rPr>
      </w:pPr>
    </w:p>
    <w:p w14:paraId="707F5109">
      <w:pPr>
        <w:autoSpaceDE w:val="0"/>
        <w:autoSpaceDN w:val="0"/>
        <w:adjustRightInd w:val="0"/>
        <w:spacing w:line="360" w:lineRule="auto"/>
        <w:jc w:val="left"/>
        <w:rPr>
          <w:rFonts w:ascii="宋体"/>
          <w:color w:val="auto"/>
          <w:sz w:val="44"/>
          <w:szCs w:val="44"/>
          <w:highlight w:val="none"/>
          <w:u w:val="single"/>
        </w:rPr>
      </w:pPr>
      <w:r>
        <w:rPr>
          <w:rFonts w:hint="eastAsia" w:ascii="宋体" w:hAnsi="宋体"/>
          <w:color w:val="auto"/>
          <w:sz w:val="44"/>
          <w:szCs w:val="44"/>
          <w:highlight w:val="none"/>
        </w:rPr>
        <w:t>项目名称：</w:t>
      </w:r>
    </w:p>
    <w:p w14:paraId="6E8231E5">
      <w:pPr>
        <w:autoSpaceDE w:val="0"/>
        <w:autoSpaceDN w:val="0"/>
        <w:adjustRightInd w:val="0"/>
        <w:spacing w:line="360" w:lineRule="auto"/>
        <w:jc w:val="left"/>
        <w:rPr>
          <w:rFonts w:ascii="宋体"/>
          <w:color w:val="auto"/>
          <w:sz w:val="24"/>
          <w:highlight w:val="none"/>
        </w:rPr>
      </w:pPr>
      <w:r>
        <w:rPr>
          <w:rFonts w:hint="eastAsia" w:ascii="宋体" w:hAnsi="宋体"/>
          <w:color w:val="auto"/>
          <w:sz w:val="44"/>
          <w:szCs w:val="44"/>
          <w:highlight w:val="none"/>
        </w:rPr>
        <w:t>项目编号：</w:t>
      </w:r>
    </w:p>
    <w:p w14:paraId="67B79282">
      <w:pPr>
        <w:autoSpaceDE w:val="0"/>
        <w:autoSpaceDN w:val="0"/>
        <w:adjustRightInd w:val="0"/>
        <w:spacing w:line="360" w:lineRule="auto"/>
        <w:jc w:val="center"/>
        <w:rPr>
          <w:rFonts w:ascii="黑体" w:hAnsi="黑体" w:eastAsia="黑体"/>
          <w:b/>
          <w:color w:val="auto"/>
          <w:spacing w:val="60"/>
          <w:sz w:val="84"/>
          <w:szCs w:val="84"/>
          <w:highlight w:val="none"/>
        </w:rPr>
      </w:pPr>
    </w:p>
    <w:p w14:paraId="3B2E5064">
      <w:pPr>
        <w:autoSpaceDE w:val="0"/>
        <w:autoSpaceDN w:val="0"/>
        <w:adjustRightInd w:val="0"/>
        <w:spacing w:line="360" w:lineRule="auto"/>
        <w:jc w:val="center"/>
        <w:rPr>
          <w:rFonts w:ascii="黑体" w:hAnsi="黑体" w:eastAsia="黑体"/>
          <w:b/>
          <w:color w:val="auto"/>
          <w:spacing w:val="60"/>
          <w:sz w:val="84"/>
          <w:szCs w:val="84"/>
          <w:highlight w:val="none"/>
        </w:rPr>
      </w:pPr>
      <w:r>
        <w:rPr>
          <w:rFonts w:hint="eastAsia" w:ascii="黑体" w:hAnsi="黑体" w:eastAsia="黑体"/>
          <w:b/>
          <w:color w:val="auto"/>
          <w:spacing w:val="60"/>
          <w:sz w:val="84"/>
          <w:szCs w:val="84"/>
          <w:highlight w:val="none"/>
        </w:rPr>
        <w:t>投标文件</w:t>
      </w:r>
    </w:p>
    <w:p w14:paraId="4DAC7CB6">
      <w:pPr>
        <w:autoSpaceDE w:val="0"/>
        <w:autoSpaceDN w:val="0"/>
        <w:adjustRightInd w:val="0"/>
        <w:spacing w:line="360" w:lineRule="auto"/>
        <w:jc w:val="center"/>
        <w:rPr>
          <w:rFonts w:ascii="宋体"/>
          <w:color w:val="auto"/>
          <w:sz w:val="24"/>
          <w:highlight w:val="none"/>
        </w:rPr>
      </w:pPr>
    </w:p>
    <w:p w14:paraId="7BB74414">
      <w:pPr>
        <w:autoSpaceDE w:val="0"/>
        <w:autoSpaceDN w:val="0"/>
        <w:adjustRightInd w:val="0"/>
        <w:spacing w:line="360" w:lineRule="auto"/>
        <w:jc w:val="center"/>
        <w:rPr>
          <w:rFonts w:ascii="宋体"/>
          <w:color w:val="auto"/>
          <w:sz w:val="24"/>
          <w:highlight w:val="none"/>
        </w:rPr>
      </w:pPr>
    </w:p>
    <w:p w14:paraId="3790EA8A">
      <w:pPr>
        <w:autoSpaceDE w:val="0"/>
        <w:autoSpaceDN w:val="0"/>
        <w:adjustRightInd w:val="0"/>
        <w:spacing w:line="360" w:lineRule="auto"/>
        <w:jc w:val="center"/>
        <w:rPr>
          <w:rFonts w:ascii="宋体"/>
          <w:color w:val="auto"/>
          <w:sz w:val="24"/>
          <w:highlight w:val="none"/>
        </w:rPr>
      </w:pPr>
    </w:p>
    <w:p w14:paraId="47F799AE">
      <w:pPr>
        <w:autoSpaceDE w:val="0"/>
        <w:autoSpaceDN w:val="0"/>
        <w:adjustRightInd w:val="0"/>
        <w:spacing w:line="360" w:lineRule="auto"/>
        <w:jc w:val="center"/>
        <w:rPr>
          <w:rFonts w:ascii="宋体"/>
          <w:color w:val="auto"/>
          <w:sz w:val="24"/>
          <w:highlight w:val="none"/>
        </w:rPr>
      </w:pPr>
    </w:p>
    <w:p w14:paraId="512154AB">
      <w:pPr>
        <w:pStyle w:val="48"/>
        <w:spacing w:line="360" w:lineRule="auto"/>
        <w:rPr>
          <w:rFonts w:hAnsi="宋体"/>
          <w:color w:val="auto"/>
          <w:szCs w:val="24"/>
          <w:highlight w:val="none"/>
          <w:u w:val="single"/>
        </w:rPr>
      </w:pPr>
    </w:p>
    <w:p w14:paraId="070D5B1F">
      <w:pPr>
        <w:pStyle w:val="48"/>
        <w:spacing w:line="360" w:lineRule="auto"/>
        <w:jc w:val="both"/>
        <w:rPr>
          <w:rFonts w:hAnsi="宋体"/>
          <w:color w:val="auto"/>
          <w:sz w:val="28"/>
          <w:szCs w:val="28"/>
          <w:highlight w:val="none"/>
          <w:u w:val="single"/>
        </w:rPr>
      </w:pPr>
      <w:r>
        <w:rPr>
          <w:rFonts w:hint="eastAsia" w:hAnsi="宋体"/>
          <w:color w:val="auto"/>
          <w:sz w:val="28"/>
          <w:szCs w:val="28"/>
          <w:highlight w:val="none"/>
        </w:rPr>
        <w:t>投标人（</w:t>
      </w:r>
      <w:r>
        <w:rPr>
          <w:rFonts w:hint="eastAsia"/>
          <w:color w:val="auto"/>
          <w:szCs w:val="24"/>
          <w:highlight w:val="none"/>
        </w:rPr>
        <w:t>电子签</w:t>
      </w:r>
      <w:r>
        <w:rPr>
          <w:rFonts w:hint="eastAsia" w:hAnsi="宋体"/>
          <w:color w:val="auto"/>
          <w:szCs w:val="24"/>
          <w:highlight w:val="none"/>
        </w:rPr>
        <w:t>章</w:t>
      </w:r>
      <w:r>
        <w:rPr>
          <w:rFonts w:hint="eastAsia" w:hAnsi="宋体"/>
          <w:color w:val="auto"/>
          <w:sz w:val="28"/>
          <w:szCs w:val="28"/>
          <w:highlight w:val="none"/>
        </w:rPr>
        <w:t>）：</w:t>
      </w:r>
    </w:p>
    <w:p w14:paraId="1C6611C4">
      <w:pPr>
        <w:pStyle w:val="48"/>
        <w:spacing w:line="360" w:lineRule="auto"/>
        <w:ind w:firstLine="280" w:firstLineChars="100"/>
        <w:rPr>
          <w:rFonts w:hAnsi="宋体"/>
          <w:color w:val="auto"/>
          <w:sz w:val="28"/>
          <w:szCs w:val="28"/>
          <w:highlight w:val="none"/>
        </w:rPr>
      </w:pPr>
    </w:p>
    <w:p w14:paraId="2E0B9768">
      <w:pPr>
        <w:pStyle w:val="48"/>
        <w:spacing w:line="360" w:lineRule="auto"/>
        <w:ind w:firstLine="280" w:firstLineChars="100"/>
        <w:rPr>
          <w:rFonts w:hAnsi="宋体"/>
          <w:color w:val="auto"/>
          <w:sz w:val="28"/>
          <w:szCs w:val="28"/>
          <w:highlight w:val="none"/>
          <w:u w:val="single"/>
        </w:rPr>
      </w:pPr>
      <w:r>
        <w:rPr>
          <w:rFonts w:hint="eastAsia" w:hAnsi="宋体"/>
          <w:color w:val="auto"/>
          <w:sz w:val="28"/>
          <w:szCs w:val="28"/>
          <w:highlight w:val="none"/>
        </w:rPr>
        <w:t>法定代表人（电子签名或签章）：</w:t>
      </w:r>
    </w:p>
    <w:p w14:paraId="283026B1">
      <w:pPr>
        <w:pStyle w:val="48"/>
        <w:spacing w:line="360" w:lineRule="auto"/>
        <w:jc w:val="center"/>
        <w:rPr>
          <w:rFonts w:hAnsi="宋体"/>
          <w:color w:val="auto"/>
          <w:sz w:val="28"/>
          <w:szCs w:val="28"/>
          <w:highlight w:val="none"/>
        </w:rPr>
      </w:pPr>
    </w:p>
    <w:p w14:paraId="605EB6A4">
      <w:pPr>
        <w:pStyle w:val="48"/>
        <w:spacing w:line="360" w:lineRule="auto"/>
        <w:jc w:val="both"/>
        <w:rPr>
          <w:rFonts w:hAnsi="宋体"/>
          <w:color w:val="auto"/>
          <w:sz w:val="28"/>
          <w:szCs w:val="28"/>
          <w:highlight w:val="none"/>
        </w:rPr>
      </w:pPr>
    </w:p>
    <w:p w14:paraId="5CEA0DCD">
      <w:pPr>
        <w:widowControl w:val="0"/>
        <w:tabs>
          <w:tab w:val="left" w:pos="9365"/>
        </w:tabs>
        <w:snapToGrid w:val="0"/>
        <w:spacing w:before="56" w:after="56" w:line="560" w:lineRule="atLeast"/>
        <w:jc w:val="left"/>
        <w:textAlignment w:val="top"/>
        <w:rPr>
          <w:color w:val="auto"/>
          <w:sz w:val="28"/>
          <w:highlight w:val="none"/>
        </w:rPr>
      </w:pPr>
      <w:r>
        <w:rPr>
          <w:rFonts w:ascii="宋体" w:cs="楷体_GB2312"/>
          <w:b/>
          <w:bCs/>
          <w:color w:val="auto"/>
          <w:sz w:val="44"/>
          <w:szCs w:val="44"/>
          <w:highlight w:val="none"/>
          <w:lang w:val="zh-CN"/>
        </w:rPr>
        <w:br w:type="page"/>
      </w:r>
      <w:bookmarkStart w:id="62" w:name="OLE_LINK35"/>
      <w:bookmarkStart w:id="63" w:name="OLE_LINK10"/>
    </w:p>
    <w:p w14:paraId="4A5256D4">
      <w:pPr>
        <w:spacing w:line="351" w:lineRule="atLeast"/>
        <w:ind w:left="419"/>
        <w:jc w:val="center"/>
        <w:rPr>
          <w:rFonts w:ascii="黑体" w:eastAsia="黑体"/>
          <w:b/>
          <w:color w:val="auto"/>
          <w:spacing w:val="60"/>
          <w:sz w:val="36"/>
          <w:szCs w:val="36"/>
          <w:highlight w:val="none"/>
        </w:rPr>
      </w:pPr>
      <w:r>
        <w:rPr>
          <w:rFonts w:hint="eastAsia" w:ascii="黑体" w:eastAsia="黑体"/>
          <w:b/>
          <w:color w:val="auto"/>
          <w:spacing w:val="60"/>
          <w:sz w:val="36"/>
          <w:szCs w:val="36"/>
          <w:highlight w:val="none"/>
        </w:rPr>
        <w:t>一、投标书</w:t>
      </w:r>
      <w:bookmarkEnd w:id="62"/>
    </w:p>
    <w:bookmarkEnd w:id="63"/>
    <w:p w14:paraId="4D42C867">
      <w:pPr>
        <w:widowControl w:val="0"/>
        <w:snapToGrid w:val="0"/>
        <w:spacing w:line="560" w:lineRule="exact"/>
        <w:rPr>
          <w:color w:val="auto"/>
          <w:sz w:val="28"/>
          <w:highlight w:val="none"/>
        </w:rPr>
      </w:pPr>
    </w:p>
    <w:p w14:paraId="289C12B9">
      <w:pPr>
        <w:widowControl w:val="0"/>
        <w:snapToGrid w:val="0"/>
        <w:spacing w:line="360" w:lineRule="auto"/>
        <w:rPr>
          <w:color w:val="auto"/>
          <w:sz w:val="24"/>
          <w:szCs w:val="24"/>
          <w:highlight w:val="none"/>
        </w:rPr>
      </w:pPr>
      <w:r>
        <w:rPr>
          <w:rFonts w:hint="eastAsia"/>
          <w:color w:val="auto"/>
          <w:sz w:val="24"/>
          <w:szCs w:val="24"/>
          <w:highlight w:val="none"/>
        </w:rPr>
        <w:t>致：安阳市方正招标采购服务有限责任公司</w:t>
      </w:r>
    </w:p>
    <w:p w14:paraId="36DCC85B">
      <w:pPr>
        <w:widowControl w:val="0"/>
        <w:snapToGrid w:val="0"/>
        <w:spacing w:line="360" w:lineRule="auto"/>
        <w:ind w:firstLine="578"/>
        <w:textAlignment w:val="top"/>
        <w:rPr>
          <w:color w:val="auto"/>
          <w:sz w:val="24"/>
          <w:szCs w:val="24"/>
          <w:highlight w:val="none"/>
        </w:rPr>
      </w:pPr>
      <w:r>
        <w:rPr>
          <w:rFonts w:hint="eastAsia"/>
          <w:color w:val="auto"/>
          <w:sz w:val="24"/>
          <w:szCs w:val="24"/>
          <w:highlight w:val="none"/>
        </w:rPr>
        <w:t>根据贵方竞争性谈判采购</w:t>
      </w:r>
      <w:r>
        <w:rPr>
          <w:rFonts w:hint="eastAsia"/>
          <w:color w:val="auto"/>
          <w:sz w:val="18"/>
          <w:szCs w:val="18"/>
          <w:highlight w:val="none"/>
          <w:u w:val="single"/>
        </w:rPr>
        <w:t>（项目名称）</w:t>
      </w:r>
      <w:r>
        <w:rPr>
          <w:rFonts w:hint="eastAsia"/>
          <w:color w:val="auto"/>
          <w:sz w:val="24"/>
          <w:szCs w:val="24"/>
          <w:highlight w:val="none"/>
        </w:rPr>
        <w:t>的谈判文件（项目编号：），经详细研究，我们决定参加该项目的采购活动并按要求提交响应文件。我们郑重声明对我单位提交的所有投标资料的真实准确完整承担完全责任、并对之负法律责任。</w:t>
      </w:r>
    </w:p>
    <w:p w14:paraId="0817E89D">
      <w:pPr>
        <w:adjustRightInd w:val="0"/>
        <w:snapToGrid w:val="0"/>
        <w:spacing w:line="300" w:lineRule="auto"/>
        <w:ind w:firstLine="539"/>
        <w:textAlignment w:val="top"/>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）投标书。</w:t>
      </w:r>
    </w:p>
    <w:p w14:paraId="16FD4678">
      <w:pPr>
        <w:adjustRightInd w:val="0"/>
        <w:snapToGrid w:val="0"/>
        <w:spacing w:line="300" w:lineRule="auto"/>
        <w:ind w:firstLine="539"/>
        <w:textAlignment w:val="top"/>
        <w:rPr>
          <w:rFonts w:ascii="宋体" w:hAnsi="宋体"/>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2</w:t>
      </w:r>
      <w:r>
        <w:rPr>
          <w:rFonts w:hint="eastAsia" w:ascii="宋体" w:hAnsi="宋体" w:cs="楷体_GB2312"/>
          <w:color w:val="auto"/>
          <w:sz w:val="24"/>
          <w:highlight w:val="none"/>
          <w:lang w:val="zh-CN"/>
        </w:rPr>
        <w:t>）</w:t>
      </w:r>
      <w:r>
        <w:rPr>
          <w:rFonts w:hint="eastAsia" w:ascii="宋体" w:hAnsi="宋体"/>
          <w:color w:val="auto"/>
          <w:sz w:val="24"/>
          <w:szCs w:val="24"/>
          <w:highlight w:val="none"/>
        </w:rPr>
        <w:t>开标一览表（即交易系统中报价一览表）</w:t>
      </w:r>
    </w:p>
    <w:p w14:paraId="7AA4B3D9">
      <w:pPr>
        <w:adjustRightInd w:val="0"/>
        <w:snapToGrid w:val="0"/>
        <w:spacing w:line="300" w:lineRule="auto"/>
        <w:ind w:firstLine="539"/>
        <w:textAlignment w:val="top"/>
        <w:rPr>
          <w:rFonts w:ascii="宋体" w:hAnsi="宋体"/>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3</w:t>
      </w:r>
      <w:r>
        <w:rPr>
          <w:rFonts w:hint="eastAsia" w:ascii="宋体" w:hAnsi="宋体" w:cs="楷体_GB2312"/>
          <w:color w:val="auto"/>
          <w:sz w:val="24"/>
          <w:highlight w:val="none"/>
          <w:lang w:val="zh-CN"/>
        </w:rPr>
        <w:t>）</w:t>
      </w:r>
      <w:r>
        <w:rPr>
          <w:rFonts w:hint="eastAsia" w:ascii="宋体" w:hAnsi="宋体"/>
          <w:color w:val="auto"/>
          <w:sz w:val="24"/>
          <w:highlight w:val="none"/>
        </w:rPr>
        <w:t>投标报价明细表</w:t>
      </w:r>
    </w:p>
    <w:p w14:paraId="24422FE2">
      <w:pPr>
        <w:adjustRightInd w:val="0"/>
        <w:snapToGrid w:val="0"/>
        <w:spacing w:line="300" w:lineRule="auto"/>
        <w:ind w:firstLine="539"/>
        <w:textAlignment w:val="top"/>
        <w:rPr>
          <w:rFonts w:ascii="宋体" w:hAnsi="宋体"/>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4</w:t>
      </w:r>
      <w:r>
        <w:rPr>
          <w:rFonts w:hint="eastAsia" w:ascii="宋体" w:hAnsi="宋体" w:cs="楷体_GB2312"/>
          <w:color w:val="auto"/>
          <w:sz w:val="24"/>
          <w:highlight w:val="none"/>
          <w:lang w:val="zh-CN"/>
        </w:rPr>
        <w:t>）</w:t>
      </w:r>
      <w:r>
        <w:rPr>
          <w:rFonts w:hint="eastAsia" w:ascii="宋体" w:hAnsi="宋体"/>
          <w:color w:val="auto"/>
          <w:sz w:val="24"/>
          <w:highlight w:val="none"/>
        </w:rPr>
        <w:t>投标产品清单及其技术参数，安装调试方案</w:t>
      </w:r>
    </w:p>
    <w:p w14:paraId="703CB881">
      <w:pPr>
        <w:adjustRightInd w:val="0"/>
        <w:snapToGrid w:val="0"/>
        <w:spacing w:line="300" w:lineRule="auto"/>
        <w:ind w:firstLine="539"/>
        <w:textAlignment w:val="top"/>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5</w:t>
      </w:r>
      <w:r>
        <w:rPr>
          <w:rFonts w:hint="eastAsia" w:ascii="宋体" w:hAnsi="宋体"/>
          <w:color w:val="auto"/>
          <w:sz w:val="24"/>
          <w:highlight w:val="none"/>
        </w:rPr>
        <w:t>）技术偏差表。</w:t>
      </w:r>
    </w:p>
    <w:p w14:paraId="540C2690">
      <w:pPr>
        <w:adjustRightInd w:val="0"/>
        <w:snapToGrid w:val="0"/>
        <w:spacing w:line="300" w:lineRule="auto"/>
        <w:ind w:firstLine="539"/>
        <w:rPr>
          <w:rFonts w:ascii="宋体" w:hAnsi="宋体"/>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6</w:t>
      </w:r>
      <w:r>
        <w:rPr>
          <w:rFonts w:hint="eastAsia" w:ascii="宋体" w:hAnsi="宋体" w:cs="楷体_GB2312"/>
          <w:color w:val="auto"/>
          <w:sz w:val="24"/>
          <w:highlight w:val="none"/>
          <w:lang w:val="zh-CN"/>
        </w:rPr>
        <w:t>）</w:t>
      </w:r>
      <w:r>
        <w:rPr>
          <w:rFonts w:hint="eastAsia" w:ascii="宋体" w:hAnsi="宋体"/>
          <w:color w:val="auto"/>
          <w:sz w:val="24"/>
          <w:highlight w:val="none"/>
        </w:rPr>
        <w:t>其他偏差表</w:t>
      </w:r>
    </w:p>
    <w:p w14:paraId="1EF91B4C">
      <w:pPr>
        <w:adjustRightInd w:val="0"/>
        <w:snapToGrid w:val="0"/>
        <w:spacing w:line="300" w:lineRule="auto"/>
        <w:ind w:firstLine="539"/>
        <w:textAlignment w:val="top"/>
        <w:rPr>
          <w:rFonts w:ascii="宋体" w:hAnsi="宋体"/>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7</w:t>
      </w:r>
      <w:r>
        <w:rPr>
          <w:rFonts w:hint="eastAsia" w:ascii="宋体" w:hAnsi="宋体" w:cs="楷体_GB2312"/>
          <w:color w:val="auto"/>
          <w:sz w:val="24"/>
          <w:highlight w:val="none"/>
          <w:lang w:val="zh-CN"/>
        </w:rPr>
        <w:t>）</w:t>
      </w:r>
      <w:r>
        <w:rPr>
          <w:rFonts w:hint="eastAsia" w:ascii="宋体" w:hAnsi="宋体"/>
          <w:color w:val="auto"/>
          <w:sz w:val="24"/>
          <w:highlight w:val="none"/>
        </w:rPr>
        <w:t>售后服务计划</w:t>
      </w:r>
    </w:p>
    <w:p w14:paraId="1A122765">
      <w:pPr>
        <w:adjustRightInd w:val="0"/>
        <w:snapToGrid w:val="0"/>
        <w:spacing w:line="300" w:lineRule="auto"/>
        <w:ind w:firstLine="539"/>
        <w:textAlignment w:val="top"/>
        <w:rPr>
          <w:rFonts w:ascii="宋体" w:hAnsi="宋体"/>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8</w:t>
      </w:r>
      <w:r>
        <w:rPr>
          <w:rFonts w:hint="eastAsia" w:ascii="宋体" w:hAnsi="宋体" w:cs="楷体_GB2312"/>
          <w:color w:val="auto"/>
          <w:sz w:val="24"/>
          <w:highlight w:val="none"/>
          <w:lang w:val="zh-CN"/>
        </w:rPr>
        <w:t>）</w:t>
      </w:r>
      <w:r>
        <w:rPr>
          <w:rFonts w:hint="eastAsia" w:ascii="宋体" w:hAnsi="宋体"/>
          <w:color w:val="auto"/>
          <w:sz w:val="24"/>
          <w:highlight w:val="none"/>
        </w:rPr>
        <w:t>关于资格的声明函</w:t>
      </w:r>
    </w:p>
    <w:p w14:paraId="3CC1D04A">
      <w:pPr>
        <w:adjustRightInd w:val="0"/>
        <w:snapToGrid w:val="0"/>
        <w:spacing w:line="300" w:lineRule="auto"/>
        <w:ind w:firstLine="539"/>
        <w:rPr>
          <w:rFonts w:ascii="宋体" w:hAnsi="宋体"/>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9</w:t>
      </w:r>
      <w:r>
        <w:rPr>
          <w:rFonts w:hint="eastAsia" w:ascii="宋体" w:hAnsi="宋体" w:cs="楷体_GB2312"/>
          <w:color w:val="auto"/>
          <w:sz w:val="24"/>
          <w:highlight w:val="none"/>
          <w:lang w:val="zh-CN"/>
        </w:rPr>
        <w:t>）</w:t>
      </w:r>
      <w:r>
        <w:rPr>
          <w:rFonts w:hint="eastAsia" w:ascii="宋体" w:hAnsi="宋体"/>
          <w:color w:val="auto"/>
          <w:sz w:val="24"/>
          <w:highlight w:val="none"/>
        </w:rPr>
        <w:t>反商业贿赂承诺书。</w:t>
      </w:r>
    </w:p>
    <w:p w14:paraId="15ABC7A0">
      <w:pPr>
        <w:adjustRightInd w:val="0"/>
        <w:snapToGrid w:val="0"/>
        <w:spacing w:line="300" w:lineRule="auto"/>
        <w:ind w:firstLine="539"/>
        <w:rPr>
          <w:rFonts w:ascii="宋体" w:hAnsi="宋体"/>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10</w:t>
      </w:r>
      <w:r>
        <w:rPr>
          <w:rFonts w:hint="eastAsia" w:ascii="宋体" w:hAnsi="宋体" w:cs="楷体_GB2312"/>
          <w:color w:val="auto"/>
          <w:sz w:val="24"/>
          <w:highlight w:val="none"/>
          <w:lang w:val="zh-CN"/>
        </w:rPr>
        <w:t>）</w:t>
      </w:r>
      <w:r>
        <w:rPr>
          <w:rFonts w:hint="eastAsia" w:ascii="宋体" w:hAnsi="宋体"/>
          <w:color w:val="auto"/>
          <w:sz w:val="24"/>
          <w:highlight w:val="none"/>
        </w:rPr>
        <w:t>履约承诺书。</w:t>
      </w:r>
    </w:p>
    <w:p w14:paraId="648DB1C4">
      <w:pPr>
        <w:widowControl w:val="0"/>
        <w:adjustRightInd w:val="0"/>
        <w:snapToGrid w:val="0"/>
        <w:spacing w:line="300" w:lineRule="auto"/>
        <w:ind w:firstLine="539"/>
        <w:textAlignment w:val="top"/>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11</w:t>
      </w:r>
      <w:r>
        <w:rPr>
          <w:rFonts w:hint="eastAsia" w:ascii="宋体" w:hAnsi="宋体"/>
          <w:color w:val="auto"/>
          <w:sz w:val="24"/>
          <w:highlight w:val="none"/>
        </w:rPr>
        <w:t>）资格要求相关证件材料及证明材料</w:t>
      </w:r>
    </w:p>
    <w:p w14:paraId="49090DA7">
      <w:pPr>
        <w:widowControl w:val="0"/>
        <w:adjustRightInd w:val="0"/>
        <w:snapToGrid w:val="0"/>
        <w:spacing w:line="300" w:lineRule="auto"/>
        <w:ind w:firstLine="539"/>
        <w:textAlignment w:val="top"/>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12</w:t>
      </w:r>
      <w:r>
        <w:rPr>
          <w:rFonts w:hint="eastAsia" w:ascii="宋体" w:hAnsi="宋体"/>
          <w:color w:val="auto"/>
          <w:sz w:val="24"/>
          <w:highlight w:val="none"/>
        </w:rPr>
        <w:t>）采购项目及技术服务要求所需的其他材料</w:t>
      </w:r>
    </w:p>
    <w:p w14:paraId="5CC1EC68">
      <w:pPr>
        <w:widowControl w:val="0"/>
        <w:adjustRightInd w:val="0"/>
        <w:snapToGrid w:val="0"/>
        <w:spacing w:line="300" w:lineRule="auto"/>
        <w:ind w:firstLine="539"/>
        <w:textAlignment w:val="top"/>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13</w:t>
      </w:r>
      <w:r>
        <w:rPr>
          <w:rFonts w:hint="eastAsia" w:ascii="宋体" w:hAnsi="宋体"/>
          <w:color w:val="auto"/>
          <w:sz w:val="24"/>
          <w:highlight w:val="none"/>
        </w:rPr>
        <w:t>）投标人须知所需的其他材料</w:t>
      </w:r>
    </w:p>
    <w:p w14:paraId="7F4DE931">
      <w:pPr>
        <w:widowControl w:val="0"/>
        <w:adjustRightInd w:val="0"/>
        <w:snapToGrid w:val="0"/>
        <w:spacing w:line="300" w:lineRule="auto"/>
        <w:ind w:firstLine="539"/>
        <w:textAlignment w:val="top"/>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14</w:t>
      </w:r>
      <w:r>
        <w:rPr>
          <w:rFonts w:hint="eastAsia" w:ascii="宋体" w:hAnsi="宋体"/>
          <w:color w:val="auto"/>
          <w:sz w:val="24"/>
          <w:highlight w:val="none"/>
        </w:rPr>
        <w:t>）评审办法所需的其他材料</w:t>
      </w:r>
    </w:p>
    <w:p w14:paraId="7F0718B0">
      <w:pPr>
        <w:widowControl w:val="0"/>
        <w:adjustRightInd w:val="0"/>
        <w:snapToGrid w:val="0"/>
        <w:spacing w:line="300" w:lineRule="auto"/>
        <w:ind w:firstLine="720" w:firstLineChars="300"/>
        <w:textAlignment w:val="top"/>
        <w:rPr>
          <w:rFonts w:ascii="宋体" w:hAnsi="宋体"/>
          <w:color w:val="auto"/>
          <w:sz w:val="24"/>
          <w:highlight w:val="none"/>
        </w:rPr>
      </w:pPr>
      <w:r>
        <w:rPr>
          <w:rFonts w:hint="eastAsia" w:ascii="宋体" w:hAnsi="宋体"/>
          <w:color w:val="auto"/>
          <w:sz w:val="24"/>
          <w:highlight w:val="none"/>
        </w:rPr>
        <w:t>14-1. 其它材料</w:t>
      </w:r>
    </w:p>
    <w:p w14:paraId="7899249F">
      <w:pPr>
        <w:widowControl w:val="0"/>
        <w:adjustRightInd w:val="0"/>
        <w:snapToGrid w:val="0"/>
        <w:spacing w:line="300" w:lineRule="auto"/>
        <w:ind w:firstLine="720" w:firstLineChars="300"/>
        <w:textAlignment w:val="top"/>
        <w:rPr>
          <w:rFonts w:ascii="宋体" w:hAnsi="宋体"/>
          <w:color w:val="auto"/>
          <w:sz w:val="24"/>
          <w:highlight w:val="none"/>
        </w:rPr>
      </w:pPr>
      <w:r>
        <w:rPr>
          <w:rFonts w:hint="eastAsia" w:ascii="宋体" w:hAnsi="宋体"/>
          <w:color w:val="auto"/>
          <w:sz w:val="24"/>
          <w:highlight w:val="none"/>
        </w:rPr>
        <w:t>14-2.附件（如需）：关于台式计算机、便携式计算机、一体式计算机、工作站、通用服务器、操作系统、数据库的投标要求、评审注意事项、承诺函。</w:t>
      </w:r>
    </w:p>
    <w:p w14:paraId="41A95AEF">
      <w:pPr>
        <w:adjustRightInd w:val="0"/>
        <w:snapToGrid w:val="0"/>
        <w:spacing w:line="300" w:lineRule="auto"/>
        <w:ind w:firstLine="657" w:firstLineChars="274"/>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14-3附件：证明材料查询核验工作的清单及要求</w:t>
      </w:r>
    </w:p>
    <w:p w14:paraId="62C8F899">
      <w:pPr>
        <w:autoSpaceDE w:val="0"/>
        <w:autoSpaceDN w:val="0"/>
        <w:adjustRightInd w:val="0"/>
        <w:snapToGrid w:val="0"/>
        <w:spacing w:line="300" w:lineRule="auto"/>
        <w:ind w:firstLine="520" w:firstLineChars="217"/>
        <w:rPr>
          <w:rFonts w:ascii="宋体" w:hAns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15</w:t>
      </w:r>
      <w:r>
        <w:rPr>
          <w:rFonts w:hint="eastAsia" w:ascii="宋体" w:hAnsi="宋体" w:cs="楷体_GB2312"/>
          <w:color w:val="auto"/>
          <w:sz w:val="24"/>
          <w:highlight w:val="none"/>
          <w:lang w:val="zh-CN"/>
        </w:rPr>
        <w:t>）</w:t>
      </w:r>
      <w:r>
        <w:rPr>
          <w:rFonts w:hint="eastAsia" w:ascii="宋体" w:hAnsi="宋体"/>
          <w:color w:val="auto"/>
          <w:sz w:val="24"/>
          <w:highlight w:val="none"/>
        </w:rPr>
        <w:t>投标人认为有必要提交的其它材料</w:t>
      </w:r>
    </w:p>
    <w:p w14:paraId="148EA1FD">
      <w:pPr>
        <w:widowControl w:val="0"/>
        <w:snapToGrid w:val="0"/>
        <w:spacing w:line="560" w:lineRule="exact"/>
        <w:ind w:firstLine="555"/>
        <w:rPr>
          <w:rFonts w:ascii="宋体" w:hAnsi="宋体"/>
          <w:color w:val="auto"/>
          <w:sz w:val="24"/>
          <w:szCs w:val="24"/>
          <w:highlight w:val="none"/>
        </w:rPr>
      </w:pPr>
      <w:r>
        <w:rPr>
          <w:rFonts w:ascii="宋体" w:hAnsi="宋体"/>
          <w:color w:val="auto"/>
          <w:sz w:val="24"/>
          <w:szCs w:val="24"/>
          <w:highlight w:val="none"/>
        </w:rPr>
        <w:t>.........</w:t>
      </w:r>
    </w:p>
    <w:p w14:paraId="26DA5E8D">
      <w:pPr>
        <w:widowControl w:val="0"/>
        <w:snapToGrid w:val="0"/>
        <w:spacing w:beforeLines="50" w:line="300" w:lineRule="auto"/>
        <w:ind w:firstLine="556"/>
        <w:rPr>
          <w:rFonts w:ascii="宋体" w:hAnsi="宋体"/>
          <w:color w:val="auto"/>
          <w:sz w:val="24"/>
          <w:szCs w:val="24"/>
          <w:highlight w:val="none"/>
        </w:rPr>
      </w:pPr>
      <w:r>
        <w:rPr>
          <w:rFonts w:hint="eastAsia" w:ascii="宋体" w:hAnsi="宋体"/>
          <w:color w:val="auto"/>
          <w:sz w:val="24"/>
          <w:szCs w:val="24"/>
          <w:highlight w:val="none"/>
        </w:rPr>
        <w:t>据此函，签字代表宣布同意如下：</w:t>
      </w:r>
    </w:p>
    <w:p w14:paraId="44AAC3A1">
      <w:pPr>
        <w:widowControl w:val="0"/>
        <w:snapToGrid w:val="0"/>
        <w:spacing w:beforeLines="50" w:line="300" w:lineRule="auto"/>
        <w:ind w:firstLine="556"/>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所附开标一览表中规定的应提供和交付的投标总价为：人民币</w:t>
      </w:r>
      <w:r>
        <w:rPr>
          <w:rFonts w:ascii="宋体" w:hAnsi="宋体"/>
          <w:color w:val="auto"/>
          <w:sz w:val="24"/>
          <w:szCs w:val="24"/>
          <w:highlight w:val="none"/>
          <w:u w:val="single"/>
        </w:rPr>
        <w:tab/>
      </w:r>
      <w:r>
        <w:rPr>
          <w:rFonts w:hint="eastAsia" w:ascii="宋体" w:hAnsi="宋体"/>
          <w:color w:val="auto"/>
          <w:sz w:val="24"/>
          <w:szCs w:val="24"/>
          <w:highlight w:val="none"/>
        </w:rPr>
        <w:t>，即</w:t>
      </w:r>
      <w:r>
        <w:rPr>
          <w:rFonts w:ascii="宋体" w:hAnsi="宋体"/>
          <w:color w:val="auto"/>
          <w:sz w:val="24"/>
          <w:szCs w:val="24"/>
          <w:highlight w:val="none"/>
          <w:u w:val="single"/>
        </w:rPr>
        <w:tab/>
      </w:r>
      <w:r>
        <w:rPr>
          <w:rFonts w:ascii="宋体" w:hAnsi="宋体"/>
          <w:color w:val="auto"/>
          <w:sz w:val="24"/>
          <w:szCs w:val="24"/>
          <w:highlight w:val="none"/>
          <w:u w:val="single"/>
        </w:rPr>
        <w:tab/>
      </w:r>
      <w:r>
        <w:rPr>
          <w:rFonts w:ascii="宋体" w:hAnsi="宋体"/>
          <w:color w:val="auto"/>
          <w:sz w:val="24"/>
          <w:szCs w:val="24"/>
          <w:highlight w:val="none"/>
          <w:u w:val="single"/>
        </w:rPr>
        <w:tab/>
      </w:r>
      <w:r>
        <w:rPr>
          <w:rFonts w:hint="eastAsia" w:ascii="宋体" w:hAnsi="宋体"/>
          <w:color w:val="auto"/>
          <w:sz w:val="24"/>
          <w:szCs w:val="24"/>
          <w:highlight w:val="none"/>
        </w:rPr>
        <w:t>（文字表述）</w:t>
      </w:r>
      <w:r>
        <w:rPr>
          <w:rFonts w:hint="eastAsia"/>
          <w:color w:val="auto"/>
          <w:sz w:val="24"/>
          <w:szCs w:val="24"/>
          <w:highlight w:val="none"/>
        </w:rPr>
        <w:t>交验期：，交验地点：。</w:t>
      </w:r>
    </w:p>
    <w:p w14:paraId="70CF9D23">
      <w:pPr>
        <w:widowControl w:val="0"/>
        <w:snapToGrid w:val="0"/>
        <w:spacing w:beforeLines="50" w:line="300" w:lineRule="auto"/>
        <w:ind w:firstLine="556"/>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如果我单位的投标书被接受，我单位将履行谈判文件中规定的每一项要求，按期、按质、按量履行合同。</w:t>
      </w:r>
    </w:p>
    <w:p w14:paraId="343B1759">
      <w:pPr>
        <w:widowControl w:val="0"/>
        <w:snapToGrid w:val="0"/>
        <w:spacing w:beforeLines="50" w:line="300" w:lineRule="auto"/>
        <w:ind w:firstLine="556"/>
        <w:rPr>
          <w:rFonts w:ascii="宋体" w:hAnsi="宋体"/>
          <w:color w:val="auto"/>
          <w:sz w:val="24"/>
          <w:szCs w:val="24"/>
          <w:highlight w:val="none"/>
        </w:rPr>
      </w:pPr>
      <w:r>
        <w:rPr>
          <w:rFonts w:ascii="宋体" w:hAnsi="宋体"/>
          <w:color w:val="auto"/>
          <w:sz w:val="24"/>
          <w:szCs w:val="24"/>
          <w:highlight w:val="none"/>
        </w:rPr>
        <w:t xml:space="preserve">3. </w:t>
      </w:r>
      <w:r>
        <w:rPr>
          <w:rFonts w:hint="eastAsia" w:ascii="宋体" w:hAnsi="宋体"/>
          <w:color w:val="auto"/>
          <w:sz w:val="24"/>
          <w:szCs w:val="24"/>
          <w:highlight w:val="none"/>
        </w:rPr>
        <w:t>我单位愿按《中华人民共和国民法典》履行我单位的全部责任。</w:t>
      </w:r>
    </w:p>
    <w:p w14:paraId="6DCC6D83">
      <w:pPr>
        <w:widowControl w:val="0"/>
        <w:snapToGrid w:val="0"/>
        <w:spacing w:beforeLines="50" w:line="300" w:lineRule="auto"/>
        <w:ind w:firstLine="556"/>
        <w:rPr>
          <w:rFonts w:ascii="宋体" w:hAnsi="宋体"/>
          <w:color w:val="auto"/>
          <w:sz w:val="24"/>
          <w:szCs w:val="24"/>
          <w:highlight w:val="none"/>
        </w:rPr>
      </w:pPr>
      <w:r>
        <w:rPr>
          <w:rFonts w:ascii="宋体" w:hAnsi="宋体"/>
          <w:color w:val="auto"/>
          <w:sz w:val="24"/>
          <w:szCs w:val="24"/>
          <w:highlight w:val="none"/>
        </w:rPr>
        <w:t xml:space="preserve">4. </w:t>
      </w:r>
      <w:r>
        <w:rPr>
          <w:rFonts w:hint="eastAsia" w:ascii="宋体" w:hAnsi="宋体"/>
          <w:color w:val="auto"/>
          <w:sz w:val="24"/>
          <w:szCs w:val="24"/>
          <w:highlight w:val="none"/>
        </w:rPr>
        <w:t>我单位已详细阅读并完全理解、同意谈判文件的全部内容，包括澄清、修改、补充文件（谈判公告所述媒体公布）以及全部参考资料和有关附件；除我单位在谈判文件规定期间内书面提出的疑问外，我单位放弃对这方面有不明及误解的权力。</w:t>
      </w:r>
    </w:p>
    <w:p w14:paraId="3B0DBA5E">
      <w:pPr>
        <w:widowControl w:val="0"/>
        <w:snapToGrid w:val="0"/>
        <w:spacing w:beforeLines="50" w:line="300" w:lineRule="auto"/>
        <w:ind w:firstLine="556"/>
        <w:rPr>
          <w:rFonts w:ascii="宋体" w:hAnsi="宋体"/>
          <w:color w:val="auto"/>
          <w:sz w:val="24"/>
          <w:szCs w:val="24"/>
          <w:highlight w:val="none"/>
        </w:rPr>
      </w:pPr>
      <w:r>
        <w:rPr>
          <w:rFonts w:ascii="宋体" w:hAnsi="宋体"/>
          <w:color w:val="auto"/>
          <w:sz w:val="24"/>
          <w:szCs w:val="24"/>
          <w:highlight w:val="none"/>
        </w:rPr>
        <w:t>5.</w:t>
      </w:r>
      <w:r>
        <w:rPr>
          <w:rFonts w:hint="eastAsia" w:ascii="宋体" w:hAnsi="宋体"/>
          <w:color w:val="auto"/>
          <w:sz w:val="24"/>
          <w:szCs w:val="24"/>
          <w:highlight w:val="none"/>
        </w:rPr>
        <w:t>本投标自开标日起有效期为</w:t>
      </w:r>
      <w:r>
        <w:rPr>
          <w:rFonts w:ascii="宋体" w:hAnsi="宋体"/>
          <w:color w:val="auto"/>
          <w:sz w:val="24"/>
          <w:szCs w:val="24"/>
          <w:highlight w:val="none"/>
        </w:rPr>
        <w:t>90</w:t>
      </w:r>
      <w:r>
        <w:rPr>
          <w:rFonts w:hint="eastAsia" w:ascii="宋体" w:hAnsi="宋体"/>
          <w:color w:val="auto"/>
          <w:sz w:val="24"/>
          <w:szCs w:val="24"/>
          <w:highlight w:val="none"/>
        </w:rPr>
        <w:t>日历天。</w:t>
      </w:r>
    </w:p>
    <w:p w14:paraId="7D2ACD1F">
      <w:pPr>
        <w:widowControl w:val="0"/>
        <w:snapToGrid w:val="0"/>
        <w:spacing w:beforeLines="50" w:line="300" w:lineRule="auto"/>
        <w:ind w:firstLine="556"/>
        <w:rPr>
          <w:rFonts w:ascii="宋体" w:hAnsi="宋体"/>
          <w:color w:val="auto"/>
          <w:sz w:val="24"/>
          <w:szCs w:val="24"/>
          <w:highlight w:val="none"/>
        </w:rPr>
      </w:pPr>
      <w:r>
        <w:rPr>
          <w:rFonts w:hint="eastAsia" w:ascii="宋体" w:hAnsi="宋体"/>
          <w:color w:val="auto"/>
          <w:sz w:val="24"/>
          <w:szCs w:val="24"/>
          <w:highlight w:val="none"/>
        </w:rPr>
        <w:t>6.我单位承诺按照《谈判文件》规定的付款方式执行。</w:t>
      </w:r>
    </w:p>
    <w:p w14:paraId="6E7E99EF">
      <w:pPr>
        <w:widowControl w:val="0"/>
        <w:snapToGrid w:val="0"/>
        <w:spacing w:beforeLines="50" w:line="300" w:lineRule="auto"/>
        <w:ind w:firstLine="556"/>
        <w:rPr>
          <w:rFonts w:ascii="宋体" w:hAnsi="宋体"/>
          <w:color w:val="auto"/>
          <w:sz w:val="24"/>
          <w:szCs w:val="24"/>
          <w:highlight w:val="none"/>
        </w:rPr>
      </w:pPr>
      <w:r>
        <w:rPr>
          <w:rFonts w:hint="eastAsia"/>
          <w:color w:val="auto"/>
          <w:sz w:val="24"/>
          <w:szCs w:val="24"/>
          <w:highlight w:val="none"/>
        </w:rPr>
        <w:t>7</w:t>
      </w:r>
      <w:r>
        <w:rPr>
          <w:color w:val="auto"/>
          <w:sz w:val="24"/>
          <w:szCs w:val="24"/>
          <w:highlight w:val="none"/>
        </w:rPr>
        <w:t>.</w:t>
      </w:r>
      <w:r>
        <w:rPr>
          <w:rFonts w:hint="eastAsia"/>
          <w:color w:val="auto"/>
          <w:sz w:val="24"/>
          <w:szCs w:val="24"/>
          <w:highlight w:val="none"/>
        </w:rPr>
        <w:t>如果在规定的开标时间后，我单位在投标有效期内撤回投标的，依据</w:t>
      </w:r>
      <w:r>
        <w:rPr>
          <w:rFonts w:hint="eastAsia" w:ascii="宋体" w:hAnsi="宋体"/>
          <w:color w:val="auto"/>
          <w:sz w:val="24"/>
          <w:szCs w:val="24"/>
          <w:highlight w:val="none"/>
        </w:rPr>
        <w:t>谈判</w:t>
      </w:r>
      <w:r>
        <w:rPr>
          <w:rFonts w:hint="eastAsia"/>
          <w:color w:val="auto"/>
          <w:sz w:val="24"/>
          <w:szCs w:val="24"/>
          <w:highlight w:val="none"/>
        </w:rPr>
        <w:t>文件“第三章3.5.5 违背承诺的责任追究措施”，我单位承担相应法律责任及违约责任。</w:t>
      </w:r>
    </w:p>
    <w:p w14:paraId="04D3E9E4">
      <w:pPr>
        <w:widowControl w:val="0"/>
        <w:snapToGrid w:val="0"/>
        <w:spacing w:beforeLines="50" w:line="300" w:lineRule="auto"/>
        <w:ind w:firstLine="556"/>
        <w:rPr>
          <w:rFonts w:ascii="宋体" w:hAnsi="宋体"/>
          <w:color w:val="auto"/>
          <w:sz w:val="24"/>
          <w:szCs w:val="24"/>
          <w:highlight w:val="none"/>
        </w:rPr>
      </w:pPr>
      <w:r>
        <w:rPr>
          <w:rFonts w:hint="eastAsia" w:ascii="宋体" w:hAnsi="宋体"/>
          <w:color w:val="auto"/>
          <w:sz w:val="24"/>
          <w:szCs w:val="24"/>
          <w:highlight w:val="none"/>
        </w:rPr>
        <w:t>8</w:t>
      </w:r>
      <w:r>
        <w:rPr>
          <w:rFonts w:ascii="宋体" w:hAnsi="宋体"/>
          <w:color w:val="auto"/>
          <w:sz w:val="24"/>
          <w:szCs w:val="24"/>
          <w:highlight w:val="none"/>
        </w:rPr>
        <w:t xml:space="preserve">. </w:t>
      </w:r>
      <w:r>
        <w:rPr>
          <w:rFonts w:hint="eastAsia" w:ascii="宋体" w:hAnsi="宋体"/>
          <w:color w:val="auto"/>
          <w:sz w:val="24"/>
          <w:szCs w:val="24"/>
          <w:highlight w:val="none"/>
        </w:rPr>
        <w:t>我单位同意提供按照贵方可能要求的与投标有关的一切数据或资料，理解贵方不一定要接受最低价的投标或收到的任何投标。</w:t>
      </w:r>
    </w:p>
    <w:p w14:paraId="5FB45EEA">
      <w:pPr>
        <w:widowControl w:val="0"/>
        <w:snapToGrid w:val="0"/>
        <w:spacing w:line="560" w:lineRule="exact"/>
        <w:ind w:firstLine="555"/>
        <w:rPr>
          <w:rFonts w:ascii="宋体" w:hAnsi="宋体"/>
          <w:color w:val="auto"/>
          <w:sz w:val="24"/>
          <w:szCs w:val="24"/>
          <w:highlight w:val="none"/>
        </w:rPr>
      </w:pPr>
      <w:r>
        <w:rPr>
          <w:rFonts w:hint="eastAsia" w:ascii="宋体" w:hAnsi="宋体"/>
          <w:color w:val="auto"/>
          <w:sz w:val="24"/>
          <w:szCs w:val="24"/>
          <w:highlight w:val="none"/>
        </w:rPr>
        <w:t>9</w:t>
      </w:r>
      <w:r>
        <w:rPr>
          <w:rFonts w:ascii="宋体" w:hAnsi="宋体"/>
          <w:color w:val="auto"/>
          <w:sz w:val="24"/>
          <w:szCs w:val="24"/>
          <w:highlight w:val="none"/>
        </w:rPr>
        <w:t>.</w:t>
      </w:r>
      <w:r>
        <w:rPr>
          <w:rFonts w:hint="eastAsia" w:ascii="宋体" w:hAnsi="宋体"/>
          <w:color w:val="auto"/>
          <w:sz w:val="24"/>
          <w:szCs w:val="24"/>
          <w:highlight w:val="none"/>
        </w:rPr>
        <w:t>与本投标有关的一切正式往来请寄：</w:t>
      </w:r>
    </w:p>
    <w:p w14:paraId="4CDC5AE9">
      <w:pPr>
        <w:widowControl w:val="0"/>
        <w:snapToGrid w:val="0"/>
        <w:spacing w:line="560" w:lineRule="exact"/>
        <w:ind w:firstLine="555"/>
        <w:jc w:val="left"/>
        <w:rPr>
          <w:rFonts w:ascii="宋体" w:hAnsi="宋体"/>
          <w:color w:val="auto"/>
          <w:sz w:val="24"/>
          <w:szCs w:val="24"/>
          <w:highlight w:val="none"/>
        </w:rPr>
      </w:pPr>
      <w:r>
        <w:rPr>
          <w:rFonts w:hint="eastAsia" w:ascii="宋体" w:hAnsi="宋体"/>
          <w:color w:val="auto"/>
          <w:sz w:val="24"/>
          <w:szCs w:val="24"/>
          <w:highlight w:val="none"/>
        </w:rPr>
        <w:t>地址：</w:t>
      </w:r>
      <w:r>
        <w:rPr>
          <w:rFonts w:ascii="宋体" w:hAnsi="宋体"/>
          <w:color w:val="auto"/>
          <w:sz w:val="24"/>
          <w:szCs w:val="24"/>
          <w:highlight w:val="none"/>
        </w:rPr>
        <w:tab/>
      </w:r>
      <w:r>
        <w:rPr>
          <w:rFonts w:ascii="宋体" w:hAnsi="宋体"/>
          <w:color w:val="auto"/>
          <w:sz w:val="24"/>
          <w:szCs w:val="24"/>
          <w:highlight w:val="none"/>
        </w:rPr>
        <w:tab/>
      </w:r>
      <w:r>
        <w:rPr>
          <w:rFonts w:hint="eastAsia" w:ascii="宋体" w:hAnsi="宋体"/>
          <w:color w:val="auto"/>
          <w:sz w:val="24"/>
          <w:szCs w:val="24"/>
          <w:highlight w:val="none"/>
        </w:rPr>
        <w:t>邮政编码：</w:t>
      </w:r>
      <w:r>
        <w:rPr>
          <w:rFonts w:ascii="宋体" w:hAnsi="宋体"/>
          <w:color w:val="auto"/>
          <w:sz w:val="24"/>
          <w:szCs w:val="24"/>
          <w:highlight w:val="none"/>
        </w:rPr>
        <w:tab/>
      </w:r>
    </w:p>
    <w:p w14:paraId="38D34B86">
      <w:pPr>
        <w:widowControl w:val="0"/>
        <w:snapToGrid w:val="0"/>
        <w:spacing w:line="560" w:lineRule="exact"/>
        <w:ind w:firstLine="555"/>
        <w:rPr>
          <w:rFonts w:ascii="宋体" w:hAnsi="宋体"/>
          <w:color w:val="auto"/>
          <w:sz w:val="24"/>
          <w:szCs w:val="24"/>
          <w:highlight w:val="none"/>
        </w:rPr>
      </w:pPr>
      <w:r>
        <w:rPr>
          <w:rFonts w:hint="eastAsia" w:ascii="宋体" w:hAnsi="宋体"/>
          <w:color w:val="auto"/>
          <w:sz w:val="24"/>
          <w:szCs w:val="24"/>
          <w:highlight w:val="none"/>
        </w:rPr>
        <w:t>电话：</w:t>
      </w:r>
      <w:r>
        <w:rPr>
          <w:rFonts w:ascii="宋体" w:hAnsi="宋体"/>
          <w:color w:val="auto"/>
          <w:sz w:val="24"/>
          <w:szCs w:val="24"/>
          <w:highlight w:val="none"/>
        </w:rPr>
        <w:tab/>
      </w:r>
      <w:r>
        <w:rPr>
          <w:rFonts w:ascii="宋体" w:hAnsi="宋体"/>
          <w:color w:val="auto"/>
          <w:sz w:val="24"/>
          <w:szCs w:val="24"/>
          <w:highlight w:val="none"/>
        </w:rPr>
        <w:tab/>
      </w:r>
      <w:r>
        <w:rPr>
          <w:rFonts w:hint="eastAsia" w:ascii="宋体" w:hAnsi="宋体"/>
          <w:color w:val="auto"/>
          <w:sz w:val="24"/>
          <w:szCs w:val="24"/>
          <w:highlight w:val="none"/>
        </w:rPr>
        <w:t>传真：</w:t>
      </w:r>
    </w:p>
    <w:p w14:paraId="3599CFD2">
      <w:pPr>
        <w:widowControl w:val="0"/>
        <w:snapToGrid w:val="0"/>
        <w:spacing w:line="560" w:lineRule="exact"/>
        <w:ind w:firstLine="555"/>
        <w:rPr>
          <w:rFonts w:ascii="宋体" w:hAnsi="宋体"/>
          <w:color w:val="auto"/>
          <w:sz w:val="24"/>
          <w:szCs w:val="24"/>
          <w:highlight w:val="none"/>
        </w:rPr>
      </w:pPr>
    </w:p>
    <w:p w14:paraId="53558570">
      <w:pPr>
        <w:widowControl w:val="0"/>
        <w:snapToGrid w:val="0"/>
        <w:spacing w:line="560" w:lineRule="exact"/>
        <w:ind w:firstLine="555"/>
        <w:rPr>
          <w:rFonts w:ascii="宋体" w:hAnsi="宋体"/>
          <w:color w:val="auto"/>
          <w:sz w:val="24"/>
          <w:szCs w:val="24"/>
          <w:highlight w:val="none"/>
        </w:rPr>
      </w:pPr>
    </w:p>
    <w:p w14:paraId="79046709">
      <w:pPr>
        <w:widowControl w:val="0"/>
        <w:snapToGrid w:val="0"/>
        <w:spacing w:line="560" w:lineRule="exact"/>
        <w:ind w:firstLine="555"/>
        <w:rPr>
          <w:rFonts w:ascii="宋体" w:hAnsi="宋体"/>
          <w:color w:val="auto"/>
          <w:sz w:val="24"/>
          <w:szCs w:val="24"/>
          <w:highlight w:val="none"/>
        </w:rPr>
      </w:pPr>
    </w:p>
    <w:p w14:paraId="66336340">
      <w:pPr>
        <w:widowControl w:val="0"/>
        <w:tabs>
          <w:tab w:val="left" w:pos="9365"/>
        </w:tabs>
        <w:snapToGrid w:val="0"/>
        <w:spacing w:after="56" w:line="560" w:lineRule="exact"/>
        <w:ind w:right="85"/>
        <w:jc w:val="left"/>
        <w:textAlignment w:val="top"/>
        <w:rPr>
          <w:rFonts w:ascii="宋体" w:hAnsi="宋体"/>
          <w:color w:val="auto"/>
          <w:sz w:val="24"/>
          <w:szCs w:val="24"/>
          <w:highlight w:val="none"/>
        </w:rPr>
      </w:pPr>
      <w:r>
        <w:rPr>
          <w:rFonts w:hint="eastAsia" w:ascii="宋体" w:hAnsi="宋体"/>
          <w:color w:val="auto"/>
          <w:sz w:val="24"/>
          <w:szCs w:val="24"/>
          <w:highlight w:val="none"/>
        </w:rPr>
        <w:t>投标人（电子签章）：</w:t>
      </w:r>
    </w:p>
    <w:p w14:paraId="7FB12554">
      <w:pPr>
        <w:widowControl w:val="0"/>
        <w:tabs>
          <w:tab w:val="left" w:pos="9365"/>
        </w:tabs>
        <w:snapToGrid w:val="0"/>
        <w:spacing w:after="56" w:line="560" w:lineRule="exact"/>
        <w:ind w:right="85"/>
        <w:jc w:val="left"/>
        <w:textAlignment w:val="top"/>
        <w:rPr>
          <w:rFonts w:ascii="宋体" w:hAnsi="宋体"/>
          <w:color w:val="auto"/>
          <w:sz w:val="24"/>
          <w:szCs w:val="24"/>
          <w:highlight w:val="none"/>
        </w:rPr>
      </w:pPr>
      <w:r>
        <w:rPr>
          <w:rFonts w:hint="eastAsia" w:ascii="宋体" w:hAnsi="宋体"/>
          <w:color w:val="auto"/>
          <w:sz w:val="24"/>
          <w:szCs w:val="24"/>
          <w:highlight w:val="none"/>
        </w:rPr>
        <w:t>法定代表人（电子签名或签章）：</w:t>
      </w:r>
    </w:p>
    <w:p w14:paraId="2DD5DEC5">
      <w:pPr>
        <w:autoSpaceDE w:val="0"/>
        <w:autoSpaceDN w:val="0"/>
        <w:adjustRightInd w:val="0"/>
        <w:spacing w:line="360" w:lineRule="auto"/>
        <w:ind w:right="-817"/>
        <w:rPr>
          <w:rFonts w:ascii="宋体" w:hAnsi="宋体" w:cs="楷体_GB2312"/>
          <w:color w:val="auto"/>
          <w:sz w:val="24"/>
          <w:highlight w:val="none"/>
          <w:lang w:val="zh-CN"/>
        </w:rPr>
      </w:pPr>
      <w:r>
        <w:rPr>
          <w:rFonts w:hint="eastAsia" w:ascii="宋体" w:hAnsi="宋体" w:cs="楷体_GB2312"/>
          <w:color w:val="auto"/>
          <w:sz w:val="24"/>
          <w:highlight w:val="none"/>
          <w:lang w:val="zh-CN"/>
        </w:rPr>
        <w:t>日期：年月日</w:t>
      </w:r>
    </w:p>
    <w:p w14:paraId="21334728">
      <w:pPr>
        <w:spacing w:line="240" w:lineRule="auto"/>
        <w:jc w:val="left"/>
        <w:textAlignment w:val="auto"/>
        <w:rPr>
          <w:rFonts w:ascii="宋体" w:hAnsi="宋体"/>
          <w:color w:val="auto"/>
          <w:sz w:val="24"/>
          <w:szCs w:val="24"/>
          <w:highlight w:val="none"/>
        </w:rPr>
      </w:pPr>
      <w:r>
        <w:rPr>
          <w:rFonts w:ascii="宋体" w:hAnsi="宋体"/>
          <w:color w:val="auto"/>
          <w:sz w:val="24"/>
          <w:szCs w:val="24"/>
          <w:highlight w:val="none"/>
        </w:rPr>
        <w:br w:type="page"/>
      </w:r>
    </w:p>
    <w:p w14:paraId="06957FDC">
      <w:pPr>
        <w:widowControl w:val="0"/>
        <w:snapToGrid w:val="0"/>
        <w:spacing w:line="560" w:lineRule="exact"/>
        <w:jc w:val="center"/>
        <w:rPr>
          <w:rFonts w:eastAsia="方正黑体简体"/>
          <w:b/>
          <w:color w:val="auto"/>
          <w:sz w:val="30"/>
          <w:szCs w:val="30"/>
          <w:highlight w:val="none"/>
        </w:rPr>
      </w:pPr>
      <w:r>
        <w:rPr>
          <w:rFonts w:hint="eastAsia" w:ascii="黑体" w:hAnsi="黑体" w:eastAsia="黑体"/>
          <w:b/>
          <w:color w:val="auto"/>
          <w:sz w:val="30"/>
          <w:szCs w:val="30"/>
          <w:highlight w:val="none"/>
        </w:rPr>
        <w:t>二、</w:t>
      </w:r>
      <w:r>
        <w:rPr>
          <w:rFonts w:hint="eastAsia" w:eastAsia="方正黑体简体"/>
          <w:b/>
          <w:color w:val="auto"/>
          <w:sz w:val="30"/>
          <w:szCs w:val="30"/>
          <w:highlight w:val="none"/>
        </w:rPr>
        <w:t>开标一览表</w:t>
      </w:r>
      <w:r>
        <w:rPr>
          <w:rFonts w:hint="eastAsia" w:ascii="宋体" w:hAnsi="宋体"/>
          <w:b/>
          <w:color w:val="auto"/>
          <w:sz w:val="24"/>
          <w:szCs w:val="24"/>
          <w:highlight w:val="none"/>
        </w:rPr>
        <w:t>（即交易系统中报价一览表）</w:t>
      </w:r>
    </w:p>
    <w:p w14:paraId="73190FE9">
      <w:pPr>
        <w:pStyle w:val="15"/>
        <w:adjustRightInd w:val="0"/>
        <w:snapToGrid w:val="0"/>
        <w:spacing w:before="0" w:beforeAutospacing="0" w:after="0" w:afterAutospacing="0"/>
        <w:rPr>
          <w:color w:val="auto"/>
          <w:highlight w:val="none"/>
        </w:rPr>
      </w:pPr>
    </w:p>
    <w:p w14:paraId="03264D55">
      <w:pPr>
        <w:widowControl w:val="0"/>
        <w:snapToGrid w:val="0"/>
        <w:spacing w:beforeLines="50" w:line="240" w:lineRule="auto"/>
        <w:ind w:firstLine="542"/>
        <w:rPr>
          <w:b/>
          <w:color w:val="auto"/>
          <w:sz w:val="24"/>
          <w:szCs w:val="24"/>
          <w:highlight w:val="none"/>
        </w:rPr>
      </w:pPr>
      <w:r>
        <w:rPr>
          <w:rFonts w:hint="eastAsia"/>
          <w:b/>
          <w:color w:val="auto"/>
          <w:sz w:val="24"/>
          <w:szCs w:val="24"/>
          <w:highlight w:val="none"/>
        </w:rPr>
        <w:t>注：</w:t>
      </w:r>
      <w:r>
        <w:rPr>
          <w:b/>
          <w:color w:val="auto"/>
          <w:sz w:val="24"/>
          <w:szCs w:val="24"/>
          <w:highlight w:val="none"/>
        </w:rPr>
        <w:t>1</w:t>
      </w:r>
      <w:r>
        <w:rPr>
          <w:rFonts w:hint="eastAsia"/>
          <w:b/>
          <w:color w:val="auto"/>
          <w:sz w:val="24"/>
          <w:szCs w:val="24"/>
          <w:highlight w:val="none"/>
        </w:rPr>
        <w:t>、投标人需在安阳市公共资源电子交易平台投标文件制作工具中、按系统要求填列报价一览表（即开标一览表），系统中填列的报价一览表（即开标一览表）为投标人《投标文件》的一部分。</w:t>
      </w:r>
    </w:p>
    <w:p w14:paraId="599F73C5">
      <w:pPr>
        <w:widowControl w:val="0"/>
        <w:snapToGrid w:val="0"/>
        <w:spacing w:beforeLines="50" w:line="240" w:lineRule="auto"/>
        <w:ind w:firstLine="540"/>
        <w:rPr>
          <w:color w:val="auto"/>
          <w:sz w:val="24"/>
          <w:szCs w:val="24"/>
          <w:highlight w:val="none"/>
        </w:rPr>
      </w:pPr>
      <w:r>
        <w:rPr>
          <w:color w:val="auto"/>
          <w:sz w:val="24"/>
          <w:szCs w:val="24"/>
          <w:highlight w:val="none"/>
        </w:rPr>
        <w:t>2</w:t>
      </w:r>
      <w:r>
        <w:rPr>
          <w:rFonts w:hint="eastAsia"/>
          <w:color w:val="auto"/>
          <w:sz w:val="24"/>
          <w:szCs w:val="24"/>
          <w:highlight w:val="none"/>
        </w:rPr>
        <w:t>、投标人的投标报价（价格构成）应包括谈判文件所述投标报价的所有内容。</w:t>
      </w:r>
    </w:p>
    <w:p w14:paraId="58CF4795">
      <w:pPr>
        <w:widowControl w:val="0"/>
        <w:snapToGrid w:val="0"/>
        <w:spacing w:beforeLines="50" w:line="240" w:lineRule="auto"/>
        <w:ind w:firstLine="540"/>
        <w:jc w:val="left"/>
        <w:rPr>
          <w:color w:val="auto"/>
          <w:sz w:val="24"/>
          <w:szCs w:val="24"/>
          <w:highlight w:val="none"/>
        </w:rPr>
      </w:pPr>
      <w:r>
        <w:rPr>
          <w:color w:val="auto"/>
          <w:sz w:val="24"/>
          <w:szCs w:val="24"/>
          <w:highlight w:val="none"/>
        </w:rPr>
        <w:t>3</w:t>
      </w:r>
      <w:r>
        <w:rPr>
          <w:rFonts w:hint="eastAsia"/>
          <w:color w:val="auto"/>
          <w:sz w:val="24"/>
          <w:szCs w:val="24"/>
          <w:highlight w:val="none"/>
        </w:rPr>
        <w:t>、投标人可对谈判文件中所列的所有标段（包）进行分别投标，也可选择其中一个标段（包）或几个标段（包）投标，但不得将谈判文件规定的同一标段（包）的内容拆开投标，否则将按无效投标处理。</w:t>
      </w:r>
    </w:p>
    <w:p w14:paraId="45F17653">
      <w:pPr>
        <w:widowControl w:val="0"/>
        <w:snapToGrid w:val="0"/>
        <w:spacing w:beforeLines="50" w:line="240" w:lineRule="auto"/>
        <w:ind w:firstLine="540"/>
        <w:jc w:val="left"/>
        <w:rPr>
          <w:color w:val="auto"/>
          <w:sz w:val="24"/>
          <w:szCs w:val="24"/>
          <w:highlight w:val="none"/>
        </w:rPr>
      </w:pPr>
      <w:r>
        <w:rPr>
          <w:color w:val="auto"/>
          <w:sz w:val="24"/>
          <w:szCs w:val="24"/>
          <w:highlight w:val="none"/>
        </w:rPr>
        <w:t>4</w:t>
      </w:r>
      <w:r>
        <w:rPr>
          <w:rFonts w:hint="eastAsia"/>
          <w:color w:val="auto"/>
          <w:sz w:val="24"/>
          <w:szCs w:val="24"/>
          <w:highlight w:val="none"/>
        </w:rPr>
        <w:t>、开标一览表与报价明细表有差别时，以开标一览表为准；大写文字表示的数据与小写数字表示的有差别时，以大写文字表示的数据为准。</w:t>
      </w:r>
    </w:p>
    <w:p w14:paraId="3FF8E08F">
      <w:pPr>
        <w:widowControl w:val="0"/>
        <w:snapToGrid w:val="0"/>
        <w:spacing w:line="360" w:lineRule="auto"/>
        <w:textAlignment w:val="top"/>
        <w:rPr>
          <w:b/>
          <w:color w:val="auto"/>
          <w:sz w:val="24"/>
          <w:szCs w:val="24"/>
          <w:highlight w:val="none"/>
        </w:rPr>
      </w:pPr>
    </w:p>
    <w:p w14:paraId="03D64819">
      <w:pPr>
        <w:widowControl w:val="0"/>
        <w:snapToGrid w:val="0"/>
        <w:spacing w:line="360" w:lineRule="auto"/>
        <w:textAlignment w:val="top"/>
        <w:rPr>
          <w:b/>
          <w:color w:val="auto"/>
          <w:sz w:val="24"/>
          <w:szCs w:val="24"/>
          <w:highlight w:val="none"/>
        </w:rPr>
      </w:pPr>
    </w:p>
    <w:p w14:paraId="3D630955">
      <w:pPr>
        <w:widowControl w:val="0"/>
        <w:snapToGrid w:val="0"/>
        <w:spacing w:line="560" w:lineRule="exact"/>
        <w:jc w:val="center"/>
        <w:rPr>
          <w:color w:val="auto"/>
          <w:highlight w:val="none"/>
        </w:rPr>
      </w:pPr>
    </w:p>
    <w:p w14:paraId="108395CB">
      <w:pPr>
        <w:widowControl w:val="0"/>
        <w:tabs>
          <w:tab w:val="left" w:pos="9365"/>
        </w:tabs>
        <w:snapToGrid w:val="0"/>
        <w:spacing w:after="56" w:line="240" w:lineRule="auto"/>
        <w:ind w:right="85"/>
        <w:jc w:val="left"/>
        <w:textAlignment w:val="top"/>
        <w:rPr>
          <w:color w:val="auto"/>
          <w:sz w:val="24"/>
          <w:szCs w:val="24"/>
          <w:highlight w:val="none"/>
        </w:rPr>
      </w:pPr>
      <w:r>
        <w:rPr>
          <w:rFonts w:hint="eastAsia"/>
          <w:color w:val="auto"/>
          <w:sz w:val="24"/>
          <w:szCs w:val="24"/>
          <w:highlight w:val="none"/>
        </w:rPr>
        <w:t>投标人（电子签</w:t>
      </w:r>
      <w:r>
        <w:rPr>
          <w:rFonts w:hint="eastAsia" w:ascii="宋体" w:hAnsi="宋体"/>
          <w:color w:val="auto"/>
          <w:sz w:val="24"/>
          <w:szCs w:val="24"/>
          <w:highlight w:val="none"/>
        </w:rPr>
        <w:t>章</w:t>
      </w:r>
      <w:r>
        <w:rPr>
          <w:rFonts w:hint="eastAsia"/>
          <w:color w:val="auto"/>
          <w:sz w:val="24"/>
          <w:szCs w:val="24"/>
          <w:highlight w:val="none"/>
        </w:rPr>
        <w:t>）：</w:t>
      </w:r>
    </w:p>
    <w:p w14:paraId="37ADA0D3">
      <w:pPr>
        <w:widowControl w:val="0"/>
        <w:tabs>
          <w:tab w:val="left" w:pos="9365"/>
        </w:tabs>
        <w:snapToGrid w:val="0"/>
        <w:spacing w:after="56" w:line="240" w:lineRule="auto"/>
        <w:ind w:right="85"/>
        <w:jc w:val="left"/>
        <w:textAlignment w:val="top"/>
        <w:rPr>
          <w:rFonts w:ascii="宋体" w:cs="楷体_GB2312"/>
          <w:color w:val="auto"/>
          <w:sz w:val="24"/>
          <w:highlight w:val="none"/>
          <w:lang w:val="zh-CN"/>
        </w:rPr>
      </w:pPr>
      <w:r>
        <w:rPr>
          <w:rFonts w:hint="eastAsia"/>
          <w:color w:val="auto"/>
          <w:sz w:val="24"/>
          <w:szCs w:val="24"/>
          <w:highlight w:val="none"/>
        </w:rPr>
        <w:t>法定代表人（电子签名或签章）：</w:t>
      </w:r>
    </w:p>
    <w:p w14:paraId="2A5ED373">
      <w:pPr>
        <w:widowControl w:val="0"/>
        <w:tabs>
          <w:tab w:val="left" w:pos="9365"/>
        </w:tabs>
        <w:snapToGrid w:val="0"/>
        <w:spacing w:after="56" w:line="240" w:lineRule="auto"/>
        <w:ind w:right="85"/>
        <w:textAlignment w:val="top"/>
        <w:rPr>
          <w:b/>
          <w:color w:val="auto"/>
          <w:highlight w:val="none"/>
        </w:rPr>
      </w:pPr>
      <w:r>
        <w:rPr>
          <w:rFonts w:hint="eastAsia" w:ascii="宋体" w:hAnsi="宋体" w:cs="楷体_GB2312"/>
          <w:color w:val="auto"/>
          <w:sz w:val="24"/>
          <w:highlight w:val="none"/>
          <w:lang w:val="zh-CN"/>
        </w:rPr>
        <w:t>日期：年月日</w:t>
      </w:r>
    </w:p>
    <w:p w14:paraId="196A4419">
      <w:pPr>
        <w:widowControl w:val="0"/>
        <w:tabs>
          <w:tab w:val="left" w:pos="9365"/>
        </w:tabs>
        <w:snapToGrid w:val="0"/>
        <w:spacing w:before="56" w:after="56" w:line="560" w:lineRule="atLeast"/>
        <w:jc w:val="left"/>
        <w:textAlignment w:val="top"/>
        <w:rPr>
          <w:color w:val="auto"/>
          <w:highlight w:val="none"/>
        </w:rPr>
      </w:pPr>
      <w:r>
        <w:rPr>
          <w:color w:val="auto"/>
          <w:highlight w:val="none"/>
        </w:rPr>
        <w:br w:type="page"/>
      </w:r>
    </w:p>
    <w:p w14:paraId="7E579358">
      <w:pPr>
        <w:widowControl w:val="0"/>
        <w:snapToGrid w:val="0"/>
        <w:spacing w:line="560" w:lineRule="exact"/>
        <w:jc w:val="center"/>
        <w:rPr>
          <w:rFonts w:ascii="黑体" w:hAnsi="黑体" w:eastAsia="黑体"/>
          <w:b/>
          <w:color w:val="auto"/>
          <w:sz w:val="30"/>
          <w:szCs w:val="30"/>
          <w:highlight w:val="none"/>
        </w:rPr>
      </w:pPr>
      <w:r>
        <w:rPr>
          <w:rFonts w:hint="eastAsia" w:ascii="黑体" w:hAnsi="黑体" w:eastAsia="黑体"/>
          <w:b/>
          <w:color w:val="auto"/>
          <w:sz w:val="30"/>
          <w:szCs w:val="30"/>
          <w:highlight w:val="none"/>
        </w:rPr>
        <w:t>三、投标报价明细表</w:t>
      </w:r>
    </w:p>
    <w:p w14:paraId="7F63A031">
      <w:pPr>
        <w:pStyle w:val="15"/>
        <w:adjustRightInd w:val="0"/>
        <w:snapToGrid w:val="0"/>
        <w:spacing w:beforeLines="50" w:beforeAutospacing="0" w:after="0" w:afterAutospacing="0"/>
        <w:rPr>
          <w:color w:val="auto"/>
          <w:highlight w:val="none"/>
        </w:rPr>
      </w:pPr>
    </w:p>
    <w:p w14:paraId="5910C983">
      <w:pPr>
        <w:pStyle w:val="15"/>
        <w:adjustRightInd w:val="0"/>
        <w:snapToGrid w:val="0"/>
        <w:spacing w:before="0" w:beforeAutospacing="0" w:after="0" w:afterAutospacing="0"/>
        <w:rPr>
          <w:color w:val="auto"/>
          <w:highlight w:val="none"/>
          <w:u w:val="single"/>
        </w:rPr>
      </w:pPr>
      <w:r>
        <w:rPr>
          <w:rFonts w:hint="eastAsia"/>
          <w:color w:val="auto"/>
          <w:highlight w:val="none"/>
        </w:rPr>
        <w:t>项目名称：</w:t>
      </w:r>
    </w:p>
    <w:p w14:paraId="2D05C1B0">
      <w:pPr>
        <w:pStyle w:val="15"/>
        <w:adjustRightInd w:val="0"/>
        <w:snapToGrid w:val="0"/>
        <w:spacing w:before="0" w:beforeAutospacing="0" w:after="0" w:afterAutospacing="0"/>
        <w:rPr>
          <w:color w:val="auto"/>
          <w:highlight w:val="none"/>
        </w:rPr>
      </w:pPr>
      <w:r>
        <w:rPr>
          <w:rFonts w:hint="eastAsia"/>
          <w:color w:val="auto"/>
          <w:highlight w:val="none"/>
        </w:rPr>
        <w:t xml:space="preserve">项目编号：        </w:t>
      </w:r>
    </w:p>
    <w:tbl>
      <w:tblPr>
        <w:tblStyle w:val="16"/>
        <w:tblW w:w="92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65"/>
        <w:gridCol w:w="1910"/>
        <w:gridCol w:w="2977"/>
        <w:gridCol w:w="851"/>
        <w:gridCol w:w="850"/>
        <w:gridCol w:w="1190"/>
        <w:gridCol w:w="1000"/>
      </w:tblGrid>
      <w:tr w14:paraId="6B08C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7" w:hRule="atLeast"/>
          <w:jc w:val="center"/>
        </w:trPr>
        <w:tc>
          <w:tcPr>
            <w:tcW w:w="465" w:type="dxa"/>
            <w:tcBorders>
              <w:top w:val="single" w:color="000000" w:sz="8" w:space="0"/>
              <w:left w:val="single" w:color="000000" w:sz="8" w:space="0"/>
              <w:bottom w:val="single" w:color="000000" w:sz="4" w:space="0"/>
              <w:right w:val="single" w:color="000000" w:sz="4" w:space="0"/>
            </w:tcBorders>
            <w:vAlign w:val="center"/>
          </w:tcPr>
          <w:p w14:paraId="3F9BA51A">
            <w:pPr>
              <w:spacing w:line="560" w:lineRule="exact"/>
              <w:jc w:val="center"/>
              <w:rPr>
                <w:b/>
                <w:color w:val="auto"/>
                <w:sz w:val="28"/>
                <w:highlight w:val="none"/>
              </w:rPr>
            </w:pPr>
            <w:r>
              <w:rPr>
                <w:rFonts w:hint="eastAsia"/>
                <w:b/>
                <w:color w:val="auto"/>
                <w:highlight w:val="none"/>
              </w:rPr>
              <w:t>序号</w:t>
            </w:r>
          </w:p>
        </w:tc>
        <w:tc>
          <w:tcPr>
            <w:tcW w:w="1910" w:type="dxa"/>
            <w:tcBorders>
              <w:top w:val="single" w:color="000000" w:sz="8" w:space="0"/>
              <w:bottom w:val="single" w:color="000000" w:sz="4" w:space="0"/>
              <w:right w:val="single" w:color="000000" w:sz="4" w:space="0"/>
            </w:tcBorders>
            <w:vAlign w:val="center"/>
          </w:tcPr>
          <w:p w14:paraId="62AFCD06">
            <w:pPr>
              <w:spacing w:line="560" w:lineRule="exact"/>
              <w:jc w:val="center"/>
              <w:rPr>
                <w:b/>
                <w:color w:val="auto"/>
                <w:sz w:val="28"/>
                <w:highlight w:val="none"/>
              </w:rPr>
            </w:pPr>
            <w:r>
              <w:rPr>
                <w:rFonts w:hint="eastAsia"/>
                <w:b/>
                <w:color w:val="auto"/>
                <w:highlight w:val="none"/>
              </w:rPr>
              <w:t>产品名称</w:t>
            </w:r>
          </w:p>
        </w:tc>
        <w:tc>
          <w:tcPr>
            <w:tcW w:w="2977" w:type="dxa"/>
            <w:tcBorders>
              <w:top w:val="single" w:color="000000" w:sz="8" w:space="0"/>
              <w:bottom w:val="single" w:color="000000" w:sz="4" w:space="0"/>
              <w:right w:val="single" w:color="000000" w:sz="4" w:space="0"/>
            </w:tcBorders>
            <w:vAlign w:val="center"/>
          </w:tcPr>
          <w:p w14:paraId="49D06D43">
            <w:pPr>
              <w:spacing w:line="300" w:lineRule="exact"/>
              <w:jc w:val="center"/>
              <w:rPr>
                <w:b/>
                <w:color w:val="auto"/>
                <w:szCs w:val="21"/>
                <w:highlight w:val="none"/>
              </w:rPr>
            </w:pPr>
            <w:r>
              <w:rPr>
                <w:rFonts w:hint="eastAsia"/>
                <w:b/>
                <w:color w:val="auto"/>
                <w:highlight w:val="none"/>
              </w:rPr>
              <w:t>品牌型号规格</w:t>
            </w:r>
          </w:p>
        </w:tc>
        <w:tc>
          <w:tcPr>
            <w:tcW w:w="851" w:type="dxa"/>
            <w:tcBorders>
              <w:top w:val="single" w:color="000000" w:sz="8" w:space="0"/>
              <w:bottom w:val="single" w:color="000000" w:sz="4" w:space="0"/>
              <w:right w:val="single" w:color="000000" w:sz="4" w:space="0"/>
            </w:tcBorders>
            <w:vAlign w:val="center"/>
          </w:tcPr>
          <w:p w14:paraId="5E7EAF0C">
            <w:pPr>
              <w:spacing w:line="560" w:lineRule="exact"/>
              <w:jc w:val="center"/>
              <w:rPr>
                <w:b/>
                <w:color w:val="auto"/>
                <w:sz w:val="28"/>
                <w:highlight w:val="none"/>
              </w:rPr>
            </w:pPr>
            <w:r>
              <w:rPr>
                <w:rFonts w:hint="eastAsia"/>
                <w:b/>
                <w:color w:val="auto"/>
                <w:highlight w:val="none"/>
              </w:rPr>
              <w:t>单位</w:t>
            </w:r>
          </w:p>
        </w:tc>
        <w:tc>
          <w:tcPr>
            <w:tcW w:w="850" w:type="dxa"/>
            <w:tcBorders>
              <w:top w:val="single" w:color="000000" w:sz="8" w:space="0"/>
              <w:bottom w:val="single" w:color="000000" w:sz="4" w:space="0"/>
              <w:right w:val="single" w:color="000000" w:sz="4" w:space="0"/>
            </w:tcBorders>
            <w:vAlign w:val="center"/>
          </w:tcPr>
          <w:p w14:paraId="15A7B4D2">
            <w:pPr>
              <w:spacing w:line="560" w:lineRule="exact"/>
              <w:jc w:val="center"/>
              <w:rPr>
                <w:b/>
                <w:color w:val="auto"/>
                <w:sz w:val="28"/>
                <w:highlight w:val="none"/>
              </w:rPr>
            </w:pPr>
            <w:r>
              <w:rPr>
                <w:rFonts w:hint="eastAsia"/>
                <w:b/>
                <w:color w:val="auto"/>
                <w:highlight w:val="none"/>
              </w:rPr>
              <w:t>数量</w:t>
            </w:r>
          </w:p>
        </w:tc>
        <w:tc>
          <w:tcPr>
            <w:tcW w:w="1190" w:type="dxa"/>
            <w:tcBorders>
              <w:top w:val="single" w:color="000000" w:sz="8" w:space="0"/>
              <w:bottom w:val="single" w:color="000000" w:sz="4" w:space="0"/>
              <w:right w:val="single" w:color="000000" w:sz="4" w:space="0"/>
            </w:tcBorders>
            <w:vAlign w:val="center"/>
          </w:tcPr>
          <w:p w14:paraId="47232E11">
            <w:pPr>
              <w:spacing w:line="560" w:lineRule="exact"/>
              <w:jc w:val="center"/>
              <w:rPr>
                <w:b/>
                <w:color w:val="auto"/>
                <w:sz w:val="28"/>
                <w:highlight w:val="none"/>
              </w:rPr>
            </w:pPr>
            <w:r>
              <w:rPr>
                <w:rFonts w:hint="eastAsia"/>
                <w:b/>
                <w:color w:val="auto"/>
                <w:highlight w:val="none"/>
              </w:rPr>
              <w:t>单价</w:t>
            </w:r>
          </w:p>
        </w:tc>
        <w:tc>
          <w:tcPr>
            <w:tcW w:w="1000" w:type="dxa"/>
            <w:tcBorders>
              <w:top w:val="single" w:color="000000" w:sz="8" w:space="0"/>
              <w:bottom w:val="single" w:color="000000" w:sz="4" w:space="0"/>
              <w:right w:val="single" w:color="000000" w:sz="8" w:space="0"/>
            </w:tcBorders>
            <w:vAlign w:val="center"/>
          </w:tcPr>
          <w:p w14:paraId="1C4897D8">
            <w:pPr>
              <w:spacing w:line="560" w:lineRule="exact"/>
              <w:jc w:val="center"/>
              <w:rPr>
                <w:b/>
                <w:color w:val="auto"/>
                <w:sz w:val="28"/>
                <w:highlight w:val="none"/>
              </w:rPr>
            </w:pPr>
            <w:r>
              <w:rPr>
                <w:rFonts w:hint="eastAsia"/>
                <w:b/>
                <w:color w:val="auto"/>
                <w:highlight w:val="none"/>
              </w:rPr>
              <w:t>小计</w:t>
            </w:r>
          </w:p>
        </w:tc>
      </w:tr>
      <w:tr w14:paraId="5D923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 w:hRule="atLeast"/>
          <w:jc w:val="center"/>
        </w:trPr>
        <w:tc>
          <w:tcPr>
            <w:tcW w:w="465" w:type="dxa"/>
            <w:tcBorders>
              <w:left w:val="single" w:color="000000" w:sz="8" w:space="0"/>
              <w:bottom w:val="single" w:color="000000" w:sz="4" w:space="0"/>
              <w:right w:val="single" w:color="000000" w:sz="4" w:space="0"/>
            </w:tcBorders>
            <w:vAlign w:val="center"/>
          </w:tcPr>
          <w:p w14:paraId="2BF11D7F">
            <w:pPr>
              <w:spacing w:line="560" w:lineRule="exact"/>
              <w:jc w:val="center"/>
              <w:rPr>
                <w:color w:val="auto"/>
                <w:sz w:val="28"/>
                <w:highlight w:val="none"/>
              </w:rPr>
            </w:pPr>
            <w:r>
              <w:rPr>
                <w:color w:val="auto"/>
                <w:highlight w:val="none"/>
              </w:rPr>
              <w:t>1</w:t>
            </w:r>
          </w:p>
        </w:tc>
        <w:tc>
          <w:tcPr>
            <w:tcW w:w="1910" w:type="dxa"/>
            <w:tcBorders>
              <w:bottom w:val="single" w:color="000000" w:sz="4" w:space="0"/>
              <w:right w:val="single" w:color="000000" w:sz="4" w:space="0"/>
            </w:tcBorders>
            <w:vAlign w:val="center"/>
          </w:tcPr>
          <w:p w14:paraId="08CD78CB">
            <w:pPr>
              <w:spacing w:line="560" w:lineRule="exact"/>
              <w:jc w:val="center"/>
              <w:rPr>
                <w:color w:val="auto"/>
                <w:sz w:val="28"/>
                <w:highlight w:val="none"/>
              </w:rPr>
            </w:pPr>
          </w:p>
        </w:tc>
        <w:tc>
          <w:tcPr>
            <w:tcW w:w="2977" w:type="dxa"/>
            <w:tcBorders>
              <w:bottom w:val="single" w:color="000000" w:sz="4" w:space="0"/>
              <w:right w:val="single" w:color="000000" w:sz="4" w:space="0"/>
            </w:tcBorders>
            <w:vAlign w:val="center"/>
          </w:tcPr>
          <w:p w14:paraId="0F8D34AF">
            <w:pPr>
              <w:spacing w:line="560" w:lineRule="exact"/>
              <w:jc w:val="left"/>
              <w:rPr>
                <w:color w:val="auto"/>
                <w:sz w:val="28"/>
                <w:highlight w:val="none"/>
              </w:rPr>
            </w:pPr>
          </w:p>
        </w:tc>
        <w:tc>
          <w:tcPr>
            <w:tcW w:w="851" w:type="dxa"/>
            <w:tcBorders>
              <w:bottom w:val="single" w:color="000000" w:sz="4" w:space="0"/>
              <w:right w:val="single" w:color="000000" w:sz="4" w:space="0"/>
            </w:tcBorders>
            <w:vAlign w:val="center"/>
          </w:tcPr>
          <w:p w14:paraId="5C825498">
            <w:pPr>
              <w:spacing w:line="560" w:lineRule="exact"/>
              <w:jc w:val="center"/>
              <w:rPr>
                <w:color w:val="auto"/>
                <w:sz w:val="28"/>
                <w:highlight w:val="none"/>
              </w:rPr>
            </w:pPr>
          </w:p>
        </w:tc>
        <w:tc>
          <w:tcPr>
            <w:tcW w:w="850" w:type="dxa"/>
            <w:tcBorders>
              <w:bottom w:val="single" w:color="000000" w:sz="4" w:space="0"/>
              <w:right w:val="single" w:color="000000" w:sz="4" w:space="0"/>
            </w:tcBorders>
            <w:vAlign w:val="center"/>
          </w:tcPr>
          <w:p w14:paraId="44D2AC4B">
            <w:pPr>
              <w:spacing w:line="560" w:lineRule="exact"/>
              <w:jc w:val="center"/>
              <w:rPr>
                <w:color w:val="auto"/>
                <w:sz w:val="28"/>
                <w:highlight w:val="none"/>
              </w:rPr>
            </w:pPr>
          </w:p>
        </w:tc>
        <w:tc>
          <w:tcPr>
            <w:tcW w:w="1190" w:type="dxa"/>
            <w:tcBorders>
              <w:bottom w:val="single" w:color="000000" w:sz="4" w:space="0"/>
              <w:right w:val="single" w:color="000000" w:sz="4" w:space="0"/>
            </w:tcBorders>
            <w:vAlign w:val="center"/>
          </w:tcPr>
          <w:p w14:paraId="2AA0AD2F">
            <w:pPr>
              <w:spacing w:line="560" w:lineRule="exact"/>
              <w:jc w:val="center"/>
              <w:rPr>
                <w:color w:val="auto"/>
                <w:sz w:val="28"/>
                <w:highlight w:val="none"/>
              </w:rPr>
            </w:pPr>
          </w:p>
        </w:tc>
        <w:tc>
          <w:tcPr>
            <w:tcW w:w="1000" w:type="dxa"/>
            <w:tcBorders>
              <w:bottom w:val="single" w:color="000000" w:sz="4" w:space="0"/>
              <w:right w:val="single" w:color="000000" w:sz="8" w:space="0"/>
            </w:tcBorders>
            <w:vAlign w:val="center"/>
          </w:tcPr>
          <w:p w14:paraId="4D2B626F">
            <w:pPr>
              <w:spacing w:line="560" w:lineRule="exact"/>
              <w:jc w:val="center"/>
              <w:rPr>
                <w:color w:val="auto"/>
                <w:sz w:val="28"/>
                <w:highlight w:val="none"/>
              </w:rPr>
            </w:pPr>
          </w:p>
        </w:tc>
      </w:tr>
      <w:tr w14:paraId="6CE7A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jc w:val="center"/>
        </w:trPr>
        <w:tc>
          <w:tcPr>
            <w:tcW w:w="465" w:type="dxa"/>
            <w:tcBorders>
              <w:left w:val="single" w:color="000000" w:sz="8" w:space="0"/>
              <w:bottom w:val="single" w:color="000000" w:sz="4" w:space="0"/>
              <w:right w:val="single" w:color="000000" w:sz="4" w:space="0"/>
            </w:tcBorders>
            <w:vAlign w:val="center"/>
          </w:tcPr>
          <w:p w14:paraId="6B7A4D84">
            <w:pPr>
              <w:spacing w:line="560" w:lineRule="exact"/>
              <w:jc w:val="center"/>
              <w:rPr>
                <w:color w:val="auto"/>
                <w:sz w:val="28"/>
                <w:highlight w:val="none"/>
              </w:rPr>
            </w:pPr>
            <w:r>
              <w:rPr>
                <w:color w:val="auto"/>
                <w:highlight w:val="none"/>
              </w:rPr>
              <w:t>2</w:t>
            </w:r>
          </w:p>
        </w:tc>
        <w:tc>
          <w:tcPr>
            <w:tcW w:w="1910" w:type="dxa"/>
            <w:tcBorders>
              <w:bottom w:val="single" w:color="000000" w:sz="4" w:space="0"/>
              <w:right w:val="single" w:color="000000" w:sz="4" w:space="0"/>
            </w:tcBorders>
            <w:vAlign w:val="center"/>
          </w:tcPr>
          <w:p w14:paraId="5A623341">
            <w:pPr>
              <w:spacing w:line="560" w:lineRule="exact"/>
              <w:jc w:val="center"/>
              <w:rPr>
                <w:color w:val="auto"/>
                <w:sz w:val="28"/>
                <w:highlight w:val="none"/>
              </w:rPr>
            </w:pPr>
          </w:p>
        </w:tc>
        <w:tc>
          <w:tcPr>
            <w:tcW w:w="2977" w:type="dxa"/>
            <w:tcBorders>
              <w:bottom w:val="single" w:color="000000" w:sz="4" w:space="0"/>
              <w:right w:val="single" w:color="000000" w:sz="4" w:space="0"/>
            </w:tcBorders>
            <w:vAlign w:val="center"/>
          </w:tcPr>
          <w:p w14:paraId="3B55AB0E">
            <w:pPr>
              <w:spacing w:line="560" w:lineRule="exact"/>
              <w:jc w:val="left"/>
              <w:rPr>
                <w:color w:val="auto"/>
                <w:sz w:val="28"/>
                <w:highlight w:val="none"/>
              </w:rPr>
            </w:pPr>
          </w:p>
        </w:tc>
        <w:tc>
          <w:tcPr>
            <w:tcW w:w="851" w:type="dxa"/>
            <w:tcBorders>
              <w:bottom w:val="single" w:color="000000" w:sz="4" w:space="0"/>
              <w:right w:val="single" w:color="000000" w:sz="4" w:space="0"/>
            </w:tcBorders>
            <w:vAlign w:val="center"/>
          </w:tcPr>
          <w:p w14:paraId="5DF370C3">
            <w:pPr>
              <w:spacing w:line="560" w:lineRule="exact"/>
              <w:jc w:val="center"/>
              <w:rPr>
                <w:color w:val="auto"/>
                <w:sz w:val="28"/>
                <w:highlight w:val="none"/>
              </w:rPr>
            </w:pPr>
          </w:p>
        </w:tc>
        <w:tc>
          <w:tcPr>
            <w:tcW w:w="850" w:type="dxa"/>
            <w:tcBorders>
              <w:bottom w:val="single" w:color="000000" w:sz="4" w:space="0"/>
              <w:right w:val="single" w:color="000000" w:sz="4" w:space="0"/>
            </w:tcBorders>
            <w:vAlign w:val="center"/>
          </w:tcPr>
          <w:p w14:paraId="740EDD07">
            <w:pPr>
              <w:spacing w:line="560" w:lineRule="exact"/>
              <w:jc w:val="center"/>
              <w:rPr>
                <w:color w:val="auto"/>
                <w:sz w:val="28"/>
                <w:highlight w:val="none"/>
              </w:rPr>
            </w:pPr>
          </w:p>
        </w:tc>
        <w:tc>
          <w:tcPr>
            <w:tcW w:w="1190" w:type="dxa"/>
            <w:tcBorders>
              <w:bottom w:val="single" w:color="000000" w:sz="4" w:space="0"/>
              <w:right w:val="single" w:color="000000" w:sz="4" w:space="0"/>
            </w:tcBorders>
            <w:vAlign w:val="center"/>
          </w:tcPr>
          <w:p w14:paraId="6F800867">
            <w:pPr>
              <w:spacing w:line="560" w:lineRule="exact"/>
              <w:jc w:val="center"/>
              <w:rPr>
                <w:color w:val="auto"/>
                <w:sz w:val="28"/>
                <w:highlight w:val="none"/>
              </w:rPr>
            </w:pPr>
          </w:p>
        </w:tc>
        <w:tc>
          <w:tcPr>
            <w:tcW w:w="1000" w:type="dxa"/>
            <w:tcBorders>
              <w:bottom w:val="single" w:color="000000" w:sz="4" w:space="0"/>
              <w:right w:val="single" w:color="000000" w:sz="8" w:space="0"/>
            </w:tcBorders>
            <w:vAlign w:val="center"/>
          </w:tcPr>
          <w:p w14:paraId="464B0B72">
            <w:pPr>
              <w:spacing w:line="560" w:lineRule="exact"/>
              <w:jc w:val="center"/>
              <w:rPr>
                <w:color w:val="auto"/>
                <w:sz w:val="28"/>
                <w:highlight w:val="none"/>
              </w:rPr>
            </w:pPr>
          </w:p>
        </w:tc>
      </w:tr>
      <w:tr w14:paraId="2D399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465" w:type="dxa"/>
            <w:tcBorders>
              <w:left w:val="single" w:color="000000" w:sz="8" w:space="0"/>
              <w:bottom w:val="single" w:color="000000" w:sz="4" w:space="0"/>
              <w:right w:val="single" w:color="000000" w:sz="4" w:space="0"/>
            </w:tcBorders>
            <w:vAlign w:val="center"/>
          </w:tcPr>
          <w:p w14:paraId="1059D169">
            <w:pPr>
              <w:spacing w:line="560" w:lineRule="exact"/>
              <w:jc w:val="center"/>
              <w:rPr>
                <w:color w:val="auto"/>
                <w:sz w:val="28"/>
                <w:highlight w:val="none"/>
              </w:rPr>
            </w:pPr>
            <w:r>
              <w:rPr>
                <w:color w:val="auto"/>
                <w:highlight w:val="none"/>
              </w:rPr>
              <w:t>3</w:t>
            </w:r>
          </w:p>
        </w:tc>
        <w:tc>
          <w:tcPr>
            <w:tcW w:w="1910" w:type="dxa"/>
            <w:tcBorders>
              <w:bottom w:val="single" w:color="000000" w:sz="4" w:space="0"/>
              <w:right w:val="single" w:color="000000" w:sz="4" w:space="0"/>
            </w:tcBorders>
            <w:vAlign w:val="center"/>
          </w:tcPr>
          <w:p w14:paraId="7FAABDDE">
            <w:pPr>
              <w:spacing w:line="560" w:lineRule="exact"/>
              <w:jc w:val="center"/>
              <w:rPr>
                <w:color w:val="auto"/>
                <w:sz w:val="28"/>
                <w:highlight w:val="none"/>
              </w:rPr>
            </w:pPr>
          </w:p>
        </w:tc>
        <w:tc>
          <w:tcPr>
            <w:tcW w:w="2977" w:type="dxa"/>
            <w:tcBorders>
              <w:bottom w:val="single" w:color="000000" w:sz="4" w:space="0"/>
              <w:right w:val="single" w:color="000000" w:sz="4" w:space="0"/>
            </w:tcBorders>
            <w:vAlign w:val="center"/>
          </w:tcPr>
          <w:p w14:paraId="47D0DA43">
            <w:pPr>
              <w:spacing w:line="560" w:lineRule="exact"/>
              <w:jc w:val="left"/>
              <w:rPr>
                <w:color w:val="auto"/>
                <w:sz w:val="28"/>
                <w:highlight w:val="none"/>
              </w:rPr>
            </w:pPr>
          </w:p>
        </w:tc>
        <w:tc>
          <w:tcPr>
            <w:tcW w:w="851" w:type="dxa"/>
            <w:tcBorders>
              <w:bottom w:val="single" w:color="000000" w:sz="4" w:space="0"/>
              <w:right w:val="single" w:color="000000" w:sz="4" w:space="0"/>
            </w:tcBorders>
            <w:vAlign w:val="center"/>
          </w:tcPr>
          <w:p w14:paraId="29A824B7">
            <w:pPr>
              <w:spacing w:line="560" w:lineRule="exact"/>
              <w:jc w:val="center"/>
              <w:rPr>
                <w:color w:val="auto"/>
                <w:sz w:val="28"/>
                <w:highlight w:val="none"/>
              </w:rPr>
            </w:pPr>
          </w:p>
        </w:tc>
        <w:tc>
          <w:tcPr>
            <w:tcW w:w="850" w:type="dxa"/>
            <w:tcBorders>
              <w:bottom w:val="single" w:color="000000" w:sz="4" w:space="0"/>
              <w:right w:val="single" w:color="000000" w:sz="4" w:space="0"/>
            </w:tcBorders>
            <w:vAlign w:val="center"/>
          </w:tcPr>
          <w:p w14:paraId="521D034A">
            <w:pPr>
              <w:spacing w:line="560" w:lineRule="exact"/>
              <w:jc w:val="center"/>
              <w:rPr>
                <w:color w:val="auto"/>
                <w:sz w:val="28"/>
                <w:highlight w:val="none"/>
              </w:rPr>
            </w:pPr>
          </w:p>
        </w:tc>
        <w:tc>
          <w:tcPr>
            <w:tcW w:w="1190" w:type="dxa"/>
            <w:tcBorders>
              <w:bottom w:val="single" w:color="000000" w:sz="4" w:space="0"/>
              <w:right w:val="single" w:color="000000" w:sz="4" w:space="0"/>
            </w:tcBorders>
            <w:vAlign w:val="center"/>
          </w:tcPr>
          <w:p w14:paraId="1E201406">
            <w:pPr>
              <w:spacing w:line="560" w:lineRule="exact"/>
              <w:jc w:val="center"/>
              <w:rPr>
                <w:color w:val="auto"/>
                <w:sz w:val="28"/>
                <w:highlight w:val="none"/>
              </w:rPr>
            </w:pPr>
          </w:p>
        </w:tc>
        <w:tc>
          <w:tcPr>
            <w:tcW w:w="1000" w:type="dxa"/>
            <w:tcBorders>
              <w:bottom w:val="single" w:color="000000" w:sz="4" w:space="0"/>
              <w:right w:val="single" w:color="000000" w:sz="8" w:space="0"/>
            </w:tcBorders>
            <w:vAlign w:val="center"/>
          </w:tcPr>
          <w:p w14:paraId="4871072E">
            <w:pPr>
              <w:spacing w:line="560" w:lineRule="exact"/>
              <w:jc w:val="center"/>
              <w:rPr>
                <w:color w:val="auto"/>
                <w:sz w:val="28"/>
                <w:highlight w:val="none"/>
              </w:rPr>
            </w:pPr>
          </w:p>
        </w:tc>
      </w:tr>
      <w:tr w14:paraId="2E405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465" w:type="dxa"/>
            <w:tcBorders>
              <w:left w:val="single" w:color="000000" w:sz="8" w:space="0"/>
              <w:bottom w:val="single" w:color="000000" w:sz="4" w:space="0"/>
              <w:right w:val="single" w:color="000000" w:sz="4" w:space="0"/>
            </w:tcBorders>
            <w:vAlign w:val="center"/>
          </w:tcPr>
          <w:p w14:paraId="6EC68890">
            <w:pPr>
              <w:spacing w:line="560" w:lineRule="exact"/>
              <w:jc w:val="center"/>
              <w:rPr>
                <w:color w:val="auto"/>
                <w:sz w:val="28"/>
                <w:highlight w:val="none"/>
              </w:rPr>
            </w:pPr>
            <w:r>
              <w:rPr>
                <w:color w:val="auto"/>
                <w:highlight w:val="none"/>
              </w:rPr>
              <w:t>4</w:t>
            </w:r>
          </w:p>
        </w:tc>
        <w:tc>
          <w:tcPr>
            <w:tcW w:w="1910" w:type="dxa"/>
            <w:tcBorders>
              <w:bottom w:val="single" w:color="000000" w:sz="4" w:space="0"/>
              <w:right w:val="single" w:color="000000" w:sz="4" w:space="0"/>
            </w:tcBorders>
            <w:vAlign w:val="center"/>
          </w:tcPr>
          <w:p w14:paraId="4CD52BE8">
            <w:pPr>
              <w:spacing w:line="560" w:lineRule="exact"/>
              <w:jc w:val="center"/>
              <w:rPr>
                <w:color w:val="auto"/>
                <w:sz w:val="28"/>
                <w:highlight w:val="none"/>
              </w:rPr>
            </w:pPr>
          </w:p>
        </w:tc>
        <w:tc>
          <w:tcPr>
            <w:tcW w:w="2977" w:type="dxa"/>
            <w:tcBorders>
              <w:bottom w:val="single" w:color="000000" w:sz="4" w:space="0"/>
              <w:right w:val="single" w:color="000000" w:sz="4" w:space="0"/>
            </w:tcBorders>
            <w:vAlign w:val="center"/>
          </w:tcPr>
          <w:p w14:paraId="02053D16">
            <w:pPr>
              <w:spacing w:line="560" w:lineRule="exact"/>
              <w:jc w:val="center"/>
              <w:rPr>
                <w:color w:val="auto"/>
                <w:sz w:val="28"/>
                <w:highlight w:val="none"/>
              </w:rPr>
            </w:pPr>
          </w:p>
        </w:tc>
        <w:tc>
          <w:tcPr>
            <w:tcW w:w="851" w:type="dxa"/>
            <w:tcBorders>
              <w:bottom w:val="single" w:color="000000" w:sz="4" w:space="0"/>
              <w:right w:val="single" w:color="000000" w:sz="4" w:space="0"/>
            </w:tcBorders>
            <w:vAlign w:val="center"/>
          </w:tcPr>
          <w:p w14:paraId="7B410D6A">
            <w:pPr>
              <w:spacing w:line="560" w:lineRule="exact"/>
              <w:jc w:val="center"/>
              <w:rPr>
                <w:color w:val="auto"/>
                <w:sz w:val="28"/>
                <w:highlight w:val="none"/>
              </w:rPr>
            </w:pPr>
          </w:p>
        </w:tc>
        <w:tc>
          <w:tcPr>
            <w:tcW w:w="850" w:type="dxa"/>
            <w:tcBorders>
              <w:bottom w:val="single" w:color="000000" w:sz="4" w:space="0"/>
              <w:right w:val="single" w:color="000000" w:sz="4" w:space="0"/>
            </w:tcBorders>
            <w:vAlign w:val="center"/>
          </w:tcPr>
          <w:p w14:paraId="43055151">
            <w:pPr>
              <w:spacing w:line="560" w:lineRule="exact"/>
              <w:jc w:val="center"/>
              <w:rPr>
                <w:color w:val="auto"/>
                <w:sz w:val="28"/>
                <w:highlight w:val="none"/>
              </w:rPr>
            </w:pPr>
          </w:p>
        </w:tc>
        <w:tc>
          <w:tcPr>
            <w:tcW w:w="1190" w:type="dxa"/>
            <w:tcBorders>
              <w:bottom w:val="single" w:color="000000" w:sz="4" w:space="0"/>
              <w:right w:val="single" w:color="000000" w:sz="4" w:space="0"/>
            </w:tcBorders>
            <w:vAlign w:val="center"/>
          </w:tcPr>
          <w:p w14:paraId="5211DFD5">
            <w:pPr>
              <w:spacing w:line="560" w:lineRule="exact"/>
              <w:jc w:val="center"/>
              <w:rPr>
                <w:color w:val="auto"/>
                <w:sz w:val="28"/>
                <w:highlight w:val="none"/>
              </w:rPr>
            </w:pPr>
          </w:p>
        </w:tc>
        <w:tc>
          <w:tcPr>
            <w:tcW w:w="1000" w:type="dxa"/>
            <w:tcBorders>
              <w:bottom w:val="single" w:color="000000" w:sz="4" w:space="0"/>
              <w:right w:val="single" w:color="000000" w:sz="8" w:space="0"/>
            </w:tcBorders>
            <w:vAlign w:val="center"/>
          </w:tcPr>
          <w:p w14:paraId="6F973756">
            <w:pPr>
              <w:spacing w:line="560" w:lineRule="exact"/>
              <w:jc w:val="center"/>
              <w:rPr>
                <w:color w:val="auto"/>
                <w:sz w:val="28"/>
                <w:highlight w:val="none"/>
              </w:rPr>
            </w:pPr>
          </w:p>
        </w:tc>
      </w:tr>
      <w:tr w14:paraId="6291C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465" w:type="dxa"/>
            <w:tcBorders>
              <w:left w:val="single" w:color="000000" w:sz="8" w:space="0"/>
              <w:bottom w:val="single" w:color="000000" w:sz="4" w:space="0"/>
              <w:right w:val="single" w:color="000000" w:sz="4" w:space="0"/>
            </w:tcBorders>
            <w:vAlign w:val="center"/>
          </w:tcPr>
          <w:p w14:paraId="29C21C75">
            <w:pPr>
              <w:spacing w:line="560" w:lineRule="exact"/>
              <w:jc w:val="center"/>
              <w:rPr>
                <w:color w:val="auto"/>
                <w:sz w:val="28"/>
                <w:highlight w:val="none"/>
              </w:rPr>
            </w:pPr>
            <w:r>
              <w:rPr>
                <w:color w:val="auto"/>
                <w:highlight w:val="none"/>
              </w:rPr>
              <w:t>5</w:t>
            </w:r>
          </w:p>
        </w:tc>
        <w:tc>
          <w:tcPr>
            <w:tcW w:w="1910" w:type="dxa"/>
            <w:tcBorders>
              <w:bottom w:val="single" w:color="000000" w:sz="4" w:space="0"/>
              <w:right w:val="single" w:color="000000" w:sz="4" w:space="0"/>
            </w:tcBorders>
            <w:vAlign w:val="center"/>
          </w:tcPr>
          <w:p w14:paraId="0C8B291E">
            <w:pPr>
              <w:spacing w:line="560" w:lineRule="exact"/>
              <w:jc w:val="center"/>
              <w:rPr>
                <w:color w:val="auto"/>
                <w:sz w:val="28"/>
                <w:highlight w:val="none"/>
              </w:rPr>
            </w:pPr>
          </w:p>
        </w:tc>
        <w:tc>
          <w:tcPr>
            <w:tcW w:w="2977" w:type="dxa"/>
            <w:tcBorders>
              <w:bottom w:val="single" w:color="000000" w:sz="4" w:space="0"/>
              <w:right w:val="single" w:color="000000" w:sz="4" w:space="0"/>
            </w:tcBorders>
            <w:vAlign w:val="center"/>
          </w:tcPr>
          <w:p w14:paraId="145CD4F9">
            <w:pPr>
              <w:spacing w:line="560" w:lineRule="exact"/>
              <w:jc w:val="center"/>
              <w:rPr>
                <w:color w:val="auto"/>
                <w:sz w:val="28"/>
                <w:highlight w:val="none"/>
              </w:rPr>
            </w:pPr>
          </w:p>
        </w:tc>
        <w:tc>
          <w:tcPr>
            <w:tcW w:w="851" w:type="dxa"/>
            <w:tcBorders>
              <w:bottom w:val="single" w:color="000000" w:sz="4" w:space="0"/>
              <w:right w:val="single" w:color="000000" w:sz="4" w:space="0"/>
            </w:tcBorders>
            <w:vAlign w:val="center"/>
          </w:tcPr>
          <w:p w14:paraId="55C492E7">
            <w:pPr>
              <w:spacing w:line="560" w:lineRule="exact"/>
              <w:jc w:val="center"/>
              <w:rPr>
                <w:color w:val="auto"/>
                <w:sz w:val="28"/>
                <w:highlight w:val="none"/>
              </w:rPr>
            </w:pPr>
          </w:p>
        </w:tc>
        <w:tc>
          <w:tcPr>
            <w:tcW w:w="850" w:type="dxa"/>
            <w:tcBorders>
              <w:bottom w:val="single" w:color="000000" w:sz="4" w:space="0"/>
              <w:right w:val="single" w:color="000000" w:sz="4" w:space="0"/>
            </w:tcBorders>
            <w:vAlign w:val="center"/>
          </w:tcPr>
          <w:p w14:paraId="16D24C02">
            <w:pPr>
              <w:spacing w:line="560" w:lineRule="exact"/>
              <w:jc w:val="center"/>
              <w:rPr>
                <w:color w:val="auto"/>
                <w:sz w:val="28"/>
                <w:highlight w:val="none"/>
              </w:rPr>
            </w:pPr>
          </w:p>
        </w:tc>
        <w:tc>
          <w:tcPr>
            <w:tcW w:w="1190" w:type="dxa"/>
            <w:tcBorders>
              <w:bottom w:val="single" w:color="000000" w:sz="4" w:space="0"/>
              <w:right w:val="single" w:color="000000" w:sz="4" w:space="0"/>
            </w:tcBorders>
            <w:vAlign w:val="center"/>
          </w:tcPr>
          <w:p w14:paraId="4B5824E6">
            <w:pPr>
              <w:spacing w:line="560" w:lineRule="exact"/>
              <w:jc w:val="center"/>
              <w:rPr>
                <w:color w:val="auto"/>
                <w:sz w:val="28"/>
                <w:highlight w:val="none"/>
              </w:rPr>
            </w:pPr>
          </w:p>
        </w:tc>
        <w:tc>
          <w:tcPr>
            <w:tcW w:w="1000" w:type="dxa"/>
            <w:tcBorders>
              <w:bottom w:val="single" w:color="000000" w:sz="4" w:space="0"/>
              <w:right w:val="single" w:color="000000" w:sz="8" w:space="0"/>
            </w:tcBorders>
            <w:vAlign w:val="center"/>
          </w:tcPr>
          <w:p w14:paraId="2072A1BD">
            <w:pPr>
              <w:spacing w:line="560" w:lineRule="exact"/>
              <w:jc w:val="center"/>
              <w:rPr>
                <w:color w:val="auto"/>
                <w:sz w:val="28"/>
                <w:highlight w:val="none"/>
              </w:rPr>
            </w:pPr>
          </w:p>
        </w:tc>
      </w:tr>
      <w:tr w14:paraId="2B8B9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8" w:hRule="atLeast"/>
          <w:jc w:val="center"/>
        </w:trPr>
        <w:tc>
          <w:tcPr>
            <w:tcW w:w="465" w:type="dxa"/>
            <w:tcBorders>
              <w:left w:val="single" w:color="000000" w:sz="8" w:space="0"/>
              <w:bottom w:val="single" w:color="000000" w:sz="4" w:space="0"/>
              <w:right w:val="single" w:color="000000" w:sz="4" w:space="0"/>
            </w:tcBorders>
            <w:vAlign w:val="center"/>
          </w:tcPr>
          <w:p w14:paraId="4F3CF530">
            <w:pPr>
              <w:spacing w:line="560" w:lineRule="exact"/>
              <w:jc w:val="center"/>
              <w:rPr>
                <w:color w:val="auto"/>
                <w:sz w:val="28"/>
                <w:highlight w:val="none"/>
              </w:rPr>
            </w:pPr>
            <w:r>
              <w:rPr>
                <w:color w:val="auto"/>
                <w:highlight w:val="none"/>
              </w:rPr>
              <w:t>6</w:t>
            </w:r>
          </w:p>
        </w:tc>
        <w:tc>
          <w:tcPr>
            <w:tcW w:w="1910" w:type="dxa"/>
            <w:tcBorders>
              <w:bottom w:val="single" w:color="000000" w:sz="4" w:space="0"/>
              <w:right w:val="single" w:color="000000" w:sz="4" w:space="0"/>
            </w:tcBorders>
            <w:vAlign w:val="center"/>
          </w:tcPr>
          <w:p w14:paraId="5B548ADF">
            <w:pPr>
              <w:spacing w:line="560" w:lineRule="exact"/>
              <w:jc w:val="center"/>
              <w:rPr>
                <w:color w:val="auto"/>
                <w:sz w:val="28"/>
                <w:highlight w:val="none"/>
              </w:rPr>
            </w:pPr>
          </w:p>
        </w:tc>
        <w:tc>
          <w:tcPr>
            <w:tcW w:w="2977" w:type="dxa"/>
            <w:tcBorders>
              <w:bottom w:val="single" w:color="000000" w:sz="4" w:space="0"/>
              <w:right w:val="single" w:color="000000" w:sz="4" w:space="0"/>
            </w:tcBorders>
            <w:vAlign w:val="center"/>
          </w:tcPr>
          <w:p w14:paraId="2F8F036A">
            <w:pPr>
              <w:spacing w:line="560" w:lineRule="exact"/>
              <w:jc w:val="center"/>
              <w:rPr>
                <w:color w:val="auto"/>
                <w:sz w:val="28"/>
                <w:highlight w:val="none"/>
              </w:rPr>
            </w:pPr>
          </w:p>
        </w:tc>
        <w:tc>
          <w:tcPr>
            <w:tcW w:w="851" w:type="dxa"/>
            <w:tcBorders>
              <w:bottom w:val="single" w:color="000000" w:sz="4" w:space="0"/>
              <w:right w:val="single" w:color="000000" w:sz="4" w:space="0"/>
            </w:tcBorders>
            <w:vAlign w:val="center"/>
          </w:tcPr>
          <w:p w14:paraId="561CEEF3">
            <w:pPr>
              <w:spacing w:line="560" w:lineRule="exact"/>
              <w:jc w:val="center"/>
              <w:rPr>
                <w:color w:val="auto"/>
                <w:sz w:val="28"/>
                <w:highlight w:val="none"/>
              </w:rPr>
            </w:pPr>
          </w:p>
        </w:tc>
        <w:tc>
          <w:tcPr>
            <w:tcW w:w="850" w:type="dxa"/>
            <w:tcBorders>
              <w:bottom w:val="single" w:color="000000" w:sz="4" w:space="0"/>
              <w:right w:val="single" w:color="000000" w:sz="4" w:space="0"/>
            </w:tcBorders>
            <w:vAlign w:val="center"/>
          </w:tcPr>
          <w:p w14:paraId="79519DAD">
            <w:pPr>
              <w:spacing w:line="560" w:lineRule="exact"/>
              <w:jc w:val="center"/>
              <w:rPr>
                <w:color w:val="auto"/>
                <w:sz w:val="28"/>
                <w:highlight w:val="none"/>
              </w:rPr>
            </w:pPr>
          </w:p>
        </w:tc>
        <w:tc>
          <w:tcPr>
            <w:tcW w:w="1190" w:type="dxa"/>
            <w:tcBorders>
              <w:bottom w:val="single" w:color="000000" w:sz="4" w:space="0"/>
              <w:right w:val="single" w:color="000000" w:sz="4" w:space="0"/>
            </w:tcBorders>
            <w:vAlign w:val="center"/>
          </w:tcPr>
          <w:p w14:paraId="75487475">
            <w:pPr>
              <w:spacing w:line="560" w:lineRule="exact"/>
              <w:jc w:val="center"/>
              <w:rPr>
                <w:color w:val="auto"/>
                <w:sz w:val="28"/>
                <w:highlight w:val="none"/>
              </w:rPr>
            </w:pPr>
          </w:p>
        </w:tc>
        <w:tc>
          <w:tcPr>
            <w:tcW w:w="1000" w:type="dxa"/>
            <w:tcBorders>
              <w:bottom w:val="single" w:color="000000" w:sz="4" w:space="0"/>
              <w:right w:val="single" w:color="000000" w:sz="8" w:space="0"/>
            </w:tcBorders>
            <w:vAlign w:val="center"/>
          </w:tcPr>
          <w:p w14:paraId="116F1127">
            <w:pPr>
              <w:spacing w:line="560" w:lineRule="exact"/>
              <w:jc w:val="center"/>
              <w:rPr>
                <w:color w:val="auto"/>
                <w:sz w:val="28"/>
                <w:highlight w:val="none"/>
              </w:rPr>
            </w:pPr>
          </w:p>
        </w:tc>
      </w:tr>
      <w:tr w14:paraId="7BA7E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jc w:val="center"/>
        </w:trPr>
        <w:tc>
          <w:tcPr>
            <w:tcW w:w="465" w:type="dxa"/>
            <w:tcBorders>
              <w:left w:val="single" w:color="000000" w:sz="8" w:space="0"/>
              <w:bottom w:val="single" w:color="000000" w:sz="4" w:space="0"/>
              <w:right w:val="single" w:color="000000" w:sz="4" w:space="0"/>
            </w:tcBorders>
            <w:vAlign w:val="center"/>
          </w:tcPr>
          <w:p w14:paraId="6BF79BB5">
            <w:pPr>
              <w:spacing w:line="560" w:lineRule="exact"/>
              <w:jc w:val="center"/>
              <w:rPr>
                <w:color w:val="auto"/>
                <w:sz w:val="28"/>
                <w:highlight w:val="none"/>
              </w:rPr>
            </w:pPr>
            <w:r>
              <w:rPr>
                <w:color w:val="auto"/>
                <w:highlight w:val="none"/>
              </w:rPr>
              <w:t>7</w:t>
            </w:r>
          </w:p>
        </w:tc>
        <w:tc>
          <w:tcPr>
            <w:tcW w:w="1910" w:type="dxa"/>
            <w:tcBorders>
              <w:bottom w:val="single" w:color="000000" w:sz="4" w:space="0"/>
              <w:right w:val="single" w:color="000000" w:sz="4" w:space="0"/>
            </w:tcBorders>
            <w:vAlign w:val="center"/>
          </w:tcPr>
          <w:p w14:paraId="58FDE553">
            <w:pPr>
              <w:spacing w:line="560" w:lineRule="exact"/>
              <w:jc w:val="center"/>
              <w:rPr>
                <w:color w:val="auto"/>
                <w:sz w:val="28"/>
                <w:highlight w:val="none"/>
              </w:rPr>
            </w:pPr>
          </w:p>
        </w:tc>
        <w:tc>
          <w:tcPr>
            <w:tcW w:w="2977" w:type="dxa"/>
            <w:tcBorders>
              <w:bottom w:val="single" w:color="000000" w:sz="4" w:space="0"/>
              <w:right w:val="single" w:color="000000" w:sz="4" w:space="0"/>
            </w:tcBorders>
            <w:vAlign w:val="center"/>
          </w:tcPr>
          <w:p w14:paraId="6314C9C0">
            <w:pPr>
              <w:spacing w:line="560" w:lineRule="exact"/>
              <w:jc w:val="center"/>
              <w:rPr>
                <w:color w:val="auto"/>
                <w:sz w:val="28"/>
                <w:highlight w:val="none"/>
              </w:rPr>
            </w:pPr>
          </w:p>
        </w:tc>
        <w:tc>
          <w:tcPr>
            <w:tcW w:w="851" w:type="dxa"/>
            <w:tcBorders>
              <w:bottom w:val="single" w:color="000000" w:sz="4" w:space="0"/>
              <w:right w:val="single" w:color="000000" w:sz="4" w:space="0"/>
            </w:tcBorders>
            <w:vAlign w:val="center"/>
          </w:tcPr>
          <w:p w14:paraId="6B149192">
            <w:pPr>
              <w:spacing w:line="560" w:lineRule="exact"/>
              <w:jc w:val="center"/>
              <w:rPr>
                <w:color w:val="auto"/>
                <w:sz w:val="28"/>
                <w:highlight w:val="none"/>
              </w:rPr>
            </w:pPr>
          </w:p>
        </w:tc>
        <w:tc>
          <w:tcPr>
            <w:tcW w:w="850" w:type="dxa"/>
            <w:tcBorders>
              <w:bottom w:val="single" w:color="000000" w:sz="4" w:space="0"/>
              <w:right w:val="single" w:color="000000" w:sz="4" w:space="0"/>
            </w:tcBorders>
            <w:vAlign w:val="center"/>
          </w:tcPr>
          <w:p w14:paraId="25088C39">
            <w:pPr>
              <w:spacing w:line="560" w:lineRule="exact"/>
              <w:jc w:val="center"/>
              <w:rPr>
                <w:color w:val="auto"/>
                <w:sz w:val="28"/>
                <w:highlight w:val="none"/>
              </w:rPr>
            </w:pPr>
          </w:p>
        </w:tc>
        <w:tc>
          <w:tcPr>
            <w:tcW w:w="1190" w:type="dxa"/>
            <w:tcBorders>
              <w:bottom w:val="single" w:color="000000" w:sz="4" w:space="0"/>
              <w:right w:val="single" w:color="000000" w:sz="4" w:space="0"/>
            </w:tcBorders>
            <w:vAlign w:val="center"/>
          </w:tcPr>
          <w:p w14:paraId="25C208C6">
            <w:pPr>
              <w:spacing w:line="560" w:lineRule="exact"/>
              <w:jc w:val="center"/>
              <w:rPr>
                <w:color w:val="auto"/>
                <w:sz w:val="28"/>
                <w:highlight w:val="none"/>
              </w:rPr>
            </w:pPr>
          </w:p>
        </w:tc>
        <w:tc>
          <w:tcPr>
            <w:tcW w:w="1000" w:type="dxa"/>
            <w:tcBorders>
              <w:bottom w:val="single" w:color="000000" w:sz="4" w:space="0"/>
              <w:right w:val="single" w:color="000000" w:sz="8" w:space="0"/>
            </w:tcBorders>
            <w:vAlign w:val="center"/>
          </w:tcPr>
          <w:p w14:paraId="63D45D67">
            <w:pPr>
              <w:spacing w:line="560" w:lineRule="exact"/>
              <w:jc w:val="center"/>
              <w:rPr>
                <w:color w:val="auto"/>
                <w:sz w:val="28"/>
                <w:highlight w:val="none"/>
              </w:rPr>
            </w:pPr>
          </w:p>
        </w:tc>
      </w:tr>
      <w:tr w14:paraId="05C87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8" w:hRule="atLeast"/>
          <w:jc w:val="center"/>
        </w:trPr>
        <w:tc>
          <w:tcPr>
            <w:tcW w:w="465" w:type="dxa"/>
            <w:tcBorders>
              <w:left w:val="single" w:color="000000" w:sz="8" w:space="0"/>
              <w:bottom w:val="single" w:color="000000" w:sz="4" w:space="0"/>
              <w:right w:val="single" w:color="000000" w:sz="4" w:space="0"/>
            </w:tcBorders>
            <w:vAlign w:val="center"/>
          </w:tcPr>
          <w:p w14:paraId="76E5B67C">
            <w:pPr>
              <w:spacing w:line="560" w:lineRule="exact"/>
              <w:jc w:val="center"/>
              <w:rPr>
                <w:color w:val="auto"/>
                <w:sz w:val="28"/>
                <w:highlight w:val="none"/>
              </w:rPr>
            </w:pPr>
            <w:r>
              <w:rPr>
                <w:color w:val="auto"/>
                <w:highlight w:val="none"/>
              </w:rPr>
              <w:t>8</w:t>
            </w:r>
          </w:p>
        </w:tc>
        <w:tc>
          <w:tcPr>
            <w:tcW w:w="1910" w:type="dxa"/>
            <w:tcBorders>
              <w:bottom w:val="single" w:color="000000" w:sz="4" w:space="0"/>
              <w:right w:val="single" w:color="000000" w:sz="4" w:space="0"/>
            </w:tcBorders>
            <w:vAlign w:val="center"/>
          </w:tcPr>
          <w:p w14:paraId="09862FFB">
            <w:pPr>
              <w:spacing w:line="560" w:lineRule="exact"/>
              <w:jc w:val="center"/>
              <w:rPr>
                <w:color w:val="auto"/>
                <w:sz w:val="28"/>
                <w:highlight w:val="none"/>
              </w:rPr>
            </w:pPr>
          </w:p>
        </w:tc>
        <w:tc>
          <w:tcPr>
            <w:tcW w:w="2977" w:type="dxa"/>
            <w:tcBorders>
              <w:bottom w:val="single" w:color="000000" w:sz="4" w:space="0"/>
              <w:right w:val="single" w:color="000000" w:sz="4" w:space="0"/>
            </w:tcBorders>
            <w:vAlign w:val="center"/>
          </w:tcPr>
          <w:p w14:paraId="5DA727F5">
            <w:pPr>
              <w:spacing w:line="560" w:lineRule="exact"/>
              <w:jc w:val="center"/>
              <w:rPr>
                <w:color w:val="auto"/>
                <w:sz w:val="28"/>
                <w:highlight w:val="none"/>
              </w:rPr>
            </w:pPr>
          </w:p>
        </w:tc>
        <w:tc>
          <w:tcPr>
            <w:tcW w:w="851" w:type="dxa"/>
            <w:tcBorders>
              <w:bottom w:val="single" w:color="000000" w:sz="4" w:space="0"/>
              <w:right w:val="single" w:color="000000" w:sz="4" w:space="0"/>
            </w:tcBorders>
            <w:vAlign w:val="center"/>
          </w:tcPr>
          <w:p w14:paraId="1F22E98F">
            <w:pPr>
              <w:spacing w:line="560" w:lineRule="exact"/>
              <w:jc w:val="center"/>
              <w:rPr>
                <w:color w:val="auto"/>
                <w:sz w:val="28"/>
                <w:highlight w:val="none"/>
              </w:rPr>
            </w:pPr>
          </w:p>
        </w:tc>
        <w:tc>
          <w:tcPr>
            <w:tcW w:w="850" w:type="dxa"/>
            <w:tcBorders>
              <w:bottom w:val="single" w:color="000000" w:sz="4" w:space="0"/>
              <w:right w:val="single" w:color="000000" w:sz="4" w:space="0"/>
            </w:tcBorders>
            <w:vAlign w:val="center"/>
          </w:tcPr>
          <w:p w14:paraId="7023FC8D">
            <w:pPr>
              <w:spacing w:line="560" w:lineRule="exact"/>
              <w:jc w:val="center"/>
              <w:rPr>
                <w:color w:val="auto"/>
                <w:sz w:val="28"/>
                <w:highlight w:val="none"/>
              </w:rPr>
            </w:pPr>
          </w:p>
        </w:tc>
        <w:tc>
          <w:tcPr>
            <w:tcW w:w="1190" w:type="dxa"/>
            <w:tcBorders>
              <w:bottom w:val="single" w:color="000000" w:sz="4" w:space="0"/>
              <w:right w:val="single" w:color="000000" w:sz="4" w:space="0"/>
            </w:tcBorders>
            <w:vAlign w:val="center"/>
          </w:tcPr>
          <w:p w14:paraId="028E903C">
            <w:pPr>
              <w:spacing w:line="560" w:lineRule="exact"/>
              <w:jc w:val="center"/>
              <w:rPr>
                <w:color w:val="auto"/>
                <w:sz w:val="28"/>
                <w:highlight w:val="none"/>
              </w:rPr>
            </w:pPr>
          </w:p>
        </w:tc>
        <w:tc>
          <w:tcPr>
            <w:tcW w:w="1000" w:type="dxa"/>
            <w:tcBorders>
              <w:bottom w:val="single" w:color="000000" w:sz="4" w:space="0"/>
              <w:right w:val="single" w:color="000000" w:sz="8" w:space="0"/>
            </w:tcBorders>
            <w:vAlign w:val="center"/>
          </w:tcPr>
          <w:p w14:paraId="3F4C146D">
            <w:pPr>
              <w:spacing w:line="560" w:lineRule="exact"/>
              <w:jc w:val="center"/>
              <w:rPr>
                <w:color w:val="auto"/>
                <w:sz w:val="28"/>
                <w:highlight w:val="none"/>
              </w:rPr>
            </w:pPr>
          </w:p>
        </w:tc>
      </w:tr>
      <w:tr w14:paraId="06881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jc w:val="center"/>
        </w:trPr>
        <w:tc>
          <w:tcPr>
            <w:tcW w:w="465" w:type="dxa"/>
            <w:tcBorders>
              <w:left w:val="single" w:color="000000" w:sz="8" w:space="0"/>
              <w:bottom w:val="single" w:color="000000" w:sz="4" w:space="0"/>
              <w:right w:val="single" w:color="000000" w:sz="4" w:space="0"/>
            </w:tcBorders>
            <w:vAlign w:val="center"/>
          </w:tcPr>
          <w:p w14:paraId="65C73A25">
            <w:pPr>
              <w:spacing w:line="560" w:lineRule="exact"/>
              <w:jc w:val="center"/>
              <w:rPr>
                <w:color w:val="auto"/>
                <w:sz w:val="28"/>
                <w:highlight w:val="none"/>
              </w:rPr>
            </w:pPr>
            <w:r>
              <w:rPr>
                <w:color w:val="auto"/>
                <w:highlight w:val="none"/>
              </w:rPr>
              <w:t>9</w:t>
            </w:r>
          </w:p>
        </w:tc>
        <w:tc>
          <w:tcPr>
            <w:tcW w:w="1910" w:type="dxa"/>
            <w:tcBorders>
              <w:bottom w:val="single" w:color="000000" w:sz="4" w:space="0"/>
              <w:right w:val="single" w:color="000000" w:sz="4" w:space="0"/>
            </w:tcBorders>
            <w:vAlign w:val="center"/>
          </w:tcPr>
          <w:p w14:paraId="34B8897B">
            <w:pPr>
              <w:spacing w:line="560" w:lineRule="exact"/>
              <w:jc w:val="center"/>
              <w:rPr>
                <w:color w:val="auto"/>
                <w:sz w:val="28"/>
                <w:highlight w:val="none"/>
              </w:rPr>
            </w:pPr>
          </w:p>
        </w:tc>
        <w:tc>
          <w:tcPr>
            <w:tcW w:w="2977" w:type="dxa"/>
            <w:tcBorders>
              <w:bottom w:val="single" w:color="000000" w:sz="4" w:space="0"/>
              <w:right w:val="single" w:color="000000" w:sz="4" w:space="0"/>
            </w:tcBorders>
            <w:vAlign w:val="center"/>
          </w:tcPr>
          <w:p w14:paraId="1F156AD3">
            <w:pPr>
              <w:spacing w:line="560" w:lineRule="exact"/>
              <w:jc w:val="center"/>
              <w:rPr>
                <w:color w:val="auto"/>
                <w:sz w:val="28"/>
                <w:highlight w:val="none"/>
              </w:rPr>
            </w:pPr>
          </w:p>
        </w:tc>
        <w:tc>
          <w:tcPr>
            <w:tcW w:w="851" w:type="dxa"/>
            <w:tcBorders>
              <w:bottom w:val="single" w:color="000000" w:sz="4" w:space="0"/>
              <w:right w:val="single" w:color="000000" w:sz="4" w:space="0"/>
            </w:tcBorders>
            <w:vAlign w:val="center"/>
          </w:tcPr>
          <w:p w14:paraId="2D43FB69">
            <w:pPr>
              <w:spacing w:line="560" w:lineRule="exact"/>
              <w:jc w:val="center"/>
              <w:rPr>
                <w:color w:val="auto"/>
                <w:sz w:val="28"/>
                <w:highlight w:val="none"/>
              </w:rPr>
            </w:pPr>
          </w:p>
        </w:tc>
        <w:tc>
          <w:tcPr>
            <w:tcW w:w="850" w:type="dxa"/>
            <w:tcBorders>
              <w:bottom w:val="single" w:color="000000" w:sz="4" w:space="0"/>
              <w:right w:val="single" w:color="000000" w:sz="4" w:space="0"/>
            </w:tcBorders>
            <w:vAlign w:val="center"/>
          </w:tcPr>
          <w:p w14:paraId="4219A382">
            <w:pPr>
              <w:spacing w:line="560" w:lineRule="exact"/>
              <w:jc w:val="center"/>
              <w:rPr>
                <w:color w:val="auto"/>
                <w:sz w:val="28"/>
                <w:highlight w:val="none"/>
              </w:rPr>
            </w:pPr>
          </w:p>
        </w:tc>
        <w:tc>
          <w:tcPr>
            <w:tcW w:w="1190" w:type="dxa"/>
            <w:tcBorders>
              <w:bottom w:val="single" w:color="000000" w:sz="4" w:space="0"/>
              <w:right w:val="single" w:color="000000" w:sz="4" w:space="0"/>
            </w:tcBorders>
            <w:vAlign w:val="center"/>
          </w:tcPr>
          <w:p w14:paraId="0FF54D84">
            <w:pPr>
              <w:spacing w:line="560" w:lineRule="exact"/>
              <w:jc w:val="center"/>
              <w:rPr>
                <w:color w:val="auto"/>
                <w:sz w:val="28"/>
                <w:highlight w:val="none"/>
              </w:rPr>
            </w:pPr>
          </w:p>
        </w:tc>
        <w:tc>
          <w:tcPr>
            <w:tcW w:w="1000" w:type="dxa"/>
            <w:tcBorders>
              <w:bottom w:val="single" w:color="000000" w:sz="4" w:space="0"/>
              <w:right w:val="single" w:color="000000" w:sz="8" w:space="0"/>
            </w:tcBorders>
            <w:vAlign w:val="center"/>
          </w:tcPr>
          <w:p w14:paraId="203CCFEA">
            <w:pPr>
              <w:spacing w:line="560" w:lineRule="exact"/>
              <w:jc w:val="center"/>
              <w:rPr>
                <w:color w:val="auto"/>
                <w:sz w:val="28"/>
                <w:highlight w:val="none"/>
              </w:rPr>
            </w:pPr>
          </w:p>
        </w:tc>
      </w:tr>
      <w:tr w14:paraId="16287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7" w:hRule="atLeast"/>
          <w:jc w:val="center"/>
        </w:trPr>
        <w:tc>
          <w:tcPr>
            <w:tcW w:w="465" w:type="dxa"/>
            <w:tcBorders>
              <w:left w:val="single" w:color="000000" w:sz="8" w:space="0"/>
              <w:bottom w:val="single" w:color="000000" w:sz="4" w:space="0"/>
              <w:right w:val="single" w:color="000000" w:sz="4" w:space="0"/>
            </w:tcBorders>
            <w:vAlign w:val="center"/>
          </w:tcPr>
          <w:p w14:paraId="1EC26C15">
            <w:pPr>
              <w:spacing w:line="560" w:lineRule="exact"/>
              <w:jc w:val="center"/>
              <w:rPr>
                <w:color w:val="auto"/>
                <w:sz w:val="28"/>
                <w:highlight w:val="none"/>
              </w:rPr>
            </w:pPr>
            <w:r>
              <w:rPr>
                <w:color w:val="auto"/>
                <w:highlight w:val="none"/>
              </w:rPr>
              <w:t>......</w:t>
            </w:r>
          </w:p>
        </w:tc>
        <w:tc>
          <w:tcPr>
            <w:tcW w:w="1910" w:type="dxa"/>
            <w:tcBorders>
              <w:bottom w:val="single" w:color="000000" w:sz="4" w:space="0"/>
              <w:right w:val="single" w:color="000000" w:sz="4" w:space="0"/>
            </w:tcBorders>
            <w:vAlign w:val="center"/>
          </w:tcPr>
          <w:p w14:paraId="6E1497BC">
            <w:pPr>
              <w:spacing w:line="560" w:lineRule="exact"/>
              <w:jc w:val="center"/>
              <w:rPr>
                <w:color w:val="auto"/>
                <w:sz w:val="28"/>
                <w:highlight w:val="none"/>
              </w:rPr>
            </w:pPr>
          </w:p>
        </w:tc>
        <w:tc>
          <w:tcPr>
            <w:tcW w:w="2977" w:type="dxa"/>
            <w:tcBorders>
              <w:bottom w:val="single" w:color="000000" w:sz="4" w:space="0"/>
              <w:right w:val="single" w:color="000000" w:sz="4" w:space="0"/>
            </w:tcBorders>
            <w:vAlign w:val="center"/>
          </w:tcPr>
          <w:p w14:paraId="51A8CF6A">
            <w:pPr>
              <w:spacing w:line="560" w:lineRule="exact"/>
              <w:jc w:val="center"/>
              <w:rPr>
                <w:color w:val="auto"/>
                <w:sz w:val="28"/>
                <w:highlight w:val="none"/>
              </w:rPr>
            </w:pPr>
          </w:p>
        </w:tc>
        <w:tc>
          <w:tcPr>
            <w:tcW w:w="851" w:type="dxa"/>
            <w:tcBorders>
              <w:bottom w:val="single" w:color="000000" w:sz="4" w:space="0"/>
              <w:right w:val="single" w:color="000000" w:sz="4" w:space="0"/>
            </w:tcBorders>
            <w:vAlign w:val="center"/>
          </w:tcPr>
          <w:p w14:paraId="0FEB1188">
            <w:pPr>
              <w:spacing w:line="560" w:lineRule="exact"/>
              <w:jc w:val="center"/>
              <w:rPr>
                <w:color w:val="auto"/>
                <w:sz w:val="28"/>
                <w:highlight w:val="none"/>
              </w:rPr>
            </w:pPr>
          </w:p>
        </w:tc>
        <w:tc>
          <w:tcPr>
            <w:tcW w:w="850" w:type="dxa"/>
            <w:tcBorders>
              <w:bottom w:val="single" w:color="000000" w:sz="4" w:space="0"/>
              <w:right w:val="single" w:color="000000" w:sz="4" w:space="0"/>
            </w:tcBorders>
            <w:vAlign w:val="center"/>
          </w:tcPr>
          <w:p w14:paraId="68B53185">
            <w:pPr>
              <w:spacing w:line="560" w:lineRule="exact"/>
              <w:jc w:val="center"/>
              <w:rPr>
                <w:color w:val="auto"/>
                <w:sz w:val="28"/>
                <w:highlight w:val="none"/>
              </w:rPr>
            </w:pPr>
          </w:p>
        </w:tc>
        <w:tc>
          <w:tcPr>
            <w:tcW w:w="1190" w:type="dxa"/>
            <w:tcBorders>
              <w:bottom w:val="single" w:color="000000" w:sz="4" w:space="0"/>
              <w:right w:val="single" w:color="000000" w:sz="4" w:space="0"/>
            </w:tcBorders>
            <w:vAlign w:val="center"/>
          </w:tcPr>
          <w:p w14:paraId="42D70C17">
            <w:pPr>
              <w:spacing w:line="560" w:lineRule="exact"/>
              <w:jc w:val="center"/>
              <w:rPr>
                <w:color w:val="auto"/>
                <w:sz w:val="28"/>
                <w:highlight w:val="none"/>
              </w:rPr>
            </w:pPr>
          </w:p>
        </w:tc>
        <w:tc>
          <w:tcPr>
            <w:tcW w:w="1000" w:type="dxa"/>
            <w:tcBorders>
              <w:bottom w:val="single" w:color="000000" w:sz="4" w:space="0"/>
              <w:right w:val="single" w:color="000000" w:sz="8" w:space="0"/>
            </w:tcBorders>
            <w:vAlign w:val="center"/>
          </w:tcPr>
          <w:p w14:paraId="7F1C1B14">
            <w:pPr>
              <w:spacing w:line="560" w:lineRule="exact"/>
              <w:jc w:val="center"/>
              <w:rPr>
                <w:color w:val="auto"/>
                <w:sz w:val="28"/>
                <w:highlight w:val="none"/>
              </w:rPr>
            </w:pPr>
          </w:p>
        </w:tc>
      </w:tr>
      <w:tr w14:paraId="11EC0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1" w:hRule="atLeast"/>
          <w:jc w:val="center"/>
        </w:trPr>
        <w:tc>
          <w:tcPr>
            <w:tcW w:w="9243" w:type="dxa"/>
            <w:gridSpan w:val="7"/>
            <w:tcBorders>
              <w:left w:val="single" w:color="000000" w:sz="8" w:space="0"/>
              <w:bottom w:val="single" w:color="000000" w:sz="8" w:space="0"/>
              <w:right w:val="single" w:color="000000" w:sz="8" w:space="0"/>
            </w:tcBorders>
            <w:vAlign w:val="center"/>
          </w:tcPr>
          <w:p w14:paraId="049FBD72">
            <w:pPr>
              <w:spacing w:line="560" w:lineRule="exact"/>
              <w:jc w:val="left"/>
              <w:rPr>
                <w:color w:val="auto"/>
                <w:highlight w:val="none"/>
              </w:rPr>
            </w:pPr>
            <w:r>
              <w:rPr>
                <w:rFonts w:hint="eastAsia"/>
                <w:color w:val="auto"/>
                <w:highlight w:val="none"/>
              </w:rPr>
              <w:t>投标报价：拾万仟佰拾元整</w:t>
            </w:r>
          </w:p>
          <w:p w14:paraId="13464FAC">
            <w:pPr>
              <w:spacing w:line="560" w:lineRule="exact"/>
              <w:jc w:val="center"/>
              <w:rPr>
                <w:color w:val="auto"/>
                <w:sz w:val="28"/>
                <w:highlight w:val="none"/>
              </w:rPr>
            </w:pPr>
            <w:r>
              <w:rPr>
                <w:rFonts w:hint="eastAsia"/>
                <w:color w:val="auto"/>
                <w:highlight w:val="none"/>
              </w:rPr>
              <w:t>（小写：¥　　　　元）</w:t>
            </w:r>
          </w:p>
        </w:tc>
      </w:tr>
    </w:tbl>
    <w:p w14:paraId="4F801918">
      <w:pPr>
        <w:widowControl w:val="0"/>
        <w:tabs>
          <w:tab w:val="left" w:pos="9365"/>
        </w:tabs>
        <w:snapToGrid w:val="0"/>
        <w:spacing w:after="56" w:line="360" w:lineRule="exact"/>
        <w:ind w:right="85" w:firstLine="601"/>
        <w:textAlignment w:val="top"/>
        <w:rPr>
          <w:b/>
          <w:color w:val="auto"/>
          <w:highlight w:val="none"/>
        </w:rPr>
      </w:pPr>
    </w:p>
    <w:p w14:paraId="7A22180B">
      <w:pPr>
        <w:widowControl w:val="0"/>
        <w:tabs>
          <w:tab w:val="left" w:pos="9365"/>
        </w:tabs>
        <w:snapToGrid w:val="0"/>
        <w:spacing w:after="56" w:line="240" w:lineRule="auto"/>
        <w:ind w:right="85"/>
        <w:jc w:val="left"/>
        <w:textAlignment w:val="top"/>
        <w:rPr>
          <w:color w:val="auto"/>
          <w:sz w:val="24"/>
          <w:szCs w:val="24"/>
          <w:highlight w:val="none"/>
        </w:rPr>
      </w:pPr>
      <w:r>
        <w:rPr>
          <w:rFonts w:hint="eastAsia"/>
          <w:color w:val="auto"/>
          <w:sz w:val="24"/>
          <w:szCs w:val="24"/>
          <w:highlight w:val="none"/>
        </w:rPr>
        <w:t>投标人（电子签</w:t>
      </w:r>
      <w:r>
        <w:rPr>
          <w:rFonts w:hint="eastAsia" w:ascii="宋体" w:hAnsi="宋体"/>
          <w:color w:val="auto"/>
          <w:sz w:val="24"/>
          <w:szCs w:val="24"/>
          <w:highlight w:val="none"/>
        </w:rPr>
        <w:t>章</w:t>
      </w:r>
      <w:r>
        <w:rPr>
          <w:rFonts w:hint="eastAsia"/>
          <w:color w:val="auto"/>
          <w:sz w:val="24"/>
          <w:szCs w:val="24"/>
          <w:highlight w:val="none"/>
        </w:rPr>
        <w:t>）：</w:t>
      </w:r>
    </w:p>
    <w:p w14:paraId="1D85F7BE">
      <w:pPr>
        <w:widowControl w:val="0"/>
        <w:tabs>
          <w:tab w:val="left" w:pos="9365"/>
        </w:tabs>
        <w:snapToGrid w:val="0"/>
        <w:spacing w:after="56" w:line="240" w:lineRule="auto"/>
        <w:ind w:right="85"/>
        <w:jc w:val="left"/>
        <w:textAlignment w:val="top"/>
        <w:rPr>
          <w:rFonts w:ascii="宋体" w:cs="楷体_GB2312"/>
          <w:color w:val="auto"/>
          <w:sz w:val="24"/>
          <w:highlight w:val="none"/>
          <w:lang w:val="zh-CN"/>
        </w:rPr>
      </w:pPr>
      <w:r>
        <w:rPr>
          <w:rFonts w:hint="eastAsia"/>
          <w:color w:val="auto"/>
          <w:sz w:val="24"/>
          <w:szCs w:val="24"/>
          <w:highlight w:val="none"/>
        </w:rPr>
        <w:t>法定代表人（电子签名或签章）：</w:t>
      </w:r>
    </w:p>
    <w:p w14:paraId="1462C84A">
      <w:pPr>
        <w:widowControl w:val="0"/>
        <w:tabs>
          <w:tab w:val="left" w:pos="9365"/>
        </w:tabs>
        <w:snapToGrid w:val="0"/>
        <w:spacing w:after="56" w:line="240" w:lineRule="auto"/>
        <w:ind w:right="85"/>
        <w:textAlignment w:val="top"/>
        <w:rPr>
          <w:b/>
          <w:color w:val="auto"/>
          <w:highlight w:val="none"/>
        </w:rPr>
      </w:pPr>
      <w:r>
        <w:rPr>
          <w:rFonts w:hint="eastAsia" w:ascii="宋体" w:hAnsi="宋体" w:cs="楷体_GB2312"/>
          <w:color w:val="auto"/>
          <w:sz w:val="24"/>
          <w:highlight w:val="none"/>
          <w:lang w:val="zh-CN"/>
        </w:rPr>
        <w:t>日期：年月日</w:t>
      </w:r>
    </w:p>
    <w:p w14:paraId="2A9D5E17">
      <w:pPr>
        <w:widowControl w:val="0"/>
        <w:snapToGrid w:val="0"/>
        <w:spacing w:line="560" w:lineRule="exact"/>
        <w:jc w:val="left"/>
        <w:rPr>
          <w:color w:val="auto"/>
          <w:sz w:val="28"/>
          <w:highlight w:val="none"/>
        </w:rPr>
      </w:pPr>
      <w:r>
        <w:rPr>
          <w:color w:val="auto"/>
          <w:sz w:val="28"/>
          <w:highlight w:val="none"/>
        </w:rPr>
        <w:br w:type="page"/>
      </w:r>
    </w:p>
    <w:p w14:paraId="0D307ED1">
      <w:pPr>
        <w:widowControl w:val="0"/>
        <w:snapToGrid w:val="0"/>
        <w:spacing w:line="560" w:lineRule="exact"/>
        <w:jc w:val="center"/>
        <w:rPr>
          <w:rFonts w:ascii="黑体" w:hAnsi="黑体" w:eastAsia="黑体"/>
          <w:color w:val="auto"/>
          <w:sz w:val="30"/>
          <w:szCs w:val="30"/>
          <w:highlight w:val="none"/>
        </w:rPr>
      </w:pPr>
      <w:r>
        <w:rPr>
          <w:rFonts w:hint="eastAsia" w:ascii="黑体" w:hAnsi="黑体" w:eastAsia="黑体"/>
          <w:b/>
          <w:color w:val="auto"/>
          <w:sz w:val="30"/>
          <w:szCs w:val="30"/>
          <w:highlight w:val="none"/>
        </w:rPr>
        <w:t>四、标产品清单及具体技术参数</w:t>
      </w:r>
    </w:p>
    <w:p w14:paraId="057AEB12">
      <w:pPr>
        <w:pStyle w:val="15"/>
        <w:adjustRightInd w:val="0"/>
        <w:snapToGrid w:val="0"/>
        <w:spacing w:before="0" w:beforeAutospacing="0" w:after="0" w:afterAutospacing="0"/>
        <w:rPr>
          <w:color w:val="auto"/>
          <w:highlight w:val="none"/>
        </w:rPr>
      </w:pPr>
    </w:p>
    <w:p w14:paraId="1C9CAB37">
      <w:pPr>
        <w:pStyle w:val="15"/>
        <w:adjustRightInd w:val="0"/>
        <w:snapToGrid w:val="0"/>
        <w:spacing w:before="0" w:beforeAutospacing="0" w:after="0" w:afterAutospacing="0"/>
        <w:rPr>
          <w:color w:val="auto"/>
          <w:highlight w:val="none"/>
          <w:u w:val="single"/>
        </w:rPr>
      </w:pPr>
      <w:r>
        <w:rPr>
          <w:rFonts w:hint="eastAsia"/>
          <w:color w:val="auto"/>
          <w:highlight w:val="none"/>
        </w:rPr>
        <w:t>项目名称：</w:t>
      </w:r>
    </w:p>
    <w:p w14:paraId="702E49B2">
      <w:pPr>
        <w:pStyle w:val="15"/>
        <w:adjustRightInd w:val="0"/>
        <w:snapToGrid w:val="0"/>
        <w:spacing w:before="0" w:beforeAutospacing="0" w:after="0" w:afterAutospacing="0"/>
        <w:rPr>
          <w:color w:val="auto"/>
          <w:highlight w:val="none"/>
        </w:rPr>
      </w:pPr>
      <w:r>
        <w:rPr>
          <w:rFonts w:hint="eastAsia"/>
          <w:color w:val="auto"/>
          <w:highlight w:val="none"/>
        </w:rPr>
        <w:t xml:space="preserve">项目编号：   </w:t>
      </w:r>
    </w:p>
    <w:tbl>
      <w:tblPr>
        <w:tblStyle w:val="16"/>
        <w:tblW w:w="94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80"/>
        <w:gridCol w:w="1200"/>
        <w:gridCol w:w="567"/>
        <w:gridCol w:w="567"/>
        <w:gridCol w:w="1134"/>
        <w:gridCol w:w="1912"/>
        <w:gridCol w:w="1559"/>
        <w:gridCol w:w="567"/>
        <w:gridCol w:w="1490"/>
      </w:tblGrid>
      <w:tr w14:paraId="11EC4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8" w:hRule="atLeast"/>
          <w:jc w:val="center"/>
        </w:trPr>
        <w:tc>
          <w:tcPr>
            <w:tcW w:w="480" w:type="dxa"/>
            <w:tcBorders>
              <w:top w:val="single" w:color="000000" w:sz="8" w:space="0"/>
              <w:bottom w:val="single" w:color="000000" w:sz="4" w:space="0"/>
              <w:right w:val="single" w:color="000000" w:sz="4" w:space="0"/>
            </w:tcBorders>
            <w:vAlign w:val="center"/>
          </w:tcPr>
          <w:p w14:paraId="24DB1F61">
            <w:pPr>
              <w:spacing w:line="360" w:lineRule="exact"/>
              <w:jc w:val="center"/>
              <w:rPr>
                <w:b/>
                <w:color w:val="auto"/>
                <w:sz w:val="28"/>
                <w:highlight w:val="none"/>
              </w:rPr>
            </w:pPr>
            <w:r>
              <w:rPr>
                <w:rFonts w:hint="eastAsia"/>
                <w:b/>
                <w:color w:val="auto"/>
                <w:highlight w:val="none"/>
              </w:rPr>
              <w:t>序号</w:t>
            </w:r>
          </w:p>
        </w:tc>
        <w:tc>
          <w:tcPr>
            <w:tcW w:w="1200" w:type="dxa"/>
            <w:tcBorders>
              <w:top w:val="single" w:color="000000" w:sz="8" w:space="0"/>
              <w:bottom w:val="single" w:color="000000" w:sz="4" w:space="0"/>
              <w:right w:val="single" w:color="000000" w:sz="4" w:space="0"/>
            </w:tcBorders>
            <w:vAlign w:val="center"/>
          </w:tcPr>
          <w:p w14:paraId="55A32A68">
            <w:pPr>
              <w:widowControl w:val="0"/>
              <w:snapToGrid w:val="0"/>
              <w:spacing w:line="360" w:lineRule="exact"/>
              <w:jc w:val="center"/>
              <w:rPr>
                <w:b/>
                <w:color w:val="auto"/>
                <w:sz w:val="28"/>
                <w:highlight w:val="none"/>
              </w:rPr>
            </w:pPr>
            <w:r>
              <w:rPr>
                <w:rFonts w:hint="eastAsia"/>
                <w:b/>
                <w:color w:val="auto"/>
                <w:highlight w:val="none"/>
              </w:rPr>
              <w:t>产品名称</w:t>
            </w:r>
          </w:p>
        </w:tc>
        <w:tc>
          <w:tcPr>
            <w:tcW w:w="567" w:type="dxa"/>
            <w:tcBorders>
              <w:top w:val="single" w:color="000000" w:sz="8" w:space="0"/>
              <w:bottom w:val="single" w:color="000000" w:sz="4" w:space="0"/>
              <w:right w:val="single" w:color="000000" w:sz="4" w:space="0"/>
            </w:tcBorders>
            <w:vAlign w:val="center"/>
          </w:tcPr>
          <w:p w14:paraId="6530EC57">
            <w:pPr>
              <w:spacing w:line="360" w:lineRule="exact"/>
              <w:jc w:val="center"/>
              <w:rPr>
                <w:b/>
                <w:color w:val="auto"/>
                <w:sz w:val="28"/>
                <w:highlight w:val="none"/>
              </w:rPr>
            </w:pPr>
            <w:r>
              <w:rPr>
                <w:rFonts w:hint="eastAsia"/>
                <w:b/>
                <w:color w:val="auto"/>
                <w:highlight w:val="none"/>
              </w:rPr>
              <w:t>单位</w:t>
            </w:r>
          </w:p>
        </w:tc>
        <w:tc>
          <w:tcPr>
            <w:tcW w:w="567" w:type="dxa"/>
            <w:tcBorders>
              <w:top w:val="single" w:color="000000" w:sz="8" w:space="0"/>
              <w:bottom w:val="single" w:color="000000" w:sz="4" w:space="0"/>
              <w:right w:val="single" w:color="000000" w:sz="4" w:space="0"/>
            </w:tcBorders>
            <w:vAlign w:val="center"/>
          </w:tcPr>
          <w:p w14:paraId="330CEC76">
            <w:pPr>
              <w:spacing w:line="360" w:lineRule="exact"/>
              <w:jc w:val="center"/>
              <w:rPr>
                <w:b/>
                <w:color w:val="auto"/>
                <w:sz w:val="28"/>
                <w:highlight w:val="none"/>
              </w:rPr>
            </w:pPr>
            <w:r>
              <w:rPr>
                <w:rFonts w:hint="eastAsia"/>
                <w:b/>
                <w:color w:val="auto"/>
                <w:highlight w:val="none"/>
              </w:rPr>
              <w:t>数量</w:t>
            </w:r>
          </w:p>
        </w:tc>
        <w:tc>
          <w:tcPr>
            <w:tcW w:w="1134" w:type="dxa"/>
            <w:tcBorders>
              <w:top w:val="single" w:color="000000" w:sz="8" w:space="0"/>
              <w:bottom w:val="single" w:color="000000" w:sz="4" w:space="0"/>
              <w:right w:val="single" w:color="000000" w:sz="4" w:space="0"/>
            </w:tcBorders>
            <w:vAlign w:val="center"/>
          </w:tcPr>
          <w:p w14:paraId="18945F95">
            <w:pPr>
              <w:spacing w:line="360" w:lineRule="exact"/>
              <w:jc w:val="center"/>
              <w:rPr>
                <w:b/>
                <w:color w:val="auto"/>
                <w:sz w:val="28"/>
                <w:highlight w:val="none"/>
              </w:rPr>
            </w:pPr>
            <w:r>
              <w:rPr>
                <w:rFonts w:hint="eastAsia"/>
                <w:b/>
                <w:color w:val="auto"/>
                <w:highlight w:val="none"/>
              </w:rPr>
              <w:t>品牌型号</w:t>
            </w:r>
          </w:p>
        </w:tc>
        <w:tc>
          <w:tcPr>
            <w:tcW w:w="1912" w:type="dxa"/>
            <w:tcBorders>
              <w:top w:val="single" w:color="000000" w:sz="8" w:space="0"/>
              <w:bottom w:val="single" w:color="000000" w:sz="4" w:space="0"/>
              <w:right w:val="single" w:color="000000" w:sz="4" w:space="0"/>
            </w:tcBorders>
            <w:vAlign w:val="center"/>
          </w:tcPr>
          <w:p w14:paraId="4C7C9227">
            <w:pPr>
              <w:spacing w:line="360" w:lineRule="exact"/>
              <w:jc w:val="center"/>
              <w:rPr>
                <w:b/>
                <w:color w:val="auto"/>
                <w:sz w:val="28"/>
                <w:highlight w:val="none"/>
              </w:rPr>
            </w:pPr>
            <w:r>
              <w:rPr>
                <w:rFonts w:hint="eastAsia"/>
                <w:b/>
                <w:color w:val="auto"/>
                <w:highlight w:val="none"/>
              </w:rPr>
              <w:t>技术参数</w:t>
            </w:r>
          </w:p>
        </w:tc>
        <w:tc>
          <w:tcPr>
            <w:tcW w:w="1559" w:type="dxa"/>
            <w:tcBorders>
              <w:top w:val="single" w:color="000000" w:sz="8" w:space="0"/>
              <w:bottom w:val="single" w:color="000000" w:sz="4" w:space="0"/>
              <w:right w:val="single" w:color="000000" w:sz="4" w:space="0"/>
            </w:tcBorders>
            <w:vAlign w:val="center"/>
          </w:tcPr>
          <w:p w14:paraId="03600F67">
            <w:pPr>
              <w:spacing w:line="360" w:lineRule="exact"/>
              <w:jc w:val="center"/>
              <w:rPr>
                <w:b/>
                <w:color w:val="auto"/>
                <w:sz w:val="28"/>
                <w:highlight w:val="none"/>
              </w:rPr>
            </w:pPr>
            <w:r>
              <w:rPr>
                <w:rFonts w:hint="eastAsia"/>
                <w:b/>
                <w:color w:val="auto"/>
                <w:highlight w:val="none"/>
              </w:rPr>
              <w:t>原产地及制造商</w:t>
            </w:r>
          </w:p>
        </w:tc>
        <w:tc>
          <w:tcPr>
            <w:tcW w:w="567" w:type="dxa"/>
            <w:tcBorders>
              <w:top w:val="single" w:color="000000" w:sz="8" w:space="0"/>
              <w:bottom w:val="single" w:color="000000" w:sz="4" w:space="0"/>
              <w:right w:val="single" w:color="000000" w:sz="8" w:space="0"/>
            </w:tcBorders>
            <w:vAlign w:val="center"/>
          </w:tcPr>
          <w:p w14:paraId="5978ADF0">
            <w:pPr>
              <w:spacing w:line="360" w:lineRule="exact"/>
              <w:jc w:val="center"/>
              <w:rPr>
                <w:b/>
                <w:color w:val="auto"/>
                <w:sz w:val="28"/>
                <w:highlight w:val="none"/>
              </w:rPr>
            </w:pPr>
            <w:r>
              <w:rPr>
                <w:rFonts w:hint="eastAsia"/>
                <w:b/>
                <w:color w:val="auto"/>
                <w:highlight w:val="none"/>
              </w:rPr>
              <w:t>附件</w:t>
            </w:r>
          </w:p>
        </w:tc>
        <w:tc>
          <w:tcPr>
            <w:tcW w:w="1490" w:type="dxa"/>
            <w:tcBorders>
              <w:top w:val="single" w:color="000000" w:sz="8" w:space="0"/>
              <w:bottom w:val="single" w:color="000000" w:sz="4" w:space="0"/>
              <w:right w:val="single" w:color="000000" w:sz="8" w:space="0"/>
            </w:tcBorders>
          </w:tcPr>
          <w:p w14:paraId="0A823724">
            <w:pPr>
              <w:spacing w:line="360" w:lineRule="exact"/>
              <w:jc w:val="center"/>
              <w:rPr>
                <w:b/>
                <w:color w:val="auto"/>
                <w:highlight w:val="none"/>
              </w:rPr>
            </w:pPr>
            <w:r>
              <w:rPr>
                <w:rFonts w:hint="eastAsia"/>
                <w:b/>
                <w:color w:val="auto"/>
                <w:szCs w:val="21"/>
                <w:highlight w:val="none"/>
              </w:rPr>
              <w:t>节能产品、环境标志产品的标注</w:t>
            </w:r>
            <w:r>
              <w:rPr>
                <w:b/>
                <w:color w:val="auto"/>
                <w:sz w:val="18"/>
                <w:szCs w:val="18"/>
                <w:highlight w:val="none"/>
              </w:rPr>
              <w:t>(</w:t>
            </w:r>
            <w:r>
              <w:rPr>
                <w:rFonts w:hint="eastAsia"/>
                <w:b/>
                <w:color w:val="auto"/>
                <w:sz w:val="18"/>
                <w:szCs w:val="18"/>
                <w:highlight w:val="none"/>
              </w:rPr>
              <w:t>按需填列</w:t>
            </w:r>
            <w:r>
              <w:rPr>
                <w:b/>
                <w:color w:val="auto"/>
                <w:sz w:val="18"/>
                <w:szCs w:val="18"/>
                <w:highlight w:val="none"/>
              </w:rPr>
              <w:t>)</w:t>
            </w:r>
          </w:p>
        </w:tc>
      </w:tr>
      <w:tr w14:paraId="73422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53" w:hRule="atLeast"/>
          <w:jc w:val="center"/>
        </w:trPr>
        <w:tc>
          <w:tcPr>
            <w:tcW w:w="480" w:type="dxa"/>
            <w:tcBorders>
              <w:bottom w:val="single" w:color="000000" w:sz="4" w:space="0"/>
              <w:right w:val="single" w:color="000000" w:sz="4" w:space="0"/>
            </w:tcBorders>
            <w:vAlign w:val="center"/>
          </w:tcPr>
          <w:p w14:paraId="42779B9A">
            <w:pPr>
              <w:spacing w:line="360" w:lineRule="exact"/>
              <w:jc w:val="center"/>
              <w:rPr>
                <w:color w:val="auto"/>
                <w:sz w:val="28"/>
                <w:highlight w:val="none"/>
              </w:rPr>
            </w:pPr>
            <w:r>
              <w:rPr>
                <w:color w:val="auto"/>
                <w:highlight w:val="none"/>
              </w:rPr>
              <w:t>1</w:t>
            </w:r>
          </w:p>
        </w:tc>
        <w:tc>
          <w:tcPr>
            <w:tcW w:w="1200" w:type="dxa"/>
            <w:tcBorders>
              <w:bottom w:val="single" w:color="000000" w:sz="4" w:space="0"/>
              <w:right w:val="single" w:color="000000" w:sz="4" w:space="0"/>
            </w:tcBorders>
            <w:vAlign w:val="center"/>
          </w:tcPr>
          <w:p w14:paraId="5615DA40">
            <w:pPr>
              <w:spacing w:line="360" w:lineRule="exact"/>
              <w:jc w:val="center"/>
              <w:rPr>
                <w:color w:val="auto"/>
                <w:sz w:val="28"/>
                <w:highlight w:val="none"/>
              </w:rPr>
            </w:pPr>
          </w:p>
        </w:tc>
        <w:tc>
          <w:tcPr>
            <w:tcW w:w="567" w:type="dxa"/>
            <w:tcBorders>
              <w:bottom w:val="single" w:color="000000" w:sz="4" w:space="0"/>
              <w:right w:val="single" w:color="000000" w:sz="4" w:space="0"/>
            </w:tcBorders>
            <w:vAlign w:val="center"/>
          </w:tcPr>
          <w:p w14:paraId="06A12407">
            <w:pPr>
              <w:spacing w:line="360" w:lineRule="exact"/>
              <w:jc w:val="center"/>
              <w:rPr>
                <w:color w:val="auto"/>
                <w:sz w:val="28"/>
                <w:highlight w:val="none"/>
              </w:rPr>
            </w:pPr>
          </w:p>
        </w:tc>
        <w:tc>
          <w:tcPr>
            <w:tcW w:w="567" w:type="dxa"/>
            <w:tcBorders>
              <w:bottom w:val="single" w:color="000000" w:sz="4" w:space="0"/>
              <w:right w:val="single" w:color="000000" w:sz="4" w:space="0"/>
            </w:tcBorders>
            <w:vAlign w:val="center"/>
          </w:tcPr>
          <w:p w14:paraId="640EBE6D">
            <w:pPr>
              <w:spacing w:line="360" w:lineRule="exact"/>
              <w:jc w:val="center"/>
              <w:rPr>
                <w:color w:val="auto"/>
                <w:sz w:val="28"/>
                <w:highlight w:val="none"/>
              </w:rPr>
            </w:pPr>
          </w:p>
        </w:tc>
        <w:tc>
          <w:tcPr>
            <w:tcW w:w="1134" w:type="dxa"/>
            <w:tcBorders>
              <w:bottom w:val="single" w:color="000000" w:sz="4" w:space="0"/>
              <w:right w:val="single" w:color="000000" w:sz="4" w:space="0"/>
            </w:tcBorders>
            <w:vAlign w:val="center"/>
          </w:tcPr>
          <w:p w14:paraId="1AA63032">
            <w:pPr>
              <w:spacing w:line="360" w:lineRule="exact"/>
              <w:jc w:val="center"/>
              <w:rPr>
                <w:color w:val="auto"/>
                <w:sz w:val="28"/>
                <w:highlight w:val="none"/>
              </w:rPr>
            </w:pPr>
          </w:p>
        </w:tc>
        <w:tc>
          <w:tcPr>
            <w:tcW w:w="1912" w:type="dxa"/>
            <w:tcBorders>
              <w:bottom w:val="single" w:color="000000" w:sz="4" w:space="0"/>
              <w:right w:val="single" w:color="000000" w:sz="4" w:space="0"/>
            </w:tcBorders>
            <w:vAlign w:val="center"/>
          </w:tcPr>
          <w:p w14:paraId="000AB5BC">
            <w:pPr>
              <w:spacing w:line="360" w:lineRule="exact"/>
              <w:jc w:val="center"/>
              <w:rPr>
                <w:color w:val="auto"/>
                <w:sz w:val="28"/>
                <w:highlight w:val="none"/>
              </w:rPr>
            </w:pPr>
          </w:p>
        </w:tc>
        <w:tc>
          <w:tcPr>
            <w:tcW w:w="1559" w:type="dxa"/>
            <w:tcBorders>
              <w:bottom w:val="single" w:color="000000" w:sz="4" w:space="0"/>
              <w:right w:val="single" w:color="000000" w:sz="4" w:space="0"/>
            </w:tcBorders>
            <w:vAlign w:val="center"/>
          </w:tcPr>
          <w:p w14:paraId="12C95A39">
            <w:pPr>
              <w:spacing w:line="360" w:lineRule="exact"/>
              <w:jc w:val="center"/>
              <w:rPr>
                <w:color w:val="auto"/>
                <w:sz w:val="28"/>
                <w:highlight w:val="none"/>
              </w:rPr>
            </w:pPr>
          </w:p>
        </w:tc>
        <w:tc>
          <w:tcPr>
            <w:tcW w:w="567" w:type="dxa"/>
            <w:tcBorders>
              <w:bottom w:val="single" w:color="000000" w:sz="4" w:space="0"/>
              <w:right w:val="single" w:color="000000" w:sz="8" w:space="0"/>
            </w:tcBorders>
            <w:vAlign w:val="center"/>
          </w:tcPr>
          <w:p w14:paraId="4662E136">
            <w:pPr>
              <w:spacing w:line="360" w:lineRule="exact"/>
              <w:jc w:val="center"/>
              <w:rPr>
                <w:color w:val="auto"/>
                <w:sz w:val="28"/>
                <w:highlight w:val="none"/>
              </w:rPr>
            </w:pPr>
          </w:p>
        </w:tc>
        <w:tc>
          <w:tcPr>
            <w:tcW w:w="1490" w:type="dxa"/>
            <w:tcBorders>
              <w:bottom w:val="single" w:color="000000" w:sz="4" w:space="0"/>
              <w:right w:val="single" w:color="000000" w:sz="8" w:space="0"/>
            </w:tcBorders>
          </w:tcPr>
          <w:p w14:paraId="2DDB693E">
            <w:pPr>
              <w:spacing w:line="360" w:lineRule="exact"/>
              <w:jc w:val="center"/>
              <w:rPr>
                <w:color w:val="auto"/>
                <w:sz w:val="28"/>
                <w:highlight w:val="none"/>
              </w:rPr>
            </w:pPr>
          </w:p>
        </w:tc>
      </w:tr>
      <w:tr w14:paraId="0A4F7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49" w:hRule="atLeast"/>
          <w:jc w:val="center"/>
        </w:trPr>
        <w:tc>
          <w:tcPr>
            <w:tcW w:w="480" w:type="dxa"/>
            <w:tcBorders>
              <w:left w:val="single" w:color="000000" w:sz="4" w:space="0"/>
              <w:bottom w:val="single" w:color="000000" w:sz="4" w:space="0"/>
              <w:right w:val="single" w:color="000000" w:sz="4" w:space="0"/>
            </w:tcBorders>
            <w:vAlign w:val="center"/>
          </w:tcPr>
          <w:p w14:paraId="28CED461">
            <w:pPr>
              <w:spacing w:line="360" w:lineRule="exact"/>
              <w:jc w:val="center"/>
              <w:rPr>
                <w:color w:val="auto"/>
                <w:sz w:val="28"/>
                <w:highlight w:val="none"/>
              </w:rPr>
            </w:pPr>
            <w:r>
              <w:rPr>
                <w:color w:val="auto"/>
                <w:highlight w:val="none"/>
              </w:rPr>
              <w:t>2</w:t>
            </w:r>
          </w:p>
        </w:tc>
        <w:tc>
          <w:tcPr>
            <w:tcW w:w="1200" w:type="dxa"/>
            <w:tcBorders>
              <w:bottom w:val="single" w:color="000000" w:sz="4" w:space="0"/>
              <w:right w:val="single" w:color="000000" w:sz="4" w:space="0"/>
            </w:tcBorders>
            <w:vAlign w:val="center"/>
          </w:tcPr>
          <w:p w14:paraId="05B8F8CC">
            <w:pPr>
              <w:spacing w:line="360" w:lineRule="exact"/>
              <w:jc w:val="center"/>
              <w:rPr>
                <w:color w:val="auto"/>
                <w:sz w:val="28"/>
                <w:highlight w:val="none"/>
              </w:rPr>
            </w:pPr>
          </w:p>
        </w:tc>
        <w:tc>
          <w:tcPr>
            <w:tcW w:w="567" w:type="dxa"/>
            <w:tcBorders>
              <w:bottom w:val="single" w:color="000000" w:sz="4" w:space="0"/>
              <w:right w:val="single" w:color="000000" w:sz="4" w:space="0"/>
            </w:tcBorders>
            <w:vAlign w:val="center"/>
          </w:tcPr>
          <w:p w14:paraId="2C2DDF2F">
            <w:pPr>
              <w:spacing w:line="360" w:lineRule="exact"/>
              <w:jc w:val="center"/>
              <w:rPr>
                <w:color w:val="auto"/>
                <w:sz w:val="28"/>
                <w:highlight w:val="none"/>
              </w:rPr>
            </w:pPr>
          </w:p>
        </w:tc>
        <w:tc>
          <w:tcPr>
            <w:tcW w:w="567" w:type="dxa"/>
            <w:tcBorders>
              <w:bottom w:val="single" w:color="000000" w:sz="4" w:space="0"/>
              <w:right w:val="single" w:color="000000" w:sz="4" w:space="0"/>
            </w:tcBorders>
            <w:vAlign w:val="center"/>
          </w:tcPr>
          <w:p w14:paraId="18BDCBA2">
            <w:pPr>
              <w:spacing w:line="360" w:lineRule="exact"/>
              <w:jc w:val="center"/>
              <w:rPr>
                <w:color w:val="auto"/>
                <w:sz w:val="28"/>
                <w:highlight w:val="none"/>
              </w:rPr>
            </w:pPr>
          </w:p>
        </w:tc>
        <w:tc>
          <w:tcPr>
            <w:tcW w:w="1134" w:type="dxa"/>
            <w:tcBorders>
              <w:bottom w:val="single" w:color="000000" w:sz="4" w:space="0"/>
              <w:right w:val="single" w:color="000000" w:sz="4" w:space="0"/>
            </w:tcBorders>
            <w:vAlign w:val="center"/>
          </w:tcPr>
          <w:p w14:paraId="374CA252">
            <w:pPr>
              <w:spacing w:line="360" w:lineRule="exact"/>
              <w:jc w:val="center"/>
              <w:rPr>
                <w:color w:val="auto"/>
                <w:sz w:val="28"/>
                <w:highlight w:val="none"/>
              </w:rPr>
            </w:pPr>
          </w:p>
        </w:tc>
        <w:tc>
          <w:tcPr>
            <w:tcW w:w="1912" w:type="dxa"/>
            <w:tcBorders>
              <w:bottom w:val="single" w:color="000000" w:sz="4" w:space="0"/>
              <w:right w:val="single" w:color="000000" w:sz="4" w:space="0"/>
            </w:tcBorders>
            <w:vAlign w:val="center"/>
          </w:tcPr>
          <w:p w14:paraId="55156199">
            <w:pPr>
              <w:spacing w:line="360" w:lineRule="exact"/>
              <w:jc w:val="center"/>
              <w:rPr>
                <w:color w:val="auto"/>
                <w:sz w:val="28"/>
                <w:highlight w:val="none"/>
              </w:rPr>
            </w:pPr>
          </w:p>
        </w:tc>
        <w:tc>
          <w:tcPr>
            <w:tcW w:w="1559" w:type="dxa"/>
            <w:tcBorders>
              <w:bottom w:val="single" w:color="000000" w:sz="4" w:space="0"/>
              <w:right w:val="single" w:color="000000" w:sz="4" w:space="0"/>
            </w:tcBorders>
            <w:vAlign w:val="center"/>
          </w:tcPr>
          <w:p w14:paraId="4B02FC42">
            <w:pPr>
              <w:spacing w:line="360" w:lineRule="exact"/>
              <w:jc w:val="center"/>
              <w:rPr>
                <w:color w:val="auto"/>
                <w:sz w:val="28"/>
                <w:highlight w:val="none"/>
              </w:rPr>
            </w:pPr>
          </w:p>
        </w:tc>
        <w:tc>
          <w:tcPr>
            <w:tcW w:w="567" w:type="dxa"/>
            <w:tcBorders>
              <w:bottom w:val="single" w:color="000000" w:sz="4" w:space="0"/>
              <w:right w:val="single" w:color="000000" w:sz="8" w:space="0"/>
            </w:tcBorders>
            <w:vAlign w:val="center"/>
          </w:tcPr>
          <w:p w14:paraId="390901A1">
            <w:pPr>
              <w:spacing w:line="360" w:lineRule="exact"/>
              <w:jc w:val="center"/>
              <w:rPr>
                <w:color w:val="auto"/>
                <w:sz w:val="28"/>
                <w:highlight w:val="none"/>
              </w:rPr>
            </w:pPr>
          </w:p>
        </w:tc>
        <w:tc>
          <w:tcPr>
            <w:tcW w:w="1490" w:type="dxa"/>
            <w:tcBorders>
              <w:bottom w:val="single" w:color="000000" w:sz="4" w:space="0"/>
              <w:right w:val="single" w:color="000000" w:sz="8" w:space="0"/>
            </w:tcBorders>
          </w:tcPr>
          <w:p w14:paraId="1291A842">
            <w:pPr>
              <w:spacing w:line="360" w:lineRule="exact"/>
              <w:jc w:val="center"/>
              <w:rPr>
                <w:color w:val="auto"/>
                <w:sz w:val="28"/>
                <w:highlight w:val="none"/>
              </w:rPr>
            </w:pPr>
          </w:p>
        </w:tc>
      </w:tr>
      <w:tr w14:paraId="3209D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79" w:hRule="atLeast"/>
          <w:jc w:val="center"/>
        </w:trPr>
        <w:tc>
          <w:tcPr>
            <w:tcW w:w="480" w:type="dxa"/>
            <w:tcBorders>
              <w:left w:val="single" w:color="000000" w:sz="4" w:space="0"/>
              <w:right w:val="single" w:color="000000" w:sz="4" w:space="0"/>
            </w:tcBorders>
            <w:vAlign w:val="center"/>
          </w:tcPr>
          <w:p w14:paraId="62419BD8">
            <w:pPr>
              <w:spacing w:line="360" w:lineRule="exact"/>
              <w:jc w:val="center"/>
              <w:rPr>
                <w:color w:val="auto"/>
                <w:sz w:val="28"/>
                <w:highlight w:val="none"/>
              </w:rPr>
            </w:pPr>
            <w:r>
              <w:rPr>
                <w:color w:val="auto"/>
                <w:highlight w:val="none"/>
              </w:rPr>
              <w:t>3</w:t>
            </w:r>
          </w:p>
        </w:tc>
        <w:tc>
          <w:tcPr>
            <w:tcW w:w="1200" w:type="dxa"/>
            <w:tcBorders>
              <w:right w:val="single" w:color="000000" w:sz="4" w:space="0"/>
            </w:tcBorders>
            <w:vAlign w:val="center"/>
          </w:tcPr>
          <w:p w14:paraId="5D26A7F8">
            <w:pPr>
              <w:spacing w:line="360" w:lineRule="exact"/>
              <w:jc w:val="center"/>
              <w:rPr>
                <w:color w:val="auto"/>
                <w:sz w:val="28"/>
                <w:highlight w:val="none"/>
              </w:rPr>
            </w:pPr>
          </w:p>
        </w:tc>
        <w:tc>
          <w:tcPr>
            <w:tcW w:w="567" w:type="dxa"/>
            <w:tcBorders>
              <w:right w:val="single" w:color="000000" w:sz="4" w:space="0"/>
            </w:tcBorders>
            <w:vAlign w:val="center"/>
          </w:tcPr>
          <w:p w14:paraId="6724AC5A">
            <w:pPr>
              <w:spacing w:line="360" w:lineRule="exact"/>
              <w:jc w:val="center"/>
              <w:rPr>
                <w:color w:val="auto"/>
                <w:sz w:val="28"/>
                <w:highlight w:val="none"/>
              </w:rPr>
            </w:pPr>
          </w:p>
        </w:tc>
        <w:tc>
          <w:tcPr>
            <w:tcW w:w="567" w:type="dxa"/>
            <w:tcBorders>
              <w:right w:val="single" w:color="000000" w:sz="4" w:space="0"/>
            </w:tcBorders>
            <w:vAlign w:val="center"/>
          </w:tcPr>
          <w:p w14:paraId="10C74374">
            <w:pPr>
              <w:spacing w:line="360" w:lineRule="exact"/>
              <w:jc w:val="center"/>
              <w:rPr>
                <w:color w:val="auto"/>
                <w:sz w:val="28"/>
                <w:highlight w:val="none"/>
              </w:rPr>
            </w:pPr>
          </w:p>
        </w:tc>
        <w:tc>
          <w:tcPr>
            <w:tcW w:w="1134" w:type="dxa"/>
            <w:tcBorders>
              <w:right w:val="single" w:color="000000" w:sz="4" w:space="0"/>
            </w:tcBorders>
            <w:vAlign w:val="center"/>
          </w:tcPr>
          <w:p w14:paraId="7ABA94A8">
            <w:pPr>
              <w:spacing w:line="360" w:lineRule="exact"/>
              <w:jc w:val="center"/>
              <w:rPr>
                <w:color w:val="auto"/>
                <w:sz w:val="28"/>
                <w:highlight w:val="none"/>
              </w:rPr>
            </w:pPr>
          </w:p>
        </w:tc>
        <w:tc>
          <w:tcPr>
            <w:tcW w:w="1912" w:type="dxa"/>
            <w:tcBorders>
              <w:right w:val="single" w:color="000000" w:sz="4" w:space="0"/>
            </w:tcBorders>
            <w:vAlign w:val="center"/>
          </w:tcPr>
          <w:p w14:paraId="4716E087">
            <w:pPr>
              <w:spacing w:line="360" w:lineRule="exact"/>
              <w:jc w:val="center"/>
              <w:rPr>
                <w:color w:val="auto"/>
                <w:sz w:val="28"/>
                <w:highlight w:val="none"/>
              </w:rPr>
            </w:pPr>
          </w:p>
        </w:tc>
        <w:tc>
          <w:tcPr>
            <w:tcW w:w="1559" w:type="dxa"/>
            <w:tcBorders>
              <w:right w:val="single" w:color="000000" w:sz="4" w:space="0"/>
            </w:tcBorders>
            <w:vAlign w:val="center"/>
          </w:tcPr>
          <w:p w14:paraId="40A79A84">
            <w:pPr>
              <w:spacing w:line="360" w:lineRule="exact"/>
              <w:jc w:val="center"/>
              <w:rPr>
                <w:color w:val="auto"/>
                <w:sz w:val="28"/>
                <w:highlight w:val="none"/>
              </w:rPr>
            </w:pPr>
          </w:p>
        </w:tc>
        <w:tc>
          <w:tcPr>
            <w:tcW w:w="567" w:type="dxa"/>
            <w:tcBorders>
              <w:right w:val="single" w:color="000000" w:sz="8" w:space="0"/>
            </w:tcBorders>
            <w:vAlign w:val="center"/>
          </w:tcPr>
          <w:p w14:paraId="3C4A1B95">
            <w:pPr>
              <w:spacing w:line="360" w:lineRule="exact"/>
              <w:jc w:val="center"/>
              <w:rPr>
                <w:color w:val="auto"/>
                <w:sz w:val="28"/>
                <w:highlight w:val="none"/>
              </w:rPr>
            </w:pPr>
          </w:p>
        </w:tc>
        <w:tc>
          <w:tcPr>
            <w:tcW w:w="1490" w:type="dxa"/>
            <w:tcBorders>
              <w:right w:val="single" w:color="000000" w:sz="8" w:space="0"/>
            </w:tcBorders>
          </w:tcPr>
          <w:p w14:paraId="0A20D79E">
            <w:pPr>
              <w:spacing w:line="360" w:lineRule="exact"/>
              <w:jc w:val="center"/>
              <w:rPr>
                <w:color w:val="auto"/>
                <w:sz w:val="28"/>
                <w:highlight w:val="none"/>
              </w:rPr>
            </w:pPr>
          </w:p>
        </w:tc>
      </w:tr>
      <w:tr w14:paraId="636A4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79" w:hRule="atLeast"/>
          <w:jc w:val="center"/>
        </w:trPr>
        <w:tc>
          <w:tcPr>
            <w:tcW w:w="480" w:type="dxa"/>
            <w:tcBorders>
              <w:left w:val="single" w:color="000000" w:sz="4" w:space="0"/>
              <w:right w:val="single" w:color="000000" w:sz="4" w:space="0"/>
            </w:tcBorders>
            <w:vAlign w:val="center"/>
          </w:tcPr>
          <w:p w14:paraId="6178C860">
            <w:pPr>
              <w:spacing w:line="360" w:lineRule="exact"/>
              <w:jc w:val="center"/>
              <w:rPr>
                <w:color w:val="auto"/>
                <w:highlight w:val="none"/>
              </w:rPr>
            </w:pPr>
            <w:r>
              <w:rPr>
                <w:rFonts w:hint="eastAsia"/>
                <w:color w:val="auto"/>
                <w:highlight w:val="none"/>
              </w:rPr>
              <w:t>……</w:t>
            </w:r>
          </w:p>
        </w:tc>
        <w:tc>
          <w:tcPr>
            <w:tcW w:w="1200" w:type="dxa"/>
            <w:tcBorders>
              <w:right w:val="single" w:color="000000" w:sz="4" w:space="0"/>
            </w:tcBorders>
            <w:vAlign w:val="center"/>
          </w:tcPr>
          <w:p w14:paraId="63456D0F">
            <w:pPr>
              <w:spacing w:line="360" w:lineRule="exact"/>
              <w:jc w:val="center"/>
              <w:rPr>
                <w:color w:val="auto"/>
                <w:sz w:val="28"/>
                <w:highlight w:val="none"/>
              </w:rPr>
            </w:pPr>
          </w:p>
        </w:tc>
        <w:tc>
          <w:tcPr>
            <w:tcW w:w="567" w:type="dxa"/>
            <w:tcBorders>
              <w:right w:val="single" w:color="000000" w:sz="4" w:space="0"/>
            </w:tcBorders>
            <w:vAlign w:val="center"/>
          </w:tcPr>
          <w:p w14:paraId="1FBABC45">
            <w:pPr>
              <w:spacing w:line="360" w:lineRule="exact"/>
              <w:jc w:val="center"/>
              <w:rPr>
                <w:color w:val="auto"/>
                <w:sz w:val="28"/>
                <w:highlight w:val="none"/>
              </w:rPr>
            </w:pPr>
          </w:p>
        </w:tc>
        <w:tc>
          <w:tcPr>
            <w:tcW w:w="567" w:type="dxa"/>
            <w:tcBorders>
              <w:right w:val="single" w:color="000000" w:sz="4" w:space="0"/>
            </w:tcBorders>
            <w:vAlign w:val="center"/>
          </w:tcPr>
          <w:p w14:paraId="215DFCAE">
            <w:pPr>
              <w:spacing w:line="360" w:lineRule="exact"/>
              <w:jc w:val="center"/>
              <w:rPr>
                <w:color w:val="auto"/>
                <w:sz w:val="28"/>
                <w:highlight w:val="none"/>
              </w:rPr>
            </w:pPr>
          </w:p>
        </w:tc>
        <w:tc>
          <w:tcPr>
            <w:tcW w:w="1134" w:type="dxa"/>
            <w:tcBorders>
              <w:right w:val="single" w:color="000000" w:sz="4" w:space="0"/>
            </w:tcBorders>
            <w:vAlign w:val="center"/>
          </w:tcPr>
          <w:p w14:paraId="7835B3A8">
            <w:pPr>
              <w:spacing w:line="360" w:lineRule="exact"/>
              <w:jc w:val="center"/>
              <w:rPr>
                <w:color w:val="auto"/>
                <w:sz w:val="28"/>
                <w:highlight w:val="none"/>
              </w:rPr>
            </w:pPr>
          </w:p>
        </w:tc>
        <w:tc>
          <w:tcPr>
            <w:tcW w:w="1912" w:type="dxa"/>
            <w:tcBorders>
              <w:right w:val="single" w:color="000000" w:sz="4" w:space="0"/>
            </w:tcBorders>
            <w:vAlign w:val="center"/>
          </w:tcPr>
          <w:p w14:paraId="316F3D25">
            <w:pPr>
              <w:spacing w:line="360" w:lineRule="exact"/>
              <w:jc w:val="center"/>
              <w:rPr>
                <w:color w:val="auto"/>
                <w:sz w:val="28"/>
                <w:highlight w:val="none"/>
              </w:rPr>
            </w:pPr>
          </w:p>
        </w:tc>
        <w:tc>
          <w:tcPr>
            <w:tcW w:w="1559" w:type="dxa"/>
            <w:tcBorders>
              <w:right w:val="single" w:color="000000" w:sz="4" w:space="0"/>
            </w:tcBorders>
            <w:vAlign w:val="center"/>
          </w:tcPr>
          <w:p w14:paraId="3A78FB3C">
            <w:pPr>
              <w:spacing w:line="360" w:lineRule="exact"/>
              <w:jc w:val="center"/>
              <w:rPr>
                <w:color w:val="auto"/>
                <w:sz w:val="28"/>
                <w:highlight w:val="none"/>
              </w:rPr>
            </w:pPr>
          </w:p>
        </w:tc>
        <w:tc>
          <w:tcPr>
            <w:tcW w:w="567" w:type="dxa"/>
            <w:tcBorders>
              <w:right w:val="single" w:color="000000" w:sz="8" w:space="0"/>
            </w:tcBorders>
            <w:vAlign w:val="center"/>
          </w:tcPr>
          <w:p w14:paraId="4CAE0BA5">
            <w:pPr>
              <w:spacing w:line="360" w:lineRule="exact"/>
              <w:jc w:val="center"/>
              <w:rPr>
                <w:color w:val="auto"/>
                <w:sz w:val="28"/>
                <w:highlight w:val="none"/>
              </w:rPr>
            </w:pPr>
          </w:p>
        </w:tc>
        <w:tc>
          <w:tcPr>
            <w:tcW w:w="1490" w:type="dxa"/>
            <w:tcBorders>
              <w:right w:val="single" w:color="000000" w:sz="8" w:space="0"/>
            </w:tcBorders>
          </w:tcPr>
          <w:p w14:paraId="47E133C1">
            <w:pPr>
              <w:spacing w:line="360" w:lineRule="exact"/>
              <w:jc w:val="center"/>
              <w:rPr>
                <w:color w:val="auto"/>
                <w:sz w:val="28"/>
                <w:highlight w:val="none"/>
              </w:rPr>
            </w:pPr>
          </w:p>
        </w:tc>
      </w:tr>
    </w:tbl>
    <w:p w14:paraId="20B1AD7F">
      <w:pPr>
        <w:spacing w:line="240" w:lineRule="auto"/>
        <w:rPr>
          <w:rFonts w:ascii="宋体" w:hAnsi="宋体" w:cs="宋体"/>
          <w:color w:val="auto"/>
          <w:highlight w:val="none"/>
        </w:rPr>
      </w:pPr>
      <w:r>
        <w:rPr>
          <w:rFonts w:hint="eastAsia"/>
          <w:color w:val="auto"/>
          <w:sz w:val="24"/>
          <w:highlight w:val="none"/>
        </w:rPr>
        <w:t>　</w:t>
      </w:r>
      <w:r>
        <w:rPr>
          <w:rFonts w:hint="eastAsia"/>
          <w:color w:val="auto"/>
          <w:highlight w:val="none"/>
        </w:rPr>
        <w:t>注：</w:t>
      </w:r>
      <w:r>
        <w:rPr>
          <w:rFonts w:hint="eastAsia" w:ascii="宋体" w:hAnsi="宋体" w:cs="宋体"/>
          <w:color w:val="auto"/>
          <w:highlight w:val="none"/>
        </w:rPr>
        <w:t>1、投标人应详细填写投标产品具体技术参数。包括产品的品牌、规格、型号、产地等技术参数。</w:t>
      </w:r>
    </w:p>
    <w:p w14:paraId="54479F60">
      <w:pPr>
        <w:widowControl w:val="0"/>
        <w:tabs>
          <w:tab w:val="left" w:pos="9365"/>
        </w:tabs>
        <w:snapToGrid w:val="0"/>
        <w:spacing w:after="56" w:line="360" w:lineRule="exact"/>
        <w:ind w:right="85" w:firstLine="601"/>
        <w:textAlignment w:val="top"/>
        <w:rPr>
          <w:rFonts w:ascii="宋体" w:hAnsi="宋体" w:cs="宋体"/>
          <w:color w:val="auto"/>
          <w:highlight w:val="none"/>
        </w:rPr>
      </w:pPr>
      <w:r>
        <w:rPr>
          <w:rFonts w:hint="eastAsia" w:ascii="宋体" w:hAnsi="宋体" w:cs="宋体"/>
          <w:color w:val="auto"/>
          <w:highlight w:val="none"/>
        </w:rPr>
        <w:t>2、如采购产品属于政府强制采购品目清单的，投标人须在本表对应栏中标明 “为节能产品，节能产品认证证书后附”，认证证书应当为国家确定的认证机构出具、且应处于有效期之内。不符合的、按谈判文件规定为无效投标。</w:t>
      </w:r>
    </w:p>
    <w:p w14:paraId="03C2B791">
      <w:pPr>
        <w:widowControl w:val="0"/>
        <w:tabs>
          <w:tab w:val="left" w:pos="9365"/>
        </w:tabs>
        <w:snapToGrid w:val="0"/>
        <w:spacing w:after="56" w:line="360" w:lineRule="exact"/>
        <w:ind w:right="85" w:firstLine="601"/>
        <w:textAlignment w:val="top"/>
        <w:rPr>
          <w:rFonts w:ascii="宋体" w:hAnsi="宋体" w:cs="宋体"/>
          <w:color w:val="auto"/>
          <w:highlight w:val="none"/>
        </w:rPr>
      </w:pPr>
      <w:r>
        <w:rPr>
          <w:rFonts w:hint="eastAsia" w:ascii="宋体" w:hAnsi="宋体" w:cs="宋体"/>
          <w:color w:val="auto"/>
          <w:highlight w:val="none"/>
        </w:rPr>
        <w:t>3、如采购产品不属于政府强制采购品目清单的，投标人自主填列。</w:t>
      </w:r>
    </w:p>
    <w:p w14:paraId="13962CA2">
      <w:pPr>
        <w:autoSpaceDE w:val="0"/>
        <w:autoSpaceDN w:val="0"/>
        <w:adjustRightInd w:val="0"/>
        <w:spacing w:line="360" w:lineRule="auto"/>
        <w:jc w:val="center"/>
        <w:rPr>
          <w:color w:val="auto"/>
          <w:sz w:val="28"/>
          <w:highlight w:val="none"/>
        </w:rPr>
      </w:pPr>
    </w:p>
    <w:p w14:paraId="166922F0">
      <w:pPr>
        <w:widowControl w:val="0"/>
        <w:tabs>
          <w:tab w:val="left" w:pos="9365"/>
        </w:tabs>
        <w:snapToGrid w:val="0"/>
        <w:spacing w:after="56" w:line="560" w:lineRule="exact"/>
        <w:ind w:right="85"/>
        <w:jc w:val="left"/>
        <w:textAlignment w:val="top"/>
        <w:rPr>
          <w:color w:val="auto"/>
          <w:sz w:val="24"/>
          <w:szCs w:val="24"/>
          <w:highlight w:val="none"/>
        </w:rPr>
      </w:pPr>
      <w:r>
        <w:rPr>
          <w:rFonts w:hint="eastAsia"/>
          <w:color w:val="auto"/>
          <w:sz w:val="24"/>
          <w:szCs w:val="24"/>
          <w:highlight w:val="none"/>
        </w:rPr>
        <w:t>投标人（电子签</w:t>
      </w:r>
      <w:r>
        <w:rPr>
          <w:rFonts w:hint="eastAsia" w:ascii="宋体" w:hAnsi="宋体"/>
          <w:color w:val="auto"/>
          <w:sz w:val="24"/>
          <w:szCs w:val="24"/>
          <w:highlight w:val="none"/>
        </w:rPr>
        <w:t>章</w:t>
      </w:r>
      <w:r>
        <w:rPr>
          <w:rFonts w:hint="eastAsia"/>
          <w:color w:val="auto"/>
          <w:sz w:val="24"/>
          <w:szCs w:val="24"/>
          <w:highlight w:val="none"/>
        </w:rPr>
        <w:t>）：</w:t>
      </w:r>
    </w:p>
    <w:p w14:paraId="1D4DB63F">
      <w:pPr>
        <w:widowControl w:val="0"/>
        <w:tabs>
          <w:tab w:val="left" w:pos="9365"/>
        </w:tabs>
        <w:snapToGrid w:val="0"/>
        <w:spacing w:after="56" w:line="560" w:lineRule="exact"/>
        <w:ind w:right="85"/>
        <w:jc w:val="left"/>
        <w:textAlignment w:val="top"/>
        <w:rPr>
          <w:color w:val="auto"/>
          <w:sz w:val="24"/>
          <w:szCs w:val="24"/>
          <w:highlight w:val="none"/>
        </w:rPr>
      </w:pPr>
      <w:r>
        <w:rPr>
          <w:rFonts w:hint="eastAsia"/>
          <w:color w:val="auto"/>
          <w:sz w:val="24"/>
          <w:szCs w:val="24"/>
          <w:highlight w:val="none"/>
        </w:rPr>
        <w:t>法定代表人（电子签名或签章）：</w:t>
      </w:r>
    </w:p>
    <w:p w14:paraId="1A1AA094">
      <w:pPr>
        <w:widowControl w:val="0"/>
        <w:tabs>
          <w:tab w:val="left" w:pos="9365"/>
        </w:tabs>
        <w:snapToGrid w:val="0"/>
        <w:spacing w:after="56" w:line="560" w:lineRule="exact"/>
        <w:ind w:right="56"/>
        <w:jc w:val="left"/>
        <w:textAlignment w:val="top"/>
        <w:rPr>
          <w:color w:val="auto"/>
          <w:highlight w:val="none"/>
        </w:rPr>
      </w:pPr>
      <w:r>
        <w:rPr>
          <w:rFonts w:hint="eastAsia" w:ascii="宋体" w:hAnsi="宋体" w:cs="楷体_GB2312"/>
          <w:color w:val="auto"/>
          <w:sz w:val="24"/>
          <w:highlight w:val="none"/>
          <w:lang w:val="zh-CN"/>
        </w:rPr>
        <w:t>日期：年月日</w:t>
      </w:r>
    </w:p>
    <w:p w14:paraId="7C630F18">
      <w:pPr>
        <w:widowControl w:val="0"/>
        <w:snapToGrid w:val="0"/>
        <w:spacing w:line="560" w:lineRule="exact"/>
        <w:jc w:val="center"/>
        <w:rPr>
          <w:rFonts w:eastAsia="方正黑体简体"/>
          <w:b/>
          <w:color w:val="auto"/>
          <w:sz w:val="30"/>
          <w:szCs w:val="30"/>
          <w:highlight w:val="none"/>
        </w:rPr>
      </w:pPr>
      <w:r>
        <w:rPr>
          <w:rFonts w:eastAsia="方正黑体简体"/>
          <w:b/>
          <w:color w:val="auto"/>
          <w:sz w:val="30"/>
          <w:szCs w:val="30"/>
          <w:highlight w:val="none"/>
        </w:rPr>
        <w:br w:type="page"/>
      </w:r>
      <w:bookmarkStart w:id="64" w:name="OLE_LINK22"/>
    </w:p>
    <w:p w14:paraId="76928774">
      <w:pPr>
        <w:widowControl w:val="0"/>
        <w:snapToGrid w:val="0"/>
        <w:spacing w:line="560" w:lineRule="exact"/>
        <w:jc w:val="center"/>
        <w:rPr>
          <w:rFonts w:ascii="黑体" w:hAnsi="黑体" w:eastAsia="黑体"/>
          <w:color w:val="auto"/>
          <w:sz w:val="30"/>
          <w:szCs w:val="30"/>
          <w:highlight w:val="none"/>
        </w:rPr>
      </w:pPr>
      <w:r>
        <w:rPr>
          <w:rFonts w:hint="eastAsia" w:ascii="黑体" w:hAnsi="黑体" w:eastAsia="黑体"/>
          <w:b/>
          <w:color w:val="auto"/>
          <w:sz w:val="30"/>
          <w:szCs w:val="30"/>
          <w:highlight w:val="none"/>
        </w:rPr>
        <w:t>五、技术偏差表</w:t>
      </w:r>
      <w:bookmarkEnd w:id="64"/>
    </w:p>
    <w:p w14:paraId="124854CA">
      <w:pPr>
        <w:pStyle w:val="15"/>
        <w:adjustRightInd w:val="0"/>
        <w:snapToGrid w:val="0"/>
        <w:spacing w:before="0" w:beforeAutospacing="0" w:after="0" w:afterAutospacing="0"/>
        <w:rPr>
          <w:color w:val="auto"/>
          <w:highlight w:val="none"/>
          <w:u w:val="single"/>
        </w:rPr>
      </w:pPr>
      <w:r>
        <w:rPr>
          <w:rFonts w:hint="eastAsia"/>
          <w:color w:val="auto"/>
          <w:highlight w:val="none"/>
        </w:rPr>
        <w:t>项目名称：</w:t>
      </w:r>
    </w:p>
    <w:p w14:paraId="183E2139">
      <w:pPr>
        <w:pStyle w:val="15"/>
        <w:adjustRightInd w:val="0"/>
        <w:snapToGrid w:val="0"/>
        <w:spacing w:before="0" w:beforeAutospacing="0" w:after="0" w:afterAutospacing="0"/>
        <w:rPr>
          <w:color w:val="auto"/>
          <w:highlight w:val="none"/>
        </w:rPr>
      </w:pPr>
      <w:r>
        <w:rPr>
          <w:rFonts w:hint="eastAsia"/>
          <w:color w:val="auto"/>
          <w:highlight w:val="none"/>
        </w:rPr>
        <w:t xml:space="preserve">项目编号：    </w:t>
      </w:r>
    </w:p>
    <w:tbl>
      <w:tblPr>
        <w:tblStyle w:val="16"/>
        <w:tblW w:w="9468"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48"/>
        <w:gridCol w:w="1644"/>
        <w:gridCol w:w="2180"/>
        <w:gridCol w:w="2077"/>
        <w:gridCol w:w="1859"/>
        <w:gridCol w:w="1260"/>
      </w:tblGrid>
      <w:tr w14:paraId="27911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448" w:type="dxa"/>
            <w:tcBorders>
              <w:top w:val="single" w:color="000000" w:sz="8" w:space="0"/>
              <w:left w:val="single" w:color="000000" w:sz="8" w:space="0"/>
              <w:bottom w:val="single" w:color="000000" w:sz="4" w:space="0"/>
              <w:right w:val="single" w:color="000000" w:sz="4" w:space="0"/>
            </w:tcBorders>
            <w:vAlign w:val="center"/>
          </w:tcPr>
          <w:p w14:paraId="3520C0E4">
            <w:pPr>
              <w:spacing w:line="560" w:lineRule="exact"/>
              <w:jc w:val="center"/>
              <w:rPr>
                <w:b/>
                <w:color w:val="auto"/>
                <w:sz w:val="28"/>
                <w:highlight w:val="none"/>
              </w:rPr>
            </w:pPr>
            <w:r>
              <w:rPr>
                <w:rFonts w:hint="eastAsia"/>
                <w:b/>
                <w:color w:val="auto"/>
                <w:highlight w:val="none"/>
              </w:rPr>
              <w:t>序号</w:t>
            </w:r>
          </w:p>
        </w:tc>
        <w:tc>
          <w:tcPr>
            <w:tcW w:w="1644" w:type="dxa"/>
            <w:tcBorders>
              <w:top w:val="single" w:color="000000" w:sz="8" w:space="0"/>
              <w:bottom w:val="single" w:color="000000" w:sz="4" w:space="0"/>
              <w:right w:val="single" w:color="000000" w:sz="4" w:space="0"/>
            </w:tcBorders>
            <w:vAlign w:val="center"/>
          </w:tcPr>
          <w:p w14:paraId="2FC497A5">
            <w:pPr>
              <w:spacing w:line="560" w:lineRule="exact"/>
              <w:jc w:val="center"/>
              <w:rPr>
                <w:b/>
                <w:color w:val="auto"/>
                <w:sz w:val="28"/>
                <w:highlight w:val="none"/>
              </w:rPr>
            </w:pPr>
            <w:r>
              <w:rPr>
                <w:rFonts w:hint="eastAsia"/>
                <w:b/>
                <w:color w:val="auto"/>
                <w:highlight w:val="none"/>
              </w:rPr>
              <w:t>产品名称</w:t>
            </w:r>
          </w:p>
        </w:tc>
        <w:tc>
          <w:tcPr>
            <w:tcW w:w="2180" w:type="dxa"/>
            <w:tcBorders>
              <w:top w:val="single" w:color="000000" w:sz="8" w:space="0"/>
              <w:bottom w:val="single" w:color="000000" w:sz="4" w:space="0"/>
              <w:right w:val="single" w:color="000000" w:sz="4" w:space="0"/>
            </w:tcBorders>
            <w:vAlign w:val="center"/>
          </w:tcPr>
          <w:p w14:paraId="0AEA5DBA">
            <w:pPr>
              <w:spacing w:line="560" w:lineRule="exact"/>
              <w:jc w:val="center"/>
              <w:rPr>
                <w:b/>
                <w:color w:val="auto"/>
                <w:sz w:val="28"/>
                <w:highlight w:val="none"/>
              </w:rPr>
            </w:pPr>
            <w:r>
              <w:rPr>
                <w:rFonts w:hint="eastAsia"/>
                <w:b/>
                <w:color w:val="auto"/>
                <w:highlight w:val="none"/>
              </w:rPr>
              <w:t>《谈判文件》要求</w:t>
            </w:r>
          </w:p>
        </w:tc>
        <w:tc>
          <w:tcPr>
            <w:tcW w:w="2077" w:type="dxa"/>
            <w:tcBorders>
              <w:top w:val="single" w:color="000000" w:sz="8" w:space="0"/>
              <w:bottom w:val="single" w:color="000000" w:sz="4" w:space="0"/>
              <w:right w:val="single" w:color="000000" w:sz="4" w:space="0"/>
            </w:tcBorders>
            <w:vAlign w:val="center"/>
          </w:tcPr>
          <w:p w14:paraId="1F5C1A79">
            <w:pPr>
              <w:spacing w:line="560" w:lineRule="exact"/>
              <w:jc w:val="center"/>
              <w:rPr>
                <w:b/>
                <w:color w:val="auto"/>
                <w:sz w:val="28"/>
                <w:highlight w:val="none"/>
              </w:rPr>
            </w:pPr>
            <w:r>
              <w:rPr>
                <w:rFonts w:hint="eastAsia"/>
                <w:b/>
                <w:color w:val="auto"/>
                <w:highlight w:val="none"/>
              </w:rPr>
              <w:t>投标产品参数</w:t>
            </w:r>
          </w:p>
        </w:tc>
        <w:tc>
          <w:tcPr>
            <w:tcW w:w="1859" w:type="dxa"/>
            <w:tcBorders>
              <w:top w:val="single" w:color="000000" w:sz="8" w:space="0"/>
              <w:bottom w:val="single" w:color="000000" w:sz="4" w:space="0"/>
              <w:right w:val="single" w:color="000000" w:sz="8" w:space="0"/>
            </w:tcBorders>
            <w:vAlign w:val="center"/>
          </w:tcPr>
          <w:p w14:paraId="66DA7577">
            <w:pPr>
              <w:spacing w:line="560" w:lineRule="exact"/>
              <w:jc w:val="center"/>
              <w:rPr>
                <w:b/>
                <w:color w:val="auto"/>
                <w:sz w:val="28"/>
                <w:highlight w:val="none"/>
              </w:rPr>
            </w:pPr>
            <w:r>
              <w:rPr>
                <w:rFonts w:hint="eastAsia"/>
                <w:b/>
                <w:color w:val="auto"/>
                <w:highlight w:val="none"/>
              </w:rPr>
              <w:t>偏差描述</w:t>
            </w:r>
          </w:p>
        </w:tc>
        <w:tc>
          <w:tcPr>
            <w:tcW w:w="1260" w:type="dxa"/>
            <w:tcBorders>
              <w:top w:val="single" w:color="000000" w:sz="8" w:space="0"/>
              <w:bottom w:val="single" w:color="000000" w:sz="4" w:space="0"/>
              <w:right w:val="single" w:color="000000" w:sz="8" w:space="0"/>
            </w:tcBorders>
          </w:tcPr>
          <w:p w14:paraId="72902C87">
            <w:pPr>
              <w:spacing w:line="240" w:lineRule="auto"/>
              <w:jc w:val="center"/>
              <w:rPr>
                <w:b/>
                <w:color w:val="auto"/>
                <w:highlight w:val="none"/>
              </w:rPr>
            </w:pPr>
            <w:r>
              <w:rPr>
                <w:rFonts w:hint="eastAsia"/>
                <w:b/>
                <w:color w:val="auto"/>
                <w:highlight w:val="none"/>
              </w:rPr>
              <w:t>所对应的产品证明材料的页码</w:t>
            </w:r>
          </w:p>
        </w:tc>
      </w:tr>
      <w:tr w14:paraId="49F28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448" w:type="dxa"/>
            <w:tcBorders>
              <w:left w:val="single" w:color="000000" w:sz="8" w:space="0"/>
              <w:bottom w:val="single" w:color="000000" w:sz="4" w:space="0"/>
              <w:right w:val="single" w:color="000000" w:sz="4" w:space="0"/>
            </w:tcBorders>
            <w:vAlign w:val="center"/>
          </w:tcPr>
          <w:p w14:paraId="413B2487">
            <w:pPr>
              <w:spacing w:line="560" w:lineRule="exact"/>
              <w:jc w:val="center"/>
              <w:rPr>
                <w:color w:val="auto"/>
                <w:sz w:val="28"/>
                <w:highlight w:val="none"/>
              </w:rPr>
            </w:pPr>
            <w:r>
              <w:rPr>
                <w:color w:val="auto"/>
                <w:highlight w:val="none"/>
              </w:rPr>
              <w:t>1</w:t>
            </w:r>
          </w:p>
        </w:tc>
        <w:tc>
          <w:tcPr>
            <w:tcW w:w="1644" w:type="dxa"/>
            <w:tcBorders>
              <w:bottom w:val="single" w:color="000000" w:sz="4" w:space="0"/>
              <w:right w:val="single" w:color="000000" w:sz="4" w:space="0"/>
            </w:tcBorders>
            <w:vAlign w:val="center"/>
          </w:tcPr>
          <w:p w14:paraId="031E3D74">
            <w:pPr>
              <w:spacing w:line="560" w:lineRule="exact"/>
              <w:jc w:val="center"/>
              <w:rPr>
                <w:color w:val="auto"/>
                <w:sz w:val="28"/>
                <w:highlight w:val="none"/>
              </w:rPr>
            </w:pPr>
          </w:p>
        </w:tc>
        <w:tc>
          <w:tcPr>
            <w:tcW w:w="2180" w:type="dxa"/>
            <w:tcBorders>
              <w:bottom w:val="single" w:color="000000" w:sz="4" w:space="0"/>
              <w:right w:val="single" w:color="000000" w:sz="4" w:space="0"/>
            </w:tcBorders>
            <w:vAlign w:val="center"/>
          </w:tcPr>
          <w:p w14:paraId="1DEF4E22">
            <w:pPr>
              <w:spacing w:line="560" w:lineRule="exact"/>
              <w:jc w:val="center"/>
              <w:rPr>
                <w:color w:val="auto"/>
                <w:sz w:val="28"/>
                <w:highlight w:val="none"/>
              </w:rPr>
            </w:pPr>
          </w:p>
        </w:tc>
        <w:tc>
          <w:tcPr>
            <w:tcW w:w="2077" w:type="dxa"/>
            <w:tcBorders>
              <w:bottom w:val="single" w:color="000000" w:sz="4" w:space="0"/>
              <w:right w:val="single" w:color="000000" w:sz="4" w:space="0"/>
            </w:tcBorders>
            <w:vAlign w:val="center"/>
          </w:tcPr>
          <w:p w14:paraId="3E1E5E59">
            <w:pPr>
              <w:spacing w:line="560" w:lineRule="exact"/>
              <w:jc w:val="center"/>
              <w:rPr>
                <w:color w:val="auto"/>
                <w:sz w:val="28"/>
                <w:highlight w:val="none"/>
              </w:rPr>
            </w:pPr>
          </w:p>
        </w:tc>
        <w:tc>
          <w:tcPr>
            <w:tcW w:w="1859" w:type="dxa"/>
            <w:tcBorders>
              <w:bottom w:val="single" w:color="000000" w:sz="4" w:space="0"/>
              <w:right w:val="single" w:color="000000" w:sz="8" w:space="0"/>
            </w:tcBorders>
            <w:vAlign w:val="center"/>
          </w:tcPr>
          <w:p w14:paraId="4DAD5A76">
            <w:pPr>
              <w:spacing w:line="560" w:lineRule="exact"/>
              <w:jc w:val="center"/>
              <w:rPr>
                <w:color w:val="auto"/>
                <w:sz w:val="28"/>
                <w:highlight w:val="none"/>
              </w:rPr>
            </w:pPr>
          </w:p>
        </w:tc>
        <w:tc>
          <w:tcPr>
            <w:tcW w:w="1260" w:type="dxa"/>
            <w:tcBorders>
              <w:bottom w:val="single" w:color="000000" w:sz="4" w:space="0"/>
              <w:right w:val="single" w:color="000000" w:sz="8" w:space="0"/>
            </w:tcBorders>
          </w:tcPr>
          <w:p w14:paraId="35F34AB2">
            <w:pPr>
              <w:spacing w:line="560" w:lineRule="exact"/>
              <w:jc w:val="center"/>
              <w:rPr>
                <w:color w:val="auto"/>
                <w:sz w:val="28"/>
                <w:highlight w:val="none"/>
              </w:rPr>
            </w:pPr>
          </w:p>
        </w:tc>
      </w:tr>
      <w:tr w14:paraId="2316F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448" w:type="dxa"/>
            <w:tcBorders>
              <w:left w:val="single" w:color="000000" w:sz="8" w:space="0"/>
              <w:bottom w:val="single" w:color="000000" w:sz="4" w:space="0"/>
              <w:right w:val="single" w:color="000000" w:sz="4" w:space="0"/>
            </w:tcBorders>
            <w:vAlign w:val="center"/>
          </w:tcPr>
          <w:p w14:paraId="50EABC57">
            <w:pPr>
              <w:spacing w:line="560" w:lineRule="exact"/>
              <w:jc w:val="center"/>
              <w:rPr>
                <w:color w:val="auto"/>
                <w:sz w:val="28"/>
                <w:highlight w:val="none"/>
              </w:rPr>
            </w:pPr>
            <w:r>
              <w:rPr>
                <w:color w:val="auto"/>
                <w:highlight w:val="none"/>
              </w:rPr>
              <w:t>2</w:t>
            </w:r>
          </w:p>
        </w:tc>
        <w:tc>
          <w:tcPr>
            <w:tcW w:w="1644" w:type="dxa"/>
            <w:tcBorders>
              <w:bottom w:val="single" w:color="000000" w:sz="4" w:space="0"/>
              <w:right w:val="single" w:color="000000" w:sz="4" w:space="0"/>
            </w:tcBorders>
            <w:vAlign w:val="center"/>
          </w:tcPr>
          <w:p w14:paraId="6E5906EC">
            <w:pPr>
              <w:spacing w:line="560" w:lineRule="exact"/>
              <w:jc w:val="center"/>
              <w:rPr>
                <w:color w:val="auto"/>
                <w:sz w:val="28"/>
                <w:highlight w:val="none"/>
              </w:rPr>
            </w:pPr>
          </w:p>
        </w:tc>
        <w:tc>
          <w:tcPr>
            <w:tcW w:w="2180" w:type="dxa"/>
            <w:tcBorders>
              <w:bottom w:val="single" w:color="000000" w:sz="4" w:space="0"/>
              <w:right w:val="single" w:color="000000" w:sz="4" w:space="0"/>
            </w:tcBorders>
            <w:vAlign w:val="center"/>
          </w:tcPr>
          <w:p w14:paraId="0F3C138E">
            <w:pPr>
              <w:spacing w:line="560" w:lineRule="exact"/>
              <w:jc w:val="center"/>
              <w:rPr>
                <w:color w:val="auto"/>
                <w:sz w:val="28"/>
                <w:highlight w:val="none"/>
              </w:rPr>
            </w:pPr>
          </w:p>
        </w:tc>
        <w:tc>
          <w:tcPr>
            <w:tcW w:w="2077" w:type="dxa"/>
            <w:tcBorders>
              <w:bottom w:val="single" w:color="000000" w:sz="4" w:space="0"/>
              <w:right w:val="single" w:color="000000" w:sz="4" w:space="0"/>
            </w:tcBorders>
            <w:vAlign w:val="center"/>
          </w:tcPr>
          <w:p w14:paraId="2DDAD479">
            <w:pPr>
              <w:spacing w:line="560" w:lineRule="exact"/>
              <w:jc w:val="center"/>
              <w:rPr>
                <w:color w:val="auto"/>
                <w:sz w:val="28"/>
                <w:highlight w:val="none"/>
              </w:rPr>
            </w:pPr>
          </w:p>
        </w:tc>
        <w:tc>
          <w:tcPr>
            <w:tcW w:w="1859" w:type="dxa"/>
            <w:tcBorders>
              <w:bottom w:val="single" w:color="000000" w:sz="4" w:space="0"/>
              <w:right w:val="single" w:color="000000" w:sz="8" w:space="0"/>
            </w:tcBorders>
            <w:vAlign w:val="center"/>
          </w:tcPr>
          <w:p w14:paraId="081ACD5D">
            <w:pPr>
              <w:spacing w:line="560" w:lineRule="exact"/>
              <w:jc w:val="center"/>
              <w:rPr>
                <w:color w:val="auto"/>
                <w:sz w:val="28"/>
                <w:highlight w:val="none"/>
              </w:rPr>
            </w:pPr>
          </w:p>
        </w:tc>
        <w:tc>
          <w:tcPr>
            <w:tcW w:w="1260" w:type="dxa"/>
            <w:tcBorders>
              <w:bottom w:val="single" w:color="000000" w:sz="4" w:space="0"/>
              <w:right w:val="single" w:color="000000" w:sz="8" w:space="0"/>
            </w:tcBorders>
          </w:tcPr>
          <w:p w14:paraId="4336BD9C">
            <w:pPr>
              <w:spacing w:line="560" w:lineRule="exact"/>
              <w:jc w:val="center"/>
              <w:rPr>
                <w:color w:val="auto"/>
                <w:sz w:val="28"/>
                <w:highlight w:val="none"/>
              </w:rPr>
            </w:pPr>
          </w:p>
        </w:tc>
      </w:tr>
      <w:tr w14:paraId="196A0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448" w:type="dxa"/>
            <w:tcBorders>
              <w:left w:val="single" w:color="000000" w:sz="8" w:space="0"/>
              <w:bottom w:val="single" w:color="000000" w:sz="4" w:space="0"/>
              <w:right w:val="single" w:color="000000" w:sz="4" w:space="0"/>
            </w:tcBorders>
            <w:vAlign w:val="center"/>
          </w:tcPr>
          <w:p w14:paraId="19E229DD">
            <w:pPr>
              <w:spacing w:line="560" w:lineRule="exact"/>
              <w:jc w:val="center"/>
              <w:rPr>
                <w:color w:val="auto"/>
                <w:sz w:val="28"/>
                <w:highlight w:val="none"/>
              </w:rPr>
            </w:pPr>
            <w:r>
              <w:rPr>
                <w:color w:val="auto"/>
                <w:highlight w:val="none"/>
              </w:rPr>
              <w:t>3</w:t>
            </w:r>
          </w:p>
        </w:tc>
        <w:tc>
          <w:tcPr>
            <w:tcW w:w="1644" w:type="dxa"/>
            <w:tcBorders>
              <w:bottom w:val="single" w:color="000000" w:sz="4" w:space="0"/>
              <w:right w:val="single" w:color="000000" w:sz="4" w:space="0"/>
            </w:tcBorders>
            <w:vAlign w:val="center"/>
          </w:tcPr>
          <w:p w14:paraId="5AE5E939">
            <w:pPr>
              <w:spacing w:line="560" w:lineRule="exact"/>
              <w:jc w:val="center"/>
              <w:rPr>
                <w:color w:val="auto"/>
                <w:sz w:val="28"/>
                <w:highlight w:val="none"/>
              </w:rPr>
            </w:pPr>
          </w:p>
        </w:tc>
        <w:tc>
          <w:tcPr>
            <w:tcW w:w="2180" w:type="dxa"/>
            <w:tcBorders>
              <w:bottom w:val="single" w:color="000000" w:sz="4" w:space="0"/>
              <w:right w:val="single" w:color="000000" w:sz="4" w:space="0"/>
            </w:tcBorders>
            <w:vAlign w:val="center"/>
          </w:tcPr>
          <w:p w14:paraId="013B8E9D">
            <w:pPr>
              <w:spacing w:line="560" w:lineRule="exact"/>
              <w:jc w:val="center"/>
              <w:rPr>
                <w:color w:val="auto"/>
                <w:sz w:val="28"/>
                <w:highlight w:val="none"/>
              </w:rPr>
            </w:pPr>
          </w:p>
        </w:tc>
        <w:tc>
          <w:tcPr>
            <w:tcW w:w="2077" w:type="dxa"/>
            <w:tcBorders>
              <w:bottom w:val="single" w:color="000000" w:sz="4" w:space="0"/>
              <w:right w:val="single" w:color="000000" w:sz="4" w:space="0"/>
            </w:tcBorders>
            <w:vAlign w:val="center"/>
          </w:tcPr>
          <w:p w14:paraId="60AFF873">
            <w:pPr>
              <w:spacing w:line="560" w:lineRule="exact"/>
              <w:jc w:val="center"/>
              <w:rPr>
                <w:color w:val="auto"/>
                <w:sz w:val="28"/>
                <w:highlight w:val="none"/>
              </w:rPr>
            </w:pPr>
          </w:p>
        </w:tc>
        <w:tc>
          <w:tcPr>
            <w:tcW w:w="1859" w:type="dxa"/>
            <w:tcBorders>
              <w:bottom w:val="single" w:color="000000" w:sz="4" w:space="0"/>
              <w:right w:val="single" w:color="000000" w:sz="8" w:space="0"/>
            </w:tcBorders>
            <w:vAlign w:val="center"/>
          </w:tcPr>
          <w:p w14:paraId="7D5EB5BB">
            <w:pPr>
              <w:spacing w:line="560" w:lineRule="exact"/>
              <w:jc w:val="center"/>
              <w:rPr>
                <w:color w:val="auto"/>
                <w:sz w:val="28"/>
                <w:highlight w:val="none"/>
              </w:rPr>
            </w:pPr>
          </w:p>
        </w:tc>
        <w:tc>
          <w:tcPr>
            <w:tcW w:w="1260" w:type="dxa"/>
            <w:tcBorders>
              <w:bottom w:val="single" w:color="000000" w:sz="4" w:space="0"/>
              <w:right w:val="single" w:color="000000" w:sz="8" w:space="0"/>
            </w:tcBorders>
          </w:tcPr>
          <w:p w14:paraId="2D2E3BA4">
            <w:pPr>
              <w:spacing w:line="560" w:lineRule="exact"/>
              <w:jc w:val="center"/>
              <w:rPr>
                <w:color w:val="auto"/>
                <w:sz w:val="28"/>
                <w:highlight w:val="none"/>
              </w:rPr>
            </w:pPr>
          </w:p>
        </w:tc>
      </w:tr>
      <w:tr w14:paraId="7CCB6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448" w:type="dxa"/>
            <w:tcBorders>
              <w:left w:val="single" w:color="000000" w:sz="8" w:space="0"/>
              <w:bottom w:val="single" w:color="000000" w:sz="4" w:space="0"/>
              <w:right w:val="single" w:color="000000" w:sz="4" w:space="0"/>
            </w:tcBorders>
            <w:vAlign w:val="center"/>
          </w:tcPr>
          <w:p w14:paraId="7B538A2C">
            <w:pPr>
              <w:spacing w:line="560" w:lineRule="exact"/>
              <w:jc w:val="center"/>
              <w:rPr>
                <w:color w:val="auto"/>
                <w:sz w:val="28"/>
                <w:highlight w:val="none"/>
              </w:rPr>
            </w:pPr>
            <w:r>
              <w:rPr>
                <w:color w:val="auto"/>
                <w:highlight w:val="none"/>
              </w:rPr>
              <w:t>4</w:t>
            </w:r>
          </w:p>
        </w:tc>
        <w:tc>
          <w:tcPr>
            <w:tcW w:w="1644" w:type="dxa"/>
            <w:tcBorders>
              <w:bottom w:val="single" w:color="000000" w:sz="4" w:space="0"/>
              <w:right w:val="single" w:color="000000" w:sz="4" w:space="0"/>
            </w:tcBorders>
            <w:vAlign w:val="center"/>
          </w:tcPr>
          <w:p w14:paraId="749D0DF5">
            <w:pPr>
              <w:spacing w:line="560" w:lineRule="exact"/>
              <w:jc w:val="center"/>
              <w:rPr>
                <w:color w:val="auto"/>
                <w:sz w:val="28"/>
                <w:highlight w:val="none"/>
              </w:rPr>
            </w:pPr>
          </w:p>
        </w:tc>
        <w:tc>
          <w:tcPr>
            <w:tcW w:w="2180" w:type="dxa"/>
            <w:tcBorders>
              <w:bottom w:val="single" w:color="000000" w:sz="4" w:space="0"/>
              <w:right w:val="single" w:color="000000" w:sz="4" w:space="0"/>
            </w:tcBorders>
            <w:vAlign w:val="center"/>
          </w:tcPr>
          <w:p w14:paraId="1A455620">
            <w:pPr>
              <w:spacing w:line="560" w:lineRule="exact"/>
              <w:jc w:val="center"/>
              <w:rPr>
                <w:color w:val="auto"/>
                <w:sz w:val="28"/>
                <w:highlight w:val="none"/>
              </w:rPr>
            </w:pPr>
          </w:p>
        </w:tc>
        <w:tc>
          <w:tcPr>
            <w:tcW w:w="2077" w:type="dxa"/>
            <w:tcBorders>
              <w:bottom w:val="single" w:color="000000" w:sz="4" w:space="0"/>
              <w:right w:val="single" w:color="000000" w:sz="4" w:space="0"/>
            </w:tcBorders>
            <w:vAlign w:val="center"/>
          </w:tcPr>
          <w:p w14:paraId="016DAEA6">
            <w:pPr>
              <w:spacing w:line="560" w:lineRule="exact"/>
              <w:jc w:val="center"/>
              <w:rPr>
                <w:color w:val="auto"/>
                <w:sz w:val="28"/>
                <w:highlight w:val="none"/>
              </w:rPr>
            </w:pPr>
          </w:p>
        </w:tc>
        <w:tc>
          <w:tcPr>
            <w:tcW w:w="1859" w:type="dxa"/>
            <w:tcBorders>
              <w:bottom w:val="single" w:color="000000" w:sz="4" w:space="0"/>
              <w:right w:val="single" w:color="000000" w:sz="8" w:space="0"/>
            </w:tcBorders>
            <w:vAlign w:val="center"/>
          </w:tcPr>
          <w:p w14:paraId="5B6C382A">
            <w:pPr>
              <w:spacing w:line="560" w:lineRule="exact"/>
              <w:jc w:val="center"/>
              <w:rPr>
                <w:color w:val="auto"/>
                <w:sz w:val="28"/>
                <w:highlight w:val="none"/>
              </w:rPr>
            </w:pPr>
          </w:p>
        </w:tc>
        <w:tc>
          <w:tcPr>
            <w:tcW w:w="1260" w:type="dxa"/>
            <w:tcBorders>
              <w:bottom w:val="single" w:color="000000" w:sz="4" w:space="0"/>
              <w:right w:val="single" w:color="000000" w:sz="8" w:space="0"/>
            </w:tcBorders>
          </w:tcPr>
          <w:p w14:paraId="5AA4CD3F">
            <w:pPr>
              <w:spacing w:line="560" w:lineRule="exact"/>
              <w:jc w:val="center"/>
              <w:rPr>
                <w:color w:val="auto"/>
                <w:sz w:val="28"/>
                <w:highlight w:val="none"/>
              </w:rPr>
            </w:pPr>
          </w:p>
        </w:tc>
      </w:tr>
      <w:tr w14:paraId="5B03F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trPr>
        <w:tc>
          <w:tcPr>
            <w:tcW w:w="448" w:type="dxa"/>
            <w:tcBorders>
              <w:left w:val="single" w:color="000000" w:sz="8" w:space="0"/>
              <w:bottom w:val="single" w:color="000000" w:sz="4" w:space="0"/>
              <w:right w:val="single" w:color="000000" w:sz="4" w:space="0"/>
            </w:tcBorders>
            <w:vAlign w:val="center"/>
          </w:tcPr>
          <w:p w14:paraId="63A5EE8E">
            <w:pPr>
              <w:spacing w:line="560" w:lineRule="exact"/>
              <w:jc w:val="center"/>
              <w:rPr>
                <w:color w:val="auto"/>
                <w:sz w:val="28"/>
                <w:highlight w:val="none"/>
              </w:rPr>
            </w:pPr>
            <w:r>
              <w:rPr>
                <w:color w:val="auto"/>
                <w:highlight w:val="none"/>
              </w:rPr>
              <w:t>5</w:t>
            </w:r>
          </w:p>
        </w:tc>
        <w:tc>
          <w:tcPr>
            <w:tcW w:w="1644" w:type="dxa"/>
            <w:tcBorders>
              <w:bottom w:val="single" w:color="000000" w:sz="4" w:space="0"/>
              <w:right w:val="single" w:color="000000" w:sz="4" w:space="0"/>
            </w:tcBorders>
            <w:vAlign w:val="center"/>
          </w:tcPr>
          <w:p w14:paraId="4FD6A31C">
            <w:pPr>
              <w:spacing w:line="560" w:lineRule="exact"/>
              <w:jc w:val="center"/>
              <w:rPr>
                <w:color w:val="auto"/>
                <w:sz w:val="28"/>
                <w:highlight w:val="none"/>
              </w:rPr>
            </w:pPr>
          </w:p>
        </w:tc>
        <w:tc>
          <w:tcPr>
            <w:tcW w:w="2180" w:type="dxa"/>
            <w:tcBorders>
              <w:bottom w:val="single" w:color="000000" w:sz="4" w:space="0"/>
              <w:right w:val="single" w:color="000000" w:sz="4" w:space="0"/>
            </w:tcBorders>
            <w:vAlign w:val="center"/>
          </w:tcPr>
          <w:p w14:paraId="507F2F3C">
            <w:pPr>
              <w:spacing w:line="560" w:lineRule="exact"/>
              <w:jc w:val="center"/>
              <w:rPr>
                <w:color w:val="auto"/>
                <w:sz w:val="28"/>
                <w:highlight w:val="none"/>
              </w:rPr>
            </w:pPr>
          </w:p>
        </w:tc>
        <w:tc>
          <w:tcPr>
            <w:tcW w:w="2077" w:type="dxa"/>
            <w:tcBorders>
              <w:bottom w:val="single" w:color="000000" w:sz="4" w:space="0"/>
              <w:right w:val="single" w:color="000000" w:sz="4" w:space="0"/>
            </w:tcBorders>
            <w:vAlign w:val="center"/>
          </w:tcPr>
          <w:p w14:paraId="38D3D9C7">
            <w:pPr>
              <w:spacing w:line="560" w:lineRule="exact"/>
              <w:jc w:val="center"/>
              <w:rPr>
                <w:color w:val="auto"/>
                <w:sz w:val="28"/>
                <w:highlight w:val="none"/>
              </w:rPr>
            </w:pPr>
          </w:p>
        </w:tc>
        <w:tc>
          <w:tcPr>
            <w:tcW w:w="1859" w:type="dxa"/>
            <w:tcBorders>
              <w:bottom w:val="single" w:color="000000" w:sz="4" w:space="0"/>
              <w:right w:val="single" w:color="000000" w:sz="8" w:space="0"/>
            </w:tcBorders>
            <w:vAlign w:val="center"/>
          </w:tcPr>
          <w:p w14:paraId="61C7874F">
            <w:pPr>
              <w:spacing w:line="560" w:lineRule="exact"/>
              <w:jc w:val="center"/>
              <w:rPr>
                <w:color w:val="auto"/>
                <w:sz w:val="28"/>
                <w:highlight w:val="none"/>
              </w:rPr>
            </w:pPr>
          </w:p>
        </w:tc>
        <w:tc>
          <w:tcPr>
            <w:tcW w:w="1260" w:type="dxa"/>
            <w:tcBorders>
              <w:bottom w:val="single" w:color="000000" w:sz="4" w:space="0"/>
              <w:right w:val="single" w:color="000000" w:sz="8" w:space="0"/>
            </w:tcBorders>
          </w:tcPr>
          <w:p w14:paraId="3521C052">
            <w:pPr>
              <w:spacing w:line="560" w:lineRule="exact"/>
              <w:jc w:val="center"/>
              <w:rPr>
                <w:color w:val="auto"/>
                <w:sz w:val="28"/>
                <w:highlight w:val="none"/>
              </w:rPr>
            </w:pPr>
          </w:p>
        </w:tc>
      </w:tr>
      <w:tr w14:paraId="1587F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448" w:type="dxa"/>
            <w:tcBorders>
              <w:left w:val="single" w:color="000000" w:sz="8" w:space="0"/>
              <w:bottom w:val="single" w:color="000000" w:sz="4" w:space="0"/>
              <w:right w:val="single" w:color="000000" w:sz="4" w:space="0"/>
            </w:tcBorders>
            <w:vAlign w:val="center"/>
          </w:tcPr>
          <w:p w14:paraId="1C818027">
            <w:pPr>
              <w:spacing w:line="560" w:lineRule="exact"/>
              <w:jc w:val="center"/>
              <w:rPr>
                <w:color w:val="auto"/>
                <w:sz w:val="28"/>
                <w:highlight w:val="none"/>
              </w:rPr>
            </w:pPr>
            <w:r>
              <w:rPr>
                <w:color w:val="auto"/>
                <w:highlight w:val="none"/>
              </w:rPr>
              <w:t>6</w:t>
            </w:r>
          </w:p>
        </w:tc>
        <w:tc>
          <w:tcPr>
            <w:tcW w:w="1644" w:type="dxa"/>
            <w:tcBorders>
              <w:bottom w:val="single" w:color="000000" w:sz="4" w:space="0"/>
              <w:right w:val="single" w:color="000000" w:sz="4" w:space="0"/>
            </w:tcBorders>
            <w:vAlign w:val="center"/>
          </w:tcPr>
          <w:p w14:paraId="1F3994F9">
            <w:pPr>
              <w:spacing w:line="560" w:lineRule="exact"/>
              <w:jc w:val="center"/>
              <w:rPr>
                <w:color w:val="auto"/>
                <w:sz w:val="28"/>
                <w:highlight w:val="none"/>
              </w:rPr>
            </w:pPr>
          </w:p>
        </w:tc>
        <w:tc>
          <w:tcPr>
            <w:tcW w:w="2180" w:type="dxa"/>
            <w:tcBorders>
              <w:bottom w:val="single" w:color="000000" w:sz="4" w:space="0"/>
              <w:right w:val="single" w:color="000000" w:sz="4" w:space="0"/>
            </w:tcBorders>
            <w:vAlign w:val="center"/>
          </w:tcPr>
          <w:p w14:paraId="3596EC5E">
            <w:pPr>
              <w:spacing w:line="560" w:lineRule="exact"/>
              <w:jc w:val="center"/>
              <w:rPr>
                <w:color w:val="auto"/>
                <w:sz w:val="28"/>
                <w:highlight w:val="none"/>
              </w:rPr>
            </w:pPr>
          </w:p>
        </w:tc>
        <w:tc>
          <w:tcPr>
            <w:tcW w:w="2077" w:type="dxa"/>
            <w:tcBorders>
              <w:bottom w:val="single" w:color="000000" w:sz="4" w:space="0"/>
              <w:right w:val="single" w:color="000000" w:sz="4" w:space="0"/>
            </w:tcBorders>
            <w:vAlign w:val="center"/>
          </w:tcPr>
          <w:p w14:paraId="684836FA">
            <w:pPr>
              <w:spacing w:line="560" w:lineRule="exact"/>
              <w:jc w:val="center"/>
              <w:rPr>
                <w:color w:val="auto"/>
                <w:sz w:val="28"/>
                <w:highlight w:val="none"/>
              </w:rPr>
            </w:pPr>
          </w:p>
        </w:tc>
        <w:tc>
          <w:tcPr>
            <w:tcW w:w="1859" w:type="dxa"/>
            <w:tcBorders>
              <w:bottom w:val="single" w:color="000000" w:sz="4" w:space="0"/>
              <w:right w:val="single" w:color="000000" w:sz="8" w:space="0"/>
            </w:tcBorders>
            <w:vAlign w:val="center"/>
          </w:tcPr>
          <w:p w14:paraId="6715E5A6">
            <w:pPr>
              <w:spacing w:line="560" w:lineRule="exact"/>
              <w:jc w:val="center"/>
              <w:rPr>
                <w:color w:val="auto"/>
                <w:sz w:val="28"/>
                <w:highlight w:val="none"/>
              </w:rPr>
            </w:pPr>
          </w:p>
        </w:tc>
        <w:tc>
          <w:tcPr>
            <w:tcW w:w="1260" w:type="dxa"/>
            <w:tcBorders>
              <w:bottom w:val="single" w:color="000000" w:sz="4" w:space="0"/>
              <w:right w:val="single" w:color="000000" w:sz="8" w:space="0"/>
            </w:tcBorders>
          </w:tcPr>
          <w:p w14:paraId="17CAF4B1">
            <w:pPr>
              <w:spacing w:line="560" w:lineRule="exact"/>
              <w:jc w:val="center"/>
              <w:rPr>
                <w:color w:val="auto"/>
                <w:sz w:val="28"/>
                <w:highlight w:val="none"/>
              </w:rPr>
            </w:pPr>
          </w:p>
        </w:tc>
      </w:tr>
      <w:tr w14:paraId="6F1B5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448" w:type="dxa"/>
            <w:tcBorders>
              <w:left w:val="single" w:color="000000" w:sz="8" w:space="0"/>
              <w:bottom w:val="single" w:color="000000" w:sz="4" w:space="0"/>
              <w:right w:val="single" w:color="000000" w:sz="4" w:space="0"/>
            </w:tcBorders>
            <w:vAlign w:val="center"/>
          </w:tcPr>
          <w:p w14:paraId="18B2B126">
            <w:pPr>
              <w:spacing w:line="560" w:lineRule="exact"/>
              <w:jc w:val="center"/>
              <w:rPr>
                <w:color w:val="auto"/>
                <w:sz w:val="28"/>
                <w:highlight w:val="none"/>
              </w:rPr>
            </w:pPr>
            <w:r>
              <w:rPr>
                <w:color w:val="auto"/>
                <w:highlight w:val="none"/>
              </w:rPr>
              <w:t>7</w:t>
            </w:r>
          </w:p>
        </w:tc>
        <w:tc>
          <w:tcPr>
            <w:tcW w:w="1644" w:type="dxa"/>
            <w:tcBorders>
              <w:bottom w:val="single" w:color="000000" w:sz="4" w:space="0"/>
              <w:right w:val="single" w:color="000000" w:sz="4" w:space="0"/>
            </w:tcBorders>
            <w:vAlign w:val="center"/>
          </w:tcPr>
          <w:p w14:paraId="4BC9A645">
            <w:pPr>
              <w:spacing w:line="560" w:lineRule="exact"/>
              <w:jc w:val="center"/>
              <w:rPr>
                <w:color w:val="auto"/>
                <w:sz w:val="28"/>
                <w:highlight w:val="none"/>
              </w:rPr>
            </w:pPr>
          </w:p>
        </w:tc>
        <w:tc>
          <w:tcPr>
            <w:tcW w:w="2180" w:type="dxa"/>
            <w:tcBorders>
              <w:bottom w:val="single" w:color="000000" w:sz="4" w:space="0"/>
              <w:right w:val="single" w:color="000000" w:sz="4" w:space="0"/>
            </w:tcBorders>
            <w:vAlign w:val="center"/>
          </w:tcPr>
          <w:p w14:paraId="2AA18ABE">
            <w:pPr>
              <w:spacing w:line="560" w:lineRule="exact"/>
              <w:jc w:val="center"/>
              <w:rPr>
                <w:color w:val="auto"/>
                <w:sz w:val="28"/>
                <w:highlight w:val="none"/>
              </w:rPr>
            </w:pPr>
          </w:p>
        </w:tc>
        <w:tc>
          <w:tcPr>
            <w:tcW w:w="2077" w:type="dxa"/>
            <w:tcBorders>
              <w:bottom w:val="single" w:color="000000" w:sz="4" w:space="0"/>
              <w:right w:val="single" w:color="000000" w:sz="4" w:space="0"/>
            </w:tcBorders>
            <w:vAlign w:val="center"/>
          </w:tcPr>
          <w:p w14:paraId="7D8B32C2">
            <w:pPr>
              <w:spacing w:line="560" w:lineRule="exact"/>
              <w:jc w:val="center"/>
              <w:rPr>
                <w:color w:val="auto"/>
                <w:sz w:val="28"/>
                <w:highlight w:val="none"/>
              </w:rPr>
            </w:pPr>
          </w:p>
        </w:tc>
        <w:tc>
          <w:tcPr>
            <w:tcW w:w="1859" w:type="dxa"/>
            <w:tcBorders>
              <w:bottom w:val="single" w:color="000000" w:sz="4" w:space="0"/>
              <w:right w:val="single" w:color="000000" w:sz="8" w:space="0"/>
            </w:tcBorders>
            <w:vAlign w:val="center"/>
          </w:tcPr>
          <w:p w14:paraId="666D1532">
            <w:pPr>
              <w:spacing w:line="560" w:lineRule="exact"/>
              <w:jc w:val="center"/>
              <w:rPr>
                <w:color w:val="auto"/>
                <w:sz w:val="28"/>
                <w:highlight w:val="none"/>
              </w:rPr>
            </w:pPr>
          </w:p>
        </w:tc>
        <w:tc>
          <w:tcPr>
            <w:tcW w:w="1260" w:type="dxa"/>
            <w:tcBorders>
              <w:bottom w:val="single" w:color="000000" w:sz="4" w:space="0"/>
              <w:right w:val="single" w:color="000000" w:sz="8" w:space="0"/>
            </w:tcBorders>
          </w:tcPr>
          <w:p w14:paraId="392BC721">
            <w:pPr>
              <w:spacing w:line="560" w:lineRule="exact"/>
              <w:jc w:val="center"/>
              <w:rPr>
                <w:color w:val="auto"/>
                <w:sz w:val="28"/>
                <w:highlight w:val="none"/>
              </w:rPr>
            </w:pPr>
          </w:p>
        </w:tc>
      </w:tr>
      <w:tr w14:paraId="79236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448" w:type="dxa"/>
            <w:tcBorders>
              <w:left w:val="single" w:color="000000" w:sz="8" w:space="0"/>
              <w:bottom w:val="single" w:color="000000" w:sz="4" w:space="0"/>
              <w:right w:val="single" w:color="000000" w:sz="4" w:space="0"/>
            </w:tcBorders>
            <w:vAlign w:val="center"/>
          </w:tcPr>
          <w:p w14:paraId="287363E7">
            <w:pPr>
              <w:spacing w:line="560" w:lineRule="exact"/>
              <w:jc w:val="center"/>
              <w:rPr>
                <w:color w:val="auto"/>
                <w:sz w:val="28"/>
                <w:highlight w:val="none"/>
              </w:rPr>
            </w:pPr>
            <w:r>
              <w:rPr>
                <w:color w:val="auto"/>
                <w:highlight w:val="none"/>
              </w:rPr>
              <w:t>8</w:t>
            </w:r>
          </w:p>
        </w:tc>
        <w:tc>
          <w:tcPr>
            <w:tcW w:w="1644" w:type="dxa"/>
            <w:tcBorders>
              <w:bottom w:val="single" w:color="000000" w:sz="4" w:space="0"/>
              <w:right w:val="single" w:color="000000" w:sz="4" w:space="0"/>
            </w:tcBorders>
            <w:vAlign w:val="center"/>
          </w:tcPr>
          <w:p w14:paraId="6E7623C8">
            <w:pPr>
              <w:spacing w:line="560" w:lineRule="exact"/>
              <w:jc w:val="center"/>
              <w:rPr>
                <w:color w:val="auto"/>
                <w:sz w:val="28"/>
                <w:highlight w:val="none"/>
              </w:rPr>
            </w:pPr>
          </w:p>
        </w:tc>
        <w:tc>
          <w:tcPr>
            <w:tcW w:w="2180" w:type="dxa"/>
            <w:tcBorders>
              <w:bottom w:val="single" w:color="000000" w:sz="4" w:space="0"/>
              <w:right w:val="single" w:color="000000" w:sz="4" w:space="0"/>
            </w:tcBorders>
            <w:vAlign w:val="center"/>
          </w:tcPr>
          <w:p w14:paraId="5E1DD40F">
            <w:pPr>
              <w:spacing w:line="560" w:lineRule="exact"/>
              <w:jc w:val="center"/>
              <w:rPr>
                <w:color w:val="auto"/>
                <w:sz w:val="28"/>
                <w:highlight w:val="none"/>
              </w:rPr>
            </w:pPr>
          </w:p>
        </w:tc>
        <w:tc>
          <w:tcPr>
            <w:tcW w:w="2077" w:type="dxa"/>
            <w:tcBorders>
              <w:bottom w:val="single" w:color="000000" w:sz="4" w:space="0"/>
              <w:right w:val="single" w:color="000000" w:sz="4" w:space="0"/>
            </w:tcBorders>
            <w:vAlign w:val="center"/>
          </w:tcPr>
          <w:p w14:paraId="58636EAC">
            <w:pPr>
              <w:spacing w:line="560" w:lineRule="exact"/>
              <w:jc w:val="center"/>
              <w:rPr>
                <w:color w:val="auto"/>
                <w:sz w:val="28"/>
                <w:highlight w:val="none"/>
              </w:rPr>
            </w:pPr>
          </w:p>
        </w:tc>
        <w:tc>
          <w:tcPr>
            <w:tcW w:w="1859" w:type="dxa"/>
            <w:tcBorders>
              <w:bottom w:val="single" w:color="000000" w:sz="4" w:space="0"/>
              <w:right w:val="single" w:color="000000" w:sz="8" w:space="0"/>
            </w:tcBorders>
            <w:vAlign w:val="center"/>
          </w:tcPr>
          <w:p w14:paraId="486334A6">
            <w:pPr>
              <w:spacing w:line="560" w:lineRule="exact"/>
              <w:jc w:val="center"/>
              <w:rPr>
                <w:color w:val="auto"/>
                <w:sz w:val="28"/>
                <w:highlight w:val="none"/>
              </w:rPr>
            </w:pPr>
          </w:p>
        </w:tc>
        <w:tc>
          <w:tcPr>
            <w:tcW w:w="1260" w:type="dxa"/>
            <w:tcBorders>
              <w:bottom w:val="single" w:color="000000" w:sz="4" w:space="0"/>
              <w:right w:val="single" w:color="000000" w:sz="8" w:space="0"/>
            </w:tcBorders>
          </w:tcPr>
          <w:p w14:paraId="5BE2A640">
            <w:pPr>
              <w:spacing w:line="560" w:lineRule="exact"/>
              <w:jc w:val="center"/>
              <w:rPr>
                <w:color w:val="auto"/>
                <w:sz w:val="28"/>
                <w:highlight w:val="none"/>
              </w:rPr>
            </w:pPr>
          </w:p>
        </w:tc>
      </w:tr>
      <w:tr w14:paraId="1C612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9" w:hRule="atLeast"/>
        </w:trPr>
        <w:tc>
          <w:tcPr>
            <w:tcW w:w="448" w:type="dxa"/>
            <w:tcBorders>
              <w:left w:val="single" w:color="000000" w:sz="8" w:space="0"/>
              <w:bottom w:val="single" w:color="000000" w:sz="4" w:space="0"/>
              <w:right w:val="single" w:color="000000" w:sz="4" w:space="0"/>
            </w:tcBorders>
            <w:vAlign w:val="center"/>
          </w:tcPr>
          <w:p w14:paraId="3CD4C06E">
            <w:pPr>
              <w:spacing w:line="560" w:lineRule="exact"/>
              <w:jc w:val="center"/>
              <w:rPr>
                <w:color w:val="auto"/>
                <w:sz w:val="28"/>
                <w:highlight w:val="none"/>
              </w:rPr>
            </w:pPr>
            <w:r>
              <w:rPr>
                <w:color w:val="auto"/>
                <w:highlight w:val="none"/>
              </w:rPr>
              <w:t>9</w:t>
            </w:r>
          </w:p>
        </w:tc>
        <w:tc>
          <w:tcPr>
            <w:tcW w:w="1644" w:type="dxa"/>
            <w:tcBorders>
              <w:bottom w:val="single" w:color="000000" w:sz="4" w:space="0"/>
              <w:right w:val="single" w:color="000000" w:sz="4" w:space="0"/>
            </w:tcBorders>
            <w:vAlign w:val="center"/>
          </w:tcPr>
          <w:p w14:paraId="5A157A75">
            <w:pPr>
              <w:spacing w:line="560" w:lineRule="exact"/>
              <w:jc w:val="center"/>
              <w:rPr>
                <w:color w:val="auto"/>
                <w:sz w:val="28"/>
                <w:highlight w:val="none"/>
              </w:rPr>
            </w:pPr>
          </w:p>
        </w:tc>
        <w:tc>
          <w:tcPr>
            <w:tcW w:w="2180" w:type="dxa"/>
            <w:tcBorders>
              <w:bottom w:val="single" w:color="000000" w:sz="4" w:space="0"/>
              <w:right w:val="single" w:color="000000" w:sz="4" w:space="0"/>
            </w:tcBorders>
            <w:vAlign w:val="center"/>
          </w:tcPr>
          <w:p w14:paraId="37C220FA">
            <w:pPr>
              <w:spacing w:line="560" w:lineRule="exact"/>
              <w:jc w:val="center"/>
              <w:rPr>
                <w:color w:val="auto"/>
                <w:sz w:val="28"/>
                <w:highlight w:val="none"/>
              </w:rPr>
            </w:pPr>
          </w:p>
        </w:tc>
        <w:tc>
          <w:tcPr>
            <w:tcW w:w="2077" w:type="dxa"/>
            <w:tcBorders>
              <w:bottom w:val="single" w:color="000000" w:sz="4" w:space="0"/>
              <w:right w:val="single" w:color="000000" w:sz="4" w:space="0"/>
            </w:tcBorders>
            <w:vAlign w:val="center"/>
          </w:tcPr>
          <w:p w14:paraId="69B22D95">
            <w:pPr>
              <w:spacing w:line="560" w:lineRule="exact"/>
              <w:jc w:val="center"/>
              <w:rPr>
                <w:color w:val="auto"/>
                <w:sz w:val="28"/>
                <w:highlight w:val="none"/>
              </w:rPr>
            </w:pPr>
          </w:p>
        </w:tc>
        <w:tc>
          <w:tcPr>
            <w:tcW w:w="1859" w:type="dxa"/>
            <w:tcBorders>
              <w:bottom w:val="single" w:color="000000" w:sz="4" w:space="0"/>
              <w:right w:val="single" w:color="000000" w:sz="8" w:space="0"/>
            </w:tcBorders>
            <w:vAlign w:val="center"/>
          </w:tcPr>
          <w:p w14:paraId="7B299FB7">
            <w:pPr>
              <w:spacing w:line="560" w:lineRule="exact"/>
              <w:jc w:val="center"/>
              <w:rPr>
                <w:color w:val="auto"/>
                <w:sz w:val="28"/>
                <w:highlight w:val="none"/>
              </w:rPr>
            </w:pPr>
          </w:p>
        </w:tc>
        <w:tc>
          <w:tcPr>
            <w:tcW w:w="1260" w:type="dxa"/>
            <w:tcBorders>
              <w:bottom w:val="single" w:color="000000" w:sz="4" w:space="0"/>
              <w:right w:val="single" w:color="000000" w:sz="8" w:space="0"/>
            </w:tcBorders>
          </w:tcPr>
          <w:p w14:paraId="787BE5AD">
            <w:pPr>
              <w:spacing w:line="560" w:lineRule="exact"/>
              <w:jc w:val="center"/>
              <w:rPr>
                <w:color w:val="auto"/>
                <w:sz w:val="28"/>
                <w:highlight w:val="none"/>
              </w:rPr>
            </w:pPr>
          </w:p>
        </w:tc>
      </w:tr>
      <w:tr w14:paraId="7D62A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448" w:type="dxa"/>
            <w:tcBorders>
              <w:left w:val="single" w:color="000000" w:sz="8" w:space="0"/>
              <w:bottom w:val="single" w:color="000000" w:sz="8" w:space="0"/>
              <w:right w:val="single" w:color="000000" w:sz="4" w:space="0"/>
            </w:tcBorders>
            <w:vAlign w:val="center"/>
          </w:tcPr>
          <w:p w14:paraId="2F1E5C40">
            <w:pPr>
              <w:spacing w:line="560" w:lineRule="exact"/>
              <w:jc w:val="center"/>
              <w:rPr>
                <w:color w:val="auto"/>
                <w:sz w:val="28"/>
                <w:highlight w:val="none"/>
              </w:rPr>
            </w:pPr>
            <w:r>
              <w:rPr>
                <w:color w:val="auto"/>
                <w:highlight w:val="none"/>
              </w:rPr>
              <w:t>......</w:t>
            </w:r>
          </w:p>
        </w:tc>
        <w:tc>
          <w:tcPr>
            <w:tcW w:w="1644" w:type="dxa"/>
            <w:tcBorders>
              <w:bottom w:val="single" w:color="000000" w:sz="8" w:space="0"/>
              <w:right w:val="single" w:color="000000" w:sz="4" w:space="0"/>
            </w:tcBorders>
            <w:vAlign w:val="center"/>
          </w:tcPr>
          <w:p w14:paraId="50190D94">
            <w:pPr>
              <w:spacing w:line="560" w:lineRule="exact"/>
              <w:jc w:val="center"/>
              <w:rPr>
                <w:color w:val="auto"/>
                <w:sz w:val="28"/>
                <w:highlight w:val="none"/>
              </w:rPr>
            </w:pPr>
          </w:p>
        </w:tc>
        <w:tc>
          <w:tcPr>
            <w:tcW w:w="2180" w:type="dxa"/>
            <w:tcBorders>
              <w:bottom w:val="single" w:color="000000" w:sz="8" w:space="0"/>
              <w:right w:val="single" w:color="000000" w:sz="4" w:space="0"/>
            </w:tcBorders>
            <w:vAlign w:val="center"/>
          </w:tcPr>
          <w:p w14:paraId="193ABECF">
            <w:pPr>
              <w:spacing w:line="560" w:lineRule="exact"/>
              <w:jc w:val="center"/>
              <w:rPr>
                <w:color w:val="auto"/>
                <w:sz w:val="28"/>
                <w:highlight w:val="none"/>
              </w:rPr>
            </w:pPr>
          </w:p>
        </w:tc>
        <w:tc>
          <w:tcPr>
            <w:tcW w:w="2077" w:type="dxa"/>
            <w:tcBorders>
              <w:bottom w:val="single" w:color="000000" w:sz="8" w:space="0"/>
              <w:right w:val="single" w:color="000000" w:sz="4" w:space="0"/>
            </w:tcBorders>
            <w:vAlign w:val="center"/>
          </w:tcPr>
          <w:p w14:paraId="3E461821">
            <w:pPr>
              <w:spacing w:line="560" w:lineRule="exact"/>
              <w:jc w:val="center"/>
              <w:rPr>
                <w:color w:val="auto"/>
                <w:sz w:val="28"/>
                <w:highlight w:val="none"/>
              </w:rPr>
            </w:pPr>
          </w:p>
        </w:tc>
        <w:tc>
          <w:tcPr>
            <w:tcW w:w="1859" w:type="dxa"/>
            <w:tcBorders>
              <w:bottom w:val="single" w:color="000000" w:sz="8" w:space="0"/>
              <w:right w:val="single" w:color="000000" w:sz="8" w:space="0"/>
            </w:tcBorders>
            <w:vAlign w:val="center"/>
          </w:tcPr>
          <w:p w14:paraId="30F1677B">
            <w:pPr>
              <w:spacing w:line="560" w:lineRule="exact"/>
              <w:jc w:val="center"/>
              <w:rPr>
                <w:color w:val="auto"/>
                <w:sz w:val="28"/>
                <w:highlight w:val="none"/>
              </w:rPr>
            </w:pPr>
          </w:p>
        </w:tc>
        <w:tc>
          <w:tcPr>
            <w:tcW w:w="1260" w:type="dxa"/>
            <w:tcBorders>
              <w:bottom w:val="single" w:color="000000" w:sz="8" w:space="0"/>
              <w:right w:val="single" w:color="000000" w:sz="8" w:space="0"/>
            </w:tcBorders>
          </w:tcPr>
          <w:p w14:paraId="23FD716D">
            <w:pPr>
              <w:spacing w:line="560" w:lineRule="exact"/>
              <w:jc w:val="center"/>
              <w:rPr>
                <w:color w:val="auto"/>
                <w:sz w:val="28"/>
                <w:highlight w:val="none"/>
              </w:rPr>
            </w:pPr>
          </w:p>
        </w:tc>
      </w:tr>
    </w:tbl>
    <w:p w14:paraId="39039AE2">
      <w:pPr>
        <w:widowControl w:val="0"/>
        <w:tabs>
          <w:tab w:val="left" w:pos="9365"/>
        </w:tabs>
        <w:snapToGrid w:val="0"/>
        <w:spacing w:line="360" w:lineRule="auto"/>
        <w:ind w:firstLine="624"/>
        <w:textAlignment w:val="top"/>
        <w:rPr>
          <w:rFonts w:ascii="宋体" w:cs="宋体"/>
          <w:color w:val="auto"/>
          <w:highlight w:val="none"/>
        </w:rPr>
      </w:pPr>
      <w:r>
        <w:rPr>
          <w:rFonts w:hint="eastAsia"/>
          <w:color w:val="auto"/>
          <w:highlight w:val="none"/>
        </w:rPr>
        <w:t>注：</w:t>
      </w:r>
      <w:r>
        <w:rPr>
          <w:rFonts w:ascii="宋体" w:hAnsi="宋体" w:cs="宋体"/>
          <w:color w:val="auto"/>
          <w:highlight w:val="none"/>
        </w:rPr>
        <w:t>1</w:t>
      </w:r>
      <w:r>
        <w:rPr>
          <w:rFonts w:hint="eastAsia"/>
          <w:color w:val="auto"/>
          <w:highlight w:val="none"/>
        </w:rPr>
        <w:t>、“偏差”栏中详细注明所投产品参数与《谈判文件》中要求有何不同，并说明其符合性。投标人应分标段（包）填制本表。</w:t>
      </w:r>
    </w:p>
    <w:p w14:paraId="32C131F7">
      <w:pPr>
        <w:widowControl w:val="0"/>
        <w:tabs>
          <w:tab w:val="left" w:pos="9365"/>
        </w:tabs>
        <w:snapToGrid w:val="0"/>
        <w:spacing w:line="360" w:lineRule="auto"/>
        <w:ind w:firstLine="624"/>
        <w:textAlignment w:val="top"/>
        <w:rPr>
          <w:color w:val="auto"/>
          <w:highlight w:val="none"/>
        </w:rPr>
      </w:pPr>
      <w:r>
        <w:rPr>
          <w:rFonts w:ascii="宋体" w:hAnsi="宋体" w:cs="宋体"/>
          <w:color w:val="auto"/>
          <w:highlight w:val="none"/>
        </w:rPr>
        <w:t>2</w:t>
      </w:r>
      <w:r>
        <w:rPr>
          <w:rFonts w:hint="eastAsia"/>
          <w:color w:val="auto"/>
          <w:highlight w:val="none"/>
        </w:rPr>
        <w:t>、如所投产品配置及技术参数与“技术要求”一致的部分，仍需在本表填列“与《谈判文件》技术要求一致”等相似表述。</w:t>
      </w:r>
    </w:p>
    <w:p w14:paraId="6436B8E3">
      <w:pPr>
        <w:autoSpaceDE w:val="0"/>
        <w:autoSpaceDN w:val="0"/>
        <w:adjustRightInd w:val="0"/>
        <w:spacing w:line="360" w:lineRule="auto"/>
        <w:jc w:val="center"/>
        <w:rPr>
          <w:rFonts w:ascii="宋体"/>
          <w:color w:val="auto"/>
          <w:sz w:val="24"/>
          <w:highlight w:val="none"/>
        </w:rPr>
      </w:pPr>
    </w:p>
    <w:p w14:paraId="726A3890">
      <w:pPr>
        <w:widowControl w:val="0"/>
        <w:tabs>
          <w:tab w:val="left" w:pos="9365"/>
        </w:tabs>
        <w:snapToGrid w:val="0"/>
        <w:spacing w:after="56" w:line="560" w:lineRule="exact"/>
        <w:ind w:right="85"/>
        <w:jc w:val="left"/>
        <w:textAlignment w:val="top"/>
        <w:rPr>
          <w:color w:val="auto"/>
          <w:sz w:val="24"/>
          <w:szCs w:val="24"/>
          <w:highlight w:val="none"/>
        </w:rPr>
      </w:pPr>
      <w:r>
        <w:rPr>
          <w:rFonts w:hint="eastAsia"/>
          <w:color w:val="auto"/>
          <w:sz w:val="24"/>
          <w:szCs w:val="24"/>
          <w:highlight w:val="none"/>
        </w:rPr>
        <w:t>投标人（电子签</w:t>
      </w:r>
      <w:r>
        <w:rPr>
          <w:rFonts w:hint="eastAsia" w:ascii="宋体" w:hAnsi="宋体"/>
          <w:color w:val="auto"/>
          <w:sz w:val="24"/>
          <w:szCs w:val="24"/>
          <w:highlight w:val="none"/>
        </w:rPr>
        <w:t>章</w:t>
      </w:r>
      <w:r>
        <w:rPr>
          <w:rFonts w:hint="eastAsia"/>
          <w:color w:val="auto"/>
          <w:sz w:val="24"/>
          <w:szCs w:val="24"/>
          <w:highlight w:val="none"/>
        </w:rPr>
        <w:t>）：</w:t>
      </w:r>
    </w:p>
    <w:p w14:paraId="669631D9">
      <w:pPr>
        <w:widowControl w:val="0"/>
        <w:tabs>
          <w:tab w:val="left" w:pos="9365"/>
        </w:tabs>
        <w:snapToGrid w:val="0"/>
        <w:spacing w:after="56" w:line="560" w:lineRule="exact"/>
        <w:ind w:right="85"/>
        <w:jc w:val="left"/>
        <w:textAlignment w:val="top"/>
        <w:rPr>
          <w:color w:val="auto"/>
          <w:sz w:val="24"/>
          <w:szCs w:val="24"/>
          <w:highlight w:val="none"/>
        </w:rPr>
      </w:pPr>
      <w:r>
        <w:rPr>
          <w:rFonts w:hint="eastAsia"/>
          <w:color w:val="auto"/>
          <w:sz w:val="24"/>
          <w:szCs w:val="24"/>
          <w:highlight w:val="none"/>
        </w:rPr>
        <w:t>法定代表人（电子签名或签章）：</w:t>
      </w:r>
    </w:p>
    <w:p w14:paraId="52F677B8">
      <w:pPr>
        <w:autoSpaceDE w:val="0"/>
        <w:autoSpaceDN w:val="0"/>
        <w:adjustRightInd w:val="0"/>
        <w:spacing w:line="360" w:lineRule="auto"/>
        <w:ind w:right="-817"/>
        <w:jc w:val="left"/>
        <w:rPr>
          <w:rFonts w:ascii="宋体" w:cs="楷体_GB2312"/>
          <w:color w:val="auto"/>
          <w:sz w:val="24"/>
          <w:highlight w:val="none"/>
          <w:lang w:val="zh-CN"/>
        </w:rPr>
      </w:pPr>
      <w:r>
        <w:rPr>
          <w:rFonts w:hint="eastAsia" w:ascii="宋体" w:hAnsi="宋体" w:cs="楷体_GB2312"/>
          <w:color w:val="auto"/>
          <w:sz w:val="24"/>
          <w:highlight w:val="none"/>
          <w:lang w:val="zh-CN"/>
        </w:rPr>
        <w:t>日期：年月日</w:t>
      </w:r>
    </w:p>
    <w:p w14:paraId="20BE4D0C">
      <w:pPr>
        <w:spacing w:line="240" w:lineRule="auto"/>
        <w:jc w:val="left"/>
        <w:textAlignment w:val="auto"/>
        <w:rPr>
          <w:rFonts w:eastAsia="方正黑体简体"/>
          <w:b/>
          <w:color w:val="auto"/>
          <w:sz w:val="30"/>
          <w:szCs w:val="30"/>
          <w:highlight w:val="none"/>
        </w:rPr>
      </w:pPr>
      <w:r>
        <w:rPr>
          <w:rFonts w:eastAsia="方正黑体简体"/>
          <w:b/>
          <w:color w:val="auto"/>
          <w:sz w:val="30"/>
          <w:szCs w:val="30"/>
          <w:highlight w:val="none"/>
        </w:rPr>
        <w:br w:type="page"/>
      </w:r>
    </w:p>
    <w:p w14:paraId="44C652B5">
      <w:pPr>
        <w:autoSpaceDE w:val="0"/>
        <w:autoSpaceDN w:val="0"/>
        <w:adjustRightInd w:val="0"/>
        <w:spacing w:line="360" w:lineRule="auto"/>
        <w:jc w:val="center"/>
        <w:rPr>
          <w:rFonts w:ascii="黑体" w:hAnsi="黑体" w:eastAsia="黑体"/>
          <w:b/>
          <w:color w:val="auto"/>
          <w:sz w:val="30"/>
          <w:szCs w:val="30"/>
          <w:highlight w:val="none"/>
        </w:rPr>
      </w:pPr>
      <w:r>
        <w:rPr>
          <w:rFonts w:hint="eastAsia" w:ascii="黑体" w:hAnsi="黑体" w:eastAsia="黑体"/>
          <w:b/>
          <w:color w:val="auto"/>
          <w:sz w:val="30"/>
          <w:szCs w:val="30"/>
          <w:highlight w:val="none"/>
        </w:rPr>
        <w:t>六、其他偏差表（除技术偏差外）</w:t>
      </w:r>
    </w:p>
    <w:p w14:paraId="1A756307">
      <w:pPr>
        <w:pStyle w:val="15"/>
        <w:adjustRightInd w:val="0"/>
        <w:snapToGrid w:val="0"/>
        <w:spacing w:before="0" w:beforeAutospacing="0" w:after="0" w:afterAutospacing="0"/>
        <w:rPr>
          <w:color w:val="auto"/>
          <w:highlight w:val="none"/>
          <w:u w:val="single"/>
        </w:rPr>
      </w:pPr>
      <w:r>
        <w:rPr>
          <w:rFonts w:hint="eastAsia"/>
          <w:color w:val="auto"/>
          <w:highlight w:val="none"/>
        </w:rPr>
        <w:t>项目名称：</w:t>
      </w:r>
    </w:p>
    <w:p w14:paraId="6962E76C">
      <w:pPr>
        <w:pStyle w:val="15"/>
        <w:adjustRightInd w:val="0"/>
        <w:snapToGrid w:val="0"/>
        <w:spacing w:before="0" w:beforeAutospacing="0" w:after="0" w:afterAutospacing="0"/>
        <w:rPr>
          <w:color w:val="auto"/>
          <w:highlight w:val="none"/>
        </w:rPr>
      </w:pPr>
      <w:r>
        <w:rPr>
          <w:rFonts w:hint="eastAsia"/>
          <w:color w:val="auto"/>
          <w:highlight w:val="none"/>
        </w:rPr>
        <w:t xml:space="preserve">项目编号：    </w:t>
      </w:r>
    </w:p>
    <w:tbl>
      <w:tblPr>
        <w:tblStyle w:val="16"/>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37"/>
        <w:gridCol w:w="3098"/>
        <w:gridCol w:w="2947"/>
        <w:gridCol w:w="2638"/>
      </w:tblGrid>
      <w:tr w14:paraId="370F1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637" w:type="dxa"/>
            <w:tcBorders>
              <w:top w:val="single" w:color="000000" w:sz="8" w:space="0"/>
              <w:left w:val="single" w:color="000000" w:sz="8" w:space="0"/>
              <w:bottom w:val="single" w:color="000000" w:sz="4" w:space="0"/>
              <w:right w:val="single" w:color="000000" w:sz="4" w:space="0"/>
            </w:tcBorders>
            <w:vAlign w:val="center"/>
          </w:tcPr>
          <w:p w14:paraId="0FCBCE78">
            <w:pPr>
              <w:spacing w:line="560" w:lineRule="exact"/>
              <w:jc w:val="center"/>
              <w:rPr>
                <w:b/>
                <w:color w:val="auto"/>
                <w:sz w:val="28"/>
                <w:highlight w:val="none"/>
              </w:rPr>
            </w:pPr>
            <w:r>
              <w:rPr>
                <w:rFonts w:hint="eastAsia"/>
                <w:b/>
                <w:color w:val="auto"/>
                <w:highlight w:val="none"/>
              </w:rPr>
              <w:t>序号</w:t>
            </w:r>
          </w:p>
        </w:tc>
        <w:tc>
          <w:tcPr>
            <w:tcW w:w="3098" w:type="dxa"/>
            <w:tcBorders>
              <w:top w:val="single" w:color="000000" w:sz="8" w:space="0"/>
              <w:bottom w:val="single" w:color="000000" w:sz="4" w:space="0"/>
              <w:right w:val="single" w:color="000000" w:sz="4" w:space="0"/>
            </w:tcBorders>
            <w:vAlign w:val="center"/>
          </w:tcPr>
          <w:p w14:paraId="3B9DDFC6">
            <w:pPr>
              <w:spacing w:line="560" w:lineRule="exact"/>
              <w:jc w:val="center"/>
              <w:rPr>
                <w:b/>
                <w:color w:val="auto"/>
                <w:sz w:val="28"/>
                <w:highlight w:val="none"/>
              </w:rPr>
            </w:pPr>
            <w:r>
              <w:rPr>
                <w:rFonts w:hint="eastAsia"/>
                <w:b/>
                <w:color w:val="auto"/>
                <w:highlight w:val="none"/>
              </w:rPr>
              <w:t>谈判文件要求</w:t>
            </w:r>
          </w:p>
        </w:tc>
        <w:tc>
          <w:tcPr>
            <w:tcW w:w="2947" w:type="dxa"/>
            <w:tcBorders>
              <w:top w:val="single" w:color="000000" w:sz="8" w:space="0"/>
              <w:bottom w:val="single" w:color="000000" w:sz="4" w:space="0"/>
              <w:right w:val="single" w:color="000000" w:sz="4" w:space="0"/>
            </w:tcBorders>
            <w:vAlign w:val="center"/>
          </w:tcPr>
          <w:p w14:paraId="1C5451E1">
            <w:pPr>
              <w:spacing w:line="560" w:lineRule="exact"/>
              <w:jc w:val="center"/>
              <w:rPr>
                <w:b/>
                <w:color w:val="auto"/>
                <w:sz w:val="28"/>
                <w:highlight w:val="none"/>
              </w:rPr>
            </w:pPr>
            <w:r>
              <w:rPr>
                <w:rFonts w:hint="eastAsia"/>
                <w:b/>
                <w:color w:val="auto"/>
                <w:highlight w:val="none"/>
              </w:rPr>
              <w:t>投标文件响应</w:t>
            </w:r>
          </w:p>
        </w:tc>
        <w:tc>
          <w:tcPr>
            <w:tcW w:w="2638" w:type="dxa"/>
            <w:tcBorders>
              <w:top w:val="single" w:color="000000" w:sz="8" w:space="0"/>
              <w:bottom w:val="single" w:color="000000" w:sz="4" w:space="0"/>
              <w:right w:val="single" w:color="000000" w:sz="8" w:space="0"/>
            </w:tcBorders>
            <w:vAlign w:val="center"/>
          </w:tcPr>
          <w:p w14:paraId="1EC6F45E">
            <w:pPr>
              <w:spacing w:line="560" w:lineRule="exact"/>
              <w:jc w:val="center"/>
              <w:rPr>
                <w:b/>
                <w:color w:val="auto"/>
                <w:sz w:val="28"/>
                <w:highlight w:val="none"/>
              </w:rPr>
            </w:pPr>
            <w:r>
              <w:rPr>
                <w:rFonts w:hint="eastAsia"/>
                <w:b/>
                <w:color w:val="auto"/>
                <w:highlight w:val="none"/>
              </w:rPr>
              <w:t>偏差描述</w:t>
            </w:r>
          </w:p>
        </w:tc>
      </w:tr>
      <w:tr w14:paraId="3598C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637" w:type="dxa"/>
            <w:tcBorders>
              <w:left w:val="single" w:color="000000" w:sz="8" w:space="0"/>
              <w:bottom w:val="single" w:color="000000" w:sz="4" w:space="0"/>
              <w:right w:val="single" w:color="000000" w:sz="4" w:space="0"/>
            </w:tcBorders>
            <w:vAlign w:val="center"/>
          </w:tcPr>
          <w:p w14:paraId="0FD33A51">
            <w:pPr>
              <w:spacing w:line="560" w:lineRule="exact"/>
              <w:jc w:val="center"/>
              <w:rPr>
                <w:color w:val="auto"/>
                <w:sz w:val="28"/>
                <w:highlight w:val="none"/>
              </w:rPr>
            </w:pPr>
            <w:r>
              <w:rPr>
                <w:color w:val="auto"/>
                <w:highlight w:val="none"/>
              </w:rPr>
              <w:t>1</w:t>
            </w:r>
          </w:p>
        </w:tc>
        <w:tc>
          <w:tcPr>
            <w:tcW w:w="3098" w:type="dxa"/>
            <w:tcBorders>
              <w:bottom w:val="single" w:color="000000" w:sz="4" w:space="0"/>
              <w:right w:val="single" w:color="000000" w:sz="4" w:space="0"/>
            </w:tcBorders>
            <w:vAlign w:val="center"/>
          </w:tcPr>
          <w:p w14:paraId="5F79DC1C">
            <w:pPr>
              <w:spacing w:line="560" w:lineRule="exact"/>
              <w:jc w:val="center"/>
              <w:rPr>
                <w:color w:val="auto"/>
                <w:sz w:val="28"/>
                <w:highlight w:val="none"/>
              </w:rPr>
            </w:pPr>
          </w:p>
        </w:tc>
        <w:tc>
          <w:tcPr>
            <w:tcW w:w="2947" w:type="dxa"/>
            <w:tcBorders>
              <w:bottom w:val="single" w:color="000000" w:sz="4" w:space="0"/>
              <w:right w:val="single" w:color="000000" w:sz="4" w:space="0"/>
            </w:tcBorders>
            <w:vAlign w:val="center"/>
          </w:tcPr>
          <w:p w14:paraId="6676FD1A">
            <w:pPr>
              <w:spacing w:line="560" w:lineRule="exact"/>
              <w:jc w:val="center"/>
              <w:rPr>
                <w:color w:val="auto"/>
                <w:sz w:val="28"/>
                <w:highlight w:val="none"/>
              </w:rPr>
            </w:pPr>
          </w:p>
        </w:tc>
        <w:tc>
          <w:tcPr>
            <w:tcW w:w="2638" w:type="dxa"/>
            <w:tcBorders>
              <w:bottom w:val="single" w:color="000000" w:sz="4" w:space="0"/>
              <w:right w:val="single" w:color="000000" w:sz="8" w:space="0"/>
            </w:tcBorders>
            <w:vAlign w:val="center"/>
          </w:tcPr>
          <w:p w14:paraId="24FB3051">
            <w:pPr>
              <w:spacing w:line="560" w:lineRule="exact"/>
              <w:jc w:val="center"/>
              <w:rPr>
                <w:color w:val="auto"/>
                <w:sz w:val="28"/>
                <w:highlight w:val="none"/>
              </w:rPr>
            </w:pPr>
          </w:p>
        </w:tc>
      </w:tr>
      <w:tr w14:paraId="7884E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637" w:type="dxa"/>
            <w:tcBorders>
              <w:left w:val="single" w:color="000000" w:sz="8" w:space="0"/>
              <w:bottom w:val="single" w:color="000000" w:sz="4" w:space="0"/>
              <w:right w:val="single" w:color="000000" w:sz="4" w:space="0"/>
            </w:tcBorders>
            <w:vAlign w:val="center"/>
          </w:tcPr>
          <w:p w14:paraId="55DFDA2E">
            <w:pPr>
              <w:spacing w:line="560" w:lineRule="exact"/>
              <w:jc w:val="center"/>
              <w:rPr>
                <w:color w:val="auto"/>
                <w:sz w:val="28"/>
                <w:highlight w:val="none"/>
              </w:rPr>
            </w:pPr>
            <w:r>
              <w:rPr>
                <w:color w:val="auto"/>
                <w:highlight w:val="none"/>
              </w:rPr>
              <w:t>2</w:t>
            </w:r>
          </w:p>
        </w:tc>
        <w:tc>
          <w:tcPr>
            <w:tcW w:w="3098" w:type="dxa"/>
            <w:tcBorders>
              <w:bottom w:val="single" w:color="000000" w:sz="4" w:space="0"/>
              <w:right w:val="single" w:color="000000" w:sz="4" w:space="0"/>
            </w:tcBorders>
            <w:vAlign w:val="center"/>
          </w:tcPr>
          <w:p w14:paraId="47A83251">
            <w:pPr>
              <w:spacing w:line="560" w:lineRule="exact"/>
              <w:jc w:val="center"/>
              <w:rPr>
                <w:color w:val="auto"/>
                <w:sz w:val="28"/>
                <w:highlight w:val="none"/>
              </w:rPr>
            </w:pPr>
          </w:p>
        </w:tc>
        <w:tc>
          <w:tcPr>
            <w:tcW w:w="2947" w:type="dxa"/>
            <w:tcBorders>
              <w:bottom w:val="single" w:color="000000" w:sz="4" w:space="0"/>
              <w:right w:val="single" w:color="000000" w:sz="4" w:space="0"/>
            </w:tcBorders>
            <w:vAlign w:val="center"/>
          </w:tcPr>
          <w:p w14:paraId="0BF29AE1">
            <w:pPr>
              <w:spacing w:line="560" w:lineRule="exact"/>
              <w:jc w:val="center"/>
              <w:rPr>
                <w:color w:val="auto"/>
                <w:sz w:val="28"/>
                <w:highlight w:val="none"/>
              </w:rPr>
            </w:pPr>
          </w:p>
        </w:tc>
        <w:tc>
          <w:tcPr>
            <w:tcW w:w="2638" w:type="dxa"/>
            <w:tcBorders>
              <w:bottom w:val="single" w:color="000000" w:sz="4" w:space="0"/>
              <w:right w:val="single" w:color="000000" w:sz="8" w:space="0"/>
            </w:tcBorders>
            <w:vAlign w:val="center"/>
          </w:tcPr>
          <w:p w14:paraId="4DFDB183">
            <w:pPr>
              <w:spacing w:line="560" w:lineRule="exact"/>
              <w:jc w:val="center"/>
              <w:rPr>
                <w:color w:val="auto"/>
                <w:sz w:val="28"/>
                <w:highlight w:val="none"/>
              </w:rPr>
            </w:pPr>
          </w:p>
        </w:tc>
      </w:tr>
      <w:tr w14:paraId="52040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637" w:type="dxa"/>
            <w:tcBorders>
              <w:left w:val="single" w:color="000000" w:sz="8" w:space="0"/>
              <w:bottom w:val="single" w:color="000000" w:sz="4" w:space="0"/>
              <w:right w:val="single" w:color="000000" w:sz="4" w:space="0"/>
            </w:tcBorders>
            <w:vAlign w:val="center"/>
          </w:tcPr>
          <w:p w14:paraId="41EE70C8">
            <w:pPr>
              <w:spacing w:line="560" w:lineRule="exact"/>
              <w:jc w:val="center"/>
              <w:rPr>
                <w:color w:val="auto"/>
                <w:sz w:val="28"/>
                <w:highlight w:val="none"/>
              </w:rPr>
            </w:pPr>
            <w:r>
              <w:rPr>
                <w:color w:val="auto"/>
                <w:highlight w:val="none"/>
              </w:rPr>
              <w:t>3</w:t>
            </w:r>
          </w:p>
        </w:tc>
        <w:tc>
          <w:tcPr>
            <w:tcW w:w="3098" w:type="dxa"/>
            <w:tcBorders>
              <w:bottom w:val="single" w:color="000000" w:sz="4" w:space="0"/>
              <w:right w:val="single" w:color="000000" w:sz="4" w:space="0"/>
            </w:tcBorders>
            <w:vAlign w:val="center"/>
          </w:tcPr>
          <w:p w14:paraId="5BB4E174">
            <w:pPr>
              <w:spacing w:line="560" w:lineRule="exact"/>
              <w:jc w:val="center"/>
              <w:rPr>
                <w:color w:val="auto"/>
                <w:sz w:val="28"/>
                <w:highlight w:val="none"/>
              </w:rPr>
            </w:pPr>
          </w:p>
        </w:tc>
        <w:tc>
          <w:tcPr>
            <w:tcW w:w="2947" w:type="dxa"/>
            <w:tcBorders>
              <w:bottom w:val="single" w:color="000000" w:sz="4" w:space="0"/>
              <w:right w:val="single" w:color="000000" w:sz="4" w:space="0"/>
            </w:tcBorders>
            <w:vAlign w:val="center"/>
          </w:tcPr>
          <w:p w14:paraId="1007908C">
            <w:pPr>
              <w:spacing w:line="560" w:lineRule="exact"/>
              <w:jc w:val="center"/>
              <w:rPr>
                <w:color w:val="auto"/>
                <w:sz w:val="28"/>
                <w:highlight w:val="none"/>
              </w:rPr>
            </w:pPr>
          </w:p>
        </w:tc>
        <w:tc>
          <w:tcPr>
            <w:tcW w:w="2638" w:type="dxa"/>
            <w:tcBorders>
              <w:bottom w:val="single" w:color="000000" w:sz="4" w:space="0"/>
              <w:right w:val="single" w:color="000000" w:sz="8" w:space="0"/>
            </w:tcBorders>
            <w:vAlign w:val="center"/>
          </w:tcPr>
          <w:p w14:paraId="1000CC77">
            <w:pPr>
              <w:spacing w:line="560" w:lineRule="exact"/>
              <w:jc w:val="center"/>
              <w:rPr>
                <w:color w:val="auto"/>
                <w:sz w:val="28"/>
                <w:highlight w:val="none"/>
              </w:rPr>
            </w:pPr>
          </w:p>
        </w:tc>
      </w:tr>
      <w:tr w14:paraId="5DCEB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637" w:type="dxa"/>
            <w:tcBorders>
              <w:left w:val="single" w:color="000000" w:sz="8" w:space="0"/>
              <w:bottom w:val="single" w:color="000000" w:sz="4" w:space="0"/>
              <w:right w:val="single" w:color="000000" w:sz="4" w:space="0"/>
            </w:tcBorders>
            <w:vAlign w:val="center"/>
          </w:tcPr>
          <w:p w14:paraId="082FD72E">
            <w:pPr>
              <w:spacing w:line="560" w:lineRule="exact"/>
              <w:jc w:val="center"/>
              <w:rPr>
                <w:color w:val="auto"/>
                <w:sz w:val="28"/>
                <w:highlight w:val="none"/>
              </w:rPr>
            </w:pPr>
            <w:r>
              <w:rPr>
                <w:color w:val="auto"/>
                <w:highlight w:val="none"/>
              </w:rPr>
              <w:t>4</w:t>
            </w:r>
          </w:p>
        </w:tc>
        <w:tc>
          <w:tcPr>
            <w:tcW w:w="3098" w:type="dxa"/>
            <w:tcBorders>
              <w:bottom w:val="single" w:color="000000" w:sz="4" w:space="0"/>
              <w:right w:val="single" w:color="000000" w:sz="4" w:space="0"/>
            </w:tcBorders>
            <w:vAlign w:val="center"/>
          </w:tcPr>
          <w:p w14:paraId="4B7E4C48">
            <w:pPr>
              <w:spacing w:line="560" w:lineRule="exact"/>
              <w:jc w:val="center"/>
              <w:rPr>
                <w:color w:val="auto"/>
                <w:sz w:val="28"/>
                <w:highlight w:val="none"/>
              </w:rPr>
            </w:pPr>
          </w:p>
        </w:tc>
        <w:tc>
          <w:tcPr>
            <w:tcW w:w="2947" w:type="dxa"/>
            <w:tcBorders>
              <w:bottom w:val="single" w:color="000000" w:sz="4" w:space="0"/>
              <w:right w:val="single" w:color="000000" w:sz="4" w:space="0"/>
            </w:tcBorders>
            <w:vAlign w:val="center"/>
          </w:tcPr>
          <w:p w14:paraId="0F6D9A73">
            <w:pPr>
              <w:spacing w:line="560" w:lineRule="exact"/>
              <w:jc w:val="center"/>
              <w:rPr>
                <w:color w:val="auto"/>
                <w:sz w:val="28"/>
                <w:highlight w:val="none"/>
              </w:rPr>
            </w:pPr>
          </w:p>
        </w:tc>
        <w:tc>
          <w:tcPr>
            <w:tcW w:w="2638" w:type="dxa"/>
            <w:tcBorders>
              <w:bottom w:val="single" w:color="000000" w:sz="4" w:space="0"/>
              <w:right w:val="single" w:color="000000" w:sz="8" w:space="0"/>
            </w:tcBorders>
            <w:vAlign w:val="center"/>
          </w:tcPr>
          <w:p w14:paraId="30B5DFD4">
            <w:pPr>
              <w:spacing w:line="560" w:lineRule="exact"/>
              <w:jc w:val="center"/>
              <w:rPr>
                <w:color w:val="auto"/>
                <w:sz w:val="28"/>
                <w:highlight w:val="none"/>
              </w:rPr>
            </w:pPr>
          </w:p>
        </w:tc>
      </w:tr>
      <w:tr w14:paraId="6EC5F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trPr>
        <w:tc>
          <w:tcPr>
            <w:tcW w:w="637" w:type="dxa"/>
            <w:tcBorders>
              <w:left w:val="single" w:color="000000" w:sz="8" w:space="0"/>
              <w:bottom w:val="single" w:color="000000" w:sz="4" w:space="0"/>
              <w:right w:val="single" w:color="000000" w:sz="4" w:space="0"/>
            </w:tcBorders>
            <w:vAlign w:val="center"/>
          </w:tcPr>
          <w:p w14:paraId="3617C139">
            <w:pPr>
              <w:spacing w:line="560" w:lineRule="exact"/>
              <w:jc w:val="center"/>
              <w:rPr>
                <w:color w:val="auto"/>
                <w:sz w:val="28"/>
                <w:highlight w:val="none"/>
              </w:rPr>
            </w:pPr>
            <w:r>
              <w:rPr>
                <w:color w:val="auto"/>
                <w:highlight w:val="none"/>
              </w:rPr>
              <w:t>5</w:t>
            </w:r>
          </w:p>
        </w:tc>
        <w:tc>
          <w:tcPr>
            <w:tcW w:w="3098" w:type="dxa"/>
            <w:tcBorders>
              <w:bottom w:val="single" w:color="000000" w:sz="4" w:space="0"/>
              <w:right w:val="single" w:color="000000" w:sz="4" w:space="0"/>
            </w:tcBorders>
            <w:vAlign w:val="center"/>
          </w:tcPr>
          <w:p w14:paraId="2717324C">
            <w:pPr>
              <w:spacing w:line="560" w:lineRule="exact"/>
              <w:jc w:val="center"/>
              <w:rPr>
                <w:color w:val="auto"/>
                <w:sz w:val="28"/>
                <w:highlight w:val="none"/>
              </w:rPr>
            </w:pPr>
          </w:p>
        </w:tc>
        <w:tc>
          <w:tcPr>
            <w:tcW w:w="2947" w:type="dxa"/>
            <w:tcBorders>
              <w:bottom w:val="single" w:color="000000" w:sz="4" w:space="0"/>
              <w:right w:val="single" w:color="000000" w:sz="4" w:space="0"/>
            </w:tcBorders>
            <w:vAlign w:val="center"/>
          </w:tcPr>
          <w:p w14:paraId="1752AF25">
            <w:pPr>
              <w:spacing w:line="560" w:lineRule="exact"/>
              <w:jc w:val="center"/>
              <w:rPr>
                <w:color w:val="auto"/>
                <w:sz w:val="28"/>
                <w:highlight w:val="none"/>
              </w:rPr>
            </w:pPr>
          </w:p>
        </w:tc>
        <w:tc>
          <w:tcPr>
            <w:tcW w:w="2638" w:type="dxa"/>
            <w:tcBorders>
              <w:bottom w:val="single" w:color="000000" w:sz="4" w:space="0"/>
              <w:right w:val="single" w:color="000000" w:sz="8" w:space="0"/>
            </w:tcBorders>
            <w:vAlign w:val="center"/>
          </w:tcPr>
          <w:p w14:paraId="56086AF5">
            <w:pPr>
              <w:spacing w:line="560" w:lineRule="exact"/>
              <w:jc w:val="center"/>
              <w:rPr>
                <w:color w:val="auto"/>
                <w:sz w:val="28"/>
                <w:highlight w:val="none"/>
              </w:rPr>
            </w:pPr>
          </w:p>
        </w:tc>
      </w:tr>
      <w:tr w14:paraId="096FC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637" w:type="dxa"/>
            <w:tcBorders>
              <w:left w:val="single" w:color="000000" w:sz="8" w:space="0"/>
              <w:bottom w:val="single" w:color="000000" w:sz="4" w:space="0"/>
              <w:right w:val="single" w:color="000000" w:sz="4" w:space="0"/>
            </w:tcBorders>
            <w:vAlign w:val="center"/>
          </w:tcPr>
          <w:p w14:paraId="48986CF5">
            <w:pPr>
              <w:spacing w:line="560" w:lineRule="exact"/>
              <w:jc w:val="center"/>
              <w:rPr>
                <w:color w:val="auto"/>
                <w:sz w:val="28"/>
                <w:highlight w:val="none"/>
              </w:rPr>
            </w:pPr>
            <w:r>
              <w:rPr>
                <w:color w:val="auto"/>
                <w:highlight w:val="none"/>
              </w:rPr>
              <w:t>6</w:t>
            </w:r>
          </w:p>
        </w:tc>
        <w:tc>
          <w:tcPr>
            <w:tcW w:w="3098" w:type="dxa"/>
            <w:tcBorders>
              <w:bottom w:val="single" w:color="000000" w:sz="4" w:space="0"/>
              <w:right w:val="single" w:color="000000" w:sz="4" w:space="0"/>
            </w:tcBorders>
            <w:vAlign w:val="center"/>
          </w:tcPr>
          <w:p w14:paraId="2D30A53F">
            <w:pPr>
              <w:spacing w:line="560" w:lineRule="exact"/>
              <w:jc w:val="center"/>
              <w:rPr>
                <w:color w:val="auto"/>
                <w:sz w:val="28"/>
                <w:highlight w:val="none"/>
              </w:rPr>
            </w:pPr>
          </w:p>
        </w:tc>
        <w:tc>
          <w:tcPr>
            <w:tcW w:w="2947" w:type="dxa"/>
            <w:tcBorders>
              <w:bottom w:val="single" w:color="000000" w:sz="4" w:space="0"/>
              <w:right w:val="single" w:color="000000" w:sz="4" w:space="0"/>
            </w:tcBorders>
            <w:vAlign w:val="center"/>
          </w:tcPr>
          <w:p w14:paraId="683AA014">
            <w:pPr>
              <w:spacing w:line="560" w:lineRule="exact"/>
              <w:jc w:val="center"/>
              <w:rPr>
                <w:color w:val="auto"/>
                <w:sz w:val="28"/>
                <w:highlight w:val="none"/>
              </w:rPr>
            </w:pPr>
          </w:p>
        </w:tc>
        <w:tc>
          <w:tcPr>
            <w:tcW w:w="2638" w:type="dxa"/>
            <w:tcBorders>
              <w:bottom w:val="single" w:color="000000" w:sz="4" w:space="0"/>
              <w:right w:val="single" w:color="000000" w:sz="8" w:space="0"/>
            </w:tcBorders>
            <w:vAlign w:val="center"/>
          </w:tcPr>
          <w:p w14:paraId="5F18AFC7">
            <w:pPr>
              <w:spacing w:line="560" w:lineRule="exact"/>
              <w:jc w:val="center"/>
              <w:rPr>
                <w:color w:val="auto"/>
                <w:sz w:val="28"/>
                <w:highlight w:val="none"/>
              </w:rPr>
            </w:pPr>
          </w:p>
        </w:tc>
      </w:tr>
      <w:tr w14:paraId="1AFA9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637" w:type="dxa"/>
            <w:tcBorders>
              <w:left w:val="single" w:color="000000" w:sz="8" w:space="0"/>
              <w:bottom w:val="single" w:color="000000" w:sz="4" w:space="0"/>
              <w:right w:val="single" w:color="000000" w:sz="4" w:space="0"/>
            </w:tcBorders>
            <w:vAlign w:val="center"/>
          </w:tcPr>
          <w:p w14:paraId="77A5DCA7">
            <w:pPr>
              <w:spacing w:line="560" w:lineRule="exact"/>
              <w:jc w:val="center"/>
              <w:rPr>
                <w:color w:val="auto"/>
                <w:sz w:val="28"/>
                <w:highlight w:val="none"/>
              </w:rPr>
            </w:pPr>
            <w:r>
              <w:rPr>
                <w:color w:val="auto"/>
                <w:highlight w:val="none"/>
              </w:rPr>
              <w:t>7</w:t>
            </w:r>
          </w:p>
        </w:tc>
        <w:tc>
          <w:tcPr>
            <w:tcW w:w="3098" w:type="dxa"/>
            <w:tcBorders>
              <w:bottom w:val="single" w:color="000000" w:sz="4" w:space="0"/>
              <w:right w:val="single" w:color="000000" w:sz="4" w:space="0"/>
            </w:tcBorders>
            <w:vAlign w:val="center"/>
          </w:tcPr>
          <w:p w14:paraId="5BE72C23">
            <w:pPr>
              <w:spacing w:line="560" w:lineRule="exact"/>
              <w:jc w:val="center"/>
              <w:rPr>
                <w:color w:val="auto"/>
                <w:sz w:val="28"/>
                <w:highlight w:val="none"/>
              </w:rPr>
            </w:pPr>
          </w:p>
        </w:tc>
        <w:tc>
          <w:tcPr>
            <w:tcW w:w="2947" w:type="dxa"/>
            <w:tcBorders>
              <w:bottom w:val="single" w:color="000000" w:sz="4" w:space="0"/>
              <w:right w:val="single" w:color="000000" w:sz="4" w:space="0"/>
            </w:tcBorders>
            <w:vAlign w:val="center"/>
          </w:tcPr>
          <w:p w14:paraId="4B99A742">
            <w:pPr>
              <w:spacing w:line="560" w:lineRule="exact"/>
              <w:jc w:val="center"/>
              <w:rPr>
                <w:color w:val="auto"/>
                <w:sz w:val="28"/>
                <w:highlight w:val="none"/>
              </w:rPr>
            </w:pPr>
          </w:p>
        </w:tc>
        <w:tc>
          <w:tcPr>
            <w:tcW w:w="2638" w:type="dxa"/>
            <w:tcBorders>
              <w:bottom w:val="single" w:color="000000" w:sz="4" w:space="0"/>
              <w:right w:val="single" w:color="000000" w:sz="8" w:space="0"/>
            </w:tcBorders>
            <w:vAlign w:val="center"/>
          </w:tcPr>
          <w:p w14:paraId="77867248">
            <w:pPr>
              <w:spacing w:line="560" w:lineRule="exact"/>
              <w:jc w:val="center"/>
              <w:rPr>
                <w:color w:val="auto"/>
                <w:sz w:val="28"/>
                <w:highlight w:val="none"/>
              </w:rPr>
            </w:pPr>
          </w:p>
        </w:tc>
      </w:tr>
      <w:tr w14:paraId="347A6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637" w:type="dxa"/>
            <w:tcBorders>
              <w:left w:val="single" w:color="000000" w:sz="8" w:space="0"/>
              <w:bottom w:val="single" w:color="000000" w:sz="4" w:space="0"/>
              <w:right w:val="single" w:color="000000" w:sz="4" w:space="0"/>
            </w:tcBorders>
            <w:vAlign w:val="center"/>
          </w:tcPr>
          <w:p w14:paraId="51F668BA">
            <w:pPr>
              <w:spacing w:line="560" w:lineRule="exact"/>
              <w:jc w:val="center"/>
              <w:rPr>
                <w:color w:val="auto"/>
                <w:sz w:val="28"/>
                <w:highlight w:val="none"/>
              </w:rPr>
            </w:pPr>
            <w:r>
              <w:rPr>
                <w:color w:val="auto"/>
                <w:highlight w:val="none"/>
              </w:rPr>
              <w:t>8</w:t>
            </w:r>
          </w:p>
        </w:tc>
        <w:tc>
          <w:tcPr>
            <w:tcW w:w="3098" w:type="dxa"/>
            <w:tcBorders>
              <w:bottom w:val="single" w:color="000000" w:sz="4" w:space="0"/>
              <w:right w:val="single" w:color="000000" w:sz="4" w:space="0"/>
            </w:tcBorders>
            <w:vAlign w:val="center"/>
          </w:tcPr>
          <w:p w14:paraId="345258A5">
            <w:pPr>
              <w:spacing w:line="560" w:lineRule="exact"/>
              <w:jc w:val="center"/>
              <w:rPr>
                <w:color w:val="auto"/>
                <w:sz w:val="28"/>
                <w:highlight w:val="none"/>
              </w:rPr>
            </w:pPr>
          </w:p>
        </w:tc>
        <w:tc>
          <w:tcPr>
            <w:tcW w:w="2947" w:type="dxa"/>
            <w:tcBorders>
              <w:bottom w:val="single" w:color="000000" w:sz="4" w:space="0"/>
              <w:right w:val="single" w:color="000000" w:sz="4" w:space="0"/>
            </w:tcBorders>
            <w:vAlign w:val="center"/>
          </w:tcPr>
          <w:p w14:paraId="38844C59">
            <w:pPr>
              <w:spacing w:line="560" w:lineRule="exact"/>
              <w:jc w:val="center"/>
              <w:rPr>
                <w:color w:val="auto"/>
                <w:sz w:val="28"/>
                <w:highlight w:val="none"/>
              </w:rPr>
            </w:pPr>
          </w:p>
        </w:tc>
        <w:tc>
          <w:tcPr>
            <w:tcW w:w="2638" w:type="dxa"/>
            <w:tcBorders>
              <w:bottom w:val="single" w:color="000000" w:sz="4" w:space="0"/>
              <w:right w:val="single" w:color="000000" w:sz="8" w:space="0"/>
            </w:tcBorders>
            <w:vAlign w:val="center"/>
          </w:tcPr>
          <w:p w14:paraId="7EDEEABD">
            <w:pPr>
              <w:spacing w:line="560" w:lineRule="exact"/>
              <w:jc w:val="center"/>
              <w:rPr>
                <w:color w:val="auto"/>
                <w:sz w:val="28"/>
                <w:highlight w:val="none"/>
              </w:rPr>
            </w:pPr>
          </w:p>
        </w:tc>
      </w:tr>
      <w:tr w14:paraId="3C13F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9" w:hRule="atLeast"/>
        </w:trPr>
        <w:tc>
          <w:tcPr>
            <w:tcW w:w="637" w:type="dxa"/>
            <w:tcBorders>
              <w:left w:val="single" w:color="000000" w:sz="8" w:space="0"/>
              <w:bottom w:val="single" w:color="000000" w:sz="4" w:space="0"/>
              <w:right w:val="single" w:color="000000" w:sz="4" w:space="0"/>
            </w:tcBorders>
            <w:vAlign w:val="center"/>
          </w:tcPr>
          <w:p w14:paraId="28E29DC0">
            <w:pPr>
              <w:spacing w:line="560" w:lineRule="exact"/>
              <w:jc w:val="center"/>
              <w:rPr>
                <w:color w:val="auto"/>
                <w:sz w:val="28"/>
                <w:highlight w:val="none"/>
              </w:rPr>
            </w:pPr>
            <w:r>
              <w:rPr>
                <w:color w:val="auto"/>
                <w:highlight w:val="none"/>
              </w:rPr>
              <w:t>9</w:t>
            </w:r>
          </w:p>
        </w:tc>
        <w:tc>
          <w:tcPr>
            <w:tcW w:w="3098" w:type="dxa"/>
            <w:tcBorders>
              <w:bottom w:val="single" w:color="000000" w:sz="4" w:space="0"/>
              <w:right w:val="single" w:color="000000" w:sz="4" w:space="0"/>
            </w:tcBorders>
            <w:vAlign w:val="center"/>
          </w:tcPr>
          <w:p w14:paraId="09C0B478">
            <w:pPr>
              <w:spacing w:line="560" w:lineRule="exact"/>
              <w:jc w:val="center"/>
              <w:rPr>
                <w:color w:val="auto"/>
                <w:sz w:val="28"/>
                <w:highlight w:val="none"/>
              </w:rPr>
            </w:pPr>
          </w:p>
        </w:tc>
        <w:tc>
          <w:tcPr>
            <w:tcW w:w="2947" w:type="dxa"/>
            <w:tcBorders>
              <w:bottom w:val="single" w:color="000000" w:sz="4" w:space="0"/>
              <w:right w:val="single" w:color="000000" w:sz="4" w:space="0"/>
            </w:tcBorders>
            <w:vAlign w:val="center"/>
          </w:tcPr>
          <w:p w14:paraId="11B69D95">
            <w:pPr>
              <w:spacing w:line="560" w:lineRule="exact"/>
              <w:jc w:val="center"/>
              <w:rPr>
                <w:color w:val="auto"/>
                <w:sz w:val="28"/>
                <w:highlight w:val="none"/>
              </w:rPr>
            </w:pPr>
          </w:p>
        </w:tc>
        <w:tc>
          <w:tcPr>
            <w:tcW w:w="2638" w:type="dxa"/>
            <w:tcBorders>
              <w:bottom w:val="single" w:color="000000" w:sz="4" w:space="0"/>
              <w:right w:val="single" w:color="000000" w:sz="8" w:space="0"/>
            </w:tcBorders>
            <w:vAlign w:val="center"/>
          </w:tcPr>
          <w:p w14:paraId="0A723408">
            <w:pPr>
              <w:spacing w:line="560" w:lineRule="exact"/>
              <w:jc w:val="center"/>
              <w:rPr>
                <w:color w:val="auto"/>
                <w:sz w:val="28"/>
                <w:highlight w:val="none"/>
              </w:rPr>
            </w:pPr>
          </w:p>
        </w:tc>
      </w:tr>
      <w:tr w14:paraId="03F8F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637" w:type="dxa"/>
            <w:tcBorders>
              <w:left w:val="single" w:color="000000" w:sz="8" w:space="0"/>
              <w:bottom w:val="single" w:color="000000" w:sz="8" w:space="0"/>
              <w:right w:val="single" w:color="000000" w:sz="4" w:space="0"/>
            </w:tcBorders>
            <w:vAlign w:val="center"/>
          </w:tcPr>
          <w:p w14:paraId="1581A087">
            <w:pPr>
              <w:spacing w:line="560" w:lineRule="exact"/>
              <w:jc w:val="center"/>
              <w:rPr>
                <w:color w:val="auto"/>
                <w:sz w:val="28"/>
                <w:highlight w:val="none"/>
              </w:rPr>
            </w:pPr>
            <w:r>
              <w:rPr>
                <w:color w:val="auto"/>
                <w:highlight w:val="none"/>
              </w:rPr>
              <w:t>......</w:t>
            </w:r>
          </w:p>
        </w:tc>
        <w:tc>
          <w:tcPr>
            <w:tcW w:w="3098" w:type="dxa"/>
            <w:tcBorders>
              <w:bottom w:val="single" w:color="000000" w:sz="8" w:space="0"/>
              <w:right w:val="single" w:color="000000" w:sz="4" w:space="0"/>
            </w:tcBorders>
            <w:vAlign w:val="center"/>
          </w:tcPr>
          <w:p w14:paraId="58459F0F">
            <w:pPr>
              <w:spacing w:line="560" w:lineRule="exact"/>
              <w:jc w:val="center"/>
              <w:rPr>
                <w:color w:val="auto"/>
                <w:sz w:val="28"/>
                <w:highlight w:val="none"/>
              </w:rPr>
            </w:pPr>
          </w:p>
        </w:tc>
        <w:tc>
          <w:tcPr>
            <w:tcW w:w="2947" w:type="dxa"/>
            <w:tcBorders>
              <w:bottom w:val="single" w:color="000000" w:sz="8" w:space="0"/>
              <w:right w:val="single" w:color="000000" w:sz="4" w:space="0"/>
            </w:tcBorders>
            <w:vAlign w:val="center"/>
          </w:tcPr>
          <w:p w14:paraId="7FEAF5FA">
            <w:pPr>
              <w:spacing w:line="560" w:lineRule="exact"/>
              <w:jc w:val="center"/>
              <w:rPr>
                <w:color w:val="auto"/>
                <w:sz w:val="28"/>
                <w:highlight w:val="none"/>
              </w:rPr>
            </w:pPr>
          </w:p>
        </w:tc>
        <w:tc>
          <w:tcPr>
            <w:tcW w:w="2638" w:type="dxa"/>
            <w:tcBorders>
              <w:bottom w:val="single" w:color="000000" w:sz="8" w:space="0"/>
              <w:right w:val="single" w:color="000000" w:sz="8" w:space="0"/>
            </w:tcBorders>
            <w:vAlign w:val="center"/>
          </w:tcPr>
          <w:p w14:paraId="5506FE14">
            <w:pPr>
              <w:spacing w:line="560" w:lineRule="exact"/>
              <w:jc w:val="center"/>
              <w:rPr>
                <w:color w:val="auto"/>
                <w:sz w:val="28"/>
                <w:highlight w:val="none"/>
              </w:rPr>
            </w:pPr>
          </w:p>
        </w:tc>
      </w:tr>
    </w:tbl>
    <w:p w14:paraId="3CF1255C">
      <w:pPr>
        <w:tabs>
          <w:tab w:val="left" w:pos="0"/>
        </w:tabs>
        <w:adjustRightInd w:val="0"/>
        <w:snapToGrid w:val="0"/>
        <w:spacing w:beforeLines="50" w:line="300" w:lineRule="auto"/>
        <w:ind w:right="25" w:firstLine="452" w:firstLineChars="200"/>
        <w:rPr>
          <w:rFonts w:ascii="宋体" w:hAnsi="宋体"/>
          <w:color w:val="auto"/>
          <w:spacing w:val="8"/>
          <w:szCs w:val="21"/>
          <w:highlight w:val="none"/>
        </w:rPr>
      </w:pPr>
      <w:r>
        <w:rPr>
          <w:rFonts w:hint="eastAsia" w:ascii="宋体" w:hAnsi="宋体"/>
          <w:color w:val="auto"/>
          <w:spacing w:val="8"/>
          <w:szCs w:val="21"/>
          <w:highlight w:val="none"/>
        </w:rPr>
        <w:t>注：</w:t>
      </w:r>
      <w:r>
        <w:rPr>
          <w:rFonts w:ascii="宋体" w:hAnsi="宋体"/>
          <w:color w:val="auto"/>
          <w:spacing w:val="8"/>
          <w:szCs w:val="21"/>
          <w:highlight w:val="none"/>
        </w:rPr>
        <w:t>1</w:t>
      </w:r>
      <w:r>
        <w:rPr>
          <w:rFonts w:hint="eastAsia" w:ascii="宋体" w:hAnsi="宋体"/>
          <w:color w:val="auto"/>
          <w:spacing w:val="8"/>
          <w:szCs w:val="21"/>
          <w:highlight w:val="none"/>
        </w:rPr>
        <w:t>、“其他偏差表”应详细注明与《谈判文件》中各项要求（除技术条款外的所有条款）有何不同，并说明其符合性（优于、或低于《谈判文件》要求）。</w:t>
      </w:r>
    </w:p>
    <w:p w14:paraId="3AC8C512">
      <w:pPr>
        <w:tabs>
          <w:tab w:val="left" w:pos="0"/>
        </w:tabs>
        <w:adjustRightInd w:val="0"/>
        <w:snapToGrid w:val="0"/>
        <w:spacing w:beforeLines="50" w:line="300" w:lineRule="auto"/>
        <w:ind w:right="25" w:firstLine="452" w:firstLineChars="200"/>
        <w:rPr>
          <w:rFonts w:ascii="宋体"/>
          <w:color w:val="auto"/>
          <w:spacing w:val="8"/>
          <w:szCs w:val="21"/>
          <w:highlight w:val="none"/>
        </w:rPr>
      </w:pPr>
      <w:r>
        <w:rPr>
          <w:rFonts w:ascii="宋体" w:hAnsi="宋体"/>
          <w:color w:val="auto"/>
          <w:spacing w:val="8"/>
          <w:szCs w:val="21"/>
          <w:highlight w:val="none"/>
        </w:rPr>
        <w:t>2</w:t>
      </w:r>
      <w:r>
        <w:rPr>
          <w:rFonts w:hint="eastAsia" w:ascii="宋体" w:hAnsi="宋体"/>
          <w:color w:val="auto"/>
          <w:spacing w:val="8"/>
          <w:szCs w:val="21"/>
          <w:highlight w:val="none"/>
        </w:rPr>
        <w:t>、如投标条款与《谈判文件》其他要求一致，仍需在本表填列“除技术条款外，与《谈判文件》所有条款要求一致，无偏差”等相似表述。</w:t>
      </w:r>
    </w:p>
    <w:p w14:paraId="70E25B57">
      <w:pPr>
        <w:tabs>
          <w:tab w:val="left" w:pos="0"/>
        </w:tabs>
        <w:adjustRightInd w:val="0"/>
        <w:snapToGrid w:val="0"/>
        <w:spacing w:beforeLines="50" w:line="300" w:lineRule="auto"/>
        <w:ind w:right="510"/>
        <w:rPr>
          <w:rFonts w:ascii="宋体"/>
          <w:color w:val="auto"/>
          <w:spacing w:val="8"/>
          <w:szCs w:val="21"/>
          <w:highlight w:val="none"/>
        </w:rPr>
      </w:pPr>
    </w:p>
    <w:p w14:paraId="0FBD328E">
      <w:pPr>
        <w:tabs>
          <w:tab w:val="left" w:pos="0"/>
        </w:tabs>
        <w:adjustRightInd w:val="0"/>
        <w:snapToGrid w:val="0"/>
        <w:spacing w:beforeLines="50" w:line="300" w:lineRule="auto"/>
        <w:ind w:right="510"/>
        <w:rPr>
          <w:rFonts w:ascii="宋体"/>
          <w:color w:val="auto"/>
          <w:spacing w:val="8"/>
          <w:szCs w:val="21"/>
          <w:highlight w:val="none"/>
        </w:rPr>
      </w:pPr>
    </w:p>
    <w:p w14:paraId="5C583D5B">
      <w:pPr>
        <w:widowControl w:val="0"/>
        <w:tabs>
          <w:tab w:val="left" w:pos="9365"/>
        </w:tabs>
        <w:snapToGrid w:val="0"/>
        <w:spacing w:after="56" w:line="560" w:lineRule="exact"/>
        <w:ind w:right="85"/>
        <w:jc w:val="left"/>
        <w:textAlignment w:val="top"/>
        <w:rPr>
          <w:color w:val="auto"/>
          <w:sz w:val="24"/>
          <w:szCs w:val="24"/>
          <w:highlight w:val="none"/>
        </w:rPr>
      </w:pPr>
      <w:r>
        <w:rPr>
          <w:rFonts w:hint="eastAsia"/>
          <w:color w:val="auto"/>
          <w:sz w:val="24"/>
          <w:szCs w:val="24"/>
          <w:highlight w:val="none"/>
        </w:rPr>
        <w:t>投标人（电子签</w:t>
      </w:r>
      <w:r>
        <w:rPr>
          <w:rFonts w:hint="eastAsia" w:ascii="宋体" w:hAnsi="宋体"/>
          <w:color w:val="auto"/>
          <w:sz w:val="24"/>
          <w:szCs w:val="24"/>
          <w:highlight w:val="none"/>
        </w:rPr>
        <w:t>章</w:t>
      </w:r>
      <w:r>
        <w:rPr>
          <w:rFonts w:hint="eastAsia"/>
          <w:color w:val="auto"/>
          <w:sz w:val="24"/>
          <w:szCs w:val="24"/>
          <w:highlight w:val="none"/>
        </w:rPr>
        <w:t>）：</w:t>
      </w:r>
    </w:p>
    <w:p w14:paraId="4D257F30">
      <w:pPr>
        <w:widowControl w:val="0"/>
        <w:tabs>
          <w:tab w:val="left" w:pos="9365"/>
        </w:tabs>
        <w:snapToGrid w:val="0"/>
        <w:spacing w:after="56" w:line="560" w:lineRule="exact"/>
        <w:ind w:right="85"/>
        <w:jc w:val="left"/>
        <w:textAlignment w:val="top"/>
        <w:rPr>
          <w:color w:val="auto"/>
          <w:sz w:val="24"/>
          <w:szCs w:val="24"/>
          <w:highlight w:val="none"/>
        </w:rPr>
      </w:pPr>
      <w:r>
        <w:rPr>
          <w:rFonts w:hint="eastAsia"/>
          <w:color w:val="auto"/>
          <w:sz w:val="24"/>
          <w:szCs w:val="24"/>
          <w:highlight w:val="none"/>
        </w:rPr>
        <w:t>法定代表人（电子签名或签章）：</w:t>
      </w:r>
    </w:p>
    <w:p w14:paraId="67BFC64F">
      <w:pPr>
        <w:autoSpaceDE w:val="0"/>
        <w:autoSpaceDN w:val="0"/>
        <w:adjustRightInd w:val="0"/>
        <w:spacing w:line="480" w:lineRule="auto"/>
        <w:rPr>
          <w:rFonts w:ascii="宋体"/>
          <w:color w:val="auto"/>
          <w:sz w:val="24"/>
          <w:highlight w:val="none"/>
        </w:rPr>
      </w:pPr>
      <w:r>
        <w:rPr>
          <w:rFonts w:hint="eastAsia" w:ascii="宋体" w:hAnsi="宋体"/>
          <w:color w:val="auto"/>
          <w:spacing w:val="8"/>
          <w:sz w:val="24"/>
          <w:highlight w:val="none"/>
        </w:rPr>
        <w:t>日期：</w:t>
      </w:r>
      <w:r>
        <w:rPr>
          <w:rFonts w:hint="eastAsia" w:ascii="宋体" w:hAnsi="宋体" w:cs="楷体_GB2312"/>
          <w:color w:val="auto"/>
          <w:sz w:val="24"/>
          <w:highlight w:val="none"/>
          <w:lang w:val="zh-CN"/>
        </w:rPr>
        <w:t>年月日</w:t>
      </w:r>
    </w:p>
    <w:p w14:paraId="37E4F265">
      <w:pPr>
        <w:tabs>
          <w:tab w:val="left" w:pos="540"/>
        </w:tabs>
        <w:spacing w:line="440" w:lineRule="exact"/>
        <w:jc w:val="center"/>
        <w:rPr>
          <w:rFonts w:ascii="宋体" w:cs="楷体_GB2312"/>
          <w:b/>
          <w:color w:val="auto"/>
          <w:sz w:val="30"/>
          <w:szCs w:val="30"/>
          <w:highlight w:val="none"/>
          <w:lang w:val="zh-CN"/>
        </w:rPr>
      </w:pPr>
    </w:p>
    <w:p w14:paraId="6E992B38">
      <w:pPr>
        <w:widowControl w:val="0"/>
        <w:snapToGrid w:val="0"/>
        <w:spacing w:line="560" w:lineRule="exact"/>
        <w:jc w:val="left"/>
        <w:textAlignment w:val="top"/>
        <w:rPr>
          <w:color w:val="auto"/>
          <w:highlight w:val="none"/>
        </w:rPr>
      </w:pPr>
      <w:r>
        <w:rPr>
          <w:color w:val="auto"/>
          <w:highlight w:val="none"/>
        </w:rPr>
        <w:br w:type="page"/>
      </w:r>
    </w:p>
    <w:p w14:paraId="780300CB">
      <w:pPr>
        <w:tabs>
          <w:tab w:val="left" w:pos="540"/>
        </w:tabs>
        <w:spacing w:line="440" w:lineRule="exact"/>
        <w:jc w:val="center"/>
        <w:rPr>
          <w:rFonts w:ascii="黑体" w:hAnsi="黑体" w:eastAsia="黑体"/>
          <w:b/>
          <w:color w:val="auto"/>
          <w:sz w:val="30"/>
          <w:szCs w:val="30"/>
          <w:highlight w:val="none"/>
        </w:rPr>
      </w:pPr>
      <w:bookmarkStart w:id="65" w:name="OLE_LINK27"/>
      <w:r>
        <w:rPr>
          <w:rFonts w:hint="eastAsia" w:ascii="黑体" w:hAnsi="黑体" w:eastAsia="黑体"/>
          <w:b/>
          <w:color w:val="auto"/>
          <w:sz w:val="30"/>
          <w:szCs w:val="30"/>
          <w:highlight w:val="none"/>
        </w:rPr>
        <w:t>七、售后服务计划</w:t>
      </w:r>
      <w:bookmarkEnd w:id="65"/>
    </w:p>
    <w:p w14:paraId="205D6295">
      <w:pPr>
        <w:snapToGrid w:val="0"/>
        <w:spacing w:line="560" w:lineRule="exact"/>
        <w:ind w:firstLine="839"/>
        <w:rPr>
          <w:color w:val="auto"/>
          <w:highlight w:val="none"/>
        </w:rPr>
      </w:pPr>
    </w:p>
    <w:p w14:paraId="298D767D">
      <w:pPr>
        <w:autoSpaceDE w:val="0"/>
        <w:autoSpaceDN w:val="0"/>
        <w:adjustRightInd w:val="0"/>
        <w:spacing w:line="360" w:lineRule="auto"/>
        <w:ind w:left="1" w:firstLine="560"/>
        <w:rPr>
          <w:rFonts w:ascii="宋体" w:cs="楷体_GB2312"/>
          <w:color w:val="auto"/>
          <w:sz w:val="24"/>
          <w:highlight w:val="none"/>
          <w:lang w:val="zh-CN"/>
        </w:rPr>
      </w:pPr>
      <w:r>
        <w:rPr>
          <w:rFonts w:ascii="宋体" w:hAnsi="宋体" w:cs="楷体_GB2312"/>
          <w:color w:val="auto"/>
          <w:sz w:val="24"/>
          <w:highlight w:val="none"/>
          <w:lang w:val="zh-CN"/>
        </w:rPr>
        <w:t>1</w:t>
      </w:r>
      <w:r>
        <w:rPr>
          <w:rFonts w:hint="eastAsia" w:ascii="宋体" w:hAnsi="宋体" w:cs="楷体_GB2312"/>
          <w:color w:val="auto"/>
          <w:sz w:val="24"/>
          <w:highlight w:val="none"/>
          <w:lang w:val="zh-CN"/>
        </w:rPr>
        <w:t>、详细说明售后服务的内容、形式、时间、解决质量的响应时间、解决问题时间、单位名称、地点。</w:t>
      </w:r>
    </w:p>
    <w:p w14:paraId="177A2E1D">
      <w:pPr>
        <w:autoSpaceDE w:val="0"/>
        <w:autoSpaceDN w:val="0"/>
        <w:adjustRightInd w:val="0"/>
        <w:spacing w:line="360" w:lineRule="auto"/>
        <w:ind w:left="1" w:firstLine="560"/>
        <w:rPr>
          <w:rFonts w:ascii="宋体" w:cs="楷体_GB2312"/>
          <w:color w:val="auto"/>
          <w:sz w:val="24"/>
          <w:highlight w:val="none"/>
          <w:lang w:val="zh-CN"/>
        </w:rPr>
      </w:pPr>
      <w:r>
        <w:rPr>
          <w:rFonts w:ascii="宋体" w:hAnsi="宋体" w:cs="楷体_GB2312"/>
          <w:color w:val="auto"/>
          <w:sz w:val="24"/>
          <w:highlight w:val="none"/>
          <w:lang w:val="zh-CN"/>
        </w:rPr>
        <w:t>2</w:t>
      </w:r>
      <w:r>
        <w:rPr>
          <w:rFonts w:hint="eastAsia" w:ascii="宋体" w:hAnsi="宋体" w:cs="楷体_GB2312"/>
          <w:color w:val="auto"/>
          <w:sz w:val="24"/>
          <w:highlight w:val="none"/>
          <w:lang w:val="zh-CN"/>
        </w:rPr>
        <w:t>、质量保证措施。</w:t>
      </w:r>
    </w:p>
    <w:p w14:paraId="55BE9AD6">
      <w:pPr>
        <w:autoSpaceDE w:val="0"/>
        <w:autoSpaceDN w:val="0"/>
        <w:adjustRightInd w:val="0"/>
        <w:spacing w:line="360" w:lineRule="auto"/>
        <w:ind w:left="1" w:firstLine="560"/>
        <w:rPr>
          <w:rFonts w:ascii="宋体" w:cs="楷体_GB2312"/>
          <w:color w:val="auto"/>
          <w:sz w:val="24"/>
          <w:highlight w:val="none"/>
          <w:lang w:val="zh-CN"/>
        </w:rPr>
      </w:pPr>
      <w:r>
        <w:rPr>
          <w:rFonts w:ascii="宋体" w:hAnsi="宋体" w:cs="楷体_GB2312"/>
          <w:color w:val="auto"/>
          <w:sz w:val="24"/>
          <w:highlight w:val="none"/>
          <w:lang w:val="zh-CN"/>
        </w:rPr>
        <w:t>3</w:t>
      </w:r>
      <w:r>
        <w:rPr>
          <w:rFonts w:hint="eastAsia" w:ascii="宋体" w:hAnsi="宋体" w:cs="楷体_GB2312"/>
          <w:color w:val="auto"/>
          <w:sz w:val="24"/>
          <w:highlight w:val="none"/>
          <w:lang w:val="zh-CN"/>
        </w:rPr>
        <w:t>、培训计划</w:t>
      </w:r>
    </w:p>
    <w:p w14:paraId="18FCADB0">
      <w:pPr>
        <w:autoSpaceDE w:val="0"/>
        <w:autoSpaceDN w:val="0"/>
        <w:adjustRightInd w:val="0"/>
        <w:spacing w:line="360" w:lineRule="auto"/>
        <w:ind w:left="1" w:firstLine="560"/>
        <w:rPr>
          <w:rFonts w:ascii="宋体" w:cs="楷体_GB2312"/>
          <w:color w:val="auto"/>
          <w:sz w:val="24"/>
          <w:highlight w:val="none"/>
          <w:lang w:val="zh-CN"/>
        </w:rPr>
      </w:pPr>
      <w:r>
        <w:rPr>
          <w:rFonts w:ascii="宋体" w:hAnsi="宋体" w:cs="楷体_GB2312"/>
          <w:color w:val="auto"/>
          <w:sz w:val="24"/>
          <w:highlight w:val="none"/>
          <w:lang w:val="zh-CN"/>
        </w:rPr>
        <w:t>4</w:t>
      </w:r>
      <w:r>
        <w:rPr>
          <w:rFonts w:hint="eastAsia" w:ascii="宋体" w:hAnsi="宋体" w:cs="楷体_GB2312"/>
          <w:color w:val="auto"/>
          <w:sz w:val="24"/>
          <w:highlight w:val="none"/>
          <w:lang w:val="zh-CN"/>
        </w:rPr>
        <w:t>、该项目（标段&lt;包&gt;）所提供的其他免费物品或服务。</w:t>
      </w:r>
    </w:p>
    <w:p w14:paraId="1A0AD17D">
      <w:pPr>
        <w:autoSpaceDE w:val="0"/>
        <w:autoSpaceDN w:val="0"/>
        <w:adjustRightInd w:val="0"/>
        <w:spacing w:line="360" w:lineRule="auto"/>
        <w:ind w:left="1" w:firstLine="560"/>
        <w:rPr>
          <w:rFonts w:ascii="宋体" w:cs="楷体_GB2312"/>
          <w:color w:val="auto"/>
          <w:sz w:val="24"/>
          <w:highlight w:val="none"/>
          <w:lang w:val="zh-CN"/>
        </w:rPr>
      </w:pPr>
    </w:p>
    <w:p w14:paraId="5EFD999C">
      <w:pPr>
        <w:autoSpaceDE w:val="0"/>
        <w:autoSpaceDN w:val="0"/>
        <w:adjustRightInd w:val="0"/>
        <w:spacing w:line="360" w:lineRule="auto"/>
        <w:ind w:left="1" w:firstLine="560"/>
        <w:rPr>
          <w:rFonts w:ascii="宋体" w:cs="楷体_GB2312"/>
          <w:color w:val="auto"/>
          <w:sz w:val="24"/>
          <w:highlight w:val="none"/>
          <w:lang w:val="zh-CN"/>
        </w:rPr>
      </w:pPr>
    </w:p>
    <w:p w14:paraId="24668F17">
      <w:pPr>
        <w:autoSpaceDE w:val="0"/>
        <w:autoSpaceDN w:val="0"/>
        <w:adjustRightInd w:val="0"/>
        <w:spacing w:line="360" w:lineRule="auto"/>
        <w:ind w:left="1" w:firstLine="560"/>
        <w:rPr>
          <w:rFonts w:ascii="宋体" w:cs="楷体_GB2312"/>
          <w:color w:val="auto"/>
          <w:sz w:val="24"/>
          <w:highlight w:val="none"/>
          <w:lang w:val="zh-CN"/>
        </w:rPr>
      </w:pPr>
    </w:p>
    <w:p w14:paraId="488E5BFF">
      <w:pPr>
        <w:autoSpaceDE w:val="0"/>
        <w:autoSpaceDN w:val="0"/>
        <w:adjustRightInd w:val="0"/>
        <w:spacing w:line="360" w:lineRule="auto"/>
        <w:ind w:left="1" w:firstLine="560"/>
        <w:rPr>
          <w:rFonts w:ascii="宋体" w:cs="楷体_GB2312"/>
          <w:color w:val="auto"/>
          <w:sz w:val="24"/>
          <w:highlight w:val="none"/>
          <w:lang w:val="zh-CN"/>
        </w:rPr>
      </w:pPr>
    </w:p>
    <w:p w14:paraId="0D5B2753">
      <w:pPr>
        <w:autoSpaceDE w:val="0"/>
        <w:autoSpaceDN w:val="0"/>
        <w:adjustRightInd w:val="0"/>
        <w:spacing w:line="360" w:lineRule="auto"/>
        <w:ind w:left="1" w:firstLine="560"/>
        <w:rPr>
          <w:rFonts w:ascii="宋体" w:cs="楷体_GB2312"/>
          <w:color w:val="auto"/>
          <w:sz w:val="24"/>
          <w:highlight w:val="none"/>
          <w:lang w:val="zh-CN"/>
        </w:rPr>
      </w:pPr>
    </w:p>
    <w:p w14:paraId="7E3DCCFF">
      <w:pPr>
        <w:autoSpaceDE w:val="0"/>
        <w:autoSpaceDN w:val="0"/>
        <w:adjustRightInd w:val="0"/>
        <w:spacing w:line="360" w:lineRule="auto"/>
        <w:ind w:left="1" w:firstLine="560"/>
        <w:rPr>
          <w:rFonts w:ascii="宋体" w:cs="楷体_GB2312"/>
          <w:color w:val="auto"/>
          <w:sz w:val="24"/>
          <w:highlight w:val="none"/>
          <w:lang w:val="zh-CN"/>
        </w:rPr>
      </w:pPr>
    </w:p>
    <w:p w14:paraId="25EA6DA9">
      <w:pPr>
        <w:autoSpaceDE w:val="0"/>
        <w:autoSpaceDN w:val="0"/>
        <w:adjustRightInd w:val="0"/>
        <w:spacing w:line="360" w:lineRule="auto"/>
        <w:ind w:left="1" w:firstLine="560"/>
        <w:rPr>
          <w:rFonts w:ascii="宋体" w:cs="楷体_GB2312"/>
          <w:color w:val="auto"/>
          <w:sz w:val="24"/>
          <w:highlight w:val="none"/>
          <w:lang w:val="zh-CN"/>
        </w:rPr>
      </w:pPr>
    </w:p>
    <w:p w14:paraId="4F8CDCD2">
      <w:pPr>
        <w:autoSpaceDE w:val="0"/>
        <w:autoSpaceDN w:val="0"/>
        <w:adjustRightInd w:val="0"/>
        <w:spacing w:line="360" w:lineRule="auto"/>
        <w:ind w:left="1" w:firstLine="560"/>
        <w:rPr>
          <w:rFonts w:ascii="宋体" w:cs="楷体_GB2312"/>
          <w:color w:val="auto"/>
          <w:sz w:val="24"/>
          <w:highlight w:val="none"/>
          <w:lang w:val="zh-CN"/>
        </w:rPr>
      </w:pPr>
    </w:p>
    <w:p w14:paraId="647A4709">
      <w:pPr>
        <w:autoSpaceDE w:val="0"/>
        <w:autoSpaceDN w:val="0"/>
        <w:adjustRightInd w:val="0"/>
        <w:spacing w:line="360" w:lineRule="auto"/>
        <w:ind w:left="1" w:firstLine="560"/>
        <w:rPr>
          <w:rFonts w:ascii="宋体" w:cs="楷体_GB2312"/>
          <w:color w:val="auto"/>
          <w:sz w:val="24"/>
          <w:highlight w:val="none"/>
          <w:lang w:val="zh-CN"/>
        </w:rPr>
      </w:pPr>
    </w:p>
    <w:p w14:paraId="3A4A7252">
      <w:pPr>
        <w:autoSpaceDE w:val="0"/>
        <w:autoSpaceDN w:val="0"/>
        <w:adjustRightInd w:val="0"/>
        <w:spacing w:line="360" w:lineRule="auto"/>
        <w:ind w:left="1" w:firstLine="560"/>
        <w:rPr>
          <w:rFonts w:ascii="宋体" w:cs="楷体_GB2312"/>
          <w:color w:val="auto"/>
          <w:sz w:val="24"/>
          <w:highlight w:val="none"/>
          <w:lang w:val="zh-CN"/>
        </w:rPr>
      </w:pPr>
    </w:p>
    <w:p w14:paraId="5681F071">
      <w:pPr>
        <w:autoSpaceDE w:val="0"/>
        <w:autoSpaceDN w:val="0"/>
        <w:adjustRightInd w:val="0"/>
        <w:spacing w:line="360" w:lineRule="auto"/>
        <w:ind w:left="1" w:firstLine="560"/>
        <w:rPr>
          <w:rFonts w:ascii="宋体" w:cs="楷体_GB2312"/>
          <w:color w:val="auto"/>
          <w:sz w:val="24"/>
          <w:highlight w:val="none"/>
          <w:lang w:val="zh-CN"/>
        </w:rPr>
      </w:pPr>
      <w:r>
        <w:rPr>
          <w:rFonts w:hint="eastAsia" w:ascii="宋体" w:hAnsi="宋体" w:cs="楷体_GB2312"/>
          <w:color w:val="auto"/>
          <w:sz w:val="24"/>
          <w:highlight w:val="none"/>
          <w:lang w:val="zh-CN"/>
        </w:rPr>
        <w:t>注：</w:t>
      </w:r>
    </w:p>
    <w:p w14:paraId="4B3926BB">
      <w:pPr>
        <w:autoSpaceDE w:val="0"/>
        <w:autoSpaceDN w:val="0"/>
        <w:adjustRightInd w:val="0"/>
        <w:spacing w:line="360" w:lineRule="auto"/>
        <w:ind w:left="1" w:firstLine="560"/>
        <w:rPr>
          <w:rFonts w:ascii="宋体" w:cs="楷体_GB2312"/>
          <w:color w:val="auto"/>
          <w:sz w:val="24"/>
          <w:highlight w:val="none"/>
          <w:lang w:val="zh-CN"/>
        </w:rPr>
      </w:pPr>
      <w:r>
        <w:rPr>
          <w:rFonts w:ascii="宋体" w:hAnsi="宋体" w:cs="楷体_GB2312"/>
          <w:color w:val="auto"/>
          <w:sz w:val="24"/>
          <w:highlight w:val="none"/>
          <w:lang w:val="zh-CN"/>
        </w:rPr>
        <w:t>1</w:t>
      </w:r>
      <w:r>
        <w:rPr>
          <w:rFonts w:hint="eastAsia" w:ascii="宋体" w:hAnsi="宋体" w:cs="楷体_GB2312"/>
          <w:color w:val="auto"/>
          <w:sz w:val="24"/>
          <w:highlight w:val="none"/>
          <w:lang w:val="zh-CN"/>
        </w:rPr>
        <w:t>、投标人应按要求详细制定出所列条款。</w:t>
      </w:r>
    </w:p>
    <w:p w14:paraId="0156FE6B">
      <w:pPr>
        <w:autoSpaceDE w:val="0"/>
        <w:autoSpaceDN w:val="0"/>
        <w:adjustRightInd w:val="0"/>
        <w:spacing w:line="360" w:lineRule="auto"/>
        <w:ind w:left="1" w:firstLine="560"/>
        <w:rPr>
          <w:rFonts w:ascii="宋体" w:cs="楷体_GB2312"/>
          <w:color w:val="auto"/>
          <w:sz w:val="24"/>
          <w:highlight w:val="none"/>
          <w:lang w:val="zh-CN"/>
        </w:rPr>
      </w:pPr>
      <w:r>
        <w:rPr>
          <w:rFonts w:ascii="宋体" w:hAnsi="宋体" w:cs="楷体_GB2312"/>
          <w:color w:val="auto"/>
          <w:sz w:val="24"/>
          <w:highlight w:val="none"/>
          <w:lang w:val="zh-CN"/>
        </w:rPr>
        <w:t>2</w:t>
      </w:r>
      <w:r>
        <w:rPr>
          <w:rFonts w:hint="eastAsia" w:ascii="宋体" w:hAnsi="宋体" w:cs="楷体_GB2312"/>
          <w:color w:val="auto"/>
          <w:sz w:val="24"/>
          <w:highlight w:val="none"/>
          <w:lang w:val="zh-CN"/>
        </w:rPr>
        <w:t>、“售后服务计划”按谈判文件相应条款要求电子签名&lt;签</w:t>
      </w:r>
      <w:r>
        <w:rPr>
          <w:rFonts w:hint="eastAsia" w:ascii="宋体" w:hAnsi="宋体"/>
          <w:color w:val="auto"/>
          <w:sz w:val="24"/>
          <w:szCs w:val="24"/>
          <w:highlight w:val="none"/>
        </w:rPr>
        <w:t>章&gt;，未作明确要求的，由法定代表人</w:t>
      </w:r>
      <w:r>
        <w:rPr>
          <w:rFonts w:hint="eastAsia" w:ascii="宋体" w:hAnsi="宋体" w:cs="楷体_GB2312"/>
          <w:color w:val="auto"/>
          <w:sz w:val="24"/>
          <w:highlight w:val="none"/>
          <w:lang w:val="zh-CN"/>
        </w:rPr>
        <w:t>电子签名&lt;签</w:t>
      </w:r>
      <w:r>
        <w:rPr>
          <w:rFonts w:hint="eastAsia" w:ascii="宋体" w:hAnsi="宋体"/>
          <w:color w:val="auto"/>
          <w:sz w:val="24"/>
          <w:szCs w:val="24"/>
          <w:highlight w:val="none"/>
        </w:rPr>
        <w:t>章&gt;或投标人</w:t>
      </w:r>
      <w:r>
        <w:rPr>
          <w:rFonts w:hint="eastAsia" w:ascii="宋体" w:hAnsi="宋体" w:cs="楷体_GB2312"/>
          <w:color w:val="auto"/>
          <w:sz w:val="24"/>
          <w:highlight w:val="none"/>
          <w:lang w:val="zh-CN"/>
        </w:rPr>
        <w:t>电子签</w:t>
      </w:r>
      <w:r>
        <w:rPr>
          <w:rFonts w:hint="eastAsia" w:ascii="宋体" w:hAnsi="宋体"/>
          <w:color w:val="auto"/>
          <w:sz w:val="24"/>
          <w:szCs w:val="24"/>
          <w:highlight w:val="none"/>
        </w:rPr>
        <w:t>章</w:t>
      </w:r>
      <w:r>
        <w:rPr>
          <w:rFonts w:hint="eastAsia" w:ascii="宋体" w:hAnsi="宋体" w:cs="楷体_GB2312"/>
          <w:color w:val="auto"/>
          <w:sz w:val="24"/>
          <w:highlight w:val="none"/>
          <w:lang w:val="zh-CN"/>
        </w:rPr>
        <w:t>。</w:t>
      </w:r>
    </w:p>
    <w:p w14:paraId="628BE671">
      <w:pPr>
        <w:snapToGrid w:val="0"/>
        <w:spacing w:line="560" w:lineRule="exact"/>
        <w:rPr>
          <w:color w:val="auto"/>
          <w:highlight w:val="none"/>
        </w:rPr>
      </w:pPr>
    </w:p>
    <w:p w14:paraId="37DBAE80">
      <w:pPr>
        <w:tabs>
          <w:tab w:val="left" w:pos="540"/>
        </w:tabs>
        <w:spacing w:line="440" w:lineRule="exact"/>
        <w:jc w:val="center"/>
        <w:rPr>
          <w:color w:val="auto"/>
          <w:sz w:val="28"/>
          <w:highlight w:val="none"/>
        </w:rPr>
      </w:pPr>
      <w:r>
        <w:rPr>
          <w:color w:val="auto"/>
          <w:sz w:val="28"/>
          <w:highlight w:val="none"/>
        </w:rPr>
        <w:br w:type="page"/>
      </w:r>
      <w:bookmarkStart w:id="66" w:name="OLE_LINK28"/>
    </w:p>
    <w:p w14:paraId="652479B6">
      <w:pPr>
        <w:tabs>
          <w:tab w:val="left" w:pos="540"/>
        </w:tabs>
        <w:spacing w:line="440" w:lineRule="exact"/>
        <w:jc w:val="center"/>
        <w:rPr>
          <w:rFonts w:ascii="黑体" w:hAnsi="黑体" w:eastAsia="黑体"/>
          <w:b/>
          <w:color w:val="auto"/>
          <w:sz w:val="30"/>
          <w:szCs w:val="30"/>
          <w:highlight w:val="none"/>
        </w:rPr>
      </w:pPr>
      <w:r>
        <w:rPr>
          <w:rFonts w:hint="eastAsia" w:ascii="黑体" w:hAnsi="黑体" w:eastAsia="黑体"/>
          <w:b/>
          <w:color w:val="auto"/>
          <w:sz w:val="30"/>
          <w:szCs w:val="30"/>
          <w:highlight w:val="none"/>
        </w:rPr>
        <w:t>八、关于资格的声明函</w:t>
      </w:r>
      <w:bookmarkEnd w:id="66"/>
    </w:p>
    <w:p w14:paraId="488AA6D2">
      <w:pPr>
        <w:snapToGrid w:val="0"/>
        <w:spacing w:line="560" w:lineRule="exact"/>
        <w:ind w:firstLine="839"/>
        <w:rPr>
          <w:color w:val="auto"/>
          <w:highlight w:val="none"/>
        </w:rPr>
      </w:pPr>
    </w:p>
    <w:p w14:paraId="044110AC">
      <w:pPr>
        <w:snapToGrid w:val="0"/>
        <w:spacing w:line="560" w:lineRule="exact"/>
        <w:rPr>
          <w:rFonts w:ascii="宋体"/>
          <w:color w:val="auto"/>
          <w:sz w:val="24"/>
          <w:highlight w:val="none"/>
        </w:rPr>
      </w:pPr>
      <w:r>
        <w:rPr>
          <w:rFonts w:hint="eastAsia" w:ascii="宋体" w:hAnsi="宋体"/>
          <w:color w:val="auto"/>
          <w:sz w:val="24"/>
          <w:highlight w:val="none"/>
        </w:rPr>
        <w:t>安阳市方正招标采购服务有限责任公司：</w:t>
      </w:r>
    </w:p>
    <w:p w14:paraId="12EB9074">
      <w:pPr>
        <w:snapToGrid w:val="0"/>
        <w:spacing w:line="560" w:lineRule="exact"/>
        <w:ind w:firstLine="555"/>
        <w:rPr>
          <w:rFonts w:ascii="宋体"/>
          <w:color w:val="auto"/>
          <w:sz w:val="24"/>
          <w:highlight w:val="none"/>
        </w:rPr>
      </w:pPr>
      <w:r>
        <w:rPr>
          <w:rFonts w:hint="eastAsia" w:ascii="宋体" w:hAnsi="宋体"/>
          <w:color w:val="auto"/>
          <w:sz w:val="24"/>
          <w:highlight w:val="none"/>
        </w:rPr>
        <w:t>关于贵方项目编号为的谈</w:t>
      </w:r>
      <w:r>
        <w:rPr>
          <w:rFonts w:ascii="宋体" w:hAnsi="宋体"/>
          <w:color w:val="auto"/>
          <w:sz w:val="24"/>
          <w:highlight w:val="none"/>
        </w:rPr>
        <w:t>判公告</w:t>
      </w:r>
      <w:r>
        <w:rPr>
          <w:rFonts w:hint="eastAsia" w:ascii="宋体" w:hAnsi="宋体"/>
          <w:color w:val="auto"/>
          <w:sz w:val="24"/>
          <w:highlight w:val="none"/>
        </w:rPr>
        <w:t>，本签字人愿意参加投标，提供谈判文件中规定的产品及服务，并声明提交下列文件是准确的、真实的和有效的。</w:t>
      </w:r>
    </w:p>
    <w:p w14:paraId="09C7B841">
      <w:pPr>
        <w:numPr>
          <w:ilvl w:val="0"/>
          <w:numId w:val="9"/>
        </w:numPr>
        <w:snapToGrid w:val="0"/>
        <w:spacing w:line="560" w:lineRule="exact"/>
        <w:ind w:firstLine="555"/>
        <w:rPr>
          <w:rFonts w:ascii="宋体" w:hAnsi="宋体"/>
          <w:color w:val="auto"/>
          <w:sz w:val="24"/>
          <w:highlight w:val="none"/>
        </w:rPr>
      </w:pPr>
      <w:r>
        <w:rPr>
          <w:rFonts w:hint="eastAsia" w:ascii="宋体" w:hAnsi="宋体"/>
          <w:color w:val="auto"/>
          <w:sz w:val="24"/>
          <w:highlight w:val="none"/>
        </w:rPr>
        <w:t>《谈判文件》第一章“谈判公告”第二条所要求的资格性证明文件（证件或证明资料或承诺）</w:t>
      </w:r>
    </w:p>
    <w:p w14:paraId="48898F81">
      <w:pPr>
        <w:snapToGrid w:val="0"/>
        <w:spacing w:line="560" w:lineRule="exact"/>
        <w:ind w:firstLine="555"/>
        <w:rPr>
          <w:rFonts w:ascii="宋体"/>
          <w:color w:val="auto"/>
          <w:sz w:val="24"/>
          <w:highlight w:val="none"/>
        </w:rPr>
      </w:pPr>
      <w:r>
        <w:rPr>
          <w:rFonts w:hint="eastAsia" w:ascii="宋体" w:hAnsi="宋体"/>
          <w:color w:val="auto"/>
          <w:sz w:val="24"/>
          <w:highlight w:val="none"/>
        </w:rPr>
        <w:t>2</w:t>
      </w:r>
      <w:r>
        <w:rPr>
          <w:rFonts w:ascii="宋体" w:hAnsi="宋体"/>
          <w:color w:val="auto"/>
          <w:sz w:val="24"/>
          <w:highlight w:val="none"/>
        </w:rPr>
        <w:t xml:space="preserve">. </w:t>
      </w:r>
      <w:r>
        <w:rPr>
          <w:rFonts w:hint="eastAsia" w:ascii="宋体" w:hAnsi="宋体"/>
          <w:color w:val="auto"/>
          <w:sz w:val="24"/>
          <w:highlight w:val="none"/>
        </w:rPr>
        <w:t>采购项目中必须的其他证件。</w:t>
      </w:r>
    </w:p>
    <w:p w14:paraId="5719A499">
      <w:pPr>
        <w:snapToGrid w:val="0"/>
        <w:spacing w:line="560" w:lineRule="exact"/>
        <w:ind w:firstLine="555"/>
        <w:rPr>
          <w:rFonts w:ascii="宋体"/>
          <w:color w:val="auto"/>
          <w:sz w:val="24"/>
          <w:highlight w:val="none"/>
        </w:rPr>
      </w:pPr>
      <w:r>
        <w:rPr>
          <w:rFonts w:hint="eastAsia" w:ascii="宋体" w:hAnsi="宋体"/>
          <w:color w:val="auto"/>
          <w:sz w:val="24"/>
          <w:highlight w:val="none"/>
        </w:rPr>
        <w:t>3</w:t>
      </w:r>
      <w:r>
        <w:rPr>
          <w:rFonts w:ascii="宋体" w:hAnsi="宋体"/>
          <w:color w:val="auto"/>
          <w:sz w:val="24"/>
          <w:highlight w:val="none"/>
        </w:rPr>
        <w:t xml:space="preserve">. </w:t>
      </w:r>
      <w:r>
        <w:rPr>
          <w:rFonts w:hint="eastAsia" w:ascii="宋体" w:hAnsi="宋体"/>
          <w:color w:val="auto"/>
          <w:sz w:val="24"/>
          <w:highlight w:val="none"/>
        </w:rPr>
        <w:t>本签字人确认资格文件中的说明是真实的、准确的。</w:t>
      </w:r>
    </w:p>
    <w:p w14:paraId="0788E62E">
      <w:pPr>
        <w:snapToGrid w:val="0"/>
        <w:spacing w:line="560" w:lineRule="exact"/>
        <w:ind w:firstLine="555"/>
        <w:rPr>
          <w:rFonts w:ascii="宋体"/>
          <w:color w:val="auto"/>
          <w:sz w:val="24"/>
          <w:highlight w:val="none"/>
        </w:rPr>
      </w:pPr>
    </w:p>
    <w:p w14:paraId="7F4E5811">
      <w:pPr>
        <w:widowControl w:val="0"/>
        <w:tabs>
          <w:tab w:val="left" w:pos="9365"/>
        </w:tabs>
        <w:snapToGrid w:val="0"/>
        <w:spacing w:after="56" w:line="560" w:lineRule="exact"/>
        <w:ind w:right="85"/>
        <w:jc w:val="left"/>
        <w:textAlignment w:val="top"/>
        <w:rPr>
          <w:color w:val="auto"/>
          <w:sz w:val="24"/>
          <w:szCs w:val="24"/>
          <w:highlight w:val="none"/>
        </w:rPr>
      </w:pPr>
      <w:r>
        <w:rPr>
          <w:rFonts w:hint="eastAsia"/>
          <w:color w:val="auto"/>
          <w:sz w:val="24"/>
          <w:szCs w:val="24"/>
          <w:highlight w:val="none"/>
        </w:rPr>
        <w:t>投标人（电子签</w:t>
      </w:r>
      <w:r>
        <w:rPr>
          <w:rFonts w:hint="eastAsia" w:ascii="宋体" w:hAnsi="宋体"/>
          <w:color w:val="auto"/>
          <w:sz w:val="24"/>
          <w:szCs w:val="24"/>
          <w:highlight w:val="none"/>
        </w:rPr>
        <w:t>章</w:t>
      </w:r>
      <w:r>
        <w:rPr>
          <w:rFonts w:hint="eastAsia"/>
          <w:color w:val="auto"/>
          <w:sz w:val="24"/>
          <w:szCs w:val="24"/>
          <w:highlight w:val="none"/>
        </w:rPr>
        <w:t>）：</w:t>
      </w:r>
    </w:p>
    <w:p w14:paraId="614158CA">
      <w:pPr>
        <w:widowControl w:val="0"/>
        <w:tabs>
          <w:tab w:val="left" w:pos="9365"/>
        </w:tabs>
        <w:snapToGrid w:val="0"/>
        <w:spacing w:after="56" w:line="560" w:lineRule="exact"/>
        <w:ind w:right="85"/>
        <w:jc w:val="left"/>
        <w:textAlignment w:val="top"/>
        <w:rPr>
          <w:color w:val="auto"/>
          <w:sz w:val="24"/>
          <w:szCs w:val="24"/>
          <w:highlight w:val="none"/>
        </w:rPr>
      </w:pPr>
      <w:r>
        <w:rPr>
          <w:rFonts w:hint="eastAsia"/>
          <w:color w:val="auto"/>
          <w:sz w:val="24"/>
          <w:szCs w:val="24"/>
          <w:highlight w:val="none"/>
        </w:rPr>
        <w:t>法定代表人（电子签名或签章）：</w:t>
      </w:r>
    </w:p>
    <w:p w14:paraId="7B84D820">
      <w:pPr>
        <w:widowControl w:val="0"/>
        <w:tabs>
          <w:tab w:val="left" w:pos="9365"/>
        </w:tabs>
        <w:snapToGrid w:val="0"/>
        <w:spacing w:after="56" w:line="560" w:lineRule="exact"/>
        <w:ind w:right="85"/>
        <w:jc w:val="left"/>
        <w:textAlignment w:val="top"/>
        <w:rPr>
          <w:color w:val="auto"/>
          <w:sz w:val="24"/>
          <w:szCs w:val="24"/>
          <w:highlight w:val="none"/>
        </w:rPr>
      </w:pPr>
      <w:r>
        <w:rPr>
          <w:rFonts w:hint="eastAsia" w:ascii="宋体" w:hAnsi="宋体"/>
          <w:color w:val="auto"/>
          <w:spacing w:val="8"/>
          <w:sz w:val="24"/>
          <w:highlight w:val="none"/>
        </w:rPr>
        <w:t>日期：</w:t>
      </w:r>
      <w:r>
        <w:rPr>
          <w:rFonts w:hint="eastAsia" w:ascii="宋体" w:hAnsi="宋体" w:cs="楷体_GB2312"/>
          <w:color w:val="auto"/>
          <w:sz w:val="24"/>
          <w:highlight w:val="none"/>
          <w:lang w:val="zh-CN"/>
        </w:rPr>
        <w:t>年月日</w:t>
      </w:r>
    </w:p>
    <w:p w14:paraId="25F63D5F">
      <w:pPr>
        <w:snapToGrid w:val="0"/>
        <w:spacing w:line="560" w:lineRule="exact"/>
        <w:rPr>
          <w:rFonts w:ascii="宋体"/>
          <w:color w:val="auto"/>
          <w:sz w:val="24"/>
          <w:highlight w:val="none"/>
        </w:rPr>
      </w:pPr>
    </w:p>
    <w:p w14:paraId="7133B53A">
      <w:pPr>
        <w:tabs>
          <w:tab w:val="left" w:pos="540"/>
        </w:tabs>
        <w:spacing w:line="440" w:lineRule="exact"/>
        <w:jc w:val="center"/>
        <w:rPr>
          <w:color w:val="auto"/>
          <w:sz w:val="28"/>
          <w:highlight w:val="none"/>
        </w:rPr>
      </w:pPr>
      <w:r>
        <w:rPr>
          <w:rFonts w:ascii="宋体"/>
          <w:color w:val="auto"/>
          <w:sz w:val="24"/>
          <w:highlight w:val="none"/>
        </w:rPr>
        <w:br w:type="page"/>
      </w:r>
    </w:p>
    <w:p w14:paraId="57D9E902">
      <w:pPr>
        <w:tabs>
          <w:tab w:val="left" w:pos="540"/>
        </w:tabs>
        <w:spacing w:line="440" w:lineRule="exact"/>
        <w:jc w:val="center"/>
        <w:rPr>
          <w:rFonts w:ascii="黑体" w:hAnsi="黑体" w:eastAsia="黑体"/>
          <w:b/>
          <w:color w:val="auto"/>
          <w:sz w:val="30"/>
          <w:szCs w:val="30"/>
          <w:highlight w:val="none"/>
        </w:rPr>
      </w:pPr>
      <w:r>
        <w:rPr>
          <w:rFonts w:hint="eastAsia" w:ascii="黑体" w:hAnsi="黑体" w:eastAsia="黑体"/>
          <w:b/>
          <w:color w:val="auto"/>
          <w:sz w:val="30"/>
          <w:szCs w:val="30"/>
          <w:highlight w:val="none"/>
        </w:rPr>
        <w:t>九、反商业贿赂承诺书</w:t>
      </w:r>
    </w:p>
    <w:p w14:paraId="2AA2256F">
      <w:pPr>
        <w:rPr>
          <w:b/>
          <w:color w:val="auto"/>
          <w:sz w:val="48"/>
          <w:szCs w:val="48"/>
          <w:highlight w:val="none"/>
        </w:rPr>
      </w:pPr>
    </w:p>
    <w:p w14:paraId="2368D791">
      <w:pPr>
        <w:snapToGrid w:val="0"/>
        <w:spacing w:line="560" w:lineRule="atLeast"/>
        <w:ind w:right="56" w:firstLine="555"/>
        <w:rPr>
          <w:color w:val="auto"/>
          <w:sz w:val="24"/>
          <w:highlight w:val="none"/>
        </w:rPr>
      </w:pPr>
      <w:r>
        <w:rPr>
          <w:rFonts w:hint="eastAsia"/>
          <w:color w:val="auto"/>
          <w:sz w:val="24"/>
          <w:highlight w:val="none"/>
        </w:rPr>
        <w:t>我公司承诺：</w:t>
      </w:r>
    </w:p>
    <w:p w14:paraId="4CA7013D">
      <w:pPr>
        <w:snapToGrid w:val="0"/>
        <w:spacing w:line="560" w:lineRule="atLeast"/>
        <w:ind w:right="56" w:firstLine="555"/>
        <w:rPr>
          <w:color w:val="auto"/>
          <w:sz w:val="24"/>
          <w:highlight w:val="none"/>
        </w:rPr>
      </w:pPr>
      <w:r>
        <w:rPr>
          <w:rFonts w:hint="eastAsia"/>
          <w:color w:val="auto"/>
          <w:sz w:val="24"/>
          <w:highlight w:val="none"/>
        </w:rPr>
        <w:t>在采购活动中，我公司保证做到：</w:t>
      </w:r>
    </w:p>
    <w:p w14:paraId="1CCDCF2A">
      <w:pPr>
        <w:snapToGrid w:val="0"/>
        <w:spacing w:line="560" w:lineRule="atLeast"/>
        <w:ind w:right="56" w:firstLine="555"/>
        <w:rPr>
          <w:color w:val="auto"/>
          <w:sz w:val="24"/>
          <w:highlight w:val="none"/>
        </w:rPr>
      </w:pPr>
      <w:r>
        <w:rPr>
          <w:rFonts w:hint="eastAsia"/>
          <w:color w:val="auto"/>
          <w:sz w:val="24"/>
          <w:highlight w:val="none"/>
        </w:rPr>
        <w:t>一、公平竞争参加本次采购活动。</w:t>
      </w:r>
    </w:p>
    <w:p w14:paraId="48D34BC4">
      <w:pPr>
        <w:snapToGrid w:val="0"/>
        <w:spacing w:line="560" w:lineRule="atLeast"/>
        <w:ind w:right="56" w:firstLine="555"/>
        <w:rPr>
          <w:color w:val="auto"/>
          <w:sz w:val="24"/>
          <w:highlight w:val="none"/>
        </w:rPr>
      </w:pPr>
      <w:r>
        <w:rPr>
          <w:rFonts w:hint="eastAsia"/>
          <w:color w:val="auto"/>
          <w:sz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00631B23">
      <w:pPr>
        <w:snapToGrid w:val="0"/>
        <w:spacing w:line="560" w:lineRule="atLeast"/>
        <w:ind w:right="56" w:firstLine="555"/>
        <w:rPr>
          <w:color w:val="auto"/>
          <w:sz w:val="24"/>
          <w:highlight w:val="none"/>
        </w:rPr>
      </w:pPr>
      <w:r>
        <w:rPr>
          <w:rFonts w:hint="eastAsia"/>
          <w:color w:val="auto"/>
          <w:sz w:val="24"/>
          <w:highlight w:val="none"/>
        </w:rPr>
        <w:t>三、若出现上述行为，我公司及其参与投标的工作人员愿意接受按照国家法律法规等有关规定给予的处罚。</w:t>
      </w:r>
    </w:p>
    <w:p w14:paraId="3B0DC0BF">
      <w:pPr>
        <w:snapToGrid w:val="0"/>
        <w:spacing w:line="560" w:lineRule="atLeast"/>
        <w:ind w:right="56" w:firstLine="555"/>
        <w:rPr>
          <w:color w:val="auto"/>
          <w:sz w:val="24"/>
          <w:highlight w:val="none"/>
        </w:rPr>
      </w:pPr>
    </w:p>
    <w:p w14:paraId="52D92021">
      <w:pPr>
        <w:snapToGrid w:val="0"/>
        <w:spacing w:line="560" w:lineRule="atLeast"/>
        <w:ind w:right="56" w:firstLine="555"/>
        <w:rPr>
          <w:color w:val="auto"/>
          <w:sz w:val="24"/>
          <w:highlight w:val="none"/>
        </w:rPr>
      </w:pPr>
    </w:p>
    <w:p w14:paraId="715ACB47">
      <w:pPr>
        <w:widowControl w:val="0"/>
        <w:tabs>
          <w:tab w:val="left" w:pos="9365"/>
        </w:tabs>
        <w:snapToGrid w:val="0"/>
        <w:spacing w:after="56" w:line="560" w:lineRule="exact"/>
        <w:ind w:right="85"/>
        <w:jc w:val="left"/>
        <w:textAlignment w:val="top"/>
        <w:rPr>
          <w:color w:val="auto"/>
          <w:sz w:val="24"/>
          <w:szCs w:val="24"/>
          <w:highlight w:val="none"/>
        </w:rPr>
      </w:pPr>
      <w:r>
        <w:rPr>
          <w:rFonts w:hint="eastAsia"/>
          <w:color w:val="auto"/>
          <w:sz w:val="24"/>
          <w:szCs w:val="24"/>
          <w:highlight w:val="none"/>
        </w:rPr>
        <w:t>投标人（电子签</w:t>
      </w:r>
      <w:r>
        <w:rPr>
          <w:rFonts w:hint="eastAsia" w:ascii="宋体" w:hAnsi="宋体"/>
          <w:color w:val="auto"/>
          <w:sz w:val="24"/>
          <w:szCs w:val="24"/>
          <w:highlight w:val="none"/>
        </w:rPr>
        <w:t>章</w:t>
      </w:r>
      <w:r>
        <w:rPr>
          <w:rFonts w:hint="eastAsia"/>
          <w:color w:val="auto"/>
          <w:sz w:val="24"/>
          <w:szCs w:val="24"/>
          <w:highlight w:val="none"/>
        </w:rPr>
        <w:t>）：</w:t>
      </w:r>
    </w:p>
    <w:p w14:paraId="5467BA58">
      <w:pPr>
        <w:widowControl w:val="0"/>
        <w:tabs>
          <w:tab w:val="left" w:pos="9365"/>
        </w:tabs>
        <w:snapToGrid w:val="0"/>
        <w:spacing w:after="56" w:line="560" w:lineRule="exact"/>
        <w:ind w:right="85"/>
        <w:jc w:val="left"/>
        <w:textAlignment w:val="top"/>
        <w:rPr>
          <w:color w:val="auto"/>
          <w:sz w:val="24"/>
          <w:szCs w:val="24"/>
          <w:highlight w:val="none"/>
        </w:rPr>
      </w:pPr>
      <w:r>
        <w:rPr>
          <w:rFonts w:hint="eastAsia"/>
          <w:color w:val="auto"/>
          <w:sz w:val="24"/>
          <w:szCs w:val="24"/>
          <w:highlight w:val="none"/>
        </w:rPr>
        <w:t>法定代表人（电子签名或签章）：</w:t>
      </w:r>
    </w:p>
    <w:p w14:paraId="77665F49">
      <w:pPr>
        <w:autoSpaceDE w:val="0"/>
        <w:autoSpaceDN w:val="0"/>
        <w:adjustRightInd w:val="0"/>
        <w:spacing w:line="480" w:lineRule="auto"/>
        <w:rPr>
          <w:rFonts w:ascii="宋体"/>
          <w:color w:val="auto"/>
          <w:sz w:val="24"/>
          <w:highlight w:val="none"/>
        </w:rPr>
      </w:pPr>
      <w:r>
        <w:rPr>
          <w:rFonts w:hint="eastAsia" w:ascii="宋体" w:hAnsi="宋体"/>
          <w:color w:val="auto"/>
          <w:spacing w:val="8"/>
          <w:sz w:val="24"/>
          <w:highlight w:val="none"/>
        </w:rPr>
        <w:t>日期：</w:t>
      </w:r>
      <w:r>
        <w:rPr>
          <w:rFonts w:hint="eastAsia" w:ascii="宋体" w:hAnsi="宋体" w:cs="楷体_GB2312"/>
          <w:color w:val="auto"/>
          <w:sz w:val="24"/>
          <w:highlight w:val="none"/>
          <w:lang w:val="zh-CN"/>
        </w:rPr>
        <w:t>年月日</w:t>
      </w:r>
    </w:p>
    <w:p w14:paraId="1B8777E1">
      <w:pPr>
        <w:tabs>
          <w:tab w:val="left" w:pos="540"/>
        </w:tabs>
        <w:spacing w:line="440" w:lineRule="exact"/>
        <w:jc w:val="center"/>
        <w:rPr>
          <w:color w:val="auto"/>
          <w:highlight w:val="none"/>
        </w:rPr>
      </w:pPr>
      <w:r>
        <w:rPr>
          <w:color w:val="auto"/>
          <w:highlight w:val="none"/>
        </w:rPr>
        <w:br w:type="page"/>
      </w:r>
    </w:p>
    <w:p w14:paraId="50EB6B9A">
      <w:pPr>
        <w:tabs>
          <w:tab w:val="left" w:pos="540"/>
        </w:tabs>
        <w:spacing w:line="440" w:lineRule="exact"/>
        <w:jc w:val="center"/>
        <w:rPr>
          <w:rFonts w:ascii="黑体" w:hAnsi="黑体" w:eastAsia="黑体"/>
          <w:b/>
          <w:color w:val="auto"/>
          <w:sz w:val="30"/>
          <w:szCs w:val="30"/>
          <w:highlight w:val="none"/>
        </w:rPr>
      </w:pPr>
      <w:r>
        <w:rPr>
          <w:rFonts w:hint="eastAsia" w:ascii="黑体" w:hAnsi="黑体" w:eastAsia="黑体"/>
          <w:b/>
          <w:color w:val="auto"/>
          <w:sz w:val="30"/>
          <w:szCs w:val="30"/>
          <w:highlight w:val="none"/>
        </w:rPr>
        <w:t>十、</w:t>
      </w:r>
      <w:bookmarkStart w:id="67" w:name="OLE_LINK19"/>
      <w:r>
        <w:rPr>
          <w:rFonts w:hint="eastAsia" w:ascii="黑体" w:hAnsi="黑体" w:eastAsia="黑体"/>
          <w:b/>
          <w:color w:val="auto"/>
          <w:sz w:val="30"/>
          <w:szCs w:val="30"/>
          <w:highlight w:val="none"/>
        </w:rPr>
        <w:t>履约承诺书</w:t>
      </w:r>
      <w:bookmarkEnd w:id="67"/>
    </w:p>
    <w:p w14:paraId="687FAE90">
      <w:pPr>
        <w:adjustRightInd w:val="0"/>
        <w:snapToGrid w:val="0"/>
        <w:spacing w:beforeLines="50" w:line="300" w:lineRule="auto"/>
        <w:ind w:right="56" w:firstLine="555"/>
        <w:rPr>
          <w:color w:val="auto"/>
          <w:sz w:val="24"/>
          <w:highlight w:val="none"/>
        </w:rPr>
      </w:pPr>
      <w:r>
        <w:rPr>
          <w:rFonts w:hint="eastAsia"/>
          <w:color w:val="auto"/>
          <w:sz w:val="24"/>
          <w:highlight w:val="none"/>
        </w:rPr>
        <w:t>一、我单位承诺：</w:t>
      </w:r>
    </w:p>
    <w:p w14:paraId="39D34929">
      <w:pPr>
        <w:adjustRightInd w:val="0"/>
        <w:snapToGrid w:val="0"/>
        <w:spacing w:beforeLines="50" w:line="300" w:lineRule="auto"/>
        <w:ind w:firstLine="555"/>
        <w:rPr>
          <w:color w:val="auto"/>
          <w:sz w:val="24"/>
          <w:highlight w:val="none"/>
        </w:rPr>
      </w:pPr>
      <w:r>
        <w:rPr>
          <w:rFonts w:hint="eastAsia"/>
          <w:color w:val="auto"/>
          <w:sz w:val="24"/>
          <w:highlight w:val="none"/>
        </w:rPr>
        <w:t>（一）我单位已详细阅读并完全理解、同意谈判文件的全部内容，包括修改补充文件以及全部参考资料和有关附件；除我单位在谈判文件规定期间内书面提出的疑问外，我单位放弃对这方面不明及误解的权力，并严格按采购人确定的技术及商务要求等履行。</w:t>
      </w:r>
    </w:p>
    <w:p w14:paraId="27A7B439">
      <w:pPr>
        <w:tabs>
          <w:tab w:val="left" w:pos="9354"/>
        </w:tabs>
        <w:adjustRightInd w:val="0"/>
        <w:snapToGrid w:val="0"/>
        <w:spacing w:beforeLines="50" w:line="300" w:lineRule="auto"/>
        <w:ind w:firstLine="480" w:firstLineChars="200"/>
        <w:rPr>
          <w:color w:val="auto"/>
          <w:sz w:val="24"/>
          <w:highlight w:val="none"/>
        </w:rPr>
      </w:pPr>
      <w:r>
        <w:rPr>
          <w:rFonts w:hint="eastAsia"/>
          <w:color w:val="auto"/>
          <w:sz w:val="24"/>
          <w:highlight w:val="none"/>
        </w:rPr>
        <w:t>（二）我单位开标前已详细勘察现场，并按采购人现场条件及采购要求编制投标报价；我单位的投标报价括谈判文件所述报价组成的所有内容、并包括谈判文件未列明而与采购项目相关的、必须的所有款项及费用等达到交付使用及验收条件的所有一切风险、责任和义务的费用。</w:t>
      </w:r>
    </w:p>
    <w:p w14:paraId="66E0ED5F">
      <w:pPr>
        <w:tabs>
          <w:tab w:val="left" w:pos="9354"/>
        </w:tabs>
        <w:adjustRightInd w:val="0"/>
        <w:snapToGrid w:val="0"/>
        <w:spacing w:beforeLines="50" w:line="300" w:lineRule="auto"/>
        <w:ind w:firstLine="480" w:firstLineChars="200"/>
        <w:rPr>
          <w:color w:val="auto"/>
          <w:sz w:val="24"/>
          <w:highlight w:val="none"/>
        </w:rPr>
      </w:pPr>
      <w:r>
        <w:rPr>
          <w:rFonts w:hint="eastAsia"/>
          <w:color w:val="auto"/>
          <w:sz w:val="24"/>
          <w:highlight w:val="none"/>
        </w:rPr>
        <w:t>我单位保证按谈判文件要求及投标承诺的质量诚信履约。</w:t>
      </w:r>
    </w:p>
    <w:p w14:paraId="2392EB11">
      <w:pPr>
        <w:tabs>
          <w:tab w:val="left" w:pos="9354"/>
        </w:tabs>
        <w:adjustRightInd w:val="0"/>
        <w:snapToGrid w:val="0"/>
        <w:spacing w:beforeLines="50" w:line="300" w:lineRule="auto"/>
        <w:ind w:firstLine="480" w:firstLineChars="200"/>
        <w:rPr>
          <w:color w:val="auto"/>
          <w:sz w:val="24"/>
          <w:highlight w:val="none"/>
        </w:rPr>
      </w:pPr>
      <w:r>
        <w:rPr>
          <w:rFonts w:hint="eastAsia"/>
          <w:color w:val="auto"/>
          <w:sz w:val="24"/>
          <w:highlight w:val="none"/>
        </w:rPr>
        <w:t>（三）我单位保证在谈判文件要求的时间内按期、保质完成中标项目。我单位在推荐中标结果公示后，将积极、主动的与采购人联系合同签订事宜，合同签订中如有任何的问题，我单位保证及时书面反映情况，否则视为我单位责任、按违约处理。</w:t>
      </w:r>
    </w:p>
    <w:p w14:paraId="5EF33EA4">
      <w:pPr>
        <w:tabs>
          <w:tab w:val="left" w:pos="9354"/>
        </w:tabs>
        <w:adjustRightInd w:val="0"/>
        <w:snapToGrid w:val="0"/>
        <w:spacing w:beforeLines="50" w:line="300" w:lineRule="auto"/>
        <w:ind w:firstLine="480" w:firstLineChars="200"/>
        <w:rPr>
          <w:color w:val="auto"/>
          <w:sz w:val="24"/>
          <w:highlight w:val="none"/>
        </w:rPr>
      </w:pPr>
      <w:r>
        <w:rPr>
          <w:rFonts w:hint="eastAsia"/>
          <w:color w:val="auto"/>
          <w:sz w:val="24"/>
          <w:highlight w:val="none"/>
        </w:rPr>
        <w:t>二、我单位承诺：</w:t>
      </w:r>
    </w:p>
    <w:p w14:paraId="3A67871E">
      <w:pPr>
        <w:tabs>
          <w:tab w:val="left" w:pos="9354"/>
        </w:tabs>
        <w:adjustRightInd w:val="0"/>
        <w:snapToGrid w:val="0"/>
        <w:spacing w:beforeLines="50" w:line="300" w:lineRule="auto"/>
        <w:ind w:firstLine="480" w:firstLineChars="200"/>
        <w:rPr>
          <w:color w:val="auto"/>
          <w:sz w:val="24"/>
          <w:highlight w:val="none"/>
        </w:rPr>
      </w:pPr>
      <w:r>
        <w:rPr>
          <w:rFonts w:hint="eastAsia"/>
          <w:color w:val="auto"/>
          <w:sz w:val="24"/>
          <w:highlight w:val="none"/>
        </w:rPr>
        <w:t>除法律规定的不可抗力因素外，我单位中标后以任何理由（包括违背上述承诺的事项）提出不能满足谈判文件技术、交验期等要求或不能实现投标承诺的或提出变更的，我单位将无条件接受违约处理、并放弃我单位中标资格。我单位知悉违约责任及其处理，并无条件接受：</w:t>
      </w:r>
      <w:r>
        <w:rPr>
          <w:rFonts w:hint="eastAsia" w:ascii="宋体" w:hAnsi="宋体"/>
          <w:color w:val="auto"/>
          <w:sz w:val="24"/>
          <w:szCs w:val="24"/>
          <w:highlight w:val="none"/>
        </w:rPr>
        <w:t>依据谈判文件“第三章</w:t>
      </w:r>
      <w:r>
        <w:rPr>
          <w:rFonts w:hint="eastAsia" w:ascii="宋体" w:hAnsi="宋体" w:cs="楷体_GB2312"/>
          <w:color w:val="auto"/>
          <w:sz w:val="24"/>
          <w:szCs w:val="22"/>
          <w:highlight w:val="none"/>
        </w:rPr>
        <w:t>3.5.5 违背承诺的责任追究措施</w:t>
      </w:r>
      <w:r>
        <w:rPr>
          <w:rFonts w:hint="eastAsia" w:ascii="宋体" w:hAnsi="宋体"/>
          <w:color w:val="auto"/>
          <w:sz w:val="24"/>
          <w:szCs w:val="24"/>
          <w:highlight w:val="none"/>
        </w:rPr>
        <w:t>”</w:t>
      </w:r>
      <w:r>
        <w:rPr>
          <w:rFonts w:hint="eastAsia" w:ascii="宋体" w:hAnsi="宋体" w:cs="楷体_GB2312"/>
          <w:color w:val="auto"/>
          <w:sz w:val="24"/>
          <w:szCs w:val="22"/>
          <w:highlight w:val="none"/>
        </w:rPr>
        <w:t>承担相应法律责任及违约责任。</w:t>
      </w:r>
      <w:r>
        <w:rPr>
          <w:rFonts w:hint="eastAsia"/>
          <w:color w:val="auto"/>
          <w:sz w:val="24"/>
          <w:highlight w:val="none"/>
        </w:rPr>
        <w:t>情节严重的，由财政部门列入不良行为记录名单，在一至三年内禁止参加政府采购活动，并予以通报，处以罚金，给采购人及他人造成损失的，承担相应的赔偿责任。</w:t>
      </w:r>
    </w:p>
    <w:p w14:paraId="2E827F10">
      <w:pPr>
        <w:tabs>
          <w:tab w:val="left" w:pos="9354"/>
        </w:tabs>
        <w:adjustRightInd w:val="0"/>
        <w:snapToGrid w:val="0"/>
        <w:spacing w:beforeLines="50" w:line="300" w:lineRule="auto"/>
        <w:ind w:firstLine="480" w:firstLineChars="200"/>
        <w:rPr>
          <w:color w:val="auto"/>
          <w:sz w:val="24"/>
          <w:highlight w:val="none"/>
        </w:rPr>
      </w:pPr>
    </w:p>
    <w:p w14:paraId="03E4F993">
      <w:pPr>
        <w:tabs>
          <w:tab w:val="left" w:pos="9354"/>
        </w:tabs>
        <w:adjustRightInd w:val="0"/>
        <w:snapToGrid w:val="0"/>
        <w:spacing w:beforeLines="50" w:line="300" w:lineRule="auto"/>
        <w:ind w:firstLine="480" w:firstLineChars="200"/>
        <w:rPr>
          <w:color w:val="auto"/>
          <w:sz w:val="24"/>
          <w:highlight w:val="none"/>
        </w:rPr>
      </w:pPr>
    </w:p>
    <w:p w14:paraId="0E273084">
      <w:pPr>
        <w:widowControl w:val="0"/>
        <w:tabs>
          <w:tab w:val="left" w:pos="9365"/>
        </w:tabs>
        <w:snapToGrid w:val="0"/>
        <w:spacing w:after="56" w:line="560" w:lineRule="exact"/>
        <w:ind w:right="85"/>
        <w:jc w:val="left"/>
        <w:textAlignment w:val="top"/>
        <w:rPr>
          <w:color w:val="auto"/>
          <w:sz w:val="24"/>
          <w:szCs w:val="24"/>
          <w:highlight w:val="none"/>
        </w:rPr>
      </w:pPr>
      <w:r>
        <w:rPr>
          <w:rFonts w:hint="eastAsia"/>
          <w:color w:val="auto"/>
          <w:sz w:val="24"/>
          <w:szCs w:val="24"/>
          <w:highlight w:val="none"/>
        </w:rPr>
        <w:t>投标人（电子签</w:t>
      </w:r>
      <w:r>
        <w:rPr>
          <w:rFonts w:hint="eastAsia" w:ascii="宋体" w:hAnsi="宋体"/>
          <w:color w:val="auto"/>
          <w:sz w:val="24"/>
          <w:szCs w:val="24"/>
          <w:highlight w:val="none"/>
        </w:rPr>
        <w:t>章</w:t>
      </w:r>
      <w:r>
        <w:rPr>
          <w:rFonts w:hint="eastAsia"/>
          <w:color w:val="auto"/>
          <w:sz w:val="24"/>
          <w:szCs w:val="24"/>
          <w:highlight w:val="none"/>
        </w:rPr>
        <w:t>）：</w:t>
      </w:r>
    </w:p>
    <w:p w14:paraId="79F2AD1A">
      <w:pPr>
        <w:widowControl w:val="0"/>
        <w:tabs>
          <w:tab w:val="left" w:pos="9365"/>
        </w:tabs>
        <w:snapToGrid w:val="0"/>
        <w:spacing w:after="56" w:line="560" w:lineRule="exact"/>
        <w:ind w:right="85"/>
        <w:jc w:val="left"/>
        <w:textAlignment w:val="top"/>
        <w:rPr>
          <w:color w:val="auto"/>
          <w:sz w:val="24"/>
          <w:szCs w:val="24"/>
          <w:highlight w:val="none"/>
        </w:rPr>
      </w:pPr>
      <w:r>
        <w:rPr>
          <w:rFonts w:hint="eastAsia"/>
          <w:color w:val="auto"/>
          <w:sz w:val="24"/>
          <w:szCs w:val="24"/>
          <w:highlight w:val="none"/>
        </w:rPr>
        <w:t>法定代表人（电子签名或签章）：</w:t>
      </w:r>
    </w:p>
    <w:p w14:paraId="37997BBD">
      <w:pPr>
        <w:autoSpaceDE w:val="0"/>
        <w:autoSpaceDN w:val="0"/>
        <w:adjustRightInd w:val="0"/>
        <w:spacing w:line="360" w:lineRule="auto"/>
        <w:jc w:val="left"/>
        <w:rPr>
          <w:rFonts w:eastAsia="方正黑体简体"/>
          <w:b/>
          <w:color w:val="auto"/>
          <w:sz w:val="30"/>
          <w:szCs w:val="30"/>
          <w:highlight w:val="none"/>
        </w:rPr>
      </w:pPr>
      <w:r>
        <w:rPr>
          <w:rFonts w:hint="eastAsia" w:ascii="宋体" w:hAnsi="宋体"/>
          <w:color w:val="auto"/>
          <w:spacing w:val="8"/>
          <w:sz w:val="24"/>
          <w:highlight w:val="none"/>
        </w:rPr>
        <w:t>日期：</w:t>
      </w:r>
      <w:r>
        <w:rPr>
          <w:rFonts w:hint="eastAsia" w:ascii="宋体" w:hAnsi="宋体" w:cs="楷体_GB2312"/>
          <w:color w:val="auto"/>
          <w:sz w:val="24"/>
          <w:highlight w:val="none"/>
          <w:lang w:val="zh-CN"/>
        </w:rPr>
        <w:t>年月日</w:t>
      </w:r>
    </w:p>
    <w:p w14:paraId="42795013">
      <w:pPr>
        <w:spacing w:line="240" w:lineRule="auto"/>
        <w:jc w:val="left"/>
        <w:textAlignment w:val="auto"/>
        <w:rPr>
          <w:rFonts w:eastAsia="方正黑体简体"/>
          <w:b/>
          <w:color w:val="auto"/>
          <w:sz w:val="30"/>
          <w:szCs w:val="30"/>
          <w:highlight w:val="none"/>
        </w:rPr>
      </w:pPr>
      <w:r>
        <w:rPr>
          <w:rFonts w:eastAsia="方正黑体简体"/>
          <w:b/>
          <w:color w:val="auto"/>
          <w:sz w:val="30"/>
          <w:szCs w:val="30"/>
          <w:highlight w:val="none"/>
        </w:rPr>
        <w:br w:type="page"/>
      </w:r>
    </w:p>
    <w:p w14:paraId="72F1B6F2">
      <w:pPr>
        <w:autoSpaceDE w:val="0"/>
        <w:autoSpaceDN w:val="0"/>
        <w:adjustRightInd w:val="0"/>
        <w:spacing w:line="360" w:lineRule="auto"/>
        <w:rPr>
          <w:rFonts w:ascii="黑体" w:hAnsi="黑体" w:eastAsia="黑体"/>
          <w:b/>
          <w:color w:val="auto"/>
          <w:sz w:val="30"/>
          <w:szCs w:val="30"/>
          <w:highlight w:val="none"/>
        </w:rPr>
      </w:pPr>
      <w:r>
        <w:rPr>
          <w:rFonts w:hint="eastAsia" w:ascii="黑体" w:hAnsi="黑体" w:eastAsia="黑体"/>
          <w:b/>
          <w:color w:val="auto"/>
          <w:sz w:val="30"/>
          <w:szCs w:val="30"/>
          <w:highlight w:val="none"/>
        </w:rPr>
        <w:t>十一、资格要求相关证明材料（文件）</w:t>
      </w:r>
    </w:p>
    <w:p w14:paraId="70B24002">
      <w:pPr>
        <w:autoSpaceDE w:val="0"/>
        <w:autoSpaceDN w:val="0"/>
        <w:adjustRightInd w:val="0"/>
        <w:spacing w:line="360" w:lineRule="auto"/>
        <w:jc w:val="center"/>
        <w:rPr>
          <w:rFonts w:ascii="宋体"/>
          <w:color w:val="auto"/>
          <w:sz w:val="24"/>
          <w:szCs w:val="24"/>
          <w:highlight w:val="none"/>
        </w:rPr>
      </w:pPr>
    </w:p>
    <w:p w14:paraId="446AFAA1">
      <w:pPr>
        <w:autoSpaceDE w:val="0"/>
        <w:autoSpaceDN w:val="0"/>
        <w:adjustRightInd w:val="0"/>
        <w:spacing w:line="360" w:lineRule="auto"/>
        <w:jc w:val="center"/>
        <w:rPr>
          <w:rFonts w:ascii="黑体" w:hAnsi="黑体" w:eastAsia="黑体"/>
          <w:b/>
          <w:color w:val="auto"/>
          <w:sz w:val="24"/>
          <w:szCs w:val="24"/>
          <w:highlight w:val="none"/>
        </w:rPr>
      </w:pPr>
      <w:r>
        <w:rPr>
          <w:rFonts w:hint="eastAsia" w:ascii="宋体"/>
          <w:color w:val="auto"/>
          <w:sz w:val="24"/>
          <w:szCs w:val="24"/>
          <w:highlight w:val="none"/>
        </w:rPr>
        <w:t>★★★【</w:t>
      </w:r>
      <w:r>
        <w:rPr>
          <w:rFonts w:hint="eastAsia" w:ascii="黑体" w:hAnsi="黑体" w:eastAsia="黑体"/>
          <w:b/>
          <w:color w:val="auto"/>
          <w:sz w:val="24"/>
          <w:szCs w:val="24"/>
          <w:highlight w:val="none"/>
        </w:rPr>
        <w:t>请注意：未按公告要求逐一提交资格证明资料的将导致无效投标，为近期常见的因不仔细而缺少某一资格证明资料、导致无效，特此提醒】</w:t>
      </w:r>
    </w:p>
    <w:p w14:paraId="6E27AAB2">
      <w:pPr>
        <w:autoSpaceDE w:val="0"/>
        <w:autoSpaceDN w:val="0"/>
        <w:adjustRightInd w:val="0"/>
        <w:spacing w:line="360" w:lineRule="auto"/>
        <w:jc w:val="center"/>
        <w:rPr>
          <w:rFonts w:ascii="宋体"/>
          <w:color w:val="auto"/>
          <w:sz w:val="24"/>
          <w:szCs w:val="24"/>
          <w:highlight w:val="none"/>
        </w:rPr>
      </w:pPr>
    </w:p>
    <w:p w14:paraId="11E37382">
      <w:pPr>
        <w:spacing w:line="588" w:lineRule="exact"/>
        <w:jc w:val="center"/>
        <w:rPr>
          <w:rFonts w:ascii="黑体" w:hAnsi="黑体" w:eastAsia="黑体"/>
          <w:b/>
          <w:color w:val="auto"/>
          <w:sz w:val="30"/>
          <w:szCs w:val="30"/>
          <w:highlight w:val="none"/>
        </w:rPr>
      </w:pPr>
      <w:r>
        <w:rPr>
          <w:rFonts w:hint="eastAsia" w:ascii="宋体"/>
          <w:color w:val="auto"/>
          <w:sz w:val="24"/>
          <w:szCs w:val="24"/>
          <w:highlight w:val="none"/>
        </w:rPr>
        <w:t>★★★【</w:t>
      </w:r>
      <w:r>
        <w:rPr>
          <w:rFonts w:hint="eastAsia" w:ascii="黑体" w:hAnsi="黑体" w:eastAsia="黑体"/>
          <w:b/>
          <w:color w:val="auto"/>
          <w:sz w:val="24"/>
          <w:szCs w:val="24"/>
          <w:highlight w:val="none"/>
        </w:rPr>
        <w:t>请注意：未按谈判公告要求电子签名&lt;签章&gt;的将导致无效投标，特此提醒】</w:t>
      </w:r>
      <w:r>
        <w:rPr>
          <w:rFonts w:ascii="黑体" w:hAnsi="黑体" w:eastAsia="黑体"/>
          <w:b/>
          <w:color w:val="auto"/>
          <w:sz w:val="30"/>
          <w:szCs w:val="30"/>
          <w:highlight w:val="none"/>
        </w:rPr>
        <w:br w:type="page"/>
      </w:r>
      <w:bookmarkStart w:id="68" w:name="bookmark1"/>
    </w:p>
    <w:bookmarkEnd w:id="68"/>
    <w:p w14:paraId="65AE4E1D">
      <w:pPr>
        <w:widowControl w:val="0"/>
        <w:tabs>
          <w:tab w:val="left" w:pos="9365"/>
        </w:tabs>
        <w:snapToGrid w:val="0"/>
        <w:spacing w:after="56" w:line="560" w:lineRule="exact"/>
        <w:ind w:right="85"/>
        <w:jc w:val="center"/>
        <w:textAlignment w:val="top"/>
        <w:rPr>
          <w:rFonts w:ascii="黑体" w:hAnsi="黑体" w:eastAsia="黑体"/>
          <w:b/>
          <w:color w:val="auto"/>
          <w:sz w:val="30"/>
          <w:szCs w:val="30"/>
          <w:highlight w:val="none"/>
        </w:rPr>
      </w:pPr>
      <w:r>
        <w:rPr>
          <w:rFonts w:hint="eastAsia" w:ascii="黑体" w:hAnsi="黑体" w:eastAsia="黑体"/>
          <w:b/>
          <w:color w:val="auto"/>
          <w:sz w:val="30"/>
          <w:szCs w:val="30"/>
          <w:highlight w:val="none"/>
        </w:rPr>
        <w:t>近三年无重大违法记录的声明函</w:t>
      </w:r>
    </w:p>
    <w:p w14:paraId="522EB72F">
      <w:pPr>
        <w:tabs>
          <w:tab w:val="left" w:pos="9365"/>
        </w:tabs>
        <w:spacing w:before="57" w:after="57" w:line="586" w:lineRule="atLeast"/>
        <w:ind w:right="85"/>
        <w:jc w:val="left"/>
        <w:textAlignment w:val="top"/>
        <w:rPr>
          <w:rFonts w:ascii="宋体" w:hAnsi="宋体"/>
          <w:color w:val="auto"/>
          <w:sz w:val="24"/>
          <w:szCs w:val="24"/>
          <w:highlight w:val="none"/>
        </w:rPr>
      </w:pPr>
    </w:p>
    <w:p w14:paraId="20702D18">
      <w:pPr>
        <w:tabs>
          <w:tab w:val="left" w:pos="9365"/>
        </w:tabs>
        <w:spacing w:before="57" w:after="57" w:line="586" w:lineRule="atLeast"/>
        <w:ind w:right="85"/>
        <w:jc w:val="left"/>
        <w:textAlignment w:val="top"/>
        <w:rPr>
          <w:rFonts w:ascii="宋体" w:hAnsi="宋体"/>
          <w:color w:val="auto"/>
          <w:sz w:val="24"/>
          <w:szCs w:val="24"/>
          <w:highlight w:val="none"/>
        </w:rPr>
      </w:pPr>
      <w:r>
        <w:rPr>
          <w:rFonts w:hint="eastAsia" w:ascii="宋体" w:hAnsi="宋体"/>
          <w:color w:val="auto"/>
          <w:sz w:val="24"/>
          <w:highlight w:val="none"/>
        </w:rPr>
        <w:t>安阳市方正招标采购服务有限责任公司：</w:t>
      </w:r>
    </w:p>
    <w:p w14:paraId="64E627C9">
      <w:pPr>
        <w:tabs>
          <w:tab w:val="left" w:pos="9365"/>
        </w:tabs>
        <w:spacing w:before="57" w:after="57" w:line="586" w:lineRule="atLeast"/>
        <w:ind w:right="85" w:firstLine="600" w:firstLineChars="250"/>
        <w:jc w:val="left"/>
        <w:textAlignment w:val="top"/>
        <w:rPr>
          <w:rFonts w:ascii="宋体" w:hAnsi="宋体"/>
          <w:color w:val="auto"/>
          <w:sz w:val="24"/>
          <w:szCs w:val="24"/>
          <w:highlight w:val="none"/>
        </w:rPr>
      </w:pPr>
      <w:r>
        <w:rPr>
          <w:rFonts w:hint="eastAsia" w:ascii="宋体" w:hAnsi="宋体"/>
          <w:color w:val="auto"/>
          <w:sz w:val="24"/>
          <w:szCs w:val="24"/>
          <w:highlight w:val="none"/>
        </w:rPr>
        <w:t>我单位在参加政府采购活动前三年内，在经营活动中没有重大违法记录。</w:t>
      </w:r>
    </w:p>
    <w:p w14:paraId="40DE011F">
      <w:pPr>
        <w:tabs>
          <w:tab w:val="left" w:pos="9365"/>
        </w:tabs>
        <w:spacing w:before="57" w:after="57" w:line="586" w:lineRule="atLeast"/>
        <w:ind w:right="85" w:firstLine="600" w:firstLineChars="250"/>
        <w:jc w:val="left"/>
        <w:textAlignment w:val="top"/>
        <w:rPr>
          <w:rFonts w:ascii="宋体" w:hAnsi="宋体"/>
          <w:color w:val="auto"/>
          <w:sz w:val="24"/>
          <w:szCs w:val="24"/>
          <w:highlight w:val="none"/>
        </w:rPr>
      </w:pPr>
      <w:r>
        <w:rPr>
          <w:rFonts w:hint="eastAsia" w:ascii="宋体" w:hAnsi="宋体"/>
          <w:color w:val="auto"/>
          <w:sz w:val="24"/>
          <w:szCs w:val="24"/>
          <w:highlight w:val="none"/>
        </w:rPr>
        <w:t>特此承诺。</w:t>
      </w:r>
    </w:p>
    <w:p w14:paraId="5CADE1C3">
      <w:pPr>
        <w:tabs>
          <w:tab w:val="left" w:pos="9365"/>
        </w:tabs>
        <w:spacing w:before="57" w:after="57" w:line="586" w:lineRule="atLeast"/>
        <w:ind w:right="85"/>
        <w:jc w:val="left"/>
        <w:textAlignment w:val="top"/>
        <w:rPr>
          <w:rFonts w:ascii="宋体" w:hAnsi="宋体"/>
          <w:color w:val="auto"/>
          <w:sz w:val="24"/>
          <w:szCs w:val="24"/>
          <w:highlight w:val="none"/>
        </w:rPr>
      </w:pPr>
    </w:p>
    <w:p w14:paraId="26176E38">
      <w:pPr>
        <w:tabs>
          <w:tab w:val="left" w:pos="9365"/>
        </w:tabs>
        <w:spacing w:before="57" w:after="57" w:line="586" w:lineRule="atLeast"/>
        <w:ind w:right="85"/>
        <w:jc w:val="left"/>
        <w:textAlignment w:val="top"/>
        <w:rPr>
          <w:rFonts w:ascii="宋体" w:hAnsi="宋体"/>
          <w:color w:val="auto"/>
          <w:sz w:val="24"/>
          <w:szCs w:val="24"/>
          <w:highlight w:val="none"/>
        </w:rPr>
      </w:pPr>
    </w:p>
    <w:p w14:paraId="780E08CB">
      <w:pPr>
        <w:tabs>
          <w:tab w:val="left" w:pos="9365"/>
        </w:tabs>
        <w:spacing w:before="57" w:after="57" w:line="586" w:lineRule="atLeast"/>
        <w:ind w:right="85"/>
        <w:jc w:val="left"/>
        <w:textAlignment w:val="top"/>
        <w:rPr>
          <w:rFonts w:ascii="宋体" w:hAnsi="宋体"/>
          <w:color w:val="auto"/>
          <w:sz w:val="24"/>
          <w:szCs w:val="24"/>
          <w:highlight w:val="none"/>
        </w:rPr>
      </w:pPr>
    </w:p>
    <w:p w14:paraId="6889CDB0">
      <w:pPr>
        <w:widowControl w:val="0"/>
        <w:snapToGrid w:val="0"/>
        <w:spacing w:line="360" w:lineRule="auto"/>
        <w:textAlignment w:val="top"/>
        <w:rPr>
          <w:color w:val="auto"/>
          <w:sz w:val="24"/>
          <w:szCs w:val="24"/>
          <w:highlight w:val="none"/>
        </w:rPr>
      </w:pPr>
      <w:r>
        <w:rPr>
          <w:rFonts w:hint="eastAsia"/>
          <w:color w:val="auto"/>
          <w:sz w:val="24"/>
          <w:szCs w:val="24"/>
          <w:highlight w:val="none"/>
        </w:rPr>
        <w:t>投标人（电子签章）：</w:t>
      </w:r>
    </w:p>
    <w:p w14:paraId="02695F3D">
      <w:pPr>
        <w:widowControl w:val="0"/>
        <w:snapToGrid w:val="0"/>
        <w:spacing w:line="360" w:lineRule="auto"/>
        <w:textAlignment w:val="top"/>
        <w:rPr>
          <w:color w:val="auto"/>
          <w:sz w:val="24"/>
          <w:szCs w:val="24"/>
          <w:highlight w:val="none"/>
        </w:rPr>
      </w:pPr>
      <w:r>
        <w:rPr>
          <w:rFonts w:hint="eastAsia"/>
          <w:color w:val="auto"/>
          <w:sz w:val="24"/>
          <w:szCs w:val="24"/>
          <w:highlight w:val="none"/>
        </w:rPr>
        <w:t>法定代表人（电子签名或签章）：</w:t>
      </w:r>
    </w:p>
    <w:p w14:paraId="005C13FC">
      <w:pPr>
        <w:widowControl w:val="0"/>
        <w:snapToGrid w:val="0"/>
        <w:spacing w:line="360" w:lineRule="auto"/>
        <w:textAlignment w:val="top"/>
        <w:rPr>
          <w:color w:val="auto"/>
          <w:sz w:val="24"/>
          <w:szCs w:val="24"/>
          <w:highlight w:val="none"/>
        </w:rPr>
      </w:pPr>
      <w:r>
        <w:rPr>
          <w:rFonts w:hint="eastAsia"/>
          <w:color w:val="auto"/>
          <w:sz w:val="24"/>
          <w:szCs w:val="24"/>
          <w:highlight w:val="none"/>
        </w:rPr>
        <w:t>日期：年月日</w:t>
      </w:r>
    </w:p>
    <w:p w14:paraId="29BFCE2C">
      <w:pPr>
        <w:snapToGrid w:val="0"/>
        <w:spacing w:line="560" w:lineRule="exact"/>
        <w:ind w:firstLine="555"/>
        <w:rPr>
          <w:rFonts w:ascii="宋体"/>
          <w:color w:val="auto"/>
          <w:sz w:val="24"/>
          <w:highlight w:val="none"/>
        </w:rPr>
      </w:pPr>
    </w:p>
    <w:p w14:paraId="1501C35D">
      <w:pPr>
        <w:snapToGrid w:val="0"/>
        <w:spacing w:line="560" w:lineRule="atLeast"/>
        <w:jc w:val="center"/>
        <w:rPr>
          <w:rFonts w:ascii="宋体"/>
          <w:color w:val="auto"/>
          <w:sz w:val="24"/>
          <w:highlight w:val="none"/>
        </w:rPr>
      </w:pPr>
      <w:r>
        <w:rPr>
          <w:rFonts w:ascii="宋体"/>
          <w:color w:val="auto"/>
          <w:sz w:val="24"/>
          <w:highlight w:val="none"/>
        </w:rPr>
        <w:br w:type="page"/>
      </w:r>
    </w:p>
    <w:p w14:paraId="06062CE2">
      <w:pPr>
        <w:snapToGrid w:val="0"/>
        <w:spacing w:line="560" w:lineRule="atLeast"/>
        <w:jc w:val="center"/>
        <w:rPr>
          <w:rFonts w:ascii="黑体" w:hAnsi="黑体" w:eastAsia="黑体"/>
          <w:b/>
          <w:color w:val="auto"/>
          <w:sz w:val="30"/>
          <w:szCs w:val="30"/>
          <w:highlight w:val="none"/>
        </w:rPr>
      </w:pPr>
      <w:r>
        <w:rPr>
          <w:rFonts w:hint="eastAsia" w:ascii="黑体" w:hAnsi="黑体" w:eastAsia="黑体"/>
          <w:b/>
          <w:color w:val="auto"/>
          <w:sz w:val="30"/>
          <w:szCs w:val="30"/>
          <w:highlight w:val="none"/>
        </w:rPr>
        <w:t>供应商负责人控股、设计等相关承诺书</w:t>
      </w:r>
    </w:p>
    <w:p w14:paraId="550E3615">
      <w:pPr>
        <w:tabs>
          <w:tab w:val="left" w:pos="9365"/>
        </w:tabs>
        <w:spacing w:before="360" w:after="360" w:line="586" w:lineRule="atLeast"/>
        <w:ind w:right="85"/>
        <w:jc w:val="left"/>
        <w:textAlignment w:val="top"/>
        <w:rPr>
          <w:rFonts w:ascii="宋体" w:hAnsi="宋体"/>
          <w:color w:val="auto"/>
          <w:sz w:val="24"/>
          <w:szCs w:val="24"/>
          <w:highlight w:val="none"/>
        </w:rPr>
      </w:pPr>
      <w:r>
        <w:rPr>
          <w:rFonts w:hint="eastAsia" w:ascii="宋体" w:hAnsi="宋体"/>
          <w:color w:val="auto"/>
          <w:sz w:val="24"/>
          <w:szCs w:val="24"/>
          <w:highlight w:val="none"/>
        </w:rPr>
        <w:t>致：</w:t>
      </w:r>
      <w:r>
        <w:rPr>
          <w:rFonts w:hint="eastAsia" w:ascii="宋体" w:hAnsi="宋体"/>
          <w:color w:val="auto"/>
          <w:spacing w:val="11"/>
          <w:sz w:val="24"/>
          <w:szCs w:val="24"/>
          <w:highlight w:val="none"/>
          <w:u w:val="single"/>
        </w:rPr>
        <w:t xml:space="preserve">(采购人名称）    </w:t>
      </w:r>
    </w:p>
    <w:p w14:paraId="2709C52C">
      <w:pPr>
        <w:tabs>
          <w:tab w:val="left" w:pos="65"/>
        </w:tabs>
        <w:spacing w:line="7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在项目编号为 的</w:t>
      </w:r>
      <w:r>
        <w:rPr>
          <w:rFonts w:hint="eastAsia" w:ascii="宋体" w:hAnsi="宋体"/>
          <w:color w:val="auto"/>
          <w:sz w:val="24"/>
          <w:szCs w:val="24"/>
          <w:highlight w:val="none"/>
          <w:u w:val="single"/>
        </w:rPr>
        <w:t xml:space="preserve">    （项目名称）  </w:t>
      </w:r>
      <w:r>
        <w:rPr>
          <w:rFonts w:hint="eastAsia" w:ascii="宋体" w:hAnsi="宋体"/>
          <w:color w:val="auto"/>
          <w:sz w:val="24"/>
          <w:szCs w:val="24"/>
          <w:highlight w:val="none"/>
        </w:rPr>
        <w:t xml:space="preserve"> 采购活动中，我单位承诺满足以下要求：</w:t>
      </w:r>
    </w:p>
    <w:p w14:paraId="4645943F">
      <w:pPr>
        <w:tabs>
          <w:tab w:val="left" w:pos="65"/>
        </w:tabs>
        <w:spacing w:line="7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一、单位负责人为同一人或者存在直接控股、管理关系的不同供应商，不参加同一合同项下的政府采购活动。</w:t>
      </w:r>
    </w:p>
    <w:p w14:paraId="6F58DF2E">
      <w:pPr>
        <w:tabs>
          <w:tab w:val="left" w:pos="65"/>
        </w:tabs>
        <w:spacing w:line="7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二、没有为本项目提供整体设计、规范编制或者项目管理、监理、检测等服务。</w:t>
      </w:r>
    </w:p>
    <w:p w14:paraId="382565DF">
      <w:pPr>
        <w:tabs>
          <w:tab w:val="left" w:pos="9365"/>
        </w:tabs>
        <w:spacing w:before="57" w:after="57" w:line="586" w:lineRule="atLeast"/>
        <w:ind w:right="85" w:firstLine="480" w:firstLineChars="200"/>
        <w:jc w:val="left"/>
        <w:textAlignment w:val="top"/>
        <w:rPr>
          <w:rFonts w:ascii="宋体" w:hAnsi="宋体"/>
          <w:color w:val="auto"/>
          <w:sz w:val="24"/>
          <w:szCs w:val="24"/>
          <w:highlight w:val="none"/>
        </w:rPr>
      </w:pPr>
      <w:r>
        <w:rPr>
          <w:rFonts w:hint="eastAsia" w:ascii="宋体" w:hAnsi="宋体"/>
          <w:color w:val="auto"/>
          <w:sz w:val="24"/>
          <w:szCs w:val="24"/>
          <w:highlight w:val="none"/>
        </w:rPr>
        <w:t>三、若出现上述行为，我单位确</w:t>
      </w:r>
      <w:r>
        <w:rPr>
          <w:rFonts w:ascii="宋体" w:hAnsi="宋体"/>
          <w:color w:val="auto"/>
          <w:sz w:val="24"/>
          <w:szCs w:val="24"/>
          <w:highlight w:val="none"/>
        </w:rPr>
        <w:t>认投标无</w:t>
      </w:r>
      <w:r>
        <w:rPr>
          <w:rFonts w:hint="eastAsia" w:ascii="宋体" w:hAnsi="宋体"/>
          <w:color w:val="auto"/>
          <w:sz w:val="24"/>
          <w:szCs w:val="24"/>
          <w:highlight w:val="none"/>
        </w:rPr>
        <w:t>效、</w:t>
      </w:r>
      <w:r>
        <w:rPr>
          <w:rFonts w:ascii="宋体" w:hAnsi="宋体"/>
          <w:color w:val="auto"/>
          <w:sz w:val="24"/>
          <w:szCs w:val="24"/>
          <w:highlight w:val="none"/>
        </w:rPr>
        <w:t>承诺</w:t>
      </w:r>
      <w:r>
        <w:rPr>
          <w:rFonts w:hint="eastAsia" w:ascii="宋体" w:hAnsi="宋体"/>
          <w:color w:val="auto"/>
          <w:sz w:val="24"/>
          <w:szCs w:val="24"/>
          <w:highlight w:val="none"/>
        </w:rPr>
        <w:t>书</w:t>
      </w:r>
      <w:r>
        <w:rPr>
          <w:rFonts w:ascii="宋体" w:hAnsi="宋体"/>
          <w:color w:val="auto"/>
          <w:sz w:val="24"/>
          <w:szCs w:val="24"/>
          <w:highlight w:val="none"/>
        </w:rPr>
        <w:t>虚假</w:t>
      </w:r>
      <w:r>
        <w:rPr>
          <w:rFonts w:hint="eastAsia" w:ascii="宋体" w:hAnsi="宋体"/>
          <w:color w:val="auto"/>
          <w:sz w:val="24"/>
          <w:szCs w:val="24"/>
          <w:highlight w:val="none"/>
        </w:rPr>
        <w:t>，接受相关部门按照国家法律法规等有关规定对</w:t>
      </w:r>
      <w:r>
        <w:rPr>
          <w:rFonts w:ascii="宋体" w:hAnsi="宋体"/>
          <w:color w:val="auto"/>
          <w:sz w:val="24"/>
          <w:szCs w:val="24"/>
          <w:highlight w:val="none"/>
        </w:rPr>
        <w:t>我单位虚假承诺所</w:t>
      </w:r>
      <w:r>
        <w:rPr>
          <w:rFonts w:hint="eastAsia" w:ascii="宋体" w:hAnsi="宋体"/>
          <w:color w:val="auto"/>
          <w:sz w:val="24"/>
          <w:szCs w:val="24"/>
          <w:highlight w:val="none"/>
        </w:rPr>
        <w:t>给予的处理。</w:t>
      </w:r>
    </w:p>
    <w:p w14:paraId="052B8BBA">
      <w:pPr>
        <w:tabs>
          <w:tab w:val="left" w:pos="9365"/>
        </w:tabs>
        <w:spacing w:before="57" w:after="57" w:line="586" w:lineRule="atLeast"/>
        <w:ind w:right="85"/>
        <w:jc w:val="left"/>
        <w:textAlignment w:val="top"/>
        <w:rPr>
          <w:rFonts w:ascii="宋体" w:hAnsi="宋体"/>
          <w:color w:val="auto"/>
          <w:sz w:val="24"/>
          <w:szCs w:val="24"/>
          <w:highlight w:val="none"/>
        </w:rPr>
      </w:pPr>
      <w:r>
        <w:rPr>
          <w:rFonts w:ascii="宋体" w:hAnsi="宋体"/>
          <w:color w:val="auto"/>
          <w:sz w:val="24"/>
          <w:szCs w:val="24"/>
          <w:highlight w:val="none"/>
        </w:rPr>
        <w:t> </w:t>
      </w:r>
    </w:p>
    <w:p w14:paraId="5A8B67E9">
      <w:pPr>
        <w:snapToGrid w:val="0"/>
        <w:spacing w:before="100" w:beforeAutospacing="1" w:after="100" w:afterAutospacing="1" w:line="700" w:lineRule="exact"/>
        <w:ind w:right="641"/>
        <w:rPr>
          <w:rFonts w:ascii="宋体" w:hAnsi="宋体"/>
          <w:color w:val="auto"/>
          <w:sz w:val="24"/>
          <w:szCs w:val="24"/>
          <w:highlight w:val="none"/>
        </w:rPr>
      </w:pPr>
      <w:r>
        <w:rPr>
          <w:rFonts w:hint="eastAsia" w:ascii="宋体" w:hAnsi="宋体"/>
          <w:color w:val="auto"/>
          <w:sz w:val="24"/>
          <w:szCs w:val="24"/>
          <w:highlight w:val="none"/>
        </w:rPr>
        <w:t>投标人（电子签章）：</w:t>
      </w:r>
    </w:p>
    <w:p w14:paraId="4E1F3849">
      <w:pPr>
        <w:snapToGrid w:val="0"/>
        <w:spacing w:before="100" w:beforeAutospacing="1" w:after="100" w:afterAutospacing="1" w:line="700" w:lineRule="exact"/>
        <w:ind w:right="641"/>
        <w:rPr>
          <w:rFonts w:ascii="宋体" w:hAnsi="宋体"/>
          <w:color w:val="auto"/>
          <w:sz w:val="24"/>
          <w:szCs w:val="24"/>
          <w:highlight w:val="none"/>
        </w:rPr>
      </w:pPr>
      <w:r>
        <w:rPr>
          <w:rFonts w:hint="eastAsia" w:ascii="宋体" w:hAnsi="宋体"/>
          <w:color w:val="auto"/>
          <w:sz w:val="24"/>
          <w:szCs w:val="24"/>
          <w:highlight w:val="none"/>
        </w:rPr>
        <w:t>法定代表人（电子签名或签章）：</w:t>
      </w:r>
    </w:p>
    <w:p w14:paraId="29C5994F">
      <w:pPr>
        <w:widowControl w:val="0"/>
        <w:tabs>
          <w:tab w:val="left" w:pos="9365"/>
        </w:tabs>
        <w:snapToGrid w:val="0"/>
        <w:spacing w:after="56" w:line="560" w:lineRule="exact"/>
        <w:ind w:right="85"/>
        <w:jc w:val="left"/>
        <w:textAlignment w:val="top"/>
        <w:rPr>
          <w:color w:val="auto"/>
          <w:sz w:val="24"/>
          <w:szCs w:val="24"/>
          <w:highlight w:val="none"/>
        </w:rPr>
      </w:pPr>
      <w:r>
        <w:rPr>
          <w:rFonts w:hint="eastAsia" w:ascii="宋体" w:hAnsi="宋体"/>
          <w:color w:val="auto"/>
          <w:sz w:val="24"/>
          <w:szCs w:val="24"/>
          <w:highlight w:val="none"/>
        </w:rPr>
        <w:t>日期：</w:t>
      </w:r>
      <w:r>
        <w:rPr>
          <w:rFonts w:hint="eastAsia" w:ascii="宋体" w:hAnsi="宋体" w:cs="楷体_GB2312"/>
          <w:color w:val="auto"/>
          <w:sz w:val="24"/>
          <w:highlight w:val="none"/>
          <w:lang w:val="zh-CN"/>
        </w:rPr>
        <w:t>年月日</w:t>
      </w:r>
    </w:p>
    <w:p w14:paraId="4FA1D9E3">
      <w:pPr>
        <w:autoSpaceDE w:val="0"/>
        <w:autoSpaceDN w:val="0"/>
        <w:adjustRightInd w:val="0"/>
        <w:spacing w:line="360" w:lineRule="auto"/>
        <w:rPr>
          <w:rFonts w:ascii="黑体" w:hAnsi="黑体" w:eastAsia="黑体"/>
          <w:b/>
          <w:color w:val="auto"/>
          <w:sz w:val="30"/>
          <w:szCs w:val="30"/>
          <w:highlight w:val="none"/>
        </w:rPr>
      </w:pPr>
    </w:p>
    <w:p w14:paraId="78484F50">
      <w:pPr>
        <w:autoSpaceDE w:val="0"/>
        <w:autoSpaceDN w:val="0"/>
        <w:adjustRightInd w:val="0"/>
        <w:spacing w:line="360" w:lineRule="auto"/>
        <w:jc w:val="center"/>
        <w:rPr>
          <w:rFonts w:ascii="宋体"/>
          <w:color w:val="auto"/>
          <w:sz w:val="24"/>
          <w:szCs w:val="24"/>
          <w:highlight w:val="none"/>
        </w:rPr>
      </w:pPr>
      <w:r>
        <w:rPr>
          <w:rFonts w:ascii="宋体"/>
          <w:color w:val="auto"/>
          <w:sz w:val="24"/>
          <w:szCs w:val="24"/>
          <w:highlight w:val="none"/>
        </w:rPr>
        <w:br w:type="page"/>
      </w:r>
    </w:p>
    <w:p w14:paraId="274382B4">
      <w:pPr>
        <w:autoSpaceDE w:val="0"/>
        <w:autoSpaceDN w:val="0"/>
        <w:adjustRightInd w:val="0"/>
        <w:spacing w:line="360" w:lineRule="auto"/>
        <w:jc w:val="center"/>
        <w:rPr>
          <w:rFonts w:ascii="黑体" w:hAnsi="黑体" w:eastAsia="黑体"/>
          <w:b/>
          <w:color w:val="auto"/>
          <w:sz w:val="30"/>
          <w:szCs w:val="30"/>
          <w:highlight w:val="none"/>
        </w:rPr>
      </w:pPr>
      <w:r>
        <w:rPr>
          <w:rFonts w:hint="eastAsia" w:ascii="黑体" w:hAnsi="黑体" w:eastAsia="黑体"/>
          <w:b/>
          <w:color w:val="auto"/>
          <w:sz w:val="30"/>
          <w:szCs w:val="30"/>
          <w:highlight w:val="none"/>
        </w:rPr>
        <w:t>投标承诺函</w:t>
      </w:r>
    </w:p>
    <w:p w14:paraId="29D3D02D">
      <w:pPr>
        <w:widowControl w:val="0"/>
        <w:tabs>
          <w:tab w:val="left" w:pos="9365"/>
        </w:tabs>
        <w:spacing w:before="360" w:after="360" w:line="360" w:lineRule="auto"/>
        <w:ind w:right="85"/>
        <w:jc w:val="left"/>
        <w:textAlignment w:val="top"/>
        <w:rPr>
          <w:rFonts w:ascii="宋体" w:hAnsi="宋体"/>
          <w:color w:val="auto"/>
          <w:sz w:val="24"/>
          <w:szCs w:val="24"/>
          <w:highlight w:val="none"/>
        </w:rPr>
      </w:pPr>
      <w:r>
        <w:rPr>
          <w:rFonts w:hint="eastAsia" w:ascii="宋体" w:hAnsi="宋体"/>
          <w:color w:val="auto"/>
          <w:sz w:val="24"/>
          <w:szCs w:val="24"/>
          <w:highlight w:val="none"/>
        </w:rPr>
        <w:t>致：</w:t>
      </w:r>
      <w:r>
        <w:rPr>
          <w:rFonts w:hint="eastAsia" w:ascii="宋体" w:hAnsi="宋体"/>
          <w:color w:val="auto"/>
          <w:spacing w:val="11"/>
          <w:sz w:val="24"/>
          <w:szCs w:val="24"/>
          <w:highlight w:val="none"/>
          <w:u w:val="single"/>
        </w:rPr>
        <w:t>(采购人名称） 、</w:t>
      </w:r>
      <w:r>
        <w:rPr>
          <w:rFonts w:hint="eastAsia"/>
          <w:color w:val="auto"/>
          <w:sz w:val="24"/>
          <w:szCs w:val="24"/>
          <w:highlight w:val="none"/>
        </w:rPr>
        <w:t>安阳市方正招标采购服务有限责任公司</w:t>
      </w:r>
    </w:p>
    <w:p w14:paraId="6B0719BD">
      <w:pPr>
        <w:widowControl w:val="0"/>
        <w:tabs>
          <w:tab w:val="left" w:pos="65"/>
        </w:tabs>
        <w:spacing w:line="460" w:lineRule="atLeast"/>
        <w:ind w:firstLine="480" w:firstLineChars="200"/>
        <w:textAlignment w:val="auto"/>
        <w:rPr>
          <w:rFonts w:ascii="宋体" w:hAnsi="宋体"/>
          <w:color w:val="auto"/>
          <w:sz w:val="24"/>
          <w:szCs w:val="24"/>
          <w:highlight w:val="none"/>
          <w:lang w:val="zh-CN"/>
        </w:rPr>
      </w:pPr>
      <w:r>
        <w:rPr>
          <w:rFonts w:hint="eastAsia" w:ascii="宋体" w:hAnsi="宋体"/>
          <w:color w:val="auto"/>
          <w:sz w:val="24"/>
          <w:szCs w:val="24"/>
          <w:highlight w:val="none"/>
        </w:rPr>
        <w:t>在项目编号为 的</w:t>
      </w:r>
      <w:r>
        <w:rPr>
          <w:rFonts w:hint="eastAsia" w:ascii="宋体" w:hAnsi="宋体"/>
          <w:color w:val="auto"/>
          <w:sz w:val="24"/>
          <w:szCs w:val="24"/>
          <w:highlight w:val="none"/>
          <w:u w:val="single"/>
        </w:rPr>
        <w:t xml:space="preserve">    （项目名称）  </w:t>
      </w:r>
      <w:r>
        <w:rPr>
          <w:rFonts w:hint="eastAsia" w:ascii="宋体" w:hAnsi="宋体"/>
          <w:color w:val="auto"/>
          <w:sz w:val="24"/>
          <w:szCs w:val="24"/>
          <w:highlight w:val="none"/>
        </w:rPr>
        <w:t xml:space="preserve"> 采购活动中，我</w:t>
      </w:r>
      <w:r>
        <w:rPr>
          <w:rFonts w:hint="eastAsia"/>
          <w:color w:val="auto"/>
          <w:sz w:val="24"/>
          <w:highlight w:val="none"/>
        </w:rPr>
        <w:t>单位</w:t>
      </w:r>
      <w:r>
        <w:rPr>
          <w:rFonts w:hint="eastAsia" w:ascii="宋体" w:hAnsi="宋体"/>
          <w:color w:val="auto"/>
          <w:sz w:val="24"/>
          <w:szCs w:val="24"/>
          <w:highlight w:val="none"/>
        </w:rPr>
        <w:t>承诺：</w:t>
      </w:r>
    </w:p>
    <w:p w14:paraId="04AEBE88">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一、遵循公开、公平、公正和</w:t>
      </w:r>
      <w:r>
        <w:rPr>
          <w:color w:val="auto"/>
          <w:highlight w:val="none"/>
        </w:rPr>
        <w:fldChar w:fldCharType="begin"/>
      </w:r>
      <w:r>
        <w:rPr>
          <w:color w:val="auto"/>
          <w:highlight w:val="none"/>
        </w:rPr>
        <w:instrText xml:space="preserve"> HYPERLINK "http://www.so.com/s?q=%E8%AF%9A%E5%AE%9E%E4%BF%A1%E7%94%A8&amp;ie=utf-8&amp;src=internal_wenda_recommend_textn" \t "https://wenda.so.com/q/_blank" </w:instrText>
      </w:r>
      <w:r>
        <w:rPr>
          <w:color w:val="auto"/>
          <w:highlight w:val="none"/>
        </w:rPr>
        <w:fldChar w:fldCharType="separate"/>
      </w:r>
      <w:r>
        <w:rPr>
          <w:rFonts w:hint="eastAsia" w:ascii="宋体" w:hAnsi="宋体"/>
          <w:color w:val="auto"/>
          <w:sz w:val="24"/>
          <w:szCs w:val="24"/>
          <w:highlight w:val="none"/>
        </w:rPr>
        <w:t>诚实信用</w:t>
      </w:r>
      <w:r>
        <w:rPr>
          <w:rFonts w:hint="eastAsia" w:ascii="宋体" w:hAnsi="宋体"/>
          <w:color w:val="auto"/>
          <w:sz w:val="24"/>
          <w:szCs w:val="24"/>
          <w:highlight w:val="none"/>
        </w:rPr>
        <w:fldChar w:fldCharType="end"/>
      </w:r>
      <w:r>
        <w:rPr>
          <w:rFonts w:hint="eastAsia" w:ascii="宋体" w:hAnsi="宋体"/>
          <w:color w:val="auto"/>
          <w:sz w:val="24"/>
          <w:szCs w:val="24"/>
          <w:highlight w:val="none"/>
        </w:rPr>
        <w:t>的原则自愿参加本项目投标；</w:t>
      </w:r>
      <w:r>
        <w:rPr>
          <w:rFonts w:hint="eastAsia" w:ascii="宋体" w:hAnsi="宋体"/>
          <w:color w:val="auto"/>
          <w:sz w:val="24"/>
          <w:szCs w:val="24"/>
          <w:highlight w:val="none"/>
        </w:rPr>
        <w:br w:type="textWrapping"/>
      </w:r>
      <w:r>
        <w:rPr>
          <w:rFonts w:hint="eastAsia" w:ascii="宋体" w:hAnsi="宋体"/>
          <w:color w:val="auto"/>
          <w:sz w:val="24"/>
          <w:szCs w:val="24"/>
          <w:highlight w:val="none"/>
        </w:rPr>
        <w:t xml:space="preserve">    二、在政府采购活动中提供真实、准确、有效、合法的材料，不</w:t>
      </w:r>
      <w:r>
        <w:rPr>
          <w:rFonts w:hint="eastAsia" w:ascii="宋体" w:hAnsi="宋体"/>
          <w:color w:val="auto"/>
          <w:sz w:val="24"/>
          <w:szCs w:val="24"/>
          <w:highlight w:val="none"/>
          <w:lang w:val="zh-CN"/>
        </w:rPr>
        <w:t>提供虚假材料；</w:t>
      </w:r>
    </w:p>
    <w:p w14:paraId="28A76C3A">
      <w:pPr>
        <w:widowControl w:val="0"/>
        <w:tabs>
          <w:tab w:val="left" w:pos="65"/>
        </w:tabs>
        <w:spacing w:line="460" w:lineRule="atLeast"/>
        <w:ind w:firstLine="480" w:firstLineChars="200"/>
        <w:textAlignment w:val="auto"/>
        <w:rPr>
          <w:rFonts w:ascii="宋体" w:hAnsi="宋体"/>
          <w:color w:val="auto"/>
          <w:sz w:val="24"/>
          <w:szCs w:val="24"/>
          <w:highlight w:val="none"/>
          <w:lang w:val="zh-CN"/>
        </w:rPr>
      </w:pPr>
      <w:r>
        <w:rPr>
          <w:rFonts w:hint="eastAsia" w:ascii="宋体" w:hAnsi="宋体"/>
          <w:color w:val="auto"/>
          <w:sz w:val="24"/>
          <w:szCs w:val="24"/>
          <w:highlight w:val="none"/>
        </w:rPr>
        <w:t>三、</w:t>
      </w:r>
      <w:r>
        <w:rPr>
          <w:rFonts w:hint="eastAsia" w:ascii="宋体" w:hAnsi="宋体"/>
          <w:color w:val="auto"/>
          <w:sz w:val="24"/>
          <w:szCs w:val="24"/>
          <w:highlight w:val="none"/>
          <w:lang w:val="zh-CN"/>
        </w:rPr>
        <w:t>按照谈判文件规定，在提交投标文件截止时间后，在谈判文件规定的投标有效期限内不撤回投标文件；</w:t>
      </w:r>
    </w:p>
    <w:p w14:paraId="6919C229">
      <w:pPr>
        <w:widowControl w:val="0"/>
        <w:tabs>
          <w:tab w:val="left" w:pos="65"/>
        </w:tabs>
        <w:spacing w:line="460" w:lineRule="atLeast"/>
        <w:ind w:firstLine="480" w:firstLineChars="200"/>
        <w:textAlignment w:val="auto"/>
        <w:rPr>
          <w:rFonts w:ascii="宋体" w:hAnsi="宋体"/>
          <w:color w:val="auto"/>
          <w:sz w:val="24"/>
          <w:szCs w:val="24"/>
          <w:highlight w:val="none"/>
          <w:lang w:val="zh-CN"/>
        </w:rPr>
      </w:pPr>
      <w:r>
        <w:rPr>
          <w:rFonts w:hint="eastAsia" w:ascii="宋体" w:hAnsi="宋体"/>
          <w:color w:val="auto"/>
          <w:sz w:val="24"/>
          <w:szCs w:val="24"/>
          <w:highlight w:val="none"/>
        </w:rPr>
        <w:t>四、不</w:t>
      </w:r>
      <w:r>
        <w:rPr>
          <w:rFonts w:hint="eastAsia" w:ascii="宋体" w:hAnsi="宋体"/>
          <w:color w:val="auto"/>
          <w:sz w:val="24"/>
          <w:szCs w:val="24"/>
          <w:highlight w:val="none"/>
          <w:lang w:val="zh-CN"/>
        </w:rPr>
        <w:t>与其他投标人、采购人或采购代理机构串通或恶意串通。</w:t>
      </w:r>
    </w:p>
    <w:p w14:paraId="409E5B4C">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五、如我单位中标，</w:t>
      </w:r>
      <w:r>
        <w:rPr>
          <w:rFonts w:hint="eastAsia" w:ascii="宋体" w:hAnsi="宋体"/>
          <w:color w:val="auto"/>
          <w:sz w:val="24"/>
          <w:szCs w:val="24"/>
          <w:highlight w:val="none"/>
          <w:lang w:val="zh-CN"/>
        </w:rPr>
        <w:t>除不可抗拒力或谈判文件认可的情形外</w:t>
      </w:r>
      <w:r>
        <w:rPr>
          <w:rFonts w:hint="eastAsia" w:ascii="宋体" w:hAnsi="宋体"/>
          <w:color w:val="auto"/>
          <w:sz w:val="24"/>
          <w:szCs w:val="24"/>
          <w:highlight w:val="none"/>
        </w:rPr>
        <w:t>，我单位承诺及时领取中标通知书，</w:t>
      </w:r>
      <w:r>
        <w:rPr>
          <w:rFonts w:hint="eastAsia" w:ascii="宋体" w:hAnsi="宋体"/>
          <w:color w:val="auto"/>
          <w:sz w:val="24"/>
          <w:szCs w:val="24"/>
          <w:highlight w:val="none"/>
          <w:lang w:val="zh-CN"/>
        </w:rPr>
        <w:t>在成交通知书规定时间、地点与采购人签订合同；</w:t>
      </w:r>
      <w:r>
        <w:rPr>
          <w:rFonts w:hint="eastAsia" w:ascii="宋体" w:hAnsi="宋体"/>
          <w:color w:val="auto"/>
          <w:sz w:val="24"/>
          <w:szCs w:val="24"/>
          <w:highlight w:val="none"/>
        </w:rPr>
        <w:br w:type="textWrapping"/>
      </w:r>
      <w:r>
        <w:rPr>
          <w:rFonts w:hint="eastAsia" w:ascii="宋体" w:hAnsi="宋体"/>
          <w:color w:val="auto"/>
          <w:sz w:val="24"/>
          <w:szCs w:val="24"/>
          <w:highlight w:val="none"/>
        </w:rPr>
        <w:t xml:space="preserve">    六、</w:t>
      </w:r>
      <w:r>
        <w:rPr>
          <w:rFonts w:hint="eastAsia" w:ascii="宋体" w:hAnsi="宋体"/>
          <w:color w:val="auto"/>
          <w:sz w:val="24"/>
          <w:szCs w:val="24"/>
          <w:highlight w:val="none"/>
          <w:lang w:val="zh-CN"/>
        </w:rPr>
        <w:t>遵守法律法规及谈判文件规定的其他情况；</w:t>
      </w:r>
    </w:p>
    <w:p w14:paraId="7E4EED7D">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七、按</w:t>
      </w:r>
      <w:r>
        <w:rPr>
          <w:rFonts w:hint="eastAsia" w:ascii="宋体" w:hAnsi="宋体"/>
          <w:color w:val="auto"/>
          <w:sz w:val="24"/>
          <w:szCs w:val="24"/>
          <w:highlight w:val="none"/>
          <w:lang w:val="zh-CN"/>
        </w:rPr>
        <w:t>谈判</w:t>
      </w:r>
      <w:r>
        <w:rPr>
          <w:rFonts w:hint="eastAsia" w:ascii="宋体" w:hAnsi="宋体"/>
          <w:color w:val="auto"/>
          <w:sz w:val="24"/>
          <w:szCs w:val="24"/>
          <w:highlight w:val="none"/>
        </w:rPr>
        <w:t>文件规定及时缴纳中标服务费。</w:t>
      </w:r>
    </w:p>
    <w:p w14:paraId="3EF393D2">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八、违背上述承诺事项的，我单位无条件接受以下责任追究：</w:t>
      </w:r>
    </w:p>
    <w:p w14:paraId="12F522AC">
      <w:pPr>
        <w:widowControl w:val="0"/>
        <w:tabs>
          <w:tab w:val="left" w:pos="65"/>
        </w:tabs>
        <w:spacing w:line="460" w:lineRule="atLeast"/>
        <w:ind w:firstLine="480" w:firstLineChars="200"/>
        <w:textAlignment w:val="auto"/>
        <w:rPr>
          <w:rFonts w:ascii="宋体" w:hAnsi="宋体"/>
          <w:color w:val="auto"/>
          <w:sz w:val="24"/>
          <w:szCs w:val="24"/>
          <w:highlight w:val="none"/>
          <w:lang w:val="zh-CN"/>
        </w:rPr>
      </w:pPr>
      <w:r>
        <w:rPr>
          <w:rFonts w:hint="eastAsia" w:ascii="宋体" w:hAnsi="宋体"/>
          <w:color w:val="auto"/>
          <w:sz w:val="24"/>
          <w:szCs w:val="24"/>
          <w:highlight w:val="none"/>
          <w:lang w:val="zh-CN"/>
        </w:rPr>
        <w:t>（一）法定责任：</w:t>
      </w:r>
      <w:r>
        <w:rPr>
          <w:rFonts w:hint="eastAsia" w:ascii="宋体" w:hAnsi="宋体"/>
          <w:color w:val="auto"/>
          <w:sz w:val="24"/>
          <w:szCs w:val="24"/>
          <w:highlight w:val="none"/>
        </w:rPr>
        <w:t>按照政府采购相关法规，</w:t>
      </w:r>
      <w:r>
        <w:rPr>
          <w:rFonts w:hint="eastAsia" w:ascii="宋体" w:hAnsi="宋体"/>
          <w:color w:val="auto"/>
          <w:sz w:val="24"/>
          <w:szCs w:val="24"/>
          <w:highlight w:val="none"/>
          <w:lang w:val="zh-CN"/>
        </w:rPr>
        <w:t>处以罚款，列入不良行为记录名单，在一至三年内禁止参加政府采购活动，有违法所得的，并处没收违法所得，情节严重的，由工商行政管理机关（市场监督机关）吊销营业执照；构成犯罪的，依法追究刑事责任。</w:t>
      </w:r>
    </w:p>
    <w:p w14:paraId="67F40099">
      <w:pPr>
        <w:widowControl w:val="0"/>
        <w:tabs>
          <w:tab w:val="left" w:pos="65"/>
        </w:tabs>
        <w:spacing w:line="460" w:lineRule="atLeast"/>
        <w:ind w:firstLine="480" w:firstLineChars="200"/>
        <w:textAlignment w:val="auto"/>
        <w:rPr>
          <w:rFonts w:ascii="宋体" w:hAnsi="宋体"/>
          <w:color w:val="auto"/>
          <w:sz w:val="24"/>
          <w:szCs w:val="24"/>
          <w:highlight w:val="none"/>
          <w:lang w:val="zh-CN"/>
        </w:rPr>
      </w:pPr>
      <w:r>
        <w:rPr>
          <w:rFonts w:hint="eastAsia" w:ascii="宋体" w:hAnsi="宋体"/>
          <w:color w:val="auto"/>
          <w:sz w:val="24"/>
          <w:szCs w:val="24"/>
          <w:highlight w:val="none"/>
        </w:rPr>
        <w:t>给采购人及他人造成损失的，愿承担相应的赔偿责任。</w:t>
      </w:r>
    </w:p>
    <w:p w14:paraId="33EC0FE8">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lang w:val="zh-CN"/>
        </w:rPr>
        <w:t>（二）违约责任：</w:t>
      </w:r>
    </w:p>
    <w:p w14:paraId="3C21F54B">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1、已中标的，中标（成交）无效；</w:t>
      </w:r>
    </w:p>
    <w:p w14:paraId="30E43F06">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2、支付采购人违约标的预算金额2%的</w:t>
      </w:r>
      <w:r>
        <w:rPr>
          <w:rFonts w:hint="eastAsia" w:ascii="宋体" w:hAnsi="宋体"/>
          <w:color w:val="auto"/>
          <w:sz w:val="24"/>
          <w:szCs w:val="24"/>
          <w:highlight w:val="none"/>
          <w:lang w:val="zh-CN"/>
        </w:rPr>
        <w:t>违约金</w:t>
      </w:r>
      <w:r>
        <w:rPr>
          <w:rFonts w:hint="eastAsia" w:ascii="宋体" w:hAnsi="宋体"/>
          <w:color w:val="auto"/>
          <w:sz w:val="24"/>
          <w:szCs w:val="24"/>
          <w:highlight w:val="none"/>
        </w:rPr>
        <w:t>；</w:t>
      </w:r>
    </w:p>
    <w:p w14:paraId="661121F9">
      <w:pPr>
        <w:widowControl w:val="0"/>
        <w:tabs>
          <w:tab w:val="left" w:pos="65"/>
        </w:tabs>
        <w:spacing w:line="460" w:lineRule="atLeast"/>
        <w:ind w:firstLine="480" w:firstLineChars="200"/>
        <w:textAlignment w:val="auto"/>
        <w:rPr>
          <w:color w:val="auto"/>
          <w:sz w:val="24"/>
          <w:highlight w:val="none"/>
          <w:lang w:val="zh-CN"/>
        </w:rPr>
      </w:pPr>
      <w:r>
        <w:rPr>
          <w:rFonts w:hint="eastAsia" w:ascii="宋体" w:hAnsi="宋体"/>
          <w:color w:val="auto"/>
          <w:sz w:val="24"/>
          <w:szCs w:val="24"/>
          <w:highlight w:val="none"/>
        </w:rPr>
        <w:t>3、中标后未缴中标服务费的，作为违约及违背</w:t>
      </w:r>
      <w:r>
        <w:rPr>
          <w:color w:val="auto"/>
          <w:highlight w:val="none"/>
        </w:rPr>
        <w:fldChar w:fldCharType="begin"/>
      </w:r>
      <w:r>
        <w:rPr>
          <w:color w:val="auto"/>
          <w:highlight w:val="none"/>
        </w:rPr>
        <w:instrText xml:space="preserve"> HYPERLINK "http://www.so.com/s?q=%E8%AF%9A%E5%AE%9E%E4%BF%A1%E7%94%A8&amp;ie=utf-8&amp;src=internal_wenda_recommend_textn" \t "https://wenda.so.com/q/_blank" </w:instrText>
      </w:r>
      <w:r>
        <w:rPr>
          <w:color w:val="auto"/>
          <w:highlight w:val="none"/>
        </w:rPr>
        <w:fldChar w:fldCharType="separate"/>
      </w:r>
      <w:r>
        <w:rPr>
          <w:rFonts w:hint="eastAsia" w:ascii="宋体" w:hAnsi="宋体"/>
          <w:color w:val="auto"/>
          <w:sz w:val="24"/>
          <w:szCs w:val="24"/>
          <w:highlight w:val="none"/>
        </w:rPr>
        <w:t>诚实信用</w:t>
      </w:r>
      <w:r>
        <w:rPr>
          <w:rFonts w:hint="eastAsia" w:ascii="宋体" w:hAnsi="宋体"/>
          <w:color w:val="auto"/>
          <w:sz w:val="24"/>
          <w:szCs w:val="24"/>
          <w:highlight w:val="none"/>
        </w:rPr>
        <w:fldChar w:fldCharType="end"/>
      </w:r>
      <w:r>
        <w:rPr>
          <w:rFonts w:hint="eastAsia" w:ascii="宋体" w:hAnsi="宋体"/>
          <w:color w:val="auto"/>
          <w:sz w:val="24"/>
          <w:szCs w:val="24"/>
          <w:highlight w:val="none"/>
        </w:rPr>
        <w:t>原则，在履行承诺前，代理机构将视我单位为失信企业、不予办理其后相关业务。</w:t>
      </w:r>
    </w:p>
    <w:p w14:paraId="56647174">
      <w:pPr>
        <w:widowControl w:val="0"/>
        <w:autoSpaceDE w:val="0"/>
        <w:autoSpaceDN w:val="0"/>
        <w:adjustRightInd w:val="0"/>
        <w:spacing w:line="460" w:lineRule="atLeast"/>
        <w:ind w:left="-2" w:right="-817" w:hanging="149"/>
        <w:textAlignment w:val="auto"/>
        <w:rPr>
          <w:rFonts w:ascii="宋体" w:cs="楷体_GB2312"/>
          <w:color w:val="auto"/>
          <w:sz w:val="24"/>
          <w:highlight w:val="none"/>
          <w:lang w:val="zh-CN"/>
        </w:rPr>
      </w:pPr>
    </w:p>
    <w:p w14:paraId="0C679880">
      <w:pPr>
        <w:widowControl w:val="0"/>
        <w:tabs>
          <w:tab w:val="left" w:pos="9365"/>
        </w:tabs>
        <w:snapToGrid w:val="0"/>
        <w:spacing w:after="56" w:line="560" w:lineRule="exact"/>
        <w:ind w:right="85"/>
        <w:jc w:val="left"/>
        <w:textAlignment w:val="top"/>
        <w:rPr>
          <w:rFonts w:ascii="宋体" w:hAnsi="宋体"/>
          <w:color w:val="auto"/>
          <w:sz w:val="24"/>
          <w:szCs w:val="24"/>
          <w:highlight w:val="none"/>
        </w:rPr>
      </w:pPr>
      <w:r>
        <w:rPr>
          <w:rFonts w:hint="eastAsia" w:ascii="宋体" w:hAnsi="宋体"/>
          <w:color w:val="auto"/>
          <w:sz w:val="24"/>
          <w:szCs w:val="24"/>
          <w:highlight w:val="none"/>
        </w:rPr>
        <w:t>投标人（电子签章）：</w:t>
      </w:r>
    </w:p>
    <w:p w14:paraId="41B4F924">
      <w:pPr>
        <w:widowControl w:val="0"/>
        <w:tabs>
          <w:tab w:val="left" w:pos="9365"/>
        </w:tabs>
        <w:snapToGrid w:val="0"/>
        <w:spacing w:after="56" w:line="560" w:lineRule="exact"/>
        <w:ind w:right="85"/>
        <w:jc w:val="left"/>
        <w:textAlignment w:val="top"/>
        <w:rPr>
          <w:rFonts w:ascii="宋体" w:hAnsi="宋体"/>
          <w:color w:val="auto"/>
          <w:sz w:val="24"/>
          <w:szCs w:val="24"/>
          <w:highlight w:val="none"/>
        </w:rPr>
      </w:pPr>
      <w:r>
        <w:rPr>
          <w:rFonts w:hint="eastAsia" w:ascii="宋体" w:hAnsi="宋体"/>
          <w:color w:val="auto"/>
          <w:sz w:val="24"/>
          <w:szCs w:val="24"/>
          <w:highlight w:val="none"/>
        </w:rPr>
        <w:t>法定代表人（电子签名或签章）：</w:t>
      </w:r>
    </w:p>
    <w:p w14:paraId="252549EA">
      <w:pPr>
        <w:widowControl w:val="0"/>
        <w:autoSpaceDE w:val="0"/>
        <w:autoSpaceDN w:val="0"/>
        <w:adjustRightInd w:val="0"/>
        <w:spacing w:line="240" w:lineRule="auto"/>
        <w:ind w:right="-816"/>
        <w:textAlignment w:val="auto"/>
        <w:rPr>
          <w:color w:val="auto"/>
          <w:sz w:val="24"/>
          <w:szCs w:val="24"/>
          <w:highlight w:val="none"/>
          <w:lang w:val="zh-CN"/>
        </w:rPr>
      </w:pPr>
      <w:r>
        <w:rPr>
          <w:rFonts w:hint="eastAsia" w:ascii="宋体" w:hAnsi="宋体" w:cs="楷体_GB2312"/>
          <w:color w:val="auto"/>
          <w:sz w:val="24"/>
          <w:highlight w:val="none"/>
          <w:lang w:val="zh-CN"/>
        </w:rPr>
        <w:t>日期：年月日</w:t>
      </w:r>
    </w:p>
    <w:p w14:paraId="27C45596">
      <w:pPr>
        <w:autoSpaceDE w:val="0"/>
        <w:autoSpaceDN w:val="0"/>
        <w:adjustRightInd w:val="0"/>
        <w:spacing w:line="360" w:lineRule="auto"/>
        <w:jc w:val="center"/>
        <w:rPr>
          <w:rFonts w:ascii="宋体"/>
          <w:color w:val="auto"/>
          <w:sz w:val="24"/>
          <w:szCs w:val="24"/>
          <w:highlight w:val="none"/>
        </w:rPr>
      </w:pPr>
      <w:r>
        <w:rPr>
          <w:rFonts w:ascii="宋体"/>
          <w:color w:val="auto"/>
          <w:sz w:val="24"/>
          <w:szCs w:val="24"/>
          <w:highlight w:val="none"/>
        </w:rPr>
        <w:br w:type="page"/>
      </w:r>
    </w:p>
    <w:p w14:paraId="703B2354">
      <w:pPr>
        <w:autoSpaceDE w:val="0"/>
        <w:autoSpaceDN w:val="0"/>
        <w:adjustRightInd w:val="0"/>
        <w:spacing w:line="360" w:lineRule="auto"/>
        <w:rPr>
          <w:rFonts w:ascii="黑体" w:hAnsi="黑体" w:eastAsia="黑体"/>
          <w:b/>
          <w:color w:val="auto"/>
          <w:sz w:val="30"/>
          <w:szCs w:val="30"/>
          <w:highlight w:val="none"/>
        </w:rPr>
      </w:pPr>
      <w:r>
        <w:rPr>
          <w:rFonts w:hint="eastAsia" w:ascii="黑体" w:hAnsi="黑体" w:eastAsia="黑体"/>
          <w:b/>
          <w:color w:val="auto"/>
          <w:sz w:val="30"/>
          <w:szCs w:val="30"/>
          <w:highlight w:val="none"/>
        </w:rPr>
        <w:t>十二、采购项目及技术服务要求所需的其他材料</w:t>
      </w:r>
    </w:p>
    <w:p w14:paraId="3BDC8272">
      <w:pPr>
        <w:widowControl w:val="0"/>
        <w:snapToGrid w:val="0"/>
        <w:spacing w:line="560" w:lineRule="exact"/>
        <w:ind w:firstLine="555"/>
        <w:rPr>
          <w:rFonts w:ascii="宋体" w:hAnsi="宋体"/>
          <w:color w:val="auto"/>
          <w:sz w:val="24"/>
          <w:szCs w:val="24"/>
          <w:highlight w:val="none"/>
        </w:rPr>
      </w:pPr>
      <w:r>
        <w:rPr>
          <w:rFonts w:hint="eastAsia" w:ascii="宋体" w:hAnsi="宋体"/>
          <w:color w:val="auto"/>
          <w:sz w:val="24"/>
          <w:szCs w:val="24"/>
          <w:highlight w:val="none"/>
        </w:rPr>
        <w:t>（按条款需要填列；并按条款要求</w:t>
      </w:r>
      <w:r>
        <w:rPr>
          <w:rFonts w:hint="eastAsia" w:ascii="宋体" w:hAnsi="宋体" w:cs="楷体_GB2312"/>
          <w:color w:val="auto"/>
          <w:sz w:val="24"/>
          <w:highlight w:val="none"/>
          <w:lang w:val="zh-CN"/>
        </w:rPr>
        <w:t>电子签名&lt;签</w:t>
      </w:r>
      <w:r>
        <w:rPr>
          <w:rFonts w:hint="eastAsia" w:ascii="宋体" w:hAnsi="宋体"/>
          <w:color w:val="auto"/>
          <w:sz w:val="24"/>
          <w:szCs w:val="24"/>
          <w:highlight w:val="none"/>
        </w:rPr>
        <w:t>章&gt;。条款中对</w:t>
      </w:r>
      <w:r>
        <w:rPr>
          <w:rFonts w:hint="eastAsia" w:ascii="宋体" w:hAnsi="宋体" w:cs="楷体_GB2312"/>
          <w:color w:val="auto"/>
          <w:sz w:val="24"/>
          <w:highlight w:val="none"/>
          <w:lang w:val="zh-CN"/>
        </w:rPr>
        <w:t>电子签名&lt;签</w:t>
      </w:r>
      <w:r>
        <w:rPr>
          <w:rFonts w:hint="eastAsia" w:ascii="宋体" w:hAnsi="宋体"/>
          <w:color w:val="auto"/>
          <w:sz w:val="24"/>
          <w:szCs w:val="24"/>
          <w:highlight w:val="none"/>
        </w:rPr>
        <w:t>章&gt;未作明确要求的，由法定代表人电子签名</w:t>
      </w:r>
      <w:r>
        <w:rPr>
          <w:rFonts w:hint="eastAsia" w:ascii="宋体" w:hAnsi="宋体" w:cs="楷体_GB2312"/>
          <w:color w:val="auto"/>
          <w:sz w:val="24"/>
          <w:highlight w:val="none"/>
          <w:lang w:val="zh-CN"/>
        </w:rPr>
        <w:t>&lt;签</w:t>
      </w:r>
      <w:r>
        <w:rPr>
          <w:rFonts w:hint="eastAsia" w:ascii="宋体" w:hAnsi="宋体"/>
          <w:color w:val="auto"/>
          <w:sz w:val="24"/>
          <w:szCs w:val="24"/>
          <w:highlight w:val="none"/>
        </w:rPr>
        <w:t>章&gt;或投标人电子签章）</w:t>
      </w:r>
    </w:p>
    <w:p w14:paraId="32A92040">
      <w:pPr>
        <w:widowControl w:val="0"/>
        <w:snapToGrid w:val="0"/>
        <w:spacing w:line="560" w:lineRule="exact"/>
        <w:ind w:firstLine="555"/>
        <w:rPr>
          <w:rFonts w:ascii="宋体" w:hAnsi="宋体"/>
          <w:color w:val="auto"/>
          <w:sz w:val="24"/>
          <w:szCs w:val="24"/>
          <w:highlight w:val="none"/>
        </w:rPr>
      </w:pPr>
      <w:r>
        <w:rPr>
          <w:rFonts w:hint="eastAsia" w:ascii="宋体" w:hAnsi="宋体"/>
          <w:color w:val="auto"/>
          <w:sz w:val="24"/>
          <w:szCs w:val="24"/>
          <w:highlight w:val="none"/>
        </w:rPr>
        <w:t>如采购产品属于政府强制采购品目清单的，投标文件中应当提供相应的认证证书，认证证书应当为国家确定的认证机构出具、且应处于有效期之内。不符合的、为无效投标。</w:t>
      </w:r>
    </w:p>
    <w:p w14:paraId="02D41904">
      <w:pPr>
        <w:widowControl w:val="0"/>
        <w:snapToGrid w:val="0"/>
        <w:spacing w:line="560" w:lineRule="exact"/>
        <w:ind w:firstLine="555"/>
        <w:rPr>
          <w:rFonts w:ascii="宋体"/>
          <w:color w:val="auto"/>
          <w:sz w:val="24"/>
          <w:szCs w:val="24"/>
          <w:highlight w:val="none"/>
        </w:rPr>
      </w:pPr>
    </w:p>
    <w:p w14:paraId="71EC4D05">
      <w:pPr>
        <w:autoSpaceDE w:val="0"/>
        <w:autoSpaceDN w:val="0"/>
        <w:adjustRightInd w:val="0"/>
        <w:spacing w:line="360" w:lineRule="auto"/>
        <w:jc w:val="center"/>
        <w:rPr>
          <w:rFonts w:eastAsia="方正黑体简体"/>
          <w:b/>
          <w:color w:val="auto"/>
          <w:sz w:val="30"/>
          <w:szCs w:val="30"/>
          <w:highlight w:val="none"/>
        </w:rPr>
      </w:pPr>
    </w:p>
    <w:p w14:paraId="3FFD3121">
      <w:pPr>
        <w:autoSpaceDE w:val="0"/>
        <w:autoSpaceDN w:val="0"/>
        <w:adjustRightInd w:val="0"/>
        <w:spacing w:line="360" w:lineRule="auto"/>
        <w:rPr>
          <w:rFonts w:ascii="黑体" w:hAnsi="黑体" w:eastAsia="黑体"/>
          <w:b/>
          <w:color w:val="auto"/>
          <w:sz w:val="30"/>
          <w:szCs w:val="30"/>
          <w:highlight w:val="none"/>
        </w:rPr>
      </w:pPr>
      <w:r>
        <w:rPr>
          <w:rFonts w:hint="eastAsia" w:ascii="黑体" w:hAnsi="黑体" w:eastAsia="黑体"/>
          <w:b/>
          <w:color w:val="auto"/>
          <w:sz w:val="30"/>
          <w:szCs w:val="30"/>
          <w:highlight w:val="none"/>
        </w:rPr>
        <w:t>十三、投标人须知所需的其他材料</w:t>
      </w:r>
    </w:p>
    <w:p w14:paraId="148283C3">
      <w:pPr>
        <w:widowControl w:val="0"/>
        <w:snapToGrid w:val="0"/>
        <w:spacing w:line="560" w:lineRule="exact"/>
        <w:ind w:firstLine="555"/>
        <w:rPr>
          <w:rFonts w:ascii="宋体"/>
          <w:color w:val="auto"/>
          <w:sz w:val="24"/>
          <w:szCs w:val="24"/>
          <w:highlight w:val="none"/>
        </w:rPr>
      </w:pPr>
      <w:r>
        <w:rPr>
          <w:rFonts w:hint="eastAsia" w:ascii="宋体" w:hAnsi="宋体"/>
          <w:color w:val="auto"/>
          <w:sz w:val="24"/>
          <w:szCs w:val="24"/>
          <w:highlight w:val="none"/>
        </w:rPr>
        <w:t>（按条款需要填列；并按条款要求</w:t>
      </w:r>
      <w:r>
        <w:rPr>
          <w:rFonts w:hint="eastAsia" w:ascii="宋体" w:hAnsi="宋体" w:cs="楷体_GB2312"/>
          <w:color w:val="auto"/>
          <w:sz w:val="24"/>
          <w:highlight w:val="none"/>
          <w:lang w:val="zh-CN"/>
        </w:rPr>
        <w:t>电子签名&lt;签</w:t>
      </w:r>
      <w:r>
        <w:rPr>
          <w:rFonts w:hint="eastAsia" w:ascii="宋体" w:hAnsi="宋体"/>
          <w:color w:val="auto"/>
          <w:sz w:val="24"/>
          <w:szCs w:val="24"/>
          <w:highlight w:val="none"/>
        </w:rPr>
        <w:t>章&gt;。条款中对</w:t>
      </w:r>
      <w:r>
        <w:rPr>
          <w:rFonts w:hint="eastAsia" w:ascii="宋体" w:hAnsi="宋体" w:cs="楷体_GB2312"/>
          <w:color w:val="auto"/>
          <w:sz w:val="24"/>
          <w:highlight w:val="none"/>
          <w:lang w:val="zh-CN"/>
        </w:rPr>
        <w:t>电子签名&lt;签</w:t>
      </w:r>
      <w:r>
        <w:rPr>
          <w:rFonts w:hint="eastAsia" w:ascii="宋体" w:hAnsi="宋体"/>
          <w:color w:val="auto"/>
          <w:sz w:val="24"/>
          <w:szCs w:val="24"/>
          <w:highlight w:val="none"/>
        </w:rPr>
        <w:t>章&gt;未作明确要求的，由法定代表人</w:t>
      </w:r>
      <w:r>
        <w:rPr>
          <w:rFonts w:hint="eastAsia" w:ascii="宋体" w:hAnsi="宋体" w:cs="楷体_GB2312"/>
          <w:color w:val="auto"/>
          <w:sz w:val="24"/>
          <w:highlight w:val="none"/>
          <w:lang w:val="zh-CN"/>
        </w:rPr>
        <w:t>电子签名&lt;签</w:t>
      </w:r>
      <w:r>
        <w:rPr>
          <w:rFonts w:hint="eastAsia" w:ascii="宋体" w:hAnsi="宋体"/>
          <w:color w:val="auto"/>
          <w:sz w:val="24"/>
          <w:szCs w:val="24"/>
          <w:highlight w:val="none"/>
        </w:rPr>
        <w:t>章&gt;或</w:t>
      </w:r>
      <w:r>
        <w:rPr>
          <w:rFonts w:hint="eastAsia"/>
          <w:color w:val="auto"/>
          <w:sz w:val="24"/>
          <w:szCs w:val="24"/>
          <w:highlight w:val="none"/>
        </w:rPr>
        <w:t>投标人</w:t>
      </w:r>
      <w:r>
        <w:rPr>
          <w:rFonts w:hint="eastAsia" w:ascii="宋体" w:hAnsi="宋体" w:cs="楷体_GB2312"/>
          <w:color w:val="auto"/>
          <w:sz w:val="24"/>
          <w:highlight w:val="none"/>
          <w:lang w:val="zh-CN"/>
        </w:rPr>
        <w:t>电子签</w:t>
      </w:r>
      <w:r>
        <w:rPr>
          <w:rFonts w:hint="eastAsia" w:ascii="宋体" w:hAnsi="宋体"/>
          <w:color w:val="auto"/>
          <w:sz w:val="24"/>
          <w:szCs w:val="24"/>
          <w:highlight w:val="none"/>
        </w:rPr>
        <w:t>章）</w:t>
      </w:r>
    </w:p>
    <w:p w14:paraId="62BB8986">
      <w:pPr>
        <w:autoSpaceDE w:val="0"/>
        <w:autoSpaceDN w:val="0"/>
        <w:adjustRightInd w:val="0"/>
        <w:spacing w:line="360" w:lineRule="auto"/>
        <w:jc w:val="center"/>
        <w:rPr>
          <w:rFonts w:ascii="宋体"/>
          <w:color w:val="auto"/>
          <w:sz w:val="24"/>
          <w:szCs w:val="24"/>
          <w:highlight w:val="none"/>
        </w:rPr>
      </w:pPr>
    </w:p>
    <w:p w14:paraId="5519579F">
      <w:pPr>
        <w:autoSpaceDE w:val="0"/>
        <w:autoSpaceDN w:val="0"/>
        <w:adjustRightInd w:val="0"/>
        <w:spacing w:line="360" w:lineRule="auto"/>
        <w:jc w:val="center"/>
        <w:rPr>
          <w:rFonts w:ascii="宋体"/>
          <w:color w:val="auto"/>
          <w:sz w:val="24"/>
          <w:szCs w:val="24"/>
          <w:highlight w:val="none"/>
        </w:rPr>
      </w:pPr>
    </w:p>
    <w:p w14:paraId="6B094DD7">
      <w:pPr>
        <w:autoSpaceDE w:val="0"/>
        <w:autoSpaceDN w:val="0"/>
        <w:adjustRightInd w:val="0"/>
        <w:spacing w:line="360" w:lineRule="auto"/>
        <w:jc w:val="center"/>
        <w:rPr>
          <w:rFonts w:ascii="宋体"/>
          <w:color w:val="auto"/>
          <w:sz w:val="24"/>
          <w:szCs w:val="24"/>
          <w:highlight w:val="none"/>
        </w:rPr>
      </w:pPr>
    </w:p>
    <w:p w14:paraId="633FD99A">
      <w:pPr>
        <w:autoSpaceDE w:val="0"/>
        <w:autoSpaceDN w:val="0"/>
        <w:adjustRightInd w:val="0"/>
        <w:spacing w:line="360" w:lineRule="auto"/>
        <w:jc w:val="center"/>
        <w:rPr>
          <w:rFonts w:eastAsia="方正黑体简体"/>
          <w:b/>
          <w:color w:val="auto"/>
          <w:sz w:val="30"/>
          <w:szCs w:val="30"/>
          <w:highlight w:val="none"/>
        </w:rPr>
      </w:pPr>
    </w:p>
    <w:p w14:paraId="73F6BD4F">
      <w:pPr>
        <w:autoSpaceDE w:val="0"/>
        <w:autoSpaceDN w:val="0"/>
        <w:adjustRightInd w:val="0"/>
        <w:spacing w:line="360" w:lineRule="auto"/>
        <w:rPr>
          <w:rFonts w:ascii="黑体" w:hAnsi="黑体" w:eastAsia="黑体"/>
          <w:b/>
          <w:color w:val="auto"/>
          <w:sz w:val="30"/>
          <w:szCs w:val="30"/>
          <w:highlight w:val="none"/>
        </w:rPr>
      </w:pPr>
      <w:r>
        <w:rPr>
          <w:rFonts w:hint="eastAsia" w:ascii="黑体" w:hAnsi="黑体" w:eastAsia="黑体"/>
          <w:b/>
          <w:color w:val="auto"/>
          <w:sz w:val="30"/>
          <w:szCs w:val="30"/>
          <w:highlight w:val="none"/>
        </w:rPr>
        <w:t>十四、评审办法所需的其他材料</w:t>
      </w:r>
    </w:p>
    <w:p w14:paraId="2E652A77">
      <w:pPr>
        <w:widowControl w:val="0"/>
        <w:snapToGrid w:val="0"/>
        <w:spacing w:line="560" w:lineRule="exact"/>
        <w:ind w:firstLine="555"/>
        <w:rPr>
          <w:rFonts w:ascii="宋体"/>
          <w:color w:val="auto"/>
          <w:sz w:val="24"/>
          <w:szCs w:val="24"/>
          <w:highlight w:val="none"/>
        </w:rPr>
      </w:pPr>
      <w:r>
        <w:rPr>
          <w:rFonts w:hint="eastAsia" w:ascii="宋体" w:hAnsi="宋体"/>
          <w:color w:val="auto"/>
          <w:sz w:val="24"/>
          <w:szCs w:val="24"/>
          <w:highlight w:val="none"/>
        </w:rPr>
        <w:t>（按条款需要填列；并按条款要求</w:t>
      </w:r>
      <w:r>
        <w:rPr>
          <w:rFonts w:hint="eastAsia" w:ascii="宋体" w:hAnsi="宋体" w:cs="楷体_GB2312"/>
          <w:color w:val="auto"/>
          <w:sz w:val="24"/>
          <w:highlight w:val="none"/>
          <w:lang w:val="zh-CN"/>
        </w:rPr>
        <w:t>电子签名&lt;签</w:t>
      </w:r>
      <w:r>
        <w:rPr>
          <w:rFonts w:hint="eastAsia" w:ascii="宋体" w:hAnsi="宋体"/>
          <w:color w:val="auto"/>
          <w:sz w:val="24"/>
          <w:szCs w:val="24"/>
          <w:highlight w:val="none"/>
        </w:rPr>
        <w:t>章&gt;。条款中对</w:t>
      </w:r>
      <w:r>
        <w:rPr>
          <w:rFonts w:hint="eastAsia" w:ascii="宋体" w:hAnsi="宋体" w:cs="楷体_GB2312"/>
          <w:color w:val="auto"/>
          <w:sz w:val="24"/>
          <w:highlight w:val="none"/>
          <w:lang w:val="zh-CN"/>
        </w:rPr>
        <w:t>电子签名&lt;签</w:t>
      </w:r>
      <w:r>
        <w:rPr>
          <w:rFonts w:hint="eastAsia" w:ascii="宋体" w:hAnsi="宋体"/>
          <w:color w:val="auto"/>
          <w:sz w:val="24"/>
          <w:szCs w:val="24"/>
          <w:highlight w:val="none"/>
        </w:rPr>
        <w:t>章&gt;未作明确要求的，由法定代表人</w:t>
      </w:r>
      <w:r>
        <w:rPr>
          <w:rFonts w:hint="eastAsia" w:ascii="宋体" w:hAnsi="宋体" w:cs="楷体_GB2312"/>
          <w:color w:val="auto"/>
          <w:sz w:val="24"/>
          <w:highlight w:val="none"/>
          <w:lang w:val="zh-CN"/>
        </w:rPr>
        <w:t>电子签名&lt;签</w:t>
      </w:r>
      <w:r>
        <w:rPr>
          <w:rFonts w:hint="eastAsia" w:ascii="宋体" w:hAnsi="宋体"/>
          <w:color w:val="auto"/>
          <w:sz w:val="24"/>
          <w:szCs w:val="24"/>
          <w:highlight w:val="none"/>
        </w:rPr>
        <w:t>章&gt;或</w:t>
      </w:r>
      <w:r>
        <w:rPr>
          <w:rFonts w:hint="eastAsia"/>
          <w:color w:val="auto"/>
          <w:sz w:val="24"/>
          <w:szCs w:val="24"/>
          <w:highlight w:val="none"/>
        </w:rPr>
        <w:t>投标人</w:t>
      </w:r>
      <w:r>
        <w:rPr>
          <w:rFonts w:hint="eastAsia" w:ascii="宋体" w:hAnsi="宋体" w:cs="楷体_GB2312"/>
          <w:color w:val="auto"/>
          <w:sz w:val="24"/>
          <w:highlight w:val="none"/>
          <w:lang w:val="zh-CN"/>
        </w:rPr>
        <w:t>电子签</w:t>
      </w:r>
      <w:r>
        <w:rPr>
          <w:rFonts w:hint="eastAsia" w:ascii="宋体" w:hAnsi="宋体"/>
          <w:color w:val="auto"/>
          <w:sz w:val="24"/>
          <w:szCs w:val="24"/>
          <w:highlight w:val="none"/>
        </w:rPr>
        <w:t>章）</w:t>
      </w:r>
    </w:p>
    <w:p w14:paraId="04BBD40F">
      <w:pPr>
        <w:autoSpaceDE w:val="0"/>
        <w:autoSpaceDN w:val="0"/>
        <w:adjustRightInd w:val="0"/>
        <w:spacing w:line="360" w:lineRule="auto"/>
        <w:jc w:val="center"/>
        <w:rPr>
          <w:rFonts w:ascii="宋体"/>
          <w:color w:val="auto"/>
          <w:sz w:val="24"/>
          <w:szCs w:val="24"/>
          <w:highlight w:val="none"/>
        </w:rPr>
      </w:pPr>
    </w:p>
    <w:p w14:paraId="77F49B19">
      <w:pPr>
        <w:autoSpaceDE w:val="0"/>
        <w:autoSpaceDN w:val="0"/>
        <w:adjustRightInd w:val="0"/>
        <w:spacing w:line="360" w:lineRule="auto"/>
        <w:jc w:val="center"/>
        <w:rPr>
          <w:rFonts w:ascii="宋体"/>
          <w:color w:val="auto"/>
          <w:sz w:val="24"/>
          <w:szCs w:val="24"/>
          <w:highlight w:val="none"/>
        </w:rPr>
      </w:pPr>
    </w:p>
    <w:p w14:paraId="0425EA3F">
      <w:pPr>
        <w:widowControl w:val="0"/>
        <w:snapToGrid w:val="0"/>
        <w:spacing w:line="560" w:lineRule="exact"/>
        <w:rPr>
          <w:rFonts w:ascii="黑体" w:hAnsi="黑体" w:eastAsia="黑体"/>
          <w:b/>
          <w:color w:val="auto"/>
          <w:sz w:val="30"/>
          <w:szCs w:val="30"/>
          <w:highlight w:val="none"/>
        </w:rPr>
      </w:pPr>
      <w:r>
        <w:rPr>
          <w:rFonts w:hint="eastAsia" w:ascii="黑体" w:hAnsi="黑体" w:eastAsia="黑体"/>
          <w:b/>
          <w:color w:val="auto"/>
          <w:sz w:val="30"/>
          <w:szCs w:val="30"/>
          <w:highlight w:val="none"/>
        </w:rPr>
        <w:t>14</w:t>
      </w:r>
      <w:r>
        <w:rPr>
          <w:rFonts w:ascii="黑体" w:hAnsi="黑体" w:eastAsia="黑体"/>
          <w:b/>
          <w:color w:val="auto"/>
          <w:sz w:val="30"/>
          <w:szCs w:val="30"/>
          <w:highlight w:val="none"/>
        </w:rPr>
        <w:t>-</w:t>
      </w:r>
      <w:r>
        <w:rPr>
          <w:rFonts w:hint="eastAsia" w:ascii="黑体" w:hAnsi="黑体" w:eastAsia="黑体"/>
          <w:b/>
          <w:color w:val="auto"/>
          <w:sz w:val="30"/>
          <w:szCs w:val="30"/>
          <w:highlight w:val="none"/>
        </w:rPr>
        <w:t>1、其它材料</w:t>
      </w:r>
    </w:p>
    <w:p w14:paraId="1F4C6CCD">
      <w:pPr>
        <w:autoSpaceDE w:val="0"/>
        <w:autoSpaceDN w:val="0"/>
        <w:adjustRightInd w:val="0"/>
        <w:spacing w:line="360" w:lineRule="auto"/>
        <w:rPr>
          <w:rFonts w:ascii="宋体"/>
          <w:color w:val="auto"/>
          <w:sz w:val="24"/>
          <w:szCs w:val="24"/>
          <w:highlight w:val="none"/>
        </w:rPr>
      </w:pPr>
    </w:p>
    <w:p w14:paraId="77FC8BE8">
      <w:pPr>
        <w:autoSpaceDE w:val="0"/>
        <w:autoSpaceDN w:val="0"/>
        <w:adjustRightInd w:val="0"/>
        <w:spacing w:line="360" w:lineRule="auto"/>
        <w:rPr>
          <w:rFonts w:ascii="宋体"/>
          <w:color w:val="auto"/>
          <w:sz w:val="24"/>
          <w:szCs w:val="24"/>
          <w:highlight w:val="none"/>
        </w:rPr>
      </w:pPr>
      <w:r>
        <w:rPr>
          <w:rFonts w:ascii="宋体"/>
          <w:color w:val="auto"/>
          <w:sz w:val="24"/>
          <w:szCs w:val="24"/>
          <w:highlight w:val="none"/>
        </w:rPr>
        <w:br w:type="page"/>
      </w:r>
    </w:p>
    <w:p w14:paraId="64F7C583">
      <w:pPr>
        <w:widowControl w:val="0"/>
        <w:snapToGrid w:val="0"/>
        <w:spacing w:line="560" w:lineRule="exact"/>
        <w:rPr>
          <w:rFonts w:ascii="黑体" w:hAnsi="黑体" w:eastAsia="黑体"/>
          <w:b/>
          <w:color w:val="auto"/>
          <w:sz w:val="30"/>
          <w:szCs w:val="30"/>
          <w:highlight w:val="none"/>
        </w:rPr>
      </w:pPr>
      <w:r>
        <w:rPr>
          <w:rFonts w:hint="eastAsia" w:ascii="黑体" w:hAnsi="黑体" w:eastAsia="黑体"/>
          <w:b/>
          <w:color w:val="auto"/>
          <w:sz w:val="30"/>
          <w:szCs w:val="30"/>
          <w:highlight w:val="none"/>
        </w:rPr>
        <w:t>14-2附件：</w:t>
      </w:r>
    </w:p>
    <w:p w14:paraId="578F5B4C">
      <w:pPr>
        <w:widowControl w:val="0"/>
        <w:snapToGrid w:val="0"/>
        <w:spacing w:line="560" w:lineRule="exact"/>
        <w:jc w:val="center"/>
        <w:rPr>
          <w:rFonts w:ascii="黑体" w:hAnsi="黑体" w:eastAsia="黑体"/>
          <w:b/>
          <w:color w:val="auto"/>
          <w:sz w:val="30"/>
          <w:szCs w:val="30"/>
          <w:highlight w:val="none"/>
        </w:rPr>
      </w:pPr>
      <w:r>
        <w:rPr>
          <w:rFonts w:hint="eastAsia" w:ascii="黑体" w:hAnsi="黑体" w:eastAsia="黑体"/>
          <w:b/>
          <w:color w:val="auto"/>
          <w:sz w:val="30"/>
          <w:szCs w:val="30"/>
          <w:highlight w:val="none"/>
        </w:rPr>
        <w:t>关于“台式计算机、便携式计算机、一体式计算机、工作站、通用服务器、操作系统、数据库”《需求标准》政策规定所涉及的</w:t>
      </w:r>
    </w:p>
    <w:p w14:paraId="67342639">
      <w:pPr>
        <w:widowControl w:val="0"/>
        <w:snapToGrid w:val="0"/>
        <w:spacing w:line="560" w:lineRule="exact"/>
        <w:jc w:val="center"/>
        <w:rPr>
          <w:rFonts w:ascii="黑体" w:hAnsi="黑体" w:eastAsia="黑体"/>
          <w:b/>
          <w:color w:val="auto"/>
          <w:sz w:val="30"/>
          <w:szCs w:val="30"/>
          <w:highlight w:val="none"/>
        </w:rPr>
      </w:pPr>
      <w:r>
        <w:rPr>
          <w:rFonts w:hint="eastAsia" w:ascii="黑体" w:hAnsi="黑体" w:eastAsia="黑体"/>
          <w:b/>
          <w:color w:val="auto"/>
          <w:sz w:val="30"/>
          <w:szCs w:val="30"/>
          <w:highlight w:val="none"/>
        </w:rPr>
        <w:t>投标要求、评审注意事项</w:t>
      </w:r>
    </w:p>
    <w:p w14:paraId="2630F40B">
      <w:pPr>
        <w:widowControl w:val="0"/>
        <w:tabs>
          <w:tab w:val="left" w:pos="65"/>
        </w:tabs>
        <w:spacing w:line="460" w:lineRule="atLeast"/>
        <w:ind w:firstLine="557" w:firstLineChars="198"/>
        <w:jc w:val="center"/>
        <w:textAlignment w:val="auto"/>
        <w:rPr>
          <w:b/>
          <w:color w:val="auto"/>
          <w:sz w:val="28"/>
          <w:szCs w:val="28"/>
          <w:highlight w:val="none"/>
        </w:rPr>
      </w:pPr>
      <w:r>
        <w:rPr>
          <w:rFonts w:hint="eastAsia"/>
          <w:b/>
          <w:color w:val="auto"/>
          <w:sz w:val="28"/>
          <w:szCs w:val="28"/>
          <w:highlight w:val="none"/>
        </w:rPr>
        <w:t>（投标产品如涉及）</w:t>
      </w:r>
    </w:p>
    <w:p w14:paraId="06F95F79">
      <w:pPr>
        <w:widowControl w:val="0"/>
        <w:tabs>
          <w:tab w:val="left" w:pos="65"/>
        </w:tabs>
        <w:spacing w:line="460" w:lineRule="atLeast"/>
        <w:ind w:firstLine="595" w:firstLineChars="247"/>
        <w:textAlignment w:val="auto"/>
        <w:rPr>
          <w:rFonts w:ascii="宋体" w:hAnsi="宋体"/>
          <w:color w:val="auto"/>
          <w:sz w:val="24"/>
          <w:szCs w:val="24"/>
          <w:highlight w:val="none"/>
        </w:rPr>
      </w:pPr>
      <w:r>
        <w:rPr>
          <w:rFonts w:hint="eastAsia" w:ascii="宋体" w:hAnsi="宋体"/>
          <w:b/>
          <w:color w:val="auto"/>
          <w:sz w:val="24"/>
          <w:szCs w:val="24"/>
          <w:highlight w:val="none"/>
        </w:rPr>
        <w:t>本次采购产品中、如涉及台式计算机、便携式计算机、一体式计算机、工作站、通用服务器、操作系统、数据库的，</w:t>
      </w:r>
      <w:r>
        <w:rPr>
          <w:rFonts w:hint="eastAsia" w:ascii="宋体" w:hAnsi="宋体"/>
          <w:color w:val="auto"/>
          <w:sz w:val="24"/>
          <w:szCs w:val="24"/>
          <w:highlight w:val="none"/>
        </w:rPr>
        <w:t>应符合《台式计算机政府采购需求标准（2023年版）》、《便携式计算机政府采购需求标准（2023年版）》、《一体式计算机政府采购需求标准（2023年版）》、《工作站政府采购需求标准（2023年版）》、《通用服务器政府采购需求标准（2023年版）》、《操作系统政府采购需求标准（2023年版）》、《数据库政府采购需求标准（2023年版）》的要求。</w:t>
      </w:r>
    </w:p>
    <w:p w14:paraId="3A57496B">
      <w:pPr>
        <w:widowControl w:val="0"/>
        <w:tabs>
          <w:tab w:val="left" w:pos="65"/>
        </w:tabs>
        <w:spacing w:line="460" w:lineRule="atLeast"/>
        <w:ind w:firstLine="592" w:firstLineChars="247"/>
        <w:textAlignment w:val="auto"/>
        <w:rPr>
          <w:rFonts w:ascii="宋体" w:hAnsi="宋体"/>
          <w:color w:val="auto"/>
          <w:sz w:val="24"/>
          <w:szCs w:val="24"/>
          <w:highlight w:val="none"/>
        </w:rPr>
      </w:pPr>
      <w:r>
        <w:rPr>
          <w:rFonts w:hint="eastAsia" w:ascii="宋体" w:hAnsi="宋体"/>
          <w:color w:val="auto"/>
          <w:sz w:val="24"/>
          <w:szCs w:val="24"/>
          <w:highlight w:val="none"/>
        </w:rPr>
        <w:t>一、投标要求：</w:t>
      </w:r>
    </w:p>
    <w:p w14:paraId="301DDB1B">
      <w:pPr>
        <w:widowControl w:val="0"/>
        <w:tabs>
          <w:tab w:val="left" w:pos="65"/>
        </w:tabs>
        <w:spacing w:line="460" w:lineRule="atLeast"/>
        <w:ind w:firstLine="592" w:firstLineChars="247"/>
        <w:textAlignment w:val="auto"/>
        <w:rPr>
          <w:rFonts w:ascii="宋体" w:hAnsi="宋体"/>
          <w:color w:val="auto"/>
          <w:sz w:val="24"/>
          <w:szCs w:val="24"/>
          <w:highlight w:val="none"/>
        </w:rPr>
      </w:pPr>
      <w:r>
        <w:rPr>
          <w:rFonts w:hint="eastAsia" w:ascii="宋体" w:hAnsi="宋体"/>
          <w:color w:val="auto"/>
          <w:sz w:val="24"/>
          <w:szCs w:val="24"/>
          <w:highlight w:val="none"/>
        </w:rPr>
        <w:t>1、无论《谈判文件》采购需求中是否列示说明，投标上述产品的、均应当符合上述需求标准。投标人对《谈判文件》采购需求及所涉需求标准有疑义、认为影响投标的，均应在投标前在法定时间内依法提出书面质疑，否则、将视为投标人对《谈判文件》采购需求及所涉需求标准的完全确认接受，采购人可以按有利于采购人工作需要的条款进行监督履行。</w:t>
      </w:r>
    </w:p>
    <w:p w14:paraId="6519576E">
      <w:pPr>
        <w:widowControl w:val="0"/>
        <w:tabs>
          <w:tab w:val="left" w:pos="65"/>
        </w:tabs>
        <w:spacing w:line="460" w:lineRule="atLeast"/>
        <w:ind w:firstLine="592" w:firstLineChars="247"/>
        <w:textAlignment w:val="auto"/>
        <w:rPr>
          <w:rFonts w:ascii="宋体" w:hAnsi="宋体"/>
          <w:color w:val="auto"/>
          <w:sz w:val="24"/>
          <w:szCs w:val="24"/>
          <w:highlight w:val="none"/>
        </w:rPr>
      </w:pPr>
      <w:r>
        <w:rPr>
          <w:rFonts w:hint="eastAsia" w:ascii="宋体" w:hAnsi="宋体"/>
          <w:color w:val="auto"/>
          <w:sz w:val="24"/>
          <w:szCs w:val="24"/>
          <w:highlight w:val="none"/>
        </w:rPr>
        <w:t>2、投标人应当按《谈判文件》要求编制“投标产品清单及具体技术参数”、“技术偏差表”，以供谈判小组对投标产品是否符合《谈判文件》采购需求进行评审；不符合《谈判文件》采购需求的为无效投标。</w:t>
      </w:r>
    </w:p>
    <w:p w14:paraId="2BA4AD54">
      <w:pPr>
        <w:widowControl w:val="0"/>
        <w:tabs>
          <w:tab w:val="left" w:pos="65"/>
        </w:tabs>
        <w:spacing w:line="460" w:lineRule="atLeast"/>
        <w:ind w:firstLine="592" w:firstLineChars="247"/>
        <w:textAlignment w:val="auto"/>
        <w:rPr>
          <w:rFonts w:ascii="宋体" w:hAnsi="宋体"/>
          <w:color w:val="auto"/>
          <w:sz w:val="24"/>
          <w:szCs w:val="24"/>
          <w:highlight w:val="none"/>
        </w:rPr>
      </w:pPr>
      <w:r>
        <w:rPr>
          <w:rFonts w:hint="eastAsia" w:ascii="宋体" w:hAnsi="宋体"/>
          <w:color w:val="auto"/>
          <w:sz w:val="24"/>
          <w:szCs w:val="24"/>
          <w:highlight w:val="none"/>
        </w:rPr>
        <w:t>3、按照“台式计算机、便携式计算机、一体式计算机、工作站、通用服务器、操作系统、数据库”《需求标准》的相关政策规定，在投标、响应环节，不再对相关产品是否符合《需求标准》进行检测、认证，不再要求供应商提供符合《需求标准》的检测、认证报告的相应佐证材料。</w:t>
      </w:r>
    </w:p>
    <w:p w14:paraId="58C35E2E">
      <w:pPr>
        <w:widowControl w:val="0"/>
        <w:tabs>
          <w:tab w:val="left" w:pos="65"/>
        </w:tabs>
        <w:spacing w:line="460" w:lineRule="atLeast"/>
        <w:ind w:firstLine="592" w:firstLineChars="247"/>
        <w:textAlignment w:val="auto"/>
        <w:rPr>
          <w:rFonts w:ascii="宋体" w:hAnsi="宋体"/>
          <w:color w:val="auto"/>
          <w:sz w:val="24"/>
          <w:szCs w:val="24"/>
          <w:highlight w:val="none"/>
        </w:rPr>
      </w:pPr>
      <w:r>
        <w:rPr>
          <w:rFonts w:hint="eastAsia" w:ascii="宋体" w:hAnsi="宋体"/>
          <w:color w:val="auto"/>
          <w:sz w:val="24"/>
          <w:szCs w:val="24"/>
          <w:highlight w:val="none"/>
        </w:rPr>
        <w:t>按相关政策规定，供应商在投标、响应环节出具关于所提供产品满足采购文件要求承诺函（见后附格式）的，即视为相关产品符合要求，无需检测、认证报告的佐证材料。</w:t>
      </w:r>
    </w:p>
    <w:p w14:paraId="602B11AE">
      <w:pPr>
        <w:widowControl w:val="0"/>
        <w:tabs>
          <w:tab w:val="left" w:pos="65"/>
        </w:tabs>
        <w:spacing w:line="460" w:lineRule="atLeast"/>
        <w:ind w:firstLine="592" w:firstLineChars="247"/>
        <w:textAlignment w:val="auto"/>
        <w:rPr>
          <w:rFonts w:ascii="宋体" w:hAnsi="宋体"/>
          <w:color w:val="auto"/>
          <w:sz w:val="24"/>
          <w:szCs w:val="24"/>
          <w:highlight w:val="none"/>
        </w:rPr>
      </w:pPr>
      <w:r>
        <w:rPr>
          <w:rFonts w:hint="eastAsia" w:ascii="宋体" w:hAnsi="宋体"/>
          <w:color w:val="auto"/>
          <w:sz w:val="24"/>
          <w:szCs w:val="24"/>
          <w:highlight w:val="none"/>
        </w:rPr>
        <w:t>4、按相关政策规定，履约验收中，采购人认为必要时委托依法取得检测、认证资质的机构进行检测、认证时，成交人将无条件配合。</w:t>
      </w:r>
    </w:p>
    <w:p w14:paraId="1B93B488">
      <w:pPr>
        <w:widowControl w:val="0"/>
        <w:tabs>
          <w:tab w:val="left" w:pos="65"/>
        </w:tabs>
        <w:spacing w:line="460" w:lineRule="atLeast"/>
        <w:ind w:firstLine="592" w:firstLineChars="247"/>
        <w:textAlignment w:val="auto"/>
        <w:rPr>
          <w:rFonts w:ascii="宋体" w:hAnsi="宋体"/>
          <w:color w:val="auto"/>
          <w:sz w:val="24"/>
          <w:szCs w:val="24"/>
          <w:highlight w:val="none"/>
        </w:rPr>
      </w:pPr>
      <w:r>
        <w:rPr>
          <w:rFonts w:hint="eastAsia" w:ascii="宋体" w:hAnsi="宋体"/>
          <w:color w:val="auto"/>
          <w:sz w:val="24"/>
          <w:szCs w:val="24"/>
          <w:highlight w:val="none"/>
        </w:rPr>
        <w:t>5、如采购人委托依法取得检测、认证资质的机构进行检测、认证后，与采购要求或投标文件承诺不一的，中标无效、并接受相应的调查处理、承担相应的违约责任。</w:t>
      </w:r>
    </w:p>
    <w:p w14:paraId="365FDA06">
      <w:pPr>
        <w:widowControl w:val="0"/>
        <w:tabs>
          <w:tab w:val="left" w:pos="65"/>
        </w:tabs>
        <w:spacing w:line="460" w:lineRule="atLeast"/>
        <w:ind w:firstLine="592" w:firstLineChars="247"/>
        <w:textAlignment w:val="auto"/>
        <w:rPr>
          <w:rFonts w:ascii="宋体" w:hAnsi="宋体"/>
          <w:color w:val="auto"/>
          <w:sz w:val="24"/>
          <w:szCs w:val="24"/>
          <w:highlight w:val="none"/>
        </w:rPr>
      </w:pPr>
      <w:r>
        <w:rPr>
          <w:rFonts w:hint="eastAsia" w:ascii="宋体" w:hAnsi="宋体"/>
          <w:color w:val="auto"/>
          <w:sz w:val="24"/>
          <w:szCs w:val="24"/>
          <w:highlight w:val="none"/>
        </w:rPr>
        <w:t>二、评审注意事项</w:t>
      </w:r>
    </w:p>
    <w:p w14:paraId="6C2C07C6">
      <w:pPr>
        <w:widowControl w:val="0"/>
        <w:tabs>
          <w:tab w:val="left" w:pos="65"/>
        </w:tabs>
        <w:spacing w:line="460" w:lineRule="atLeast"/>
        <w:ind w:firstLine="592" w:firstLineChars="247"/>
        <w:textAlignment w:val="auto"/>
        <w:rPr>
          <w:rFonts w:ascii="宋体" w:hAnsi="宋体"/>
          <w:color w:val="auto"/>
          <w:sz w:val="24"/>
          <w:szCs w:val="24"/>
          <w:highlight w:val="none"/>
        </w:rPr>
      </w:pPr>
      <w:r>
        <w:rPr>
          <w:rFonts w:hint="eastAsia" w:ascii="宋体" w:hAnsi="宋体"/>
          <w:color w:val="auto"/>
          <w:sz w:val="24"/>
          <w:szCs w:val="24"/>
          <w:highlight w:val="none"/>
        </w:rPr>
        <w:t>1、供应商在投标、响应环节出具关于所提供产品满足采购文件要求承诺函（见后附格式）的，即视为相关产品符合要求，无需检测、认证报告的佐证材料。</w:t>
      </w:r>
    </w:p>
    <w:p w14:paraId="28964F41">
      <w:pPr>
        <w:widowControl w:val="0"/>
        <w:tabs>
          <w:tab w:val="left" w:pos="65"/>
        </w:tabs>
        <w:spacing w:line="460" w:lineRule="atLeast"/>
        <w:ind w:firstLine="592" w:firstLineChars="247"/>
        <w:textAlignment w:val="auto"/>
        <w:rPr>
          <w:rFonts w:ascii="宋体" w:hAnsi="宋体"/>
          <w:color w:val="auto"/>
          <w:sz w:val="24"/>
          <w:szCs w:val="24"/>
          <w:highlight w:val="none"/>
        </w:rPr>
      </w:pPr>
      <w:r>
        <w:rPr>
          <w:rFonts w:hint="eastAsia" w:ascii="宋体" w:hAnsi="宋体"/>
          <w:color w:val="auto"/>
          <w:sz w:val="24"/>
          <w:szCs w:val="24"/>
          <w:highlight w:val="none"/>
        </w:rPr>
        <w:t>2、投标人应当按《谈判文件》要求编制“投标产品清单及具体技术参数”、“技术偏差表”，以供谈判小组对投标产品是否符合《谈判文件》采购需求进行评审；不符合《谈判文件》采购需求的为无效投标。</w:t>
      </w:r>
    </w:p>
    <w:p w14:paraId="4D4F23D6">
      <w:pPr>
        <w:widowControl w:val="0"/>
        <w:tabs>
          <w:tab w:val="left" w:pos="65"/>
        </w:tabs>
        <w:spacing w:line="460" w:lineRule="atLeast"/>
        <w:ind w:firstLine="240" w:firstLineChars="100"/>
        <w:textAlignment w:val="auto"/>
        <w:rPr>
          <w:rFonts w:ascii="宋体" w:hAnsi="宋体"/>
          <w:color w:val="auto"/>
          <w:sz w:val="24"/>
          <w:szCs w:val="24"/>
          <w:highlight w:val="none"/>
        </w:rPr>
      </w:pPr>
      <w:r>
        <w:rPr>
          <w:rFonts w:ascii="宋体" w:hAnsi="宋体"/>
          <w:color w:val="auto"/>
          <w:sz w:val="24"/>
          <w:szCs w:val="24"/>
          <w:highlight w:val="none"/>
        </w:rPr>
        <w:br w:type="page"/>
      </w:r>
    </w:p>
    <w:p w14:paraId="529FB0A5">
      <w:pPr>
        <w:widowControl w:val="0"/>
        <w:tabs>
          <w:tab w:val="left" w:pos="65"/>
        </w:tabs>
        <w:spacing w:line="460" w:lineRule="atLeast"/>
        <w:ind w:firstLine="301" w:firstLineChars="100"/>
        <w:jc w:val="center"/>
        <w:textAlignment w:val="auto"/>
        <w:rPr>
          <w:rFonts w:ascii="黑体" w:hAnsi="黑体" w:eastAsia="黑体"/>
          <w:b/>
          <w:color w:val="auto"/>
          <w:sz w:val="30"/>
          <w:szCs w:val="30"/>
          <w:highlight w:val="none"/>
        </w:rPr>
      </w:pPr>
      <w:r>
        <w:rPr>
          <w:rFonts w:hint="eastAsia" w:ascii="黑体" w:hAnsi="黑体" w:eastAsia="黑体"/>
          <w:b/>
          <w:color w:val="auto"/>
          <w:sz w:val="30"/>
          <w:szCs w:val="30"/>
          <w:highlight w:val="none"/>
        </w:rPr>
        <w:t>关于“台式计算机、便携式计算机、一体式计算机、工作站、通用服务器、操作系统、数据库”《需求标准》相关的承诺函</w:t>
      </w:r>
    </w:p>
    <w:p w14:paraId="4E5D4AA3">
      <w:pPr>
        <w:widowControl w:val="0"/>
        <w:tabs>
          <w:tab w:val="left" w:pos="65"/>
        </w:tabs>
        <w:spacing w:line="460" w:lineRule="atLeast"/>
        <w:ind w:firstLine="281" w:firstLineChars="100"/>
        <w:jc w:val="center"/>
        <w:textAlignment w:val="auto"/>
        <w:rPr>
          <w:rFonts w:ascii="黑体" w:hAnsi="黑体" w:eastAsia="黑体"/>
          <w:b/>
          <w:color w:val="auto"/>
          <w:sz w:val="30"/>
          <w:szCs w:val="30"/>
          <w:highlight w:val="none"/>
        </w:rPr>
      </w:pPr>
      <w:r>
        <w:rPr>
          <w:rFonts w:hint="eastAsia"/>
          <w:b/>
          <w:color w:val="auto"/>
          <w:sz w:val="28"/>
          <w:szCs w:val="28"/>
          <w:highlight w:val="none"/>
        </w:rPr>
        <w:t>（投标产品如涉及）</w:t>
      </w:r>
    </w:p>
    <w:p w14:paraId="4CF1A711">
      <w:pPr>
        <w:widowControl w:val="0"/>
        <w:tabs>
          <w:tab w:val="left" w:pos="9365"/>
        </w:tabs>
        <w:spacing w:before="360" w:after="360" w:line="360" w:lineRule="auto"/>
        <w:ind w:right="85"/>
        <w:jc w:val="left"/>
        <w:textAlignment w:val="top"/>
        <w:rPr>
          <w:rFonts w:ascii="宋体" w:hAnsi="宋体"/>
          <w:color w:val="auto"/>
          <w:sz w:val="24"/>
          <w:szCs w:val="24"/>
          <w:highlight w:val="none"/>
        </w:rPr>
      </w:pPr>
      <w:r>
        <w:rPr>
          <w:rFonts w:hint="eastAsia" w:ascii="宋体" w:hAnsi="宋体"/>
          <w:color w:val="auto"/>
          <w:sz w:val="24"/>
          <w:szCs w:val="24"/>
          <w:highlight w:val="none"/>
        </w:rPr>
        <w:t>致：</w:t>
      </w:r>
      <w:r>
        <w:rPr>
          <w:rFonts w:hint="eastAsia" w:ascii="宋体" w:hAnsi="宋体"/>
          <w:color w:val="auto"/>
          <w:spacing w:val="11"/>
          <w:sz w:val="24"/>
          <w:szCs w:val="24"/>
          <w:highlight w:val="none"/>
          <w:u w:val="single"/>
        </w:rPr>
        <w:t>(采购人名称） 、</w:t>
      </w:r>
      <w:r>
        <w:rPr>
          <w:rFonts w:hint="eastAsia"/>
          <w:color w:val="auto"/>
          <w:sz w:val="24"/>
          <w:szCs w:val="24"/>
          <w:highlight w:val="none"/>
        </w:rPr>
        <w:t>安阳市方正招标采购服务有限责任公司</w:t>
      </w:r>
    </w:p>
    <w:p w14:paraId="6ACAE177">
      <w:pPr>
        <w:widowControl w:val="0"/>
        <w:tabs>
          <w:tab w:val="left" w:pos="65"/>
        </w:tabs>
        <w:spacing w:line="460" w:lineRule="atLeast"/>
        <w:ind w:firstLine="480" w:firstLineChars="200"/>
        <w:textAlignment w:val="auto"/>
        <w:rPr>
          <w:color w:val="auto"/>
          <w:sz w:val="24"/>
          <w:highlight w:val="none"/>
        </w:rPr>
      </w:pPr>
      <w:r>
        <w:rPr>
          <w:rFonts w:hint="eastAsia" w:ascii="宋体" w:hAnsi="宋体"/>
          <w:color w:val="auto"/>
          <w:sz w:val="24"/>
          <w:szCs w:val="24"/>
          <w:highlight w:val="none"/>
        </w:rPr>
        <w:t>在项目编号为 的</w:t>
      </w:r>
      <w:r>
        <w:rPr>
          <w:rFonts w:hint="eastAsia" w:ascii="宋体" w:hAnsi="宋体"/>
          <w:color w:val="auto"/>
          <w:sz w:val="24"/>
          <w:szCs w:val="24"/>
          <w:highlight w:val="none"/>
          <w:u w:val="single"/>
        </w:rPr>
        <w:t xml:space="preserve">    （项目名称）  </w:t>
      </w:r>
      <w:r>
        <w:rPr>
          <w:rFonts w:hint="eastAsia" w:ascii="宋体" w:hAnsi="宋体"/>
          <w:color w:val="auto"/>
          <w:sz w:val="24"/>
          <w:szCs w:val="24"/>
          <w:highlight w:val="none"/>
        </w:rPr>
        <w:t xml:space="preserve"> 采购活动中，按《台式计算机政府采购需求标准（2023年版）》、《便携式计算机政府采购需求标准（2023年版）》、《一体式计算机政府采购需求标准（2023年版）》、《工作站政府采购需求标准（2023年版）》、《通用服务器政府采购需求标准（2023年版）》、《操作系统政府采购需求标准（2023年版）》、《数据库政府采购需求标准（2023年版）》相关政策规定，我</w:t>
      </w:r>
      <w:r>
        <w:rPr>
          <w:rFonts w:hint="eastAsia"/>
          <w:color w:val="auto"/>
          <w:sz w:val="24"/>
          <w:highlight w:val="none"/>
        </w:rPr>
        <w:t>单位承诺：</w:t>
      </w:r>
    </w:p>
    <w:p w14:paraId="7E8EB565">
      <w:pPr>
        <w:widowControl w:val="0"/>
        <w:tabs>
          <w:tab w:val="left" w:pos="65"/>
        </w:tabs>
        <w:spacing w:line="480" w:lineRule="auto"/>
        <w:ind w:firstLine="480" w:firstLineChars="200"/>
        <w:textAlignment w:val="auto"/>
        <w:rPr>
          <w:rFonts w:ascii="宋体" w:hAnsi="宋体"/>
          <w:color w:val="auto"/>
          <w:sz w:val="24"/>
          <w:szCs w:val="24"/>
          <w:highlight w:val="none"/>
        </w:rPr>
      </w:pPr>
      <w:r>
        <w:rPr>
          <w:rFonts w:hint="eastAsia"/>
          <w:color w:val="auto"/>
          <w:sz w:val="24"/>
          <w:highlight w:val="none"/>
        </w:rPr>
        <w:t>一</w:t>
      </w:r>
      <w:r>
        <w:rPr>
          <w:rFonts w:hint="eastAsia" w:ascii="宋体" w:hAnsi="宋体"/>
          <w:color w:val="auto"/>
          <w:sz w:val="24"/>
          <w:szCs w:val="24"/>
          <w:highlight w:val="none"/>
        </w:rPr>
        <w:t>、我单位承诺所投产品均满足上述《需求标准》要求。</w:t>
      </w:r>
    </w:p>
    <w:p w14:paraId="0E7BF706">
      <w:pPr>
        <w:spacing w:line="48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二、我单位承诺所投产品均满足谈判文件技术、商务要求，并按《谈判文件》要求编制“投标产品清单及具体技术参数”、“技术偏差表”，以供谈判小组对投标产品是否符合《谈判文件》采购需求进行评审；不符合《谈判文件》采购需求的为无效投标。</w:t>
      </w:r>
    </w:p>
    <w:p w14:paraId="3DBA4DBB">
      <w:pPr>
        <w:spacing w:line="48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三、按相关政策规定，履约验收中，采购人认为必要时委托依法取得检测、认证资质的机构进行检测、认证时，我单位将无条件配合。</w:t>
      </w:r>
    </w:p>
    <w:p w14:paraId="05BEC8E8">
      <w:pPr>
        <w:spacing w:line="48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如采购人委托依法取得检测、认证资质的机构进行检测、认证后，与采购要求或投标文件承诺不一的，中标无效、并接受相应的调查处理、承担相应的违约责任。</w:t>
      </w:r>
    </w:p>
    <w:p w14:paraId="3EF6F454">
      <w:pPr>
        <w:widowControl w:val="0"/>
        <w:tabs>
          <w:tab w:val="left" w:pos="65"/>
        </w:tabs>
        <w:spacing w:line="460" w:lineRule="atLeast"/>
        <w:ind w:firstLine="300" w:firstLineChars="100"/>
        <w:jc w:val="center"/>
        <w:textAlignment w:val="auto"/>
        <w:rPr>
          <w:rFonts w:eastAsia="方正黑体简体"/>
          <w:b/>
          <w:color w:val="auto"/>
          <w:sz w:val="30"/>
          <w:szCs w:val="30"/>
          <w:highlight w:val="none"/>
        </w:rPr>
      </w:pPr>
    </w:p>
    <w:p w14:paraId="6F5DD932">
      <w:pPr>
        <w:widowControl w:val="0"/>
        <w:tabs>
          <w:tab w:val="left" w:pos="65"/>
        </w:tabs>
        <w:spacing w:line="460" w:lineRule="atLeast"/>
        <w:ind w:firstLine="300" w:firstLineChars="100"/>
        <w:jc w:val="center"/>
        <w:textAlignment w:val="auto"/>
        <w:rPr>
          <w:rFonts w:eastAsia="方正黑体简体"/>
          <w:b/>
          <w:color w:val="auto"/>
          <w:sz w:val="30"/>
          <w:szCs w:val="30"/>
          <w:highlight w:val="none"/>
        </w:rPr>
      </w:pPr>
    </w:p>
    <w:p w14:paraId="3CADD750">
      <w:pPr>
        <w:widowControl w:val="0"/>
        <w:snapToGrid w:val="0"/>
        <w:spacing w:line="360" w:lineRule="auto"/>
        <w:textAlignment w:val="top"/>
        <w:rPr>
          <w:color w:val="auto"/>
          <w:sz w:val="24"/>
          <w:szCs w:val="24"/>
          <w:highlight w:val="none"/>
        </w:rPr>
      </w:pPr>
      <w:r>
        <w:rPr>
          <w:rFonts w:hint="eastAsia"/>
          <w:color w:val="auto"/>
          <w:sz w:val="24"/>
          <w:szCs w:val="24"/>
          <w:highlight w:val="none"/>
        </w:rPr>
        <w:t>投标人（电子签章）：</w:t>
      </w:r>
    </w:p>
    <w:p w14:paraId="5FB88A7B">
      <w:pPr>
        <w:widowControl w:val="0"/>
        <w:snapToGrid w:val="0"/>
        <w:spacing w:line="360" w:lineRule="auto"/>
        <w:textAlignment w:val="top"/>
        <w:rPr>
          <w:color w:val="auto"/>
          <w:sz w:val="24"/>
          <w:szCs w:val="24"/>
          <w:highlight w:val="none"/>
        </w:rPr>
      </w:pPr>
      <w:r>
        <w:rPr>
          <w:rFonts w:hint="eastAsia"/>
          <w:color w:val="auto"/>
          <w:sz w:val="24"/>
          <w:szCs w:val="24"/>
          <w:highlight w:val="none"/>
        </w:rPr>
        <w:t>法定代表人（电子签名或签章）：</w:t>
      </w:r>
    </w:p>
    <w:p w14:paraId="6074953B">
      <w:pPr>
        <w:widowControl w:val="0"/>
        <w:snapToGrid w:val="0"/>
        <w:spacing w:line="360" w:lineRule="auto"/>
        <w:textAlignment w:val="top"/>
        <w:rPr>
          <w:rFonts w:ascii="宋体" w:hAnsi="宋体"/>
          <w:color w:val="auto"/>
          <w:sz w:val="24"/>
          <w:szCs w:val="24"/>
          <w:highlight w:val="none"/>
        </w:rPr>
      </w:pPr>
      <w:r>
        <w:rPr>
          <w:rFonts w:hint="eastAsia"/>
          <w:color w:val="auto"/>
          <w:sz w:val="24"/>
          <w:szCs w:val="24"/>
          <w:highlight w:val="none"/>
        </w:rPr>
        <w:t>日期：年月日</w:t>
      </w:r>
    </w:p>
    <w:p w14:paraId="6A443969">
      <w:pPr>
        <w:adjustRightInd w:val="0"/>
        <w:snapToGrid w:val="0"/>
        <w:spacing w:line="300" w:lineRule="auto"/>
        <w:textAlignment w:val="top"/>
        <w:rPr>
          <w:rFonts w:ascii="宋体" w:cs="楷体_GB2312"/>
          <w:b/>
          <w:color w:val="auto"/>
          <w:sz w:val="30"/>
          <w:szCs w:val="30"/>
          <w:highlight w:val="none"/>
        </w:rPr>
      </w:pPr>
    </w:p>
    <w:p w14:paraId="728AAE5B">
      <w:pPr>
        <w:widowControl w:val="0"/>
        <w:snapToGrid w:val="0"/>
        <w:spacing w:line="560" w:lineRule="exact"/>
        <w:rPr>
          <w:rFonts w:ascii="黑体" w:hAnsi="黑体" w:eastAsia="黑体"/>
          <w:b/>
          <w:color w:val="auto"/>
          <w:sz w:val="30"/>
          <w:szCs w:val="30"/>
          <w:highlight w:val="none"/>
        </w:rPr>
      </w:pPr>
      <w:r>
        <w:rPr>
          <w:rFonts w:hint="eastAsia" w:ascii="黑体" w:hAnsi="黑体" w:eastAsia="黑体"/>
          <w:b/>
          <w:color w:val="auto"/>
          <w:sz w:val="30"/>
          <w:szCs w:val="30"/>
          <w:highlight w:val="none"/>
        </w:rPr>
        <w:t>14-3附件：</w:t>
      </w:r>
    </w:p>
    <w:p w14:paraId="1374A1C2">
      <w:pPr>
        <w:spacing w:line="360" w:lineRule="auto"/>
        <w:ind w:firstLine="562" w:firstLineChars="200"/>
        <w:jc w:val="left"/>
        <w:rPr>
          <w:rFonts w:ascii="宋体" w:hAnsi="宋体"/>
          <w:b/>
          <w:color w:val="auto"/>
          <w:sz w:val="28"/>
          <w:szCs w:val="28"/>
          <w:highlight w:val="none"/>
        </w:rPr>
      </w:pPr>
      <w:r>
        <w:rPr>
          <w:rFonts w:hint="eastAsia" w:ascii="宋体" w:hAnsi="宋体"/>
          <w:b/>
          <w:color w:val="auto"/>
          <w:sz w:val="28"/>
          <w:szCs w:val="28"/>
          <w:highlight w:val="none"/>
        </w:rPr>
        <w:t>投标人按照 “证明材料查询核验工作的清单及要求” （下述）提供核验材料。</w:t>
      </w:r>
    </w:p>
    <w:p w14:paraId="676425E7">
      <w:pPr>
        <w:spacing w:line="520" w:lineRule="exact"/>
        <w:jc w:val="center"/>
        <w:rPr>
          <w:rFonts w:ascii="宋体" w:hAnsi="宋体"/>
          <w:color w:val="auto"/>
          <w:sz w:val="28"/>
          <w:szCs w:val="28"/>
          <w:highlight w:val="none"/>
        </w:rPr>
      </w:pPr>
      <w:r>
        <w:rPr>
          <w:rFonts w:hint="eastAsia" w:ascii="宋体" w:hAnsi="宋体"/>
          <w:color w:val="auto"/>
          <w:sz w:val="28"/>
          <w:szCs w:val="28"/>
          <w:highlight w:val="none"/>
        </w:rPr>
        <w:t>（核验材料需加盖投标人电子签章）</w:t>
      </w:r>
    </w:p>
    <w:p w14:paraId="15CE31AE">
      <w:pPr>
        <w:spacing w:line="520" w:lineRule="exact"/>
        <w:rPr>
          <w:rFonts w:ascii="宋体" w:hAnsi="宋体"/>
          <w:color w:val="auto"/>
          <w:sz w:val="28"/>
          <w:szCs w:val="28"/>
          <w:highlight w:val="none"/>
        </w:rPr>
      </w:pPr>
    </w:p>
    <w:p w14:paraId="16B21BA7">
      <w:pPr>
        <w:spacing w:line="520" w:lineRule="exact"/>
        <w:jc w:val="center"/>
        <w:rPr>
          <w:rFonts w:ascii="黑体" w:hAnsi="黑体" w:eastAsia="黑体"/>
          <w:color w:val="auto"/>
          <w:sz w:val="36"/>
          <w:szCs w:val="36"/>
          <w:highlight w:val="none"/>
        </w:rPr>
      </w:pPr>
      <w:r>
        <w:rPr>
          <w:rFonts w:hint="eastAsia" w:ascii="黑体" w:hAnsi="黑体" w:eastAsia="黑体"/>
          <w:color w:val="auto"/>
          <w:sz w:val="36"/>
          <w:szCs w:val="36"/>
          <w:highlight w:val="none"/>
        </w:rPr>
        <w:t>证明材料查询核验工作的清单及要求</w:t>
      </w:r>
    </w:p>
    <w:p w14:paraId="6DFBEB97">
      <w:pPr>
        <w:spacing w:line="360" w:lineRule="auto"/>
        <w:ind w:firstLine="560" w:firstLineChars="200"/>
        <w:jc w:val="left"/>
        <w:rPr>
          <w:rFonts w:ascii="宋体" w:hAnsi="宋体"/>
          <w:color w:val="auto"/>
          <w:sz w:val="28"/>
          <w:szCs w:val="28"/>
          <w:highlight w:val="none"/>
        </w:rPr>
      </w:pPr>
    </w:p>
    <w:p w14:paraId="436CC9D0">
      <w:pPr>
        <w:spacing w:line="360" w:lineRule="auto"/>
        <w:ind w:firstLine="607" w:firstLineChars="253"/>
        <w:jc w:val="left"/>
        <w:rPr>
          <w:rFonts w:ascii="宋体" w:hAnsi="宋体"/>
          <w:color w:val="auto"/>
          <w:sz w:val="24"/>
          <w:szCs w:val="24"/>
          <w:highlight w:val="none"/>
        </w:rPr>
      </w:pPr>
      <w:r>
        <w:rPr>
          <w:rFonts w:hint="eastAsia" w:ascii="宋体" w:hAnsi="宋体"/>
          <w:color w:val="auto"/>
          <w:sz w:val="24"/>
          <w:szCs w:val="24"/>
          <w:highlight w:val="none"/>
        </w:rPr>
        <w:t>一、投标文件所提供的证明材料中 、需网上公开查询核验的材料清单（依据2023年度监督检查工作指引网上公开查验网址）</w:t>
      </w:r>
    </w:p>
    <w:tbl>
      <w:tblPr>
        <w:tblStyle w:val="16"/>
        <w:tblW w:w="93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3119"/>
        <w:gridCol w:w="5699"/>
      </w:tblGrid>
      <w:tr w14:paraId="6A690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shd w:val="clear" w:color="auto" w:fill="auto"/>
            <w:vAlign w:val="center"/>
          </w:tcPr>
          <w:p w14:paraId="6805C6D7">
            <w:pPr>
              <w:spacing w:line="240" w:lineRule="auto"/>
              <w:jc w:val="center"/>
              <w:rPr>
                <w:rFonts w:ascii="宋体" w:hAnsi="宋体"/>
                <w:b/>
                <w:color w:val="auto"/>
                <w:sz w:val="24"/>
                <w:szCs w:val="24"/>
                <w:highlight w:val="none"/>
              </w:rPr>
            </w:pPr>
            <w:r>
              <w:rPr>
                <w:rFonts w:hint="eastAsia" w:ascii="宋体" w:hAnsi="宋体"/>
                <w:b/>
                <w:color w:val="auto"/>
                <w:sz w:val="24"/>
                <w:szCs w:val="24"/>
                <w:highlight w:val="none"/>
              </w:rPr>
              <w:t>序号</w:t>
            </w:r>
          </w:p>
        </w:tc>
        <w:tc>
          <w:tcPr>
            <w:tcW w:w="3119" w:type="dxa"/>
            <w:shd w:val="clear" w:color="auto" w:fill="auto"/>
            <w:vAlign w:val="center"/>
          </w:tcPr>
          <w:p w14:paraId="1820EDA7">
            <w:pPr>
              <w:spacing w:line="240" w:lineRule="auto"/>
              <w:jc w:val="center"/>
              <w:rPr>
                <w:rFonts w:ascii="宋体" w:hAnsi="宋体"/>
                <w:b/>
                <w:color w:val="auto"/>
                <w:sz w:val="24"/>
                <w:szCs w:val="24"/>
                <w:highlight w:val="none"/>
              </w:rPr>
            </w:pPr>
            <w:r>
              <w:rPr>
                <w:rFonts w:hint="eastAsia" w:ascii="宋体" w:hAnsi="宋体"/>
                <w:b/>
                <w:color w:val="auto"/>
                <w:sz w:val="24"/>
                <w:szCs w:val="24"/>
                <w:highlight w:val="none"/>
              </w:rPr>
              <w:t>名称</w:t>
            </w:r>
          </w:p>
        </w:tc>
        <w:tc>
          <w:tcPr>
            <w:tcW w:w="5699" w:type="dxa"/>
            <w:shd w:val="clear" w:color="auto" w:fill="auto"/>
            <w:vAlign w:val="center"/>
          </w:tcPr>
          <w:p w14:paraId="5D4856ED">
            <w:pPr>
              <w:spacing w:line="240" w:lineRule="auto"/>
              <w:jc w:val="center"/>
              <w:rPr>
                <w:rFonts w:ascii="宋体" w:hAnsi="宋体"/>
                <w:b/>
                <w:color w:val="auto"/>
                <w:sz w:val="24"/>
                <w:szCs w:val="24"/>
                <w:highlight w:val="none"/>
              </w:rPr>
            </w:pPr>
            <w:r>
              <w:rPr>
                <w:rFonts w:hint="eastAsia" w:ascii="宋体" w:hAnsi="宋体"/>
                <w:b/>
                <w:color w:val="auto"/>
                <w:sz w:val="24"/>
                <w:szCs w:val="24"/>
                <w:highlight w:val="none"/>
              </w:rPr>
              <w:t>查验网址</w:t>
            </w:r>
          </w:p>
        </w:tc>
      </w:tr>
      <w:tr w14:paraId="0E01A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shd w:val="clear" w:color="auto" w:fill="auto"/>
            <w:vAlign w:val="center"/>
          </w:tcPr>
          <w:p w14:paraId="541ACE28">
            <w:pPr>
              <w:spacing w:line="240" w:lineRule="auto"/>
              <w:jc w:val="center"/>
              <w:rPr>
                <w:rFonts w:ascii="宋体" w:hAnsi="宋体"/>
                <w:color w:val="auto"/>
                <w:sz w:val="24"/>
                <w:szCs w:val="24"/>
                <w:highlight w:val="none"/>
              </w:rPr>
            </w:pPr>
            <w:r>
              <w:rPr>
                <w:rFonts w:hint="eastAsia" w:ascii="宋体" w:hAnsi="宋体"/>
                <w:color w:val="auto"/>
                <w:sz w:val="24"/>
                <w:szCs w:val="24"/>
                <w:highlight w:val="none"/>
              </w:rPr>
              <w:t>1</w:t>
            </w:r>
          </w:p>
        </w:tc>
        <w:tc>
          <w:tcPr>
            <w:tcW w:w="3119" w:type="dxa"/>
            <w:shd w:val="clear" w:color="auto" w:fill="auto"/>
            <w:vAlign w:val="center"/>
          </w:tcPr>
          <w:p w14:paraId="3B282216">
            <w:pPr>
              <w:spacing w:line="240" w:lineRule="auto"/>
              <w:jc w:val="center"/>
              <w:rPr>
                <w:rFonts w:ascii="宋体" w:hAnsi="宋体"/>
                <w:color w:val="auto"/>
                <w:sz w:val="24"/>
                <w:szCs w:val="24"/>
                <w:highlight w:val="none"/>
              </w:rPr>
            </w:pPr>
            <w:r>
              <w:rPr>
                <w:rFonts w:hint="eastAsia" w:ascii="宋体" w:hAnsi="宋体"/>
                <w:color w:val="auto"/>
                <w:sz w:val="24"/>
                <w:szCs w:val="24"/>
                <w:highlight w:val="none"/>
              </w:rPr>
              <w:t>软件著作权</w:t>
            </w:r>
          </w:p>
        </w:tc>
        <w:tc>
          <w:tcPr>
            <w:tcW w:w="5699" w:type="dxa"/>
            <w:shd w:val="clear" w:color="auto" w:fill="auto"/>
          </w:tcPr>
          <w:p w14:paraId="72F75CBE">
            <w:pPr>
              <w:spacing w:line="240" w:lineRule="auto"/>
              <w:rPr>
                <w:rFonts w:ascii="宋体" w:hAnsi="宋体"/>
                <w:color w:val="auto"/>
                <w:sz w:val="24"/>
                <w:szCs w:val="24"/>
                <w:highlight w:val="none"/>
              </w:rPr>
            </w:pPr>
            <w:r>
              <w:rPr>
                <w:color w:val="auto"/>
                <w:highlight w:val="none"/>
              </w:rPr>
              <w:fldChar w:fldCharType="begin"/>
            </w:r>
            <w:r>
              <w:rPr>
                <w:color w:val="auto"/>
                <w:highlight w:val="none"/>
              </w:rPr>
              <w:instrText xml:space="preserve"> HYPERLINK "https://register.ccopyright.com.cn/query.html" </w:instrText>
            </w:r>
            <w:r>
              <w:rPr>
                <w:color w:val="auto"/>
                <w:highlight w:val="none"/>
              </w:rPr>
              <w:fldChar w:fldCharType="separate"/>
            </w:r>
            <w:r>
              <w:rPr>
                <w:rStyle w:val="21"/>
                <w:rFonts w:ascii="宋体" w:hAnsi="宋体"/>
                <w:color w:val="auto"/>
                <w:sz w:val="24"/>
                <w:szCs w:val="24"/>
                <w:highlight w:val="none"/>
              </w:rPr>
              <w:t>https://register.ccopyright.com.cn/query.html</w:t>
            </w:r>
            <w:r>
              <w:rPr>
                <w:rStyle w:val="21"/>
                <w:rFonts w:ascii="宋体" w:hAnsi="宋体"/>
                <w:color w:val="auto"/>
                <w:sz w:val="24"/>
                <w:szCs w:val="24"/>
                <w:highlight w:val="none"/>
              </w:rPr>
              <w:fldChar w:fldCharType="end"/>
            </w:r>
          </w:p>
        </w:tc>
      </w:tr>
      <w:tr w14:paraId="0E236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shd w:val="clear" w:color="auto" w:fill="auto"/>
            <w:vAlign w:val="center"/>
          </w:tcPr>
          <w:p w14:paraId="0035B803">
            <w:pPr>
              <w:spacing w:line="240" w:lineRule="auto"/>
              <w:jc w:val="center"/>
              <w:rPr>
                <w:rFonts w:ascii="宋体" w:hAnsi="宋体"/>
                <w:color w:val="auto"/>
                <w:sz w:val="24"/>
                <w:szCs w:val="24"/>
                <w:highlight w:val="none"/>
              </w:rPr>
            </w:pPr>
            <w:r>
              <w:rPr>
                <w:rFonts w:hint="eastAsia" w:ascii="宋体" w:hAnsi="宋体"/>
                <w:color w:val="auto"/>
                <w:sz w:val="24"/>
                <w:szCs w:val="24"/>
                <w:highlight w:val="none"/>
              </w:rPr>
              <w:t>2</w:t>
            </w:r>
          </w:p>
        </w:tc>
        <w:tc>
          <w:tcPr>
            <w:tcW w:w="3119" w:type="dxa"/>
            <w:shd w:val="clear" w:color="auto" w:fill="auto"/>
            <w:vAlign w:val="center"/>
          </w:tcPr>
          <w:p w14:paraId="0CAE01C7">
            <w:pPr>
              <w:spacing w:line="240" w:lineRule="auto"/>
              <w:jc w:val="center"/>
              <w:rPr>
                <w:rFonts w:ascii="宋体" w:hAnsi="宋体"/>
                <w:color w:val="auto"/>
                <w:sz w:val="24"/>
                <w:szCs w:val="24"/>
                <w:highlight w:val="none"/>
              </w:rPr>
            </w:pPr>
            <w:r>
              <w:rPr>
                <w:rFonts w:hint="eastAsia" w:ascii="宋体" w:hAnsi="宋体"/>
                <w:color w:val="auto"/>
                <w:sz w:val="24"/>
                <w:szCs w:val="24"/>
                <w:highlight w:val="none"/>
              </w:rPr>
              <w:t>社保缴费记录</w:t>
            </w:r>
          </w:p>
        </w:tc>
        <w:tc>
          <w:tcPr>
            <w:tcW w:w="5699" w:type="dxa"/>
            <w:shd w:val="clear" w:color="auto" w:fill="auto"/>
          </w:tcPr>
          <w:p w14:paraId="09E02F00">
            <w:pPr>
              <w:spacing w:line="240" w:lineRule="auto"/>
              <w:rPr>
                <w:rFonts w:ascii="宋体" w:hAnsi="宋体"/>
                <w:color w:val="auto"/>
                <w:sz w:val="24"/>
                <w:szCs w:val="24"/>
                <w:highlight w:val="none"/>
              </w:rPr>
            </w:pPr>
            <w:r>
              <w:rPr>
                <w:rFonts w:hint="eastAsia" w:ascii="宋体" w:hAnsi="宋体"/>
                <w:color w:val="auto"/>
                <w:sz w:val="24"/>
                <w:szCs w:val="24"/>
                <w:highlight w:val="none"/>
              </w:rPr>
              <w:t>缴费地人力资源和社会保障局官网。</w:t>
            </w:r>
          </w:p>
        </w:tc>
      </w:tr>
      <w:tr w14:paraId="5BA36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shd w:val="clear" w:color="auto" w:fill="auto"/>
            <w:vAlign w:val="center"/>
          </w:tcPr>
          <w:p w14:paraId="7ABBDEAF">
            <w:pPr>
              <w:spacing w:line="240" w:lineRule="auto"/>
              <w:jc w:val="center"/>
              <w:rPr>
                <w:rFonts w:ascii="宋体" w:hAnsi="宋体"/>
                <w:color w:val="auto"/>
                <w:sz w:val="24"/>
                <w:szCs w:val="24"/>
                <w:highlight w:val="none"/>
              </w:rPr>
            </w:pPr>
            <w:r>
              <w:rPr>
                <w:rFonts w:hint="eastAsia" w:ascii="宋体" w:hAnsi="宋体"/>
                <w:color w:val="auto"/>
                <w:sz w:val="24"/>
                <w:szCs w:val="24"/>
                <w:highlight w:val="none"/>
              </w:rPr>
              <w:t>3</w:t>
            </w:r>
          </w:p>
        </w:tc>
        <w:tc>
          <w:tcPr>
            <w:tcW w:w="8818" w:type="dxa"/>
            <w:gridSpan w:val="2"/>
            <w:shd w:val="clear" w:color="auto" w:fill="auto"/>
            <w:vAlign w:val="center"/>
          </w:tcPr>
          <w:p w14:paraId="124CDF92">
            <w:pPr>
              <w:spacing w:line="240" w:lineRule="auto"/>
              <w:jc w:val="left"/>
              <w:rPr>
                <w:rFonts w:ascii="宋体" w:hAnsi="宋体"/>
                <w:color w:val="auto"/>
                <w:sz w:val="24"/>
                <w:szCs w:val="24"/>
                <w:highlight w:val="none"/>
              </w:rPr>
            </w:pPr>
            <w:r>
              <w:rPr>
                <w:rFonts w:hint="eastAsia" w:ascii="宋体" w:hAnsi="宋体"/>
                <w:color w:val="auto"/>
                <w:sz w:val="24"/>
                <w:szCs w:val="24"/>
                <w:highlight w:val="none"/>
              </w:rPr>
              <w:t>除上述外，投标人认为有必要的相关核实官方证明材料。（可选）</w:t>
            </w:r>
          </w:p>
        </w:tc>
      </w:tr>
    </w:tbl>
    <w:p w14:paraId="18196D97">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二、对投标文件所提供的证明材料中、需网上查询核验的说明及要求。</w:t>
      </w:r>
    </w:p>
    <w:p w14:paraId="488C19A9">
      <w:pPr>
        <w:spacing w:line="360" w:lineRule="auto"/>
        <w:ind w:firstLine="532" w:firstLineChars="222"/>
        <w:rPr>
          <w:rFonts w:ascii="宋体" w:hAnsi="宋体"/>
          <w:color w:val="auto"/>
          <w:sz w:val="24"/>
          <w:szCs w:val="24"/>
          <w:highlight w:val="none"/>
        </w:rPr>
      </w:pPr>
      <w:r>
        <w:rPr>
          <w:rFonts w:hint="eastAsia" w:ascii="宋体" w:hAnsi="宋体"/>
          <w:color w:val="auto"/>
          <w:sz w:val="24"/>
          <w:szCs w:val="24"/>
          <w:highlight w:val="none"/>
        </w:rPr>
        <w:t>（一）投标文件中</w:t>
      </w:r>
    </w:p>
    <w:p w14:paraId="2A93AA8F">
      <w:pPr>
        <w:spacing w:line="360" w:lineRule="auto"/>
        <w:ind w:firstLine="532" w:firstLineChars="222"/>
        <w:rPr>
          <w:rFonts w:ascii="宋体" w:hAnsi="宋体"/>
          <w:color w:val="auto"/>
          <w:sz w:val="24"/>
          <w:szCs w:val="24"/>
          <w:highlight w:val="none"/>
        </w:rPr>
      </w:pPr>
      <w:r>
        <w:rPr>
          <w:rFonts w:hint="eastAsia" w:ascii="宋体" w:hAnsi="宋体"/>
          <w:color w:val="auto"/>
          <w:sz w:val="24"/>
          <w:szCs w:val="24"/>
          <w:highlight w:val="none"/>
        </w:rPr>
        <w:t>1、基于当前监督检查工作要求，为防范虚假材料，投标人应按本14-3附件“证明材料查询核验工作的清单及要求”列示的证明材料及对应网址（监督检查工作指引列示的网上公开查询核验网址）、对投标文件中所提供证明材料进行核验，并将查询结果截图作为所提供证明材料的附件，以佐证所提供证明材料的真实性。</w:t>
      </w:r>
    </w:p>
    <w:p w14:paraId="56798490">
      <w:pPr>
        <w:spacing w:line="360" w:lineRule="auto"/>
        <w:ind w:firstLine="532" w:firstLineChars="222"/>
        <w:rPr>
          <w:rFonts w:ascii="宋体" w:hAnsi="宋体"/>
          <w:color w:val="auto"/>
          <w:sz w:val="24"/>
          <w:szCs w:val="24"/>
          <w:highlight w:val="none"/>
        </w:rPr>
      </w:pPr>
      <w:r>
        <w:rPr>
          <w:rFonts w:hint="eastAsia" w:ascii="宋体" w:hAnsi="宋体"/>
          <w:color w:val="auto"/>
          <w:sz w:val="24"/>
          <w:szCs w:val="24"/>
          <w:highlight w:val="none"/>
        </w:rPr>
        <w:t>投标文件中、对本14-3附件“证明材料查询核验工作的清单及要求”中的每份证明材料，均应在该证明材料后附对应的查询结果截图（并注明该截图的对应网址）、或查询异常情况说明资料。否则，谈判小组按缺少要件不予认可该份证明材料。</w:t>
      </w:r>
    </w:p>
    <w:p w14:paraId="2DF67DBF">
      <w:pPr>
        <w:spacing w:line="360" w:lineRule="auto"/>
        <w:ind w:firstLine="532" w:firstLineChars="222"/>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、投标人查询异常情况的处理</w:t>
      </w:r>
    </w:p>
    <w:p w14:paraId="5EBD0094">
      <w:pPr>
        <w:spacing w:line="360" w:lineRule="auto"/>
        <w:ind w:firstLine="532" w:firstLineChars="222"/>
        <w:rPr>
          <w:rFonts w:ascii="宋体" w:hAnsi="宋体"/>
          <w:color w:val="auto"/>
          <w:sz w:val="24"/>
          <w:szCs w:val="24"/>
          <w:highlight w:val="none"/>
        </w:rPr>
      </w:pPr>
      <w:r>
        <w:rPr>
          <w:rFonts w:hint="eastAsia" w:ascii="宋体" w:hAnsi="宋体"/>
          <w:color w:val="auto"/>
          <w:sz w:val="24"/>
          <w:szCs w:val="24"/>
          <w:highlight w:val="none"/>
        </w:rPr>
        <w:t>（1）投标人按本附件列示网址查询异常的，但投标人确保其真实性的，投标人应当单独对异常情况作出说明解释，并可提供同等及以上权威部门（政府职能部门或下属机构、或其公开的认可机构）的可公开验证的查询资料、以证实证明材料的真实性。</w:t>
      </w:r>
    </w:p>
    <w:p w14:paraId="6CDDF0E8">
      <w:pPr>
        <w:spacing w:line="360" w:lineRule="auto"/>
        <w:ind w:firstLine="532" w:firstLineChars="222"/>
        <w:rPr>
          <w:rFonts w:ascii="宋体" w:hAnsi="宋体"/>
          <w:color w:val="auto"/>
          <w:sz w:val="24"/>
          <w:szCs w:val="24"/>
          <w:highlight w:val="none"/>
        </w:rPr>
      </w:pPr>
      <w:r>
        <w:rPr>
          <w:rFonts w:hint="eastAsia" w:ascii="宋体" w:hAnsi="宋体"/>
          <w:color w:val="auto"/>
          <w:sz w:val="24"/>
          <w:szCs w:val="24"/>
          <w:highlight w:val="none"/>
        </w:rPr>
        <w:t>投标人无法按本附件列示网址（监督检查工作指引列示的网上公开查询核验网址）核验投标文件中所提供证明材料的真实性的，无法确保证明材料真实性的，不建议投标，以免中标（成交）后，在质疑处理、监督检查等工作中核验不一致、被视为虚假材料而承责。</w:t>
      </w:r>
    </w:p>
    <w:p w14:paraId="6453D089">
      <w:pPr>
        <w:spacing w:line="360" w:lineRule="auto"/>
        <w:ind w:firstLine="532" w:firstLineChars="222"/>
        <w:rPr>
          <w:rFonts w:ascii="宋体" w:hAnsi="宋体"/>
          <w:color w:val="auto"/>
          <w:sz w:val="24"/>
          <w:szCs w:val="24"/>
          <w:highlight w:val="none"/>
        </w:rPr>
      </w:pPr>
      <w:r>
        <w:rPr>
          <w:rFonts w:hint="eastAsia" w:ascii="宋体" w:hAnsi="宋体"/>
          <w:color w:val="auto"/>
          <w:sz w:val="24"/>
          <w:szCs w:val="24"/>
          <w:highlight w:val="none"/>
        </w:rPr>
        <w:t>（2）网站异常</w:t>
      </w:r>
    </w:p>
    <w:p w14:paraId="671F31AC">
      <w:pPr>
        <w:spacing w:line="360" w:lineRule="auto"/>
        <w:ind w:firstLine="532" w:firstLineChars="222"/>
        <w:rPr>
          <w:rFonts w:ascii="宋体" w:hAnsi="宋体"/>
          <w:color w:val="auto"/>
          <w:sz w:val="24"/>
          <w:szCs w:val="24"/>
          <w:highlight w:val="none"/>
        </w:rPr>
      </w:pPr>
      <w:r>
        <w:rPr>
          <w:rFonts w:hint="eastAsia" w:ascii="宋体" w:hAnsi="宋体"/>
          <w:color w:val="auto"/>
          <w:sz w:val="24"/>
          <w:szCs w:val="24"/>
          <w:highlight w:val="none"/>
        </w:rPr>
        <w:t>基于全国政务持续发展、持续革新的大好局面，投标人在按本附件列示网址查询核验时，如遇部分网站更新等无法查询情况时，需及时书面反馈（请按第一章采购公告联系方式书面反馈）。经核实会商、将对此证明材料的查询核验事项发布澄清修改公告。</w:t>
      </w:r>
    </w:p>
    <w:p w14:paraId="07FD5D1E">
      <w:pPr>
        <w:spacing w:line="360" w:lineRule="auto"/>
        <w:ind w:firstLine="532" w:firstLineChars="222"/>
        <w:rPr>
          <w:rFonts w:ascii="宋体" w:hAnsi="宋体"/>
          <w:color w:val="auto"/>
          <w:sz w:val="24"/>
          <w:szCs w:val="24"/>
          <w:highlight w:val="none"/>
        </w:rPr>
      </w:pPr>
      <w:r>
        <w:rPr>
          <w:rFonts w:hint="eastAsia" w:ascii="宋体" w:hAnsi="宋体"/>
          <w:color w:val="auto"/>
          <w:sz w:val="24"/>
          <w:szCs w:val="24"/>
          <w:highlight w:val="none"/>
        </w:rPr>
        <w:t>未发布查询核验事项的澄清修改公告的，为投标人自身原因的查询异常，请该投标人深入认真自查自身原因或向相应网站反馈解决。</w:t>
      </w:r>
    </w:p>
    <w:p w14:paraId="754B8B8B">
      <w:pPr>
        <w:spacing w:line="360" w:lineRule="auto"/>
        <w:ind w:firstLine="532" w:firstLineChars="222"/>
        <w:rPr>
          <w:rFonts w:ascii="宋体" w:hAnsi="宋体"/>
          <w:color w:val="auto"/>
          <w:sz w:val="24"/>
          <w:szCs w:val="24"/>
          <w:highlight w:val="none"/>
        </w:rPr>
      </w:pPr>
      <w:r>
        <w:rPr>
          <w:rFonts w:hint="eastAsia" w:ascii="宋体" w:hAnsi="宋体"/>
          <w:color w:val="auto"/>
          <w:sz w:val="24"/>
          <w:szCs w:val="24"/>
          <w:highlight w:val="none"/>
        </w:rPr>
        <w:t>（3）网站异常产生的外在投标风险由投标人自行承担。</w:t>
      </w:r>
    </w:p>
    <w:p w14:paraId="33CA3D86">
      <w:pPr>
        <w:spacing w:line="360" w:lineRule="auto"/>
        <w:ind w:firstLine="532" w:firstLineChars="222"/>
        <w:rPr>
          <w:rFonts w:ascii="宋体" w:hAnsi="宋体"/>
          <w:color w:val="auto"/>
          <w:sz w:val="24"/>
          <w:szCs w:val="24"/>
          <w:highlight w:val="none"/>
        </w:rPr>
      </w:pPr>
      <w:r>
        <w:rPr>
          <w:rFonts w:hint="eastAsia" w:ascii="宋体" w:hAnsi="宋体"/>
          <w:color w:val="auto"/>
          <w:sz w:val="24"/>
          <w:szCs w:val="24"/>
          <w:highlight w:val="none"/>
        </w:rPr>
        <w:t>（二）评审时的要件审核</w:t>
      </w:r>
    </w:p>
    <w:p w14:paraId="24D1AC2C">
      <w:pPr>
        <w:spacing w:line="360" w:lineRule="auto"/>
        <w:ind w:firstLine="532" w:firstLineChars="222"/>
        <w:rPr>
          <w:rFonts w:ascii="宋体" w:hAnsi="宋体"/>
          <w:color w:val="auto"/>
          <w:sz w:val="24"/>
          <w:szCs w:val="24"/>
          <w:highlight w:val="none"/>
        </w:rPr>
      </w:pPr>
      <w:r>
        <w:rPr>
          <w:rFonts w:hint="eastAsia" w:ascii="宋体" w:hAnsi="宋体"/>
          <w:color w:val="auto"/>
          <w:sz w:val="24"/>
          <w:szCs w:val="24"/>
          <w:highlight w:val="none"/>
        </w:rPr>
        <w:t>基于部分证明材料的查询核验需投标人（或个人）相关信息登录查询，基于评审工作保密性不具备查询条件等客观因素，评审中，谈判小组只对核验材料进行形式要件审核（评委对证明材料按采购文件要求进行详细评审），对核验材料的形式要件审核为：核对有无查询结果截图（或查询异常情况说明资料）、核对证明材料与查询结果截图的对应一致性。</w:t>
      </w:r>
    </w:p>
    <w:p w14:paraId="50E7522F">
      <w:pPr>
        <w:spacing w:line="360" w:lineRule="auto"/>
        <w:ind w:firstLine="532" w:firstLineChars="222"/>
        <w:rPr>
          <w:rFonts w:ascii="宋体" w:hAnsi="宋体"/>
          <w:color w:val="auto"/>
          <w:sz w:val="24"/>
          <w:szCs w:val="24"/>
          <w:highlight w:val="none"/>
        </w:rPr>
      </w:pPr>
      <w:r>
        <w:rPr>
          <w:rFonts w:hint="eastAsia" w:ascii="宋体" w:hAnsi="宋体"/>
          <w:color w:val="auto"/>
          <w:sz w:val="24"/>
          <w:szCs w:val="24"/>
          <w:highlight w:val="none"/>
        </w:rPr>
        <w:t>证明材料未附查询结果截图或查询异常情况说明资料的，谈判小组按缺少要件不予认可该份证明材料。</w:t>
      </w:r>
    </w:p>
    <w:p w14:paraId="01919E18">
      <w:pPr>
        <w:spacing w:line="360" w:lineRule="auto"/>
        <w:ind w:firstLine="532" w:firstLineChars="222"/>
        <w:rPr>
          <w:rFonts w:ascii="宋体" w:hAnsi="宋体"/>
          <w:color w:val="auto"/>
          <w:sz w:val="24"/>
          <w:szCs w:val="24"/>
          <w:highlight w:val="none"/>
        </w:rPr>
      </w:pPr>
      <w:r>
        <w:rPr>
          <w:rFonts w:hint="eastAsia" w:ascii="宋体" w:hAnsi="宋体"/>
          <w:color w:val="auto"/>
          <w:sz w:val="24"/>
          <w:szCs w:val="24"/>
          <w:highlight w:val="none"/>
        </w:rPr>
        <w:t>（三）在质疑处理（或其他工作要求）中，成交人（被质疑方）应当配合提供相应信息，以对投标文件中所提供证明材料进行核验工作（按照监督检查工作指引列示的网上公开查询核验网址进行核验）。如查询异常或虚假，均将上报监督部门按提供虚假材料规定给予处罚。</w:t>
      </w:r>
    </w:p>
    <w:p w14:paraId="09E5F978">
      <w:pPr>
        <w:spacing w:line="360" w:lineRule="auto"/>
        <w:ind w:firstLine="532" w:firstLineChars="222"/>
        <w:rPr>
          <w:rFonts w:ascii="宋体" w:hAnsi="宋体"/>
          <w:color w:val="auto"/>
          <w:sz w:val="24"/>
          <w:szCs w:val="24"/>
          <w:highlight w:val="none"/>
        </w:rPr>
      </w:pPr>
      <w:r>
        <w:rPr>
          <w:rFonts w:hint="eastAsia" w:ascii="宋体" w:hAnsi="宋体"/>
          <w:color w:val="auto"/>
          <w:sz w:val="24"/>
          <w:szCs w:val="24"/>
          <w:highlight w:val="none"/>
        </w:rPr>
        <w:t>查询异常的，成交人如无其他权威证明，将视作提供虚假材料。</w:t>
      </w:r>
    </w:p>
    <w:p w14:paraId="11051036">
      <w:pPr>
        <w:spacing w:line="360" w:lineRule="auto"/>
        <w:ind w:firstLine="532" w:firstLineChars="222"/>
        <w:rPr>
          <w:rFonts w:ascii="宋体" w:hAnsi="宋体"/>
          <w:color w:val="auto"/>
          <w:sz w:val="24"/>
          <w:szCs w:val="24"/>
          <w:highlight w:val="none"/>
        </w:rPr>
      </w:pPr>
      <w:r>
        <w:rPr>
          <w:rFonts w:hint="eastAsia" w:ascii="宋体" w:hAnsi="宋体"/>
          <w:color w:val="auto"/>
          <w:sz w:val="24"/>
          <w:szCs w:val="24"/>
          <w:highlight w:val="none"/>
        </w:rPr>
        <w:t>三、除本14-3附件列示的网上公开查询核验的材料清单外，对其他证明材料，在质疑处理（或其他工作要求）中，成交人应当提供证明材料原件以证实证明材料的真实性。</w:t>
      </w:r>
    </w:p>
    <w:p w14:paraId="5ED6A9C6">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除本14-3附件列示的网上公开查询核验的材料清单外，对其他证明材料，基于质疑处理（或其他工作要求）的法定时效，调查取证的权限，依据政府采购相关法规依据书面材料评审的规定，对没有提供发证机关（单位）等相应权威机构证伪书面材料的质疑，对怀疑猜测事项，经核对原件后、将视为缺乏事实依据处理。</w:t>
      </w:r>
    </w:p>
    <w:p w14:paraId="4376CA3B">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注：投标人对投标文件中所提供证明材料及核验证明材料的真实性负责、自行承担相应责任。</w:t>
      </w:r>
    </w:p>
    <w:p w14:paraId="66B9581A">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核验过程中涉及投标人（或个人）自身账号、密码等信息时，投标人（或个人）应积极配合核验工作。</w:t>
      </w:r>
    </w:p>
    <w:p w14:paraId="43962AC5">
      <w:pPr>
        <w:autoSpaceDE w:val="0"/>
        <w:autoSpaceDN w:val="0"/>
        <w:adjustRightInd w:val="0"/>
        <w:spacing w:line="360" w:lineRule="auto"/>
        <w:rPr>
          <w:rFonts w:eastAsia="方正黑体简体"/>
          <w:b/>
          <w:color w:val="auto"/>
          <w:sz w:val="30"/>
          <w:szCs w:val="30"/>
          <w:highlight w:val="none"/>
        </w:rPr>
      </w:pPr>
      <w:r>
        <w:rPr>
          <w:rFonts w:eastAsia="方正黑体简体"/>
          <w:b/>
          <w:color w:val="auto"/>
          <w:sz w:val="30"/>
          <w:szCs w:val="30"/>
          <w:highlight w:val="none"/>
        </w:rPr>
        <w:br w:type="page"/>
      </w:r>
    </w:p>
    <w:p w14:paraId="69C02D05">
      <w:pPr>
        <w:autoSpaceDE w:val="0"/>
        <w:autoSpaceDN w:val="0"/>
        <w:adjustRightInd w:val="0"/>
        <w:spacing w:line="360" w:lineRule="auto"/>
        <w:rPr>
          <w:rFonts w:ascii="黑体" w:hAnsi="黑体" w:eastAsia="黑体"/>
          <w:b/>
          <w:color w:val="auto"/>
          <w:sz w:val="30"/>
          <w:szCs w:val="30"/>
          <w:highlight w:val="none"/>
        </w:rPr>
      </w:pPr>
      <w:r>
        <w:rPr>
          <w:rFonts w:hint="eastAsia" w:ascii="黑体" w:hAnsi="黑体" w:eastAsia="黑体"/>
          <w:b/>
          <w:color w:val="auto"/>
          <w:sz w:val="30"/>
          <w:szCs w:val="30"/>
          <w:highlight w:val="none"/>
        </w:rPr>
        <w:t>十五、投标人认为有必要提交的其它材料</w:t>
      </w:r>
    </w:p>
    <w:p w14:paraId="75BFE6CE">
      <w:pPr>
        <w:autoSpaceDE w:val="0"/>
        <w:autoSpaceDN w:val="0"/>
        <w:adjustRightInd w:val="0"/>
        <w:spacing w:line="360" w:lineRule="auto"/>
        <w:jc w:val="center"/>
        <w:rPr>
          <w:rFonts w:ascii="宋体"/>
          <w:color w:val="auto"/>
          <w:sz w:val="24"/>
          <w:szCs w:val="24"/>
          <w:highlight w:val="none"/>
        </w:rPr>
      </w:pPr>
      <w:r>
        <w:rPr>
          <w:rFonts w:hint="eastAsia" w:ascii="宋体" w:hAnsi="宋体"/>
          <w:color w:val="auto"/>
          <w:sz w:val="24"/>
          <w:szCs w:val="24"/>
          <w:highlight w:val="none"/>
        </w:rPr>
        <w:t>（由法定代表人</w:t>
      </w:r>
      <w:r>
        <w:rPr>
          <w:rFonts w:hint="eastAsia" w:ascii="宋体" w:hAnsi="宋体" w:cs="楷体_GB2312"/>
          <w:color w:val="auto"/>
          <w:sz w:val="24"/>
          <w:highlight w:val="none"/>
          <w:lang w:val="zh-CN"/>
        </w:rPr>
        <w:t>电子签名&lt;签</w:t>
      </w:r>
      <w:r>
        <w:rPr>
          <w:rFonts w:hint="eastAsia" w:ascii="宋体" w:hAnsi="宋体"/>
          <w:color w:val="auto"/>
          <w:sz w:val="24"/>
          <w:szCs w:val="24"/>
          <w:highlight w:val="none"/>
        </w:rPr>
        <w:t>章&gt;或</w:t>
      </w:r>
      <w:r>
        <w:rPr>
          <w:rFonts w:hint="eastAsia"/>
          <w:color w:val="auto"/>
          <w:sz w:val="24"/>
          <w:szCs w:val="24"/>
          <w:highlight w:val="none"/>
        </w:rPr>
        <w:t>投标人</w:t>
      </w:r>
      <w:r>
        <w:rPr>
          <w:rFonts w:hint="eastAsia" w:ascii="宋体" w:hAnsi="宋体" w:cs="楷体_GB2312"/>
          <w:color w:val="auto"/>
          <w:sz w:val="24"/>
          <w:highlight w:val="none"/>
          <w:lang w:val="zh-CN"/>
        </w:rPr>
        <w:t>电子签</w:t>
      </w:r>
      <w:r>
        <w:rPr>
          <w:rFonts w:hint="eastAsia" w:ascii="宋体" w:hAnsi="宋体"/>
          <w:color w:val="auto"/>
          <w:sz w:val="24"/>
          <w:szCs w:val="24"/>
          <w:highlight w:val="none"/>
        </w:rPr>
        <w:t>章）</w:t>
      </w:r>
    </w:p>
    <w:p w14:paraId="22B75AEA">
      <w:pPr>
        <w:autoSpaceDE w:val="0"/>
        <w:autoSpaceDN w:val="0"/>
        <w:adjustRightInd w:val="0"/>
        <w:spacing w:line="360" w:lineRule="auto"/>
        <w:rPr>
          <w:rFonts w:ascii="宋体"/>
          <w:b/>
          <w:bCs/>
          <w:color w:val="auto"/>
          <w:sz w:val="24"/>
          <w:highlight w:val="none"/>
        </w:rPr>
      </w:pPr>
      <w:r>
        <w:rPr>
          <w:rFonts w:ascii="宋体" w:hAnsi="宋体"/>
          <w:color w:val="auto"/>
          <w:sz w:val="24"/>
          <w:szCs w:val="24"/>
          <w:highlight w:val="none"/>
        </w:rPr>
        <w:br w:type="page"/>
      </w:r>
    </w:p>
    <w:p w14:paraId="4FCFEDFD">
      <w:pPr>
        <w:spacing w:line="588" w:lineRule="exact"/>
        <w:jc w:val="center"/>
        <w:rPr>
          <w:rFonts w:ascii="黑体" w:hAnsi="黑体" w:eastAsia="黑体"/>
          <w:b/>
          <w:color w:val="auto"/>
          <w:sz w:val="24"/>
          <w:szCs w:val="24"/>
          <w:highlight w:val="none"/>
        </w:rPr>
      </w:pPr>
      <w:r>
        <w:rPr>
          <w:rFonts w:hint="eastAsia" w:ascii="黑体" w:hAnsi="黑体" w:eastAsia="黑体"/>
          <w:b/>
          <w:color w:val="auto"/>
          <w:sz w:val="30"/>
          <w:szCs w:val="30"/>
          <w:highlight w:val="none"/>
        </w:rPr>
        <w:t>十六、</w:t>
      </w:r>
      <w:r>
        <w:rPr>
          <w:rFonts w:ascii="黑体" w:hAnsi="黑体" w:eastAsia="黑体"/>
          <w:b/>
          <w:color w:val="auto"/>
          <w:sz w:val="30"/>
          <w:szCs w:val="30"/>
          <w:highlight w:val="none"/>
        </w:rPr>
        <w:t>中小企业声明函</w:t>
      </w:r>
      <w:r>
        <w:rPr>
          <w:rFonts w:hint="eastAsia" w:ascii="宋体" w:hAnsi="宋体" w:cs="MingLiU"/>
          <w:color w:val="auto"/>
          <w:spacing w:val="30"/>
          <w:sz w:val="24"/>
          <w:szCs w:val="24"/>
          <w:highlight w:val="none"/>
        </w:rPr>
        <w:t>（如有）</w:t>
      </w:r>
    </w:p>
    <w:p w14:paraId="68042068">
      <w:pPr>
        <w:spacing w:line="588" w:lineRule="exact"/>
        <w:jc w:val="center"/>
        <w:rPr>
          <w:rFonts w:ascii="黑体" w:hAnsi="黑体" w:eastAsia="黑体"/>
          <w:b/>
          <w:color w:val="auto"/>
          <w:sz w:val="30"/>
          <w:szCs w:val="30"/>
          <w:highlight w:val="none"/>
        </w:rPr>
      </w:pPr>
    </w:p>
    <w:p w14:paraId="21D50CED">
      <w:pPr>
        <w:spacing w:line="588" w:lineRule="exact"/>
        <w:ind w:firstLine="504" w:firstLineChars="200"/>
        <w:rPr>
          <w:rFonts w:ascii="宋体" w:hAnsi="宋体"/>
          <w:color w:val="auto"/>
          <w:spacing w:val="6"/>
          <w:sz w:val="24"/>
          <w:szCs w:val="24"/>
          <w:highlight w:val="none"/>
        </w:rPr>
      </w:pPr>
      <w:r>
        <w:rPr>
          <w:rFonts w:ascii="宋体" w:hAnsi="宋体"/>
          <w:color w:val="auto"/>
          <w:spacing w:val="6"/>
          <w:sz w:val="24"/>
          <w:szCs w:val="24"/>
          <w:highlight w:val="none"/>
        </w:rPr>
        <w:t>本公司（联合体）郑重声明，根据《政府采购促进中小企业发展管理办法》（财库〔2020〕46号）的规定，本公司(联合体）参加</w:t>
      </w:r>
      <w:r>
        <w:rPr>
          <w:rFonts w:ascii="宋体" w:hAnsi="宋体"/>
          <w:color w:val="auto"/>
          <w:spacing w:val="6"/>
          <w:sz w:val="24"/>
          <w:szCs w:val="24"/>
          <w:highlight w:val="none"/>
          <w:u w:val="single"/>
        </w:rPr>
        <w:t>（单位名称）</w:t>
      </w:r>
      <w:r>
        <w:rPr>
          <w:rFonts w:ascii="宋体" w:hAnsi="宋体"/>
          <w:color w:val="auto"/>
          <w:spacing w:val="6"/>
          <w:sz w:val="24"/>
          <w:szCs w:val="24"/>
          <w:highlight w:val="none"/>
        </w:rPr>
        <w:t>的</w:t>
      </w:r>
      <w:r>
        <w:rPr>
          <w:rFonts w:ascii="宋体" w:hAnsi="宋体"/>
          <w:color w:val="auto"/>
          <w:spacing w:val="6"/>
          <w:sz w:val="24"/>
          <w:szCs w:val="24"/>
          <w:highlight w:val="none"/>
          <w:u w:val="single"/>
        </w:rPr>
        <w:t>（项目名称）</w:t>
      </w:r>
      <w:r>
        <w:rPr>
          <w:rFonts w:ascii="宋体" w:hAnsi="宋体"/>
          <w:color w:val="auto"/>
          <w:spacing w:val="6"/>
          <w:sz w:val="24"/>
          <w:szCs w:val="24"/>
          <w:highlight w:val="none"/>
        </w:rPr>
        <w:t>采购活动，提供的货物全部由符合政策要求的中小企业制造。相关企业 (含联合体中的中小企业、签订分包意向协议的中小企业）的具体情况如下：</w:t>
      </w:r>
    </w:p>
    <w:p w14:paraId="122F2EA3">
      <w:pPr>
        <w:spacing w:line="588" w:lineRule="exact"/>
        <w:ind w:firstLine="504" w:firstLineChars="200"/>
        <w:rPr>
          <w:rFonts w:ascii="宋体" w:hAnsi="宋体"/>
          <w:color w:val="auto"/>
          <w:spacing w:val="6"/>
          <w:sz w:val="24"/>
          <w:szCs w:val="24"/>
          <w:highlight w:val="none"/>
        </w:rPr>
      </w:pPr>
      <w:r>
        <w:rPr>
          <w:rFonts w:hint="eastAsia" w:ascii="宋体" w:hAnsi="宋体"/>
          <w:color w:val="auto"/>
          <w:spacing w:val="6"/>
          <w:sz w:val="24"/>
          <w:szCs w:val="24"/>
          <w:highlight w:val="none"/>
        </w:rPr>
        <w:t>1.</w:t>
      </w:r>
      <w:r>
        <w:rPr>
          <w:rFonts w:ascii="宋体" w:hAnsi="宋体"/>
          <w:color w:val="auto"/>
          <w:spacing w:val="6"/>
          <w:sz w:val="24"/>
          <w:szCs w:val="24"/>
          <w:highlight w:val="none"/>
          <w:u w:val="single"/>
        </w:rPr>
        <w:t>(标的名称)</w:t>
      </w:r>
      <w:r>
        <w:rPr>
          <w:rFonts w:ascii="宋体" w:hAnsi="宋体"/>
          <w:color w:val="auto"/>
          <w:spacing w:val="6"/>
          <w:sz w:val="24"/>
          <w:szCs w:val="24"/>
          <w:highlight w:val="none"/>
        </w:rPr>
        <w:t>，属于</w:t>
      </w:r>
      <w:r>
        <w:rPr>
          <w:rFonts w:ascii="宋体" w:hAnsi="宋体"/>
          <w:color w:val="auto"/>
          <w:spacing w:val="6"/>
          <w:sz w:val="24"/>
          <w:szCs w:val="24"/>
          <w:highlight w:val="none"/>
          <w:u w:val="single"/>
        </w:rPr>
        <w:t>（采购文件中明确的所属行业)</w:t>
      </w:r>
      <w:r>
        <w:rPr>
          <w:rFonts w:ascii="宋体" w:hAnsi="宋体"/>
          <w:color w:val="auto"/>
          <w:spacing w:val="6"/>
          <w:sz w:val="24"/>
          <w:szCs w:val="24"/>
          <w:highlight w:val="none"/>
        </w:rPr>
        <w:t>行业</w:t>
      </w:r>
      <w:r>
        <w:rPr>
          <w:rFonts w:hint="eastAsia" w:ascii="宋体" w:hAnsi="宋体"/>
          <w:color w:val="auto"/>
          <w:spacing w:val="6"/>
          <w:sz w:val="24"/>
          <w:szCs w:val="24"/>
          <w:highlight w:val="none"/>
        </w:rPr>
        <w:t>，</w:t>
      </w:r>
      <w:r>
        <w:rPr>
          <w:rFonts w:ascii="宋体" w:hAnsi="宋体"/>
          <w:color w:val="auto"/>
          <w:spacing w:val="6"/>
          <w:sz w:val="24"/>
          <w:szCs w:val="24"/>
          <w:highlight w:val="none"/>
        </w:rPr>
        <w:t xml:space="preserve"> 制造商为</w:t>
      </w:r>
      <w:r>
        <w:rPr>
          <w:rFonts w:ascii="宋体" w:hAnsi="宋体"/>
          <w:color w:val="auto"/>
          <w:spacing w:val="6"/>
          <w:sz w:val="24"/>
          <w:szCs w:val="24"/>
          <w:highlight w:val="none"/>
          <w:u w:val="single"/>
        </w:rPr>
        <w:t>（企业名称)</w:t>
      </w:r>
      <w:r>
        <w:rPr>
          <w:rFonts w:ascii="宋体" w:hAnsi="宋体"/>
          <w:color w:val="auto"/>
          <w:spacing w:val="6"/>
          <w:sz w:val="24"/>
          <w:szCs w:val="24"/>
          <w:highlight w:val="none"/>
        </w:rPr>
        <w:t>，从业人员人，营业收入为</w:t>
      </w:r>
      <w:r>
        <w:rPr>
          <w:rFonts w:ascii="宋体" w:hAnsi="宋体"/>
          <w:color w:val="auto"/>
          <w:spacing w:val="6"/>
          <w:sz w:val="24"/>
          <w:szCs w:val="24"/>
          <w:highlight w:val="none"/>
          <w:u w:val="single"/>
        </w:rPr>
        <w:t>_</w:t>
      </w:r>
      <w:r>
        <w:rPr>
          <w:rFonts w:ascii="宋体" w:hAnsi="宋体"/>
          <w:color w:val="auto"/>
          <w:spacing w:val="6"/>
          <w:sz w:val="24"/>
          <w:szCs w:val="24"/>
          <w:highlight w:val="none"/>
        </w:rPr>
        <w:t>万元，资产总额为</w:t>
      </w:r>
      <w:r>
        <w:rPr>
          <w:rFonts w:ascii="宋体" w:hAnsi="宋体"/>
          <w:color w:val="auto"/>
          <w:spacing w:val="6"/>
          <w:sz w:val="24"/>
          <w:szCs w:val="24"/>
          <w:highlight w:val="none"/>
          <w:u w:val="single"/>
        </w:rPr>
        <w:t>_</w:t>
      </w:r>
      <w:r>
        <w:rPr>
          <w:rFonts w:ascii="宋体" w:hAnsi="宋体"/>
          <w:color w:val="auto"/>
          <w:spacing w:val="6"/>
          <w:sz w:val="24"/>
          <w:szCs w:val="24"/>
          <w:highlight w:val="none"/>
        </w:rPr>
        <w:t>万元</w:t>
      </w:r>
      <w:r>
        <w:rPr>
          <w:rFonts w:hint="eastAsia" w:ascii="宋体" w:hAnsi="宋体"/>
          <w:color w:val="auto"/>
          <w:spacing w:val="6"/>
          <w:sz w:val="24"/>
          <w:szCs w:val="24"/>
          <w:highlight w:val="none"/>
          <w:vertAlign w:val="superscript"/>
        </w:rPr>
        <w:t>1</w:t>
      </w:r>
      <w:r>
        <w:rPr>
          <w:rFonts w:hint="eastAsia" w:ascii="宋体" w:hAnsi="宋体"/>
          <w:color w:val="auto"/>
          <w:spacing w:val="6"/>
          <w:sz w:val="24"/>
          <w:szCs w:val="24"/>
          <w:highlight w:val="none"/>
        </w:rPr>
        <w:t>，采购文件中明确的所属行业</w:t>
      </w:r>
      <w:r>
        <w:rPr>
          <w:rFonts w:ascii="宋体" w:hAnsi="宋体"/>
          <w:color w:val="auto"/>
          <w:spacing w:val="6"/>
          <w:sz w:val="24"/>
          <w:szCs w:val="24"/>
          <w:highlight w:val="none"/>
        </w:rPr>
        <w:t>属于</w:t>
      </w:r>
      <w:r>
        <w:rPr>
          <w:rFonts w:ascii="宋体" w:hAnsi="宋体"/>
          <w:color w:val="auto"/>
          <w:spacing w:val="6"/>
          <w:sz w:val="24"/>
          <w:szCs w:val="24"/>
          <w:highlight w:val="none"/>
          <w:u w:val="single"/>
        </w:rPr>
        <w:t>（中型企业、小 型企业、微型企业）</w:t>
      </w:r>
      <w:r>
        <w:rPr>
          <w:rFonts w:hint="eastAsia" w:ascii="宋体" w:hAnsi="宋体"/>
          <w:color w:val="auto"/>
          <w:spacing w:val="6"/>
          <w:sz w:val="24"/>
          <w:szCs w:val="24"/>
          <w:highlight w:val="none"/>
        </w:rPr>
        <w:t>；</w:t>
      </w:r>
    </w:p>
    <w:p w14:paraId="0B23F82D">
      <w:pPr>
        <w:spacing w:line="588" w:lineRule="exact"/>
        <w:ind w:firstLine="504" w:firstLineChars="200"/>
        <w:rPr>
          <w:rFonts w:ascii="宋体" w:hAnsi="宋体"/>
          <w:color w:val="auto"/>
          <w:spacing w:val="6"/>
          <w:sz w:val="24"/>
          <w:szCs w:val="24"/>
          <w:highlight w:val="none"/>
        </w:rPr>
      </w:pPr>
      <w:r>
        <w:rPr>
          <w:rFonts w:hint="eastAsia" w:ascii="宋体" w:hAnsi="宋体"/>
          <w:color w:val="auto"/>
          <w:spacing w:val="6"/>
          <w:sz w:val="24"/>
          <w:szCs w:val="24"/>
          <w:highlight w:val="none"/>
        </w:rPr>
        <w:t>2.</w:t>
      </w:r>
      <w:r>
        <w:rPr>
          <w:rFonts w:ascii="宋体" w:hAnsi="宋体"/>
          <w:color w:val="auto"/>
          <w:spacing w:val="6"/>
          <w:sz w:val="24"/>
          <w:szCs w:val="24"/>
          <w:highlight w:val="none"/>
          <w:u w:val="single"/>
        </w:rPr>
        <w:t>(标的名称)</w:t>
      </w:r>
      <w:r>
        <w:rPr>
          <w:rFonts w:ascii="宋体" w:hAnsi="宋体"/>
          <w:color w:val="auto"/>
          <w:spacing w:val="6"/>
          <w:sz w:val="24"/>
          <w:szCs w:val="24"/>
          <w:highlight w:val="none"/>
        </w:rPr>
        <w:t>，属于</w:t>
      </w:r>
      <w:r>
        <w:rPr>
          <w:rFonts w:ascii="宋体" w:hAnsi="宋体"/>
          <w:color w:val="auto"/>
          <w:spacing w:val="6"/>
          <w:sz w:val="24"/>
          <w:szCs w:val="24"/>
          <w:highlight w:val="none"/>
          <w:u w:val="single"/>
        </w:rPr>
        <w:t>（采购文件中明确的所属行业)</w:t>
      </w:r>
      <w:r>
        <w:rPr>
          <w:rFonts w:ascii="宋体" w:hAnsi="宋体"/>
          <w:color w:val="auto"/>
          <w:spacing w:val="6"/>
          <w:sz w:val="24"/>
          <w:szCs w:val="24"/>
          <w:highlight w:val="none"/>
        </w:rPr>
        <w:t>行业</w:t>
      </w:r>
      <w:r>
        <w:rPr>
          <w:rFonts w:hint="eastAsia" w:ascii="宋体" w:hAnsi="宋体"/>
          <w:color w:val="auto"/>
          <w:spacing w:val="6"/>
          <w:sz w:val="24"/>
          <w:szCs w:val="24"/>
          <w:highlight w:val="none"/>
        </w:rPr>
        <w:t>，</w:t>
      </w:r>
      <w:r>
        <w:rPr>
          <w:rFonts w:ascii="宋体" w:hAnsi="宋体"/>
          <w:color w:val="auto"/>
          <w:spacing w:val="6"/>
          <w:sz w:val="24"/>
          <w:szCs w:val="24"/>
          <w:highlight w:val="none"/>
        </w:rPr>
        <w:t xml:space="preserve"> 制造商为</w:t>
      </w:r>
      <w:r>
        <w:rPr>
          <w:rFonts w:ascii="宋体" w:hAnsi="宋体"/>
          <w:color w:val="auto"/>
          <w:spacing w:val="6"/>
          <w:sz w:val="24"/>
          <w:szCs w:val="24"/>
          <w:highlight w:val="none"/>
          <w:u w:val="single"/>
        </w:rPr>
        <w:t>（企业名称)</w:t>
      </w:r>
      <w:r>
        <w:rPr>
          <w:rFonts w:ascii="宋体" w:hAnsi="宋体"/>
          <w:color w:val="auto"/>
          <w:spacing w:val="6"/>
          <w:sz w:val="24"/>
          <w:szCs w:val="24"/>
          <w:highlight w:val="none"/>
        </w:rPr>
        <w:t>，从业人员人，营业收入为</w:t>
      </w:r>
      <w:r>
        <w:rPr>
          <w:rFonts w:ascii="宋体" w:hAnsi="宋体"/>
          <w:color w:val="auto"/>
          <w:spacing w:val="6"/>
          <w:sz w:val="24"/>
          <w:szCs w:val="24"/>
          <w:highlight w:val="none"/>
          <w:u w:val="single"/>
        </w:rPr>
        <w:t>_</w:t>
      </w:r>
      <w:r>
        <w:rPr>
          <w:rFonts w:ascii="宋体" w:hAnsi="宋体"/>
          <w:color w:val="auto"/>
          <w:spacing w:val="6"/>
          <w:sz w:val="24"/>
          <w:szCs w:val="24"/>
          <w:highlight w:val="none"/>
        </w:rPr>
        <w:t>万元，资产总额为</w:t>
      </w:r>
      <w:r>
        <w:rPr>
          <w:rFonts w:ascii="宋体" w:hAnsi="宋体"/>
          <w:color w:val="auto"/>
          <w:spacing w:val="6"/>
          <w:sz w:val="24"/>
          <w:szCs w:val="24"/>
          <w:highlight w:val="none"/>
          <w:u w:val="single"/>
        </w:rPr>
        <w:t>_</w:t>
      </w:r>
      <w:r>
        <w:rPr>
          <w:rFonts w:ascii="宋体" w:hAnsi="宋体"/>
          <w:color w:val="auto"/>
          <w:spacing w:val="6"/>
          <w:sz w:val="24"/>
          <w:szCs w:val="24"/>
          <w:highlight w:val="none"/>
        </w:rPr>
        <w:t>万元</w:t>
      </w:r>
      <w:r>
        <w:rPr>
          <w:rFonts w:hint="eastAsia" w:ascii="宋体" w:hAnsi="宋体"/>
          <w:color w:val="auto"/>
          <w:spacing w:val="6"/>
          <w:sz w:val="24"/>
          <w:szCs w:val="24"/>
          <w:highlight w:val="none"/>
        </w:rPr>
        <w:t>，采购文件中明确的所属行业</w:t>
      </w:r>
      <w:r>
        <w:rPr>
          <w:rFonts w:ascii="宋体" w:hAnsi="宋体"/>
          <w:color w:val="auto"/>
          <w:spacing w:val="6"/>
          <w:sz w:val="24"/>
          <w:szCs w:val="24"/>
          <w:highlight w:val="none"/>
        </w:rPr>
        <w:t>属于</w:t>
      </w:r>
      <w:r>
        <w:rPr>
          <w:rFonts w:ascii="宋体" w:hAnsi="宋体"/>
          <w:color w:val="auto"/>
          <w:spacing w:val="6"/>
          <w:sz w:val="24"/>
          <w:szCs w:val="24"/>
          <w:highlight w:val="none"/>
          <w:u w:val="single"/>
        </w:rPr>
        <w:t>（中型企业、小 型企业、微型企业）</w:t>
      </w:r>
      <w:r>
        <w:rPr>
          <w:rFonts w:hint="eastAsia" w:ascii="宋体" w:hAnsi="宋体"/>
          <w:color w:val="auto"/>
          <w:spacing w:val="6"/>
          <w:sz w:val="24"/>
          <w:szCs w:val="24"/>
          <w:highlight w:val="none"/>
        </w:rPr>
        <w:t>；</w:t>
      </w:r>
    </w:p>
    <w:p w14:paraId="32A62FEC">
      <w:pPr>
        <w:spacing w:line="588" w:lineRule="exact"/>
        <w:ind w:firstLine="504" w:firstLineChars="200"/>
        <w:rPr>
          <w:rFonts w:ascii="宋体" w:hAnsi="宋体"/>
          <w:color w:val="auto"/>
          <w:spacing w:val="6"/>
          <w:sz w:val="24"/>
          <w:szCs w:val="24"/>
          <w:highlight w:val="none"/>
        </w:rPr>
      </w:pPr>
      <w:r>
        <w:rPr>
          <w:rFonts w:hint="eastAsia" w:ascii="宋体" w:hAnsi="宋体"/>
          <w:color w:val="auto"/>
          <w:spacing w:val="6"/>
          <w:sz w:val="24"/>
          <w:szCs w:val="24"/>
          <w:highlight w:val="none"/>
        </w:rPr>
        <w:t>……</w:t>
      </w:r>
    </w:p>
    <w:p w14:paraId="52A145B8">
      <w:pPr>
        <w:spacing w:line="588" w:lineRule="exact"/>
        <w:ind w:firstLine="504" w:firstLineChars="200"/>
        <w:rPr>
          <w:rFonts w:ascii="宋体" w:hAnsi="宋体"/>
          <w:color w:val="auto"/>
          <w:spacing w:val="6"/>
          <w:sz w:val="24"/>
          <w:szCs w:val="24"/>
          <w:highlight w:val="none"/>
        </w:rPr>
      </w:pPr>
      <w:r>
        <w:rPr>
          <w:rFonts w:ascii="宋体" w:hAnsi="宋体"/>
          <w:color w:val="auto"/>
          <w:spacing w:val="6"/>
          <w:sz w:val="24"/>
          <w:szCs w:val="24"/>
          <w:highlight w:val="none"/>
        </w:rPr>
        <w:t>以上企业，不属于大企业的分支机构，不存在控股股东为大企业的情形，也不存在与大企业的负责人为同一人的情形。</w:t>
      </w:r>
    </w:p>
    <w:p w14:paraId="0D76CE92">
      <w:pPr>
        <w:spacing w:line="588" w:lineRule="exact"/>
        <w:ind w:firstLine="504" w:firstLineChars="200"/>
        <w:rPr>
          <w:rFonts w:ascii="宋体" w:hAnsi="宋体"/>
          <w:color w:val="auto"/>
          <w:spacing w:val="6"/>
          <w:sz w:val="24"/>
          <w:szCs w:val="24"/>
          <w:highlight w:val="none"/>
        </w:rPr>
      </w:pPr>
      <w:r>
        <w:rPr>
          <w:rFonts w:ascii="宋体" w:hAnsi="宋体"/>
          <w:color w:val="auto"/>
          <w:spacing w:val="6"/>
          <w:sz w:val="24"/>
          <w:szCs w:val="24"/>
          <w:highlight w:val="none"/>
        </w:rPr>
        <w:t>本企业对上述声明内容的真实性负责。如有虚假，将依法承担相应责任。</w:t>
      </w:r>
    </w:p>
    <w:p w14:paraId="1342F044">
      <w:pPr>
        <w:spacing w:line="588" w:lineRule="exact"/>
        <w:rPr>
          <w:rFonts w:ascii="宋体" w:hAnsi="宋体"/>
          <w:color w:val="auto"/>
          <w:spacing w:val="6"/>
          <w:sz w:val="24"/>
          <w:szCs w:val="24"/>
          <w:highlight w:val="none"/>
        </w:rPr>
      </w:pPr>
    </w:p>
    <w:p w14:paraId="66D2BDEF">
      <w:pPr>
        <w:pStyle w:val="60"/>
        <w:shd w:val="clear" w:color="auto" w:fill="auto"/>
        <w:spacing w:after="228" w:line="300" w:lineRule="exact"/>
        <w:ind w:firstLine="4536" w:firstLineChars="1512"/>
        <w:rPr>
          <w:rFonts w:ascii="宋体" w:hAnsi="宋体" w:eastAsia="宋体"/>
          <w:color w:val="auto"/>
          <w:sz w:val="24"/>
          <w:szCs w:val="24"/>
          <w:highlight w:val="none"/>
        </w:rPr>
      </w:pPr>
      <w:r>
        <w:rPr>
          <w:rFonts w:ascii="宋体" w:hAnsi="宋体" w:eastAsia="宋体"/>
          <w:color w:val="auto"/>
          <w:sz w:val="24"/>
          <w:szCs w:val="24"/>
          <w:highlight w:val="none"/>
        </w:rPr>
        <w:t>企业名称（盖章</w:t>
      </w:r>
      <w:r>
        <w:rPr>
          <w:rFonts w:ascii="宋体" w:hAnsi="宋体" w:eastAsia="宋体"/>
          <w:color w:val="auto"/>
          <w:sz w:val="24"/>
          <w:szCs w:val="24"/>
          <w:highlight w:val="none"/>
          <w:lang w:bidi="en-US"/>
        </w:rPr>
        <w:t>）</w:t>
      </w:r>
    </w:p>
    <w:p w14:paraId="7A33C3A2">
      <w:pPr>
        <w:autoSpaceDE w:val="0"/>
        <w:autoSpaceDN w:val="0"/>
        <w:adjustRightInd w:val="0"/>
        <w:spacing w:line="360" w:lineRule="auto"/>
        <w:ind w:firstLine="4536" w:firstLineChars="1890"/>
        <w:jc w:val="left"/>
        <w:rPr>
          <w:rFonts w:ascii="宋体" w:hAnsi="宋体"/>
          <w:color w:val="auto"/>
          <w:sz w:val="24"/>
          <w:szCs w:val="24"/>
          <w:highlight w:val="none"/>
        </w:rPr>
      </w:pPr>
      <w:r>
        <w:rPr>
          <w:rFonts w:ascii="宋体" w:hAnsi="宋体"/>
          <w:color w:val="auto"/>
          <w:sz w:val="24"/>
          <w:szCs w:val="24"/>
          <w:highlight w:val="none"/>
        </w:rPr>
        <w:t>日期：</w:t>
      </w:r>
    </w:p>
    <w:p w14:paraId="54FFDFE2">
      <w:pPr>
        <w:spacing w:line="588" w:lineRule="exact"/>
        <w:ind w:firstLine="504" w:firstLineChars="200"/>
        <w:rPr>
          <w:rFonts w:ascii="宋体" w:hAnsi="宋体"/>
          <w:color w:val="auto"/>
          <w:spacing w:val="6"/>
          <w:sz w:val="24"/>
          <w:szCs w:val="24"/>
          <w:highlight w:val="none"/>
        </w:rPr>
      </w:pPr>
    </w:p>
    <w:p w14:paraId="070B4236">
      <w:pPr>
        <w:spacing w:line="240" w:lineRule="auto"/>
        <w:jc w:val="center"/>
        <w:textAlignment w:val="auto"/>
        <w:rPr>
          <w:rFonts w:ascii="黑体" w:hAnsi="黑体" w:eastAsia="黑体"/>
          <w:b/>
          <w:color w:val="auto"/>
          <w:sz w:val="30"/>
          <w:szCs w:val="30"/>
          <w:highlight w:val="none"/>
        </w:rPr>
      </w:pPr>
    </w:p>
    <w:p w14:paraId="3CDD1E4E">
      <w:pPr>
        <w:spacing w:line="240" w:lineRule="auto"/>
        <w:rPr>
          <w:rFonts w:ascii="宋体" w:hAnsi="宋体"/>
          <w:color w:val="auto"/>
          <w:sz w:val="18"/>
          <w:szCs w:val="18"/>
          <w:highlight w:val="none"/>
        </w:rPr>
      </w:pPr>
      <w:r>
        <w:rPr>
          <w:rFonts w:hint="eastAsia" w:ascii="宋体" w:hAnsi="宋体"/>
          <w:color w:val="auto"/>
          <w:sz w:val="18"/>
          <w:szCs w:val="18"/>
          <w:highlight w:val="none"/>
        </w:rPr>
        <w:t>注：1、</w:t>
      </w:r>
      <w:r>
        <w:rPr>
          <w:rStyle w:val="58"/>
          <w:rFonts w:ascii="宋体" w:hAnsi="宋体" w:eastAsia="宋体"/>
          <w:color w:val="auto"/>
          <w:sz w:val="18"/>
          <w:szCs w:val="18"/>
          <w:highlight w:val="none"/>
          <w:vertAlign w:val="superscript"/>
        </w:rPr>
        <w:t>1</w:t>
      </w:r>
      <w:r>
        <w:rPr>
          <w:rStyle w:val="59"/>
          <w:rFonts w:ascii="宋体" w:hAnsi="宋体" w:eastAsia="宋体"/>
          <w:color w:val="auto"/>
          <w:highlight w:val="none"/>
        </w:rPr>
        <w:t>从业人员、营业收入、资产总额填报上一年度数据，无上一年度数据的新成立企业可不填报</w:t>
      </w:r>
      <w:r>
        <w:rPr>
          <w:rStyle w:val="59"/>
          <w:rFonts w:hint="eastAsia" w:ascii="宋体" w:hAnsi="宋体" w:eastAsia="宋体"/>
          <w:color w:val="auto"/>
          <w:highlight w:val="none"/>
        </w:rPr>
        <w:t>。</w:t>
      </w:r>
    </w:p>
    <w:p w14:paraId="176DAB9D">
      <w:pPr>
        <w:spacing w:line="240" w:lineRule="auto"/>
        <w:rPr>
          <w:rFonts w:ascii="宋体" w:hAnsi="宋体"/>
          <w:color w:val="auto"/>
          <w:sz w:val="18"/>
          <w:szCs w:val="18"/>
          <w:highlight w:val="none"/>
        </w:rPr>
      </w:pPr>
      <w:r>
        <w:rPr>
          <w:rFonts w:hint="eastAsia" w:ascii="宋体" w:hAnsi="宋体"/>
          <w:color w:val="auto"/>
          <w:sz w:val="18"/>
          <w:szCs w:val="18"/>
          <w:highlight w:val="none"/>
        </w:rPr>
        <w:t xml:space="preserve"> 2、</w:t>
      </w:r>
      <w:r>
        <w:rPr>
          <w:rStyle w:val="59"/>
          <w:rFonts w:hint="eastAsia" w:ascii="宋体" w:hAnsi="宋体" w:eastAsia="宋体"/>
          <w:color w:val="auto"/>
          <w:highlight w:val="none"/>
        </w:rPr>
        <w:t>谈判文件中未标注“专门面向中小企业采购”的未预留（非预留）项目，投标人可以根据自身情况提供《中小企业声明函》，未提供《中小企业声明函》的、将不享受小微企业价格扣除扶持政策。</w:t>
      </w:r>
    </w:p>
    <w:p w14:paraId="5F14C4B1">
      <w:pPr>
        <w:widowControl w:val="0"/>
        <w:tabs>
          <w:tab w:val="left" w:pos="9365"/>
        </w:tabs>
        <w:snapToGrid w:val="0"/>
        <w:spacing w:after="56" w:line="560" w:lineRule="exact"/>
        <w:ind w:right="85" w:firstLine="452" w:firstLineChars="150"/>
        <w:textAlignment w:val="top"/>
        <w:rPr>
          <w:rFonts w:ascii="黑体" w:hAnsi="黑体" w:eastAsia="黑体"/>
          <w:b/>
          <w:color w:val="auto"/>
          <w:sz w:val="30"/>
          <w:szCs w:val="30"/>
          <w:highlight w:val="none"/>
        </w:rPr>
      </w:pPr>
      <w:r>
        <w:rPr>
          <w:rFonts w:ascii="黑体" w:hAnsi="黑体" w:eastAsia="黑体"/>
          <w:b/>
          <w:color w:val="auto"/>
          <w:sz w:val="30"/>
          <w:szCs w:val="30"/>
          <w:highlight w:val="none"/>
        </w:rPr>
        <w:br w:type="page"/>
      </w:r>
    </w:p>
    <w:p w14:paraId="009D764D">
      <w:pPr>
        <w:spacing w:line="240" w:lineRule="auto"/>
        <w:jc w:val="center"/>
        <w:textAlignment w:val="auto"/>
        <w:rPr>
          <w:rFonts w:ascii="黑体" w:hAnsi="黑体" w:eastAsia="黑体"/>
          <w:b/>
          <w:color w:val="auto"/>
          <w:sz w:val="30"/>
          <w:szCs w:val="30"/>
          <w:highlight w:val="none"/>
        </w:rPr>
      </w:pPr>
      <w:r>
        <w:rPr>
          <w:rFonts w:hint="eastAsia" w:ascii="黑体" w:hAnsi="黑体" w:eastAsia="黑体"/>
          <w:b/>
          <w:color w:val="auto"/>
          <w:sz w:val="30"/>
          <w:szCs w:val="30"/>
          <w:highlight w:val="none"/>
        </w:rPr>
        <w:t>残疾人福利性单位声明函</w:t>
      </w:r>
      <w:r>
        <w:rPr>
          <w:rFonts w:hint="eastAsia" w:ascii="宋体" w:hAnsi="宋体"/>
          <w:color w:val="auto"/>
          <w:spacing w:val="6"/>
          <w:sz w:val="24"/>
          <w:szCs w:val="24"/>
          <w:highlight w:val="none"/>
        </w:rPr>
        <w:t>（如符合条件时填写</w:t>
      </w:r>
      <w:r>
        <w:rPr>
          <w:rFonts w:hint="eastAsia" w:ascii="宋体" w:hAnsi="宋体"/>
          <w:color w:val="auto"/>
          <w:spacing w:val="6"/>
          <w:sz w:val="28"/>
          <w:szCs w:val="28"/>
          <w:highlight w:val="none"/>
          <w:vertAlign w:val="superscript"/>
        </w:rPr>
        <w:t>*</w:t>
      </w:r>
      <w:r>
        <w:rPr>
          <w:rFonts w:hint="eastAsia" w:ascii="宋体" w:hAnsi="宋体"/>
          <w:color w:val="auto"/>
          <w:spacing w:val="6"/>
          <w:sz w:val="24"/>
          <w:szCs w:val="24"/>
          <w:highlight w:val="none"/>
        </w:rPr>
        <w:t>）</w:t>
      </w:r>
    </w:p>
    <w:p w14:paraId="6C9761B7">
      <w:pPr>
        <w:spacing w:line="588" w:lineRule="exact"/>
        <w:rPr>
          <w:rFonts w:ascii="仿宋_GB2312" w:eastAsia="仿宋_GB2312"/>
          <w:b/>
          <w:color w:val="auto"/>
          <w:spacing w:val="6"/>
          <w:sz w:val="30"/>
          <w:szCs w:val="30"/>
          <w:highlight w:val="none"/>
        </w:rPr>
      </w:pPr>
    </w:p>
    <w:p w14:paraId="4877B29F">
      <w:pPr>
        <w:spacing w:line="588" w:lineRule="exact"/>
        <w:ind w:firstLine="504" w:firstLineChars="200"/>
        <w:rPr>
          <w:rFonts w:ascii="宋体" w:hAnsi="宋体"/>
          <w:color w:val="auto"/>
          <w:spacing w:val="6"/>
          <w:sz w:val="24"/>
          <w:szCs w:val="24"/>
          <w:highlight w:val="none"/>
        </w:rPr>
      </w:pPr>
      <w:r>
        <w:rPr>
          <w:rFonts w:hint="eastAsia" w:ascii="宋体" w:hAnsi="宋体"/>
          <w:color w:val="auto"/>
          <w:spacing w:val="6"/>
          <w:sz w:val="24"/>
          <w:szCs w:val="24"/>
          <w:highlight w:val="none"/>
        </w:rPr>
        <w:t>本单位郑重声明，根据《财政部 民政部 中国残疾人联合会关于促进残疾人就业政府采购政策的通知》（财库</w:t>
      </w:r>
      <w:r>
        <w:rPr>
          <w:rFonts w:hint="eastAsia" w:ascii="宋体" w:hAnsi="宋体"/>
          <w:color w:val="auto"/>
          <w:sz w:val="24"/>
          <w:szCs w:val="24"/>
          <w:highlight w:val="none"/>
        </w:rPr>
        <w:t>〔2017〕141</w:t>
      </w:r>
      <w:r>
        <w:rPr>
          <w:rFonts w:hint="eastAsia" w:ascii="宋体" w:hAnsi="宋体"/>
          <w:color w:val="auto"/>
          <w:spacing w:val="6"/>
          <w:sz w:val="24"/>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7407300">
      <w:pPr>
        <w:spacing w:line="588" w:lineRule="exact"/>
        <w:ind w:firstLine="504" w:firstLineChars="200"/>
        <w:rPr>
          <w:rFonts w:ascii="宋体" w:hAnsi="宋体"/>
          <w:color w:val="auto"/>
          <w:spacing w:val="6"/>
          <w:sz w:val="24"/>
          <w:szCs w:val="24"/>
          <w:highlight w:val="none"/>
        </w:rPr>
      </w:pPr>
      <w:r>
        <w:rPr>
          <w:rFonts w:hint="eastAsia" w:ascii="宋体" w:hAnsi="宋体"/>
          <w:color w:val="auto"/>
          <w:spacing w:val="6"/>
          <w:sz w:val="24"/>
          <w:szCs w:val="24"/>
          <w:highlight w:val="none"/>
        </w:rPr>
        <w:t>本单位对上述声明的真实性负责。如有虚假，将依法承担相应责任。</w:t>
      </w:r>
    </w:p>
    <w:p w14:paraId="6F3E5E0A">
      <w:pPr>
        <w:spacing w:line="588" w:lineRule="exact"/>
        <w:ind w:firstLine="504" w:firstLineChars="200"/>
        <w:rPr>
          <w:rFonts w:ascii="宋体" w:hAnsi="宋体"/>
          <w:color w:val="auto"/>
          <w:spacing w:val="6"/>
          <w:sz w:val="24"/>
          <w:szCs w:val="24"/>
          <w:highlight w:val="none"/>
        </w:rPr>
      </w:pPr>
    </w:p>
    <w:p w14:paraId="43970E4D">
      <w:pPr>
        <w:spacing w:line="588" w:lineRule="exact"/>
        <w:ind w:firstLine="504" w:firstLineChars="200"/>
        <w:rPr>
          <w:rFonts w:ascii="宋体" w:hAnsi="宋体"/>
          <w:color w:val="auto"/>
          <w:spacing w:val="6"/>
          <w:sz w:val="24"/>
          <w:szCs w:val="24"/>
          <w:highlight w:val="none"/>
        </w:rPr>
      </w:pPr>
    </w:p>
    <w:p w14:paraId="6BE50329">
      <w:pPr>
        <w:spacing w:line="588" w:lineRule="exact"/>
        <w:ind w:firstLine="504" w:firstLineChars="200"/>
        <w:rPr>
          <w:rFonts w:ascii="宋体" w:hAnsi="宋体"/>
          <w:color w:val="auto"/>
          <w:spacing w:val="6"/>
          <w:sz w:val="24"/>
          <w:szCs w:val="24"/>
          <w:highlight w:val="none"/>
        </w:rPr>
      </w:pPr>
    </w:p>
    <w:p w14:paraId="52A0B651">
      <w:pPr>
        <w:snapToGrid w:val="0"/>
        <w:spacing w:before="100" w:beforeAutospacing="1" w:after="100" w:afterAutospacing="1" w:line="700" w:lineRule="exact"/>
        <w:ind w:right="641" w:firstLine="4960" w:firstLineChars="2067"/>
        <w:rPr>
          <w:rFonts w:ascii="宋体" w:hAnsi="宋体"/>
          <w:color w:val="auto"/>
          <w:sz w:val="24"/>
          <w:szCs w:val="24"/>
          <w:highlight w:val="none"/>
        </w:rPr>
      </w:pPr>
      <w:r>
        <w:rPr>
          <w:rFonts w:hint="eastAsia" w:ascii="宋体" w:hAnsi="宋体"/>
          <w:color w:val="auto"/>
          <w:sz w:val="24"/>
          <w:szCs w:val="24"/>
          <w:highlight w:val="none"/>
        </w:rPr>
        <w:t>单位名称</w:t>
      </w:r>
      <w:r>
        <w:rPr>
          <w:rFonts w:ascii="宋体" w:hAnsi="宋体"/>
          <w:color w:val="auto"/>
          <w:sz w:val="24"/>
          <w:szCs w:val="24"/>
          <w:highlight w:val="none"/>
        </w:rPr>
        <w:t>（盖章</w:t>
      </w:r>
      <w:r>
        <w:rPr>
          <w:rFonts w:ascii="宋体" w:hAnsi="宋体"/>
          <w:color w:val="auto"/>
          <w:sz w:val="24"/>
          <w:szCs w:val="24"/>
          <w:highlight w:val="none"/>
          <w:lang w:bidi="en-US"/>
        </w:rPr>
        <w:t>）</w:t>
      </w:r>
      <w:r>
        <w:rPr>
          <w:rFonts w:hint="eastAsia" w:ascii="宋体" w:hAnsi="宋体"/>
          <w:color w:val="auto"/>
          <w:sz w:val="24"/>
          <w:szCs w:val="24"/>
          <w:highlight w:val="none"/>
        </w:rPr>
        <w:t>：</w:t>
      </w:r>
    </w:p>
    <w:p w14:paraId="26812A7D">
      <w:pPr>
        <w:snapToGrid w:val="0"/>
        <w:spacing w:before="100" w:beforeAutospacing="1" w:after="100" w:afterAutospacing="1" w:line="540" w:lineRule="exact"/>
        <w:ind w:right="85" w:firstLine="5016" w:firstLineChars="2090"/>
        <w:jc w:val="left"/>
        <w:textAlignment w:val="top"/>
        <w:rPr>
          <w:rFonts w:ascii="宋体" w:hAnsi="宋体"/>
          <w:color w:val="auto"/>
          <w:sz w:val="24"/>
          <w:szCs w:val="24"/>
          <w:highlight w:val="none"/>
        </w:rPr>
      </w:pPr>
      <w:r>
        <w:rPr>
          <w:rFonts w:hint="eastAsia" w:ascii="宋体" w:hAnsi="宋体"/>
          <w:color w:val="auto"/>
          <w:sz w:val="24"/>
          <w:szCs w:val="24"/>
          <w:highlight w:val="none"/>
        </w:rPr>
        <w:t>日期：</w:t>
      </w:r>
    </w:p>
    <w:p w14:paraId="49055B09">
      <w:pPr>
        <w:snapToGrid w:val="0"/>
        <w:spacing w:before="100" w:beforeAutospacing="1" w:after="100" w:afterAutospacing="1" w:line="540" w:lineRule="exact"/>
        <w:ind w:right="85" w:firstLine="5016" w:firstLineChars="2090"/>
        <w:jc w:val="left"/>
        <w:textAlignment w:val="top"/>
        <w:rPr>
          <w:rFonts w:ascii="宋体" w:hAnsi="宋体"/>
          <w:color w:val="auto"/>
          <w:sz w:val="24"/>
          <w:szCs w:val="24"/>
          <w:highlight w:val="none"/>
        </w:rPr>
      </w:pPr>
    </w:p>
    <w:p w14:paraId="7211F36D">
      <w:pPr>
        <w:snapToGrid w:val="0"/>
        <w:spacing w:before="100" w:beforeAutospacing="1" w:after="100" w:afterAutospacing="1" w:line="540" w:lineRule="exact"/>
        <w:ind w:right="85" w:firstLine="5016" w:firstLineChars="2090"/>
        <w:jc w:val="left"/>
        <w:textAlignment w:val="top"/>
        <w:rPr>
          <w:rFonts w:ascii="宋体" w:hAnsi="宋体"/>
          <w:color w:val="auto"/>
          <w:sz w:val="24"/>
          <w:szCs w:val="24"/>
          <w:highlight w:val="none"/>
        </w:rPr>
      </w:pPr>
    </w:p>
    <w:p w14:paraId="2AF626CD">
      <w:pPr>
        <w:snapToGrid w:val="0"/>
        <w:spacing w:before="100" w:beforeAutospacing="1" w:after="100" w:afterAutospacing="1" w:line="540" w:lineRule="exact"/>
        <w:ind w:right="85"/>
        <w:jc w:val="left"/>
        <w:textAlignment w:val="top"/>
        <w:rPr>
          <w:rFonts w:ascii="宋体" w:hAnsi="宋体"/>
          <w:color w:val="auto"/>
          <w:sz w:val="24"/>
          <w:szCs w:val="24"/>
          <w:highlight w:val="none"/>
        </w:rPr>
      </w:pPr>
    </w:p>
    <w:p w14:paraId="4A7CB4D0">
      <w:pPr>
        <w:shd w:val="clear" w:color="auto" w:fill="FFFFFF"/>
        <w:spacing w:line="240" w:lineRule="auto"/>
        <w:rPr>
          <w:rFonts w:ascii="宋体" w:hAnsi="宋体"/>
          <w:color w:val="auto"/>
          <w:sz w:val="18"/>
          <w:szCs w:val="18"/>
          <w:highlight w:val="none"/>
        </w:rPr>
      </w:pPr>
      <w:r>
        <w:rPr>
          <w:rFonts w:hint="eastAsia" w:ascii="宋体" w:hAnsi="宋体"/>
          <w:color w:val="auto"/>
          <w:sz w:val="18"/>
          <w:szCs w:val="18"/>
          <w:highlight w:val="none"/>
        </w:rPr>
        <w:t>注：1、按政策规定：符合条件的残疾人福利性单位视同小型、微型企业，享受评审价格扣除等促进中小企业发展的政府采购政策。残疾人福利性单位属于小型、微型企业的，不重复享受政策。</w:t>
      </w:r>
    </w:p>
    <w:p w14:paraId="2EC9641F">
      <w:pPr>
        <w:spacing w:line="240" w:lineRule="auto"/>
        <w:ind w:firstLine="450" w:firstLineChars="250"/>
        <w:rPr>
          <w:rFonts w:ascii="宋体" w:hAnsi="宋体"/>
          <w:color w:val="auto"/>
          <w:sz w:val="18"/>
          <w:szCs w:val="18"/>
          <w:highlight w:val="none"/>
        </w:rPr>
      </w:pPr>
      <w:r>
        <w:rPr>
          <w:rFonts w:hint="eastAsia" w:ascii="宋体" w:hAnsi="宋体"/>
          <w:color w:val="auto"/>
          <w:sz w:val="18"/>
          <w:szCs w:val="18"/>
          <w:highlight w:val="none"/>
        </w:rPr>
        <w:t>2、</w:t>
      </w:r>
      <w:r>
        <w:rPr>
          <w:rFonts w:hint="eastAsia" w:ascii="宋体" w:hAnsi="宋体"/>
          <w:b/>
          <w:color w:val="auto"/>
          <w:spacing w:val="6"/>
          <w:sz w:val="18"/>
          <w:szCs w:val="18"/>
          <w:highlight w:val="none"/>
          <w:vertAlign w:val="superscript"/>
        </w:rPr>
        <w:t>*</w:t>
      </w:r>
      <w:r>
        <w:rPr>
          <w:rFonts w:hint="eastAsia" w:ascii="宋体" w:hAnsi="宋体"/>
          <w:color w:val="auto"/>
          <w:sz w:val="18"/>
          <w:szCs w:val="18"/>
          <w:highlight w:val="none"/>
        </w:rPr>
        <w:t>本格式在残疾人福利性单位申请报价格扣除时填写，未填写不享受小微价格扣除，但不作为无效投标。</w:t>
      </w:r>
    </w:p>
    <w:p w14:paraId="5D8A49B0">
      <w:pPr>
        <w:spacing w:line="240" w:lineRule="auto"/>
        <w:ind w:firstLine="450" w:firstLineChars="250"/>
        <w:rPr>
          <w:rFonts w:ascii="宋体" w:hAnsi="宋体"/>
          <w:color w:val="auto"/>
          <w:sz w:val="18"/>
          <w:szCs w:val="18"/>
          <w:highlight w:val="none"/>
        </w:rPr>
      </w:pPr>
      <w:r>
        <w:rPr>
          <w:rFonts w:hint="eastAsia" w:ascii="宋体" w:hAnsi="宋体"/>
          <w:color w:val="auto"/>
          <w:sz w:val="18"/>
          <w:szCs w:val="18"/>
          <w:highlight w:val="none"/>
        </w:rPr>
        <w:t>残疾人福利性单位属于小型、微型企业的，可只填写“</w:t>
      </w:r>
      <w:r>
        <w:rPr>
          <w:rFonts w:ascii="宋体" w:hAnsi="宋体"/>
          <w:color w:val="auto"/>
          <w:sz w:val="18"/>
          <w:szCs w:val="18"/>
          <w:highlight w:val="none"/>
        </w:rPr>
        <w:t xml:space="preserve"> 中小企业声明函</w:t>
      </w:r>
      <w:r>
        <w:rPr>
          <w:rFonts w:hint="eastAsia" w:ascii="宋体" w:hAnsi="宋体"/>
          <w:color w:val="auto"/>
          <w:sz w:val="18"/>
          <w:szCs w:val="18"/>
          <w:highlight w:val="none"/>
        </w:rPr>
        <w:t>”，不再填写“残疾人福利性单位</w:t>
      </w:r>
      <w:r>
        <w:rPr>
          <w:rFonts w:ascii="宋体" w:hAnsi="宋体"/>
          <w:color w:val="auto"/>
          <w:sz w:val="18"/>
          <w:szCs w:val="18"/>
          <w:highlight w:val="none"/>
        </w:rPr>
        <w:t>声明函</w:t>
      </w:r>
      <w:r>
        <w:rPr>
          <w:rFonts w:hint="eastAsia" w:ascii="宋体" w:hAnsi="宋体"/>
          <w:color w:val="auto"/>
          <w:sz w:val="18"/>
          <w:szCs w:val="18"/>
          <w:highlight w:val="none"/>
        </w:rPr>
        <w:t>”。</w:t>
      </w:r>
    </w:p>
    <w:p w14:paraId="2A76DB98">
      <w:pPr>
        <w:spacing w:line="240" w:lineRule="auto"/>
        <w:ind w:firstLine="450" w:firstLineChars="250"/>
        <w:rPr>
          <w:rFonts w:ascii="宋体" w:hAnsi="宋体"/>
          <w:color w:val="auto"/>
          <w:sz w:val="18"/>
          <w:szCs w:val="18"/>
          <w:highlight w:val="none"/>
        </w:rPr>
      </w:pPr>
      <w:r>
        <w:rPr>
          <w:rFonts w:hint="eastAsia" w:ascii="宋体" w:hAnsi="宋体"/>
          <w:color w:val="auto"/>
          <w:sz w:val="18"/>
          <w:szCs w:val="18"/>
          <w:highlight w:val="none"/>
        </w:rPr>
        <w:t>3、残疾人福利性单位填写“残疾人福利性单位</w:t>
      </w:r>
      <w:r>
        <w:rPr>
          <w:rFonts w:ascii="宋体" w:hAnsi="宋体"/>
          <w:color w:val="auto"/>
          <w:sz w:val="18"/>
          <w:szCs w:val="18"/>
          <w:highlight w:val="none"/>
        </w:rPr>
        <w:t>声明函</w:t>
      </w:r>
      <w:r>
        <w:rPr>
          <w:rFonts w:hint="eastAsia" w:ascii="宋体" w:hAnsi="宋体"/>
          <w:color w:val="auto"/>
          <w:sz w:val="18"/>
          <w:szCs w:val="18"/>
          <w:highlight w:val="none"/>
        </w:rPr>
        <w:t>”后，仍需同时填写“</w:t>
      </w:r>
      <w:r>
        <w:rPr>
          <w:rFonts w:ascii="宋体" w:hAnsi="宋体"/>
          <w:color w:val="auto"/>
          <w:sz w:val="18"/>
          <w:szCs w:val="18"/>
          <w:highlight w:val="none"/>
        </w:rPr>
        <w:t>中小企业声明函</w:t>
      </w:r>
      <w:r>
        <w:rPr>
          <w:rFonts w:hint="eastAsia" w:ascii="宋体" w:hAnsi="宋体"/>
          <w:color w:val="auto"/>
          <w:sz w:val="18"/>
          <w:szCs w:val="18"/>
          <w:highlight w:val="none"/>
        </w:rPr>
        <w:t>”、可在“</w:t>
      </w:r>
      <w:r>
        <w:rPr>
          <w:rFonts w:ascii="宋体" w:hAnsi="宋体"/>
          <w:color w:val="auto"/>
          <w:sz w:val="18"/>
          <w:szCs w:val="18"/>
          <w:highlight w:val="none"/>
        </w:rPr>
        <w:t>中小企业声明函</w:t>
      </w:r>
      <w:r>
        <w:rPr>
          <w:rFonts w:hint="eastAsia" w:ascii="宋体" w:hAnsi="宋体"/>
          <w:color w:val="auto"/>
          <w:sz w:val="18"/>
          <w:szCs w:val="18"/>
          <w:highlight w:val="none"/>
        </w:rPr>
        <w:t>”注明“属于符合条件的残疾人福利性单位、视同小型、微型企业”。</w:t>
      </w:r>
    </w:p>
    <w:p w14:paraId="3EB27C58">
      <w:pPr>
        <w:spacing w:line="240" w:lineRule="auto"/>
        <w:jc w:val="left"/>
        <w:textAlignment w:val="auto"/>
        <w:rPr>
          <w:rFonts w:ascii="宋体" w:cs="楷体_GB2312"/>
          <w:b/>
          <w:color w:val="auto"/>
          <w:sz w:val="30"/>
          <w:szCs w:val="30"/>
          <w:highlight w:val="none"/>
          <w:lang w:val="zh-CN"/>
        </w:rPr>
      </w:pPr>
    </w:p>
    <w:sectPr>
      <w:pgSz w:w="11905" w:h="16837"/>
      <w:pgMar w:top="1091" w:right="1106" w:bottom="993" w:left="1418" w:header="850" w:footer="992" w:gutter="0"/>
      <w:pgNumType w:fmt="numberInDash"/>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MingLiU">
    <w:panose1 w:val="02020509000000000000"/>
    <w:charset w:val="88"/>
    <w:family w:val="modern"/>
    <w:pitch w:val="default"/>
    <w:sig w:usb0="A00002FF" w:usb1="28CFFCFA" w:usb2="00000016" w:usb3="00000000" w:csb0="00100001" w:csb1="00000000"/>
  </w:font>
  <w:font w:name="华文楷体">
    <w:altName w:val="宋体"/>
    <w:panose1 w:val="02010600040101010101"/>
    <w:charset w:val="86"/>
    <w:family w:val="auto"/>
    <w:pitch w:val="default"/>
    <w:sig w:usb0="00000000" w:usb1="00000000" w:usb2="00000010" w:usb3="00000000" w:csb0="0004009F" w:csb1="00000000"/>
  </w:font>
  <w:font w:name="华文新魏">
    <w:altName w:val="宋体"/>
    <w:panose1 w:val="0201080004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方正黑体简体">
    <w:altName w:val="微软雅黑"/>
    <w:panose1 w:val="02010601030101010101"/>
    <w:charset w:val="86"/>
    <w:family w:val="auto"/>
    <w:pitch w:val="default"/>
    <w:sig w:usb0="00000000" w:usb1="00000000" w:usb2="00000000" w:usb3="00000000" w:csb0="00040000" w:csb1="00000000"/>
  </w:font>
  <w:font w:name="??">
    <w:altName w:val="Times New Roman"/>
    <w:panose1 w:val="00000000000000000000"/>
    <w:charset w:val="00"/>
    <w:family w:val="auto"/>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汉仪书宋二S">
    <w:altName w:val="Times New Roman"/>
    <w:panose1 w:val="00000000000000000000"/>
    <w:charset w:val="00"/>
    <w:family w:val="auto"/>
    <w:pitch w:val="default"/>
    <w:sig w:usb0="00000000" w:usb1="00000000" w:usb2="00000000" w:usb3="00000000" w:csb0="00000000" w:csb1="00000000"/>
  </w:font>
  <w:font w:name="MS Mincho">
    <w:panose1 w:val="02020609040205080304"/>
    <w:charset w:val="80"/>
    <w:family w:val="modern"/>
    <w:pitch w:val="default"/>
    <w:sig w:usb0="E00002FF" w:usb1="6AC7FDFB" w:usb2="00000012" w:usb3="00000000" w:csb0="4002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A525E">
    <w:pPr>
      <w:widowControl w:val="0"/>
      <w:snapToGrid w:val="0"/>
      <w:spacing w:line="240" w:lineRule="atLeast"/>
      <w:ind w:right="21"/>
      <w:jc w:val="left"/>
      <w:rPr>
        <w:rFonts w:ascii="宋体" w:hAnsi="宋体"/>
        <w:szCs w:val="21"/>
        <w:u w:val="single"/>
      </w:rPr>
    </w:pPr>
    <w:r>
      <w:rPr>
        <w:rFonts w:hint="eastAsia" w:ascii="宋体" w:hAnsi="宋体"/>
        <w:szCs w:val="21"/>
        <w:u w:val="single"/>
      </w:rPr>
      <w:t>《谈判文件》</w:t>
    </w:r>
    <w:r>
      <w:rPr>
        <w:rFonts w:hint="eastAsia" w:ascii="宋体" w:hAnsi="宋体"/>
        <w:szCs w:val="21"/>
        <w:u w:val="single"/>
        <w:lang w:val="en-US" w:eastAsia="zh-CN"/>
      </w:rPr>
      <w:t xml:space="preserve">                                                            </w:t>
    </w:r>
    <w:r>
      <w:rPr>
        <w:rFonts w:ascii="宋体" w:hAnsi="宋体"/>
        <w:szCs w:val="21"/>
        <w:u w:val="single"/>
      </w:rPr>
      <w:fldChar w:fldCharType="begin"/>
    </w:r>
    <w:r>
      <w:rPr>
        <w:rFonts w:ascii="宋体" w:hAnsi="宋体"/>
        <w:szCs w:val="21"/>
        <w:u w:val="single"/>
      </w:rPr>
      <w:instrText xml:space="preserve"> NUMPAGES-1 \* MERGEFORMAT </w:instrText>
    </w:r>
    <w:r>
      <w:rPr>
        <w:rFonts w:ascii="宋体" w:hAnsi="宋体"/>
        <w:szCs w:val="21"/>
        <w:u w:val="single"/>
      </w:rPr>
      <w:fldChar w:fldCharType="end"/>
    </w:r>
    <w:r>
      <w:rPr>
        <w:rFonts w:ascii="宋体" w:hAnsi="宋体"/>
        <w:szCs w:val="21"/>
        <w:u w:val="single"/>
      </w:rPr>
      <w:fldChar w:fldCharType="begin"/>
    </w:r>
    <w:r>
      <w:rPr>
        <w:rFonts w:ascii="宋体" w:hAnsi="宋体"/>
        <w:szCs w:val="21"/>
        <w:u w:val="single"/>
      </w:rPr>
      <w:instrText xml:space="preserve">NUMPAGES-1\* Arabic \* MERGEFORMAT</w:instrText>
    </w:r>
    <w:r>
      <w:rPr>
        <w:rFonts w:ascii="宋体" w:hAnsi="宋体"/>
        <w:szCs w:val="21"/>
        <w:u w:val="single"/>
      </w:rPr>
      <w:fldChar w:fldCharType="end"/>
    </w:r>
    <w:r>
      <w:rPr>
        <w:rFonts w:ascii="宋体" w:hAnsi="宋体"/>
        <w:szCs w:val="21"/>
        <w:u w:val="single"/>
      </w:rPr>
      <w:fldChar w:fldCharType="begin"/>
    </w:r>
    <w:r>
      <w:rPr>
        <w:rFonts w:ascii="宋体" w:hAnsi="宋体"/>
        <w:szCs w:val="21"/>
        <w:u w:val="single"/>
      </w:rPr>
      <w:instrText xml:space="preserve"> NUMPAGES-1   \* MERGEFORMAT </w:instrText>
    </w:r>
    <w:r>
      <w:rPr>
        <w:rFonts w:ascii="宋体" w:hAnsi="宋体"/>
        <w:szCs w:val="21"/>
        <w:u w:val="single"/>
      </w:rPr>
      <w:fldChar w:fldCharType="end"/>
    </w:r>
    <w:r>
      <w:rPr>
        <w:rStyle w:val="20"/>
        <w:rFonts w:ascii="宋体" w:hAnsi="宋体"/>
        <w:szCs w:val="21"/>
        <w:u w:val="single"/>
      </w:rPr>
      <w:fldChar w:fldCharType="begin"/>
    </w:r>
    <w:r>
      <w:rPr>
        <w:rStyle w:val="20"/>
        <w:rFonts w:ascii="宋体" w:hAnsi="宋体"/>
        <w:szCs w:val="21"/>
        <w:u w:val="single"/>
      </w:rPr>
      <w:instrText xml:space="preserve"> PAGE </w:instrText>
    </w:r>
    <w:r>
      <w:rPr>
        <w:rStyle w:val="20"/>
        <w:rFonts w:ascii="宋体" w:hAnsi="宋体"/>
        <w:szCs w:val="21"/>
        <w:u w:val="single"/>
      </w:rPr>
      <w:fldChar w:fldCharType="separate"/>
    </w:r>
    <w:r>
      <w:rPr>
        <w:rStyle w:val="20"/>
        <w:rFonts w:ascii="宋体" w:hAnsi="宋体"/>
        <w:szCs w:val="21"/>
        <w:u w:val="single"/>
      </w:rPr>
      <w:t>4</w:t>
    </w:r>
    <w:r>
      <w:rPr>
        <w:rStyle w:val="20"/>
        <w:rFonts w:ascii="宋体" w:hAnsi="宋体"/>
        <w:szCs w:val="21"/>
        <w:u w:val="single"/>
      </w:rPr>
      <w:fldChar w:fldCharType="end"/>
    </w:r>
    <w:r>
      <w:rPr>
        <w:rStyle w:val="20"/>
        <w:rFonts w:hint="eastAsia" w:ascii="宋体" w:hAnsi="宋体"/>
        <w:szCs w:val="21"/>
        <w:u w:val="single"/>
      </w:rPr>
      <w:t>（</w:t>
    </w:r>
    <w:r>
      <w:rPr>
        <w:rFonts w:hint="eastAsia" w:ascii="宋体" w:hAnsi="宋体"/>
        <w:szCs w:val="21"/>
        <w:u w:val="single"/>
      </w:rPr>
      <w:t>共</w:t>
    </w:r>
    <w:r>
      <w:rPr>
        <w:rFonts w:hint="eastAsia"/>
        <w:u w:val="single"/>
      </w:rPr>
      <w:t>85</w:t>
    </w:r>
    <w:r>
      <w:rPr>
        <w:rFonts w:hint="eastAsia" w:ascii="宋体" w:hAnsi="宋体"/>
        <w:szCs w:val="21"/>
        <w:u w:val="single"/>
      </w:rPr>
      <w:t>页</w:t>
    </w:r>
    <w:r>
      <w:rPr>
        <w:rFonts w:ascii="宋体" w:hAnsi="宋体"/>
        <w:szCs w:val="21"/>
        <w:u w:val="single"/>
      </w:rPr>
      <w:t>)</w:t>
    </w:r>
    <w:r>
      <w:rPr>
        <w:rFonts w:ascii="宋体" w:hAnsi="宋体"/>
      </w:rPr>
      <mc:AlternateContent>
        <mc:Choice Requires="wps">
          <w:drawing>
            <wp:anchor distT="0" distB="0" distL="114300" distR="114300" simplePos="0" relativeHeight="251660288" behindDoc="1" locked="0" layoutInCell="0" allowOverlap="1">
              <wp:simplePos x="0" y="0"/>
              <wp:positionH relativeFrom="page">
                <wp:posOffset>899795</wp:posOffset>
              </wp:positionH>
              <wp:positionV relativeFrom="page">
                <wp:posOffset>10151745</wp:posOffset>
              </wp:positionV>
              <wp:extent cx="5759450" cy="179705"/>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5759450" cy="179705"/>
                      </a:xfrm>
                      <a:prstGeom prst="rect">
                        <a:avLst/>
                      </a:prstGeom>
                      <a:noFill/>
                      <a:ln>
                        <a:noFill/>
                      </a:ln>
                    </wps:spPr>
                    <wps:bodyPr lIns="0" tIns="0" rIns="0" bIns="0" upright="1"/>
                  </wps:wsp>
                </a:graphicData>
              </a:graphic>
            </wp:anchor>
          </w:drawing>
        </mc:Choice>
        <mc:Fallback>
          <w:pict>
            <v:shape id="文本框 1026" o:spid="_x0000_s1026" o:spt="202" type="#_x0000_t202" style="position:absolute;left:0pt;margin-left:70.85pt;margin-top:799.35pt;height:14.15pt;width:453.5pt;mso-position-horizontal-relative:page;mso-position-vertical-relative:page;z-index:-251656192;mso-width-relative:page;mso-height-relative:page;" filled="f" stroked="f" coordsize="21600,21600" o:allowincell="f" o:gfxdata="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0ne5yNkAAAAOAQAADwAAAAAAAAABACAAAAAiAAAAZHJzL2Rvd25yZXYueG1sUEsBAhQA&#10;FAAAAAgAh07iQJo/E4C4AQAAagMAAA4AAAAAAAAAAQAgAAAAKAEAAGRycy9lMm9Eb2MueG1sUEsF&#10;BgAAAAAGAAYAWQEAAFIFAAAAAA==&#10;">
              <v:fill on="f" focussize="0,0"/>
              <v:stroke on="f"/>
              <v:imagedata o:title=""/>
              <o:lock v:ext="edit" aspectratio="f"/>
              <v:textbox inset="0mm,0mm,0mm,0mm"/>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22CC1">
    <w:pPr>
      <w:pStyle w:val="10"/>
      <w:framePr w:wrap="around" w:vAnchor="text" w:hAnchor="margin" w:xAlign="right" w:y="1"/>
      <w:rPr>
        <w:rStyle w:val="20"/>
      </w:rPr>
    </w:pPr>
    <w:r>
      <w:rPr>
        <w:rStyle w:val="20"/>
      </w:rPr>
      <w:fldChar w:fldCharType="begin"/>
    </w:r>
    <w:r>
      <w:rPr>
        <w:rStyle w:val="20"/>
      </w:rPr>
      <w:instrText xml:space="preserve">PAGE  </w:instrText>
    </w:r>
    <w:r>
      <w:rPr>
        <w:rStyle w:val="20"/>
      </w:rPr>
      <w:fldChar w:fldCharType="end"/>
    </w:r>
  </w:p>
  <w:p w14:paraId="6C924A90">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45260">
    <w:pPr>
      <w:pStyle w:val="1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66738">
    <w:pPr>
      <w:widowControl w:val="0"/>
      <w:snapToGrid w:val="0"/>
      <w:spacing w:line="240" w:lineRule="atLeast"/>
      <w:rPr>
        <w:rFonts w:ascii="宋体" w:hAnsi="宋体"/>
        <w:szCs w:val="21"/>
      </w:rPr>
    </w:pPr>
    <w:r>
      <w:rPr>
        <w:rFonts w:hint="eastAsia" w:ascii="宋体" w:hAnsi="宋体"/>
        <w:szCs w:val="21"/>
        <w:u w:val="single"/>
      </w:rPr>
      <w:t>安阳市方正招标采购服务有限责任公司</w:t>
    </w:r>
    <w:r>
      <w:rPr>
        <w:rFonts w:hint="eastAsia" w:ascii="宋体" w:hAnsi="宋体"/>
        <w:szCs w:val="21"/>
        <w:u w:val="single"/>
        <w:lang w:val="en-US" w:eastAsia="zh-CN"/>
      </w:rPr>
      <w:t xml:space="preserve">       </w:t>
    </w:r>
    <w:r>
      <w:rPr>
        <w:rFonts w:hint="eastAsia" w:ascii="宋体" w:hAnsi="宋体"/>
        <w:szCs w:val="21"/>
        <w:u w:val="single"/>
      </w:rPr>
      <w:t>电话及传真：</w:t>
    </w:r>
    <w:r>
      <w:rPr>
        <w:rFonts w:ascii="宋体" w:hAnsi="宋体"/>
        <w:szCs w:val="21"/>
        <w:u w:val="single"/>
      </w:rPr>
      <w:t>0372—2283981</w:t>
    </w:r>
    <w:r>
      <w:rPr>
        <w:rFonts w:hint="eastAsia" w:ascii="宋体" w:hAnsi="宋体"/>
        <w:szCs w:val="21"/>
        <w:u w:val="single"/>
      </w:rPr>
      <w:t>、</w:t>
    </w:r>
    <w:r>
      <w:rPr>
        <w:rFonts w:ascii="宋体" w:hAnsi="宋体"/>
        <w:szCs w:val="21"/>
        <w:u w:val="single"/>
      </w:rPr>
      <w:t>2283982</w:t>
    </w:r>
    <w:r>
      <w:rPr>
        <w:rFonts w:hint="eastAsia" w:ascii="宋体" w:hAnsi="宋体"/>
        <w:szCs w:val="21"/>
        <w:u w:val="single"/>
      </w:rPr>
      <w:t>、</w:t>
    </w:r>
    <w:r>
      <w:rPr>
        <w:rFonts w:ascii="宋体" w:hAnsi="宋体"/>
        <w:szCs w:val="21"/>
        <w:u w:val="single"/>
      </w:rPr>
      <w:t>2283983 .</w:t>
    </w:r>
    <w:r>
      <w:rPr>
        <w:rFonts w:ascii="宋体" w:hAnsi="宋体"/>
      </w:rPr>
      <mc:AlternateContent>
        <mc:Choice Requires="wps">
          <w:drawing>
            <wp:anchor distT="0" distB="0" distL="114300" distR="114300" simplePos="0" relativeHeight="251659264" behindDoc="1" locked="0" layoutInCell="0" allowOverlap="1">
              <wp:simplePos x="0" y="0"/>
              <wp:positionH relativeFrom="page">
                <wp:posOffset>899795</wp:posOffset>
              </wp:positionH>
              <wp:positionV relativeFrom="page">
                <wp:posOffset>359410</wp:posOffset>
              </wp:positionV>
              <wp:extent cx="5759450" cy="179705"/>
              <wp:effectExtent l="0" t="0" r="0" b="0"/>
              <wp:wrapNone/>
              <wp:docPr id="1" name="Text Box 1"/>
              <wp:cNvGraphicFramePr/>
              <a:graphic xmlns:a="http://schemas.openxmlformats.org/drawingml/2006/main">
                <a:graphicData uri="http://schemas.microsoft.com/office/word/2010/wordprocessingShape">
                  <wps:wsp>
                    <wps:cNvSpPr txBox="1"/>
                    <wps:spPr>
                      <a:xfrm>
                        <a:off x="0" y="0"/>
                        <a:ext cx="5759450" cy="179705"/>
                      </a:xfrm>
                      <a:prstGeom prst="rect">
                        <a:avLst/>
                      </a:prstGeom>
                      <a:noFill/>
                      <a:ln>
                        <a:noFill/>
                      </a:ln>
                    </wps:spPr>
                    <wps:bodyPr lIns="0" tIns="0" rIns="0" bIns="0" upright="1"/>
                  </wps:wsp>
                </a:graphicData>
              </a:graphic>
            </wp:anchor>
          </w:drawing>
        </mc:Choice>
        <mc:Fallback>
          <w:pict>
            <v:shape id="Text Box 1" o:spid="_x0000_s1026" o:spt="202" type="#_x0000_t202" style="position:absolute;left:0pt;margin-left:70.85pt;margin-top:28.3pt;height:14.15pt;width:453.5pt;mso-position-horizontal-relative:page;mso-position-vertical-relative:page;z-index:-251657216;mso-width-relative:page;mso-height-relative:page;" filled="f" stroked="f" coordsize="21600,21600" o:allowincell="f" o:gfxdata="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dN05x2AAAAAoBAAAP&#10;AAAAAAAAAAEAIAAAACIAAABkcnMvZG93bnJldi54bWxQSwECFAAUAAAACACHTuJAs2EH6qYBAABm&#10;AwAADgAAAAAAAAABACAAAAAnAQAAZHJzL2Uyb0RvYy54bWxQSwUGAAAAAAYABgBZAQAAPwUAAAAA&#10;">
              <v:fill on="f" focussize="0,0"/>
              <v:stroke on="f"/>
              <v:imagedata o:title=""/>
              <o:lock v:ext="edit" aspectratio="f"/>
              <v:textbox inset="0mm,0mm,0mm,0mm"/>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E5D8D">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805C1B"/>
    <w:multiLevelType w:val="singleLevel"/>
    <w:tmpl w:val="B3805C1B"/>
    <w:lvl w:ilvl="0" w:tentative="0">
      <w:start w:val="1"/>
      <w:numFmt w:val="decimal"/>
      <w:suff w:val="space"/>
      <w:lvlText w:val="%1."/>
      <w:lvlJc w:val="left"/>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F2A7A21"/>
    <w:multiLevelType w:val="singleLevel"/>
    <w:tmpl w:val="CF2A7A21"/>
    <w:lvl w:ilvl="0" w:tentative="0">
      <w:start w:val="1"/>
      <w:numFmt w:val="decimal"/>
      <w:suff w:val="nothing"/>
      <w:lvlText w:val="%1、"/>
      <w:lvlJc w:val="left"/>
    </w:lvl>
  </w:abstractNum>
  <w:abstractNum w:abstractNumId="3">
    <w:nsid w:val="CFE7C3F8"/>
    <w:multiLevelType w:val="singleLevel"/>
    <w:tmpl w:val="CFE7C3F8"/>
    <w:lvl w:ilvl="0" w:tentative="0">
      <w:start w:val="1"/>
      <w:numFmt w:val="decimal"/>
      <w:suff w:val="nothing"/>
      <w:lvlText w:val="（%1）"/>
      <w:lvlJc w:val="left"/>
    </w:lvl>
  </w:abstractNum>
  <w:abstractNum w:abstractNumId="4">
    <w:nsid w:val="DDECD3BC"/>
    <w:multiLevelType w:val="singleLevel"/>
    <w:tmpl w:val="DDECD3BC"/>
    <w:lvl w:ilvl="0" w:tentative="0">
      <w:start w:val="6"/>
      <w:numFmt w:val="decimal"/>
      <w:suff w:val="space"/>
      <w:lvlText w:val="%1."/>
      <w:lvlJc w:val="left"/>
    </w:lvl>
  </w:abstractNum>
  <w:abstractNum w:abstractNumId="5">
    <w:nsid w:val="DE759F4B"/>
    <w:multiLevelType w:val="singleLevel"/>
    <w:tmpl w:val="DE759F4B"/>
    <w:lvl w:ilvl="0" w:tentative="0">
      <w:start w:val="2"/>
      <w:numFmt w:val="decimal"/>
      <w:suff w:val="space"/>
      <w:lvlText w:val="%1."/>
      <w:lvlJc w:val="left"/>
    </w:lvl>
  </w:abstractNum>
  <w:abstractNum w:abstractNumId="6">
    <w:nsid w:val="DEABE1DB"/>
    <w:multiLevelType w:val="singleLevel"/>
    <w:tmpl w:val="DEABE1DB"/>
    <w:lvl w:ilvl="0" w:tentative="0">
      <w:start w:val="23"/>
      <w:numFmt w:val="decimal"/>
      <w:suff w:val="space"/>
      <w:lvlText w:val="%1."/>
      <w:lvlJc w:val="left"/>
    </w:lvl>
  </w:abstractNum>
  <w:abstractNum w:abstractNumId="7">
    <w:nsid w:val="FFEFC674"/>
    <w:multiLevelType w:val="singleLevel"/>
    <w:tmpl w:val="FFEFC674"/>
    <w:lvl w:ilvl="0" w:tentative="0">
      <w:start w:val="1"/>
      <w:numFmt w:val="decimal"/>
      <w:suff w:val="nothing"/>
      <w:lvlText w:val="（%1）"/>
      <w:lvlJc w:val="left"/>
    </w:lvl>
  </w:abstractNum>
  <w:abstractNum w:abstractNumId="8">
    <w:nsid w:val="7A0F6431"/>
    <w:multiLevelType w:val="singleLevel"/>
    <w:tmpl w:val="7A0F6431"/>
    <w:lvl w:ilvl="0" w:tentative="0">
      <w:start w:val="1"/>
      <w:numFmt w:val="decimal"/>
      <w:suff w:val="space"/>
      <w:lvlText w:val="%1."/>
      <w:lvlJc w:val="left"/>
    </w:lvl>
  </w:abstractNum>
  <w:num w:numId="1">
    <w:abstractNumId w:val="2"/>
  </w:num>
  <w:num w:numId="2">
    <w:abstractNumId w:val="8"/>
  </w:num>
  <w:num w:numId="3">
    <w:abstractNumId w:val="3"/>
  </w:num>
  <w:num w:numId="4">
    <w:abstractNumId w:val="7"/>
  </w:num>
  <w:num w:numId="5">
    <w:abstractNumId w:val="5"/>
  </w:num>
  <w:num w:numId="6">
    <w:abstractNumId w:val="4"/>
  </w:num>
  <w:num w:numId="7">
    <w:abstractNumId w:val="1"/>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hideSpellingErrors/>
  <w:doNotTrackMoves/>
  <w:documentProtection w:edit="forms" w:formatting="1" w:enforcement="1" w:cryptProviderType="rsaFull" w:cryptAlgorithmClass="hash" w:cryptAlgorithmType="typeAny" w:cryptAlgorithmSid="4" w:cryptSpinCount="0" w:hash="fNMBcZHhRSVPk5zR4b0Dtv1cRao=" w:salt="6P7j9iqPwIu50Ru9sFeG+w=="/>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xMTUwNDk1M2RmZDExMGM3NDQ3N2I3NzBhM2IwMDQifQ=="/>
  </w:docVars>
  <w:rsids>
    <w:rsidRoot w:val="00172A27"/>
    <w:rsid w:val="0000090B"/>
    <w:rsid w:val="000009A9"/>
    <w:rsid w:val="00001B2F"/>
    <w:rsid w:val="00001D7A"/>
    <w:rsid w:val="00003060"/>
    <w:rsid w:val="000055BB"/>
    <w:rsid w:val="0001285D"/>
    <w:rsid w:val="00012C28"/>
    <w:rsid w:val="00013814"/>
    <w:rsid w:val="00013DB2"/>
    <w:rsid w:val="00017CFC"/>
    <w:rsid w:val="00017E1E"/>
    <w:rsid w:val="00021EFD"/>
    <w:rsid w:val="00022C34"/>
    <w:rsid w:val="00023676"/>
    <w:rsid w:val="00024608"/>
    <w:rsid w:val="00025F1E"/>
    <w:rsid w:val="0002643A"/>
    <w:rsid w:val="0002701F"/>
    <w:rsid w:val="000339BC"/>
    <w:rsid w:val="00034EBE"/>
    <w:rsid w:val="00035118"/>
    <w:rsid w:val="0003567F"/>
    <w:rsid w:val="00035CA9"/>
    <w:rsid w:val="00036AA4"/>
    <w:rsid w:val="00041891"/>
    <w:rsid w:val="00042CA8"/>
    <w:rsid w:val="00043821"/>
    <w:rsid w:val="00043CBA"/>
    <w:rsid w:val="00044F84"/>
    <w:rsid w:val="00045540"/>
    <w:rsid w:val="00046A4B"/>
    <w:rsid w:val="00046C08"/>
    <w:rsid w:val="00051B50"/>
    <w:rsid w:val="0005241B"/>
    <w:rsid w:val="000565C4"/>
    <w:rsid w:val="00057834"/>
    <w:rsid w:val="00057F78"/>
    <w:rsid w:val="000602CF"/>
    <w:rsid w:val="0006134B"/>
    <w:rsid w:val="00062821"/>
    <w:rsid w:val="000651DA"/>
    <w:rsid w:val="00072834"/>
    <w:rsid w:val="000738CA"/>
    <w:rsid w:val="0007390E"/>
    <w:rsid w:val="00073931"/>
    <w:rsid w:val="00073A45"/>
    <w:rsid w:val="00074766"/>
    <w:rsid w:val="00077629"/>
    <w:rsid w:val="00080AE9"/>
    <w:rsid w:val="00081092"/>
    <w:rsid w:val="00081801"/>
    <w:rsid w:val="00081ACD"/>
    <w:rsid w:val="00081C6C"/>
    <w:rsid w:val="00081EB8"/>
    <w:rsid w:val="00081F16"/>
    <w:rsid w:val="00081F58"/>
    <w:rsid w:val="000823AD"/>
    <w:rsid w:val="000829A8"/>
    <w:rsid w:val="00082FC4"/>
    <w:rsid w:val="000832B2"/>
    <w:rsid w:val="0008431C"/>
    <w:rsid w:val="0008447C"/>
    <w:rsid w:val="000847D3"/>
    <w:rsid w:val="00084AB6"/>
    <w:rsid w:val="00086706"/>
    <w:rsid w:val="00086B70"/>
    <w:rsid w:val="00087637"/>
    <w:rsid w:val="000900BA"/>
    <w:rsid w:val="00090D6B"/>
    <w:rsid w:val="00090EB6"/>
    <w:rsid w:val="00090FEC"/>
    <w:rsid w:val="00091C5E"/>
    <w:rsid w:val="00092A9B"/>
    <w:rsid w:val="00092FFF"/>
    <w:rsid w:val="000933F0"/>
    <w:rsid w:val="00093A6B"/>
    <w:rsid w:val="000956CE"/>
    <w:rsid w:val="00096A9B"/>
    <w:rsid w:val="0009779D"/>
    <w:rsid w:val="000A152E"/>
    <w:rsid w:val="000A1C72"/>
    <w:rsid w:val="000A2E93"/>
    <w:rsid w:val="000A3597"/>
    <w:rsid w:val="000A36C8"/>
    <w:rsid w:val="000A3FE8"/>
    <w:rsid w:val="000A4640"/>
    <w:rsid w:val="000A4F8E"/>
    <w:rsid w:val="000A55EE"/>
    <w:rsid w:val="000A6CD3"/>
    <w:rsid w:val="000A6D2F"/>
    <w:rsid w:val="000A7E88"/>
    <w:rsid w:val="000B1334"/>
    <w:rsid w:val="000B1BD0"/>
    <w:rsid w:val="000B22A3"/>
    <w:rsid w:val="000B380C"/>
    <w:rsid w:val="000B4758"/>
    <w:rsid w:val="000B5412"/>
    <w:rsid w:val="000B6571"/>
    <w:rsid w:val="000B709F"/>
    <w:rsid w:val="000C1E47"/>
    <w:rsid w:val="000C2A71"/>
    <w:rsid w:val="000C2AA6"/>
    <w:rsid w:val="000C2ED3"/>
    <w:rsid w:val="000C4940"/>
    <w:rsid w:val="000C4BA5"/>
    <w:rsid w:val="000C4C3B"/>
    <w:rsid w:val="000D0476"/>
    <w:rsid w:val="000D2631"/>
    <w:rsid w:val="000D46DD"/>
    <w:rsid w:val="000D5549"/>
    <w:rsid w:val="000D619E"/>
    <w:rsid w:val="000D7406"/>
    <w:rsid w:val="000D7EA9"/>
    <w:rsid w:val="000E02FC"/>
    <w:rsid w:val="000E1639"/>
    <w:rsid w:val="000E2414"/>
    <w:rsid w:val="000E2432"/>
    <w:rsid w:val="000E4B27"/>
    <w:rsid w:val="000E4CE0"/>
    <w:rsid w:val="000E5379"/>
    <w:rsid w:val="000E54A0"/>
    <w:rsid w:val="000E632B"/>
    <w:rsid w:val="000E6AAA"/>
    <w:rsid w:val="000F0324"/>
    <w:rsid w:val="000F108C"/>
    <w:rsid w:val="000F3188"/>
    <w:rsid w:val="000F3D46"/>
    <w:rsid w:val="000F4146"/>
    <w:rsid w:val="000F6070"/>
    <w:rsid w:val="000F71A3"/>
    <w:rsid w:val="000F73C6"/>
    <w:rsid w:val="000F7917"/>
    <w:rsid w:val="001013AB"/>
    <w:rsid w:val="001019D8"/>
    <w:rsid w:val="00101EAB"/>
    <w:rsid w:val="001023AB"/>
    <w:rsid w:val="001041CB"/>
    <w:rsid w:val="00107435"/>
    <w:rsid w:val="00110434"/>
    <w:rsid w:val="001118D4"/>
    <w:rsid w:val="00113293"/>
    <w:rsid w:val="00114EE3"/>
    <w:rsid w:val="001163D8"/>
    <w:rsid w:val="00116DFD"/>
    <w:rsid w:val="00120C96"/>
    <w:rsid w:val="001212EB"/>
    <w:rsid w:val="00122298"/>
    <w:rsid w:val="0012307F"/>
    <w:rsid w:val="00123128"/>
    <w:rsid w:val="001234C9"/>
    <w:rsid w:val="00124F88"/>
    <w:rsid w:val="00126132"/>
    <w:rsid w:val="0012648C"/>
    <w:rsid w:val="0012732E"/>
    <w:rsid w:val="001279FE"/>
    <w:rsid w:val="001304AB"/>
    <w:rsid w:val="00131B13"/>
    <w:rsid w:val="00131CCB"/>
    <w:rsid w:val="00132172"/>
    <w:rsid w:val="001321E1"/>
    <w:rsid w:val="00132364"/>
    <w:rsid w:val="00132A89"/>
    <w:rsid w:val="001342A5"/>
    <w:rsid w:val="00135227"/>
    <w:rsid w:val="00135251"/>
    <w:rsid w:val="00137369"/>
    <w:rsid w:val="001378C9"/>
    <w:rsid w:val="001401E4"/>
    <w:rsid w:val="00141D13"/>
    <w:rsid w:val="00142572"/>
    <w:rsid w:val="00142EF6"/>
    <w:rsid w:val="00143832"/>
    <w:rsid w:val="00144E92"/>
    <w:rsid w:val="001507A5"/>
    <w:rsid w:val="00152007"/>
    <w:rsid w:val="00152E6D"/>
    <w:rsid w:val="00152FD1"/>
    <w:rsid w:val="001532B2"/>
    <w:rsid w:val="001537D5"/>
    <w:rsid w:val="00154FBD"/>
    <w:rsid w:val="00155298"/>
    <w:rsid w:val="00155525"/>
    <w:rsid w:val="00161255"/>
    <w:rsid w:val="00161B8C"/>
    <w:rsid w:val="00164692"/>
    <w:rsid w:val="00165AF5"/>
    <w:rsid w:val="00166938"/>
    <w:rsid w:val="0016693E"/>
    <w:rsid w:val="001672C3"/>
    <w:rsid w:val="0016783C"/>
    <w:rsid w:val="001678FA"/>
    <w:rsid w:val="001708C3"/>
    <w:rsid w:val="00170AE1"/>
    <w:rsid w:val="00170E55"/>
    <w:rsid w:val="00170F9A"/>
    <w:rsid w:val="00170FDB"/>
    <w:rsid w:val="001719D7"/>
    <w:rsid w:val="00172A27"/>
    <w:rsid w:val="00172A7E"/>
    <w:rsid w:val="00174C97"/>
    <w:rsid w:val="00175E3A"/>
    <w:rsid w:val="001777B6"/>
    <w:rsid w:val="0017792A"/>
    <w:rsid w:val="0018076B"/>
    <w:rsid w:val="00180E2F"/>
    <w:rsid w:val="001813F3"/>
    <w:rsid w:val="00181A4E"/>
    <w:rsid w:val="00182803"/>
    <w:rsid w:val="00183BF5"/>
    <w:rsid w:val="00183C38"/>
    <w:rsid w:val="00184540"/>
    <w:rsid w:val="00184FE8"/>
    <w:rsid w:val="00186AF5"/>
    <w:rsid w:val="00193FCE"/>
    <w:rsid w:val="001941B8"/>
    <w:rsid w:val="00194451"/>
    <w:rsid w:val="001949DF"/>
    <w:rsid w:val="00194D1C"/>
    <w:rsid w:val="00195036"/>
    <w:rsid w:val="0019595A"/>
    <w:rsid w:val="00195ACA"/>
    <w:rsid w:val="0019697C"/>
    <w:rsid w:val="001A0309"/>
    <w:rsid w:val="001A0470"/>
    <w:rsid w:val="001A1BB5"/>
    <w:rsid w:val="001A1D5B"/>
    <w:rsid w:val="001A246D"/>
    <w:rsid w:val="001A29EC"/>
    <w:rsid w:val="001A39D9"/>
    <w:rsid w:val="001A6EC8"/>
    <w:rsid w:val="001A733E"/>
    <w:rsid w:val="001A786E"/>
    <w:rsid w:val="001B0C40"/>
    <w:rsid w:val="001B1895"/>
    <w:rsid w:val="001B399F"/>
    <w:rsid w:val="001B3DD4"/>
    <w:rsid w:val="001B46BC"/>
    <w:rsid w:val="001B5626"/>
    <w:rsid w:val="001B6072"/>
    <w:rsid w:val="001B63AC"/>
    <w:rsid w:val="001C050D"/>
    <w:rsid w:val="001C0CBE"/>
    <w:rsid w:val="001C2D34"/>
    <w:rsid w:val="001C397C"/>
    <w:rsid w:val="001C6505"/>
    <w:rsid w:val="001C71F2"/>
    <w:rsid w:val="001C78A1"/>
    <w:rsid w:val="001D0621"/>
    <w:rsid w:val="001D0DA4"/>
    <w:rsid w:val="001D14A1"/>
    <w:rsid w:val="001D17A7"/>
    <w:rsid w:val="001D23F7"/>
    <w:rsid w:val="001D2F63"/>
    <w:rsid w:val="001D3921"/>
    <w:rsid w:val="001D3B0B"/>
    <w:rsid w:val="001D4968"/>
    <w:rsid w:val="001D57AD"/>
    <w:rsid w:val="001D5C73"/>
    <w:rsid w:val="001D61CE"/>
    <w:rsid w:val="001D6398"/>
    <w:rsid w:val="001E04F2"/>
    <w:rsid w:val="001E0A3F"/>
    <w:rsid w:val="001E1A46"/>
    <w:rsid w:val="001E30AE"/>
    <w:rsid w:val="001E45BE"/>
    <w:rsid w:val="001E4F93"/>
    <w:rsid w:val="001E58CE"/>
    <w:rsid w:val="001E60F3"/>
    <w:rsid w:val="001E66B1"/>
    <w:rsid w:val="001E7368"/>
    <w:rsid w:val="001F0376"/>
    <w:rsid w:val="001F0470"/>
    <w:rsid w:val="001F0931"/>
    <w:rsid w:val="001F15D0"/>
    <w:rsid w:val="001F1A30"/>
    <w:rsid w:val="001F1AC5"/>
    <w:rsid w:val="001F4C70"/>
    <w:rsid w:val="001F58D1"/>
    <w:rsid w:val="001F5DAF"/>
    <w:rsid w:val="001F6921"/>
    <w:rsid w:val="001F6D7D"/>
    <w:rsid w:val="001F7A0D"/>
    <w:rsid w:val="00200A06"/>
    <w:rsid w:val="00200B9A"/>
    <w:rsid w:val="00200E90"/>
    <w:rsid w:val="0020112A"/>
    <w:rsid w:val="002011F8"/>
    <w:rsid w:val="00201E27"/>
    <w:rsid w:val="00202132"/>
    <w:rsid w:val="00204071"/>
    <w:rsid w:val="002052BF"/>
    <w:rsid w:val="002053C1"/>
    <w:rsid w:val="00205670"/>
    <w:rsid w:val="00205D86"/>
    <w:rsid w:val="00205DC9"/>
    <w:rsid w:val="0020635B"/>
    <w:rsid w:val="002064E1"/>
    <w:rsid w:val="00206EA4"/>
    <w:rsid w:val="00207173"/>
    <w:rsid w:val="00207193"/>
    <w:rsid w:val="00210346"/>
    <w:rsid w:val="00212022"/>
    <w:rsid w:val="002146E7"/>
    <w:rsid w:val="002149A3"/>
    <w:rsid w:val="00214DD7"/>
    <w:rsid w:val="00214F54"/>
    <w:rsid w:val="00215479"/>
    <w:rsid w:val="002155C5"/>
    <w:rsid w:val="00215E2F"/>
    <w:rsid w:val="00217326"/>
    <w:rsid w:val="0022065A"/>
    <w:rsid w:val="0022149C"/>
    <w:rsid w:val="00221561"/>
    <w:rsid w:val="00221997"/>
    <w:rsid w:val="00222752"/>
    <w:rsid w:val="002228C6"/>
    <w:rsid w:val="0022294E"/>
    <w:rsid w:val="002238AE"/>
    <w:rsid w:val="002243D1"/>
    <w:rsid w:val="00225DB3"/>
    <w:rsid w:val="0023012A"/>
    <w:rsid w:val="00230C43"/>
    <w:rsid w:val="00231D21"/>
    <w:rsid w:val="0023255F"/>
    <w:rsid w:val="00232CD0"/>
    <w:rsid w:val="002341A2"/>
    <w:rsid w:val="00237A15"/>
    <w:rsid w:val="00240733"/>
    <w:rsid w:val="00240FF8"/>
    <w:rsid w:val="002414E5"/>
    <w:rsid w:val="00241D3A"/>
    <w:rsid w:val="0024269B"/>
    <w:rsid w:val="00242B40"/>
    <w:rsid w:val="00244532"/>
    <w:rsid w:val="00246DB1"/>
    <w:rsid w:val="00247523"/>
    <w:rsid w:val="00247993"/>
    <w:rsid w:val="002511FE"/>
    <w:rsid w:val="00252113"/>
    <w:rsid w:val="002529D6"/>
    <w:rsid w:val="00253C25"/>
    <w:rsid w:val="002551E0"/>
    <w:rsid w:val="0025530F"/>
    <w:rsid w:val="00255F14"/>
    <w:rsid w:val="002574D7"/>
    <w:rsid w:val="00257B22"/>
    <w:rsid w:val="002602F6"/>
    <w:rsid w:val="00263C39"/>
    <w:rsid w:val="002645C9"/>
    <w:rsid w:val="002665E4"/>
    <w:rsid w:val="002673AF"/>
    <w:rsid w:val="00267440"/>
    <w:rsid w:val="0027067C"/>
    <w:rsid w:val="00270EED"/>
    <w:rsid w:val="00270FE1"/>
    <w:rsid w:val="00271ABB"/>
    <w:rsid w:val="00272B6B"/>
    <w:rsid w:val="00272DEC"/>
    <w:rsid w:val="002751DF"/>
    <w:rsid w:val="002759A2"/>
    <w:rsid w:val="00276204"/>
    <w:rsid w:val="00276967"/>
    <w:rsid w:val="00280E45"/>
    <w:rsid w:val="002810F8"/>
    <w:rsid w:val="00281565"/>
    <w:rsid w:val="00283074"/>
    <w:rsid w:val="00285049"/>
    <w:rsid w:val="00290B53"/>
    <w:rsid w:val="00290D50"/>
    <w:rsid w:val="00292F27"/>
    <w:rsid w:val="00292F94"/>
    <w:rsid w:val="00293F3F"/>
    <w:rsid w:val="0029442F"/>
    <w:rsid w:val="002954F0"/>
    <w:rsid w:val="0029595B"/>
    <w:rsid w:val="00295A34"/>
    <w:rsid w:val="00296289"/>
    <w:rsid w:val="00296501"/>
    <w:rsid w:val="002975BF"/>
    <w:rsid w:val="002A0347"/>
    <w:rsid w:val="002A2B5C"/>
    <w:rsid w:val="002A4898"/>
    <w:rsid w:val="002A4B7F"/>
    <w:rsid w:val="002A4B93"/>
    <w:rsid w:val="002A4F6F"/>
    <w:rsid w:val="002A5411"/>
    <w:rsid w:val="002A5636"/>
    <w:rsid w:val="002A673F"/>
    <w:rsid w:val="002A7325"/>
    <w:rsid w:val="002A7814"/>
    <w:rsid w:val="002B3F5D"/>
    <w:rsid w:val="002B5E0D"/>
    <w:rsid w:val="002B784E"/>
    <w:rsid w:val="002C00FF"/>
    <w:rsid w:val="002C11FF"/>
    <w:rsid w:val="002C13E7"/>
    <w:rsid w:val="002C13ED"/>
    <w:rsid w:val="002C1681"/>
    <w:rsid w:val="002C3330"/>
    <w:rsid w:val="002C6208"/>
    <w:rsid w:val="002C6933"/>
    <w:rsid w:val="002D0379"/>
    <w:rsid w:val="002D0845"/>
    <w:rsid w:val="002D14BE"/>
    <w:rsid w:val="002D26AE"/>
    <w:rsid w:val="002D272C"/>
    <w:rsid w:val="002D35EE"/>
    <w:rsid w:val="002D40A9"/>
    <w:rsid w:val="002D5868"/>
    <w:rsid w:val="002D6349"/>
    <w:rsid w:val="002D6B6F"/>
    <w:rsid w:val="002D7623"/>
    <w:rsid w:val="002D7628"/>
    <w:rsid w:val="002D7A77"/>
    <w:rsid w:val="002D7BE8"/>
    <w:rsid w:val="002E002C"/>
    <w:rsid w:val="002E0250"/>
    <w:rsid w:val="002E098C"/>
    <w:rsid w:val="002E15EE"/>
    <w:rsid w:val="002E2367"/>
    <w:rsid w:val="002E3E40"/>
    <w:rsid w:val="002E5245"/>
    <w:rsid w:val="002E5D37"/>
    <w:rsid w:val="002E60E6"/>
    <w:rsid w:val="002E650E"/>
    <w:rsid w:val="002E76EF"/>
    <w:rsid w:val="002E7E70"/>
    <w:rsid w:val="002F08C6"/>
    <w:rsid w:val="002F0DCD"/>
    <w:rsid w:val="002F24F3"/>
    <w:rsid w:val="002F2754"/>
    <w:rsid w:val="002F32BA"/>
    <w:rsid w:val="002F37CB"/>
    <w:rsid w:val="002F4ADA"/>
    <w:rsid w:val="002F5465"/>
    <w:rsid w:val="002F7AD0"/>
    <w:rsid w:val="002F7EF3"/>
    <w:rsid w:val="00300192"/>
    <w:rsid w:val="00300564"/>
    <w:rsid w:val="0030169A"/>
    <w:rsid w:val="00302091"/>
    <w:rsid w:val="00305143"/>
    <w:rsid w:val="00306123"/>
    <w:rsid w:val="00307858"/>
    <w:rsid w:val="00307CF1"/>
    <w:rsid w:val="0031007D"/>
    <w:rsid w:val="00311B9B"/>
    <w:rsid w:val="00313D63"/>
    <w:rsid w:val="00313DA1"/>
    <w:rsid w:val="0031405F"/>
    <w:rsid w:val="003144F4"/>
    <w:rsid w:val="003157D1"/>
    <w:rsid w:val="003167BE"/>
    <w:rsid w:val="00316A48"/>
    <w:rsid w:val="00317222"/>
    <w:rsid w:val="00320800"/>
    <w:rsid w:val="003214B1"/>
    <w:rsid w:val="00322799"/>
    <w:rsid w:val="0032321A"/>
    <w:rsid w:val="003241F1"/>
    <w:rsid w:val="0032467A"/>
    <w:rsid w:val="0032568F"/>
    <w:rsid w:val="00332B99"/>
    <w:rsid w:val="003343B3"/>
    <w:rsid w:val="00334BAE"/>
    <w:rsid w:val="00334CC7"/>
    <w:rsid w:val="0033552B"/>
    <w:rsid w:val="003355B7"/>
    <w:rsid w:val="00336881"/>
    <w:rsid w:val="00336AAB"/>
    <w:rsid w:val="00340B42"/>
    <w:rsid w:val="00341021"/>
    <w:rsid w:val="00341F13"/>
    <w:rsid w:val="0034236C"/>
    <w:rsid w:val="003429CA"/>
    <w:rsid w:val="003431FD"/>
    <w:rsid w:val="00343634"/>
    <w:rsid w:val="00343A1D"/>
    <w:rsid w:val="00343D9C"/>
    <w:rsid w:val="003445EE"/>
    <w:rsid w:val="0034487B"/>
    <w:rsid w:val="00344CFC"/>
    <w:rsid w:val="003500BA"/>
    <w:rsid w:val="0035121B"/>
    <w:rsid w:val="00351933"/>
    <w:rsid w:val="00352D4E"/>
    <w:rsid w:val="00355DB8"/>
    <w:rsid w:val="00357F64"/>
    <w:rsid w:val="0036067C"/>
    <w:rsid w:val="003612D6"/>
    <w:rsid w:val="003634F4"/>
    <w:rsid w:val="00363B02"/>
    <w:rsid w:val="003642B6"/>
    <w:rsid w:val="00364E6B"/>
    <w:rsid w:val="00365311"/>
    <w:rsid w:val="00365BD8"/>
    <w:rsid w:val="00371760"/>
    <w:rsid w:val="00372115"/>
    <w:rsid w:val="003738EA"/>
    <w:rsid w:val="00374103"/>
    <w:rsid w:val="00374310"/>
    <w:rsid w:val="00374E90"/>
    <w:rsid w:val="00376869"/>
    <w:rsid w:val="00380598"/>
    <w:rsid w:val="00381B01"/>
    <w:rsid w:val="003829D9"/>
    <w:rsid w:val="003832F9"/>
    <w:rsid w:val="00383B07"/>
    <w:rsid w:val="00383B17"/>
    <w:rsid w:val="00384A92"/>
    <w:rsid w:val="003854F3"/>
    <w:rsid w:val="00386518"/>
    <w:rsid w:val="0038748E"/>
    <w:rsid w:val="00391A61"/>
    <w:rsid w:val="0039316A"/>
    <w:rsid w:val="0039491D"/>
    <w:rsid w:val="00397B1C"/>
    <w:rsid w:val="00397E86"/>
    <w:rsid w:val="003A092F"/>
    <w:rsid w:val="003A1388"/>
    <w:rsid w:val="003A139A"/>
    <w:rsid w:val="003A1D20"/>
    <w:rsid w:val="003A258C"/>
    <w:rsid w:val="003A40E7"/>
    <w:rsid w:val="003A4472"/>
    <w:rsid w:val="003A5C2B"/>
    <w:rsid w:val="003A78B7"/>
    <w:rsid w:val="003B095A"/>
    <w:rsid w:val="003B2393"/>
    <w:rsid w:val="003B2F1D"/>
    <w:rsid w:val="003B30E9"/>
    <w:rsid w:val="003B3B94"/>
    <w:rsid w:val="003B4EE5"/>
    <w:rsid w:val="003B50F5"/>
    <w:rsid w:val="003B5D7B"/>
    <w:rsid w:val="003B5F19"/>
    <w:rsid w:val="003B638F"/>
    <w:rsid w:val="003B67A0"/>
    <w:rsid w:val="003B6E79"/>
    <w:rsid w:val="003B70F6"/>
    <w:rsid w:val="003B72E5"/>
    <w:rsid w:val="003C0C7E"/>
    <w:rsid w:val="003C0E0B"/>
    <w:rsid w:val="003C1220"/>
    <w:rsid w:val="003C2DA4"/>
    <w:rsid w:val="003C3607"/>
    <w:rsid w:val="003C4595"/>
    <w:rsid w:val="003C47B5"/>
    <w:rsid w:val="003C5626"/>
    <w:rsid w:val="003C58B5"/>
    <w:rsid w:val="003C6339"/>
    <w:rsid w:val="003C6B76"/>
    <w:rsid w:val="003C779C"/>
    <w:rsid w:val="003C7C2C"/>
    <w:rsid w:val="003D1F56"/>
    <w:rsid w:val="003D1FCD"/>
    <w:rsid w:val="003D3512"/>
    <w:rsid w:val="003D3B92"/>
    <w:rsid w:val="003D4056"/>
    <w:rsid w:val="003D415D"/>
    <w:rsid w:val="003D46D1"/>
    <w:rsid w:val="003D5A77"/>
    <w:rsid w:val="003D681C"/>
    <w:rsid w:val="003D719F"/>
    <w:rsid w:val="003E0C29"/>
    <w:rsid w:val="003E4A4E"/>
    <w:rsid w:val="003E4AEB"/>
    <w:rsid w:val="003E58E5"/>
    <w:rsid w:val="003E5EE1"/>
    <w:rsid w:val="003E6A13"/>
    <w:rsid w:val="003E7C9B"/>
    <w:rsid w:val="003E7D25"/>
    <w:rsid w:val="003F0417"/>
    <w:rsid w:val="003F180D"/>
    <w:rsid w:val="003F404C"/>
    <w:rsid w:val="003F45C6"/>
    <w:rsid w:val="003F66A4"/>
    <w:rsid w:val="003F6764"/>
    <w:rsid w:val="0040196C"/>
    <w:rsid w:val="00402F4C"/>
    <w:rsid w:val="004031A9"/>
    <w:rsid w:val="00403958"/>
    <w:rsid w:val="004075E0"/>
    <w:rsid w:val="00407C0B"/>
    <w:rsid w:val="0041149D"/>
    <w:rsid w:val="004128F3"/>
    <w:rsid w:val="00412960"/>
    <w:rsid w:val="00412A5D"/>
    <w:rsid w:val="00412CA6"/>
    <w:rsid w:val="00413557"/>
    <w:rsid w:val="004137F3"/>
    <w:rsid w:val="00415470"/>
    <w:rsid w:val="004156E5"/>
    <w:rsid w:val="00415CFA"/>
    <w:rsid w:val="00415E18"/>
    <w:rsid w:val="00416388"/>
    <w:rsid w:val="00416EA9"/>
    <w:rsid w:val="00417214"/>
    <w:rsid w:val="0041769D"/>
    <w:rsid w:val="00417D4F"/>
    <w:rsid w:val="00421EEA"/>
    <w:rsid w:val="00422027"/>
    <w:rsid w:val="004221B2"/>
    <w:rsid w:val="004223F4"/>
    <w:rsid w:val="0042390E"/>
    <w:rsid w:val="00425B45"/>
    <w:rsid w:val="00425C82"/>
    <w:rsid w:val="00425D4D"/>
    <w:rsid w:val="00427D04"/>
    <w:rsid w:val="004300B5"/>
    <w:rsid w:val="00430F93"/>
    <w:rsid w:val="00433AB6"/>
    <w:rsid w:val="004342C9"/>
    <w:rsid w:val="004374D0"/>
    <w:rsid w:val="00440412"/>
    <w:rsid w:val="00443935"/>
    <w:rsid w:val="00443D5A"/>
    <w:rsid w:val="004442B3"/>
    <w:rsid w:val="00444482"/>
    <w:rsid w:val="0044498E"/>
    <w:rsid w:val="004460B8"/>
    <w:rsid w:val="00447613"/>
    <w:rsid w:val="00447654"/>
    <w:rsid w:val="00450A1C"/>
    <w:rsid w:val="004513F9"/>
    <w:rsid w:val="00451F87"/>
    <w:rsid w:val="00452D92"/>
    <w:rsid w:val="00452DB9"/>
    <w:rsid w:val="00452F36"/>
    <w:rsid w:val="00453130"/>
    <w:rsid w:val="0045394E"/>
    <w:rsid w:val="004543BF"/>
    <w:rsid w:val="00454B5D"/>
    <w:rsid w:val="00454E5F"/>
    <w:rsid w:val="00455B44"/>
    <w:rsid w:val="00456FA3"/>
    <w:rsid w:val="0045706F"/>
    <w:rsid w:val="0045754E"/>
    <w:rsid w:val="004575C3"/>
    <w:rsid w:val="00460E98"/>
    <w:rsid w:val="00461AA0"/>
    <w:rsid w:val="0046225F"/>
    <w:rsid w:val="004640E1"/>
    <w:rsid w:val="00465462"/>
    <w:rsid w:val="004666B5"/>
    <w:rsid w:val="004667DA"/>
    <w:rsid w:val="004669E3"/>
    <w:rsid w:val="00467112"/>
    <w:rsid w:val="00467B60"/>
    <w:rsid w:val="00467ECF"/>
    <w:rsid w:val="004722EC"/>
    <w:rsid w:val="0047305B"/>
    <w:rsid w:val="004736BA"/>
    <w:rsid w:val="004745C6"/>
    <w:rsid w:val="00475A0F"/>
    <w:rsid w:val="004771A7"/>
    <w:rsid w:val="00477DF1"/>
    <w:rsid w:val="00480562"/>
    <w:rsid w:val="004805E1"/>
    <w:rsid w:val="0048194E"/>
    <w:rsid w:val="00481D33"/>
    <w:rsid w:val="004830D3"/>
    <w:rsid w:val="00483137"/>
    <w:rsid w:val="004833C3"/>
    <w:rsid w:val="00483BCD"/>
    <w:rsid w:val="00484BA8"/>
    <w:rsid w:val="004851E7"/>
    <w:rsid w:val="00486BD8"/>
    <w:rsid w:val="00486D4E"/>
    <w:rsid w:val="00487F50"/>
    <w:rsid w:val="004905D0"/>
    <w:rsid w:val="0049352F"/>
    <w:rsid w:val="00494A80"/>
    <w:rsid w:val="0049585B"/>
    <w:rsid w:val="00496C53"/>
    <w:rsid w:val="00497400"/>
    <w:rsid w:val="004A07AF"/>
    <w:rsid w:val="004A465C"/>
    <w:rsid w:val="004A5A5E"/>
    <w:rsid w:val="004A5AA9"/>
    <w:rsid w:val="004A64A5"/>
    <w:rsid w:val="004A7097"/>
    <w:rsid w:val="004A791C"/>
    <w:rsid w:val="004A7E08"/>
    <w:rsid w:val="004B10CD"/>
    <w:rsid w:val="004B1FA9"/>
    <w:rsid w:val="004B2765"/>
    <w:rsid w:val="004B672E"/>
    <w:rsid w:val="004B67C9"/>
    <w:rsid w:val="004B6984"/>
    <w:rsid w:val="004B74ED"/>
    <w:rsid w:val="004B7B30"/>
    <w:rsid w:val="004C05F2"/>
    <w:rsid w:val="004C1E28"/>
    <w:rsid w:val="004C2800"/>
    <w:rsid w:val="004C3306"/>
    <w:rsid w:val="004C407E"/>
    <w:rsid w:val="004C40F4"/>
    <w:rsid w:val="004C506F"/>
    <w:rsid w:val="004C5CD3"/>
    <w:rsid w:val="004C7A15"/>
    <w:rsid w:val="004D11B7"/>
    <w:rsid w:val="004D2194"/>
    <w:rsid w:val="004D2778"/>
    <w:rsid w:val="004D4274"/>
    <w:rsid w:val="004D57A0"/>
    <w:rsid w:val="004D5F36"/>
    <w:rsid w:val="004D63F1"/>
    <w:rsid w:val="004D72A6"/>
    <w:rsid w:val="004D7563"/>
    <w:rsid w:val="004E0791"/>
    <w:rsid w:val="004E0F8E"/>
    <w:rsid w:val="004E1013"/>
    <w:rsid w:val="004E2848"/>
    <w:rsid w:val="004E3ADE"/>
    <w:rsid w:val="004E44CC"/>
    <w:rsid w:val="004E5CA5"/>
    <w:rsid w:val="004E67F0"/>
    <w:rsid w:val="004E7065"/>
    <w:rsid w:val="004E7529"/>
    <w:rsid w:val="004F16A1"/>
    <w:rsid w:val="004F2DDA"/>
    <w:rsid w:val="004F352D"/>
    <w:rsid w:val="004F4CDB"/>
    <w:rsid w:val="004F568A"/>
    <w:rsid w:val="004F581C"/>
    <w:rsid w:val="004F68CE"/>
    <w:rsid w:val="004F718A"/>
    <w:rsid w:val="0050062C"/>
    <w:rsid w:val="005021E6"/>
    <w:rsid w:val="005034A8"/>
    <w:rsid w:val="005034FC"/>
    <w:rsid w:val="00503F67"/>
    <w:rsid w:val="0050436C"/>
    <w:rsid w:val="005044B9"/>
    <w:rsid w:val="0050525B"/>
    <w:rsid w:val="005055E2"/>
    <w:rsid w:val="00506583"/>
    <w:rsid w:val="00507D74"/>
    <w:rsid w:val="00510644"/>
    <w:rsid w:val="005106D5"/>
    <w:rsid w:val="005112F3"/>
    <w:rsid w:val="0051190D"/>
    <w:rsid w:val="00512281"/>
    <w:rsid w:val="0051562D"/>
    <w:rsid w:val="00517BF1"/>
    <w:rsid w:val="00517FDD"/>
    <w:rsid w:val="00520645"/>
    <w:rsid w:val="00520920"/>
    <w:rsid w:val="0052213E"/>
    <w:rsid w:val="00524D6D"/>
    <w:rsid w:val="00524D76"/>
    <w:rsid w:val="00524D8B"/>
    <w:rsid w:val="005252C0"/>
    <w:rsid w:val="00525E8C"/>
    <w:rsid w:val="00527F92"/>
    <w:rsid w:val="00530CE7"/>
    <w:rsid w:val="00530D4A"/>
    <w:rsid w:val="00530DC4"/>
    <w:rsid w:val="00530E45"/>
    <w:rsid w:val="0053101C"/>
    <w:rsid w:val="005316A8"/>
    <w:rsid w:val="00531FA9"/>
    <w:rsid w:val="005323A1"/>
    <w:rsid w:val="00533B7E"/>
    <w:rsid w:val="00535C65"/>
    <w:rsid w:val="00535D41"/>
    <w:rsid w:val="00535ECA"/>
    <w:rsid w:val="0053682D"/>
    <w:rsid w:val="00536D1D"/>
    <w:rsid w:val="0054099F"/>
    <w:rsid w:val="00540FEC"/>
    <w:rsid w:val="005414D6"/>
    <w:rsid w:val="00541F83"/>
    <w:rsid w:val="005430C7"/>
    <w:rsid w:val="00543312"/>
    <w:rsid w:val="00543809"/>
    <w:rsid w:val="005439BF"/>
    <w:rsid w:val="00543CB6"/>
    <w:rsid w:val="00543D6B"/>
    <w:rsid w:val="005446B0"/>
    <w:rsid w:val="00545349"/>
    <w:rsid w:val="00546183"/>
    <w:rsid w:val="005475A9"/>
    <w:rsid w:val="005478E2"/>
    <w:rsid w:val="00547E4F"/>
    <w:rsid w:val="00551DFC"/>
    <w:rsid w:val="0055211A"/>
    <w:rsid w:val="0055216F"/>
    <w:rsid w:val="005605F8"/>
    <w:rsid w:val="0056183F"/>
    <w:rsid w:val="005622D1"/>
    <w:rsid w:val="00563224"/>
    <w:rsid w:val="005633AF"/>
    <w:rsid w:val="0056380E"/>
    <w:rsid w:val="005645A9"/>
    <w:rsid w:val="005650C2"/>
    <w:rsid w:val="00565A8C"/>
    <w:rsid w:val="00567720"/>
    <w:rsid w:val="005723C2"/>
    <w:rsid w:val="00572F0A"/>
    <w:rsid w:val="00573012"/>
    <w:rsid w:val="00573562"/>
    <w:rsid w:val="00574068"/>
    <w:rsid w:val="00575306"/>
    <w:rsid w:val="005761C9"/>
    <w:rsid w:val="005773BE"/>
    <w:rsid w:val="00577C90"/>
    <w:rsid w:val="00580954"/>
    <w:rsid w:val="00580F4C"/>
    <w:rsid w:val="005824F8"/>
    <w:rsid w:val="00583A5C"/>
    <w:rsid w:val="00584ED2"/>
    <w:rsid w:val="005850D6"/>
    <w:rsid w:val="00586357"/>
    <w:rsid w:val="0058643C"/>
    <w:rsid w:val="00586EDA"/>
    <w:rsid w:val="00586F03"/>
    <w:rsid w:val="00587114"/>
    <w:rsid w:val="005927CD"/>
    <w:rsid w:val="00593176"/>
    <w:rsid w:val="0059343A"/>
    <w:rsid w:val="00593CA2"/>
    <w:rsid w:val="00595979"/>
    <w:rsid w:val="00595B4A"/>
    <w:rsid w:val="005964EC"/>
    <w:rsid w:val="00597221"/>
    <w:rsid w:val="005977ED"/>
    <w:rsid w:val="00597D94"/>
    <w:rsid w:val="005A0661"/>
    <w:rsid w:val="005A0FEB"/>
    <w:rsid w:val="005A1FDF"/>
    <w:rsid w:val="005A2B40"/>
    <w:rsid w:val="005A2DB1"/>
    <w:rsid w:val="005A3025"/>
    <w:rsid w:val="005A3B60"/>
    <w:rsid w:val="005A4192"/>
    <w:rsid w:val="005A4F1F"/>
    <w:rsid w:val="005A5A1C"/>
    <w:rsid w:val="005A6732"/>
    <w:rsid w:val="005B1C02"/>
    <w:rsid w:val="005B1F53"/>
    <w:rsid w:val="005B33DC"/>
    <w:rsid w:val="005B4FF7"/>
    <w:rsid w:val="005B5511"/>
    <w:rsid w:val="005B6269"/>
    <w:rsid w:val="005B6A2F"/>
    <w:rsid w:val="005B6E58"/>
    <w:rsid w:val="005C115C"/>
    <w:rsid w:val="005C31C8"/>
    <w:rsid w:val="005C4416"/>
    <w:rsid w:val="005C4D85"/>
    <w:rsid w:val="005C5184"/>
    <w:rsid w:val="005C6CE7"/>
    <w:rsid w:val="005D184D"/>
    <w:rsid w:val="005D1BF1"/>
    <w:rsid w:val="005D2C74"/>
    <w:rsid w:val="005D2CB5"/>
    <w:rsid w:val="005D32D1"/>
    <w:rsid w:val="005D386F"/>
    <w:rsid w:val="005D5929"/>
    <w:rsid w:val="005D6DB1"/>
    <w:rsid w:val="005D72C1"/>
    <w:rsid w:val="005D7663"/>
    <w:rsid w:val="005E31E2"/>
    <w:rsid w:val="005E3DC5"/>
    <w:rsid w:val="005E3E03"/>
    <w:rsid w:val="005E4813"/>
    <w:rsid w:val="005E4FE7"/>
    <w:rsid w:val="005E6AD9"/>
    <w:rsid w:val="005E6E82"/>
    <w:rsid w:val="005F0E56"/>
    <w:rsid w:val="005F1007"/>
    <w:rsid w:val="005F6167"/>
    <w:rsid w:val="006005D4"/>
    <w:rsid w:val="00600B40"/>
    <w:rsid w:val="0060178F"/>
    <w:rsid w:val="00602576"/>
    <w:rsid w:val="00602663"/>
    <w:rsid w:val="006031DC"/>
    <w:rsid w:val="00604A07"/>
    <w:rsid w:val="0060535C"/>
    <w:rsid w:val="00607400"/>
    <w:rsid w:val="006074A6"/>
    <w:rsid w:val="00611849"/>
    <w:rsid w:val="006120D5"/>
    <w:rsid w:val="00613D71"/>
    <w:rsid w:val="00615523"/>
    <w:rsid w:val="006159BC"/>
    <w:rsid w:val="006167BD"/>
    <w:rsid w:val="006173BB"/>
    <w:rsid w:val="00617D6A"/>
    <w:rsid w:val="006206B9"/>
    <w:rsid w:val="00620BD0"/>
    <w:rsid w:val="00621770"/>
    <w:rsid w:val="00622459"/>
    <w:rsid w:val="00623CBC"/>
    <w:rsid w:val="006243E7"/>
    <w:rsid w:val="00625C51"/>
    <w:rsid w:val="0063027F"/>
    <w:rsid w:val="00630D29"/>
    <w:rsid w:val="006313EC"/>
    <w:rsid w:val="00631AFB"/>
    <w:rsid w:val="0063261A"/>
    <w:rsid w:val="0063473B"/>
    <w:rsid w:val="0063507E"/>
    <w:rsid w:val="006359D2"/>
    <w:rsid w:val="006369CC"/>
    <w:rsid w:val="006374EF"/>
    <w:rsid w:val="00640F02"/>
    <w:rsid w:val="00641153"/>
    <w:rsid w:val="00643E16"/>
    <w:rsid w:val="00645028"/>
    <w:rsid w:val="00646086"/>
    <w:rsid w:val="00646631"/>
    <w:rsid w:val="00647F26"/>
    <w:rsid w:val="00650587"/>
    <w:rsid w:val="00650B1A"/>
    <w:rsid w:val="00652372"/>
    <w:rsid w:val="00653480"/>
    <w:rsid w:val="006536D6"/>
    <w:rsid w:val="00654B00"/>
    <w:rsid w:val="0065532F"/>
    <w:rsid w:val="006560FF"/>
    <w:rsid w:val="00656196"/>
    <w:rsid w:val="006567E7"/>
    <w:rsid w:val="00656CC4"/>
    <w:rsid w:val="00657569"/>
    <w:rsid w:val="00657C0D"/>
    <w:rsid w:val="00657C6F"/>
    <w:rsid w:val="00662875"/>
    <w:rsid w:val="00663399"/>
    <w:rsid w:val="00663AA5"/>
    <w:rsid w:val="0066466F"/>
    <w:rsid w:val="00664915"/>
    <w:rsid w:val="006656A2"/>
    <w:rsid w:val="00665738"/>
    <w:rsid w:val="006657A8"/>
    <w:rsid w:val="00666247"/>
    <w:rsid w:val="00666E5A"/>
    <w:rsid w:val="00667933"/>
    <w:rsid w:val="006679EB"/>
    <w:rsid w:val="00671F59"/>
    <w:rsid w:val="006726B9"/>
    <w:rsid w:val="006743EB"/>
    <w:rsid w:val="00674F5E"/>
    <w:rsid w:val="006763B3"/>
    <w:rsid w:val="00681E1D"/>
    <w:rsid w:val="00682F0F"/>
    <w:rsid w:val="00683222"/>
    <w:rsid w:val="006841FA"/>
    <w:rsid w:val="006849DD"/>
    <w:rsid w:val="00685608"/>
    <w:rsid w:val="00685CFC"/>
    <w:rsid w:val="00686774"/>
    <w:rsid w:val="00686A7A"/>
    <w:rsid w:val="00686F46"/>
    <w:rsid w:val="00687755"/>
    <w:rsid w:val="00687AE9"/>
    <w:rsid w:val="00687B51"/>
    <w:rsid w:val="006900BC"/>
    <w:rsid w:val="006907CD"/>
    <w:rsid w:val="00690CDA"/>
    <w:rsid w:val="00691002"/>
    <w:rsid w:val="00691AC6"/>
    <w:rsid w:val="0069218D"/>
    <w:rsid w:val="006924FD"/>
    <w:rsid w:val="00692DD7"/>
    <w:rsid w:val="00692DDF"/>
    <w:rsid w:val="0069376A"/>
    <w:rsid w:val="00694936"/>
    <w:rsid w:val="00694F25"/>
    <w:rsid w:val="00695074"/>
    <w:rsid w:val="00695709"/>
    <w:rsid w:val="00696321"/>
    <w:rsid w:val="00696DB6"/>
    <w:rsid w:val="00697007"/>
    <w:rsid w:val="00697FCE"/>
    <w:rsid w:val="006A077D"/>
    <w:rsid w:val="006A1725"/>
    <w:rsid w:val="006A1DAF"/>
    <w:rsid w:val="006A211F"/>
    <w:rsid w:val="006A2156"/>
    <w:rsid w:val="006A5AD0"/>
    <w:rsid w:val="006A5E4F"/>
    <w:rsid w:val="006A5EAE"/>
    <w:rsid w:val="006A72B3"/>
    <w:rsid w:val="006A7652"/>
    <w:rsid w:val="006A76FE"/>
    <w:rsid w:val="006B1F2E"/>
    <w:rsid w:val="006B34CD"/>
    <w:rsid w:val="006B3AD2"/>
    <w:rsid w:val="006B46DC"/>
    <w:rsid w:val="006B666A"/>
    <w:rsid w:val="006B78F3"/>
    <w:rsid w:val="006B7F89"/>
    <w:rsid w:val="006C1199"/>
    <w:rsid w:val="006C1CDA"/>
    <w:rsid w:val="006C1DCC"/>
    <w:rsid w:val="006C3846"/>
    <w:rsid w:val="006C3BF0"/>
    <w:rsid w:val="006C4725"/>
    <w:rsid w:val="006C7DEE"/>
    <w:rsid w:val="006D221B"/>
    <w:rsid w:val="006D3D69"/>
    <w:rsid w:val="006D3EE2"/>
    <w:rsid w:val="006D4845"/>
    <w:rsid w:val="006D5657"/>
    <w:rsid w:val="006D6C4A"/>
    <w:rsid w:val="006D7839"/>
    <w:rsid w:val="006E02B1"/>
    <w:rsid w:val="006E14ED"/>
    <w:rsid w:val="006E157D"/>
    <w:rsid w:val="006E19C5"/>
    <w:rsid w:val="006E3E44"/>
    <w:rsid w:val="006E44E3"/>
    <w:rsid w:val="006E4EF6"/>
    <w:rsid w:val="006E6DDB"/>
    <w:rsid w:val="006F0078"/>
    <w:rsid w:val="006F0296"/>
    <w:rsid w:val="006F0AC4"/>
    <w:rsid w:val="006F2CEE"/>
    <w:rsid w:val="006F3DF9"/>
    <w:rsid w:val="006F5195"/>
    <w:rsid w:val="006F5D51"/>
    <w:rsid w:val="006F61C3"/>
    <w:rsid w:val="006F7546"/>
    <w:rsid w:val="00700495"/>
    <w:rsid w:val="00700AEC"/>
    <w:rsid w:val="00701194"/>
    <w:rsid w:val="007016B1"/>
    <w:rsid w:val="0070375B"/>
    <w:rsid w:val="00705564"/>
    <w:rsid w:val="007060CC"/>
    <w:rsid w:val="007064D1"/>
    <w:rsid w:val="00710C82"/>
    <w:rsid w:val="00713691"/>
    <w:rsid w:val="0071564F"/>
    <w:rsid w:val="0071663D"/>
    <w:rsid w:val="00720431"/>
    <w:rsid w:val="00720556"/>
    <w:rsid w:val="00721ECC"/>
    <w:rsid w:val="00721FF0"/>
    <w:rsid w:val="0072273A"/>
    <w:rsid w:val="00722DD9"/>
    <w:rsid w:val="0072548B"/>
    <w:rsid w:val="00725682"/>
    <w:rsid w:val="007269A4"/>
    <w:rsid w:val="00730182"/>
    <w:rsid w:val="00732018"/>
    <w:rsid w:val="007333DB"/>
    <w:rsid w:val="00733E60"/>
    <w:rsid w:val="00733EA7"/>
    <w:rsid w:val="00734BF0"/>
    <w:rsid w:val="00734E14"/>
    <w:rsid w:val="007358D1"/>
    <w:rsid w:val="007358D4"/>
    <w:rsid w:val="00736CC9"/>
    <w:rsid w:val="00737149"/>
    <w:rsid w:val="00737A72"/>
    <w:rsid w:val="00737D3F"/>
    <w:rsid w:val="007409C3"/>
    <w:rsid w:val="00740D11"/>
    <w:rsid w:val="007420CC"/>
    <w:rsid w:val="007420E8"/>
    <w:rsid w:val="00742808"/>
    <w:rsid w:val="00743C96"/>
    <w:rsid w:val="00745FC7"/>
    <w:rsid w:val="00746653"/>
    <w:rsid w:val="00746699"/>
    <w:rsid w:val="00746BCB"/>
    <w:rsid w:val="00747E14"/>
    <w:rsid w:val="007502C8"/>
    <w:rsid w:val="007506CA"/>
    <w:rsid w:val="00753442"/>
    <w:rsid w:val="00754000"/>
    <w:rsid w:val="0075584E"/>
    <w:rsid w:val="0075697B"/>
    <w:rsid w:val="007569C0"/>
    <w:rsid w:val="00756EFF"/>
    <w:rsid w:val="00757282"/>
    <w:rsid w:val="0075758D"/>
    <w:rsid w:val="00757D7F"/>
    <w:rsid w:val="00757E2B"/>
    <w:rsid w:val="00760447"/>
    <w:rsid w:val="00760C76"/>
    <w:rsid w:val="00760FA3"/>
    <w:rsid w:val="00761DD0"/>
    <w:rsid w:val="007623A6"/>
    <w:rsid w:val="00762B8C"/>
    <w:rsid w:val="00763CB4"/>
    <w:rsid w:val="0076453A"/>
    <w:rsid w:val="00765019"/>
    <w:rsid w:val="0076738D"/>
    <w:rsid w:val="00770F20"/>
    <w:rsid w:val="00771779"/>
    <w:rsid w:val="00771BDB"/>
    <w:rsid w:val="00776C9E"/>
    <w:rsid w:val="00780B22"/>
    <w:rsid w:val="0078114B"/>
    <w:rsid w:val="00781799"/>
    <w:rsid w:val="007817BC"/>
    <w:rsid w:val="007830DD"/>
    <w:rsid w:val="00783340"/>
    <w:rsid w:val="00784AE6"/>
    <w:rsid w:val="00784CA4"/>
    <w:rsid w:val="00784D51"/>
    <w:rsid w:val="0078521D"/>
    <w:rsid w:val="00785C40"/>
    <w:rsid w:val="00785CC6"/>
    <w:rsid w:val="00786F43"/>
    <w:rsid w:val="00787769"/>
    <w:rsid w:val="0079060C"/>
    <w:rsid w:val="00792F17"/>
    <w:rsid w:val="00794E0D"/>
    <w:rsid w:val="00795740"/>
    <w:rsid w:val="007957E4"/>
    <w:rsid w:val="00797162"/>
    <w:rsid w:val="007A0742"/>
    <w:rsid w:val="007A2DB4"/>
    <w:rsid w:val="007A2FF0"/>
    <w:rsid w:val="007A31E6"/>
    <w:rsid w:val="007A3201"/>
    <w:rsid w:val="007A4951"/>
    <w:rsid w:val="007A5EC1"/>
    <w:rsid w:val="007A5F2E"/>
    <w:rsid w:val="007A6334"/>
    <w:rsid w:val="007A69E3"/>
    <w:rsid w:val="007A78B2"/>
    <w:rsid w:val="007A7D92"/>
    <w:rsid w:val="007B1943"/>
    <w:rsid w:val="007B1D8C"/>
    <w:rsid w:val="007B2424"/>
    <w:rsid w:val="007B39B5"/>
    <w:rsid w:val="007B76CF"/>
    <w:rsid w:val="007C0637"/>
    <w:rsid w:val="007C06DB"/>
    <w:rsid w:val="007C07F2"/>
    <w:rsid w:val="007C3581"/>
    <w:rsid w:val="007C3666"/>
    <w:rsid w:val="007C442F"/>
    <w:rsid w:val="007C4873"/>
    <w:rsid w:val="007C52C9"/>
    <w:rsid w:val="007C7289"/>
    <w:rsid w:val="007C7F1C"/>
    <w:rsid w:val="007D1A76"/>
    <w:rsid w:val="007D26D0"/>
    <w:rsid w:val="007D2F6E"/>
    <w:rsid w:val="007D3256"/>
    <w:rsid w:val="007D36C0"/>
    <w:rsid w:val="007D502C"/>
    <w:rsid w:val="007D542C"/>
    <w:rsid w:val="007D55F3"/>
    <w:rsid w:val="007D6DE9"/>
    <w:rsid w:val="007D71B9"/>
    <w:rsid w:val="007E01BD"/>
    <w:rsid w:val="007E03DA"/>
    <w:rsid w:val="007E12B5"/>
    <w:rsid w:val="007E21C1"/>
    <w:rsid w:val="007E35AA"/>
    <w:rsid w:val="007E5DC0"/>
    <w:rsid w:val="007E6E61"/>
    <w:rsid w:val="007E7CC7"/>
    <w:rsid w:val="007F12B7"/>
    <w:rsid w:val="007F228D"/>
    <w:rsid w:val="007F25A9"/>
    <w:rsid w:val="007F27D7"/>
    <w:rsid w:val="007F33A7"/>
    <w:rsid w:val="007F3C74"/>
    <w:rsid w:val="007F485C"/>
    <w:rsid w:val="007F4F92"/>
    <w:rsid w:val="007F5537"/>
    <w:rsid w:val="007F7311"/>
    <w:rsid w:val="008002E6"/>
    <w:rsid w:val="00800944"/>
    <w:rsid w:val="00801036"/>
    <w:rsid w:val="0080125B"/>
    <w:rsid w:val="00801575"/>
    <w:rsid w:val="00803AE7"/>
    <w:rsid w:val="00803C35"/>
    <w:rsid w:val="00804F81"/>
    <w:rsid w:val="008067D7"/>
    <w:rsid w:val="0080764D"/>
    <w:rsid w:val="008106CA"/>
    <w:rsid w:val="008107B2"/>
    <w:rsid w:val="00810E4C"/>
    <w:rsid w:val="00811D7A"/>
    <w:rsid w:val="008132FD"/>
    <w:rsid w:val="00813D21"/>
    <w:rsid w:val="00813D5B"/>
    <w:rsid w:val="00815D71"/>
    <w:rsid w:val="00816D5E"/>
    <w:rsid w:val="00817158"/>
    <w:rsid w:val="00820836"/>
    <w:rsid w:val="0082164E"/>
    <w:rsid w:val="00821820"/>
    <w:rsid w:val="00821E9A"/>
    <w:rsid w:val="008231BA"/>
    <w:rsid w:val="008236C3"/>
    <w:rsid w:val="00823CAB"/>
    <w:rsid w:val="008244AB"/>
    <w:rsid w:val="00824E2B"/>
    <w:rsid w:val="00826779"/>
    <w:rsid w:val="00826980"/>
    <w:rsid w:val="008302D6"/>
    <w:rsid w:val="00830674"/>
    <w:rsid w:val="008306DE"/>
    <w:rsid w:val="00830CE7"/>
    <w:rsid w:val="00830D9C"/>
    <w:rsid w:val="008313B2"/>
    <w:rsid w:val="008317AE"/>
    <w:rsid w:val="00831D28"/>
    <w:rsid w:val="00831E17"/>
    <w:rsid w:val="00831EAF"/>
    <w:rsid w:val="00831ECB"/>
    <w:rsid w:val="008321F6"/>
    <w:rsid w:val="00832B98"/>
    <w:rsid w:val="00833627"/>
    <w:rsid w:val="00833CB2"/>
    <w:rsid w:val="00834FEF"/>
    <w:rsid w:val="0083592F"/>
    <w:rsid w:val="00835D47"/>
    <w:rsid w:val="00835FAC"/>
    <w:rsid w:val="008361BE"/>
    <w:rsid w:val="00837F0A"/>
    <w:rsid w:val="00840199"/>
    <w:rsid w:val="008401D7"/>
    <w:rsid w:val="008405A7"/>
    <w:rsid w:val="008406C7"/>
    <w:rsid w:val="0084130A"/>
    <w:rsid w:val="00841C1C"/>
    <w:rsid w:val="00842423"/>
    <w:rsid w:val="00846B25"/>
    <w:rsid w:val="00846F36"/>
    <w:rsid w:val="008477B5"/>
    <w:rsid w:val="0085224F"/>
    <w:rsid w:val="00852A75"/>
    <w:rsid w:val="00853B1B"/>
    <w:rsid w:val="008577D4"/>
    <w:rsid w:val="00860BCB"/>
    <w:rsid w:val="00860DDC"/>
    <w:rsid w:val="00862065"/>
    <w:rsid w:val="00863DB6"/>
    <w:rsid w:val="00863FD0"/>
    <w:rsid w:val="008651BA"/>
    <w:rsid w:val="00865A6D"/>
    <w:rsid w:val="00865FC5"/>
    <w:rsid w:val="00867539"/>
    <w:rsid w:val="00870BB3"/>
    <w:rsid w:val="00870FE9"/>
    <w:rsid w:val="0087158F"/>
    <w:rsid w:val="00871B0F"/>
    <w:rsid w:val="008720D8"/>
    <w:rsid w:val="0087367F"/>
    <w:rsid w:val="00873A06"/>
    <w:rsid w:val="00874D70"/>
    <w:rsid w:val="00875555"/>
    <w:rsid w:val="00875F47"/>
    <w:rsid w:val="008817DA"/>
    <w:rsid w:val="00882331"/>
    <w:rsid w:val="00883E6C"/>
    <w:rsid w:val="00883FAB"/>
    <w:rsid w:val="0088440C"/>
    <w:rsid w:val="00885810"/>
    <w:rsid w:val="008862B5"/>
    <w:rsid w:val="00886462"/>
    <w:rsid w:val="0088721E"/>
    <w:rsid w:val="0088740B"/>
    <w:rsid w:val="00887544"/>
    <w:rsid w:val="00890490"/>
    <w:rsid w:val="008908F5"/>
    <w:rsid w:val="00890A4C"/>
    <w:rsid w:val="00890DDA"/>
    <w:rsid w:val="00891914"/>
    <w:rsid w:val="00892224"/>
    <w:rsid w:val="0089249F"/>
    <w:rsid w:val="008937DA"/>
    <w:rsid w:val="008945FD"/>
    <w:rsid w:val="008951AC"/>
    <w:rsid w:val="008961B7"/>
    <w:rsid w:val="0089637A"/>
    <w:rsid w:val="0089677E"/>
    <w:rsid w:val="00896C73"/>
    <w:rsid w:val="008974E7"/>
    <w:rsid w:val="008978CC"/>
    <w:rsid w:val="00897A5B"/>
    <w:rsid w:val="008A027A"/>
    <w:rsid w:val="008A1032"/>
    <w:rsid w:val="008A1053"/>
    <w:rsid w:val="008A2418"/>
    <w:rsid w:val="008A3408"/>
    <w:rsid w:val="008A377A"/>
    <w:rsid w:val="008A6931"/>
    <w:rsid w:val="008B01CC"/>
    <w:rsid w:val="008B1D55"/>
    <w:rsid w:val="008B351C"/>
    <w:rsid w:val="008B5987"/>
    <w:rsid w:val="008B67D7"/>
    <w:rsid w:val="008B6FE5"/>
    <w:rsid w:val="008B76D2"/>
    <w:rsid w:val="008B776F"/>
    <w:rsid w:val="008C04EC"/>
    <w:rsid w:val="008C06E9"/>
    <w:rsid w:val="008C097F"/>
    <w:rsid w:val="008C1721"/>
    <w:rsid w:val="008C2312"/>
    <w:rsid w:val="008C2A3C"/>
    <w:rsid w:val="008C2A46"/>
    <w:rsid w:val="008C2E65"/>
    <w:rsid w:val="008C338C"/>
    <w:rsid w:val="008C34BC"/>
    <w:rsid w:val="008C37C8"/>
    <w:rsid w:val="008C392B"/>
    <w:rsid w:val="008C4474"/>
    <w:rsid w:val="008C4EB9"/>
    <w:rsid w:val="008D0652"/>
    <w:rsid w:val="008D0BF5"/>
    <w:rsid w:val="008D114B"/>
    <w:rsid w:val="008D1720"/>
    <w:rsid w:val="008D3F22"/>
    <w:rsid w:val="008D5E04"/>
    <w:rsid w:val="008D7DDB"/>
    <w:rsid w:val="008E0176"/>
    <w:rsid w:val="008E08F8"/>
    <w:rsid w:val="008E1F19"/>
    <w:rsid w:val="008E752A"/>
    <w:rsid w:val="008F11E2"/>
    <w:rsid w:val="008F2097"/>
    <w:rsid w:val="008F3660"/>
    <w:rsid w:val="008F3F09"/>
    <w:rsid w:val="008F5DC5"/>
    <w:rsid w:val="008F60F9"/>
    <w:rsid w:val="008F7B87"/>
    <w:rsid w:val="00900BE4"/>
    <w:rsid w:val="00901CCF"/>
    <w:rsid w:val="00902C55"/>
    <w:rsid w:val="00905802"/>
    <w:rsid w:val="00906098"/>
    <w:rsid w:val="009066CD"/>
    <w:rsid w:val="0090707A"/>
    <w:rsid w:val="00907206"/>
    <w:rsid w:val="0090744F"/>
    <w:rsid w:val="00907611"/>
    <w:rsid w:val="00907D5A"/>
    <w:rsid w:val="00911C69"/>
    <w:rsid w:val="009129DD"/>
    <w:rsid w:val="00912DEC"/>
    <w:rsid w:val="0091364C"/>
    <w:rsid w:val="009149A9"/>
    <w:rsid w:val="00914C10"/>
    <w:rsid w:val="00914CB6"/>
    <w:rsid w:val="00915D80"/>
    <w:rsid w:val="00916308"/>
    <w:rsid w:val="009172F1"/>
    <w:rsid w:val="00917556"/>
    <w:rsid w:val="009175E5"/>
    <w:rsid w:val="009205BD"/>
    <w:rsid w:val="009209E2"/>
    <w:rsid w:val="00920AD0"/>
    <w:rsid w:val="00920B88"/>
    <w:rsid w:val="00923923"/>
    <w:rsid w:val="009258F6"/>
    <w:rsid w:val="0092595A"/>
    <w:rsid w:val="00926BBA"/>
    <w:rsid w:val="00926CA6"/>
    <w:rsid w:val="00927F3E"/>
    <w:rsid w:val="00930562"/>
    <w:rsid w:val="0093084B"/>
    <w:rsid w:val="00930A46"/>
    <w:rsid w:val="00930D8F"/>
    <w:rsid w:val="0093157A"/>
    <w:rsid w:val="009322A7"/>
    <w:rsid w:val="009322EF"/>
    <w:rsid w:val="00933FEE"/>
    <w:rsid w:val="00934A69"/>
    <w:rsid w:val="00935B17"/>
    <w:rsid w:val="00935CDC"/>
    <w:rsid w:val="00936722"/>
    <w:rsid w:val="009376A3"/>
    <w:rsid w:val="00937836"/>
    <w:rsid w:val="00937CD1"/>
    <w:rsid w:val="009405F0"/>
    <w:rsid w:val="009410CF"/>
    <w:rsid w:val="0094210A"/>
    <w:rsid w:val="00942356"/>
    <w:rsid w:val="0094437C"/>
    <w:rsid w:val="00945087"/>
    <w:rsid w:val="009451C2"/>
    <w:rsid w:val="0094536D"/>
    <w:rsid w:val="009467C3"/>
    <w:rsid w:val="00946F8D"/>
    <w:rsid w:val="00947449"/>
    <w:rsid w:val="0095018E"/>
    <w:rsid w:val="0095073A"/>
    <w:rsid w:val="00950C28"/>
    <w:rsid w:val="0095143A"/>
    <w:rsid w:val="0095144D"/>
    <w:rsid w:val="00952605"/>
    <w:rsid w:val="009528ED"/>
    <w:rsid w:val="009548FE"/>
    <w:rsid w:val="00954B36"/>
    <w:rsid w:val="009558BD"/>
    <w:rsid w:val="009601E0"/>
    <w:rsid w:val="00961332"/>
    <w:rsid w:val="00962CDC"/>
    <w:rsid w:val="00963225"/>
    <w:rsid w:val="00964509"/>
    <w:rsid w:val="00965A62"/>
    <w:rsid w:val="00965A8D"/>
    <w:rsid w:val="00966C54"/>
    <w:rsid w:val="0096730B"/>
    <w:rsid w:val="009678FD"/>
    <w:rsid w:val="0097267E"/>
    <w:rsid w:val="00972CB3"/>
    <w:rsid w:val="00975828"/>
    <w:rsid w:val="00975DA4"/>
    <w:rsid w:val="0097649D"/>
    <w:rsid w:val="00976EC3"/>
    <w:rsid w:val="00977588"/>
    <w:rsid w:val="00977948"/>
    <w:rsid w:val="00977987"/>
    <w:rsid w:val="0098287F"/>
    <w:rsid w:val="00982A30"/>
    <w:rsid w:val="009843D7"/>
    <w:rsid w:val="00984601"/>
    <w:rsid w:val="00984F86"/>
    <w:rsid w:val="009853EE"/>
    <w:rsid w:val="00986463"/>
    <w:rsid w:val="009867FF"/>
    <w:rsid w:val="00990627"/>
    <w:rsid w:val="00990A28"/>
    <w:rsid w:val="00990D29"/>
    <w:rsid w:val="009916C7"/>
    <w:rsid w:val="00991817"/>
    <w:rsid w:val="00991914"/>
    <w:rsid w:val="00992276"/>
    <w:rsid w:val="009922CD"/>
    <w:rsid w:val="009944E0"/>
    <w:rsid w:val="009965A7"/>
    <w:rsid w:val="00997229"/>
    <w:rsid w:val="009A0A5F"/>
    <w:rsid w:val="009A14E1"/>
    <w:rsid w:val="009A1567"/>
    <w:rsid w:val="009A32F5"/>
    <w:rsid w:val="009A4397"/>
    <w:rsid w:val="009A4B80"/>
    <w:rsid w:val="009A4E3E"/>
    <w:rsid w:val="009A5462"/>
    <w:rsid w:val="009A58EC"/>
    <w:rsid w:val="009A5BBB"/>
    <w:rsid w:val="009A6C21"/>
    <w:rsid w:val="009A70F0"/>
    <w:rsid w:val="009A7DF7"/>
    <w:rsid w:val="009B0310"/>
    <w:rsid w:val="009B09C6"/>
    <w:rsid w:val="009B13D3"/>
    <w:rsid w:val="009B1ACA"/>
    <w:rsid w:val="009B2ABD"/>
    <w:rsid w:val="009B3566"/>
    <w:rsid w:val="009B4A2A"/>
    <w:rsid w:val="009B5780"/>
    <w:rsid w:val="009B7831"/>
    <w:rsid w:val="009C071C"/>
    <w:rsid w:val="009C08A0"/>
    <w:rsid w:val="009C0A02"/>
    <w:rsid w:val="009C11F4"/>
    <w:rsid w:val="009C2FC2"/>
    <w:rsid w:val="009C3782"/>
    <w:rsid w:val="009C3BD8"/>
    <w:rsid w:val="009C4B02"/>
    <w:rsid w:val="009D0586"/>
    <w:rsid w:val="009D0B61"/>
    <w:rsid w:val="009D1313"/>
    <w:rsid w:val="009D14AA"/>
    <w:rsid w:val="009D182C"/>
    <w:rsid w:val="009D1B2E"/>
    <w:rsid w:val="009D21C8"/>
    <w:rsid w:val="009D2960"/>
    <w:rsid w:val="009D4ED5"/>
    <w:rsid w:val="009D5869"/>
    <w:rsid w:val="009D6BC0"/>
    <w:rsid w:val="009D6D9F"/>
    <w:rsid w:val="009D7CE9"/>
    <w:rsid w:val="009E031E"/>
    <w:rsid w:val="009E1DFA"/>
    <w:rsid w:val="009E40DD"/>
    <w:rsid w:val="009E56B5"/>
    <w:rsid w:val="009E585B"/>
    <w:rsid w:val="009E6BFC"/>
    <w:rsid w:val="009E72C9"/>
    <w:rsid w:val="009E74C5"/>
    <w:rsid w:val="009E776F"/>
    <w:rsid w:val="009F0482"/>
    <w:rsid w:val="009F06EF"/>
    <w:rsid w:val="009F0C2E"/>
    <w:rsid w:val="009F0DB1"/>
    <w:rsid w:val="009F185E"/>
    <w:rsid w:val="009F2104"/>
    <w:rsid w:val="009F2584"/>
    <w:rsid w:val="009F2800"/>
    <w:rsid w:val="009F29AD"/>
    <w:rsid w:val="009F31A1"/>
    <w:rsid w:val="009F32DB"/>
    <w:rsid w:val="009F378B"/>
    <w:rsid w:val="009F6808"/>
    <w:rsid w:val="009F703D"/>
    <w:rsid w:val="00A00717"/>
    <w:rsid w:val="00A00951"/>
    <w:rsid w:val="00A012FF"/>
    <w:rsid w:val="00A01679"/>
    <w:rsid w:val="00A01D2E"/>
    <w:rsid w:val="00A034E8"/>
    <w:rsid w:val="00A03655"/>
    <w:rsid w:val="00A03BF8"/>
    <w:rsid w:val="00A056EE"/>
    <w:rsid w:val="00A066EA"/>
    <w:rsid w:val="00A06CEB"/>
    <w:rsid w:val="00A07920"/>
    <w:rsid w:val="00A1300D"/>
    <w:rsid w:val="00A145FC"/>
    <w:rsid w:val="00A14F80"/>
    <w:rsid w:val="00A17418"/>
    <w:rsid w:val="00A202B2"/>
    <w:rsid w:val="00A20770"/>
    <w:rsid w:val="00A209E3"/>
    <w:rsid w:val="00A21B6A"/>
    <w:rsid w:val="00A22797"/>
    <w:rsid w:val="00A2594E"/>
    <w:rsid w:val="00A2673F"/>
    <w:rsid w:val="00A30F8F"/>
    <w:rsid w:val="00A32C0E"/>
    <w:rsid w:val="00A32EFD"/>
    <w:rsid w:val="00A3358B"/>
    <w:rsid w:val="00A33F36"/>
    <w:rsid w:val="00A35F40"/>
    <w:rsid w:val="00A36004"/>
    <w:rsid w:val="00A40524"/>
    <w:rsid w:val="00A409A4"/>
    <w:rsid w:val="00A4131F"/>
    <w:rsid w:val="00A45004"/>
    <w:rsid w:val="00A45711"/>
    <w:rsid w:val="00A46853"/>
    <w:rsid w:val="00A46AEC"/>
    <w:rsid w:val="00A46EF7"/>
    <w:rsid w:val="00A47342"/>
    <w:rsid w:val="00A5003A"/>
    <w:rsid w:val="00A5278B"/>
    <w:rsid w:val="00A529C0"/>
    <w:rsid w:val="00A52E90"/>
    <w:rsid w:val="00A53896"/>
    <w:rsid w:val="00A53900"/>
    <w:rsid w:val="00A5500C"/>
    <w:rsid w:val="00A55D15"/>
    <w:rsid w:val="00A56C27"/>
    <w:rsid w:val="00A56DA2"/>
    <w:rsid w:val="00A60D25"/>
    <w:rsid w:val="00A64632"/>
    <w:rsid w:val="00A6575E"/>
    <w:rsid w:val="00A65E12"/>
    <w:rsid w:val="00A66021"/>
    <w:rsid w:val="00A66A79"/>
    <w:rsid w:val="00A66C5E"/>
    <w:rsid w:val="00A66FC6"/>
    <w:rsid w:val="00A67467"/>
    <w:rsid w:val="00A7088F"/>
    <w:rsid w:val="00A7196F"/>
    <w:rsid w:val="00A71D48"/>
    <w:rsid w:val="00A72CDF"/>
    <w:rsid w:val="00A73361"/>
    <w:rsid w:val="00A73677"/>
    <w:rsid w:val="00A73F02"/>
    <w:rsid w:val="00A74B2E"/>
    <w:rsid w:val="00A758F4"/>
    <w:rsid w:val="00A76A82"/>
    <w:rsid w:val="00A77BB3"/>
    <w:rsid w:val="00A81F6C"/>
    <w:rsid w:val="00A82518"/>
    <w:rsid w:val="00A8371B"/>
    <w:rsid w:val="00A83E3B"/>
    <w:rsid w:val="00A9407A"/>
    <w:rsid w:val="00A9411B"/>
    <w:rsid w:val="00A943CA"/>
    <w:rsid w:val="00A94A12"/>
    <w:rsid w:val="00A95ABA"/>
    <w:rsid w:val="00A9668B"/>
    <w:rsid w:val="00AA0E28"/>
    <w:rsid w:val="00AA118E"/>
    <w:rsid w:val="00AA1FDC"/>
    <w:rsid w:val="00AA347C"/>
    <w:rsid w:val="00AA51FF"/>
    <w:rsid w:val="00AA63E7"/>
    <w:rsid w:val="00AA66A4"/>
    <w:rsid w:val="00AA6CAA"/>
    <w:rsid w:val="00AA6DB0"/>
    <w:rsid w:val="00AA6E9C"/>
    <w:rsid w:val="00AA7061"/>
    <w:rsid w:val="00AB0A4C"/>
    <w:rsid w:val="00AB1AA8"/>
    <w:rsid w:val="00AB3041"/>
    <w:rsid w:val="00AB3BDD"/>
    <w:rsid w:val="00AB3D2E"/>
    <w:rsid w:val="00AB4415"/>
    <w:rsid w:val="00AB46FD"/>
    <w:rsid w:val="00AB4FB6"/>
    <w:rsid w:val="00AB54F9"/>
    <w:rsid w:val="00AB694F"/>
    <w:rsid w:val="00AB6C79"/>
    <w:rsid w:val="00AB7905"/>
    <w:rsid w:val="00AB7B74"/>
    <w:rsid w:val="00AC0346"/>
    <w:rsid w:val="00AC078F"/>
    <w:rsid w:val="00AC1068"/>
    <w:rsid w:val="00AC1936"/>
    <w:rsid w:val="00AC1D75"/>
    <w:rsid w:val="00AC298F"/>
    <w:rsid w:val="00AC2E7C"/>
    <w:rsid w:val="00AC32EE"/>
    <w:rsid w:val="00AC3ADB"/>
    <w:rsid w:val="00AC4054"/>
    <w:rsid w:val="00AC6612"/>
    <w:rsid w:val="00AC7624"/>
    <w:rsid w:val="00AC777E"/>
    <w:rsid w:val="00AD067A"/>
    <w:rsid w:val="00AD0EAF"/>
    <w:rsid w:val="00AD1007"/>
    <w:rsid w:val="00AD14A9"/>
    <w:rsid w:val="00AD3AD2"/>
    <w:rsid w:val="00AD450B"/>
    <w:rsid w:val="00AD482B"/>
    <w:rsid w:val="00AD4835"/>
    <w:rsid w:val="00AD5870"/>
    <w:rsid w:val="00AD5C4D"/>
    <w:rsid w:val="00AD5D06"/>
    <w:rsid w:val="00AD5E53"/>
    <w:rsid w:val="00AD6DC2"/>
    <w:rsid w:val="00AD7175"/>
    <w:rsid w:val="00AD7394"/>
    <w:rsid w:val="00AE02C3"/>
    <w:rsid w:val="00AE09B8"/>
    <w:rsid w:val="00AE35E2"/>
    <w:rsid w:val="00AE407C"/>
    <w:rsid w:val="00AE40AD"/>
    <w:rsid w:val="00AE4B00"/>
    <w:rsid w:val="00AE5259"/>
    <w:rsid w:val="00AE5BDE"/>
    <w:rsid w:val="00AE61A5"/>
    <w:rsid w:val="00AE6B15"/>
    <w:rsid w:val="00AE7150"/>
    <w:rsid w:val="00AF0B6C"/>
    <w:rsid w:val="00AF1245"/>
    <w:rsid w:val="00AF153D"/>
    <w:rsid w:val="00AF15AB"/>
    <w:rsid w:val="00AF2763"/>
    <w:rsid w:val="00AF4737"/>
    <w:rsid w:val="00AF5E03"/>
    <w:rsid w:val="00AF7161"/>
    <w:rsid w:val="00B000FF"/>
    <w:rsid w:val="00B00A87"/>
    <w:rsid w:val="00B02A63"/>
    <w:rsid w:val="00B0328B"/>
    <w:rsid w:val="00B03857"/>
    <w:rsid w:val="00B03A54"/>
    <w:rsid w:val="00B03E26"/>
    <w:rsid w:val="00B04CE3"/>
    <w:rsid w:val="00B0583F"/>
    <w:rsid w:val="00B0669C"/>
    <w:rsid w:val="00B06B06"/>
    <w:rsid w:val="00B07121"/>
    <w:rsid w:val="00B0728F"/>
    <w:rsid w:val="00B101F6"/>
    <w:rsid w:val="00B11C68"/>
    <w:rsid w:val="00B11E69"/>
    <w:rsid w:val="00B12E1D"/>
    <w:rsid w:val="00B133A1"/>
    <w:rsid w:val="00B14565"/>
    <w:rsid w:val="00B15AE4"/>
    <w:rsid w:val="00B165E3"/>
    <w:rsid w:val="00B1664E"/>
    <w:rsid w:val="00B17419"/>
    <w:rsid w:val="00B222C9"/>
    <w:rsid w:val="00B24207"/>
    <w:rsid w:val="00B24A9B"/>
    <w:rsid w:val="00B25CD2"/>
    <w:rsid w:val="00B27B0E"/>
    <w:rsid w:val="00B308A3"/>
    <w:rsid w:val="00B31078"/>
    <w:rsid w:val="00B3268E"/>
    <w:rsid w:val="00B32F20"/>
    <w:rsid w:val="00B33815"/>
    <w:rsid w:val="00B33D16"/>
    <w:rsid w:val="00B341C1"/>
    <w:rsid w:val="00B3460C"/>
    <w:rsid w:val="00B347DC"/>
    <w:rsid w:val="00B35E7F"/>
    <w:rsid w:val="00B36160"/>
    <w:rsid w:val="00B36561"/>
    <w:rsid w:val="00B400EA"/>
    <w:rsid w:val="00B40306"/>
    <w:rsid w:val="00B41904"/>
    <w:rsid w:val="00B423C8"/>
    <w:rsid w:val="00B43095"/>
    <w:rsid w:val="00B43416"/>
    <w:rsid w:val="00B438AE"/>
    <w:rsid w:val="00B448A6"/>
    <w:rsid w:val="00B46129"/>
    <w:rsid w:val="00B46ADD"/>
    <w:rsid w:val="00B50649"/>
    <w:rsid w:val="00B50F48"/>
    <w:rsid w:val="00B52694"/>
    <w:rsid w:val="00B52B03"/>
    <w:rsid w:val="00B535E8"/>
    <w:rsid w:val="00B5470E"/>
    <w:rsid w:val="00B56264"/>
    <w:rsid w:val="00B571F8"/>
    <w:rsid w:val="00B57631"/>
    <w:rsid w:val="00B61A16"/>
    <w:rsid w:val="00B630CF"/>
    <w:rsid w:val="00B6328F"/>
    <w:rsid w:val="00B63F49"/>
    <w:rsid w:val="00B65358"/>
    <w:rsid w:val="00B65ACE"/>
    <w:rsid w:val="00B65C97"/>
    <w:rsid w:val="00B65EC2"/>
    <w:rsid w:val="00B6616F"/>
    <w:rsid w:val="00B66FE1"/>
    <w:rsid w:val="00B67FF1"/>
    <w:rsid w:val="00B7007B"/>
    <w:rsid w:val="00B7023D"/>
    <w:rsid w:val="00B708B1"/>
    <w:rsid w:val="00B7110D"/>
    <w:rsid w:val="00B711FB"/>
    <w:rsid w:val="00B71667"/>
    <w:rsid w:val="00B72BAD"/>
    <w:rsid w:val="00B73982"/>
    <w:rsid w:val="00B73ECE"/>
    <w:rsid w:val="00B74DFB"/>
    <w:rsid w:val="00B756C9"/>
    <w:rsid w:val="00B75D74"/>
    <w:rsid w:val="00B77029"/>
    <w:rsid w:val="00B77183"/>
    <w:rsid w:val="00B77A25"/>
    <w:rsid w:val="00B815A9"/>
    <w:rsid w:val="00B817E0"/>
    <w:rsid w:val="00B818C8"/>
    <w:rsid w:val="00B82738"/>
    <w:rsid w:val="00B83416"/>
    <w:rsid w:val="00B843CD"/>
    <w:rsid w:val="00B84AE8"/>
    <w:rsid w:val="00B86B09"/>
    <w:rsid w:val="00B86B3C"/>
    <w:rsid w:val="00B86B7A"/>
    <w:rsid w:val="00B86FC6"/>
    <w:rsid w:val="00B87418"/>
    <w:rsid w:val="00B876EF"/>
    <w:rsid w:val="00B87F3A"/>
    <w:rsid w:val="00B90BF3"/>
    <w:rsid w:val="00B92014"/>
    <w:rsid w:val="00B9360B"/>
    <w:rsid w:val="00B94616"/>
    <w:rsid w:val="00B951EF"/>
    <w:rsid w:val="00B96979"/>
    <w:rsid w:val="00B97946"/>
    <w:rsid w:val="00BA0E76"/>
    <w:rsid w:val="00BA19EC"/>
    <w:rsid w:val="00BA1E39"/>
    <w:rsid w:val="00BA2225"/>
    <w:rsid w:val="00BA30A1"/>
    <w:rsid w:val="00BA39C4"/>
    <w:rsid w:val="00BA3BB4"/>
    <w:rsid w:val="00BA474B"/>
    <w:rsid w:val="00BA510E"/>
    <w:rsid w:val="00BA51EF"/>
    <w:rsid w:val="00BB09BC"/>
    <w:rsid w:val="00BB3926"/>
    <w:rsid w:val="00BB3AEE"/>
    <w:rsid w:val="00BB6334"/>
    <w:rsid w:val="00BC2097"/>
    <w:rsid w:val="00BC2AA4"/>
    <w:rsid w:val="00BC375A"/>
    <w:rsid w:val="00BC55A1"/>
    <w:rsid w:val="00BC618A"/>
    <w:rsid w:val="00BD14A4"/>
    <w:rsid w:val="00BD25BF"/>
    <w:rsid w:val="00BD32FA"/>
    <w:rsid w:val="00BD5667"/>
    <w:rsid w:val="00BD6D7C"/>
    <w:rsid w:val="00BD7083"/>
    <w:rsid w:val="00BE0054"/>
    <w:rsid w:val="00BE0F2C"/>
    <w:rsid w:val="00BE0F82"/>
    <w:rsid w:val="00BE11C4"/>
    <w:rsid w:val="00BE1CB8"/>
    <w:rsid w:val="00BE1DE5"/>
    <w:rsid w:val="00BE2061"/>
    <w:rsid w:val="00BE309E"/>
    <w:rsid w:val="00BE3476"/>
    <w:rsid w:val="00BE3942"/>
    <w:rsid w:val="00BE41DE"/>
    <w:rsid w:val="00BE51FD"/>
    <w:rsid w:val="00BE5796"/>
    <w:rsid w:val="00BE5D49"/>
    <w:rsid w:val="00BE79B4"/>
    <w:rsid w:val="00BF0691"/>
    <w:rsid w:val="00BF0778"/>
    <w:rsid w:val="00BF13A5"/>
    <w:rsid w:val="00BF1DA5"/>
    <w:rsid w:val="00BF243B"/>
    <w:rsid w:val="00BF2441"/>
    <w:rsid w:val="00BF2689"/>
    <w:rsid w:val="00BF283C"/>
    <w:rsid w:val="00BF2914"/>
    <w:rsid w:val="00BF3213"/>
    <w:rsid w:val="00BF35ED"/>
    <w:rsid w:val="00BF3F63"/>
    <w:rsid w:val="00BF44BF"/>
    <w:rsid w:val="00BF5896"/>
    <w:rsid w:val="00BF760E"/>
    <w:rsid w:val="00C0084D"/>
    <w:rsid w:val="00C00872"/>
    <w:rsid w:val="00C02243"/>
    <w:rsid w:val="00C03A5A"/>
    <w:rsid w:val="00C0489E"/>
    <w:rsid w:val="00C04C66"/>
    <w:rsid w:val="00C04E48"/>
    <w:rsid w:val="00C05EBE"/>
    <w:rsid w:val="00C06F93"/>
    <w:rsid w:val="00C07061"/>
    <w:rsid w:val="00C0725D"/>
    <w:rsid w:val="00C102DA"/>
    <w:rsid w:val="00C10437"/>
    <w:rsid w:val="00C107BE"/>
    <w:rsid w:val="00C10B14"/>
    <w:rsid w:val="00C116D2"/>
    <w:rsid w:val="00C11A77"/>
    <w:rsid w:val="00C126FA"/>
    <w:rsid w:val="00C12952"/>
    <w:rsid w:val="00C14230"/>
    <w:rsid w:val="00C143B5"/>
    <w:rsid w:val="00C1633A"/>
    <w:rsid w:val="00C167AC"/>
    <w:rsid w:val="00C1758D"/>
    <w:rsid w:val="00C20473"/>
    <w:rsid w:val="00C20564"/>
    <w:rsid w:val="00C206A7"/>
    <w:rsid w:val="00C20CD5"/>
    <w:rsid w:val="00C220E7"/>
    <w:rsid w:val="00C22229"/>
    <w:rsid w:val="00C22776"/>
    <w:rsid w:val="00C2476B"/>
    <w:rsid w:val="00C250DA"/>
    <w:rsid w:val="00C25E5D"/>
    <w:rsid w:val="00C273FF"/>
    <w:rsid w:val="00C3000A"/>
    <w:rsid w:val="00C30101"/>
    <w:rsid w:val="00C32997"/>
    <w:rsid w:val="00C32D3F"/>
    <w:rsid w:val="00C3386A"/>
    <w:rsid w:val="00C34E17"/>
    <w:rsid w:val="00C35333"/>
    <w:rsid w:val="00C374B1"/>
    <w:rsid w:val="00C40CEC"/>
    <w:rsid w:val="00C424C7"/>
    <w:rsid w:val="00C42C0F"/>
    <w:rsid w:val="00C43038"/>
    <w:rsid w:val="00C430E3"/>
    <w:rsid w:val="00C43613"/>
    <w:rsid w:val="00C45F57"/>
    <w:rsid w:val="00C46500"/>
    <w:rsid w:val="00C50250"/>
    <w:rsid w:val="00C50F3C"/>
    <w:rsid w:val="00C51EDF"/>
    <w:rsid w:val="00C5250C"/>
    <w:rsid w:val="00C5363E"/>
    <w:rsid w:val="00C559EA"/>
    <w:rsid w:val="00C55A5E"/>
    <w:rsid w:val="00C55A7D"/>
    <w:rsid w:val="00C56936"/>
    <w:rsid w:val="00C62C80"/>
    <w:rsid w:val="00C62CB0"/>
    <w:rsid w:val="00C63ECE"/>
    <w:rsid w:val="00C64F66"/>
    <w:rsid w:val="00C65BD6"/>
    <w:rsid w:val="00C671F1"/>
    <w:rsid w:val="00C700AE"/>
    <w:rsid w:val="00C72DC4"/>
    <w:rsid w:val="00C72E1E"/>
    <w:rsid w:val="00C747F3"/>
    <w:rsid w:val="00C74B7D"/>
    <w:rsid w:val="00C7516B"/>
    <w:rsid w:val="00C75296"/>
    <w:rsid w:val="00C75E32"/>
    <w:rsid w:val="00C764DA"/>
    <w:rsid w:val="00C767EA"/>
    <w:rsid w:val="00C8145D"/>
    <w:rsid w:val="00C81DFC"/>
    <w:rsid w:val="00C854EB"/>
    <w:rsid w:val="00C8592B"/>
    <w:rsid w:val="00C85EA8"/>
    <w:rsid w:val="00C86BD4"/>
    <w:rsid w:val="00C94DF9"/>
    <w:rsid w:val="00C96E35"/>
    <w:rsid w:val="00CA020E"/>
    <w:rsid w:val="00CA0B79"/>
    <w:rsid w:val="00CA19A4"/>
    <w:rsid w:val="00CA279F"/>
    <w:rsid w:val="00CA2FF1"/>
    <w:rsid w:val="00CA3DA2"/>
    <w:rsid w:val="00CA652B"/>
    <w:rsid w:val="00CA6FFD"/>
    <w:rsid w:val="00CA7199"/>
    <w:rsid w:val="00CA7AE0"/>
    <w:rsid w:val="00CB001B"/>
    <w:rsid w:val="00CB2BAE"/>
    <w:rsid w:val="00CB303B"/>
    <w:rsid w:val="00CB481B"/>
    <w:rsid w:val="00CB6913"/>
    <w:rsid w:val="00CB6EAC"/>
    <w:rsid w:val="00CB6F73"/>
    <w:rsid w:val="00CB732D"/>
    <w:rsid w:val="00CB7F74"/>
    <w:rsid w:val="00CC14C1"/>
    <w:rsid w:val="00CC157B"/>
    <w:rsid w:val="00CC172B"/>
    <w:rsid w:val="00CC206B"/>
    <w:rsid w:val="00CC25EB"/>
    <w:rsid w:val="00CC3232"/>
    <w:rsid w:val="00CC3309"/>
    <w:rsid w:val="00CC4269"/>
    <w:rsid w:val="00CC4E3C"/>
    <w:rsid w:val="00CC4E5C"/>
    <w:rsid w:val="00CC5A84"/>
    <w:rsid w:val="00CC5EE7"/>
    <w:rsid w:val="00CC70DC"/>
    <w:rsid w:val="00CC7112"/>
    <w:rsid w:val="00CC7CE2"/>
    <w:rsid w:val="00CD1819"/>
    <w:rsid w:val="00CD2896"/>
    <w:rsid w:val="00CD2CCE"/>
    <w:rsid w:val="00CD40C4"/>
    <w:rsid w:val="00CD44D2"/>
    <w:rsid w:val="00CD5625"/>
    <w:rsid w:val="00CD57D3"/>
    <w:rsid w:val="00CD6149"/>
    <w:rsid w:val="00CD69B2"/>
    <w:rsid w:val="00CD6FD1"/>
    <w:rsid w:val="00CD7D98"/>
    <w:rsid w:val="00CE06EC"/>
    <w:rsid w:val="00CE19AF"/>
    <w:rsid w:val="00CE1D8D"/>
    <w:rsid w:val="00CE2754"/>
    <w:rsid w:val="00CE3598"/>
    <w:rsid w:val="00CE4A50"/>
    <w:rsid w:val="00CE64BC"/>
    <w:rsid w:val="00CE6A45"/>
    <w:rsid w:val="00CF1C30"/>
    <w:rsid w:val="00CF230E"/>
    <w:rsid w:val="00CF23E3"/>
    <w:rsid w:val="00CF328E"/>
    <w:rsid w:val="00CF380C"/>
    <w:rsid w:val="00CF3CDC"/>
    <w:rsid w:val="00CF6310"/>
    <w:rsid w:val="00CF6CE9"/>
    <w:rsid w:val="00CF7CD6"/>
    <w:rsid w:val="00D00BB9"/>
    <w:rsid w:val="00D00C66"/>
    <w:rsid w:val="00D01253"/>
    <w:rsid w:val="00D01398"/>
    <w:rsid w:val="00D03688"/>
    <w:rsid w:val="00D0500C"/>
    <w:rsid w:val="00D056BF"/>
    <w:rsid w:val="00D06DA1"/>
    <w:rsid w:val="00D101B1"/>
    <w:rsid w:val="00D102B9"/>
    <w:rsid w:val="00D14E9B"/>
    <w:rsid w:val="00D1584D"/>
    <w:rsid w:val="00D15B80"/>
    <w:rsid w:val="00D16651"/>
    <w:rsid w:val="00D169E9"/>
    <w:rsid w:val="00D20263"/>
    <w:rsid w:val="00D21F09"/>
    <w:rsid w:val="00D238E8"/>
    <w:rsid w:val="00D2444C"/>
    <w:rsid w:val="00D24A23"/>
    <w:rsid w:val="00D25CA2"/>
    <w:rsid w:val="00D2737B"/>
    <w:rsid w:val="00D27A78"/>
    <w:rsid w:val="00D3579F"/>
    <w:rsid w:val="00D363F6"/>
    <w:rsid w:val="00D36DD6"/>
    <w:rsid w:val="00D37B8E"/>
    <w:rsid w:val="00D400B5"/>
    <w:rsid w:val="00D4118C"/>
    <w:rsid w:val="00D41FA1"/>
    <w:rsid w:val="00D42C43"/>
    <w:rsid w:val="00D43C91"/>
    <w:rsid w:val="00D44FF9"/>
    <w:rsid w:val="00D45775"/>
    <w:rsid w:val="00D4610E"/>
    <w:rsid w:val="00D46228"/>
    <w:rsid w:val="00D4654C"/>
    <w:rsid w:val="00D46AC3"/>
    <w:rsid w:val="00D46CB0"/>
    <w:rsid w:val="00D46DF1"/>
    <w:rsid w:val="00D51C9A"/>
    <w:rsid w:val="00D541DC"/>
    <w:rsid w:val="00D56733"/>
    <w:rsid w:val="00D56AFD"/>
    <w:rsid w:val="00D6227C"/>
    <w:rsid w:val="00D62402"/>
    <w:rsid w:val="00D628A2"/>
    <w:rsid w:val="00D63859"/>
    <w:rsid w:val="00D63C60"/>
    <w:rsid w:val="00D63FF1"/>
    <w:rsid w:val="00D64231"/>
    <w:rsid w:val="00D64683"/>
    <w:rsid w:val="00D651DD"/>
    <w:rsid w:val="00D66ACF"/>
    <w:rsid w:val="00D70984"/>
    <w:rsid w:val="00D70BC5"/>
    <w:rsid w:val="00D70F0D"/>
    <w:rsid w:val="00D71800"/>
    <w:rsid w:val="00D726B6"/>
    <w:rsid w:val="00D74FDA"/>
    <w:rsid w:val="00D75C87"/>
    <w:rsid w:val="00D7649C"/>
    <w:rsid w:val="00D77749"/>
    <w:rsid w:val="00D82AD9"/>
    <w:rsid w:val="00D83165"/>
    <w:rsid w:val="00D8376F"/>
    <w:rsid w:val="00D87C87"/>
    <w:rsid w:val="00D87E6F"/>
    <w:rsid w:val="00D9045F"/>
    <w:rsid w:val="00D9279B"/>
    <w:rsid w:val="00D927CE"/>
    <w:rsid w:val="00D92838"/>
    <w:rsid w:val="00D92A8A"/>
    <w:rsid w:val="00D9387B"/>
    <w:rsid w:val="00D93BDF"/>
    <w:rsid w:val="00D93CEF"/>
    <w:rsid w:val="00D94630"/>
    <w:rsid w:val="00D94BD4"/>
    <w:rsid w:val="00D94E6E"/>
    <w:rsid w:val="00D96227"/>
    <w:rsid w:val="00D9633C"/>
    <w:rsid w:val="00D96679"/>
    <w:rsid w:val="00D97347"/>
    <w:rsid w:val="00D97BD6"/>
    <w:rsid w:val="00DA1115"/>
    <w:rsid w:val="00DA19BC"/>
    <w:rsid w:val="00DA4A55"/>
    <w:rsid w:val="00DA4AE2"/>
    <w:rsid w:val="00DA5380"/>
    <w:rsid w:val="00DA5895"/>
    <w:rsid w:val="00DA6ACF"/>
    <w:rsid w:val="00DA79F6"/>
    <w:rsid w:val="00DB11F4"/>
    <w:rsid w:val="00DB2FF3"/>
    <w:rsid w:val="00DB3933"/>
    <w:rsid w:val="00DB4784"/>
    <w:rsid w:val="00DB5B36"/>
    <w:rsid w:val="00DB6685"/>
    <w:rsid w:val="00DB6850"/>
    <w:rsid w:val="00DB69D4"/>
    <w:rsid w:val="00DB6C15"/>
    <w:rsid w:val="00DB74DE"/>
    <w:rsid w:val="00DB7917"/>
    <w:rsid w:val="00DC0E55"/>
    <w:rsid w:val="00DC1C82"/>
    <w:rsid w:val="00DC1CA3"/>
    <w:rsid w:val="00DC224F"/>
    <w:rsid w:val="00DC25CB"/>
    <w:rsid w:val="00DC393D"/>
    <w:rsid w:val="00DC511E"/>
    <w:rsid w:val="00DC5DD9"/>
    <w:rsid w:val="00DC6149"/>
    <w:rsid w:val="00DD091C"/>
    <w:rsid w:val="00DD1D9A"/>
    <w:rsid w:val="00DD26B1"/>
    <w:rsid w:val="00DD427D"/>
    <w:rsid w:val="00DD4B99"/>
    <w:rsid w:val="00DD4C82"/>
    <w:rsid w:val="00DD4E68"/>
    <w:rsid w:val="00DD5033"/>
    <w:rsid w:val="00DD5786"/>
    <w:rsid w:val="00DD66B5"/>
    <w:rsid w:val="00DE3DFD"/>
    <w:rsid w:val="00DE4511"/>
    <w:rsid w:val="00DE584B"/>
    <w:rsid w:val="00DE6F54"/>
    <w:rsid w:val="00DE794D"/>
    <w:rsid w:val="00DE7C24"/>
    <w:rsid w:val="00DF02D6"/>
    <w:rsid w:val="00DF102A"/>
    <w:rsid w:val="00DF2D6D"/>
    <w:rsid w:val="00DF2E49"/>
    <w:rsid w:val="00DF4116"/>
    <w:rsid w:val="00DF5D49"/>
    <w:rsid w:val="00DF5DB8"/>
    <w:rsid w:val="00DF6A98"/>
    <w:rsid w:val="00E004C0"/>
    <w:rsid w:val="00E0183D"/>
    <w:rsid w:val="00E032D8"/>
    <w:rsid w:val="00E0344B"/>
    <w:rsid w:val="00E0405E"/>
    <w:rsid w:val="00E05182"/>
    <w:rsid w:val="00E0520E"/>
    <w:rsid w:val="00E054BB"/>
    <w:rsid w:val="00E056BA"/>
    <w:rsid w:val="00E05DE6"/>
    <w:rsid w:val="00E06CC8"/>
    <w:rsid w:val="00E107B3"/>
    <w:rsid w:val="00E10F19"/>
    <w:rsid w:val="00E114DC"/>
    <w:rsid w:val="00E1181B"/>
    <w:rsid w:val="00E11E49"/>
    <w:rsid w:val="00E1374D"/>
    <w:rsid w:val="00E14272"/>
    <w:rsid w:val="00E1457C"/>
    <w:rsid w:val="00E14D21"/>
    <w:rsid w:val="00E15791"/>
    <w:rsid w:val="00E15B0A"/>
    <w:rsid w:val="00E15BB6"/>
    <w:rsid w:val="00E1750C"/>
    <w:rsid w:val="00E200B1"/>
    <w:rsid w:val="00E20784"/>
    <w:rsid w:val="00E20CA3"/>
    <w:rsid w:val="00E23D18"/>
    <w:rsid w:val="00E240A5"/>
    <w:rsid w:val="00E243BB"/>
    <w:rsid w:val="00E245B2"/>
    <w:rsid w:val="00E247F0"/>
    <w:rsid w:val="00E24943"/>
    <w:rsid w:val="00E24E94"/>
    <w:rsid w:val="00E25817"/>
    <w:rsid w:val="00E25A3C"/>
    <w:rsid w:val="00E25E6E"/>
    <w:rsid w:val="00E26336"/>
    <w:rsid w:val="00E266D4"/>
    <w:rsid w:val="00E307AD"/>
    <w:rsid w:val="00E308A5"/>
    <w:rsid w:val="00E30918"/>
    <w:rsid w:val="00E3091B"/>
    <w:rsid w:val="00E3153D"/>
    <w:rsid w:val="00E3482E"/>
    <w:rsid w:val="00E34934"/>
    <w:rsid w:val="00E3722F"/>
    <w:rsid w:val="00E37966"/>
    <w:rsid w:val="00E37B70"/>
    <w:rsid w:val="00E4194D"/>
    <w:rsid w:val="00E43F01"/>
    <w:rsid w:val="00E449A7"/>
    <w:rsid w:val="00E45DEC"/>
    <w:rsid w:val="00E465EC"/>
    <w:rsid w:val="00E46B33"/>
    <w:rsid w:val="00E515EB"/>
    <w:rsid w:val="00E523EB"/>
    <w:rsid w:val="00E530DB"/>
    <w:rsid w:val="00E56A92"/>
    <w:rsid w:val="00E617CE"/>
    <w:rsid w:val="00E62F3C"/>
    <w:rsid w:val="00E63478"/>
    <w:rsid w:val="00E63B87"/>
    <w:rsid w:val="00E63CFB"/>
    <w:rsid w:val="00E63EA7"/>
    <w:rsid w:val="00E644E0"/>
    <w:rsid w:val="00E65E72"/>
    <w:rsid w:val="00E6627D"/>
    <w:rsid w:val="00E665AA"/>
    <w:rsid w:val="00E67316"/>
    <w:rsid w:val="00E6763A"/>
    <w:rsid w:val="00E679D7"/>
    <w:rsid w:val="00E701BC"/>
    <w:rsid w:val="00E70F72"/>
    <w:rsid w:val="00E752A8"/>
    <w:rsid w:val="00E7671D"/>
    <w:rsid w:val="00E76C6F"/>
    <w:rsid w:val="00E77246"/>
    <w:rsid w:val="00E80091"/>
    <w:rsid w:val="00E80344"/>
    <w:rsid w:val="00E80B46"/>
    <w:rsid w:val="00E80CCF"/>
    <w:rsid w:val="00E818AD"/>
    <w:rsid w:val="00E81ABF"/>
    <w:rsid w:val="00E81F1F"/>
    <w:rsid w:val="00E83763"/>
    <w:rsid w:val="00E848FF"/>
    <w:rsid w:val="00E84974"/>
    <w:rsid w:val="00E84F24"/>
    <w:rsid w:val="00E85EB4"/>
    <w:rsid w:val="00E87817"/>
    <w:rsid w:val="00E8794D"/>
    <w:rsid w:val="00E917E6"/>
    <w:rsid w:val="00E92021"/>
    <w:rsid w:val="00E92213"/>
    <w:rsid w:val="00E92980"/>
    <w:rsid w:val="00E933F2"/>
    <w:rsid w:val="00E93838"/>
    <w:rsid w:val="00E96D6B"/>
    <w:rsid w:val="00E97229"/>
    <w:rsid w:val="00EA1510"/>
    <w:rsid w:val="00EA21C9"/>
    <w:rsid w:val="00EA3FCF"/>
    <w:rsid w:val="00EA4294"/>
    <w:rsid w:val="00EA42E9"/>
    <w:rsid w:val="00EA499B"/>
    <w:rsid w:val="00EA4F20"/>
    <w:rsid w:val="00EA6050"/>
    <w:rsid w:val="00EA6552"/>
    <w:rsid w:val="00EA73DB"/>
    <w:rsid w:val="00EA77E5"/>
    <w:rsid w:val="00EB0C2C"/>
    <w:rsid w:val="00EB0E5E"/>
    <w:rsid w:val="00EB1A49"/>
    <w:rsid w:val="00EB1EBB"/>
    <w:rsid w:val="00EB20C1"/>
    <w:rsid w:val="00EB23AB"/>
    <w:rsid w:val="00EB30F1"/>
    <w:rsid w:val="00EB32EB"/>
    <w:rsid w:val="00EB41A2"/>
    <w:rsid w:val="00EB4D7D"/>
    <w:rsid w:val="00EB5E0E"/>
    <w:rsid w:val="00EB6BC3"/>
    <w:rsid w:val="00EB70CD"/>
    <w:rsid w:val="00EB736F"/>
    <w:rsid w:val="00EC0FD7"/>
    <w:rsid w:val="00EC2F5A"/>
    <w:rsid w:val="00EC42F6"/>
    <w:rsid w:val="00EC5B6B"/>
    <w:rsid w:val="00ED02A1"/>
    <w:rsid w:val="00ED1498"/>
    <w:rsid w:val="00ED1FF5"/>
    <w:rsid w:val="00ED4A57"/>
    <w:rsid w:val="00ED6410"/>
    <w:rsid w:val="00EE04A5"/>
    <w:rsid w:val="00EE04CD"/>
    <w:rsid w:val="00EE1F40"/>
    <w:rsid w:val="00EE28AB"/>
    <w:rsid w:val="00EE326E"/>
    <w:rsid w:val="00EE34E9"/>
    <w:rsid w:val="00EE45E9"/>
    <w:rsid w:val="00EE5CB2"/>
    <w:rsid w:val="00EE650F"/>
    <w:rsid w:val="00EF08E2"/>
    <w:rsid w:val="00EF14CF"/>
    <w:rsid w:val="00EF2A9D"/>
    <w:rsid w:val="00EF2EED"/>
    <w:rsid w:val="00EF3306"/>
    <w:rsid w:val="00EF36C8"/>
    <w:rsid w:val="00EF3AE1"/>
    <w:rsid w:val="00EF3F8C"/>
    <w:rsid w:val="00EF41DC"/>
    <w:rsid w:val="00EF5D3F"/>
    <w:rsid w:val="00EF712B"/>
    <w:rsid w:val="00EF77E5"/>
    <w:rsid w:val="00EF7D5A"/>
    <w:rsid w:val="00F008F3"/>
    <w:rsid w:val="00F0091F"/>
    <w:rsid w:val="00F00E6D"/>
    <w:rsid w:val="00F012F0"/>
    <w:rsid w:val="00F01F2D"/>
    <w:rsid w:val="00F020DD"/>
    <w:rsid w:val="00F03617"/>
    <w:rsid w:val="00F04EF2"/>
    <w:rsid w:val="00F05860"/>
    <w:rsid w:val="00F05FA7"/>
    <w:rsid w:val="00F06535"/>
    <w:rsid w:val="00F06DF4"/>
    <w:rsid w:val="00F06EAB"/>
    <w:rsid w:val="00F07D95"/>
    <w:rsid w:val="00F101C0"/>
    <w:rsid w:val="00F10503"/>
    <w:rsid w:val="00F112EA"/>
    <w:rsid w:val="00F11A3C"/>
    <w:rsid w:val="00F127BA"/>
    <w:rsid w:val="00F13519"/>
    <w:rsid w:val="00F16C66"/>
    <w:rsid w:val="00F17781"/>
    <w:rsid w:val="00F17B80"/>
    <w:rsid w:val="00F22322"/>
    <w:rsid w:val="00F2325E"/>
    <w:rsid w:val="00F23E3D"/>
    <w:rsid w:val="00F23EB6"/>
    <w:rsid w:val="00F24853"/>
    <w:rsid w:val="00F25C21"/>
    <w:rsid w:val="00F25F07"/>
    <w:rsid w:val="00F26B4C"/>
    <w:rsid w:val="00F26EB0"/>
    <w:rsid w:val="00F2797A"/>
    <w:rsid w:val="00F27E6D"/>
    <w:rsid w:val="00F344EC"/>
    <w:rsid w:val="00F34C3E"/>
    <w:rsid w:val="00F34DA5"/>
    <w:rsid w:val="00F35EC8"/>
    <w:rsid w:val="00F36D1D"/>
    <w:rsid w:val="00F36FE1"/>
    <w:rsid w:val="00F377A4"/>
    <w:rsid w:val="00F37BF1"/>
    <w:rsid w:val="00F4091A"/>
    <w:rsid w:val="00F41368"/>
    <w:rsid w:val="00F41834"/>
    <w:rsid w:val="00F44056"/>
    <w:rsid w:val="00F44420"/>
    <w:rsid w:val="00F45CFC"/>
    <w:rsid w:val="00F469BA"/>
    <w:rsid w:val="00F47C18"/>
    <w:rsid w:val="00F50437"/>
    <w:rsid w:val="00F507D9"/>
    <w:rsid w:val="00F5134A"/>
    <w:rsid w:val="00F52628"/>
    <w:rsid w:val="00F530D1"/>
    <w:rsid w:val="00F54BAD"/>
    <w:rsid w:val="00F5502C"/>
    <w:rsid w:val="00F55FA6"/>
    <w:rsid w:val="00F5774B"/>
    <w:rsid w:val="00F60480"/>
    <w:rsid w:val="00F614FB"/>
    <w:rsid w:val="00F61FE9"/>
    <w:rsid w:val="00F6396E"/>
    <w:rsid w:val="00F63C90"/>
    <w:rsid w:val="00F64D99"/>
    <w:rsid w:val="00F65492"/>
    <w:rsid w:val="00F678E0"/>
    <w:rsid w:val="00F67CEC"/>
    <w:rsid w:val="00F703CA"/>
    <w:rsid w:val="00F7122C"/>
    <w:rsid w:val="00F715E6"/>
    <w:rsid w:val="00F715FD"/>
    <w:rsid w:val="00F7263B"/>
    <w:rsid w:val="00F732B5"/>
    <w:rsid w:val="00F733ED"/>
    <w:rsid w:val="00F743FE"/>
    <w:rsid w:val="00F76B51"/>
    <w:rsid w:val="00F774B6"/>
    <w:rsid w:val="00F779CD"/>
    <w:rsid w:val="00F80A6A"/>
    <w:rsid w:val="00F8149C"/>
    <w:rsid w:val="00F82F40"/>
    <w:rsid w:val="00F831C9"/>
    <w:rsid w:val="00F837B8"/>
    <w:rsid w:val="00F83FAF"/>
    <w:rsid w:val="00F84381"/>
    <w:rsid w:val="00F84D96"/>
    <w:rsid w:val="00F8690D"/>
    <w:rsid w:val="00F91422"/>
    <w:rsid w:val="00F9167A"/>
    <w:rsid w:val="00F91DBB"/>
    <w:rsid w:val="00F9293F"/>
    <w:rsid w:val="00F931F4"/>
    <w:rsid w:val="00F946BD"/>
    <w:rsid w:val="00F94944"/>
    <w:rsid w:val="00F961B9"/>
    <w:rsid w:val="00F97E5C"/>
    <w:rsid w:val="00FA01A4"/>
    <w:rsid w:val="00FA145E"/>
    <w:rsid w:val="00FA20CA"/>
    <w:rsid w:val="00FA3EAA"/>
    <w:rsid w:val="00FA3F43"/>
    <w:rsid w:val="00FA49AE"/>
    <w:rsid w:val="00FA4B6A"/>
    <w:rsid w:val="00FA4C10"/>
    <w:rsid w:val="00FA6EF4"/>
    <w:rsid w:val="00FB094D"/>
    <w:rsid w:val="00FB16CB"/>
    <w:rsid w:val="00FB1BE3"/>
    <w:rsid w:val="00FB202B"/>
    <w:rsid w:val="00FB2256"/>
    <w:rsid w:val="00FB2595"/>
    <w:rsid w:val="00FB2B62"/>
    <w:rsid w:val="00FB3398"/>
    <w:rsid w:val="00FB38B9"/>
    <w:rsid w:val="00FB3EF3"/>
    <w:rsid w:val="00FB497C"/>
    <w:rsid w:val="00FB4B0F"/>
    <w:rsid w:val="00FB4FC4"/>
    <w:rsid w:val="00FB50D6"/>
    <w:rsid w:val="00FB665C"/>
    <w:rsid w:val="00FB668B"/>
    <w:rsid w:val="00FB6733"/>
    <w:rsid w:val="00FC072E"/>
    <w:rsid w:val="00FC388D"/>
    <w:rsid w:val="00FC3EEF"/>
    <w:rsid w:val="00FC4349"/>
    <w:rsid w:val="00FC4DF9"/>
    <w:rsid w:val="00FC5AEE"/>
    <w:rsid w:val="00FC656E"/>
    <w:rsid w:val="00FD46D1"/>
    <w:rsid w:val="00FD54DB"/>
    <w:rsid w:val="00FD58F2"/>
    <w:rsid w:val="00FD5E24"/>
    <w:rsid w:val="00FD6B91"/>
    <w:rsid w:val="00FD71D6"/>
    <w:rsid w:val="00FE1080"/>
    <w:rsid w:val="00FE133D"/>
    <w:rsid w:val="00FE1E83"/>
    <w:rsid w:val="00FE2FC1"/>
    <w:rsid w:val="00FE4D17"/>
    <w:rsid w:val="00FE4E04"/>
    <w:rsid w:val="00FE5427"/>
    <w:rsid w:val="00FE63A1"/>
    <w:rsid w:val="00FE71C5"/>
    <w:rsid w:val="00FF1DF1"/>
    <w:rsid w:val="00FF23BD"/>
    <w:rsid w:val="00FF25E8"/>
    <w:rsid w:val="00FF30D2"/>
    <w:rsid w:val="00FF4CA5"/>
    <w:rsid w:val="00FF50E8"/>
    <w:rsid w:val="00FF536D"/>
    <w:rsid w:val="00FF5408"/>
    <w:rsid w:val="00FF5B07"/>
    <w:rsid w:val="00FF623A"/>
    <w:rsid w:val="00FF6240"/>
    <w:rsid w:val="00FF6644"/>
    <w:rsid w:val="00FF680E"/>
    <w:rsid w:val="00FF6975"/>
    <w:rsid w:val="00FF7339"/>
    <w:rsid w:val="029F0571"/>
    <w:rsid w:val="045625A1"/>
    <w:rsid w:val="05972FDC"/>
    <w:rsid w:val="07F832D5"/>
    <w:rsid w:val="0B9A318B"/>
    <w:rsid w:val="0C917190"/>
    <w:rsid w:val="104208F6"/>
    <w:rsid w:val="104D2A05"/>
    <w:rsid w:val="14B70352"/>
    <w:rsid w:val="14BD72BF"/>
    <w:rsid w:val="16463906"/>
    <w:rsid w:val="18E2597E"/>
    <w:rsid w:val="19D31D53"/>
    <w:rsid w:val="1DB406EA"/>
    <w:rsid w:val="1F1225CF"/>
    <w:rsid w:val="22EC3DEA"/>
    <w:rsid w:val="238270F0"/>
    <w:rsid w:val="253468BE"/>
    <w:rsid w:val="25A64B9D"/>
    <w:rsid w:val="28DE6601"/>
    <w:rsid w:val="2BA924ED"/>
    <w:rsid w:val="2BC674CC"/>
    <w:rsid w:val="2C580A3E"/>
    <w:rsid w:val="2C7A016F"/>
    <w:rsid w:val="2CA27EC8"/>
    <w:rsid w:val="2D6418C1"/>
    <w:rsid w:val="2E1132D2"/>
    <w:rsid w:val="2EBF3A83"/>
    <w:rsid w:val="30C7037F"/>
    <w:rsid w:val="36CD0061"/>
    <w:rsid w:val="3B9241ED"/>
    <w:rsid w:val="3DAF3329"/>
    <w:rsid w:val="3E7503C3"/>
    <w:rsid w:val="41B4616B"/>
    <w:rsid w:val="41D735DD"/>
    <w:rsid w:val="432C6659"/>
    <w:rsid w:val="48947035"/>
    <w:rsid w:val="4C8B5357"/>
    <w:rsid w:val="4CC12768"/>
    <w:rsid w:val="4D632788"/>
    <w:rsid w:val="4D7202BF"/>
    <w:rsid w:val="4EA50F9A"/>
    <w:rsid w:val="519E1C89"/>
    <w:rsid w:val="69E03887"/>
    <w:rsid w:val="69E17D92"/>
    <w:rsid w:val="6C2B4727"/>
    <w:rsid w:val="70EF648C"/>
    <w:rsid w:val="737477E1"/>
    <w:rsid w:val="79324F77"/>
    <w:rsid w:val="79C63C7A"/>
    <w:rsid w:val="7AC92FA9"/>
    <w:rsid w:val="7B4B69B2"/>
    <w:rsid w:val="7FB16386"/>
    <w:rsid w:val="7FB45023"/>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iPriority="99"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qFormat="1" w:unhideWhenUsed="0" w:uiPriority="99" w:semiHidden="0" w:name="Body Text 2"/>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0" w:semiHidden="0" w:name="Emphasis"/>
    <w:lsdException w:uiPriority="99" w:name="Document Map" w:locked="1"/>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57" w:lineRule="atLeast"/>
      <w:jc w:val="both"/>
      <w:textAlignment w:val="baseline"/>
    </w:pPr>
    <w:rPr>
      <w:rFonts w:ascii="Times New Roman" w:hAnsi="Times New Roman" w:eastAsia="宋体" w:cs="Times New Roman"/>
      <w:color w:val="000000"/>
      <w:sz w:val="21"/>
      <w:u w:color="000000"/>
      <w:lang w:val="en-US" w:eastAsia="zh-CN" w:bidi="ar-SA"/>
    </w:rPr>
  </w:style>
  <w:style w:type="paragraph" w:styleId="2">
    <w:name w:val="heading 1"/>
    <w:basedOn w:val="1"/>
    <w:next w:val="1"/>
    <w:link w:val="22"/>
    <w:qFormat/>
    <w:uiPriority w:val="99"/>
    <w:pPr>
      <w:keepNext/>
      <w:keepLines/>
      <w:widowControl w:val="0"/>
      <w:spacing w:before="340" w:after="330" w:line="576" w:lineRule="auto"/>
      <w:textAlignment w:val="auto"/>
      <w:outlineLvl w:val="0"/>
    </w:pPr>
    <w:rPr>
      <w:b/>
      <w:bCs/>
      <w:color w:val="auto"/>
      <w:kern w:val="44"/>
      <w:sz w:val="44"/>
      <w:szCs w:val="44"/>
    </w:rPr>
  </w:style>
  <w:style w:type="paragraph" w:styleId="3">
    <w:name w:val="heading 2"/>
    <w:basedOn w:val="1"/>
    <w:next w:val="1"/>
    <w:link w:val="63"/>
    <w:semiHidden/>
    <w:unhideWhenUsed/>
    <w:qFormat/>
    <w:uiPriority w:val="0"/>
    <w:pPr>
      <w:keepNext/>
      <w:keepLines/>
      <w:spacing w:before="260" w:after="260" w:line="416" w:lineRule="atLeast"/>
      <w:outlineLvl w:val="1"/>
    </w:pPr>
    <w:rPr>
      <w:rFonts w:ascii="Cambria" w:hAnsi="Cambria"/>
      <w:b/>
      <w:bCs/>
      <w:sz w:val="32"/>
      <w:szCs w:val="32"/>
    </w:rPr>
  </w:style>
  <w:style w:type="paragraph" w:styleId="4">
    <w:name w:val="heading 3"/>
    <w:basedOn w:val="1"/>
    <w:next w:val="1"/>
    <w:link w:val="23"/>
    <w:qFormat/>
    <w:uiPriority w:val="99"/>
    <w:pPr>
      <w:keepNext/>
      <w:keepLines/>
      <w:spacing w:before="260" w:after="260" w:line="416" w:lineRule="atLeast"/>
      <w:outlineLvl w:val="2"/>
    </w:pPr>
    <w:rPr>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64"/>
    <w:semiHidden/>
    <w:unhideWhenUsed/>
    <w:qFormat/>
    <w:locked/>
    <w:uiPriority w:val="99"/>
    <w:pPr>
      <w:spacing w:after="120"/>
    </w:pPr>
  </w:style>
  <w:style w:type="paragraph" w:styleId="6">
    <w:name w:val="Body Text Indent"/>
    <w:basedOn w:val="1"/>
    <w:link w:val="24"/>
    <w:qFormat/>
    <w:uiPriority w:val="99"/>
    <w:pPr>
      <w:widowControl w:val="0"/>
      <w:snapToGrid w:val="0"/>
      <w:spacing w:before="283" w:line="560" w:lineRule="exact"/>
      <w:ind w:firstLine="510"/>
    </w:pPr>
    <w:rPr>
      <w:sz w:val="28"/>
    </w:rPr>
  </w:style>
  <w:style w:type="paragraph" w:styleId="7">
    <w:name w:val="Plain Text"/>
    <w:basedOn w:val="1"/>
    <w:link w:val="53"/>
    <w:qFormat/>
    <w:uiPriority w:val="0"/>
    <w:pPr>
      <w:widowControl w:val="0"/>
      <w:spacing w:line="240" w:lineRule="auto"/>
      <w:textAlignment w:val="auto"/>
    </w:pPr>
    <w:rPr>
      <w:rFonts w:ascii="宋体" w:hAnsi="Courier New"/>
      <w:color w:val="auto"/>
      <w:kern w:val="2"/>
    </w:rPr>
  </w:style>
  <w:style w:type="paragraph" w:styleId="8">
    <w:name w:val="Date"/>
    <w:basedOn w:val="1"/>
    <w:next w:val="1"/>
    <w:link w:val="26"/>
    <w:qFormat/>
    <w:uiPriority w:val="99"/>
    <w:pPr>
      <w:ind w:left="100" w:leftChars="2500"/>
    </w:pPr>
  </w:style>
  <w:style w:type="paragraph" w:styleId="9">
    <w:name w:val="Balloon Text"/>
    <w:basedOn w:val="1"/>
    <w:link w:val="27"/>
    <w:qFormat/>
    <w:uiPriority w:val="99"/>
    <w:pPr>
      <w:spacing w:line="240" w:lineRule="auto"/>
    </w:pPr>
    <w:rPr>
      <w:sz w:val="18"/>
      <w:szCs w:val="18"/>
    </w:rPr>
  </w:style>
  <w:style w:type="paragraph" w:styleId="10">
    <w:name w:val="footer"/>
    <w:basedOn w:val="1"/>
    <w:link w:val="28"/>
    <w:qFormat/>
    <w:uiPriority w:val="99"/>
    <w:pPr>
      <w:tabs>
        <w:tab w:val="center" w:pos="4153"/>
        <w:tab w:val="right" w:pos="8306"/>
      </w:tabs>
      <w:snapToGrid w:val="0"/>
      <w:spacing w:line="240" w:lineRule="atLeast"/>
      <w:jc w:val="left"/>
    </w:pPr>
    <w:rPr>
      <w:sz w:val="18"/>
      <w:szCs w:val="18"/>
    </w:rPr>
  </w:style>
  <w:style w:type="paragraph" w:styleId="11">
    <w:name w:val="header"/>
    <w:basedOn w:val="1"/>
    <w:link w:val="29"/>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2">
    <w:name w:val="toc 1"/>
    <w:basedOn w:val="1"/>
    <w:next w:val="1"/>
    <w:qFormat/>
    <w:uiPriority w:val="39"/>
  </w:style>
  <w:style w:type="paragraph" w:styleId="13">
    <w:name w:val="toc 2"/>
    <w:basedOn w:val="1"/>
    <w:next w:val="1"/>
    <w:qFormat/>
    <w:uiPriority w:val="39"/>
    <w:pPr>
      <w:ind w:left="420" w:leftChars="200"/>
    </w:pPr>
  </w:style>
  <w:style w:type="paragraph" w:styleId="14">
    <w:name w:val="Body Text 2"/>
    <w:basedOn w:val="1"/>
    <w:link w:val="30"/>
    <w:qFormat/>
    <w:uiPriority w:val="99"/>
    <w:pPr>
      <w:spacing w:after="120" w:line="480" w:lineRule="auto"/>
    </w:pPr>
  </w:style>
  <w:style w:type="paragraph" w:styleId="15">
    <w:name w:val="Normal (Web)"/>
    <w:basedOn w:val="1"/>
    <w:qFormat/>
    <w:uiPriority w:val="99"/>
    <w:pPr>
      <w:spacing w:before="100" w:beforeAutospacing="1" w:after="100" w:afterAutospacing="1" w:line="240" w:lineRule="auto"/>
      <w:jc w:val="left"/>
      <w:textAlignment w:val="auto"/>
    </w:pPr>
    <w:rPr>
      <w:rFonts w:ascii="宋体" w:hAnsi="宋体" w:cs="宋体"/>
      <w:sz w:val="24"/>
      <w:szCs w:val="24"/>
    </w:rPr>
  </w:style>
  <w:style w:type="table" w:styleId="17">
    <w:name w:val="Table Grid"/>
    <w:basedOn w:val="1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qFormat/>
    <w:uiPriority w:val="99"/>
    <w:rPr>
      <w:rFonts w:cs="Times New Roman"/>
      <w:b/>
    </w:rPr>
  </w:style>
  <w:style w:type="character" w:styleId="20">
    <w:name w:val="page number"/>
    <w:qFormat/>
    <w:uiPriority w:val="99"/>
    <w:rPr>
      <w:rFonts w:cs="Times New Roman"/>
    </w:rPr>
  </w:style>
  <w:style w:type="character" w:styleId="21">
    <w:name w:val="Hyperlink"/>
    <w:qFormat/>
    <w:uiPriority w:val="99"/>
    <w:rPr>
      <w:rFonts w:cs="Times New Roman"/>
      <w:color w:val="0368A8"/>
      <w:u w:val="none"/>
    </w:rPr>
  </w:style>
  <w:style w:type="character" w:customStyle="1" w:styleId="22">
    <w:name w:val="标题 1 Char"/>
    <w:link w:val="2"/>
    <w:qFormat/>
    <w:locked/>
    <w:uiPriority w:val="99"/>
    <w:rPr>
      <w:rFonts w:cs="Times New Roman"/>
      <w:b/>
      <w:bCs/>
      <w:color w:val="000000"/>
      <w:kern w:val="44"/>
      <w:sz w:val="44"/>
      <w:szCs w:val="44"/>
      <w:u w:val="none" w:color="000000"/>
    </w:rPr>
  </w:style>
  <w:style w:type="character" w:customStyle="1" w:styleId="23">
    <w:name w:val="标题 3 Char"/>
    <w:link w:val="4"/>
    <w:semiHidden/>
    <w:qFormat/>
    <w:locked/>
    <w:uiPriority w:val="99"/>
    <w:rPr>
      <w:rFonts w:cs="Times New Roman"/>
      <w:b/>
      <w:bCs/>
      <w:color w:val="000000"/>
      <w:sz w:val="32"/>
      <w:szCs w:val="32"/>
      <w:u w:val="none" w:color="000000"/>
    </w:rPr>
  </w:style>
  <w:style w:type="character" w:customStyle="1" w:styleId="24">
    <w:name w:val="正文文本缩进 Char"/>
    <w:link w:val="6"/>
    <w:qFormat/>
    <w:locked/>
    <w:uiPriority w:val="99"/>
    <w:rPr>
      <w:rFonts w:cs="Times New Roman"/>
      <w:color w:val="000000"/>
      <w:kern w:val="0"/>
      <w:sz w:val="20"/>
      <w:szCs w:val="20"/>
      <w:u w:val="none" w:color="000000"/>
    </w:rPr>
  </w:style>
  <w:style w:type="character" w:customStyle="1" w:styleId="25">
    <w:name w:val="Plain Text Char"/>
    <w:qFormat/>
    <w:locked/>
    <w:uiPriority w:val="99"/>
    <w:rPr>
      <w:rFonts w:ascii="宋体" w:hAnsi="Courier New" w:eastAsia="宋体" w:cs="Times New Roman"/>
      <w:kern w:val="2"/>
      <w:sz w:val="21"/>
      <w:lang w:val="en-US" w:eastAsia="zh-CN"/>
    </w:rPr>
  </w:style>
  <w:style w:type="character" w:customStyle="1" w:styleId="26">
    <w:name w:val="日期 Char"/>
    <w:link w:val="8"/>
    <w:qFormat/>
    <w:locked/>
    <w:uiPriority w:val="99"/>
    <w:rPr>
      <w:rFonts w:cs="Times New Roman"/>
      <w:color w:val="000000"/>
      <w:sz w:val="21"/>
      <w:u w:val="none" w:color="000000"/>
    </w:rPr>
  </w:style>
  <w:style w:type="character" w:customStyle="1" w:styleId="27">
    <w:name w:val="批注框文本 Char"/>
    <w:link w:val="9"/>
    <w:qFormat/>
    <w:locked/>
    <w:uiPriority w:val="99"/>
    <w:rPr>
      <w:rFonts w:cs="Times New Roman"/>
      <w:color w:val="000000"/>
      <w:sz w:val="18"/>
      <w:szCs w:val="18"/>
      <w:u w:val="none" w:color="000000"/>
    </w:rPr>
  </w:style>
  <w:style w:type="character" w:customStyle="1" w:styleId="28">
    <w:name w:val="页脚 Char"/>
    <w:link w:val="10"/>
    <w:semiHidden/>
    <w:qFormat/>
    <w:locked/>
    <w:uiPriority w:val="99"/>
    <w:rPr>
      <w:rFonts w:cs="Times New Roman"/>
      <w:color w:val="000000"/>
      <w:kern w:val="0"/>
      <w:sz w:val="18"/>
      <w:szCs w:val="18"/>
      <w:u w:val="none" w:color="000000"/>
    </w:rPr>
  </w:style>
  <w:style w:type="character" w:customStyle="1" w:styleId="29">
    <w:name w:val="页眉 Char"/>
    <w:link w:val="11"/>
    <w:semiHidden/>
    <w:qFormat/>
    <w:locked/>
    <w:uiPriority w:val="99"/>
    <w:rPr>
      <w:rFonts w:cs="Times New Roman"/>
      <w:color w:val="000000"/>
      <w:kern w:val="0"/>
      <w:sz w:val="18"/>
      <w:szCs w:val="18"/>
      <w:u w:val="none" w:color="000000"/>
    </w:rPr>
  </w:style>
  <w:style w:type="character" w:customStyle="1" w:styleId="30">
    <w:name w:val="正文文本 2 Char"/>
    <w:link w:val="14"/>
    <w:semiHidden/>
    <w:qFormat/>
    <w:locked/>
    <w:uiPriority w:val="99"/>
    <w:rPr>
      <w:rFonts w:cs="Times New Roman"/>
      <w:color w:val="000000"/>
      <w:kern w:val="0"/>
      <w:sz w:val="20"/>
      <w:szCs w:val="20"/>
      <w:u w:val="none" w:color="000000"/>
    </w:rPr>
  </w:style>
  <w:style w:type="paragraph" w:customStyle="1" w:styleId="31">
    <w:name w:val="目录1"/>
    <w:basedOn w:val="1"/>
    <w:next w:val="1"/>
    <w:qFormat/>
    <w:uiPriority w:val="99"/>
    <w:pPr>
      <w:tabs>
        <w:tab w:val="left" w:leader="dot" w:pos="8503"/>
      </w:tabs>
      <w:spacing w:after="136" w:line="289" w:lineRule="atLeast"/>
      <w:jc w:val="left"/>
    </w:pPr>
    <w:rPr>
      <w:rFonts w:ascii="Arial" w:eastAsia="黑体"/>
      <w:sz w:val="28"/>
    </w:rPr>
  </w:style>
  <w:style w:type="paragraph" w:customStyle="1" w:styleId="32">
    <w:name w:val="章标题"/>
    <w:basedOn w:val="1"/>
    <w:next w:val="33"/>
    <w:qFormat/>
    <w:uiPriority w:val="99"/>
    <w:pPr>
      <w:spacing w:before="158" w:after="153" w:line="323" w:lineRule="atLeast"/>
      <w:jc w:val="center"/>
    </w:pPr>
    <w:rPr>
      <w:rFonts w:ascii="Arial" w:eastAsia="黑体"/>
      <w:sz w:val="31"/>
    </w:rPr>
  </w:style>
  <w:style w:type="paragraph" w:customStyle="1" w:styleId="33">
    <w:name w:val="节标题"/>
    <w:basedOn w:val="1"/>
    <w:next w:val="34"/>
    <w:qFormat/>
    <w:uiPriority w:val="99"/>
    <w:pPr>
      <w:spacing w:line="289" w:lineRule="atLeast"/>
      <w:jc w:val="center"/>
    </w:pPr>
    <w:rPr>
      <w:sz w:val="28"/>
    </w:rPr>
  </w:style>
  <w:style w:type="paragraph" w:customStyle="1" w:styleId="34">
    <w:name w:val="小节标题"/>
    <w:basedOn w:val="1"/>
    <w:next w:val="1"/>
    <w:qFormat/>
    <w:uiPriority w:val="99"/>
    <w:pPr>
      <w:spacing w:before="175" w:after="102" w:line="351" w:lineRule="atLeast"/>
    </w:pPr>
    <w:rPr>
      <w:rFonts w:eastAsia="黑体"/>
    </w:rPr>
  </w:style>
  <w:style w:type="paragraph" w:customStyle="1" w:styleId="35">
    <w:name w:val="目录2"/>
    <w:basedOn w:val="1"/>
    <w:next w:val="1"/>
    <w:qFormat/>
    <w:uiPriority w:val="99"/>
    <w:pPr>
      <w:tabs>
        <w:tab w:val="left" w:leader="dot" w:pos="8503"/>
      </w:tabs>
      <w:spacing w:line="317" w:lineRule="atLeast"/>
      <w:ind w:firstLine="209"/>
    </w:pPr>
  </w:style>
  <w:style w:type="paragraph" w:customStyle="1" w:styleId="36">
    <w:name w:val="目录4"/>
    <w:basedOn w:val="1"/>
    <w:next w:val="1"/>
    <w:qFormat/>
    <w:uiPriority w:val="99"/>
    <w:pPr>
      <w:tabs>
        <w:tab w:val="left" w:leader="dot" w:pos="8503"/>
      </w:tabs>
      <w:spacing w:line="317" w:lineRule="atLeast"/>
      <w:ind w:firstLine="629"/>
    </w:pPr>
  </w:style>
  <w:style w:type="paragraph" w:customStyle="1" w:styleId="37">
    <w:name w:val="1 Char Char Char Char"/>
    <w:basedOn w:val="1"/>
    <w:qFormat/>
    <w:uiPriority w:val="99"/>
    <w:pPr>
      <w:widowControl w:val="0"/>
      <w:spacing w:line="240" w:lineRule="auto"/>
      <w:textAlignment w:val="auto"/>
    </w:pPr>
    <w:rPr>
      <w:rFonts w:ascii="Tahoma" w:hAnsi="Tahoma" w:cs="Tahoma"/>
      <w:color w:val="auto"/>
      <w:kern w:val="2"/>
      <w:sz w:val="24"/>
      <w:szCs w:val="24"/>
    </w:rPr>
  </w:style>
  <w:style w:type="paragraph" w:customStyle="1" w:styleId="38">
    <w:name w:val="Char Char Char"/>
    <w:basedOn w:val="1"/>
    <w:qFormat/>
    <w:uiPriority w:val="99"/>
    <w:pPr>
      <w:widowControl w:val="0"/>
      <w:spacing w:line="240" w:lineRule="auto"/>
      <w:textAlignment w:val="auto"/>
    </w:pPr>
    <w:rPr>
      <w:rFonts w:ascii="Tahoma" w:hAnsi="Tahoma"/>
      <w:color w:val="auto"/>
      <w:kern w:val="2"/>
      <w:sz w:val="24"/>
    </w:rPr>
  </w:style>
  <w:style w:type="paragraph" w:customStyle="1" w:styleId="39">
    <w:name w:val="目录3"/>
    <w:basedOn w:val="1"/>
    <w:next w:val="1"/>
    <w:qFormat/>
    <w:uiPriority w:val="99"/>
    <w:pPr>
      <w:tabs>
        <w:tab w:val="left" w:leader="dot" w:pos="8503"/>
      </w:tabs>
      <w:spacing w:line="317" w:lineRule="atLeast"/>
      <w:ind w:firstLine="419"/>
    </w:pPr>
  </w:style>
  <w:style w:type="paragraph" w:customStyle="1" w:styleId="40">
    <w:name w:val="目录标题"/>
    <w:basedOn w:val="1"/>
    <w:next w:val="1"/>
    <w:qFormat/>
    <w:uiPriority w:val="99"/>
    <w:pPr>
      <w:spacing w:before="566" w:after="544" w:line="566" w:lineRule="atLeast"/>
      <w:ind w:firstLine="419"/>
      <w:jc w:val="center"/>
    </w:pPr>
    <w:rPr>
      <w:rFonts w:ascii="Arial" w:eastAsia="黑体"/>
      <w:spacing w:val="566"/>
      <w:sz w:val="54"/>
    </w:rPr>
  </w:style>
  <w:style w:type="paragraph" w:customStyle="1" w:styleId="41">
    <w:name w:val="文章总标题"/>
    <w:basedOn w:val="1"/>
    <w:next w:val="42"/>
    <w:qFormat/>
    <w:uiPriority w:val="99"/>
    <w:pPr>
      <w:spacing w:before="566" w:after="544" w:line="566" w:lineRule="atLeast"/>
      <w:jc w:val="center"/>
    </w:pPr>
    <w:rPr>
      <w:rFonts w:ascii="Arial" w:eastAsia="黑体"/>
      <w:sz w:val="54"/>
    </w:rPr>
  </w:style>
  <w:style w:type="paragraph" w:customStyle="1" w:styleId="42">
    <w:name w:val="文章附标题"/>
    <w:basedOn w:val="1"/>
    <w:next w:val="32"/>
    <w:qFormat/>
    <w:uiPriority w:val="99"/>
    <w:pPr>
      <w:spacing w:before="187" w:after="175" w:line="374" w:lineRule="atLeast"/>
      <w:jc w:val="center"/>
    </w:pPr>
    <w:rPr>
      <w:sz w:val="36"/>
    </w:rPr>
  </w:style>
  <w:style w:type="paragraph" w:customStyle="1" w:styleId="43">
    <w:name w:val="Char1"/>
    <w:basedOn w:val="1"/>
    <w:qFormat/>
    <w:uiPriority w:val="99"/>
    <w:pPr>
      <w:widowControl w:val="0"/>
      <w:spacing w:line="240" w:lineRule="auto"/>
      <w:textAlignment w:val="auto"/>
    </w:pPr>
    <w:rPr>
      <w:rFonts w:ascii="Tahoma" w:hAnsi="Tahoma"/>
      <w:color w:val="auto"/>
      <w:kern w:val="2"/>
      <w:sz w:val="24"/>
    </w:rPr>
  </w:style>
  <w:style w:type="paragraph" w:customStyle="1" w:styleId="44">
    <w:name w:val="Char11"/>
    <w:basedOn w:val="1"/>
    <w:qFormat/>
    <w:uiPriority w:val="99"/>
    <w:pPr>
      <w:widowControl w:val="0"/>
      <w:spacing w:line="240" w:lineRule="auto"/>
      <w:textAlignment w:val="auto"/>
    </w:pPr>
    <w:rPr>
      <w:rFonts w:ascii="Tahoma" w:hAnsi="Tahoma"/>
      <w:color w:val="auto"/>
      <w:kern w:val="2"/>
      <w:sz w:val="24"/>
    </w:rPr>
  </w:style>
  <w:style w:type="paragraph" w:customStyle="1" w:styleId="45">
    <w:name w:val="Char Char Char Char Char Char Char"/>
    <w:basedOn w:val="1"/>
    <w:qFormat/>
    <w:uiPriority w:val="99"/>
    <w:pPr>
      <w:widowControl w:val="0"/>
      <w:spacing w:line="240" w:lineRule="auto"/>
      <w:textAlignment w:val="auto"/>
    </w:pPr>
    <w:rPr>
      <w:rFonts w:ascii="Tahoma" w:hAnsi="Tahoma"/>
      <w:color w:val="auto"/>
      <w:kern w:val="2"/>
      <w:sz w:val="24"/>
    </w:rPr>
  </w:style>
  <w:style w:type="paragraph" w:customStyle="1" w:styleId="46">
    <w:name w:val="WPS Plain"/>
    <w:qFormat/>
    <w:uiPriority w:val="99"/>
    <w:rPr>
      <w:rFonts w:ascii="Times New Roman" w:hAnsi="Times New Roman" w:eastAsia="宋体" w:cs="Times New Roman"/>
      <w:lang w:val="en-US" w:eastAsia="zh-CN" w:bidi="ar-SA"/>
    </w:rPr>
  </w:style>
  <w:style w:type="paragraph" w:customStyle="1" w:styleId="47">
    <w:name w:val="cjk"/>
    <w:basedOn w:val="1"/>
    <w:qFormat/>
    <w:uiPriority w:val="99"/>
    <w:pPr>
      <w:spacing w:before="100" w:beforeAutospacing="1" w:after="100" w:afterAutospacing="1" w:line="240" w:lineRule="auto"/>
      <w:jc w:val="left"/>
      <w:textAlignment w:val="auto"/>
    </w:pPr>
    <w:rPr>
      <w:rFonts w:ascii="宋体" w:hAnsi="宋体" w:cs="宋体"/>
      <w:color w:val="auto"/>
      <w:sz w:val="18"/>
      <w:szCs w:val="18"/>
    </w:rPr>
  </w:style>
  <w:style w:type="paragraph" w:customStyle="1" w:styleId="48">
    <w:name w:val="Default"/>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49">
    <w:name w:val="TOC 标题1"/>
    <w:basedOn w:val="2"/>
    <w:next w:val="1"/>
    <w:qFormat/>
    <w:uiPriority w:val="99"/>
    <w:pPr>
      <w:widowControl/>
      <w:spacing w:before="480" w:after="0" w:line="276" w:lineRule="auto"/>
      <w:jc w:val="left"/>
      <w:outlineLvl w:val="9"/>
    </w:pPr>
    <w:rPr>
      <w:rFonts w:ascii="Cambria" w:hAnsi="Cambria"/>
      <w:color w:val="365F91"/>
      <w:kern w:val="0"/>
      <w:sz w:val="28"/>
      <w:szCs w:val="28"/>
    </w:rPr>
  </w:style>
  <w:style w:type="character" w:customStyle="1" w:styleId="50">
    <w:name w:val="链接"/>
    <w:qFormat/>
    <w:uiPriority w:val="99"/>
    <w:rPr>
      <w:rFonts w:ascii="Times New Roman" w:eastAsia="宋体"/>
      <w:color w:val="0000FF"/>
      <w:sz w:val="21"/>
      <w:u w:val="single" w:color="0000FF"/>
      <w:lang w:val="en-US" w:eastAsia="zh-CN"/>
    </w:rPr>
  </w:style>
  <w:style w:type="character" w:customStyle="1" w:styleId="51">
    <w:name w:val="超级链接"/>
    <w:qFormat/>
    <w:uiPriority w:val="99"/>
    <w:rPr>
      <w:rFonts w:ascii="Times New Roman" w:eastAsia="宋体"/>
      <w:color w:val="0000FF"/>
      <w:sz w:val="21"/>
      <w:u w:val="single" w:color="0000FF"/>
      <w:lang w:val="en-US" w:eastAsia="zh-CN"/>
    </w:rPr>
  </w:style>
  <w:style w:type="character" w:customStyle="1" w:styleId="52">
    <w:name w:val="param_td12"/>
    <w:qFormat/>
    <w:uiPriority w:val="99"/>
    <w:rPr>
      <w:rFonts w:cs="Times New Roman"/>
    </w:rPr>
  </w:style>
  <w:style w:type="character" w:customStyle="1" w:styleId="53">
    <w:name w:val="纯文本 Char"/>
    <w:link w:val="7"/>
    <w:qFormat/>
    <w:locked/>
    <w:uiPriority w:val="0"/>
    <w:rPr>
      <w:rFonts w:ascii="宋体" w:hAnsi="Courier New" w:cs="Courier New"/>
      <w:color w:val="000000"/>
      <w:kern w:val="0"/>
      <w:sz w:val="21"/>
      <w:szCs w:val="21"/>
      <w:u w:val="none" w:color="000000"/>
    </w:rPr>
  </w:style>
  <w:style w:type="character" w:customStyle="1" w:styleId="54">
    <w:name w:val="纯文本 Char Char"/>
    <w:qFormat/>
    <w:uiPriority w:val="99"/>
    <w:rPr>
      <w:rFonts w:ascii="宋体" w:hAnsi="Courier New" w:eastAsia="宋体"/>
      <w:kern w:val="2"/>
      <w:sz w:val="21"/>
      <w:lang w:val="en-US" w:eastAsia="zh-CN"/>
    </w:rPr>
  </w:style>
  <w:style w:type="character" w:customStyle="1" w:styleId="55">
    <w:name w:val="Char Char4"/>
    <w:qFormat/>
    <w:uiPriority w:val="99"/>
    <w:rPr>
      <w:rFonts w:ascii="宋体" w:eastAsia="宋体"/>
      <w:kern w:val="2"/>
      <w:sz w:val="28"/>
    </w:rPr>
  </w:style>
  <w:style w:type="character" w:customStyle="1" w:styleId="56">
    <w:name w:val="纯文本 Char1"/>
    <w:qFormat/>
    <w:locked/>
    <w:uiPriority w:val="99"/>
    <w:rPr>
      <w:rFonts w:ascii="宋体" w:hAnsi="Courier New" w:cs="Times New Roman"/>
      <w:color w:val="000000"/>
      <w:kern w:val="0"/>
      <w:sz w:val="21"/>
      <w:u w:val="none" w:color="000000"/>
    </w:rPr>
  </w:style>
  <w:style w:type="paragraph" w:customStyle="1" w:styleId="57">
    <w:name w:val="无间隔1"/>
    <w:qFormat/>
    <w:uiPriority w:val="0"/>
    <w:pPr>
      <w:widowControl w:val="0"/>
      <w:spacing w:after="200" w:line="276" w:lineRule="auto"/>
      <w:jc w:val="both"/>
    </w:pPr>
    <w:rPr>
      <w:rFonts w:ascii="Calibri" w:hAnsi="Calibri" w:eastAsia="宋体" w:cs="Times New Roman"/>
      <w:kern w:val="2"/>
      <w:sz w:val="21"/>
      <w:szCs w:val="22"/>
      <w:lang w:val="en-US" w:eastAsia="zh-CN" w:bidi="ar-SA"/>
    </w:rPr>
  </w:style>
  <w:style w:type="character" w:customStyle="1" w:styleId="58">
    <w:name w:val="页眉或页脚 + Calibri"/>
    <w:qFormat/>
    <w:uiPriority w:val="0"/>
    <w:rPr>
      <w:rFonts w:ascii="Calibri" w:hAnsi="Calibri" w:eastAsia="Calibri" w:cs="Calibri"/>
      <w:color w:val="000000"/>
      <w:spacing w:val="0"/>
      <w:w w:val="100"/>
      <w:position w:val="0"/>
      <w:sz w:val="20"/>
      <w:szCs w:val="20"/>
      <w:u w:val="none"/>
      <w:lang w:val="zh-CN" w:eastAsia="zh-CN" w:bidi="zh-CN"/>
    </w:rPr>
  </w:style>
  <w:style w:type="character" w:customStyle="1" w:styleId="59">
    <w:name w:val="页眉或页脚"/>
    <w:qFormat/>
    <w:uiPriority w:val="0"/>
    <w:rPr>
      <w:rFonts w:ascii="MingLiU" w:hAnsi="MingLiU" w:eastAsia="MingLiU" w:cs="MingLiU"/>
      <w:color w:val="000000"/>
      <w:spacing w:val="0"/>
      <w:w w:val="100"/>
      <w:position w:val="0"/>
      <w:sz w:val="18"/>
      <w:szCs w:val="18"/>
      <w:u w:val="none"/>
      <w:lang w:val="zh-CN" w:eastAsia="zh-CN" w:bidi="zh-CN"/>
    </w:rPr>
  </w:style>
  <w:style w:type="paragraph" w:customStyle="1" w:styleId="60">
    <w:name w:val="正文文本 (2)"/>
    <w:basedOn w:val="1"/>
    <w:link w:val="61"/>
    <w:qFormat/>
    <w:uiPriority w:val="0"/>
    <w:pPr>
      <w:widowControl w:val="0"/>
      <w:shd w:val="clear" w:color="auto" w:fill="FFFFFF"/>
      <w:spacing w:after="660" w:line="0" w:lineRule="atLeast"/>
      <w:jc w:val="left"/>
      <w:textAlignment w:val="auto"/>
    </w:pPr>
    <w:rPr>
      <w:rFonts w:ascii="MingLiU" w:hAnsi="MingLiU" w:eastAsia="MingLiU" w:cs="MingLiU"/>
      <w:color w:val="auto"/>
      <w:spacing w:val="30"/>
      <w:sz w:val="30"/>
      <w:szCs w:val="30"/>
    </w:rPr>
  </w:style>
  <w:style w:type="character" w:customStyle="1" w:styleId="61">
    <w:name w:val="正文文本 (2)_"/>
    <w:link w:val="60"/>
    <w:qFormat/>
    <w:uiPriority w:val="0"/>
    <w:rPr>
      <w:rFonts w:ascii="MingLiU" w:hAnsi="MingLiU" w:eastAsia="MingLiU" w:cs="MingLiU"/>
      <w:spacing w:val="30"/>
      <w:sz w:val="30"/>
      <w:szCs w:val="30"/>
      <w:u w:color="000000"/>
      <w:shd w:val="clear" w:color="auto" w:fill="FFFFFF"/>
    </w:rPr>
  </w:style>
  <w:style w:type="paragraph" w:styleId="62">
    <w:name w:val="List Paragraph"/>
    <w:basedOn w:val="1"/>
    <w:unhideWhenUsed/>
    <w:qFormat/>
    <w:uiPriority w:val="99"/>
    <w:pPr>
      <w:ind w:firstLine="420" w:firstLineChars="200"/>
    </w:pPr>
  </w:style>
  <w:style w:type="character" w:customStyle="1" w:styleId="63">
    <w:name w:val="标题 2 Char"/>
    <w:link w:val="3"/>
    <w:semiHidden/>
    <w:qFormat/>
    <w:uiPriority w:val="0"/>
    <w:rPr>
      <w:rFonts w:ascii="Cambria" w:hAnsi="Cambria"/>
      <w:b/>
      <w:bCs/>
      <w:color w:val="000000"/>
      <w:sz w:val="32"/>
      <w:szCs w:val="32"/>
      <w:u w:color="000000"/>
    </w:rPr>
  </w:style>
  <w:style w:type="character" w:customStyle="1" w:styleId="64">
    <w:name w:val="正文文本 Char"/>
    <w:link w:val="5"/>
    <w:semiHidden/>
    <w:qFormat/>
    <w:uiPriority w:val="99"/>
    <w:rPr>
      <w:color w:val="000000"/>
      <w:sz w:val="21"/>
      <w:u w:color="000000"/>
    </w:rPr>
  </w:style>
  <w:style w:type="paragraph" w:customStyle="1" w:styleId="65">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6">
    <w:name w:val="列出段落1"/>
    <w:basedOn w:val="1"/>
    <w:qFormat/>
    <w:uiPriority w:val="0"/>
    <w:pPr>
      <w:widowControl w:val="0"/>
      <w:spacing w:line="240" w:lineRule="auto"/>
      <w:ind w:firstLine="420" w:firstLineChars="200"/>
      <w:textAlignment w:val="auto"/>
    </w:pPr>
    <w:rPr>
      <w:color w:val="auto"/>
      <w:kern w:val="2"/>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86</Pages>
  <Words>7890</Words>
  <Characters>8852</Characters>
  <Lines>407</Lines>
  <Paragraphs>114</Paragraphs>
  <TotalTime>81</TotalTime>
  <ScaleCrop>false</ScaleCrop>
  <LinksUpToDate>false</LinksUpToDate>
  <CharactersWithSpaces>8977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2015-09-10T13:42:00Z</dcterms:created>
  <dc:creator>ZM</dc:creator>
  <cp:lastModifiedBy>sumd</cp:lastModifiedBy>
  <cp:lastPrinted>2025-10-29T03:36:00Z</cp:lastPrinted>
  <dcterms:modified xsi:type="dcterms:W3CDTF">2025-12-05T07:25:10Z</dcterms:modified>
  <cp:revision>557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eyJoZGlkIjoiY2Q1MDlkODhjNmY1NTgzNGZiNWJmOWIwNmY3OWRlOTAiLCJ1c2VySWQiOiI4ODgxMzM0NDMifQ==</vt:lpwstr>
  </property>
  <property fmtid="{D5CDD505-2E9C-101B-9397-08002B2CF9AE}" pid="4" name="ICV">
    <vt:lpwstr>02F2E13D7B2C4CCC9D6E21D8B7C562E6_13</vt:lpwstr>
  </property>
</Properties>
</file>