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A14D6">
      <w:pPr>
        <w:widowControl w:val="0"/>
        <w:snapToGrid w:val="0"/>
        <w:spacing w:line="360" w:lineRule="auto"/>
        <w:rPr>
          <w:rFonts w:ascii="宋体" w:hAnsi="宋体" w:cs="宋体"/>
          <w:b/>
          <w:color w:val="auto"/>
          <w:sz w:val="52"/>
          <w:szCs w:val="44"/>
        </w:rPr>
      </w:pPr>
    </w:p>
    <w:p w14:paraId="25DC44C9">
      <w:pPr>
        <w:widowControl w:val="0"/>
        <w:snapToGrid w:val="0"/>
        <w:spacing w:line="360" w:lineRule="auto"/>
        <w:ind w:firstLine="261" w:firstLineChars="50"/>
        <w:jc w:val="center"/>
        <w:rPr>
          <w:rFonts w:ascii="宋体" w:hAnsi="宋体" w:cs="宋体"/>
          <w:b/>
          <w:color w:val="auto"/>
          <w:sz w:val="52"/>
          <w:szCs w:val="44"/>
        </w:rPr>
      </w:pPr>
      <w:r>
        <w:rPr>
          <w:rFonts w:hint="eastAsia" w:ascii="宋体" w:hAnsi="宋体" w:cs="宋体"/>
          <w:b/>
          <w:color w:val="auto"/>
          <w:sz w:val="52"/>
          <w:szCs w:val="44"/>
        </w:rPr>
        <w:t>安阳市文峰区环境卫生事务中心2026年城中村公厕保洁服务项目</w:t>
      </w:r>
    </w:p>
    <w:p w14:paraId="3C5AF490">
      <w:pPr>
        <w:widowControl w:val="0"/>
        <w:snapToGrid w:val="0"/>
        <w:spacing w:line="560" w:lineRule="exact"/>
        <w:ind w:firstLine="261" w:firstLineChars="50"/>
        <w:jc w:val="center"/>
        <w:rPr>
          <w:rFonts w:ascii="宋体" w:hAnsi="宋体" w:cs="宋体"/>
          <w:b/>
          <w:color w:val="auto"/>
          <w:spacing w:val="40"/>
          <w:sz w:val="44"/>
          <w:szCs w:val="44"/>
        </w:rPr>
      </w:pPr>
    </w:p>
    <w:p w14:paraId="5DC792AE">
      <w:pPr>
        <w:widowControl w:val="0"/>
        <w:snapToGrid w:val="0"/>
        <w:spacing w:before="240" w:beforeLines="100" w:line="240" w:lineRule="auto"/>
        <w:jc w:val="center"/>
        <w:rPr>
          <w:rFonts w:ascii="宋体" w:hAnsi="宋体" w:cs="宋体"/>
          <w:b/>
          <w:color w:val="auto"/>
          <w:sz w:val="44"/>
        </w:rPr>
      </w:pPr>
      <w:r>
        <w:rPr>
          <w:rFonts w:hint="eastAsia" w:ascii="宋体" w:hAnsi="宋体" w:cs="宋体"/>
          <w:b/>
          <w:color w:val="auto"/>
          <w:sz w:val="72"/>
          <w:szCs w:val="72"/>
        </w:rPr>
        <w:t>磋商文件</w:t>
      </w:r>
    </w:p>
    <w:p w14:paraId="0BC658EE">
      <w:pPr>
        <w:widowControl w:val="0"/>
        <w:snapToGrid w:val="0"/>
        <w:spacing w:before="240" w:beforeLines="100" w:line="240" w:lineRule="auto"/>
        <w:jc w:val="center"/>
        <w:rPr>
          <w:rFonts w:ascii="宋体" w:hAnsi="宋体" w:cs="宋体"/>
          <w:b/>
          <w:color w:val="auto"/>
          <w:sz w:val="44"/>
        </w:rPr>
      </w:pPr>
      <w:r>
        <w:rPr>
          <w:rFonts w:hint="eastAsia" w:ascii="宋体" w:hAnsi="宋体" w:cs="宋体"/>
          <w:color w:val="auto"/>
        </w:rPr>
        <w:drawing>
          <wp:inline distT="0" distB="0" distL="114300" distR="114300">
            <wp:extent cx="3065780" cy="3385820"/>
            <wp:effectExtent l="0" t="0" r="1270" b="5080"/>
            <wp:docPr id="8" name="图片 1" descr="fa37d71ca6028aaf2954f1da08cfb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fa37d71ca6028aaf2954f1da08cfb4d"/>
                    <pic:cNvPicPr>
                      <a:picLocks noChangeAspect="1"/>
                    </pic:cNvPicPr>
                  </pic:nvPicPr>
                  <pic:blipFill>
                    <a:blip r:embed="rId14"/>
                    <a:stretch>
                      <a:fillRect/>
                    </a:stretch>
                  </pic:blipFill>
                  <pic:spPr>
                    <a:xfrm>
                      <a:off x="0" y="0"/>
                      <a:ext cx="3065780" cy="3385820"/>
                    </a:xfrm>
                    <a:prstGeom prst="rect">
                      <a:avLst/>
                    </a:prstGeom>
                    <a:noFill/>
                    <a:ln>
                      <a:noFill/>
                    </a:ln>
                  </pic:spPr>
                </pic:pic>
              </a:graphicData>
            </a:graphic>
          </wp:inline>
        </w:drawing>
      </w:r>
    </w:p>
    <w:p w14:paraId="741C0902">
      <w:pPr>
        <w:pStyle w:val="10"/>
        <w:ind w:firstLine="0" w:firstLineChars="0"/>
        <w:rPr>
          <w:rFonts w:ascii="宋体" w:eastAsia="宋体" w:cs="宋体"/>
          <w:color w:val="auto"/>
        </w:rPr>
      </w:pPr>
    </w:p>
    <w:p w14:paraId="26DE837F">
      <w:pPr>
        <w:widowControl w:val="0"/>
        <w:snapToGrid w:val="0"/>
        <w:spacing w:line="660" w:lineRule="exact"/>
        <w:ind w:firstLine="1687" w:firstLineChars="525"/>
        <w:rPr>
          <w:rFonts w:ascii="宋体" w:hAnsi="宋体" w:cs="宋体"/>
          <w:b/>
          <w:color w:val="auto"/>
          <w:sz w:val="32"/>
          <w:szCs w:val="32"/>
        </w:rPr>
      </w:pPr>
      <w:r>
        <w:rPr>
          <w:rFonts w:hint="eastAsia" w:ascii="宋体" w:hAnsi="宋体" w:cs="宋体"/>
          <w:b/>
          <w:color w:val="auto"/>
          <w:sz w:val="32"/>
          <w:szCs w:val="32"/>
        </w:rPr>
        <w:t>采 购 人：安阳市文峰区环境卫生事务中心</w:t>
      </w:r>
    </w:p>
    <w:p w14:paraId="4E06D3FC">
      <w:pPr>
        <w:widowControl w:val="0"/>
        <w:snapToGrid w:val="0"/>
        <w:spacing w:line="660" w:lineRule="exact"/>
        <w:ind w:firstLine="1687" w:firstLineChars="525"/>
        <w:rPr>
          <w:rFonts w:ascii="宋体" w:hAnsi="宋体" w:cs="宋体"/>
          <w:b/>
          <w:color w:val="auto"/>
          <w:sz w:val="32"/>
          <w:szCs w:val="32"/>
        </w:rPr>
      </w:pPr>
      <w:r>
        <w:rPr>
          <w:rFonts w:hint="eastAsia" w:ascii="宋体" w:hAnsi="宋体" w:cs="宋体"/>
          <w:b/>
          <w:color w:val="auto"/>
          <w:sz w:val="32"/>
          <w:szCs w:val="32"/>
        </w:rPr>
        <w:t>代理机构：河南圣坤工程咨询有限公司</w:t>
      </w:r>
    </w:p>
    <w:p w14:paraId="53BFEAD1">
      <w:pPr>
        <w:widowControl w:val="0"/>
        <w:snapToGrid w:val="0"/>
        <w:spacing w:line="660" w:lineRule="exact"/>
        <w:ind w:firstLine="1687" w:firstLineChars="525"/>
        <w:rPr>
          <w:rFonts w:ascii="宋体" w:hAnsi="宋体" w:cs="宋体"/>
          <w:b/>
          <w:color w:val="auto"/>
          <w:sz w:val="32"/>
          <w:szCs w:val="32"/>
        </w:rPr>
      </w:pPr>
      <w:r>
        <w:rPr>
          <w:rFonts w:hint="eastAsia" w:ascii="宋体" w:hAnsi="宋体" w:cs="宋体"/>
          <w:b/>
          <w:color w:val="auto"/>
          <w:sz w:val="32"/>
          <w:szCs w:val="32"/>
        </w:rPr>
        <w:t>日    期：二零二五年十二月</w:t>
      </w:r>
    </w:p>
    <w:p w14:paraId="3748B8E2">
      <w:pPr>
        <w:widowControl w:val="0"/>
        <w:snapToGrid w:val="0"/>
        <w:spacing w:line="660" w:lineRule="exact"/>
        <w:rPr>
          <w:rFonts w:ascii="宋体" w:hAnsi="宋体" w:cs="宋体"/>
          <w:b/>
          <w:color w:val="auto"/>
          <w:sz w:val="32"/>
          <w:szCs w:val="32"/>
        </w:rPr>
        <w:sectPr>
          <w:footerReference r:id="rId8" w:type="first"/>
          <w:headerReference r:id="rId5" w:type="default"/>
          <w:footerReference r:id="rId6" w:type="default"/>
          <w:footerReference r:id="rId7" w:type="even"/>
          <w:pgSz w:w="11905" w:h="16837"/>
          <w:pgMar w:top="1417" w:right="1417" w:bottom="1417" w:left="1417" w:header="567" w:footer="1077" w:gutter="0"/>
          <w:pgNumType w:start="0"/>
          <w:cols w:space="0" w:num="1"/>
          <w:titlePg/>
        </w:sectPr>
      </w:pPr>
    </w:p>
    <w:p w14:paraId="1272E839">
      <w:pPr>
        <w:jc w:val="center"/>
        <w:rPr>
          <w:rFonts w:ascii="宋体" w:hAnsi="宋体" w:cs="宋体"/>
          <w:color w:val="auto"/>
        </w:rPr>
      </w:pPr>
      <w:r>
        <w:rPr>
          <w:rFonts w:hint="eastAsia" w:ascii="宋体" w:hAnsi="宋体" w:cs="宋体"/>
          <w:b/>
          <w:bCs/>
          <w:color w:val="auto"/>
          <w:sz w:val="36"/>
          <w:szCs w:val="36"/>
          <w:lang w:val="zh-CN"/>
        </w:rPr>
        <w:t>目</w:t>
      </w:r>
      <w:r>
        <w:rPr>
          <w:rFonts w:hint="eastAsia" w:ascii="宋体" w:hAnsi="宋体" w:cs="宋体"/>
          <w:b/>
          <w:bCs/>
          <w:color w:val="auto"/>
          <w:sz w:val="36"/>
          <w:szCs w:val="36"/>
        </w:rPr>
        <w:t xml:space="preserve"> </w:t>
      </w:r>
      <w:r>
        <w:rPr>
          <w:rFonts w:hint="eastAsia" w:ascii="宋体" w:hAnsi="宋体" w:cs="宋体"/>
          <w:b/>
          <w:bCs/>
          <w:color w:val="auto"/>
          <w:sz w:val="36"/>
          <w:szCs w:val="36"/>
          <w:lang w:val="zh-CN"/>
        </w:rPr>
        <w:t>录</w:t>
      </w: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p>
    <w:p w14:paraId="22CA39DB">
      <w:pPr>
        <w:pStyle w:val="17"/>
        <w:tabs>
          <w:tab w:val="right" w:leader="dot" w:pos="9071"/>
        </w:tabs>
        <w:spacing w:line="480" w:lineRule="auto"/>
        <w:rPr>
          <w:rFonts w:ascii="宋体" w:hAnsi="宋体" w:cs="宋体"/>
          <w:color w:val="auto"/>
          <w:sz w:val="24"/>
          <w:szCs w:val="22"/>
        </w:rPr>
      </w:pPr>
    </w:p>
    <w:p w14:paraId="2C1C504F">
      <w:pPr>
        <w:pStyle w:val="17"/>
        <w:tabs>
          <w:tab w:val="right" w:leader="dot" w:pos="9071"/>
        </w:tabs>
        <w:spacing w:line="480" w:lineRule="auto"/>
        <w:rPr>
          <w:rFonts w:ascii="宋体" w:hAnsi="宋体" w:cs="宋体"/>
          <w:color w:val="auto"/>
          <w:sz w:val="24"/>
          <w:szCs w:val="22"/>
        </w:rPr>
      </w:pPr>
      <w:r>
        <w:fldChar w:fldCharType="begin"/>
      </w:r>
      <w:r>
        <w:instrText xml:space="preserve"> HYPERLINK \l "_Toc25486" </w:instrText>
      </w:r>
      <w:r>
        <w:fldChar w:fldCharType="separate"/>
      </w:r>
      <w:r>
        <w:rPr>
          <w:rFonts w:hint="eastAsia" w:ascii="宋体" w:hAnsi="宋体" w:cs="宋体"/>
          <w:color w:val="auto"/>
          <w:sz w:val="24"/>
          <w:szCs w:val="56"/>
        </w:rPr>
        <w:t>第一章  竞争性磋商公告</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_Toc25486 \h </w:instrText>
      </w:r>
      <w:r>
        <w:rPr>
          <w:rFonts w:hint="eastAsia" w:ascii="宋体" w:hAnsi="宋体" w:cs="宋体"/>
          <w:color w:val="auto"/>
          <w:sz w:val="24"/>
          <w:szCs w:val="22"/>
        </w:rPr>
        <w:fldChar w:fldCharType="separate"/>
      </w:r>
      <w:r>
        <w:rPr>
          <w:rFonts w:hint="eastAsia" w:ascii="宋体" w:hAnsi="宋体" w:cs="宋体"/>
          <w:color w:val="auto"/>
          <w:sz w:val="24"/>
          <w:szCs w:val="22"/>
        </w:rPr>
        <w:t>2</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3AA42218">
      <w:pPr>
        <w:pStyle w:val="17"/>
        <w:tabs>
          <w:tab w:val="right" w:leader="dot" w:pos="9071"/>
        </w:tabs>
        <w:spacing w:line="480" w:lineRule="auto"/>
        <w:rPr>
          <w:rFonts w:ascii="宋体" w:hAnsi="宋体" w:cs="宋体"/>
          <w:color w:val="auto"/>
          <w:sz w:val="24"/>
          <w:szCs w:val="22"/>
        </w:rPr>
      </w:pPr>
      <w:r>
        <w:fldChar w:fldCharType="begin"/>
      </w:r>
      <w:r>
        <w:instrText xml:space="preserve"> HYPERLINK \l "_Toc31575" </w:instrText>
      </w:r>
      <w:r>
        <w:fldChar w:fldCharType="separate"/>
      </w:r>
      <w:r>
        <w:rPr>
          <w:rFonts w:hint="eastAsia" w:ascii="宋体" w:hAnsi="宋体" w:cs="宋体"/>
          <w:color w:val="auto"/>
          <w:sz w:val="24"/>
          <w:szCs w:val="22"/>
        </w:rPr>
        <w:t>第二章  采购项目及服务要求</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_Toc31575 \h </w:instrText>
      </w:r>
      <w:r>
        <w:rPr>
          <w:rFonts w:hint="eastAsia" w:ascii="宋体" w:hAnsi="宋体" w:cs="宋体"/>
          <w:color w:val="auto"/>
          <w:sz w:val="24"/>
          <w:szCs w:val="22"/>
        </w:rPr>
        <w:fldChar w:fldCharType="separate"/>
      </w:r>
      <w:r>
        <w:rPr>
          <w:rFonts w:hint="eastAsia" w:ascii="宋体" w:hAnsi="宋体" w:cs="宋体"/>
          <w:color w:val="auto"/>
          <w:sz w:val="24"/>
          <w:szCs w:val="22"/>
        </w:rPr>
        <w:t>6</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2ED71C53">
      <w:pPr>
        <w:pStyle w:val="17"/>
        <w:tabs>
          <w:tab w:val="right" w:leader="dot" w:pos="9071"/>
        </w:tabs>
        <w:spacing w:line="480" w:lineRule="auto"/>
        <w:rPr>
          <w:rFonts w:ascii="宋体" w:hAnsi="宋体" w:cs="宋体"/>
          <w:color w:val="auto"/>
          <w:sz w:val="24"/>
          <w:szCs w:val="22"/>
        </w:rPr>
      </w:pPr>
      <w:r>
        <w:fldChar w:fldCharType="begin"/>
      </w:r>
      <w:r>
        <w:instrText xml:space="preserve"> HYPERLINK \l "_Toc11178" </w:instrText>
      </w:r>
      <w:r>
        <w:fldChar w:fldCharType="separate"/>
      </w:r>
      <w:r>
        <w:rPr>
          <w:rFonts w:hint="eastAsia" w:ascii="宋体" w:hAnsi="宋体" w:cs="宋体"/>
          <w:color w:val="auto"/>
          <w:sz w:val="24"/>
          <w:szCs w:val="22"/>
        </w:rPr>
        <w:t>第三章  供应商须知</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_Toc11178 \h </w:instrText>
      </w:r>
      <w:r>
        <w:rPr>
          <w:rFonts w:hint="eastAsia" w:ascii="宋体" w:hAnsi="宋体" w:cs="宋体"/>
          <w:color w:val="auto"/>
          <w:sz w:val="24"/>
          <w:szCs w:val="22"/>
        </w:rPr>
        <w:fldChar w:fldCharType="separate"/>
      </w:r>
      <w:r>
        <w:rPr>
          <w:rFonts w:hint="eastAsia" w:ascii="宋体" w:hAnsi="宋体" w:cs="宋体"/>
          <w:color w:val="auto"/>
          <w:sz w:val="24"/>
          <w:szCs w:val="22"/>
        </w:rPr>
        <w:t>13</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67634885">
      <w:pPr>
        <w:pStyle w:val="17"/>
        <w:tabs>
          <w:tab w:val="right" w:leader="dot" w:pos="9071"/>
        </w:tabs>
        <w:spacing w:line="480" w:lineRule="auto"/>
        <w:rPr>
          <w:rFonts w:ascii="宋体" w:hAnsi="宋体" w:cs="宋体"/>
          <w:color w:val="auto"/>
          <w:sz w:val="24"/>
          <w:szCs w:val="22"/>
        </w:rPr>
      </w:pPr>
      <w:r>
        <w:fldChar w:fldCharType="begin"/>
      </w:r>
      <w:r>
        <w:instrText xml:space="preserve"> HYPERLINK \l "_Toc32613" </w:instrText>
      </w:r>
      <w:r>
        <w:fldChar w:fldCharType="separate"/>
      </w:r>
      <w:r>
        <w:rPr>
          <w:rFonts w:hint="eastAsia" w:ascii="宋体" w:hAnsi="宋体" w:cs="宋体"/>
          <w:color w:val="auto"/>
          <w:sz w:val="24"/>
          <w:szCs w:val="22"/>
          <w:lang w:val="zh-CN"/>
        </w:rPr>
        <w:t>第四章</w:t>
      </w:r>
      <w:r>
        <w:rPr>
          <w:rFonts w:hint="eastAsia" w:ascii="宋体" w:hAnsi="宋体" w:cs="宋体"/>
          <w:color w:val="auto"/>
          <w:sz w:val="24"/>
          <w:szCs w:val="22"/>
        </w:rPr>
        <w:t xml:space="preserve">  </w:t>
      </w:r>
      <w:r>
        <w:rPr>
          <w:rFonts w:hint="eastAsia" w:ascii="宋体" w:hAnsi="宋体" w:cs="宋体"/>
          <w:color w:val="auto"/>
          <w:sz w:val="24"/>
          <w:szCs w:val="22"/>
          <w:lang w:val="zh-CN"/>
        </w:rPr>
        <w:t>评审办法</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_Toc32613 \h </w:instrText>
      </w:r>
      <w:r>
        <w:rPr>
          <w:rFonts w:hint="eastAsia" w:ascii="宋体" w:hAnsi="宋体" w:cs="宋体"/>
          <w:color w:val="auto"/>
          <w:sz w:val="24"/>
          <w:szCs w:val="22"/>
        </w:rPr>
        <w:fldChar w:fldCharType="separate"/>
      </w:r>
      <w:r>
        <w:rPr>
          <w:rFonts w:hint="eastAsia" w:ascii="宋体" w:hAnsi="宋体" w:cs="宋体"/>
          <w:color w:val="auto"/>
          <w:sz w:val="24"/>
          <w:szCs w:val="22"/>
        </w:rPr>
        <w:t>30</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32EB502E">
      <w:pPr>
        <w:pStyle w:val="17"/>
        <w:tabs>
          <w:tab w:val="right" w:leader="dot" w:pos="9071"/>
        </w:tabs>
        <w:spacing w:line="480" w:lineRule="auto"/>
        <w:rPr>
          <w:rFonts w:ascii="宋体" w:hAnsi="宋体" w:cs="宋体"/>
          <w:color w:val="auto"/>
          <w:sz w:val="24"/>
          <w:szCs w:val="22"/>
        </w:rPr>
      </w:pPr>
      <w:r>
        <w:fldChar w:fldCharType="begin"/>
      </w:r>
      <w:r>
        <w:instrText xml:space="preserve"> HYPERLINK \l "_Toc31685" </w:instrText>
      </w:r>
      <w:r>
        <w:fldChar w:fldCharType="separate"/>
      </w:r>
      <w:r>
        <w:rPr>
          <w:rFonts w:hint="eastAsia" w:ascii="宋体" w:hAnsi="宋体" w:cs="宋体"/>
          <w:color w:val="auto"/>
          <w:sz w:val="24"/>
          <w:szCs w:val="22"/>
          <w:lang w:val="zh-CN"/>
        </w:rPr>
        <w:t>第五章</w:t>
      </w:r>
      <w:r>
        <w:rPr>
          <w:rFonts w:hint="eastAsia" w:ascii="宋体" w:hAnsi="宋体" w:cs="宋体"/>
          <w:color w:val="auto"/>
          <w:sz w:val="24"/>
          <w:szCs w:val="22"/>
        </w:rPr>
        <w:t xml:space="preserve">  </w:t>
      </w:r>
      <w:r>
        <w:rPr>
          <w:rFonts w:hint="eastAsia" w:ascii="宋体" w:hAnsi="宋体" w:cs="宋体"/>
          <w:color w:val="auto"/>
          <w:sz w:val="24"/>
          <w:szCs w:val="22"/>
          <w:lang w:val="zh-CN"/>
        </w:rPr>
        <w:t>合同主要条款</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_Toc31685 \h </w:instrText>
      </w:r>
      <w:r>
        <w:rPr>
          <w:rFonts w:hint="eastAsia" w:ascii="宋体" w:hAnsi="宋体" w:cs="宋体"/>
          <w:color w:val="auto"/>
          <w:sz w:val="24"/>
          <w:szCs w:val="22"/>
        </w:rPr>
        <w:fldChar w:fldCharType="separate"/>
      </w:r>
      <w:r>
        <w:rPr>
          <w:rFonts w:hint="eastAsia" w:ascii="宋体" w:hAnsi="宋体" w:cs="宋体"/>
          <w:color w:val="auto"/>
          <w:sz w:val="24"/>
          <w:szCs w:val="22"/>
        </w:rPr>
        <w:t>42</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2596C7A9">
      <w:pPr>
        <w:pStyle w:val="17"/>
        <w:tabs>
          <w:tab w:val="right" w:leader="dot" w:pos="9071"/>
        </w:tabs>
        <w:spacing w:line="480" w:lineRule="auto"/>
        <w:rPr>
          <w:color w:val="auto"/>
        </w:rPr>
      </w:pPr>
      <w:r>
        <w:fldChar w:fldCharType="begin"/>
      </w:r>
      <w:r>
        <w:instrText xml:space="preserve"> HYPERLINK \l "_Toc1452" </w:instrText>
      </w:r>
      <w:r>
        <w:fldChar w:fldCharType="separate"/>
      </w:r>
      <w:r>
        <w:rPr>
          <w:rFonts w:hint="eastAsia" w:ascii="宋体" w:hAnsi="宋体" w:cs="宋体"/>
          <w:color w:val="auto"/>
          <w:sz w:val="24"/>
          <w:szCs w:val="22"/>
        </w:rPr>
        <w:t>第六章  响应文件格式</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_Toc1452 \h </w:instrText>
      </w:r>
      <w:r>
        <w:rPr>
          <w:rFonts w:hint="eastAsia" w:ascii="宋体" w:hAnsi="宋体" w:cs="宋体"/>
          <w:color w:val="auto"/>
          <w:sz w:val="24"/>
          <w:szCs w:val="22"/>
        </w:rPr>
        <w:fldChar w:fldCharType="separate"/>
      </w:r>
      <w:r>
        <w:rPr>
          <w:rFonts w:hint="eastAsia" w:ascii="宋体" w:hAnsi="宋体" w:cs="宋体"/>
          <w:color w:val="auto"/>
          <w:sz w:val="24"/>
          <w:szCs w:val="22"/>
        </w:rPr>
        <w:t>46</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11A34475">
      <w:pPr>
        <w:pStyle w:val="17"/>
        <w:tabs>
          <w:tab w:val="right" w:leader="dot" w:pos="9071"/>
        </w:tabs>
        <w:rPr>
          <w:color w:val="auto"/>
        </w:rPr>
      </w:pPr>
    </w:p>
    <w:p w14:paraId="0FF594E3">
      <w:pPr>
        <w:pStyle w:val="57"/>
        <w:jc w:val="both"/>
        <w:rPr>
          <w:rFonts w:ascii="宋体" w:hAnsi="宋体" w:cs="宋体"/>
          <w:color w:val="auto"/>
        </w:rPr>
      </w:pPr>
      <w:r>
        <w:rPr>
          <w:rFonts w:hint="eastAsia" w:ascii="宋体" w:hAnsi="宋体" w:cs="宋体"/>
          <w:color w:val="auto"/>
        </w:rPr>
        <w:fldChar w:fldCharType="end"/>
      </w:r>
    </w:p>
    <w:p w14:paraId="3F12322B">
      <w:pPr>
        <w:widowControl w:val="0"/>
        <w:snapToGrid w:val="0"/>
        <w:spacing w:line="660" w:lineRule="exact"/>
        <w:ind w:firstLine="607" w:firstLineChars="168"/>
        <w:rPr>
          <w:rFonts w:ascii="宋体" w:hAnsi="宋体" w:cs="宋体"/>
          <w:b/>
          <w:color w:val="auto"/>
          <w:sz w:val="36"/>
          <w:szCs w:val="36"/>
        </w:rPr>
      </w:pPr>
    </w:p>
    <w:p w14:paraId="00F44D42">
      <w:pPr>
        <w:widowControl w:val="0"/>
        <w:snapToGrid w:val="0"/>
        <w:spacing w:line="560" w:lineRule="exact"/>
        <w:ind w:firstLine="181" w:firstLineChars="50"/>
        <w:rPr>
          <w:rFonts w:ascii="宋体" w:hAnsi="宋体" w:cs="宋体"/>
          <w:b/>
          <w:color w:val="auto"/>
          <w:sz w:val="36"/>
          <w:szCs w:val="36"/>
        </w:rPr>
        <w:sectPr>
          <w:footerReference r:id="rId10" w:type="first"/>
          <w:footerReference r:id="rId9" w:type="default"/>
          <w:pgSz w:w="11905" w:h="16837"/>
          <w:pgMar w:top="1417" w:right="1417" w:bottom="1417" w:left="1417" w:header="567" w:footer="1077" w:gutter="0"/>
          <w:pgNumType w:start="1"/>
          <w:cols w:space="0" w:num="1"/>
          <w:titlePg/>
        </w:sectPr>
      </w:pPr>
    </w:p>
    <w:p w14:paraId="0ED00160">
      <w:pPr>
        <w:pStyle w:val="2"/>
        <w:rPr>
          <w:color w:val="auto"/>
          <w:szCs w:val="48"/>
        </w:rPr>
      </w:pPr>
      <w:bookmarkStart w:id="0" w:name="_Toc25486"/>
      <w:r>
        <w:rPr>
          <w:rFonts w:hint="eastAsia"/>
          <w:color w:val="auto"/>
          <w:szCs w:val="48"/>
        </w:rPr>
        <w:t>第一章  竞争性磋商公告</w:t>
      </w:r>
      <w:bookmarkEnd w:id="0"/>
    </w:p>
    <w:p w14:paraId="63A11CF9">
      <w:pPr>
        <w:widowControl w:val="0"/>
        <w:adjustRightInd w:val="0"/>
        <w:snapToGrid w:val="0"/>
        <w:spacing w:line="360" w:lineRule="auto"/>
        <w:jc w:val="center"/>
        <w:rPr>
          <w:rFonts w:ascii="宋体" w:hAnsi="宋体" w:cs="宋体"/>
          <w:b/>
          <w:bCs/>
          <w:color w:val="auto"/>
          <w:sz w:val="32"/>
          <w:szCs w:val="32"/>
        </w:rPr>
      </w:pPr>
      <w:r>
        <w:rPr>
          <w:rFonts w:hint="eastAsia" w:ascii="宋体" w:hAnsi="宋体" w:cs="宋体"/>
          <w:b/>
          <w:bCs/>
          <w:color w:val="auto"/>
          <w:sz w:val="32"/>
          <w:szCs w:val="32"/>
        </w:rPr>
        <w:t>安阳市文峰区环境卫生事务中心2026年城中村公厕保洁服务项目竞争性磋商公告</w:t>
      </w:r>
    </w:p>
    <w:p w14:paraId="3DAFDD9A">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一、项目基本情况</w:t>
      </w:r>
    </w:p>
    <w:p w14:paraId="5C6BB60E">
      <w:pPr>
        <w:widowControl w:val="0"/>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1、采购项目编号：安文磋商采购-2025-33</w:t>
      </w:r>
    </w:p>
    <w:p w14:paraId="659530F8">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2、采购项目名称：安阳市文峰区环境卫生事务中心2026年城中村公厕保洁服务项目</w:t>
      </w:r>
    </w:p>
    <w:p w14:paraId="431C3C88">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3、采购方式：竞争性磋商</w:t>
      </w:r>
    </w:p>
    <w:p w14:paraId="1AD573EF">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4、预算金额：</w:t>
      </w:r>
      <w:r>
        <w:rPr>
          <w:rFonts w:hint="eastAsia" w:ascii="宋体" w:hAnsi="宋体" w:cs="宋体"/>
          <w:color w:val="auto"/>
          <w:sz w:val="24"/>
          <w:szCs w:val="24"/>
          <w:lang w:eastAsia="zh-CN"/>
        </w:rPr>
        <w:t>700000</w:t>
      </w:r>
      <w:r>
        <w:rPr>
          <w:rFonts w:hint="eastAsia" w:ascii="宋体" w:hAnsi="宋体" w:cs="宋体"/>
          <w:color w:val="auto"/>
          <w:sz w:val="24"/>
          <w:szCs w:val="24"/>
        </w:rPr>
        <w:t>元</w:t>
      </w:r>
    </w:p>
    <w:p w14:paraId="73200687">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   最高限价：</w:t>
      </w:r>
      <w:r>
        <w:rPr>
          <w:rFonts w:hint="eastAsia" w:ascii="宋体" w:hAnsi="宋体" w:cs="宋体"/>
          <w:color w:val="auto"/>
          <w:sz w:val="24"/>
          <w:szCs w:val="24"/>
          <w:lang w:eastAsia="zh-CN"/>
        </w:rPr>
        <w:t>700000</w:t>
      </w:r>
      <w:r>
        <w:rPr>
          <w:rFonts w:hint="eastAsia" w:ascii="宋体" w:hAnsi="宋体" w:cs="宋体"/>
          <w:color w:val="auto"/>
          <w:sz w:val="24"/>
          <w:szCs w:val="24"/>
        </w:rPr>
        <w:t>元</w:t>
      </w:r>
    </w:p>
    <w:tbl>
      <w:tblPr>
        <w:tblStyle w:val="22"/>
        <w:tblpPr w:leftFromText="180" w:rightFromText="180" w:vertAnchor="text" w:horzAnchor="page" w:tblpXSpec="center" w:tblpY="46"/>
        <w:tblOverlap w:val="never"/>
        <w:tblW w:w="973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8"/>
        <w:gridCol w:w="2008"/>
        <w:gridCol w:w="2688"/>
        <w:gridCol w:w="1044"/>
        <w:gridCol w:w="1109"/>
        <w:gridCol w:w="1109"/>
        <w:gridCol w:w="1109"/>
      </w:tblGrid>
      <w:tr w14:paraId="2C453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0" w:hRule="atLeast"/>
        </w:trPr>
        <w:tc>
          <w:tcPr>
            <w:tcW w:w="668" w:type="dxa"/>
            <w:vAlign w:val="center"/>
          </w:tcPr>
          <w:p w14:paraId="50D29525">
            <w:pPr>
              <w:autoSpaceDE w:val="0"/>
              <w:autoSpaceDN w:val="0"/>
              <w:adjustRightInd w:val="0"/>
              <w:snapToGrid w:val="0"/>
              <w:spacing w:line="240" w:lineRule="auto"/>
              <w:jc w:val="center"/>
              <w:rPr>
                <w:rFonts w:hint="eastAsia" w:ascii="宋体" w:hAnsi="宋体" w:cs="宋体"/>
                <w:color w:val="auto"/>
                <w:szCs w:val="21"/>
              </w:rPr>
            </w:pPr>
            <w:bookmarkStart w:id="69" w:name="_GoBack" w:colFirst="0" w:colLast="6"/>
            <w:r>
              <w:rPr>
                <w:rFonts w:hint="eastAsia" w:ascii="宋体" w:hAnsi="宋体" w:cs="宋体"/>
                <w:color w:val="auto"/>
                <w:szCs w:val="21"/>
              </w:rPr>
              <w:t>序号</w:t>
            </w:r>
          </w:p>
        </w:tc>
        <w:tc>
          <w:tcPr>
            <w:tcW w:w="2008" w:type="dxa"/>
            <w:vAlign w:val="center"/>
          </w:tcPr>
          <w:p w14:paraId="45A35441">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包号</w:t>
            </w:r>
          </w:p>
        </w:tc>
        <w:tc>
          <w:tcPr>
            <w:tcW w:w="2688" w:type="dxa"/>
            <w:vAlign w:val="center"/>
          </w:tcPr>
          <w:p w14:paraId="1A34AF9E">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包名称</w:t>
            </w:r>
          </w:p>
        </w:tc>
        <w:tc>
          <w:tcPr>
            <w:tcW w:w="1044" w:type="dxa"/>
            <w:vAlign w:val="center"/>
          </w:tcPr>
          <w:p w14:paraId="42447252">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包预算（元）</w:t>
            </w:r>
          </w:p>
        </w:tc>
        <w:tc>
          <w:tcPr>
            <w:tcW w:w="1109" w:type="dxa"/>
            <w:vAlign w:val="center"/>
          </w:tcPr>
          <w:p w14:paraId="20D4EEF9">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包最高限价（元）</w:t>
            </w:r>
          </w:p>
        </w:tc>
        <w:tc>
          <w:tcPr>
            <w:tcW w:w="1109" w:type="dxa"/>
            <w:shd w:val="clear" w:color="auto" w:fill="auto"/>
            <w:vAlign w:val="center"/>
          </w:tcPr>
          <w:p w14:paraId="5247F85E">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是否专门面向中小企业</w:t>
            </w:r>
          </w:p>
        </w:tc>
        <w:tc>
          <w:tcPr>
            <w:tcW w:w="1109" w:type="dxa"/>
            <w:shd w:val="clear" w:color="auto" w:fill="auto"/>
            <w:vAlign w:val="center"/>
          </w:tcPr>
          <w:p w14:paraId="7402DB73">
            <w:pPr>
              <w:autoSpaceDE w:val="0"/>
              <w:autoSpaceDN w:val="0"/>
              <w:adjustRightInd w:val="0"/>
              <w:snapToGrid w:val="0"/>
              <w:spacing w:line="240" w:lineRule="auto"/>
              <w:jc w:val="center"/>
              <w:rPr>
                <w:rFonts w:hint="eastAsia" w:ascii="宋体" w:hAnsi="宋体" w:cs="宋体"/>
                <w:color w:val="auto"/>
                <w:szCs w:val="21"/>
                <w:lang w:eastAsia="en-US"/>
              </w:rPr>
            </w:pPr>
            <w:r>
              <w:rPr>
                <w:rFonts w:hint="eastAsia" w:ascii="宋体" w:hAnsi="宋体" w:cs="宋体"/>
                <w:color w:val="auto"/>
                <w:szCs w:val="21"/>
              </w:rPr>
              <w:t>采购预留金额（元）</w:t>
            </w:r>
          </w:p>
        </w:tc>
      </w:tr>
      <w:tr w14:paraId="476D5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0" w:hRule="atLeast"/>
        </w:trPr>
        <w:tc>
          <w:tcPr>
            <w:tcW w:w="668" w:type="dxa"/>
            <w:vAlign w:val="center"/>
          </w:tcPr>
          <w:p w14:paraId="258F2F15">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1</w:t>
            </w:r>
          </w:p>
        </w:tc>
        <w:tc>
          <w:tcPr>
            <w:tcW w:w="2008" w:type="dxa"/>
            <w:vAlign w:val="center"/>
          </w:tcPr>
          <w:p w14:paraId="02ECA3E5">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安文磋商采购-2025-33-1</w:t>
            </w:r>
          </w:p>
        </w:tc>
        <w:tc>
          <w:tcPr>
            <w:tcW w:w="2688" w:type="dxa"/>
            <w:vAlign w:val="center"/>
          </w:tcPr>
          <w:p w14:paraId="68FF8A88">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安阳市文峰区环境卫生事务中心2026年城中村公厕保洁服务项目</w:t>
            </w:r>
          </w:p>
        </w:tc>
        <w:tc>
          <w:tcPr>
            <w:tcW w:w="1044" w:type="dxa"/>
            <w:vAlign w:val="center"/>
          </w:tcPr>
          <w:p w14:paraId="37291D44">
            <w:pPr>
              <w:autoSpaceDE w:val="0"/>
              <w:autoSpaceDN w:val="0"/>
              <w:adjustRightInd w:val="0"/>
              <w:snapToGrid w:val="0"/>
              <w:spacing w:line="240" w:lineRule="auto"/>
              <w:jc w:val="center"/>
              <w:rPr>
                <w:rFonts w:hint="eastAsia" w:ascii="宋体" w:hAnsi="宋体" w:cs="宋体"/>
                <w:color w:val="auto"/>
                <w:szCs w:val="21"/>
                <w:lang w:eastAsia="zh-CN"/>
              </w:rPr>
            </w:pPr>
            <w:r>
              <w:rPr>
                <w:rFonts w:hint="eastAsia" w:ascii="宋体" w:hAnsi="宋体" w:cs="宋体"/>
                <w:color w:val="auto"/>
                <w:szCs w:val="21"/>
                <w:lang w:eastAsia="zh-CN"/>
              </w:rPr>
              <w:t>700000</w:t>
            </w:r>
          </w:p>
        </w:tc>
        <w:tc>
          <w:tcPr>
            <w:tcW w:w="1109" w:type="dxa"/>
            <w:vAlign w:val="center"/>
          </w:tcPr>
          <w:p w14:paraId="5201E5D2">
            <w:pPr>
              <w:autoSpaceDE w:val="0"/>
              <w:autoSpaceDN w:val="0"/>
              <w:adjustRightInd w:val="0"/>
              <w:snapToGrid w:val="0"/>
              <w:spacing w:line="240" w:lineRule="auto"/>
              <w:jc w:val="center"/>
              <w:rPr>
                <w:rFonts w:hint="eastAsia" w:ascii="宋体" w:hAnsi="宋体" w:cs="宋体"/>
                <w:color w:val="auto"/>
                <w:szCs w:val="21"/>
                <w:lang w:eastAsia="zh-CN"/>
              </w:rPr>
            </w:pPr>
            <w:r>
              <w:rPr>
                <w:rFonts w:hint="eastAsia" w:ascii="宋体" w:hAnsi="宋体" w:cs="宋体"/>
                <w:color w:val="auto"/>
                <w:szCs w:val="21"/>
                <w:lang w:eastAsia="zh-CN"/>
              </w:rPr>
              <w:t>700000</w:t>
            </w:r>
          </w:p>
        </w:tc>
        <w:tc>
          <w:tcPr>
            <w:tcW w:w="1109" w:type="dxa"/>
            <w:vAlign w:val="center"/>
          </w:tcPr>
          <w:p w14:paraId="00CE47D5">
            <w:pPr>
              <w:autoSpaceDE w:val="0"/>
              <w:autoSpaceDN w:val="0"/>
              <w:adjustRightInd w:val="0"/>
              <w:snapToGrid w:val="0"/>
              <w:spacing w:line="240" w:lineRule="auto"/>
              <w:jc w:val="center"/>
              <w:rPr>
                <w:rFonts w:hint="eastAsia" w:ascii="宋体" w:hAnsi="宋体" w:cs="宋体"/>
                <w:color w:val="auto"/>
                <w:szCs w:val="21"/>
              </w:rPr>
            </w:pPr>
            <w:r>
              <w:rPr>
                <w:rFonts w:hint="eastAsia" w:ascii="宋体" w:hAnsi="宋体" w:cs="宋体"/>
                <w:color w:val="auto"/>
                <w:szCs w:val="21"/>
              </w:rPr>
              <w:t>是</w:t>
            </w:r>
          </w:p>
        </w:tc>
        <w:tc>
          <w:tcPr>
            <w:tcW w:w="1109" w:type="dxa"/>
            <w:vAlign w:val="center"/>
          </w:tcPr>
          <w:p w14:paraId="578DFAC0">
            <w:pPr>
              <w:autoSpaceDE w:val="0"/>
              <w:autoSpaceDN w:val="0"/>
              <w:adjustRightInd w:val="0"/>
              <w:snapToGrid w:val="0"/>
              <w:spacing w:line="240" w:lineRule="auto"/>
              <w:jc w:val="center"/>
              <w:rPr>
                <w:rFonts w:hint="eastAsia" w:ascii="宋体" w:hAnsi="宋体" w:cs="宋体"/>
                <w:color w:val="auto"/>
                <w:szCs w:val="21"/>
                <w:lang w:eastAsia="zh-CN"/>
              </w:rPr>
            </w:pPr>
            <w:r>
              <w:rPr>
                <w:rFonts w:hint="eastAsia" w:ascii="宋体" w:hAnsi="宋体" w:cs="宋体"/>
                <w:color w:val="auto"/>
                <w:szCs w:val="21"/>
                <w:lang w:eastAsia="zh-CN"/>
              </w:rPr>
              <w:t>700000</w:t>
            </w:r>
          </w:p>
        </w:tc>
      </w:tr>
      <w:bookmarkEnd w:id="69"/>
    </w:tbl>
    <w:p w14:paraId="527029E7">
      <w:pPr>
        <w:numPr>
          <w:ilvl w:val="0"/>
          <w:numId w:val="0"/>
        </w:numPr>
        <w:adjustRightInd w:val="0"/>
        <w:snapToGrid w:val="0"/>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val="en-US" w:eastAsia="zh-CN"/>
        </w:rPr>
        <w:t>5、</w:t>
      </w:r>
      <w:r>
        <w:rPr>
          <w:rFonts w:hint="eastAsia" w:ascii="宋体" w:hAnsi="宋体" w:cs="宋体"/>
          <w:color w:val="auto"/>
          <w:sz w:val="24"/>
          <w:szCs w:val="24"/>
        </w:rPr>
        <w:t>采购需求（包括但不限于标的的名称、数量、简要技术需求或服务要求等）</w:t>
      </w:r>
      <w:r>
        <w:rPr>
          <w:rFonts w:hint="eastAsia" w:ascii="宋体" w:hAnsi="宋体" w:cs="宋体"/>
          <w:color w:val="auto"/>
          <w:sz w:val="24"/>
          <w:szCs w:val="24"/>
          <w:lang w:eastAsia="zh-CN"/>
        </w:rPr>
        <w:t>：</w:t>
      </w:r>
    </w:p>
    <w:p w14:paraId="565C585A">
      <w:pPr>
        <w:numPr>
          <w:ilvl w:val="0"/>
          <w:numId w:val="0"/>
        </w:num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eastAsia="zh-CN"/>
        </w:rPr>
        <w:t>本项目包含安阳市文峰区城中村57座公厕（郭家街村4座、三官庙村9座、石家沟村10座、大王村9座、东关村4座、南关村7座、郭家庄3座、后张村4座、聂村7座）的日常保洁、维修维护等。</w:t>
      </w:r>
      <w:r>
        <w:rPr>
          <w:rFonts w:hint="eastAsia" w:ascii="宋体" w:hAnsi="宋体" w:cs="宋体"/>
          <w:color w:val="auto"/>
          <w:sz w:val="24"/>
          <w:szCs w:val="24"/>
        </w:rPr>
        <w:t>详见磋商文件“第二章  采购项目及服务要求</w:t>
      </w:r>
    </w:p>
    <w:p w14:paraId="51468464">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6、合同履行期限：一年</w:t>
      </w:r>
    </w:p>
    <w:p w14:paraId="23CE08EE">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7、本项目是否接受联合体投标：否</w:t>
      </w:r>
    </w:p>
    <w:p w14:paraId="0D4E6363">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8、是否接受进口产品：否</w:t>
      </w:r>
    </w:p>
    <w:p w14:paraId="078FFD48">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9、是否专门面向中小企业：是</w:t>
      </w:r>
    </w:p>
    <w:p w14:paraId="224D1846">
      <w:pPr>
        <w:widowControl w:val="0"/>
        <w:snapToGrid w:val="0"/>
        <w:spacing w:line="360" w:lineRule="auto"/>
        <w:rPr>
          <w:rFonts w:ascii="宋体" w:hAnsi="宋体" w:cs="宋体"/>
          <w:b/>
          <w:color w:val="auto"/>
          <w:sz w:val="28"/>
          <w:szCs w:val="28"/>
        </w:rPr>
      </w:pPr>
      <w:bookmarkStart w:id="1" w:name="_Toc35393791"/>
      <w:bookmarkStart w:id="2" w:name="_Toc28359080"/>
      <w:bookmarkStart w:id="3" w:name="_Toc28359003"/>
      <w:bookmarkStart w:id="4" w:name="_Toc35393622"/>
      <w:r>
        <w:rPr>
          <w:rFonts w:hint="eastAsia" w:ascii="宋体" w:hAnsi="宋体" w:cs="宋体"/>
          <w:b/>
          <w:color w:val="auto"/>
          <w:sz w:val="28"/>
          <w:szCs w:val="28"/>
        </w:rPr>
        <w:t>二、申请人的资格要求</w:t>
      </w:r>
      <w:bookmarkEnd w:id="1"/>
      <w:bookmarkEnd w:id="2"/>
      <w:bookmarkEnd w:id="3"/>
      <w:bookmarkEnd w:id="4"/>
    </w:p>
    <w:p w14:paraId="578EE12F">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1、满足《中华人民共和国政府采购法》第二十二条规定；</w:t>
      </w:r>
    </w:p>
    <w:p w14:paraId="2575C035">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2、落实政府采购政策满足的资格要求：</w:t>
      </w:r>
    </w:p>
    <w:p w14:paraId="0795FB2C">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本项目专门面向中小企业采购，提供中小企业声明函。</w:t>
      </w:r>
    </w:p>
    <w:p w14:paraId="651283B2">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3、本项目的特定资格要求：</w:t>
      </w:r>
    </w:p>
    <w:p w14:paraId="4BCAC3B1">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3.1 满足《中华人民共和国政府采购法》第二十二条规定的供应商基础性资格要求；供应商自行承诺（格式自拟）并承担后果，承诺书不实的，按《政府采购法》有关提供虚假材料的有关规定给予处罚。</w:t>
      </w:r>
    </w:p>
    <w:p w14:paraId="56CE18B7">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 项目（标段）资格要求，并提供相关资格证明材料</w:t>
      </w:r>
    </w:p>
    <w:p w14:paraId="01A94869">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（1）无不良信用记录。（未列入“信用中国”网站的“失信被执行人”和“重大税收违法失信主体”及“中国政府采购网”网站的“政府采购严重违法失信行为记录名单”）</w:t>
      </w:r>
    </w:p>
    <w:p w14:paraId="302CC424">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供应商递交《响应文件》后，采购人或者采购代理机构将按以上信用信息查询渠道在解密《响应文件》之后对参加本项目的供应商信用记录进行查询，供应商有上述任一不良信用记录的，其投标将被拒绝、为无效投标。查询的网页内容将以截图或者拍照作为证据留存，供应商可不提供相关证明材料。</w:t>
      </w:r>
    </w:p>
    <w:p w14:paraId="02357AE4">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58E0FDF7">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F4BB1A5">
      <w:pPr>
        <w:adjustRightInd w:val="0"/>
        <w:snapToGrid w:val="0"/>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注：1.所有证照均应在有效期内</w:t>
      </w:r>
      <w:r>
        <w:rPr>
          <w:rFonts w:hint="eastAsia" w:ascii="宋体" w:hAnsi="宋体" w:cs="宋体"/>
          <w:color w:val="auto"/>
          <w:sz w:val="24"/>
          <w:szCs w:val="24"/>
          <w:lang w:eastAsia="zh-CN"/>
        </w:rPr>
        <w:t>。</w:t>
      </w:r>
    </w:p>
    <w:p w14:paraId="30604142">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2.资格证明材料（文件）应附于响应文件中并经供应商电子签章。供应商对资格证明文件真实性有效合规承担责任，提供虚假材料的为无效投标并将进一步追究其责任。</w:t>
      </w:r>
    </w:p>
    <w:p w14:paraId="4EB2C823">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3.本项目采取资格后审，开标后，将由磋商小组对供应商的资格证明材料（文件）进行资格审核，未按要求逐一提供、或资格审查不合格的为无效投标，供应商应自负其风险费用。</w:t>
      </w:r>
    </w:p>
    <w:p w14:paraId="583309B1">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15F6E6D7">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三、获取采购文件</w:t>
      </w:r>
    </w:p>
    <w:p w14:paraId="630D08B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1、时间：</w:t>
      </w:r>
      <w:r>
        <w:rPr>
          <w:rFonts w:hint="eastAsia" w:ascii="宋体" w:hAnsi="宋体"/>
          <w:color w:val="auto"/>
          <w:sz w:val="24"/>
          <w:szCs w:val="24"/>
        </w:rPr>
        <w:t>2025年12月</w:t>
      </w:r>
      <w:r>
        <w:rPr>
          <w:rFonts w:hint="eastAsia" w:ascii="宋体" w:hAnsi="宋体"/>
          <w:color w:val="auto"/>
          <w:sz w:val="24"/>
          <w:szCs w:val="24"/>
          <w:lang w:val="en-US" w:eastAsia="zh-CN"/>
        </w:rPr>
        <w:t>11</w:t>
      </w:r>
      <w:r>
        <w:rPr>
          <w:rFonts w:hint="eastAsia" w:ascii="宋体" w:hAnsi="宋体"/>
          <w:color w:val="auto"/>
          <w:sz w:val="24"/>
          <w:szCs w:val="24"/>
        </w:rPr>
        <w:t>日至2025年12月</w:t>
      </w:r>
      <w:r>
        <w:rPr>
          <w:rFonts w:hint="eastAsia" w:ascii="宋体" w:hAnsi="宋体"/>
          <w:color w:val="auto"/>
          <w:sz w:val="24"/>
          <w:szCs w:val="24"/>
          <w:lang w:val="en-US" w:eastAsia="zh-CN"/>
        </w:rPr>
        <w:t>17</w:t>
      </w:r>
      <w:r>
        <w:rPr>
          <w:rFonts w:hint="eastAsia" w:ascii="宋体" w:hAnsi="宋体"/>
          <w:color w:val="auto"/>
          <w:sz w:val="24"/>
          <w:szCs w:val="24"/>
        </w:rPr>
        <w:t>日，</w:t>
      </w:r>
      <w:r>
        <w:rPr>
          <w:rFonts w:hint="eastAsia" w:ascii="宋体" w:hAnsi="宋体" w:cs="宋体"/>
          <w:color w:val="auto"/>
          <w:sz w:val="24"/>
          <w:szCs w:val="24"/>
        </w:rPr>
        <w:t>每天上午00：00至12：00，下午12：00至23：59（北京时间，法定节假日除外）。</w:t>
      </w:r>
    </w:p>
    <w:p w14:paraId="0ABF185C">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2、地点：</w:t>
      </w:r>
      <w:r>
        <w:rPr>
          <w:rFonts w:hint="eastAsia" w:ascii="宋体" w:hAnsi="宋体"/>
          <w:color w:val="auto"/>
          <w:sz w:val="24"/>
          <w:szCs w:val="24"/>
        </w:rPr>
        <w:t>凡有意参加投标者，登录“安阳市公共资源交易中心网站</w:t>
      </w:r>
      <w:r>
        <w:rPr>
          <w:rFonts w:hint="eastAsia" w:asciiTheme="minorEastAsia" w:hAnsiTheme="minorEastAsia" w:eastAsiaTheme="minorEastAsia"/>
          <w:color w:val="auto"/>
          <w:sz w:val="24"/>
          <w:szCs w:val="24"/>
        </w:rPr>
        <w:t>（https://ggzy.anyang.gov.cn）</w:t>
      </w:r>
      <w:r>
        <w:rPr>
          <w:rFonts w:hint="eastAsia" w:ascii="宋体" w:hAnsi="宋体"/>
          <w:color w:val="auto"/>
          <w:sz w:val="24"/>
          <w:szCs w:val="24"/>
        </w:rPr>
        <w:t>”，凭数字证书下载磋商文件。获取磋商文件后，请到安阳市公共资源交易中心网站</w:t>
      </w:r>
      <w:r>
        <w:rPr>
          <w:rFonts w:hint="eastAsia" w:asciiTheme="minorEastAsia" w:hAnsiTheme="minorEastAsia" w:eastAsiaTheme="minorEastAsia"/>
          <w:color w:val="auto"/>
          <w:sz w:val="24"/>
          <w:szCs w:val="24"/>
          <w:lang w:val="zh-CN"/>
        </w:rPr>
        <w:t>（https://ggzy.anyang.gov.cn）</w:t>
      </w:r>
      <w:r>
        <w:rPr>
          <w:rFonts w:hint="eastAsia" w:ascii="宋体" w:hAnsi="宋体"/>
          <w:color w:val="auto"/>
          <w:sz w:val="24"/>
          <w:szCs w:val="24"/>
        </w:rPr>
        <w:t>下载并安装投标文件制作工具，查看磋商文件和制作电子投标文件。</w:t>
      </w:r>
    </w:p>
    <w:p w14:paraId="7854A6DB">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3、方式：网上下载</w:t>
      </w:r>
    </w:p>
    <w:p w14:paraId="503432C6">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4、售价：0元</w:t>
      </w:r>
    </w:p>
    <w:p w14:paraId="50984B60">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四、响应文件提交</w:t>
      </w:r>
    </w:p>
    <w:p w14:paraId="006B89C6">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1、截止时间：</w:t>
      </w:r>
      <w:r>
        <w:rPr>
          <w:rFonts w:hint="eastAsia" w:ascii="宋体" w:hAnsi="宋体" w:cs="宋体"/>
          <w:color w:val="auto"/>
          <w:sz w:val="24"/>
          <w:szCs w:val="22"/>
        </w:rPr>
        <w:t>2025年12月</w:t>
      </w:r>
      <w:r>
        <w:rPr>
          <w:rFonts w:hint="eastAsia" w:ascii="宋体" w:hAnsi="宋体" w:cs="宋体"/>
          <w:color w:val="auto"/>
          <w:sz w:val="24"/>
          <w:szCs w:val="22"/>
          <w:lang w:val="en-US" w:eastAsia="zh-CN"/>
        </w:rPr>
        <w:t>23</w:t>
      </w:r>
      <w:r>
        <w:rPr>
          <w:rFonts w:hint="eastAsia" w:ascii="宋体" w:hAnsi="宋体" w:cs="宋体"/>
          <w:color w:val="auto"/>
          <w:sz w:val="24"/>
          <w:szCs w:val="22"/>
        </w:rPr>
        <w:t>日9时00分</w:t>
      </w:r>
      <w:r>
        <w:rPr>
          <w:rFonts w:hint="eastAsia" w:ascii="宋体" w:hAnsi="宋体" w:cs="宋体"/>
          <w:color w:val="auto"/>
          <w:sz w:val="24"/>
          <w:szCs w:val="24"/>
        </w:rPr>
        <w:t>（北京时间）</w:t>
      </w:r>
    </w:p>
    <w:p w14:paraId="31956242">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2、地点：</w:t>
      </w:r>
      <w:r>
        <w:rPr>
          <w:rFonts w:hint="eastAsia" w:ascii="宋体" w:hAnsi="宋体" w:cs="宋体"/>
          <w:color w:val="auto"/>
          <w:sz w:val="24"/>
          <w:szCs w:val="22"/>
        </w:rPr>
        <w:t>供应商应在投标截止时间前上传加密的电子投标文件（*.aytf）到安阳市电子招投标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电子招投标交易平台将拒绝接收。逾期送达的或者未送达指定地点的响应文件，采购人不予受理。</w:t>
      </w:r>
    </w:p>
    <w:p w14:paraId="7EBACD5E">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五、响应文件开启</w:t>
      </w:r>
    </w:p>
    <w:p w14:paraId="795622A0">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2"/>
        </w:rPr>
        <w:t>：2025年12月</w:t>
      </w:r>
      <w:r>
        <w:rPr>
          <w:rFonts w:hint="eastAsia" w:ascii="宋体" w:hAnsi="宋体" w:cs="宋体"/>
          <w:color w:val="auto"/>
          <w:sz w:val="24"/>
          <w:szCs w:val="22"/>
          <w:lang w:val="en-US" w:eastAsia="zh-CN"/>
        </w:rPr>
        <w:t>23</w:t>
      </w:r>
      <w:r>
        <w:rPr>
          <w:rFonts w:hint="eastAsia" w:ascii="宋体" w:hAnsi="宋体" w:cs="宋体"/>
          <w:color w:val="auto"/>
          <w:sz w:val="24"/>
          <w:szCs w:val="22"/>
        </w:rPr>
        <w:t>日9时00分（北京时间）</w:t>
      </w:r>
    </w:p>
    <w:p w14:paraId="5EDA0EFD">
      <w:pPr>
        <w:spacing w:line="360" w:lineRule="auto"/>
        <w:ind w:firstLine="480" w:firstLineChars="200"/>
        <w:textAlignment w:val="auto"/>
        <w:rPr>
          <w:rFonts w:hint="eastAsia" w:ascii="宋体" w:hAnsi="宋体" w:cs="宋体"/>
          <w:color w:val="auto"/>
          <w:sz w:val="24"/>
          <w:szCs w:val="22"/>
        </w:rPr>
      </w:pPr>
      <w:r>
        <w:rPr>
          <w:rFonts w:hint="eastAsia" w:ascii="宋体" w:hAnsi="宋体" w:cs="宋体"/>
          <w:color w:val="auto"/>
          <w:sz w:val="24"/>
          <w:szCs w:val="24"/>
        </w:rPr>
        <w:t>2、地点（管理员网上操作地点）：安阳市公共资源交易中心五楼集中开标大厅</w:t>
      </w:r>
      <w:r>
        <w:rPr>
          <w:rFonts w:hint="eastAsia" w:ascii="宋体" w:hAnsi="宋体" w:cs="宋体"/>
          <w:color w:val="auto"/>
          <w:sz w:val="24"/>
          <w:szCs w:val="22"/>
          <w:lang w:val="en-US" w:eastAsia="zh-CN"/>
        </w:rPr>
        <w:t>5</w:t>
      </w:r>
      <w:r>
        <w:rPr>
          <w:rFonts w:hint="eastAsia" w:ascii="宋体" w:hAnsi="宋体" w:cs="宋体"/>
          <w:color w:val="auto"/>
          <w:sz w:val="24"/>
          <w:szCs w:val="22"/>
        </w:rPr>
        <w:t>厅（安阳市文峰大道东段559号安阳市民之家）</w:t>
      </w:r>
    </w:p>
    <w:p w14:paraId="7207DF36">
      <w:pPr>
        <w:spacing w:line="360" w:lineRule="auto"/>
        <w:ind w:firstLine="480" w:firstLineChars="200"/>
        <w:textAlignment w:val="auto"/>
        <w:rPr>
          <w:rFonts w:ascii="宋体" w:hAnsi="宋体" w:cs="宋体"/>
          <w:color w:val="auto"/>
          <w:sz w:val="24"/>
          <w:szCs w:val="22"/>
        </w:rPr>
      </w:pPr>
      <w:r>
        <w:rPr>
          <w:rFonts w:hint="eastAsia" w:ascii="宋体" w:hAnsi="宋体" w:cs="宋体"/>
          <w:color w:val="auto"/>
          <w:sz w:val="24"/>
          <w:szCs w:val="22"/>
        </w:rPr>
        <w:t>本项目采用远程不见面交易的模式，开标当日，供应商无需到开标现场参加开标会议，供应商应当在投标截止时间前，使用IE浏览器登录到安阳市公共资源交易中心网站新系统不见面开标大厅，点击右上方【登录】按钮进入，在线准时参加开标活动并进行响应文件解密等。因供应商原因未能解密、解密失败或解密超时的将被拒绝。</w:t>
      </w:r>
    </w:p>
    <w:p w14:paraId="4B7AECC5">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六、发布公告的媒介及公告期限</w:t>
      </w:r>
    </w:p>
    <w:p w14:paraId="54F78B65">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本次招标公告在《河南省政府采购网》、《安阳市政府采购网》、《</w:t>
      </w:r>
      <w:r>
        <w:rPr>
          <w:rFonts w:hint="eastAsia" w:ascii="宋体" w:hAnsi="宋体"/>
          <w:color w:val="auto"/>
          <w:sz w:val="24"/>
          <w:szCs w:val="24"/>
        </w:rPr>
        <w:t>安阳市公共资源交易中心</w:t>
      </w:r>
      <w:r>
        <w:rPr>
          <w:rFonts w:hint="eastAsia" w:ascii="宋体" w:hAnsi="宋体" w:cs="宋体"/>
          <w:color w:val="auto"/>
          <w:sz w:val="24"/>
          <w:szCs w:val="22"/>
        </w:rPr>
        <w:t>）</w:t>
      </w:r>
      <w:r>
        <w:rPr>
          <w:rFonts w:hint="eastAsia" w:ascii="宋体" w:hAnsi="宋体" w:cs="宋体"/>
          <w:color w:val="auto"/>
          <w:sz w:val="24"/>
          <w:szCs w:val="24"/>
        </w:rPr>
        <w:t>》上发布。招标公告期限为三个工作日。</w:t>
      </w:r>
    </w:p>
    <w:p w14:paraId="22EC5EE5">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七、其他补充事宜</w:t>
      </w:r>
    </w:p>
    <w:p w14:paraId="27AD14F3">
      <w:pPr>
        <w:spacing w:line="360" w:lineRule="auto"/>
        <w:ind w:firstLine="480" w:firstLineChars="200"/>
        <w:textAlignment w:val="auto"/>
        <w:rPr>
          <w:rFonts w:ascii="宋体" w:hAnsi="宋体" w:cs="宋体"/>
          <w:color w:val="auto"/>
          <w:sz w:val="24"/>
          <w:szCs w:val="22"/>
        </w:rPr>
      </w:pPr>
      <w:bookmarkStart w:id="5" w:name="_Toc35393796"/>
      <w:bookmarkStart w:id="6" w:name="_Toc28359085"/>
      <w:bookmarkStart w:id="7" w:name="_Toc28359008"/>
      <w:bookmarkStart w:id="8" w:name="_Toc35393627"/>
      <w:r>
        <w:rPr>
          <w:rFonts w:hint="eastAsia" w:ascii="宋体" w:hAnsi="宋体" w:cs="宋体"/>
          <w:color w:val="auto"/>
          <w:sz w:val="24"/>
          <w:szCs w:val="22"/>
        </w:rPr>
        <w:t>1、本项目执行强制节能产品强制采购、节能产品、环境标志产品及贫困地区产品优先采购、促进中小企业发展扶持政策、进口产品政策、信息安全产品、社会信用体系建设、促进残疾人就业、支持监狱企业发展等。</w:t>
      </w:r>
    </w:p>
    <w:p w14:paraId="7C88D5B1">
      <w:pPr>
        <w:spacing w:line="360" w:lineRule="auto"/>
        <w:ind w:firstLine="480" w:firstLineChars="200"/>
        <w:textAlignment w:val="auto"/>
        <w:rPr>
          <w:rFonts w:ascii="宋体" w:hAnsi="宋体" w:cs="宋体"/>
          <w:color w:val="auto"/>
          <w:sz w:val="24"/>
          <w:szCs w:val="22"/>
        </w:rPr>
      </w:pPr>
      <w:r>
        <w:rPr>
          <w:rFonts w:hint="eastAsia" w:ascii="宋体" w:hAnsi="宋体" w:cs="宋体"/>
          <w:color w:val="auto"/>
          <w:sz w:val="24"/>
          <w:szCs w:val="22"/>
        </w:rPr>
        <w:t>2、政府采购合同融资：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69A1194F">
      <w:pPr>
        <w:widowControl w:val="0"/>
        <w:adjustRightInd w:val="0"/>
        <w:snapToGrid w:val="0"/>
        <w:spacing w:line="360" w:lineRule="auto"/>
        <w:jc w:val="left"/>
        <w:rPr>
          <w:rFonts w:ascii="宋体" w:hAnsi="宋体" w:cs="宋体"/>
          <w:b/>
          <w:color w:val="auto"/>
          <w:sz w:val="28"/>
          <w:szCs w:val="28"/>
        </w:rPr>
      </w:pPr>
      <w:r>
        <w:rPr>
          <w:rFonts w:hint="eastAsia" w:ascii="宋体" w:hAnsi="宋体" w:cs="宋体"/>
          <w:b/>
          <w:color w:val="auto"/>
          <w:sz w:val="28"/>
          <w:szCs w:val="28"/>
        </w:rPr>
        <w:t>八、凡对本次招标提出询问，请按照以下方式联系</w:t>
      </w:r>
      <w:bookmarkEnd w:id="5"/>
      <w:bookmarkEnd w:id="6"/>
      <w:bookmarkEnd w:id="7"/>
      <w:bookmarkEnd w:id="8"/>
    </w:p>
    <w:p w14:paraId="19E98FB9">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1、采购人信息</w:t>
      </w:r>
    </w:p>
    <w:p w14:paraId="7F77AD84">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名称：安阳市文峰区环境卫生事务中心</w:t>
      </w:r>
    </w:p>
    <w:p w14:paraId="37CD3131">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地址：河南省安阳市平原路南段路东</w:t>
      </w:r>
    </w:p>
    <w:p w14:paraId="7BCAAA5F">
      <w:pPr>
        <w:widowControl w:val="0"/>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联系人：崔来生</w:t>
      </w:r>
    </w:p>
    <w:p w14:paraId="128FAD6E">
      <w:pPr>
        <w:widowControl w:val="0"/>
        <w:adjustRightInd w:val="0"/>
        <w:snapToGrid w:val="0"/>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联系方式</w:t>
      </w:r>
      <w:bookmarkStart w:id="9" w:name="_Toc28359009"/>
      <w:bookmarkStart w:id="10" w:name="_Toc28359086"/>
      <w:r>
        <w:rPr>
          <w:rFonts w:hint="eastAsia" w:ascii="宋体" w:hAnsi="宋体" w:cs="宋体"/>
          <w:color w:val="auto"/>
          <w:sz w:val="24"/>
          <w:szCs w:val="24"/>
        </w:rPr>
        <w:t>：</w:t>
      </w:r>
      <w:r>
        <w:rPr>
          <w:rFonts w:hint="eastAsia" w:ascii="宋体" w:hAnsi="宋体" w:cs="宋体"/>
          <w:color w:val="auto"/>
          <w:sz w:val="24"/>
          <w:szCs w:val="24"/>
          <w:lang w:eastAsia="zh-CN"/>
        </w:rPr>
        <w:t>18238523792</w:t>
      </w:r>
    </w:p>
    <w:p w14:paraId="745D83FF">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2、采购代理机构信息</w:t>
      </w:r>
      <w:bookmarkEnd w:id="9"/>
      <w:bookmarkEnd w:id="10"/>
    </w:p>
    <w:p w14:paraId="048B8DE6">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名称：</w:t>
      </w:r>
      <w:bookmarkStart w:id="11" w:name="_Toc28359087"/>
      <w:bookmarkStart w:id="12" w:name="_Toc28359010"/>
      <w:r>
        <w:rPr>
          <w:rFonts w:hint="eastAsia" w:ascii="宋体" w:hAnsi="宋体" w:cs="宋体"/>
          <w:color w:val="auto"/>
          <w:sz w:val="24"/>
          <w:szCs w:val="24"/>
        </w:rPr>
        <w:t>河南圣坤工程咨询有限公司</w:t>
      </w:r>
    </w:p>
    <w:p w14:paraId="5AB72DFA">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地址：安阳市文峰区财富公馆东单元15楼</w:t>
      </w:r>
    </w:p>
    <w:p w14:paraId="66099CF7">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bCs/>
          <w:color w:val="auto"/>
          <w:kern w:val="2"/>
          <w:sz w:val="24"/>
          <w:szCs w:val="24"/>
        </w:rPr>
        <w:t>冯雪燕</w:t>
      </w:r>
    </w:p>
    <w:p w14:paraId="5B37D85D">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联系方式：13193539807</w:t>
      </w:r>
    </w:p>
    <w:p w14:paraId="517E5CE9">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3、项目联系方式</w:t>
      </w:r>
      <w:bookmarkEnd w:id="11"/>
      <w:bookmarkEnd w:id="12"/>
    </w:p>
    <w:p w14:paraId="2FFB1BA1">
      <w:pPr>
        <w:widowControl w:val="0"/>
        <w:adjustRightIn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项目联系人：冯雪燕</w:t>
      </w:r>
    </w:p>
    <w:p w14:paraId="51A261BE">
      <w:pPr>
        <w:widowControl w:val="0"/>
        <w:adjustRightIn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联系方式：13193539807</w:t>
      </w:r>
    </w:p>
    <w:p w14:paraId="2BA62ED9">
      <w:pPr>
        <w:rPr>
          <w:rFonts w:ascii="宋体" w:hAnsi="宋体" w:cs="宋体"/>
          <w:b/>
          <w:color w:val="auto"/>
          <w:sz w:val="36"/>
          <w:szCs w:val="36"/>
        </w:rPr>
      </w:pPr>
      <w:r>
        <w:rPr>
          <w:rFonts w:hint="eastAsia" w:ascii="宋体" w:hAnsi="宋体" w:cs="宋体"/>
          <w:b/>
          <w:color w:val="auto"/>
          <w:sz w:val="36"/>
          <w:szCs w:val="36"/>
        </w:rPr>
        <w:br w:type="page"/>
      </w:r>
    </w:p>
    <w:p w14:paraId="5D92D212">
      <w:pPr>
        <w:pStyle w:val="2"/>
        <w:rPr>
          <w:color w:val="auto"/>
        </w:rPr>
      </w:pPr>
      <w:bookmarkStart w:id="13" w:name="_Toc31575"/>
      <w:r>
        <w:rPr>
          <w:rFonts w:hint="eastAsia"/>
          <w:color w:val="auto"/>
        </w:rPr>
        <w:t>第二章  采购项目及服务要求</w:t>
      </w:r>
      <w:bookmarkEnd w:id="13"/>
    </w:p>
    <w:p w14:paraId="0501D54C">
      <w:pPr>
        <w:widowControl w:val="0"/>
        <w:snapToGrid w:val="0"/>
        <w:spacing w:line="360" w:lineRule="auto"/>
        <w:ind w:firstLine="562" w:firstLineChars="200"/>
        <w:jc w:val="left"/>
        <w:outlineLvl w:val="1"/>
        <w:rPr>
          <w:rFonts w:ascii="宋体" w:hAnsi="宋体" w:cs="宋体"/>
          <w:b/>
          <w:color w:val="auto"/>
          <w:sz w:val="28"/>
        </w:rPr>
      </w:pPr>
      <w:bookmarkStart w:id="14" w:name="_Toc91755428"/>
      <w:bookmarkStart w:id="15" w:name="_Toc96605334"/>
      <w:bookmarkStart w:id="16" w:name="_Toc23726"/>
      <w:r>
        <w:rPr>
          <w:rFonts w:hint="eastAsia" w:ascii="宋体" w:hAnsi="宋体" w:cs="宋体"/>
          <w:b/>
          <w:color w:val="auto"/>
          <w:sz w:val="28"/>
        </w:rPr>
        <w:t>1.采购项目、标段（包）划分、磋商报价</w:t>
      </w:r>
      <w:bookmarkEnd w:id="14"/>
      <w:bookmarkEnd w:id="15"/>
      <w:bookmarkEnd w:id="16"/>
    </w:p>
    <w:p w14:paraId="590B4B5D">
      <w:pPr>
        <w:widowControl w:val="0"/>
        <w:snapToGrid w:val="0"/>
        <w:spacing w:line="360" w:lineRule="auto"/>
        <w:ind w:firstLine="482" w:firstLineChars="200"/>
        <w:jc w:val="left"/>
        <w:rPr>
          <w:rFonts w:ascii="宋体" w:hAnsi="宋体" w:cs="宋体"/>
          <w:color w:val="auto"/>
          <w:sz w:val="24"/>
          <w:szCs w:val="24"/>
        </w:rPr>
      </w:pPr>
      <w:r>
        <w:rPr>
          <w:rFonts w:hint="eastAsia" w:ascii="宋体" w:hAnsi="宋体" w:cs="宋体"/>
          <w:b/>
          <w:color w:val="auto"/>
          <w:sz w:val="24"/>
          <w:szCs w:val="24"/>
        </w:rPr>
        <w:t>1.1 采购项目名称</w:t>
      </w:r>
      <w:r>
        <w:rPr>
          <w:rFonts w:hint="eastAsia" w:ascii="宋体" w:hAnsi="宋体" w:cs="宋体"/>
          <w:color w:val="auto"/>
          <w:sz w:val="24"/>
          <w:szCs w:val="24"/>
        </w:rPr>
        <w:t>：安阳市文峰区环境卫生事务中心2026年城中村公厕保洁服务项目</w:t>
      </w:r>
    </w:p>
    <w:p w14:paraId="502358B2">
      <w:pPr>
        <w:widowControl w:val="0"/>
        <w:snapToGrid w:val="0"/>
        <w:spacing w:line="360" w:lineRule="auto"/>
        <w:ind w:firstLine="482" w:firstLineChars="200"/>
        <w:jc w:val="left"/>
        <w:rPr>
          <w:rFonts w:ascii="宋体" w:hAnsi="宋体" w:cs="宋体"/>
          <w:color w:val="auto"/>
          <w:sz w:val="24"/>
          <w:szCs w:val="24"/>
        </w:rPr>
      </w:pPr>
      <w:r>
        <w:rPr>
          <w:rFonts w:hint="eastAsia" w:ascii="宋体" w:hAnsi="宋体" w:cs="宋体"/>
          <w:b/>
          <w:color w:val="auto"/>
          <w:sz w:val="24"/>
          <w:szCs w:val="24"/>
        </w:rPr>
        <w:t>1.2 标段（包）划分及其合同履行期限、服务地点</w:t>
      </w:r>
      <w:r>
        <w:rPr>
          <w:rFonts w:hint="eastAsia" w:ascii="宋体" w:hAnsi="宋体" w:cs="宋体"/>
          <w:color w:val="auto"/>
          <w:sz w:val="24"/>
          <w:szCs w:val="24"/>
        </w:rPr>
        <w:t>：本次采购项目划分为1个标段（包）。</w:t>
      </w:r>
    </w:p>
    <w:tbl>
      <w:tblPr>
        <w:tblStyle w:val="22"/>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842"/>
        <w:gridCol w:w="2431"/>
        <w:gridCol w:w="1592"/>
        <w:gridCol w:w="1167"/>
      </w:tblGrid>
      <w:tr w14:paraId="15A7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147" w:type="dxa"/>
            <w:gridSpan w:val="5"/>
            <w:vAlign w:val="center"/>
          </w:tcPr>
          <w:p w14:paraId="496F0563">
            <w:pPr>
              <w:widowControl w:val="0"/>
              <w:snapToGrid w:val="0"/>
              <w:spacing w:line="240" w:lineRule="auto"/>
              <w:jc w:val="center"/>
              <w:rPr>
                <w:rFonts w:ascii="宋体" w:hAnsi="宋体" w:cs="宋体"/>
                <w:b/>
                <w:color w:val="auto"/>
                <w:sz w:val="24"/>
                <w:szCs w:val="24"/>
              </w:rPr>
            </w:pPr>
            <w:r>
              <w:rPr>
                <w:rFonts w:hint="eastAsia" w:ascii="宋体" w:hAnsi="宋体" w:cs="宋体"/>
                <w:b/>
                <w:color w:val="auto"/>
                <w:sz w:val="24"/>
                <w:szCs w:val="24"/>
              </w:rPr>
              <w:t>标段（包）一览表</w:t>
            </w:r>
          </w:p>
        </w:tc>
      </w:tr>
      <w:tr w14:paraId="1ACD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115" w:type="dxa"/>
            <w:vAlign w:val="center"/>
          </w:tcPr>
          <w:p w14:paraId="6708F413">
            <w:pPr>
              <w:widowControl w:val="0"/>
              <w:snapToGrid w:val="0"/>
              <w:spacing w:line="240" w:lineRule="auto"/>
              <w:jc w:val="center"/>
              <w:rPr>
                <w:rFonts w:ascii="宋体" w:hAnsi="宋体" w:cs="宋体"/>
                <w:b/>
                <w:color w:val="auto"/>
                <w:sz w:val="24"/>
                <w:szCs w:val="24"/>
              </w:rPr>
            </w:pPr>
            <w:r>
              <w:rPr>
                <w:rFonts w:hint="eastAsia" w:ascii="宋体" w:hAnsi="宋体" w:cs="宋体"/>
                <w:b/>
                <w:color w:val="auto"/>
                <w:sz w:val="24"/>
                <w:szCs w:val="24"/>
              </w:rPr>
              <w:t>项目名称</w:t>
            </w:r>
          </w:p>
        </w:tc>
        <w:tc>
          <w:tcPr>
            <w:tcW w:w="1842" w:type="dxa"/>
            <w:vAlign w:val="center"/>
          </w:tcPr>
          <w:p w14:paraId="0BC1F16B">
            <w:pPr>
              <w:widowControl w:val="0"/>
              <w:snapToGrid w:val="0"/>
              <w:spacing w:line="240" w:lineRule="auto"/>
              <w:jc w:val="center"/>
              <w:rPr>
                <w:rFonts w:ascii="宋体" w:hAnsi="宋体" w:cs="宋体"/>
                <w:b/>
                <w:color w:val="auto"/>
                <w:sz w:val="24"/>
                <w:szCs w:val="24"/>
              </w:rPr>
            </w:pPr>
            <w:r>
              <w:rPr>
                <w:rFonts w:hint="eastAsia" w:ascii="宋体" w:hAnsi="宋体" w:cs="宋体"/>
                <w:b/>
                <w:color w:val="auto"/>
                <w:sz w:val="24"/>
                <w:szCs w:val="24"/>
              </w:rPr>
              <w:t>标段（包）名称</w:t>
            </w:r>
          </w:p>
        </w:tc>
        <w:tc>
          <w:tcPr>
            <w:tcW w:w="2431" w:type="dxa"/>
            <w:vAlign w:val="center"/>
          </w:tcPr>
          <w:p w14:paraId="1DF2F449">
            <w:pPr>
              <w:widowControl w:val="0"/>
              <w:snapToGrid w:val="0"/>
              <w:spacing w:line="240" w:lineRule="auto"/>
              <w:jc w:val="center"/>
              <w:rPr>
                <w:rFonts w:ascii="宋体" w:hAnsi="宋体" w:cs="宋体"/>
                <w:b/>
                <w:color w:val="auto"/>
                <w:sz w:val="24"/>
                <w:szCs w:val="24"/>
              </w:rPr>
            </w:pPr>
            <w:r>
              <w:rPr>
                <w:rFonts w:hint="eastAsia" w:ascii="宋体" w:hAnsi="宋体" w:cs="宋体"/>
                <w:b/>
                <w:color w:val="auto"/>
                <w:sz w:val="24"/>
                <w:szCs w:val="24"/>
              </w:rPr>
              <w:t>标段（包）内容（范围）</w:t>
            </w:r>
          </w:p>
        </w:tc>
        <w:tc>
          <w:tcPr>
            <w:tcW w:w="1592" w:type="dxa"/>
            <w:vAlign w:val="center"/>
          </w:tcPr>
          <w:p w14:paraId="6A34E40F">
            <w:pPr>
              <w:widowControl w:val="0"/>
              <w:snapToGrid w:val="0"/>
              <w:spacing w:line="240" w:lineRule="auto"/>
              <w:jc w:val="center"/>
              <w:rPr>
                <w:rFonts w:ascii="宋体" w:hAnsi="宋体" w:cs="宋体"/>
                <w:b/>
                <w:color w:val="auto"/>
                <w:sz w:val="24"/>
                <w:szCs w:val="24"/>
              </w:rPr>
            </w:pPr>
            <w:r>
              <w:rPr>
                <w:rFonts w:hint="eastAsia" w:ascii="宋体" w:hAnsi="宋体" w:cs="宋体"/>
                <w:b/>
                <w:color w:val="auto"/>
                <w:sz w:val="24"/>
                <w:szCs w:val="24"/>
              </w:rPr>
              <w:t>合同履行期限</w:t>
            </w:r>
          </w:p>
          <w:p w14:paraId="7D0D4FB2">
            <w:pPr>
              <w:widowControl w:val="0"/>
              <w:snapToGrid w:val="0"/>
              <w:spacing w:line="240" w:lineRule="auto"/>
              <w:jc w:val="center"/>
              <w:rPr>
                <w:rFonts w:ascii="宋体" w:hAnsi="宋体" w:cs="宋体"/>
                <w:b/>
                <w:color w:val="auto"/>
                <w:sz w:val="24"/>
                <w:szCs w:val="24"/>
              </w:rPr>
            </w:pPr>
            <w:r>
              <w:rPr>
                <w:rFonts w:hint="eastAsia" w:ascii="宋体" w:hAnsi="宋体" w:cs="宋体"/>
                <w:b/>
                <w:color w:val="auto"/>
                <w:sz w:val="24"/>
                <w:szCs w:val="24"/>
              </w:rPr>
              <w:t>（服务期限）</w:t>
            </w:r>
          </w:p>
        </w:tc>
        <w:tc>
          <w:tcPr>
            <w:tcW w:w="1167" w:type="dxa"/>
            <w:vAlign w:val="center"/>
          </w:tcPr>
          <w:p w14:paraId="3E751548">
            <w:pPr>
              <w:widowControl w:val="0"/>
              <w:snapToGrid w:val="0"/>
              <w:spacing w:line="240" w:lineRule="auto"/>
              <w:jc w:val="center"/>
              <w:rPr>
                <w:rFonts w:ascii="宋体" w:hAnsi="宋体" w:cs="宋体"/>
                <w:b/>
                <w:color w:val="auto"/>
                <w:sz w:val="24"/>
                <w:szCs w:val="24"/>
              </w:rPr>
            </w:pPr>
            <w:r>
              <w:rPr>
                <w:rFonts w:hint="eastAsia" w:ascii="宋体" w:hAnsi="宋体" w:cs="宋体"/>
                <w:b/>
                <w:color w:val="auto"/>
                <w:sz w:val="24"/>
                <w:szCs w:val="24"/>
              </w:rPr>
              <w:t>服务地点</w:t>
            </w:r>
          </w:p>
        </w:tc>
      </w:tr>
      <w:tr w14:paraId="05C9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115" w:type="dxa"/>
            <w:vAlign w:val="center"/>
          </w:tcPr>
          <w:p w14:paraId="478E15CD">
            <w:pPr>
              <w:widowControl w:val="0"/>
              <w:snapToGrid w:val="0"/>
              <w:spacing w:line="240" w:lineRule="auto"/>
              <w:jc w:val="center"/>
              <w:rPr>
                <w:rFonts w:ascii="宋体" w:hAnsi="宋体" w:cs="宋体"/>
                <w:color w:val="auto"/>
                <w:sz w:val="24"/>
                <w:szCs w:val="24"/>
              </w:rPr>
            </w:pPr>
            <w:r>
              <w:rPr>
                <w:rFonts w:hint="eastAsia" w:ascii="宋体" w:hAnsi="宋体" w:cs="宋体"/>
                <w:color w:val="auto"/>
                <w:sz w:val="24"/>
                <w:szCs w:val="24"/>
              </w:rPr>
              <w:t>安阳市文峰区环境卫生事务中心2026年城中村公厕保洁服务项目</w:t>
            </w:r>
          </w:p>
        </w:tc>
        <w:tc>
          <w:tcPr>
            <w:tcW w:w="1842" w:type="dxa"/>
            <w:vAlign w:val="center"/>
          </w:tcPr>
          <w:p w14:paraId="7D82A45B">
            <w:pPr>
              <w:widowControl w:val="0"/>
              <w:snapToGrid w:val="0"/>
              <w:spacing w:line="240" w:lineRule="auto"/>
              <w:jc w:val="center"/>
              <w:rPr>
                <w:rFonts w:ascii="宋体" w:hAnsi="宋体" w:cs="宋体"/>
                <w:color w:val="auto"/>
                <w:sz w:val="24"/>
                <w:szCs w:val="24"/>
              </w:rPr>
            </w:pPr>
            <w:r>
              <w:rPr>
                <w:rFonts w:hint="eastAsia" w:ascii="宋体" w:hAnsi="宋体" w:cs="宋体"/>
                <w:color w:val="auto"/>
                <w:sz w:val="24"/>
                <w:szCs w:val="24"/>
              </w:rPr>
              <w:t>安阳市文峰区环境卫生事务中心2026年城中村公厕保洁服务项目</w:t>
            </w:r>
          </w:p>
        </w:tc>
        <w:tc>
          <w:tcPr>
            <w:tcW w:w="2431" w:type="dxa"/>
            <w:vAlign w:val="center"/>
          </w:tcPr>
          <w:p w14:paraId="3491030E">
            <w:pPr>
              <w:widowControl w:val="0"/>
              <w:snapToGrid w:val="0"/>
              <w:spacing w:line="240" w:lineRule="auto"/>
              <w:rPr>
                <w:rFonts w:ascii="宋体" w:hAnsi="宋体" w:cs="宋体"/>
                <w:color w:val="auto"/>
                <w:sz w:val="24"/>
                <w:szCs w:val="24"/>
              </w:rPr>
            </w:pPr>
            <w:r>
              <w:rPr>
                <w:rFonts w:hint="eastAsia" w:ascii="宋体" w:hAnsi="宋体" w:cs="宋体"/>
                <w:color w:val="auto"/>
                <w:sz w:val="24"/>
                <w:szCs w:val="24"/>
              </w:rPr>
              <w:t>见“第二章第2条：标段（包）内容（范围）及服务要求”</w:t>
            </w:r>
          </w:p>
        </w:tc>
        <w:tc>
          <w:tcPr>
            <w:tcW w:w="1592" w:type="dxa"/>
            <w:vAlign w:val="center"/>
          </w:tcPr>
          <w:p w14:paraId="376F4073">
            <w:pPr>
              <w:widowControl w:val="0"/>
              <w:snapToGrid w:val="0"/>
              <w:spacing w:line="240" w:lineRule="auto"/>
              <w:jc w:val="center"/>
              <w:rPr>
                <w:rFonts w:ascii="宋体" w:hAnsi="宋体" w:cs="宋体"/>
                <w:color w:val="auto"/>
                <w:sz w:val="24"/>
                <w:szCs w:val="24"/>
              </w:rPr>
            </w:pPr>
            <w:r>
              <w:rPr>
                <w:rFonts w:hint="eastAsia" w:ascii="宋体" w:hAnsi="宋体" w:cs="宋体"/>
                <w:color w:val="auto"/>
                <w:sz w:val="24"/>
                <w:szCs w:val="24"/>
              </w:rPr>
              <w:t>一年</w:t>
            </w:r>
          </w:p>
        </w:tc>
        <w:tc>
          <w:tcPr>
            <w:tcW w:w="1167" w:type="dxa"/>
            <w:vAlign w:val="center"/>
          </w:tcPr>
          <w:p w14:paraId="0DEDB106">
            <w:pPr>
              <w:widowControl w:val="0"/>
              <w:snapToGrid w:val="0"/>
              <w:spacing w:line="240" w:lineRule="auto"/>
              <w:jc w:val="center"/>
              <w:rPr>
                <w:rFonts w:ascii="宋体" w:hAnsi="宋体" w:cs="宋体"/>
                <w:color w:val="auto"/>
                <w:sz w:val="24"/>
                <w:szCs w:val="24"/>
              </w:rPr>
            </w:pPr>
            <w:r>
              <w:rPr>
                <w:rFonts w:hint="eastAsia" w:ascii="宋体" w:hAnsi="宋体" w:cs="宋体"/>
                <w:color w:val="auto"/>
                <w:sz w:val="24"/>
                <w:szCs w:val="24"/>
              </w:rPr>
              <w:t>采购人指定地点</w:t>
            </w:r>
          </w:p>
        </w:tc>
      </w:tr>
    </w:tbl>
    <w:p w14:paraId="01152F08">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1.3 磋商报价（价格构成）</w:t>
      </w:r>
    </w:p>
    <w:p w14:paraId="341BB5C2">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1.3.1 供应商的磋商报价应为达到服务要求下的目的地交验价，磋商报价参考报价组成=人员工资+保险费用+物料费+职工劳保等其他管理有关的费用（包括完成交验所必须的所有设备、材料、工具、其他未列明费用），磋商报价须符合国家相关法律、法规及政策规定要求。</w:t>
      </w:r>
    </w:p>
    <w:p w14:paraId="1EFD1730">
      <w:pPr>
        <w:widowControl w:val="0"/>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注：预算金额内含人员工资标准调整金额部分，人员工资标准根据省调整最低工资标准通知，待财政资金到位后进行调标增资。</w:t>
      </w:r>
    </w:p>
    <w:p w14:paraId="22C28FC1">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1.3.2 本次竞争性磋商共二次报价（含系统中开标一览表报价共二次价格磋商）。磋商小组未对《磋商文件》作优化变更增加的，磋商中的报价均不应超过前次报价，供应商擅自调高报价的，磋商小组将按二次报价中的最低报价作为有效报价。供应商拒绝接受上述意见的，磋商小组将视为变相在提交《响应文件》截止时间后撤回《响应文件》，并评定其为无效投标，依据磋商文件“第三章3.5.5违背承诺的责任追究措施”，供应商承担相应法律责任及违约责任。</w:t>
      </w:r>
    </w:p>
    <w:p w14:paraId="53678707">
      <w:pPr>
        <w:widowControl w:val="0"/>
        <w:snapToGrid w:val="0"/>
        <w:spacing w:line="360" w:lineRule="auto"/>
        <w:ind w:firstLine="482" w:firstLineChars="200"/>
        <w:jc w:val="left"/>
        <w:rPr>
          <w:rFonts w:ascii="宋体" w:hAnsi="宋体" w:cs="宋体"/>
          <w:b/>
          <w:color w:val="auto"/>
          <w:sz w:val="24"/>
          <w:szCs w:val="24"/>
        </w:rPr>
      </w:pPr>
      <w:r>
        <w:rPr>
          <w:rFonts w:hint="eastAsia" w:ascii="宋体" w:hAnsi="宋体" w:cs="宋体"/>
          <w:b/>
          <w:color w:val="auto"/>
          <w:sz w:val="24"/>
          <w:szCs w:val="24"/>
        </w:rPr>
        <w:t>价格磋商规则详见第四章“评审办法”第3.4.7“价格磋商”条款。</w:t>
      </w:r>
    </w:p>
    <w:p w14:paraId="11DF4F85">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1.3.3 如供应商的磋商报价未超过预算金额（见竞争性磋商公告1.4）的供应商不足三家的，该标段（包）做废标处理。</w:t>
      </w:r>
    </w:p>
    <w:p w14:paraId="634A3D66">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1.3.4 遵循第三章供应商须知3.7.5项规定。</w:t>
      </w:r>
    </w:p>
    <w:p w14:paraId="34C55B7B">
      <w:pPr>
        <w:spacing w:line="360" w:lineRule="auto"/>
        <w:ind w:firstLine="562" w:firstLineChars="200"/>
        <w:outlineLvl w:val="1"/>
        <w:rPr>
          <w:rFonts w:ascii="宋体" w:hAnsi="宋体" w:cs="宋体"/>
          <w:b/>
          <w:color w:val="auto"/>
          <w:sz w:val="28"/>
        </w:rPr>
      </w:pPr>
      <w:bookmarkStart w:id="17" w:name="_Toc25090"/>
      <w:bookmarkStart w:id="18" w:name="_Toc96605335"/>
      <w:bookmarkStart w:id="19" w:name="_Toc91755429"/>
      <w:r>
        <w:rPr>
          <w:rFonts w:hint="eastAsia" w:ascii="宋体" w:hAnsi="宋体" w:cs="宋体"/>
          <w:b/>
          <w:color w:val="auto"/>
          <w:sz w:val="28"/>
        </w:rPr>
        <w:t>2.标段（包）内容（范围）及服务要求</w:t>
      </w:r>
      <w:bookmarkEnd w:id="17"/>
      <w:bookmarkEnd w:id="18"/>
      <w:bookmarkEnd w:id="19"/>
    </w:p>
    <w:p w14:paraId="439FC379">
      <w:pPr>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2.1 总体服务（方案）要求及标段（包）内容（范围）：</w:t>
      </w:r>
      <w:r>
        <w:rPr>
          <w:rFonts w:hint="eastAsia" w:ascii="宋体" w:hAnsi="宋体" w:cs="宋体"/>
          <w:color w:val="auto"/>
          <w:sz w:val="24"/>
          <w:szCs w:val="24"/>
        </w:rPr>
        <w:t>详见下述2.4款</w:t>
      </w:r>
    </w:p>
    <w:p w14:paraId="610A89E5">
      <w:pPr>
        <w:adjustRightInd w:val="0"/>
        <w:snapToGrid w:val="0"/>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2.2 项目落实的政府采购政策（法规标准条款）</w:t>
      </w:r>
    </w:p>
    <w:p w14:paraId="5BF13A86">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2.2.1 政府采购节能产品、环境标志产品实施品目清单管理后，对本次采购产品属于“节能产品政府采购品目清单”中强制采购品目的，响应产品应当具有相应的认证证书（认证证书应当为国家确定的认证机构出具、且应处于有效期之内），响应文件中应当提供相应的认证证书（认证证书应当为国家确定的认证机构出具、且应处于有效期之内）。属于政府强制采购品目、而未按要求提供相应资料的，为无效投标。</w:t>
      </w:r>
    </w:p>
    <w:p w14:paraId="6EB89DC9">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2.2.2 同等条件下，获得节能产品认证证书或环境标志产品认证证书的产品或贫困地区产品优先采购。</w:t>
      </w:r>
    </w:p>
    <w:p w14:paraId="79AD9B00">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2.2.3 本次采购不允许进口产品参加。</w:t>
      </w:r>
    </w:p>
    <w:p w14:paraId="2E3FF90B">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2.2.4 信息安全产品须通过国家信息安全认证中心认证，计算机产品须预装正版操作系统软件。</w:t>
      </w:r>
    </w:p>
    <w:p w14:paraId="06895D0D">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2.2.5 促进中小企业发展扶持政策：见第四章“评审办法”第4条。</w:t>
      </w:r>
    </w:p>
    <w:p w14:paraId="3B69EF1E">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2.2.6 政府采购支持监狱企业发展。</w:t>
      </w:r>
    </w:p>
    <w:p w14:paraId="69587A59">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2.2.7 促进残疾人就业：见第四章“评标办法”第4条。</w:t>
      </w:r>
    </w:p>
    <w:p w14:paraId="438DBB1E">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2.2.8 所供产品有商品包装的应当使用绿色包装。所供产品有其他环保政策要求的，应符合相关环保法律政策要求。</w:t>
      </w:r>
    </w:p>
    <w:p w14:paraId="0121C379">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2.2.9 支持绿色建筑、绿色建材，支持不发达、少数民族地区的企业，促进自主创新产业发展，支持脱贫攻坚等；同等条件下，优先采购。</w:t>
      </w:r>
    </w:p>
    <w:p w14:paraId="527A287F">
      <w:pPr>
        <w:adjustRightInd w:val="0"/>
        <w:snapToGrid w:val="0"/>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2.3 采购标的需执行的国家相关标准、行业标准、地方标准或者其他标准、规范</w:t>
      </w:r>
    </w:p>
    <w:p w14:paraId="10D2C403">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所报响应服务（及所涉货物材料设施）应符合国家质量标准、地方标准及行业规范的要求，符合国家各项强制性规范及安全标准，响应服务（及所涉货物材料设施）不应与第三方存在知识产权权属问题；供应商应本着服务客户、为客户着想的宗旨，来完善服务（及所涉货物材料设施）及技术要求未尽事宜，不得以《磋商文件》未列明事项为由，来降低响应服务（及所涉货物材料设施）的质量。</w:t>
      </w:r>
    </w:p>
    <w:p w14:paraId="148E1608">
      <w:pPr>
        <w:adjustRightInd w:val="0"/>
        <w:snapToGrid w:val="0"/>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2.4 具体服务要求及标段（包）内容（范围）</w:t>
      </w:r>
    </w:p>
    <w:p w14:paraId="2FC38381">
      <w:pPr>
        <w:adjustRightInd w:val="0"/>
        <w:snapToGrid w:val="0"/>
        <w:spacing w:line="360" w:lineRule="auto"/>
        <w:ind w:firstLine="482" w:firstLineChars="200"/>
        <w:rPr>
          <w:rFonts w:ascii="宋体" w:hAnsi="宋体" w:cs="宋体"/>
          <w:b/>
          <w:bCs w:val="0"/>
          <w:color w:val="auto"/>
          <w:sz w:val="24"/>
          <w:szCs w:val="24"/>
        </w:rPr>
      </w:pPr>
      <w:r>
        <w:rPr>
          <w:rFonts w:hint="eastAsia" w:ascii="宋体" w:hAnsi="宋体" w:cs="宋体"/>
          <w:b/>
          <w:bCs w:val="0"/>
          <w:color w:val="auto"/>
          <w:sz w:val="24"/>
          <w:szCs w:val="24"/>
        </w:rPr>
        <w:t>一、服务范围</w:t>
      </w:r>
    </w:p>
    <w:p w14:paraId="07B5AAD0">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本项目包含安阳市文峰区城中村57座公厕（郭家街村4座、三官庙村9座、石家沟村10座、大王村9座、东关村4座、南关村7座、郭家庄3座、后张村4座、聂村7座）的日常保洁、维修维护等。</w:t>
      </w:r>
    </w:p>
    <w:p w14:paraId="4305B9F7">
      <w:pPr>
        <w:adjustRightInd w:val="0"/>
        <w:snapToGrid w:val="0"/>
        <w:spacing w:line="360" w:lineRule="auto"/>
        <w:ind w:firstLine="482" w:firstLineChars="200"/>
        <w:rPr>
          <w:rFonts w:ascii="宋体" w:hAnsi="宋体" w:cs="宋体"/>
          <w:b/>
          <w:bCs w:val="0"/>
          <w:color w:val="auto"/>
          <w:sz w:val="24"/>
          <w:szCs w:val="24"/>
        </w:rPr>
      </w:pPr>
      <w:r>
        <w:rPr>
          <w:rFonts w:hint="eastAsia" w:ascii="宋体" w:hAnsi="宋体" w:cs="宋体"/>
          <w:b/>
          <w:bCs w:val="0"/>
          <w:color w:val="auto"/>
          <w:sz w:val="24"/>
          <w:szCs w:val="24"/>
        </w:rPr>
        <w:t>二、拟派项目组人员要求：不少于1</w:t>
      </w:r>
      <w:r>
        <w:rPr>
          <w:rFonts w:hint="eastAsia" w:ascii="宋体" w:hAnsi="宋体" w:cs="宋体"/>
          <w:b/>
          <w:bCs w:val="0"/>
          <w:color w:val="auto"/>
          <w:sz w:val="24"/>
          <w:szCs w:val="24"/>
          <w:lang w:val="en-US" w:eastAsia="zh-CN"/>
        </w:rPr>
        <w:t>6</w:t>
      </w:r>
      <w:r>
        <w:rPr>
          <w:rFonts w:hint="eastAsia" w:ascii="宋体" w:hAnsi="宋体" w:cs="宋体"/>
          <w:b/>
          <w:bCs w:val="0"/>
          <w:color w:val="auto"/>
          <w:sz w:val="24"/>
          <w:szCs w:val="24"/>
        </w:rPr>
        <w:t>人。</w:t>
      </w:r>
    </w:p>
    <w:p w14:paraId="0DFEAA52">
      <w:pPr>
        <w:adjustRightInd w:val="0"/>
        <w:snapToGrid w:val="0"/>
        <w:spacing w:line="360" w:lineRule="auto"/>
        <w:ind w:firstLine="482" w:firstLineChars="200"/>
        <w:rPr>
          <w:rFonts w:ascii="宋体" w:hAnsi="宋体" w:cs="宋体"/>
          <w:b/>
          <w:bCs w:val="0"/>
          <w:color w:val="auto"/>
          <w:sz w:val="24"/>
          <w:szCs w:val="24"/>
        </w:rPr>
      </w:pPr>
      <w:r>
        <w:rPr>
          <w:rFonts w:hint="eastAsia" w:ascii="宋体" w:hAnsi="宋体" w:cs="宋体"/>
          <w:b/>
          <w:bCs w:val="0"/>
          <w:color w:val="auto"/>
          <w:sz w:val="24"/>
          <w:szCs w:val="24"/>
        </w:rPr>
        <w:t>三、服务商对服务负责条件和质量标准</w:t>
      </w:r>
    </w:p>
    <w:p w14:paraId="58DEC9CA">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（一）服务商应充分了解并明白，公厕维护项目存在的风险，如设施设备被人为破坏、盗窃等，可能造成的损失，以及公共设施维护的难度。乙方不得以任何客观因素作为降低维护标准和质量的借口。</w:t>
      </w:r>
    </w:p>
    <w:p w14:paraId="2071BA49">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（二）服务商负责公厕内所有设施设备配件的新置、更换（冲水阀、角阀、水龙头等），且不低于现有标准。</w:t>
      </w:r>
    </w:p>
    <w:p w14:paraId="5D1C42CF">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（三）服务商售后服务质量标准：</w:t>
      </w:r>
    </w:p>
    <w:p w14:paraId="2DFABAA3">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1、公厕维护管理要求应按照《安阳市文峰区环境卫生事务中心文件》文环〔2025]1号严格执行。</w:t>
      </w:r>
    </w:p>
    <w:p w14:paraId="7FAA962C">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2、保洁员标志服应穿戴整齐。</w:t>
      </w:r>
    </w:p>
    <w:p w14:paraId="1FDA6EB0">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3、增加保洁频次，缩短保洁空档时间。</w:t>
      </w:r>
    </w:p>
    <w:p w14:paraId="3631A9CD">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4、采取有效措施，做好便民服务工作。</w:t>
      </w:r>
    </w:p>
    <w:p w14:paraId="73F07530">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5、公厕内外墙面、天花板、门窗和内部设施无积灰、污迹、蛛网、无乱涂乱画，公厕整体应整洁。</w:t>
      </w:r>
    </w:p>
    <w:p w14:paraId="137D934E">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6、公厕内卫生质量应达到控制指标，冬季采取防冻、防滑措施，无积雪积冰。公厕外30米内无废弃杂物、污水。</w:t>
      </w:r>
    </w:p>
    <w:p w14:paraId="3DD9AEB0">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7、公厕蹲位应整洁，槽内无积粪、黄垢、陈旧粪迹，小便池、地面应无水锈、尿垢，沟眼、管道保持畅通。</w:t>
      </w:r>
    </w:p>
    <w:p w14:paraId="2A76414A">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8、公厕内部设施及其配套设施应整洁、齐全有效，保证正常使用，不出现跑、冒、滴、漏现象。</w:t>
      </w:r>
    </w:p>
    <w:p w14:paraId="26DF138E">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9、蚊蝇孳生季节，应定时喷洒药物，有效控制蚊蝇孳生，公厕应有门帘，窗纱等防蚊蝇设施。</w:t>
      </w:r>
    </w:p>
    <w:p w14:paraId="29B79755">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10、应定期清理公厕顶棚上的杂物，保证落水管道不堵塞。</w:t>
      </w:r>
    </w:p>
    <w:p w14:paraId="55AD94C7">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11、粪便抽吸（收集）车辆定点排放。</w:t>
      </w:r>
    </w:p>
    <w:p w14:paraId="64364310">
      <w:pPr>
        <w:adjustRightInd w:val="0"/>
        <w:snapToGrid w:val="0"/>
        <w:spacing w:line="360" w:lineRule="auto"/>
        <w:ind w:firstLine="480" w:firstLineChars="200"/>
        <w:jc w:val="center"/>
        <w:rPr>
          <w:rFonts w:hint="eastAsia" w:ascii="宋体" w:hAnsi="宋体" w:cs="宋体"/>
          <w:bCs/>
          <w:color w:val="auto"/>
          <w:sz w:val="24"/>
          <w:szCs w:val="24"/>
        </w:rPr>
      </w:pPr>
    </w:p>
    <w:p w14:paraId="35039226">
      <w:pPr>
        <w:adjustRightInd w:val="0"/>
        <w:snapToGrid w:val="0"/>
        <w:spacing w:line="360" w:lineRule="auto"/>
        <w:ind w:firstLine="480" w:firstLineChars="200"/>
        <w:jc w:val="center"/>
        <w:rPr>
          <w:rFonts w:hint="eastAsia" w:ascii="宋体" w:hAnsi="宋体" w:cs="宋体"/>
          <w:bCs/>
          <w:color w:val="auto"/>
          <w:sz w:val="24"/>
          <w:szCs w:val="24"/>
        </w:rPr>
      </w:pPr>
    </w:p>
    <w:p w14:paraId="0742637F">
      <w:pPr>
        <w:adjustRightInd w:val="0"/>
        <w:snapToGrid w:val="0"/>
        <w:spacing w:line="360" w:lineRule="auto"/>
        <w:ind w:firstLine="480" w:firstLineChars="200"/>
        <w:jc w:val="center"/>
        <w:rPr>
          <w:rFonts w:ascii="宋体" w:hAnsi="宋体" w:cs="宋体"/>
          <w:bCs/>
          <w:color w:val="auto"/>
          <w:sz w:val="24"/>
          <w:szCs w:val="24"/>
        </w:rPr>
      </w:pPr>
      <w:r>
        <w:rPr>
          <w:rFonts w:hint="eastAsia" w:ascii="宋体" w:hAnsi="宋体" w:cs="宋体"/>
          <w:bCs/>
          <w:color w:val="auto"/>
          <w:sz w:val="24"/>
          <w:szCs w:val="24"/>
        </w:rPr>
        <w:t>公厕卫生保洁质量控制指标表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2"/>
        <w:gridCol w:w="2322"/>
        <w:gridCol w:w="2322"/>
      </w:tblGrid>
      <w:tr w14:paraId="5B62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69E901D">
            <w:pPr>
              <w:adjustRightInd w:val="0"/>
              <w:snapToGrid w:val="0"/>
              <w:spacing w:line="360" w:lineRule="auto"/>
              <w:jc w:val="center"/>
              <w:rPr>
                <w:rFonts w:ascii="宋体" w:hAnsi="宋体" w:cs="宋体"/>
                <w:bCs/>
                <w:color w:val="auto"/>
                <w:sz w:val="24"/>
                <w:szCs w:val="24"/>
              </w:rPr>
            </w:pPr>
          </w:p>
          <w:p w14:paraId="708359BC">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项目</w:t>
            </w:r>
          </w:p>
        </w:tc>
        <w:tc>
          <w:tcPr>
            <w:tcW w:w="2322" w:type="dxa"/>
          </w:tcPr>
          <w:p w14:paraId="34F3D397">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水冲公厕</w:t>
            </w:r>
          </w:p>
          <w:p w14:paraId="106A8450">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(一类、旅游)</w:t>
            </w:r>
          </w:p>
        </w:tc>
        <w:tc>
          <w:tcPr>
            <w:tcW w:w="2322" w:type="dxa"/>
          </w:tcPr>
          <w:p w14:paraId="2955D276">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水冲公厕</w:t>
            </w:r>
          </w:p>
          <w:p w14:paraId="2B3E2D43">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(二类)</w:t>
            </w:r>
          </w:p>
        </w:tc>
        <w:tc>
          <w:tcPr>
            <w:tcW w:w="2322" w:type="dxa"/>
          </w:tcPr>
          <w:p w14:paraId="6F8AB436">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水冲公厕</w:t>
            </w:r>
          </w:p>
          <w:p w14:paraId="27B38541">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(三类)</w:t>
            </w:r>
          </w:p>
        </w:tc>
      </w:tr>
      <w:tr w14:paraId="63F7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AF871CD">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纸片(块)</w:t>
            </w:r>
          </w:p>
        </w:tc>
        <w:tc>
          <w:tcPr>
            <w:tcW w:w="2322" w:type="dxa"/>
          </w:tcPr>
          <w:p w14:paraId="00C14E60">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无</w:t>
            </w:r>
          </w:p>
        </w:tc>
        <w:tc>
          <w:tcPr>
            <w:tcW w:w="2322" w:type="dxa"/>
          </w:tcPr>
          <w:p w14:paraId="343F18AA">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≤1</w:t>
            </w:r>
          </w:p>
        </w:tc>
        <w:tc>
          <w:tcPr>
            <w:tcW w:w="2322" w:type="dxa"/>
          </w:tcPr>
          <w:p w14:paraId="4DBEC2CF">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≤2</w:t>
            </w:r>
          </w:p>
        </w:tc>
      </w:tr>
      <w:tr w14:paraId="1FCD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03F3D09C">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烟蒂 (个)</w:t>
            </w:r>
          </w:p>
        </w:tc>
        <w:tc>
          <w:tcPr>
            <w:tcW w:w="2322" w:type="dxa"/>
          </w:tcPr>
          <w:p w14:paraId="3C570C67">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无</w:t>
            </w:r>
          </w:p>
        </w:tc>
        <w:tc>
          <w:tcPr>
            <w:tcW w:w="2322" w:type="dxa"/>
          </w:tcPr>
          <w:p w14:paraId="3B32EA45">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≤1</w:t>
            </w:r>
          </w:p>
        </w:tc>
        <w:tc>
          <w:tcPr>
            <w:tcW w:w="2322" w:type="dxa"/>
          </w:tcPr>
          <w:p w14:paraId="13DDA877">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≤2</w:t>
            </w:r>
          </w:p>
        </w:tc>
      </w:tr>
      <w:tr w14:paraId="1E8D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4B8F8B0F">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粪迹(处)</w:t>
            </w:r>
          </w:p>
        </w:tc>
        <w:tc>
          <w:tcPr>
            <w:tcW w:w="2322" w:type="dxa"/>
          </w:tcPr>
          <w:p w14:paraId="20E7A77D">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无</w:t>
            </w:r>
          </w:p>
        </w:tc>
        <w:tc>
          <w:tcPr>
            <w:tcW w:w="2322" w:type="dxa"/>
          </w:tcPr>
          <w:p w14:paraId="5411F511">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无</w:t>
            </w:r>
          </w:p>
        </w:tc>
        <w:tc>
          <w:tcPr>
            <w:tcW w:w="2322" w:type="dxa"/>
          </w:tcPr>
          <w:p w14:paraId="63188541">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无</w:t>
            </w:r>
          </w:p>
        </w:tc>
      </w:tr>
      <w:tr w14:paraId="554E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FAF912C">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痰迹(处)</w:t>
            </w:r>
          </w:p>
        </w:tc>
        <w:tc>
          <w:tcPr>
            <w:tcW w:w="2322" w:type="dxa"/>
          </w:tcPr>
          <w:p w14:paraId="383940B7">
            <w:pPr>
              <w:adjustRightInd w:val="0"/>
              <w:snapToGrid w:val="0"/>
              <w:spacing w:line="360" w:lineRule="auto"/>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无</w:t>
            </w:r>
          </w:p>
        </w:tc>
        <w:tc>
          <w:tcPr>
            <w:tcW w:w="2322" w:type="dxa"/>
          </w:tcPr>
          <w:p w14:paraId="29E9EF26">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≤1</w:t>
            </w:r>
          </w:p>
        </w:tc>
        <w:tc>
          <w:tcPr>
            <w:tcW w:w="2322" w:type="dxa"/>
          </w:tcPr>
          <w:p w14:paraId="461CEDC9">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≤2</w:t>
            </w:r>
          </w:p>
        </w:tc>
      </w:tr>
      <w:tr w14:paraId="34D0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39A8BCE">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窗格积灰</w:t>
            </w:r>
          </w:p>
        </w:tc>
        <w:tc>
          <w:tcPr>
            <w:tcW w:w="2322" w:type="dxa"/>
          </w:tcPr>
          <w:p w14:paraId="2AE56511">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无</w:t>
            </w:r>
          </w:p>
        </w:tc>
        <w:tc>
          <w:tcPr>
            <w:tcW w:w="2322" w:type="dxa"/>
          </w:tcPr>
          <w:p w14:paraId="65F9FD32">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无</w:t>
            </w:r>
          </w:p>
        </w:tc>
        <w:tc>
          <w:tcPr>
            <w:tcW w:w="2322" w:type="dxa"/>
          </w:tcPr>
          <w:p w14:paraId="254925A1">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微</w:t>
            </w:r>
          </w:p>
        </w:tc>
      </w:tr>
      <w:tr w14:paraId="3B5A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022199AF">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臭味</w:t>
            </w:r>
          </w:p>
        </w:tc>
        <w:tc>
          <w:tcPr>
            <w:tcW w:w="2322" w:type="dxa"/>
          </w:tcPr>
          <w:p w14:paraId="4059BEF2">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无</w:t>
            </w:r>
          </w:p>
        </w:tc>
        <w:tc>
          <w:tcPr>
            <w:tcW w:w="2322" w:type="dxa"/>
          </w:tcPr>
          <w:p w14:paraId="153A0A02">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无明显</w:t>
            </w:r>
          </w:p>
        </w:tc>
        <w:tc>
          <w:tcPr>
            <w:tcW w:w="2322" w:type="dxa"/>
          </w:tcPr>
          <w:p w14:paraId="454E464C">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无明显</w:t>
            </w:r>
          </w:p>
        </w:tc>
      </w:tr>
      <w:tr w14:paraId="34DD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E33ACB2">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苍蝇</w:t>
            </w:r>
          </w:p>
        </w:tc>
        <w:tc>
          <w:tcPr>
            <w:tcW w:w="2322" w:type="dxa"/>
          </w:tcPr>
          <w:p w14:paraId="201E6917">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无</w:t>
            </w:r>
          </w:p>
        </w:tc>
        <w:tc>
          <w:tcPr>
            <w:tcW w:w="2322" w:type="dxa"/>
          </w:tcPr>
          <w:p w14:paraId="2687AF9D">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≤3</w:t>
            </w:r>
          </w:p>
        </w:tc>
        <w:tc>
          <w:tcPr>
            <w:tcW w:w="2322" w:type="dxa"/>
          </w:tcPr>
          <w:p w14:paraId="3CE031FE">
            <w:pPr>
              <w:adjustRightInd w:val="0"/>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≤3</w:t>
            </w:r>
          </w:p>
        </w:tc>
      </w:tr>
    </w:tbl>
    <w:p w14:paraId="49DFF5AB">
      <w:pPr>
        <w:adjustRightInd w:val="0"/>
        <w:snapToGrid w:val="0"/>
        <w:spacing w:line="360" w:lineRule="auto"/>
        <w:ind w:firstLine="480" w:firstLineChars="200"/>
        <w:jc w:val="center"/>
        <w:rPr>
          <w:rFonts w:hint="eastAsia" w:ascii="宋体" w:hAnsi="宋体" w:cs="宋体"/>
          <w:bCs/>
          <w:color w:val="auto"/>
          <w:sz w:val="24"/>
          <w:szCs w:val="24"/>
        </w:rPr>
      </w:pPr>
    </w:p>
    <w:p w14:paraId="071FD2D3">
      <w:pPr>
        <w:adjustRightInd w:val="0"/>
        <w:snapToGrid w:val="0"/>
        <w:spacing w:line="360" w:lineRule="auto"/>
        <w:ind w:firstLine="482" w:firstLineChars="200"/>
        <w:jc w:val="both"/>
        <w:rPr>
          <w:rFonts w:ascii="宋体" w:hAnsi="宋体" w:cs="宋体"/>
          <w:b/>
          <w:bCs w:val="0"/>
          <w:color w:val="auto"/>
          <w:sz w:val="24"/>
          <w:szCs w:val="24"/>
        </w:rPr>
      </w:pPr>
      <w:r>
        <w:rPr>
          <w:rFonts w:hint="eastAsia" w:ascii="宋体" w:hAnsi="宋体" w:cs="宋体"/>
          <w:b/>
          <w:bCs w:val="0"/>
          <w:color w:val="auto"/>
          <w:sz w:val="24"/>
          <w:szCs w:val="24"/>
          <w:lang w:val="en-US" w:eastAsia="zh-CN"/>
        </w:rPr>
        <w:t>四、</w:t>
      </w:r>
      <w:r>
        <w:rPr>
          <w:rFonts w:hint="eastAsia" w:ascii="宋体" w:hAnsi="宋体" w:cs="宋体"/>
          <w:b/>
          <w:bCs w:val="0"/>
          <w:color w:val="auto"/>
          <w:sz w:val="24"/>
          <w:szCs w:val="24"/>
        </w:rPr>
        <w:t>公厕检查考核扣分标准</w:t>
      </w:r>
    </w:p>
    <w:p w14:paraId="4C57648B">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一</w:t>
      </w:r>
      <w:r>
        <w:rPr>
          <w:rFonts w:hint="eastAsia" w:ascii="宋体" w:hAnsi="宋体" w:cs="宋体"/>
          <w:bCs/>
          <w:color w:val="auto"/>
          <w:sz w:val="24"/>
          <w:szCs w:val="24"/>
          <w:lang w:eastAsia="zh-CN"/>
        </w:rPr>
        <w:t>）</w:t>
      </w:r>
      <w:r>
        <w:rPr>
          <w:rFonts w:hint="eastAsia" w:ascii="宋体" w:hAnsi="宋体" w:cs="宋体"/>
          <w:bCs/>
          <w:color w:val="auto"/>
          <w:sz w:val="24"/>
          <w:szCs w:val="24"/>
        </w:rPr>
        <w:t>劳动纪律</w:t>
      </w:r>
    </w:p>
    <w:p w14:paraId="3DBCB4A2">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1、公厕保洁员不按规定时间工作或中途脱岗、提前离岗，每次扣0.5分。</w:t>
      </w:r>
    </w:p>
    <w:p w14:paraId="475A44B1">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2、公厕冲洗保洁员不穿标志服每次/项扣0.5分；标志服穿戴不整齐每次/项扣0.2分。</w:t>
      </w:r>
    </w:p>
    <w:p w14:paraId="680BA89C">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3、公厕保洁员工作期间干私活或聚堆闲聊，发现一次扣0.5分。</w:t>
      </w:r>
    </w:p>
    <w:p w14:paraId="059379C4">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4、冬季禁止大面积冲洗地面、墙壁,发现一次扣0.3分，未采取防滑措施，每座/次扣0.1分。</w:t>
      </w:r>
    </w:p>
    <w:p w14:paraId="586130D8">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二</w:t>
      </w:r>
      <w:r>
        <w:rPr>
          <w:rFonts w:hint="eastAsia" w:ascii="宋体" w:hAnsi="宋体" w:cs="宋体"/>
          <w:bCs/>
          <w:color w:val="auto"/>
          <w:sz w:val="24"/>
          <w:szCs w:val="24"/>
          <w:lang w:eastAsia="zh-CN"/>
        </w:rPr>
        <w:t>）</w:t>
      </w:r>
      <w:r>
        <w:rPr>
          <w:rFonts w:hint="eastAsia" w:ascii="宋体" w:hAnsi="宋体" w:cs="宋体"/>
          <w:bCs/>
          <w:color w:val="auto"/>
          <w:sz w:val="24"/>
          <w:szCs w:val="24"/>
        </w:rPr>
        <w:t>生产管理</w:t>
      </w:r>
    </w:p>
    <w:p w14:paraId="6BA16D93">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1、管理责任制度健全，张挂上墙。有提示标识。每次／项扣0.1分。</w:t>
      </w:r>
    </w:p>
    <w:p w14:paraId="5195D5C8">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2、门窗、墙面有积灰、蛛网、污迹，每次/项扣0.2分。</w:t>
      </w:r>
    </w:p>
    <w:p w14:paraId="1C8C8371">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3、公厕冲洗不及时,粪池内有积粪,发现一处扣0.1分。</w:t>
      </w:r>
    </w:p>
    <w:p w14:paraId="02D17BCD">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4、公厕冲洗不按规定时间冲洗完的每次扣0.2分。</w:t>
      </w:r>
    </w:p>
    <w:p w14:paraId="248B50CE">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5、公厕房顶上有积存杂物或杂物堵塞下水道，清理不及时造成下水管道堵塞、房顶渗水，发现一次扣0.2分。</w:t>
      </w:r>
    </w:p>
    <w:p w14:paraId="6AF407CD">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6、公厕内外墙、窗台、花窗、隔墙等设施有乱涂乱画、小广告、污迹、蛛网、积灰每次/项扣0.1分，公厕周围5米以内有废弃杂物、积水、粪便每次/项扣0.1分。</w:t>
      </w:r>
    </w:p>
    <w:p w14:paraId="276B89E9">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7、公厕蹲台、地面有粪便、污物、便池内有积粪、陈旧粪迹，发现一处扣0.1分。</w:t>
      </w:r>
    </w:p>
    <w:p w14:paraId="374175EF">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8、公厕地面、便槽、小便池、蹲台有黄垢、尿碱、水锈发现一处扣0.2分。</w:t>
      </w:r>
    </w:p>
    <w:p w14:paraId="6D88CB10">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9、因维修不及时造成跑、冒、滴、漏现象，每项/次扣0.1分。</w:t>
      </w:r>
    </w:p>
    <w:p w14:paraId="5C963EB6">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10、严格按照操作规程使用消杀用品，违反操作规程或超量使用，造成公厕异味大，发现一次扣0.1分。</w:t>
      </w:r>
    </w:p>
    <w:p w14:paraId="4F7039FB">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11、冬季公厕地面、门前积雪未及时清理，出现积冰现象，扣0.2分。造成安全事故的加倍扣分。</w:t>
      </w:r>
    </w:p>
    <w:p w14:paraId="3F511999">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12、公厕化粪池满溢未及时抽吸扣0.3分。</w:t>
      </w:r>
    </w:p>
    <w:p w14:paraId="52CCD484">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13、化粪池井盖、水表井盖、防蝇帘、指引牌、标识牌等公厕配套设施破损、遗失，没有及时维修、配置，发现一处扣0.1分，造成安全事故的，加倍扣分。</w:t>
      </w:r>
    </w:p>
    <w:p w14:paraId="7D2C4833">
      <w:pPr>
        <w:adjustRightInd w:val="0"/>
        <w:snapToGrid w:val="0"/>
        <w:spacing w:line="360" w:lineRule="auto"/>
        <w:ind w:firstLine="482" w:firstLineChars="200"/>
        <w:rPr>
          <w:rFonts w:ascii="宋体" w:hAnsi="宋体" w:cs="宋体"/>
          <w:b/>
          <w:bCs w:val="0"/>
          <w:color w:val="auto"/>
          <w:sz w:val="24"/>
          <w:szCs w:val="24"/>
        </w:rPr>
      </w:pPr>
      <w:r>
        <w:rPr>
          <w:rFonts w:hint="eastAsia" w:ascii="宋体" w:hAnsi="宋体" w:cs="宋体"/>
          <w:b/>
          <w:bCs w:val="0"/>
          <w:color w:val="auto"/>
          <w:sz w:val="24"/>
          <w:szCs w:val="24"/>
          <w:lang w:val="en-US" w:eastAsia="zh-CN"/>
        </w:rPr>
        <w:t>五</w:t>
      </w:r>
      <w:r>
        <w:rPr>
          <w:rFonts w:hint="eastAsia" w:ascii="宋体" w:hAnsi="宋体" w:cs="宋体"/>
          <w:b/>
          <w:bCs w:val="0"/>
          <w:color w:val="auto"/>
          <w:sz w:val="24"/>
          <w:szCs w:val="24"/>
        </w:rPr>
        <w:t>、特别约定</w:t>
      </w:r>
    </w:p>
    <w:p w14:paraId="0CA97D5F">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1、维护保洁服务费从乙方正式投入维护保洁服务之日起计算。</w:t>
      </w:r>
    </w:p>
    <w:p w14:paraId="632840AF">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2、采购人年度新增（减少）公厕维护任务，按中标服务商投标时的单价进行调整总费用，并签订补充协议。</w:t>
      </w:r>
    </w:p>
    <w:p w14:paraId="2B21454B">
      <w:pPr>
        <w:adjustRightInd w:val="0"/>
        <w:snapToGrid w:val="0"/>
        <w:spacing w:line="360" w:lineRule="auto"/>
        <w:ind w:firstLine="482" w:firstLineChars="200"/>
        <w:rPr>
          <w:rFonts w:ascii="宋体" w:hAnsi="宋体" w:cs="宋体"/>
          <w:b/>
          <w:bCs w:val="0"/>
          <w:color w:val="auto"/>
          <w:sz w:val="24"/>
          <w:szCs w:val="24"/>
        </w:rPr>
      </w:pPr>
      <w:r>
        <w:rPr>
          <w:rFonts w:hint="eastAsia" w:ascii="宋体" w:hAnsi="宋体" w:cs="宋体"/>
          <w:b/>
          <w:bCs w:val="0"/>
          <w:color w:val="auto"/>
          <w:sz w:val="24"/>
          <w:szCs w:val="24"/>
          <w:lang w:val="en-US" w:eastAsia="zh-CN"/>
        </w:rPr>
        <w:t>六</w:t>
      </w:r>
      <w:r>
        <w:rPr>
          <w:rFonts w:hint="eastAsia" w:ascii="宋体" w:hAnsi="宋体" w:cs="宋体"/>
          <w:b/>
          <w:bCs w:val="0"/>
          <w:color w:val="auto"/>
          <w:sz w:val="24"/>
          <w:szCs w:val="24"/>
        </w:rPr>
        <w:t>、责任和义务</w:t>
      </w:r>
    </w:p>
    <w:p w14:paraId="224CEBC5">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（一）采购人的责任和义务</w:t>
      </w:r>
    </w:p>
    <w:p w14:paraId="45E288D3">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1、审批服务方案；</w:t>
      </w:r>
    </w:p>
    <w:p w14:paraId="7A7ACCE6">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2、审阅每月和全年度公厕维护保洁服务方案，提出整改意见；</w:t>
      </w:r>
    </w:p>
    <w:p w14:paraId="42253838">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3、协助服务商做好维护管理工作和宣传教育、文化活动；</w:t>
      </w:r>
    </w:p>
    <w:p w14:paraId="0A2CF752">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4、监督、指导服务商的维护保洁服务工作并及时纠正各项不规范保洁服务工作；</w:t>
      </w:r>
    </w:p>
    <w:p w14:paraId="1446C4E2">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5、协调日常维护管理工作中有关的内外关系，对服务商需要协调解决的问题，采购人应采取积极态度予以处理；</w:t>
      </w:r>
    </w:p>
    <w:p w14:paraId="514A3A95">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6、服务商在维护保洁服务承包期内，若达不到合同规定的维护保洁服务质量要求，采购人有权相应扣减响应维护保洁服务费；</w:t>
      </w:r>
    </w:p>
    <w:p w14:paraId="7EA6E2FD">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7、服务商出现重大失误或严重违约，甲方有权终止合同；</w:t>
      </w:r>
    </w:p>
    <w:p w14:paraId="2878E285">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8、传达上级有关环境卫生工作的要求，依据《安阳市安阳市文峰区环境卫生事务中心文件》文环〔2025]1号进行行业管理，对乙方环卫工作实施检查、监督和指导，依照《安阳市安阳市文峰区环境卫生事务中心文件》文环〔2025]1号公厕冲洗保洁工作标准进行月考核，满分为100分，每扣0.1分扣减50元服务费，低于90分为不合格，连续两个月为不合格的，并终止合同；</w:t>
      </w:r>
    </w:p>
    <w:p w14:paraId="6FB42853">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对新出现的环卫作业问题，采购人可依据上级指示及有关要求向中标服务商发出作业通知或整改通知；</w:t>
      </w:r>
    </w:p>
    <w:p w14:paraId="55303909">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9、负责核定维护管理费报主管部门；</w:t>
      </w:r>
    </w:p>
    <w:p w14:paraId="16A29520">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10、协助服务商推广新技术、新工艺、新产品、新设备，提高环卫作业的科技含量。</w:t>
      </w:r>
    </w:p>
    <w:p w14:paraId="0AD2AFAC">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（二）服务商的责任和义务</w:t>
      </w:r>
    </w:p>
    <w:p w14:paraId="77E4DC5C">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1、负责编制维护保洁服务的年度实施计划、资金使用计划；</w:t>
      </w:r>
    </w:p>
    <w:p w14:paraId="533054F7">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负有维修保养的责任，若非不可抗力因素(如地震、特大飓风、洪水等)或建筑质量问题的原因，服务单位须负责对管理维护期间公厕内设施（照明、管件、阀门、水嘴、坐便器节水装置、便间门配件、厕内残疾人扶手、门帘等）的损坏或损失进行修复。</w:t>
      </w:r>
    </w:p>
    <w:p w14:paraId="63552FF6">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3、接受采购单位管理部门的监督、指导；</w:t>
      </w:r>
    </w:p>
    <w:p w14:paraId="7FB5DCA7">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4、发现问题及时进行处理并向甲方报告；</w:t>
      </w:r>
    </w:p>
    <w:p w14:paraId="31EC8FDC">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5、本合同终止时，服务商必须向采购人移交属于采购单位的设施、设备和工具；</w:t>
      </w:r>
    </w:p>
    <w:p w14:paraId="77070278">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6、严格按照国家、省、市环境卫生管理法规及《安阳市文峰区环境卫生事务中心文件》文环〔2025]1号的质量要求，按照中标合同约定事项做好公厕保洁，设施和设备管养维护等。</w:t>
      </w:r>
    </w:p>
    <w:p w14:paraId="0C9F1B36">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7、按采购单位要求的环卫作业量、作业时间和作业方式进行作业，不得随意更改，需更改时应提前向采购单位提出书面申请，经采购人同意后方可实施；</w:t>
      </w:r>
    </w:p>
    <w:p w14:paraId="53D7D0E9">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8、履约期间，中标服务商不得随意更改公厕的设施、设备，需更改时应提前向采购人提出书面申请，经同意后方可实施，否则，造成的一切后果由中标服务商负责；</w:t>
      </w:r>
    </w:p>
    <w:p w14:paraId="3D445F3B">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9、中标人负责承包期内与公厕管理维护、保洁有关的安全生产工作；</w:t>
      </w:r>
    </w:p>
    <w:p w14:paraId="2AF9EE7D">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10、中标人在承包期间原则上不能超越本合同约定的服务和管理内容，否则，应征得采购单位同意，同时还要符合相关法律法规；</w:t>
      </w:r>
    </w:p>
    <w:p w14:paraId="19820B26">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11、按要求向采购人提供相关的环卫作业资料、报表等；</w:t>
      </w:r>
    </w:p>
    <w:p w14:paraId="738FDAE9">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12、遵守国家法律法规，教育、培训、督促员工遵纪守法；</w:t>
      </w:r>
    </w:p>
    <w:p w14:paraId="4CF4517C">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13、抓好安全生产工作，遵守各项安全规章制度，落实安全措施；</w:t>
      </w:r>
    </w:p>
    <w:p w14:paraId="5A66F12A">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14、按采购单位要求做好各类迎检工作以及重大节日、大型活动期间和突击任务等的有关公厕清洁卫生工作；</w:t>
      </w:r>
    </w:p>
    <w:p w14:paraId="0570F8E1">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15、服务商负责因人力不可抗因素（如地震、特大飓风、洪水、冰雹等）对公厕管理维护保洁造成影响和恢复及相关抢险工作；</w:t>
      </w:r>
    </w:p>
    <w:p w14:paraId="510A2371">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16、承担承包期间的安全事故责任，包括乙方工作人员和社会如厕人员等。</w:t>
      </w:r>
    </w:p>
    <w:p w14:paraId="30F77CDD">
      <w:pPr>
        <w:adjustRightInd w:val="0"/>
        <w:snapToGrid w:val="0"/>
        <w:spacing w:line="360" w:lineRule="auto"/>
        <w:ind w:firstLine="480" w:firstLineChars="200"/>
        <w:rPr>
          <w:rFonts w:ascii="宋体" w:hAnsi="宋体" w:cs="宋体"/>
          <w:b/>
          <w:color w:val="auto"/>
          <w:sz w:val="24"/>
          <w:szCs w:val="24"/>
          <w:highlight w:val="red"/>
        </w:rPr>
      </w:pPr>
      <w:r>
        <w:rPr>
          <w:rFonts w:hint="eastAsia" w:ascii="宋体" w:hAnsi="宋体" w:cs="宋体"/>
          <w:bCs/>
          <w:color w:val="auto"/>
          <w:sz w:val="24"/>
          <w:szCs w:val="24"/>
        </w:rPr>
        <w:t>17、制定安全管理制度，负责对承包业务范围内的从业人员的安全、业务培训</w:t>
      </w:r>
    </w:p>
    <w:p w14:paraId="298D89CA">
      <w:pPr>
        <w:adjustRightInd w:val="0"/>
        <w:snapToGrid w:val="0"/>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2.5 安全</w:t>
      </w:r>
    </w:p>
    <w:p w14:paraId="1222F5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响应服务（及所涉货物材料设施）应符合国家、行业的各项安全标准，供应商对响应服务（及所涉货物材料设施）的安全性承担全部责任。服务期内不符合保障人身、财产安全的国家标准、行业标准的服务（及所涉货物材料设施），将依法承担民事及相应刑事责任。合同履行中的安全责任由中标人承担全部责任。</w:t>
      </w:r>
    </w:p>
    <w:p w14:paraId="6B43F570">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baseline"/>
        <w:rPr>
          <w:rFonts w:ascii="宋体" w:hAnsi="宋体" w:cs="宋体"/>
          <w:b/>
          <w:color w:val="auto"/>
          <w:sz w:val="24"/>
          <w:szCs w:val="24"/>
        </w:rPr>
      </w:pPr>
      <w:r>
        <w:rPr>
          <w:rFonts w:hint="eastAsia" w:ascii="宋体" w:hAnsi="宋体" w:cs="宋体"/>
          <w:b/>
          <w:color w:val="auto"/>
          <w:sz w:val="24"/>
          <w:szCs w:val="24"/>
        </w:rPr>
        <w:t>2.6 响应文件对“具体服务要求及标段（包）内容（范围）”的响应</w:t>
      </w:r>
    </w:p>
    <w:p w14:paraId="6D9127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2.4具体服务要求及标段（包）内容（范围）”为采购需求的基础性要求，服务内容应当明确，响应文件服务要求抄袭磋商文件“具体服务要求及标段（包）内容（范围）”，服务内容不明确的、或与服务要求不一致的，磋商小组有权按照实质性判断原则评定其为无效投标。</w:t>
      </w:r>
    </w:p>
    <w:p w14:paraId="19523B31">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baseline"/>
        <w:rPr>
          <w:rFonts w:ascii="宋体" w:hAnsi="宋体" w:cs="宋体"/>
          <w:b/>
          <w:color w:val="auto"/>
          <w:sz w:val="24"/>
          <w:szCs w:val="24"/>
        </w:rPr>
      </w:pPr>
      <w:r>
        <w:rPr>
          <w:rFonts w:hint="eastAsia" w:ascii="宋体" w:hAnsi="宋体" w:cs="宋体"/>
          <w:b/>
          <w:color w:val="auto"/>
          <w:sz w:val="24"/>
          <w:szCs w:val="24"/>
        </w:rPr>
        <w:t>2.7 技术偏离</w:t>
      </w:r>
    </w:p>
    <w:p w14:paraId="5618B4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2.7.1 服务所涉货物材料设施的</w:t>
      </w:r>
      <w:r>
        <w:rPr>
          <w:rFonts w:hint="eastAsia" w:ascii="宋体" w:hAnsi="宋体" w:cs="宋体"/>
          <w:b/>
          <w:bCs/>
          <w:color w:val="auto"/>
          <w:sz w:val="24"/>
          <w:szCs w:val="24"/>
        </w:rPr>
        <w:t>不接受负偏差，低于“具体服务（技术）要求”的、为无效投标。</w:t>
      </w:r>
    </w:p>
    <w:p w14:paraId="2DDA3A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2.7.</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响应文件对技术偏差的描述要求：见第三章供应商须知3.7.3项。</w:t>
      </w:r>
    </w:p>
    <w:p w14:paraId="7D7C9157">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baseline"/>
        <w:rPr>
          <w:rFonts w:ascii="宋体" w:hAnsi="宋体" w:cs="宋体"/>
          <w:b/>
          <w:color w:val="auto"/>
          <w:sz w:val="24"/>
          <w:szCs w:val="24"/>
        </w:rPr>
      </w:pPr>
      <w:r>
        <w:rPr>
          <w:rFonts w:hint="eastAsia" w:ascii="宋体" w:hAnsi="宋体" w:cs="宋体"/>
          <w:b/>
          <w:color w:val="auto"/>
          <w:sz w:val="24"/>
          <w:szCs w:val="24"/>
        </w:rPr>
        <w:t>2.8 合同履行期限后、服务项目所涉货物的售后服务</w:t>
      </w:r>
    </w:p>
    <w:p w14:paraId="463335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rPr>
        <w:t>无特殊要求</w:t>
      </w:r>
      <w:r>
        <w:rPr>
          <w:rFonts w:hint="eastAsia" w:ascii="宋体" w:hAnsi="宋体" w:cs="宋体"/>
          <w:color w:val="auto"/>
          <w:sz w:val="24"/>
          <w:szCs w:val="24"/>
          <w:lang w:eastAsia="zh-CN"/>
        </w:rPr>
        <w:t>。</w:t>
      </w:r>
    </w:p>
    <w:p w14:paraId="56034CC3">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baseline"/>
        <w:rPr>
          <w:rFonts w:ascii="宋体" w:hAnsi="宋体" w:cs="宋体"/>
          <w:b/>
          <w:color w:val="auto"/>
          <w:sz w:val="24"/>
          <w:szCs w:val="24"/>
        </w:rPr>
      </w:pPr>
      <w:r>
        <w:rPr>
          <w:rFonts w:hint="eastAsia" w:ascii="宋体" w:hAnsi="宋体" w:cs="宋体"/>
          <w:b/>
          <w:color w:val="auto"/>
          <w:sz w:val="24"/>
          <w:szCs w:val="24"/>
        </w:rPr>
        <w:t>2.9 保险、所涉货物包装</w:t>
      </w:r>
    </w:p>
    <w:p w14:paraId="156502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2.9.1 保险（如需）：</w:t>
      </w:r>
    </w:p>
    <w:p w14:paraId="7964A0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供应商应遵循国家相关保险的规定，依照法规规定，根据项目属性需要，办理货物设施等的财产保险、危险作业人员的工伤和意外伤害保险、设计和工程保险、第三方责任险，相关保险费用</w:t>
      </w:r>
      <w:r>
        <w:rPr>
          <w:rFonts w:hint="eastAsia" w:ascii="宋体" w:hAnsi="宋体" w:cs="宋体"/>
          <w:color w:val="auto"/>
          <w:sz w:val="24"/>
          <w:szCs w:val="24"/>
          <w:lang w:val="en-US" w:eastAsia="zh-CN"/>
        </w:rPr>
        <w:t>等</w:t>
      </w:r>
      <w:r>
        <w:rPr>
          <w:rFonts w:hint="eastAsia" w:ascii="宋体" w:hAnsi="宋体" w:cs="宋体"/>
          <w:color w:val="auto"/>
          <w:sz w:val="24"/>
          <w:szCs w:val="24"/>
        </w:rPr>
        <w:t>及相应责任由成交单位承担。</w:t>
      </w:r>
    </w:p>
    <w:p w14:paraId="24FE76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2.9.2 所涉货物包装：</w:t>
      </w:r>
    </w:p>
    <w:p w14:paraId="0FE660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成交单位负责按国家相关标准进行货物包装，设备的包装均应有良好的防湿、防锈、防潮、防雨、防腐及防碰撞的措施，凡由于包装不良造成的损失和由此产生的费用均由成交单位承担。</w:t>
      </w:r>
    </w:p>
    <w:p w14:paraId="4409DD1D">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baseline"/>
        <w:rPr>
          <w:rFonts w:ascii="宋体" w:hAnsi="宋体" w:cs="宋体"/>
          <w:b/>
          <w:color w:val="auto"/>
          <w:sz w:val="24"/>
          <w:szCs w:val="24"/>
        </w:rPr>
      </w:pPr>
      <w:r>
        <w:rPr>
          <w:rFonts w:hint="eastAsia" w:ascii="宋体" w:hAnsi="宋体" w:cs="宋体"/>
          <w:b/>
          <w:color w:val="auto"/>
          <w:sz w:val="24"/>
          <w:szCs w:val="24"/>
        </w:rPr>
        <w:t>2.10 采购标的的验收标准</w:t>
      </w:r>
    </w:p>
    <w:p w14:paraId="5D7103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见“第三章供应商须知”第8条“验收”条款。</w:t>
      </w:r>
    </w:p>
    <w:p w14:paraId="241F3B5C">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baseline"/>
        <w:rPr>
          <w:rFonts w:ascii="宋体" w:hAnsi="宋体" w:cs="宋体"/>
          <w:b/>
          <w:color w:val="auto"/>
          <w:sz w:val="24"/>
          <w:szCs w:val="24"/>
        </w:rPr>
      </w:pPr>
      <w:r>
        <w:rPr>
          <w:rFonts w:hint="eastAsia" w:ascii="宋体" w:hAnsi="宋体" w:cs="宋体"/>
          <w:b/>
          <w:color w:val="auto"/>
          <w:sz w:val="24"/>
          <w:szCs w:val="24"/>
        </w:rPr>
        <w:t>2.11 采购标的的其他技术、服务等要求</w:t>
      </w:r>
    </w:p>
    <w:p w14:paraId="011BD3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ascii="宋体" w:hAnsi="宋体" w:cs="宋体"/>
          <w:color w:val="auto"/>
          <w:sz w:val="24"/>
          <w:szCs w:val="24"/>
        </w:rPr>
      </w:pPr>
      <w:bookmarkStart w:id="20" w:name="_Toc14297"/>
      <w:r>
        <w:rPr>
          <w:rFonts w:hint="eastAsia" w:ascii="宋体" w:hAnsi="宋体" w:cs="宋体"/>
          <w:color w:val="auto"/>
          <w:sz w:val="24"/>
          <w:szCs w:val="24"/>
        </w:rPr>
        <w:t>无</w:t>
      </w:r>
    </w:p>
    <w:p w14:paraId="32368EBF">
      <w:pPr>
        <w:keepNext w:val="0"/>
        <w:keepLines w:val="0"/>
        <w:pageBreakBefore w:val="0"/>
        <w:kinsoku/>
        <w:wordWrap/>
        <w:overflowPunct/>
        <w:topLinePunct w:val="0"/>
        <w:autoSpaceDE/>
        <w:autoSpaceDN/>
        <w:bidi w:val="0"/>
        <w:spacing w:line="440" w:lineRule="exact"/>
        <w:ind w:firstLine="562" w:firstLineChars="200"/>
        <w:textAlignment w:val="baseline"/>
        <w:outlineLvl w:val="1"/>
        <w:rPr>
          <w:rFonts w:ascii="宋体" w:hAnsi="宋体" w:cs="宋体"/>
          <w:b/>
          <w:color w:val="auto"/>
          <w:sz w:val="28"/>
        </w:rPr>
      </w:pPr>
      <w:r>
        <w:rPr>
          <w:rFonts w:hint="eastAsia" w:ascii="宋体" w:hAnsi="宋体" w:cs="宋体"/>
          <w:b/>
          <w:color w:val="auto"/>
          <w:sz w:val="28"/>
        </w:rPr>
        <w:t>3.项目其他要求</w:t>
      </w:r>
      <w:bookmarkEnd w:id="20"/>
    </w:p>
    <w:p w14:paraId="6E44DB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Style w:val="28"/>
          <w:color w:val="auto"/>
        </w:rPr>
      </w:pPr>
      <w:r>
        <w:rPr>
          <w:rFonts w:hint="eastAsia" w:ascii="宋体" w:hAnsi="宋体" w:cs="宋体"/>
          <w:color w:val="auto"/>
          <w:sz w:val="24"/>
          <w:szCs w:val="24"/>
        </w:rPr>
        <w:t>无</w:t>
      </w:r>
      <w:bookmarkStart w:id="21" w:name="_Toc11178"/>
      <w:r>
        <w:rPr>
          <w:rStyle w:val="28"/>
          <w:rFonts w:hint="eastAsia"/>
          <w:color w:val="auto"/>
        </w:rPr>
        <w:br w:type="page"/>
      </w:r>
    </w:p>
    <w:p w14:paraId="2EEFEC4B">
      <w:pPr>
        <w:adjustRightInd w:val="0"/>
        <w:snapToGrid w:val="0"/>
        <w:spacing w:before="120" w:beforeLines="50" w:line="300" w:lineRule="auto"/>
        <w:ind w:firstLine="723" w:firstLineChars="200"/>
        <w:jc w:val="center"/>
        <w:rPr>
          <w:rFonts w:ascii="宋体" w:hAnsi="宋体" w:cs="宋体"/>
          <w:b/>
          <w:color w:val="auto"/>
          <w:sz w:val="36"/>
          <w:szCs w:val="36"/>
        </w:rPr>
      </w:pPr>
      <w:r>
        <w:rPr>
          <w:rStyle w:val="28"/>
          <w:rFonts w:hint="eastAsia"/>
          <w:color w:val="auto"/>
        </w:rPr>
        <w:t>第三章  供应商须知</w:t>
      </w:r>
      <w:bookmarkEnd w:id="21"/>
    </w:p>
    <w:p w14:paraId="1EDE048D">
      <w:pPr>
        <w:spacing w:line="360" w:lineRule="auto"/>
        <w:ind w:right="238"/>
        <w:jc w:val="left"/>
        <w:outlineLvl w:val="1"/>
        <w:rPr>
          <w:rFonts w:ascii="宋体" w:hAnsi="宋体" w:cs="宋体"/>
          <w:b/>
          <w:color w:val="auto"/>
          <w:sz w:val="28"/>
          <w:szCs w:val="28"/>
        </w:rPr>
      </w:pPr>
      <w:bookmarkStart w:id="22" w:name="_Toc96605337"/>
      <w:bookmarkStart w:id="23" w:name="_Toc185"/>
      <w:r>
        <w:rPr>
          <w:rFonts w:hint="eastAsia" w:ascii="宋体" w:hAnsi="宋体" w:cs="宋体"/>
          <w:b/>
          <w:color w:val="auto"/>
          <w:sz w:val="28"/>
          <w:szCs w:val="28"/>
        </w:rPr>
        <w:t>供应商须知前附表</w:t>
      </w:r>
      <w:bookmarkEnd w:id="22"/>
      <w:bookmarkEnd w:id="23"/>
    </w:p>
    <w:tbl>
      <w:tblPr>
        <w:tblStyle w:val="22"/>
        <w:tblW w:w="9671" w:type="dxa"/>
        <w:jc w:val="center"/>
        <w:tblLayout w:type="fixed"/>
        <w:tblCellMar>
          <w:top w:w="0" w:type="dxa"/>
          <w:left w:w="108" w:type="dxa"/>
          <w:bottom w:w="0" w:type="dxa"/>
          <w:right w:w="108" w:type="dxa"/>
        </w:tblCellMar>
      </w:tblPr>
      <w:tblGrid>
        <w:gridCol w:w="508"/>
        <w:gridCol w:w="699"/>
        <w:gridCol w:w="2218"/>
        <w:gridCol w:w="6246"/>
      </w:tblGrid>
      <w:tr w14:paraId="613CFE27">
        <w:tblPrEx>
          <w:tblCellMar>
            <w:top w:w="0" w:type="dxa"/>
            <w:left w:w="108" w:type="dxa"/>
            <w:bottom w:w="0" w:type="dxa"/>
            <w:right w:w="108" w:type="dxa"/>
          </w:tblCellMar>
        </w:tblPrEx>
        <w:trPr>
          <w:trHeight w:val="571" w:hRule="atLeast"/>
          <w:jc w:val="center"/>
        </w:trPr>
        <w:tc>
          <w:tcPr>
            <w:tcW w:w="508" w:type="dxa"/>
            <w:tcBorders>
              <w:top w:val="single" w:color="auto" w:sz="12" w:space="0"/>
              <w:left w:val="single" w:color="auto" w:sz="12" w:space="0"/>
              <w:bottom w:val="single" w:color="auto" w:sz="6" w:space="0"/>
              <w:right w:val="single" w:color="auto" w:sz="6" w:space="0"/>
            </w:tcBorders>
          </w:tcPr>
          <w:p w14:paraId="1ABEDADB">
            <w:pPr>
              <w:autoSpaceDE w:val="0"/>
              <w:autoSpaceDN w:val="0"/>
              <w:adjustRightInd w:val="0"/>
              <w:spacing w:line="240" w:lineRule="auto"/>
              <w:rPr>
                <w:rFonts w:ascii="宋体" w:hAnsi="宋体" w:cs="宋体"/>
                <w:b/>
                <w:bCs/>
                <w:color w:val="auto"/>
                <w:sz w:val="24"/>
                <w:lang w:val="zh-CN"/>
              </w:rPr>
            </w:pPr>
            <w:r>
              <w:rPr>
                <w:rFonts w:hint="eastAsia" w:ascii="宋体" w:hAnsi="宋体" w:cs="宋体"/>
                <w:b/>
                <w:bCs/>
                <w:color w:val="auto"/>
                <w:sz w:val="24"/>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14:paraId="12578131">
            <w:pPr>
              <w:autoSpaceDE w:val="0"/>
              <w:autoSpaceDN w:val="0"/>
              <w:adjustRightInd w:val="0"/>
              <w:spacing w:line="240" w:lineRule="auto"/>
              <w:rPr>
                <w:rFonts w:ascii="宋体" w:hAnsi="宋体" w:cs="宋体"/>
                <w:b/>
                <w:bCs/>
                <w:color w:val="auto"/>
                <w:sz w:val="24"/>
                <w:lang w:val="zh-CN"/>
              </w:rPr>
            </w:pPr>
            <w:r>
              <w:rPr>
                <w:rFonts w:hint="eastAsia" w:ascii="宋体" w:hAnsi="宋体" w:cs="宋体"/>
                <w:b/>
                <w:bCs/>
                <w:color w:val="auto"/>
                <w:sz w:val="24"/>
                <w:lang w:val="zh-CN"/>
              </w:rPr>
              <w:t>条款号</w:t>
            </w:r>
          </w:p>
        </w:tc>
        <w:tc>
          <w:tcPr>
            <w:tcW w:w="2218" w:type="dxa"/>
            <w:tcBorders>
              <w:top w:val="single" w:color="auto" w:sz="12" w:space="0"/>
              <w:left w:val="single" w:color="auto" w:sz="6" w:space="0"/>
              <w:bottom w:val="single" w:color="auto" w:sz="6" w:space="0"/>
              <w:right w:val="single" w:color="auto" w:sz="6" w:space="0"/>
            </w:tcBorders>
            <w:vAlign w:val="center"/>
          </w:tcPr>
          <w:p w14:paraId="21F7B3B3">
            <w:pPr>
              <w:autoSpaceDE w:val="0"/>
              <w:autoSpaceDN w:val="0"/>
              <w:adjustRightIn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条款名称</w:t>
            </w:r>
          </w:p>
        </w:tc>
        <w:tc>
          <w:tcPr>
            <w:tcW w:w="6246" w:type="dxa"/>
            <w:tcBorders>
              <w:top w:val="single" w:color="auto" w:sz="12" w:space="0"/>
              <w:left w:val="single" w:color="auto" w:sz="6" w:space="0"/>
              <w:bottom w:val="single" w:color="auto" w:sz="6" w:space="0"/>
              <w:right w:val="single" w:color="auto" w:sz="12" w:space="0"/>
            </w:tcBorders>
            <w:vAlign w:val="center"/>
          </w:tcPr>
          <w:p w14:paraId="217D2C07">
            <w:pPr>
              <w:autoSpaceDE w:val="0"/>
              <w:autoSpaceDN w:val="0"/>
              <w:adjustRightIn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编列内容</w:t>
            </w:r>
          </w:p>
        </w:tc>
      </w:tr>
      <w:tr w14:paraId="68AF50DE">
        <w:tblPrEx>
          <w:tblCellMar>
            <w:top w:w="0" w:type="dxa"/>
            <w:left w:w="108" w:type="dxa"/>
            <w:bottom w:w="0" w:type="dxa"/>
            <w:right w:w="108" w:type="dxa"/>
          </w:tblCellMar>
        </w:tblPrEx>
        <w:trPr>
          <w:trHeight w:val="422" w:hRule="atLeast"/>
          <w:jc w:val="center"/>
        </w:trPr>
        <w:tc>
          <w:tcPr>
            <w:tcW w:w="508" w:type="dxa"/>
            <w:vMerge w:val="restart"/>
            <w:tcBorders>
              <w:top w:val="single" w:color="auto" w:sz="6" w:space="0"/>
              <w:left w:val="single" w:color="auto" w:sz="12" w:space="0"/>
              <w:right w:val="single" w:color="auto" w:sz="6" w:space="0"/>
            </w:tcBorders>
            <w:vAlign w:val="center"/>
          </w:tcPr>
          <w:p w14:paraId="21965B9F">
            <w:pPr>
              <w:autoSpaceDE w:val="0"/>
              <w:autoSpaceDN w:val="0"/>
              <w:adjustRightInd w:val="0"/>
              <w:snapToGrid w:val="0"/>
              <w:spacing w:line="240" w:lineRule="auto"/>
              <w:rPr>
                <w:rFonts w:ascii="宋体" w:hAnsi="宋体" w:cs="宋体"/>
                <w:b/>
                <w:bCs/>
                <w:color w:val="auto"/>
                <w:sz w:val="24"/>
              </w:rPr>
            </w:pPr>
            <w:r>
              <w:rPr>
                <w:rFonts w:hint="eastAsia" w:ascii="宋体" w:hAnsi="宋体" w:cs="宋体"/>
                <w:b/>
                <w:bCs/>
                <w:color w:val="auto"/>
                <w:sz w:val="24"/>
              </w:rPr>
              <w:t>第一章</w:t>
            </w:r>
          </w:p>
        </w:tc>
        <w:tc>
          <w:tcPr>
            <w:tcW w:w="699" w:type="dxa"/>
            <w:tcBorders>
              <w:top w:val="single" w:color="auto" w:sz="6" w:space="0"/>
              <w:left w:val="single" w:color="auto" w:sz="12" w:space="0"/>
              <w:bottom w:val="single" w:color="auto" w:sz="6" w:space="0"/>
              <w:right w:val="single" w:color="auto" w:sz="6" w:space="0"/>
            </w:tcBorders>
            <w:vAlign w:val="center"/>
          </w:tcPr>
          <w:p w14:paraId="7CB23F72">
            <w:pPr>
              <w:autoSpaceDE w:val="0"/>
              <w:autoSpaceDN w:val="0"/>
              <w:adjustRightInd w:val="0"/>
              <w:snapToGrid w:val="0"/>
              <w:spacing w:line="240" w:lineRule="auto"/>
              <w:jc w:val="center"/>
              <w:rPr>
                <w:rFonts w:ascii="宋体" w:hAnsi="宋体" w:cs="宋体"/>
                <w:b/>
                <w:bCs/>
                <w:color w:val="auto"/>
                <w:szCs w:val="21"/>
              </w:rPr>
            </w:pPr>
            <w:r>
              <w:rPr>
                <w:rFonts w:hint="eastAsia" w:ascii="宋体" w:hAnsi="宋体" w:cs="宋体"/>
                <w:b/>
                <w:bCs/>
                <w:color w:val="auto"/>
                <w:szCs w:val="21"/>
              </w:rPr>
              <w:t>1.2</w:t>
            </w:r>
          </w:p>
        </w:tc>
        <w:tc>
          <w:tcPr>
            <w:tcW w:w="2218" w:type="dxa"/>
            <w:tcBorders>
              <w:top w:val="single" w:color="auto" w:sz="6" w:space="0"/>
              <w:left w:val="single" w:color="auto" w:sz="6" w:space="0"/>
              <w:bottom w:val="single" w:color="auto" w:sz="6" w:space="0"/>
              <w:right w:val="single" w:color="auto" w:sz="6" w:space="0"/>
            </w:tcBorders>
            <w:vAlign w:val="center"/>
          </w:tcPr>
          <w:p w14:paraId="0409FF2E">
            <w:pPr>
              <w:autoSpaceDE w:val="0"/>
              <w:autoSpaceDN w:val="0"/>
              <w:adjustRightInd w:val="0"/>
              <w:snapToGrid w:val="0"/>
              <w:spacing w:line="240" w:lineRule="auto"/>
              <w:jc w:val="center"/>
              <w:rPr>
                <w:rFonts w:ascii="宋体" w:hAnsi="宋体" w:cs="宋体"/>
                <w:color w:val="auto"/>
                <w:sz w:val="24"/>
                <w:lang w:val="zh-CN"/>
              </w:rPr>
            </w:pPr>
            <w:r>
              <w:rPr>
                <w:rFonts w:hint="eastAsia" w:ascii="宋体" w:hAnsi="宋体" w:cs="宋体"/>
                <w:b/>
                <w:bCs/>
                <w:color w:val="auto"/>
                <w:sz w:val="24"/>
              </w:rPr>
              <w:t>采购项目名称</w:t>
            </w:r>
          </w:p>
        </w:tc>
        <w:tc>
          <w:tcPr>
            <w:tcW w:w="6246" w:type="dxa"/>
            <w:tcBorders>
              <w:top w:val="single" w:color="auto" w:sz="6" w:space="0"/>
              <w:left w:val="single" w:color="auto" w:sz="6" w:space="0"/>
              <w:bottom w:val="single" w:color="auto" w:sz="6" w:space="0"/>
              <w:right w:val="single" w:color="auto" w:sz="12" w:space="0"/>
            </w:tcBorders>
            <w:vAlign w:val="center"/>
          </w:tcPr>
          <w:p w14:paraId="47F913CD">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szCs w:val="24"/>
              </w:rPr>
              <w:t>见“第一章竞争性磋商公告”相应条款</w:t>
            </w:r>
          </w:p>
        </w:tc>
      </w:tr>
      <w:tr w14:paraId="577CB519">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5E198507">
            <w:pPr>
              <w:autoSpaceDE w:val="0"/>
              <w:autoSpaceDN w:val="0"/>
              <w:adjustRightInd w:val="0"/>
              <w:snapToGrid w:val="0"/>
              <w:spacing w:line="240" w:lineRule="auto"/>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4927ABF7">
            <w:pPr>
              <w:autoSpaceDE w:val="0"/>
              <w:autoSpaceDN w:val="0"/>
              <w:adjustRightInd w:val="0"/>
              <w:snapToGrid w:val="0"/>
              <w:spacing w:line="240" w:lineRule="auto"/>
              <w:jc w:val="center"/>
              <w:rPr>
                <w:rFonts w:ascii="宋体" w:hAnsi="宋体" w:cs="宋体"/>
                <w:b/>
                <w:bCs/>
                <w:color w:val="auto"/>
                <w:szCs w:val="21"/>
              </w:rPr>
            </w:pPr>
            <w:r>
              <w:rPr>
                <w:rFonts w:hint="eastAsia" w:ascii="宋体" w:hAnsi="宋体" w:cs="宋体"/>
                <w:b/>
                <w:bCs/>
                <w:color w:val="auto"/>
                <w:szCs w:val="21"/>
              </w:rPr>
              <w:t>1.1</w:t>
            </w:r>
          </w:p>
        </w:tc>
        <w:tc>
          <w:tcPr>
            <w:tcW w:w="2218" w:type="dxa"/>
            <w:tcBorders>
              <w:top w:val="single" w:color="auto" w:sz="6" w:space="0"/>
              <w:left w:val="single" w:color="auto" w:sz="6" w:space="0"/>
              <w:bottom w:val="single" w:color="auto" w:sz="6" w:space="0"/>
              <w:right w:val="single" w:color="auto" w:sz="6" w:space="0"/>
            </w:tcBorders>
            <w:vAlign w:val="center"/>
          </w:tcPr>
          <w:p w14:paraId="56BFBD8E">
            <w:pPr>
              <w:autoSpaceDE w:val="0"/>
              <w:autoSpaceDN w:val="0"/>
              <w:adjustRightInd w:val="0"/>
              <w:snapToGrid w:val="0"/>
              <w:spacing w:line="240" w:lineRule="auto"/>
              <w:jc w:val="center"/>
              <w:rPr>
                <w:rFonts w:ascii="宋体" w:hAnsi="宋体" w:cs="宋体"/>
                <w:b/>
                <w:bCs/>
                <w:color w:val="auto"/>
                <w:sz w:val="24"/>
              </w:rPr>
            </w:pPr>
            <w:r>
              <w:rPr>
                <w:rFonts w:hint="eastAsia" w:ascii="宋体" w:hAnsi="宋体" w:cs="宋体"/>
                <w:b/>
                <w:bCs/>
                <w:color w:val="auto"/>
                <w:sz w:val="24"/>
              </w:rPr>
              <w:t>项目编号</w:t>
            </w:r>
          </w:p>
        </w:tc>
        <w:tc>
          <w:tcPr>
            <w:tcW w:w="6246" w:type="dxa"/>
            <w:tcBorders>
              <w:top w:val="single" w:color="auto" w:sz="6" w:space="0"/>
              <w:left w:val="single" w:color="auto" w:sz="6" w:space="0"/>
              <w:bottom w:val="single" w:color="auto" w:sz="6" w:space="0"/>
              <w:right w:val="single" w:color="auto" w:sz="12" w:space="0"/>
            </w:tcBorders>
            <w:vAlign w:val="center"/>
          </w:tcPr>
          <w:p w14:paraId="4A2E221C">
            <w:pPr>
              <w:autoSpaceDE w:val="0"/>
              <w:autoSpaceDN w:val="0"/>
              <w:adjustRightInd w:val="0"/>
              <w:snapToGrid w:val="0"/>
              <w:spacing w:before="120" w:beforeLines="50" w:line="240" w:lineRule="auto"/>
              <w:rPr>
                <w:rFonts w:ascii="宋体" w:hAnsi="宋体" w:cs="宋体"/>
                <w:color w:val="auto"/>
                <w:sz w:val="24"/>
                <w:szCs w:val="24"/>
              </w:rPr>
            </w:pPr>
            <w:r>
              <w:rPr>
                <w:rFonts w:hint="eastAsia" w:ascii="宋体" w:hAnsi="宋体" w:cs="宋体"/>
                <w:color w:val="auto"/>
                <w:sz w:val="24"/>
                <w:szCs w:val="24"/>
              </w:rPr>
              <w:t>见“第一章竞争性磋商公告”相应条款</w:t>
            </w:r>
          </w:p>
        </w:tc>
      </w:tr>
      <w:tr w14:paraId="164A4767">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361122B9">
            <w:pPr>
              <w:autoSpaceDE w:val="0"/>
              <w:autoSpaceDN w:val="0"/>
              <w:adjustRightInd w:val="0"/>
              <w:snapToGrid w:val="0"/>
              <w:spacing w:line="240" w:lineRule="auto"/>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1B20669">
            <w:pPr>
              <w:autoSpaceDE w:val="0"/>
              <w:autoSpaceDN w:val="0"/>
              <w:adjustRightInd w:val="0"/>
              <w:snapToGrid w:val="0"/>
              <w:spacing w:line="240" w:lineRule="auto"/>
              <w:jc w:val="center"/>
              <w:rPr>
                <w:rFonts w:ascii="宋体" w:hAnsi="宋体" w:cs="宋体"/>
                <w:b/>
                <w:bCs/>
                <w:color w:val="auto"/>
                <w:szCs w:val="21"/>
              </w:rPr>
            </w:pPr>
            <w:r>
              <w:rPr>
                <w:rFonts w:hint="eastAsia" w:ascii="宋体" w:hAnsi="宋体" w:cs="宋体"/>
                <w:b/>
                <w:bCs/>
                <w:color w:val="auto"/>
                <w:szCs w:val="21"/>
              </w:rPr>
              <w:t>1.3</w:t>
            </w:r>
          </w:p>
        </w:tc>
        <w:tc>
          <w:tcPr>
            <w:tcW w:w="2218" w:type="dxa"/>
            <w:tcBorders>
              <w:top w:val="single" w:color="auto" w:sz="6" w:space="0"/>
              <w:left w:val="single" w:color="auto" w:sz="6" w:space="0"/>
              <w:bottom w:val="single" w:color="auto" w:sz="6" w:space="0"/>
              <w:right w:val="single" w:color="auto" w:sz="6" w:space="0"/>
            </w:tcBorders>
            <w:vAlign w:val="center"/>
          </w:tcPr>
          <w:p w14:paraId="7528E577">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采购方式</w:t>
            </w:r>
          </w:p>
        </w:tc>
        <w:tc>
          <w:tcPr>
            <w:tcW w:w="6246" w:type="dxa"/>
            <w:tcBorders>
              <w:top w:val="single" w:color="auto" w:sz="6" w:space="0"/>
              <w:left w:val="single" w:color="auto" w:sz="6" w:space="0"/>
              <w:bottom w:val="single" w:color="auto" w:sz="6" w:space="0"/>
              <w:right w:val="single" w:color="auto" w:sz="12" w:space="0"/>
            </w:tcBorders>
            <w:vAlign w:val="center"/>
          </w:tcPr>
          <w:p w14:paraId="59CF5153">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szCs w:val="24"/>
              </w:rPr>
              <w:t>竞争性磋商</w:t>
            </w:r>
          </w:p>
        </w:tc>
      </w:tr>
      <w:tr w14:paraId="4C7893A0">
        <w:tblPrEx>
          <w:tblCellMar>
            <w:top w:w="0" w:type="dxa"/>
            <w:left w:w="108" w:type="dxa"/>
            <w:bottom w:w="0" w:type="dxa"/>
            <w:right w:w="108" w:type="dxa"/>
          </w:tblCellMar>
        </w:tblPrEx>
        <w:trPr>
          <w:trHeight w:val="370" w:hRule="atLeast"/>
          <w:jc w:val="center"/>
        </w:trPr>
        <w:tc>
          <w:tcPr>
            <w:tcW w:w="508" w:type="dxa"/>
            <w:vMerge w:val="continue"/>
            <w:tcBorders>
              <w:left w:val="single" w:color="auto" w:sz="12" w:space="0"/>
              <w:right w:val="single" w:color="auto" w:sz="6" w:space="0"/>
            </w:tcBorders>
          </w:tcPr>
          <w:p w14:paraId="30A46CFE">
            <w:pPr>
              <w:autoSpaceDE w:val="0"/>
              <w:autoSpaceDN w:val="0"/>
              <w:adjustRightInd w:val="0"/>
              <w:snapToGrid w:val="0"/>
              <w:spacing w:line="240" w:lineRule="auto"/>
              <w:jc w:val="center"/>
              <w:rPr>
                <w:rFonts w:ascii="宋体" w:hAnsi="宋体" w:cs="宋体"/>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C5C5C1D">
            <w:pPr>
              <w:autoSpaceDE w:val="0"/>
              <w:autoSpaceDN w:val="0"/>
              <w:adjustRightInd w:val="0"/>
              <w:snapToGrid w:val="0"/>
              <w:spacing w:line="240" w:lineRule="auto"/>
              <w:jc w:val="center"/>
              <w:rPr>
                <w:rFonts w:ascii="宋体" w:hAnsi="宋体" w:cs="宋体"/>
                <w:b/>
                <w:bCs/>
                <w:color w:val="auto"/>
                <w:szCs w:val="21"/>
                <w:lang w:val="zh-CN"/>
              </w:rPr>
            </w:pPr>
            <w:r>
              <w:rPr>
                <w:rFonts w:hint="eastAsia" w:ascii="宋体" w:hAnsi="宋体" w:cs="宋体"/>
                <w:b/>
                <w:bCs/>
                <w:color w:val="auto"/>
                <w:szCs w:val="21"/>
                <w:lang w:val="zh-CN"/>
              </w:rPr>
              <w:t>1.4</w:t>
            </w:r>
          </w:p>
        </w:tc>
        <w:tc>
          <w:tcPr>
            <w:tcW w:w="2218" w:type="dxa"/>
            <w:tcBorders>
              <w:top w:val="single" w:color="auto" w:sz="6" w:space="0"/>
              <w:left w:val="single" w:color="auto" w:sz="6" w:space="0"/>
              <w:bottom w:val="single" w:color="auto" w:sz="6" w:space="0"/>
              <w:right w:val="single" w:color="auto" w:sz="6" w:space="0"/>
            </w:tcBorders>
            <w:vAlign w:val="center"/>
          </w:tcPr>
          <w:p w14:paraId="402DF2FB">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预算金额</w:t>
            </w:r>
          </w:p>
        </w:tc>
        <w:tc>
          <w:tcPr>
            <w:tcW w:w="6246" w:type="dxa"/>
            <w:tcBorders>
              <w:top w:val="single" w:color="auto" w:sz="6" w:space="0"/>
              <w:left w:val="single" w:color="auto" w:sz="6" w:space="0"/>
              <w:bottom w:val="single" w:color="auto" w:sz="6" w:space="0"/>
              <w:right w:val="single" w:color="auto" w:sz="12" w:space="0"/>
            </w:tcBorders>
            <w:vAlign w:val="center"/>
          </w:tcPr>
          <w:p w14:paraId="7101A1C0">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szCs w:val="24"/>
              </w:rPr>
              <w:t>见“第一章竞争性磋商公告”相应条款。</w:t>
            </w:r>
            <w:r>
              <w:rPr>
                <w:rFonts w:hint="eastAsia" w:ascii="宋体" w:hAnsi="宋体" w:cs="宋体"/>
                <w:b/>
                <w:color w:val="auto"/>
                <w:sz w:val="24"/>
                <w:lang w:val="zh-CN"/>
              </w:rPr>
              <w:t>注：供应商的磋商报价未超过</w:t>
            </w:r>
            <w:r>
              <w:rPr>
                <w:rFonts w:hint="eastAsia" w:ascii="宋体" w:hAnsi="宋体" w:cs="宋体"/>
                <w:b/>
                <w:bCs/>
                <w:color w:val="auto"/>
                <w:sz w:val="24"/>
                <w:lang w:val="zh-CN"/>
              </w:rPr>
              <w:t>预算金额</w:t>
            </w:r>
            <w:r>
              <w:rPr>
                <w:rFonts w:hint="eastAsia" w:ascii="宋体" w:hAnsi="宋体" w:cs="宋体"/>
                <w:b/>
                <w:color w:val="auto"/>
                <w:sz w:val="24"/>
                <w:lang w:val="zh-CN"/>
              </w:rPr>
              <w:t>的不足三家时，该项目（标段&lt;包&gt;）终止。</w:t>
            </w:r>
          </w:p>
        </w:tc>
      </w:tr>
      <w:tr w14:paraId="5E4D487C">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4AD24683">
            <w:pPr>
              <w:autoSpaceDE w:val="0"/>
              <w:autoSpaceDN w:val="0"/>
              <w:adjustRightInd w:val="0"/>
              <w:snapToGrid w:val="0"/>
              <w:spacing w:line="240" w:lineRule="auto"/>
              <w:jc w:val="center"/>
              <w:rPr>
                <w:rFonts w:ascii="宋体" w:hAnsi="宋体" w:cs="宋体"/>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A581165">
            <w:pPr>
              <w:autoSpaceDE w:val="0"/>
              <w:autoSpaceDN w:val="0"/>
              <w:adjustRightInd w:val="0"/>
              <w:snapToGrid w:val="0"/>
              <w:spacing w:line="240" w:lineRule="auto"/>
              <w:jc w:val="center"/>
              <w:rPr>
                <w:rFonts w:ascii="宋体" w:hAnsi="宋体" w:cs="宋体"/>
                <w:b/>
                <w:bCs/>
                <w:color w:val="auto"/>
                <w:szCs w:val="21"/>
                <w:lang w:val="zh-CN"/>
              </w:rPr>
            </w:pPr>
            <w:r>
              <w:rPr>
                <w:rFonts w:hint="eastAsia" w:ascii="宋体" w:hAnsi="宋体" w:cs="宋体"/>
                <w:b/>
                <w:bCs/>
                <w:color w:val="auto"/>
                <w:szCs w:val="21"/>
                <w:lang w:val="zh-CN"/>
              </w:rPr>
              <w:t>2</w:t>
            </w:r>
          </w:p>
        </w:tc>
        <w:tc>
          <w:tcPr>
            <w:tcW w:w="2218" w:type="dxa"/>
            <w:tcBorders>
              <w:top w:val="single" w:color="auto" w:sz="6" w:space="0"/>
              <w:left w:val="single" w:color="auto" w:sz="6" w:space="0"/>
              <w:bottom w:val="single" w:color="auto" w:sz="6" w:space="0"/>
              <w:right w:val="single" w:color="auto" w:sz="6" w:space="0"/>
            </w:tcBorders>
            <w:vAlign w:val="center"/>
          </w:tcPr>
          <w:p w14:paraId="697930D2">
            <w:pPr>
              <w:autoSpaceDE w:val="0"/>
              <w:autoSpaceDN w:val="0"/>
              <w:adjustRightInd w:val="0"/>
              <w:snapToGrid w:val="0"/>
              <w:spacing w:line="240" w:lineRule="auto"/>
              <w:ind w:right="-73" w:rightChars="-35"/>
              <w:jc w:val="center"/>
              <w:rPr>
                <w:rFonts w:ascii="宋体" w:hAnsi="宋体" w:cs="宋体"/>
                <w:b/>
                <w:color w:val="auto"/>
                <w:sz w:val="24"/>
                <w:szCs w:val="24"/>
              </w:rPr>
            </w:pPr>
            <w:r>
              <w:rPr>
                <w:rFonts w:hint="eastAsia" w:ascii="宋体" w:hAnsi="宋体" w:cs="宋体"/>
                <w:b/>
                <w:color w:val="auto"/>
                <w:sz w:val="24"/>
                <w:szCs w:val="24"/>
              </w:rPr>
              <w:t>申请人的资格要求及相关证明材料要求</w:t>
            </w:r>
          </w:p>
        </w:tc>
        <w:tc>
          <w:tcPr>
            <w:tcW w:w="6246" w:type="dxa"/>
            <w:tcBorders>
              <w:top w:val="single" w:color="auto" w:sz="6" w:space="0"/>
              <w:left w:val="single" w:color="auto" w:sz="6" w:space="0"/>
              <w:bottom w:val="single" w:color="auto" w:sz="6" w:space="0"/>
              <w:right w:val="single" w:color="auto" w:sz="12" w:space="0"/>
            </w:tcBorders>
            <w:vAlign w:val="center"/>
          </w:tcPr>
          <w:p w14:paraId="307B6524">
            <w:pPr>
              <w:autoSpaceDE w:val="0"/>
              <w:autoSpaceDN w:val="0"/>
              <w:adjustRightInd w:val="0"/>
              <w:snapToGrid w:val="0"/>
              <w:spacing w:before="120" w:beforeLines="50" w:line="240" w:lineRule="auto"/>
              <w:rPr>
                <w:rFonts w:ascii="宋体" w:hAnsi="宋体" w:cs="宋体"/>
                <w:color w:val="auto"/>
                <w:sz w:val="24"/>
                <w:szCs w:val="24"/>
              </w:rPr>
            </w:pPr>
            <w:r>
              <w:rPr>
                <w:rFonts w:hint="eastAsia" w:ascii="宋体" w:hAnsi="宋体" w:cs="宋体"/>
                <w:color w:val="auto"/>
                <w:sz w:val="24"/>
                <w:szCs w:val="24"/>
              </w:rPr>
              <w:t>见“第一章竞争性磋商公告”相应条款</w:t>
            </w:r>
          </w:p>
        </w:tc>
      </w:tr>
      <w:tr w14:paraId="0181AF1B">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2859DF23">
            <w:pPr>
              <w:autoSpaceDE w:val="0"/>
              <w:autoSpaceDN w:val="0"/>
              <w:adjustRightInd w:val="0"/>
              <w:snapToGrid w:val="0"/>
              <w:spacing w:line="240" w:lineRule="auto"/>
              <w:jc w:val="center"/>
              <w:rPr>
                <w:rFonts w:ascii="宋体" w:hAnsi="宋体" w:cs="宋体"/>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C69F01A">
            <w:pPr>
              <w:autoSpaceDE w:val="0"/>
              <w:autoSpaceDN w:val="0"/>
              <w:adjustRightInd w:val="0"/>
              <w:snapToGrid w:val="0"/>
              <w:spacing w:line="240" w:lineRule="auto"/>
              <w:jc w:val="center"/>
              <w:rPr>
                <w:rFonts w:ascii="宋体" w:hAnsi="宋体" w:cs="宋体"/>
                <w:b/>
                <w:bCs/>
                <w:color w:val="auto"/>
                <w:szCs w:val="21"/>
                <w:lang w:val="zh-CN"/>
              </w:rPr>
            </w:pPr>
            <w:r>
              <w:rPr>
                <w:rFonts w:hint="eastAsia" w:ascii="宋体" w:hAnsi="宋体" w:cs="宋体"/>
                <w:b/>
                <w:bCs/>
                <w:color w:val="auto"/>
                <w:szCs w:val="21"/>
                <w:lang w:val="zh-CN"/>
              </w:rPr>
              <w:t>8.1</w:t>
            </w:r>
          </w:p>
        </w:tc>
        <w:tc>
          <w:tcPr>
            <w:tcW w:w="2218" w:type="dxa"/>
            <w:tcBorders>
              <w:top w:val="single" w:color="auto" w:sz="6" w:space="0"/>
              <w:left w:val="single" w:color="auto" w:sz="6" w:space="0"/>
              <w:bottom w:val="single" w:color="auto" w:sz="6" w:space="0"/>
              <w:right w:val="single" w:color="auto" w:sz="6" w:space="0"/>
            </w:tcBorders>
            <w:vAlign w:val="center"/>
          </w:tcPr>
          <w:p w14:paraId="04EDB772">
            <w:pPr>
              <w:autoSpaceDE w:val="0"/>
              <w:autoSpaceDN w:val="0"/>
              <w:adjustRightInd w:val="0"/>
              <w:snapToGrid w:val="0"/>
              <w:spacing w:line="240" w:lineRule="auto"/>
              <w:ind w:right="-73" w:rightChars="-35"/>
              <w:jc w:val="center"/>
              <w:rPr>
                <w:rFonts w:ascii="宋体" w:hAnsi="宋体" w:cs="宋体"/>
                <w:b/>
                <w:color w:val="auto"/>
                <w:sz w:val="24"/>
                <w:szCs w:val="24"/>
              </w:rPr>
            </w:pPr>
            <w:r>
              <w:rPr>
                <w:rFonts w:hint="eastAsia" w:ascii="宋体" w:hAnsi="宋体" w:cs="宋体"/>
                <w:b/>
                <w:color w:val="auto"/>
                <w:sz w:val="24"/>
                <w:szCs w:val="24"/>
              </w:rPr>
              <w:t>采购人</w:t>
            </w:r>
          </w:p>
        </w:tc>
        <w:tc>
          <w:tcPr>
            <w:tcW w:w="6246" w:type="dxa"/>
            <w:tcBorders>
              <w:top w:val="single" w:color="auto" w:sz="6" w:space="0"/>
              <w:left w:val="single" w:color="auto" w:sz="6" w:space="0"/>
              <w:bottom w:val="single" w:color="auto" w:sz="6" w:space="0"/>
              <w:right w:val="single" w:color="auto" w:sz="12" w:space="0"/>
            </w:tcBorders>
            <w:vAlign w:val="center"/>
          </w:tcPr>
          <w:p w14:paraId="6287E52A">
            <w:pPr>
              <w:autoSpaceDE w:val="0"/>
              <w:autoSpaceDN w:val="0"/>
              <w:adjustRightInd w:val="0"/>
              <w:snapToGrid w:val="0"/>
              <w:spacing w:before="120" w:beforeLines="50" w:line="240" w:lineRule="auto"/>
              <w:rPr>
                <w:rFonts w:ascii="宋体" w:hAnsi="宋体" w:cs="宋体"/>
                <w:color w:val="auto"/>
                <w:sz w:val="24"/>
                <w:szCs w:val="24"/>
              </w:rPr>
            </w:pPr>
            <w:r>
              <w:rPr>
                <w:rFonts w:hint="eastAsia" w:ascii="宋体" w:hAnsi="宋体" w:cs="宋体"/>
                <w:color w:val="auto"/>
                <w:sz w:val="24"/>
                <w:szCs w:val="24"/>
              </w:rPr>
              <w:t>见“第一章竞争性磋商公告”相应条款</w:t>
            </w:r>
          </w:p>
        </w:tc>
      </w:tr>
      <w:tr w14:paraId="3CD0BBB5">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bottom w:val="single" w:color="auto" w:sz="6" w:space="0"/>
              <w:right w:val="single" w:color="auto" w:sz="6" w:space="0"/>
            </w:tcBorders>
          </w:tcPr>
          <w:p w14:paraId="6A5453A1">
            <w:pPr>
              <w:autoSpaceDE w:val="0"/>
              <w:autoSpaceDN w:val="0"/>
              <w:adjustRightInd w:val="0"/>
              <w:snapToGrid w:val="0"/>
              <w:spacing w:line="240" w:lineRule="auto"/>
              <w:jc w:val="center"/>
              <w:rPr>
                <w:rFonts w:ascii="宋体" w:hAnsi="宋体" w:cs="宋体"/>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3603FA2">
            <w:pPr>
              <w:autoSpaceDE w:val="0"/>
              <w:autoSpaceDN w:val="0"/>
              <w:adjustRightInd w:val="0"/>
              <w:snapToGrid w:val="0"/>
              <w:spacing w:line="240" w:lineRule="auto"/>
              <w:jc w:val="center"/>
              <w:rPr>
                <w:rFonts w:ascii="宋体" w:hAnsi="宋体" w:cs="宋体"/>
                <w:b/>
                <w:bCs/>
                <w:color w:val="auto"/>
                <w:szCs w:val="21"/>
                <w:lang w:val="zh-CN"/>
              </w:rPr>
            </w:pPr>
            <w:r>
              <w:rPr>
                <w:rFonts w:hint="eastAsia" w:ascii="宋体" w:hAnsi="宋体" w:cs="宋体"/>
                <w:b/>
                <w:bCs/>
                <w:color w:val="auto"/>
                <w:szCs w:val="21"/>
                <w:lang w:val="zh-CN"/>
              </w:rPr>
              <w:t>8.2</w:t>
            </w:r>
          </w:p>
        </w:tc>
        <w:tc>
          <w:tcPr>
            <w:tcW w:w="2218" w:type="dxa"/>
            <w:tcBorders>
              <w:top w:val="single" w:color="auto" w:sz="6" w:space="0"/>
              <w:left w:val="single" w:color="auto" w:sz="6" w:space="0"/>
              <w:bottom w:val="single" w:color="auto" w:sz="6" w:space="0"/>
              <w:right w:val="single" w:color="auto" w:sz="6" w:space="0"/>
            </w:tcBorders>
            <w:vAlign w:val="center"/>
          </w:tcPr>
          <w:p w14:paraId="3812B3DE">
            <w:pPr>
              <w:autoSpaceDE w:val="0"/>
              <w:autoSpaceDN w:val="0"/>
              <w:adjustRightInd w:val="0"/>
              <w:snapToGrid w:val="0"/>
              <w:spacing w:line="240" w:lineRule="auto"/>
              <w:ind w:right="-73" w:rightChars="-35"/>
              <w:jc w:val="center"/>
              <w:rPr>
                <w:rFonts w:ascii="宋体" w:hAnsi="宋体" w:cs="宋体"/>
                <w:b/>
                <w:color w:val="auto"/>
                <w:sz w:val="24"/>
                <w:szCs w:val="24"/>
              </w:rPr>
            </w:pPr>
            <w:r>
              <w:rPr>
                <w:rFonts w:hint="eastAsia" w:ascii="宋体" w:hAnsi="宋体" w:cs="宋体"/>
                <w:b/>
                <w:color w:val="auto"/>
                <w:sz w:val="24"/>
                <w:szCs w:val="24"/>
              </w:rPr>
              <w:t>采购代理机构</w:t>
            </w:r>
          </w:p>
        </w:tc>
        <w:tc>
          <w:tcPr>
            <w:tcW w:w="6246" w:type="dxa"/>
            <w:tcBorders>
              <w:top w:val="single" w:color="auto" w:sz="6" w:space="0"/>
              <w:left w:val="single" w:color="auto" w:sz="6" w:space="0"/>
              <w:bottom w:val="single" w:color="auto" w:sz="6" w:space="0"/>
              <w:right w:val="single" w:color="auto" w:sz="12" w:space="0"/>
            </w:tcBorders>
            <w:vAlign w:val="center"/>
          </w:tcPr>
          <w:p w14:paraId="768B7EB5">
            <w:pPr>
              <w:autoSpaceDE w:val="0"/>
              <w:autoSpaceDN w:val="0"/>
              <w:adjustRightInd w:val="0"/>
              <w:snapToGrid w:val="0"/>
              <w:spacing w:before="120" w:beforeLines="50" w:line="240" w:lineRule="auto"/>
              <w:rPr>
                <w:rFonts w:ascii="宋体" w:hAnsi="宋体" w:cs="宋体"/>
                <w:color w:val="auto"/>
                <w:sz w:val="24"/>
                <w:szCs w:val="24"/>
              </w:rPr>
            </w:pPr>
            <w:r>
              <w:rPr>
                <w:rFonts w:hint="eastAsia" w:ascii="宋体" w:hAnsi="宋体" w:cs="宋体"/>
                <w:color w:val="auto"/>
                <w:sz w:val="24"/>
                <w:szCs w:val="24"/>
              </w:rPr>
              <w:t>见“第一章竞争性磋商公告”相应条款</w:t>
            </w:r>
          </w:p>
        </w:tc>
      </w:tr>
      <w:tr w14:paraId="20FB6068">
        <w:tblPrEx>
          <w:tblCellMar>
            <w:top w:w="0" w:type="dxa"/>
            <w:left w:w="108" w:type="dxa"/>
            <w:bottom w:w="0" w:type="dxa"/>
            <w:right w:w="108" w:type="dxa"/>
          </w:tblCellMar>
        </w:tblPrEx>
        <w:trPr>
          <w:trHeight w:val="90" w:hRule="atLeast"/>
          <w:jc w:val="center"/>
        </w:trPr>
        <w:tc>
          <w:tcPr>
            <w:tcW w:w="508" w:type="dxa"/>
            <w:vMerge w:val="restart"/>
            <w:tcBorders>
              <w:top w:val="single" w:color="auto" w:sz="6" w:space="0"/>
              <w:left w:val="single" w:color="auto" w:sz="12" w:space="0"/>
              <w:right w:val="single" w:color="auto" w:sz="6" w:space="0"/>
            </w:tcBorders>
            <w:vAlign w:val="center"/>
          </w:tcPr>
          <w:p w14:paraId="68819859">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14:paraId="64F2ECA5">
            <w:pPr>
              <w:autoSpaceDE w:val="0"/>
              <w:autoSpaceDN w:val="0"/>
              <w:adjustRightInd w:val="0"/>
              <w:snapToGrid w:val="0"/>
              <w:spacing w:line="240" w:lineRule="auto"/>
              <w:jc w:val="center"/>
              <w:rPr>
                <w:rFonts w:ascii="宋体" w:hAnsi="宋体" w:cs="宋体"/>
                <w:b/>
                <w:bCs/>
                <w:color w:val="auto"/>
                <w:szCs w:val="21"/>
                <w:lang w:val="zh-CN"/>
              </w:rPr>
            </w:pPr>
            <w:r>
              <w:rPr>
                <w:rFonts w:hint="eastAsia" w:ascii="宋体" w:hAnsi="宋体" w:cs="宋体"/>
                <w:b/>
                <w:bCs/>
                <w:color w:val="auto"/>
                <w:szCs w:val="21"/>
                <w:lang w:val="zh-CN"/>
              </w:rPr>
              <w:t>1.2</w:t>
            </w:r>
          </w:p>
        </w:tc>
        <w:tc>
          <w:tcPr>
            <w:tcW w:w="2218" w:type="dxa"/>
            <w:tcBorders>
              <w:top w:val="single" w:color="auto" w:sz="6" w:space="0"/>
              <w:left w:val="single" w:color="auto" w:sz="6" w:space="0"/>
              <w:bottom w:val="single" w:color="auto" w:sz="6" w:space="0"/>
              <w:right w:val="single" w:color="auto" w:sz="6" w:space="0"/>
            </w:tcBorders>
            <w:vAlign w:val="center"/>
          </w:tcPr>
          <w:p w14:paraId="3C677842">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color w:val="auto"/>
                <w:sz w:val="24"/>
                <w:szCs w:val="24"/>
              </w:rPr>
              <w:t>标段（包）划分</w:t>
            </w:r>
          </w:p>
        </w:tc>
        <w:tc>
          <w:tcPr>
            <w:tcW w:w="6246" w:type="dxa"/>
            <w:tcBorders>
              <w:top w:val="single" w:color="auto" w:sz="6" w:space="0"/>
              <w:left w:val="single" w:color="auto" w:sz="6" w:space="0"/>
              <w:bottom w:val="single" w:color="auto" w:sz="6" w:space="0"/>
              <w:right w:val="single" w:color="auto" w:sz="12" w:space="0"/>
            </w:tcBorders>
            <w:vAlign w:val="center"/>
          </w:tcPr>
          <w:p w14:paraId="32D2F28C">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szCs w:val="24"/>
              </w:rPr>
              <w:t>见“第二章采购项目及服务要求”相应条款</w:t>
            </w:r>
          </w:p>
        </w:tc>
      </w:tr>
      <w:tr w14:paraId="0C3609C9">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4DDC9CB1">
            <w:pPr>
              <w:autoSpaceDE w:val="0"/>
              <w:autoSpaceDN w:val="0"/>
              <w:adjustRightInd w:val="0"/>
              <w:snapToGrid w:val="0"/>
              <w:spacing w:line="240" w:lineRule="auto"/>
              <w:jc w:val="center"/>
              <w:rPr>
                <w:rFonts w:ascii="宋体" w:hAnsi="宋体" w:cs="宋体"/>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61E6E66">
            <w:pPr>
              <w:autoSpaceDE w:val="0"/>
              <w:autoSpaceDN w:val="0"/>
              <w:adjustRightInd w:val="0"/>
              <w:snapToGrid w:val="0"/>
              <w:spacing w:line="240" w:lineRule="auto"/>
              <w:jc w:val="center"/>
              <w:rPr>
                <w:rFonts w:ascii="宋体" w:hAnsi="宋体" w:cs="宋体"/>
                <w:b/>
                <w:bCs/>
                <w:color w:val="auto"/>
                <w:szCs w:val="21"/>
                <w:lang w:val="zh-CN"/>
              </w:rPr>
            </w:pPr>
            <w:r>
              <w:rPr>
                <w:rFonts w:hint="eastAsia" w:ascii="宋体" w:hAnsi="宋体" w:cs="宋体"/>
                <w:b/>
                <w:bCs/>
                <w:color w:val="auto"/>
                <w:szCs w:val="21"/>
                <w:lang w:val="zh-CN"/>
              </w:rPr>
              <w:t>1.2</w:t>
            </w:r>
          </w:p>
        </w:tc>
        <w:tc>
          <w:tcPr>
            <w:tcW w:w="2218" w:type="dxa"/>
            <w:tcBorders>
              <w:top w:val="single" w:color="auto" w:sz="6" w:space="0"/>
              <w:left w:val="single" w:color="auto" w:sz="6" w:space="0"/>
              <w:bottom w:val="single" w:color="auto" w:sz="6" w:space="0"/>
              <w:right w:val="single" w:color="auto" w:sz="6" w:space="0"/>
            </w:tcBorders>
            <w:vAlign w:val="center"/>
          </w:tcPr>
          <w:p w14:paraId="519857C4">
            <w:pPr>
              <w:autoSpaceDE w:val="0"/>
              <w:autoSpaceDN w:val="0"/>
              <w:adjustRightInd w:val="0"/>
              <w:snapToGrid w:val="0"/>
              <w:spacing w:line="240" w:lineRule="auto"/>
              <w:jc w:val="center"/>
              <w:rPr>
                <w:rFonts w:ascii="宋体" w:hAnsi="宋体" w:cs="宋体"/>
                <w:b/>
                <w:bCs/>
                <w:color w:val="auto"/>
                <w:sz w:val="24"/>
              </w:rPr>
            </w:pPr>
            <w:r>
              <w:rPr>
                <w:rFonts w:hint="eastAsia" w:ascii="宋体" w:hAnsi="宋体" w:cs="宋体"/>
                <w:b/>
                <w:bCs/>
                <w:color w:val="auto"/>
                <w:sz w:val="24"/>
              </w:rPr>
              <w:t>合同履行期限</w:t>
            </w:r>
          </w:p>
          <w:p w14:paraId="45451361">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rPr>
              <w:t>（服务期限）</w:t>
            </w:r>
          </w:p>
        </w:tc>
        <w:tc>
          <w:tcPr>
            <w:tcW w:w="6246" w:type="dxa"/>
            <w:tcBorders>
              <w:top w:val="single" w:color="auto" w:sz="6" w:space="0"/>
              <w:left w:val="single" w:color="auto" w:sz="6" w:space="0"/>
              <w:bottom w:val="single" w:color="auto" w:sz="6" w:space="0"/>
              <w:right w:val="single" w:color="auto" w:sz="12" w:space="0"/>
            </w:tcBorders>
            <w:vAlign w:val="center"/>
          </w:tcPr>
          <w:p w14:paraId="3550597C">
            <w:pPr>
              <w:autoSpaceDE w:val="0"/>
              <w:autoSpaceDN w:val="0"/>
              <w:adjustRightInd w:val="0"/>
              <w:snapToGrid w:val="0"/>
              <w:spacing w:before="120" w:beforeLines="50" w:line="240" w:lineRule="auto"/>
              <w:rPr>
                <w:rFonts w:ascii="宋体" w:hAnsi="宋体" w:cs="宋体"/>
                <w:bCs/>
                <w:color w:val="auto"/>
                <w:sz w:val="24"/>
                <w:lang w:val="zh-CN"/>
              </w:rPr>
            </w:pPr>
            <w:r>
              <w:rPr>
                <w:rFonts w:hint="eastAsia" w:ascii="宋体" w:hAnsi="宋体" w:cs="宋体"/>
                <w:color w:val="auto"/>
                <w:sz w:val="24"/>
              </w:rPr>
              <w:t>见“第二章采购项目及服务要求”</w:t>
            </w:r>
            <w:r>
              <w:rPr>
                <w:rFonts w:hint="eastAsia" w:ascii="宋体" w:hAnsi="宋体" w:cs="宋体"/>
                <w:color w:val="auto"/>
                <w:sz w:val="24"/>
                <w:szCs w:val="24"/>
              </w:rPr>
              <w:t>相应条款</w:t>
            </w:r>
          </w:p>
        </w:tc>
      </w:tr>
      <w:tr w14:paraId="0C1A3B0E">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32191707">
            <w:pPr>
              <w:autoSpaceDE w:val="0"/>
              <w:autoSpaceDN w:val="0"/>
              <w:adjustRightInd w:val="0"/>
              <w:snapToGrid w:val="0"/>
              <w:spacing w:line="240" w:lineRule="auto"/>
              <w:jc w:val="center"/>
              <w:rPr>
                <w:rFonts w:ascii="宋体" w:hAnsi="宋体" w:cs="宋体"/>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FF475A6">
            <w:pPr>
              <w:autoSpaceDE w:val="0"/>
              <w:autoSpaceDN w:val="0"/>
              <w:adjustRightInd w:val="0"/>
              <w:snapToGrid w:val="0"/>
              <w:spacing w:line="240" w:lineRule="auto"/>
              <w:jc w:val="center"/>
              <w:rPr>
                <w:rFonts w:ascii="宋体" w:hAnsi="宋体" w:cs="宋体"/>
                <w:b/>
                <w:bCs/>
                <w:color w:val="auto"/>
                <w:szCs w:val="21"/>
                <w:lang w:val="zh-CN"/>
              </w:rPr>
            </w:pPr>
            <w:r>
              <w:rPr>
                <w:rFonts w:hint="eastAsia" w:ascii="宋体" w:hAnsi="宋体" w:cs="宋体"/>
                <w:b/>
                <w:bCs/>
                <w:color w:val="auto"/>
                <w:szCs w:val="21"/>
                <w:lang w:val="zh-CN"/>
              </w:rPr>
              <w:t>1.2</w:t>
            </w:r>
          </w:p>
        </w:tc>
        <w:tc>
          <w:tcPr>
            <w:tcW w:w="2218" w:type="dxa"/>
            <w:tcBorders>
              <w:top w:val="single" w:color="auto" w:sz="6" w:space="0"/>
              <w:left w:val="single" w:color="auto" w:sz="6" w:space="0"/>
              <w:bottom w:val="single" w:color="auto" w:sz="6" w:space="0"/>
              <w:right w:val="single" w:color="auto" w:sz="6" w:space="0"/>
            </w:tcBorders>
            <w:vAlign w:val="center"/>
          </w:tcPr>
          <w:p w14:paraId="2040CF82">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服务地点</w:t>
            </w:r>
          </w:p>
        </w:tc>
        <w:tc>
          <w:tcPr>
            <w:tcW w:w="6246" w:type="dxa"/>
            <w:tcBorders>
              <w:top w:val="single" w:color="auto" w:sz="6" w:space="0"/>
              <w:left w:val="single" w:color="auto" w:sz="6" w:space="0"/>
              <w:bottom w:val="single" w:color="auto" w:sz="6" w:space="0"/>
              <w:right w:val="single" w:color="auto" w:sz="12" w:space="0"/>
            </w:tcBorders>
            <w:vAlign w:val="center"/>
          </w:tcPr>
          <w:p w14:paraId="448BBB76">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见“第二</w:t>
            </w:r>
            <w:r>
              <w:rPr>
                <w:rFonts w:hint="eastAsia" w:ascii="宋体" w:hAnsi="宋体" w:cs="宋体"/>
                <w:color w:val="auto"/>
                <w:sz w:val="24"/>
                <w:szCs w:val="24"/>
              </w:rPr>
              <w:t>章</w:t>
            </w:r>
            <w:r>
              <w:rPr>
                <w:rFonts w:hint="eastAsia" w:ascii="宋体" w:hAnsi="宋体" w:cs="宋体"/>
                <w:color w:val="auto"/>
                <w:sz w:val="24"/>
                <w:lang w:val="zh-CN"/>
              </w:rPr>
              <w:t>采购项目及服务要求”</w:t>
            </w:r>
            <w:r>
              <w:rPr>
                <w:rFonts w:hint="eastAsia" w:ascii="宋体" w:hAnsi="宋体" w:cs="宋体"/>
                <w:color w:val="auto"/>
                <w:sz w:val="24"/>
                <w:szCs w:val="24"/>
              </w:rPr>
              <w:t>相应条款</w:t>
            </w:r>
          </w:p>
        </w:tc>
      </w:tr>
      <w:tr w14:paraId="35FA4A3E">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657AC70D">
            <w:pPr>
              <w:autoSpaceDE w:val="0"/>
              <w:autoSpaceDN w:val="0"/>
              <w:adjustRightInd w:val="0"/>
              <w:snapToGrid w:val="0"/>
              <w:spacing w:line="240" w:lineRule="auto"/>
              <w:jc w:val="center"/>
              <w:rPr>
                <w:rFonts w:ascii="宋体" w:hAnsi="宋体" w:cs="宋体"/>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2F6C541E">
            <w:pPr>
              <w:autoSpaceDE w:val="0"/>
              <w:autoSpaceDN w:val="0"/>
              <w:adjustRightInd w:val="0"/>
              <w:snapToGrid w:val="0"/>
              <w:spacing w:line="240" w:lineRule="auto"/>
              <w:jc w:val="center"/>
              <w:rPr>
                <w:rFonts w:ascii="宋体" w:hAnsi="宋体" w:cs="宋体"/>
                <w:b/>
                <w:bCs/>
                <w:color w:val="auto"/>
                <w:szCs w:val="21"/>
                <w:lang w:val="zh-CN"/>
              </w:rPr>
            </w:pPr>
            <w:r>
              <w:rPr>
                <w:rFonts w:hint="eastAsia" w:ascii="宋体" w:hAnsi="宋体" w:cs="宋体"/>
                <w:b/>
                <w:bCs/>
                <w:color w:val="auto"/>
                <w:szCs w:val="21"/>
                <w:lang w:val="zh-CN"/>
              </w:rPr>
              <w:t>1.3</w:t>
            </w:r>
          </w:p>
        </w:tc>
        <w:tc>
          <w:tcPr>
            <w:tcW w:w="2218" w:type="dxa"/>
            <w:tcBorders>
              <w:top w:val="single" w:color="auto" w:sz="6" w:space="0"/>
              <w:left w:val="single" w:color="auto" w:sz="6" w:space="0"/>
              <w:bottom w:val="single" w:color="auto" w:sz="6" w:space="0"/>
              <w:right w:val="single" w:color="auto" w:sz="6" w:space="0"/>
            </w:tcBorders>
            <w:vAlign w:val="center"/>
          </w:tcPr>
          <w:p w14:paraId="652FA9C7">
            <w:pPr>
              <w:autoSpaceDE w:val="0"/>
              <w:autoSpaceDN w:val="0"/>
              <w:adjustRightInd w:val="0"/>
              <w:snapToGrid w:val="0"/>
              <w:spacing w:line="240" w:lineRule="auto"/>
              <w:jc w:val="center"/>
              <w:rPr>
                <w:rFonts w:ascii="宋体" w:hAnsi="宋体" w:cs="宋体"/>
                <w:b/>
                <w:color w:val="auto"/>
                <w:sz w:val="24"/>
                <w:szCs w:val="24"/>
              </w:rPr>
            </w:pPr>
            <w:r>
              <w:rPr>
                <w:rFonts w:hint="eastAsia" w:ascii="宋体" w:hAnsi="宋体" w:cs="宋体"/>
                <w:b/>
                <w:color w:val="auto"/>
                <w:sz w:val="24"/>
                <w:szCs w:val="24"/>
              </w:rPr>
              <w:t>磋商报价</w:t>
            </w:r>
          </w:p>
        </w:tc>
        <w:tc>
          <w:tcPr>
            <w:tcW w:w="6246" w:type="dxa"/>
            <w:tcBorders>
              <w:top w:val="single" w:color="auto" w:sz="6" w:space="0"/>
              <w:left w:val="single" w:color="auto" w:sz="6" w:space="0"/>
              <w:bottom w:val="single" w:color="auto" w:sz="6" w:space="0"/>
              <w:right w:val="single" w:color="auto" w:sz="12" w:space="0"/>
            </w:tcBorders>
            <w:vAlign w:val="center"/>
          </w:tcPr>
          <w:p w14:paraId="6B548907">
            <w:pPr>
              <w:autoSpaceDE w:val="0"/>
              <w:autoSpaceDN w:val="0"/>
              <w:adjustRightInd w:val="0"/>
              <w:snapToGrid w:val="0"/>
              <w:spacing w:before="120" w:beforeLines="50" w:line="240" w:lineRule="auto"/>
              <w:rPr>
                <w:rFonts w:ascii="宋体" w:hAnsi="宋体" w:cs="宋体"/>
                <w:color w:val="auto"/>
                <w:sz w:val="24"/>
                <w:szCs w:val="24"/>
              </w:rPr>
            </w:pPr>
            <w:r>
              <w:rPr>
                <w:rFonts w:hint="eastAsia" w:ascii="宋体" w:hAnsi="宋体" w:cs="宋体"/>
                <w:color w:val="auto"/>
                <w:sz w:val="24"/>
                <w:szCs w:val="24"/>
              </w:rPr>
              <w:t>见“第二章采购项目及服务要求”相应条款</w:t>
            </w:r>
          </w:p>
        </w:tc>
      </w:tr>
      <w:tr w14:paraId="17249AD5">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tcPr>
          <w:p w14:paraId="345B7988">
            <w:pPr>
              <w:autoSpaceDE w:val="0"/>
              <w:autoSpaceDN w:val="0"/>
              <w:adjustRightInd w:val="0"/>
              <w:snapToGrid w:val="0"/>
              <w:spacing w:line="240" w:lineRule="auto"/>
              <w:jc w:val="center"/>
              <w:rPr>
                <w:rFonts w:ascii="宋体" w:hAnsi="宋体" w:cs="宋体"/>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34DD676">
            <w:pPr>
              <w:autoSpaceDE w:val="0"/>
              <w:autoSpaceDN w:val="0"/>
              <w:adjustRightInd w:val="0"/>
              <w:snapToGrid w:val="0"/>
              <w:spacing w:line="240" w:lineRule="auto"/>
              <w:jc w:val="center"/>
              <w:rPr>
                <w:rFonts w:ascii="宋体" w:hAnsi="宋体" w:cs="宋体"/>
                <w:b/>
                <w:bCs/>
                <w:color w:val="auto"/>
                <w:szCs w:val="21"/>
                <w:lang w:val="zh-CN"/>
              </w:rPr>
            </w:pPr>
            <w:r>
              <w:rPr>
                <w:rFonts w:hint="eastAsia" w:ascii="宋体" w:hAnsi="宋体" w:cs="宋体"/>
                <w:b/>
                <w:bCs/>
                <w:color w:val="auto"/>
                <w:szCs w:val="21"/>
                <w:lang w:val="zh-CN"/>
              </w:rPr>
              <w:t>2</w:t>
            </w:r>
          </w:p>
        </w:tc>
        <w:tc>
          <w:tcPr>
            <w:tcW w:w="2218" w:type="dxa"/>
            <w:tcBorders>
              <w:top w:val="single" w:color="auto" w:sz="6" w:space="0"/>
              <w:left w:val="single" w:color="auto" w:sz="6" w:space="0"/>
              <w:bottom w:val="single" w:color="auto" w:sz="6" w:space="0"/>
              <w:right w:val="single" w:color="auto" w:sz="6" w:space="0"/>
            </w:tcBorders>
            <w:vAlign w:val="center"/>
          </w:tcPr>
          <w:p w14:paraId="6DADBA81">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标段（包）内容（范围）及服务要求</w:t>
            </w:r>
          </w:p>
        </w:tc>
        <w:tc>
          <w:tcPr>
            <w:tcW w:w="6246" w:type="dxa"/>
            <w:tcBorders>
              <w:top w:val="single" w:color="auto" w:sz="6" w:space="0"/>
              <w:left w:val="single" w:color="auto" w:sz="6" w:space="0"/>
              <w:bottom w:val="single" w:color="auto" w:sz="6" w:space="0"/>
              <w:right w:val="single" w:color="auto" w:sz="12" w:space="0"/>
            </w:tcBorders>
            <w:vAlign w:val="center"/>
          </w:tcPr>
          <w:p w14:paraId="12CCEEE6">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见“第二</w:t>
            </w:r>
            <w:r>
              <w:rPr>
                <w:rFonts w:hint="eastAsia" w:ascii="宋体" w:hAnsi="宋体" w:cs="宋体"/>
                <w:color w:val="auto"/>
                <w:sz w:val="24"/>
                <w:szCs w:val="24"/>
              </w:rPr>
              <w:t>章</w:t>
            </w:r>
            <w:r>
              <w:rPr>
                <w:rFonts w:hint="eastAsia" w:ascii="宋体" w:hAnsi="宋体" w:cs="宋体"/>
                <w:color w:val="auto"/>
                <w:sz w:val="24"/>
                <w:lang w:val="zh-CN"/>
              </w:rPr>
              <w:t>采购项目及服务要求”</w:t>
            </w:r>
            <w:r>
              <w:rPr>
                <w:rFonts w:hint="eastAsia" w:ascii="宋体" w:hAnsi="宋体" w:cs="宋体"/>
                <w:color w:val="auto"/>
                <w:sz w:val="24"/>
                <w:szCs w:val="24"/>
              </w:rPr>
              <w:t>相应条款</w:t>
            </w:r>
          </w:p>
        </w:tc>
      </w:tr>
      <w:tr w14:paraId="2887BA83">
        <w:tblPrEx>
          <w:tblCellMar>
            <w:top w:w="0" w:type="dxa"/>
            <w:left w:w="108" w:type="dxa"/>
            <w:bottom w:w="0" w:type="dxa"/>
            <w:right w:w="108" w:type="dxa"/>
          </w:tblCellMar>
        </w:tblPrEx>
        <w:trPr>
          <w:trHeight w:val="366" w:hRule="atLeast"/>
          <w:jc w:val="center"/>
        </w:trPr>
        <w:tc>
          <w:tcPr>
            <w:tcW w:w="508" w:type="dxa"/>
            <w:vMerge w:val="restart"/>
            <w:tcBorders>
              <w:top w:val="single" w:color="auto" w:sz="6" w:space="0"/>
              <w:left w:val="single" w:color="auto" w:sz="12" w:space="0"/>
              <w:right w:val="single" w:color="auto" w:sz="6" w:space="0"/>
            </w:tcBorders>
          </w:tcPr>
          <w:p w14:paraId="0FAA9E8F">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234EE6B5">
            <w:pPr>
              <w:autoSpaceDE w:val="0"/>
              <w:autoSpaceDN w:val="0"/>
              <w:adjustRightInd w:val="0"/>
              <w:snapToGrid w:val="0"/>
              <w:spacing w:line="240" w:lineRule="auto"/>
              <w:jc w:val="center"/>
              <w:rPr>
                <w:rFonts w:ascii="宋体" w:hAnsi="宋体" w:cs="宋体"/>
                <w:b/>
                <w:bCs/>
                <w:color w:val="auto"/>
                <w:szCs w:val="21"/>
                <w:lang w:val="zh-CN"/>
              </w:rPr>
            </w:pPr>
            <w:r>
              <w:rPr>
                <w:rFonts w:hint="eastAsia" w:ascii="宋体" w:hAnsi="宋体" w:cs="宋体"/>
                <w:b/>
                <w:bCs/>
                <w:color w:val="auto"/>
                <w:szCs w:val="21"/>
                <w:lang w:val="zh-CN"/>
              </w:rPr>
              <w:t>1.4</w:t>
            </w:r>
          </w:p>
        </w:tc>
        <w:tc>
          <w:tcPr>
            <w:tcW w:w="2218" w:type="dxa"/>
            <w:tcBorders>
              <w:top w:val="single" w:color="auto" w:sz="6" w:space="0"/>
              <w:left w:val="single" w:color="auto" w:sz="6" w:space="0"/>
              <w:bottom w:val="single" w:color="auto" w:sz="6" w:space="0"/>
              <w:right w:val="single" w:color="auto" w:sz="6" w:space="0"/>
            </w:tcBorders>
            <w:vAlign w:val="center"/>
          </w:tcPr>
          <w:p w14:paraId="69F6D0FA">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联合体投标</w:t>
            </w:r>
          </w:p>
        </w:tc>
        <w:tc>
          <w:tcPr>
            <w:tcW w:w="6246" w:type="dxa"/>
            <w:tcBorders>
              <w:top w:val="single" w:color="auto" w:sz="6" w:space="0"/>
              <w:left w:val="single" w:color="auto" w:sz="6" w:space="0"/>
              <w:bottom w:val="single" w:color="auto" w:sz="6" w:space="0"/>
              <w:right w:val="single" w:color="auto" w:sz="12" w:space="0"/>
            </w:tcBorders>
            <w:vAlign w:val="center"/>
          </w:tcPr>
          <w:p w14:paraId="3C2D3D1E">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不接受</w:t>
            </w:r>
          </w:p>
        </w:tc>
      </w:tr>
      <w:tr w14:paraId="410DB95A">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57F9C342">
            <w:pPr>
              <w:autoSpaceDE w:val="0"/>
              <w:autoSpaceDN w:val="0"/>
              <w:adjustRightInd w:val="0"/>
              <w:snapToGrid w:val="0"/>
              <w:spacing w:line="240" w:lineRule="auto"/>
              <w:jc w:val="center"/>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BAAB283">
            <w:pPr>
              <w:autoSpaceDE w:val="0"/>
              <w:autoSpaceDN w:val="0"/>
              <w:adjustRightInd w:val="0"/>
              <w:snapToGrid w:val="0"/>
              <w:spacing w:line="240" w:lineRule="auto"/>
              <w:jc w:val="center"/>
              <w:rPr>
                <w:rFonts w:ascii="宋体" w:hAnsi="宋体" w:cs="宋体"/>
                <w:b/>
                <w:bCs/>
                <w:color w:val="auto"/>
                <w:szCs w:val="21"/>
              </w:rPr>
            </w:pPr>
            <w:r>
              <w:rPr>
                <w:rFonts w:hint="eastAsia" w:ascii="宋体" w:hAnsi="宋体" w:cs="宋体"/>
                <w:b/>
                <w:bCs/>
                <w:color w:val="auto"/>
                <w:szCs w:val="21"/>
              </w:rPr>
              <w:t>1.10</w:t>
            </w:r>
          </w:p>
        </w:tc>
        <w:tc>
          <w:tcPr>
            <w:tcW w:w="2218" w:type="dxa"/>
            <w:tcBorders>
              <w:top w:val="single" w:color="auto" w:sz="6" w:space="0"/>
              <w:left w:val="single" w:color="auto" w:sz="6" w:space="0"/>
              <w:bottom w:val="single" w:color="auto" w:sz="6" w:space="0"/>
              <w:right w:val="single" w:color="auto" w:sz="6" w:space="0"/>
            </w:tcBorders>
            <w:vAlign w:val="center"/>
          </w:tcPr>
          <w:p w14:paraId="2439A496">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踏勘现场</w:t>
            </w:r>
          </w:p>
        </w:tc>
        <w:tc>
          <w:tcPr>
            <w:tcW w:w="6246" w:type="dxa"/>
            <w:tcBorders>
              <w:top w:val="single" w:color="auto" w:sz="6" w:space="0"/>
              <w:left w:val="single" w:color="auto" w:sz="6" w:space="0"/>
              <w:bottom w:val="single" w:color="auto" w:sz="6" w:space="0"/>
              <w:right w:val="single" w:color="auto" w:sz="12" w:space="0"/>
            </w:tcBorders>
            <w:vAlign w:val="center"/>
          </w:tcPr>
          <w:p w14:paraId="256FB400">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不组织</w:t>
            </w:r>
          </w:p>
        </w:tc>
      </w:tr>
      <w:tr w14:paraId="28FD17DB">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296926A3">
            <w:pPr>
              <w:autoSpaceDE w:val="0"/>
              <w:autoSpaceDN w:val="0"/>
              <w:adjustRightInd w:val="0"/>
              <w:snapToGrid w:val="0"/>
              <w:spacing w:line="240" w:lineRule="auto"/>
              <w:jc w:val="center"/>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4CC3A726">
            <w:pPr>
              <w:autoSpaceDE w:val="0"/>
              <w:autoSpaceDN w:val="0"/>
              <w:adjustRightInd w:val="0"/>
              <w:snapToGrid w:val="0"/>
              <w:spacing w:line="240" w:lineRule="auto"/>
              <w:ind w:right="-88" w:rightChars="-42"/>
              <w:jc w:val="center"/>
              <w:rPr>
                <w:rFonts w:ascii="宋体" w:hAnsi="宋体" w:cs="宋体"/>
                <w:b/>
                <w:bCs/>
                <w:color w:val="auto"/>
                <w:szCs w:val="21"/>
              </w:rPr>
            </w:pPr>
            <w:r>
              <w:rPr>
                <w:rFonts w:hint="eastAsia" w:ascii="宋体" w:hAnsi="宋体" w:cs="宋体"/>
                <w:b/>
                <w:bCs/>
                <w:color w:val="auto"/>
                <w:szCs w:val="21"/>
              </w:rPr>
              <w:t>1.11</w:t>
            </w:r>
          </w:p>
        </w:tc>
        <w:tc>
          <w:tcPr>
            <w:tcW w:w="2218" w:type="dxa"/>
            <w:tcBorders>
              <w:top w:val="single" w:color="auto" w:sz="6" w:space="0"/>
              <w:left w:val="single" w:color="auto" w:sz="6" w:space="0"/>
              <w:bottom w:val="single" w:color="auto" w:sz="6" w:space="0"/>
              <w:right w:val="single" w:color="auto" w:sz="6" w:space="0"/>
            </w:tcBorders>
            <w:vAlign w:val="center"/>
          </w:tcPr>
          <w:p w14:paraId="289349D9">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投标预备会</w:t>
            </w:r>
          </w:p>
        </w:tc>
        <w:tc>
          <w:tcPr>
            <w:tcW w:w="6246" w:type="dxa"/>
            <w:tcBorders>
              <w:top w:val="single" w:color="auto" w:sz="6" w:space="0"/>
              <w:left w:val="single" w:color="auto" w:sz="6" w:space="0"/>
              <w:bottom w:val="single" w:color="auto" w:sz="6" w:space="0"/>
              <w:right w:val="single" w:color="auto" w:sz="12" w:space="0"/>
            </w:tcBorders>
            <w:vAlign w:val="center"/>
          </w:tcPr>
          <w:p w14:paraId="2A4390B4">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不召开</w:t>
            </w:r>
          </w:p>
        </w:tc>
      </w:tr>
      <w:tr w14:paraId="50CC284A">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32896DF8">
            <w:pPr>
              <w:autoSpaceDE w:val="0"/>
              <w:autoSpaceDN w:val="0"/>
              <w:adjustRightInd w:val="0"/>
              <w:snapToGrid w:val="0"/>
              <w:spacing w:line="240" w:lineRule="auto"/>
              <w:jc w:val="center"/>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44F55292">
            <w:pPr>
              <w:autoSpaceDE w:val="0"/>
              <w:autoSpaceDN w:val="0"/>
              <w:adjustRightInd w:val="0"/>
              <w:snapToGrid w:val="0"/>
              <w:spacing w:line="240" w:lineRule="auto"/>
              <w:ind w:right="-88" w:rightChars="-42"/>
              <w:jc w:val="center"/>
              <w:rPr>
                <w:rFonts w:ascii="宋体" w:hAnsi="宋体" w:cs="宋体"/>
                <w:b/>
                <w:bCs/>
                <w:color w:val="auto"/>
                <w:szCs w:val="21"/>
              </w:rPr>
            </w:pPr>
            <w:r>
              <w:rPr>
                <w:rFonts w:hint="eastAsia" w:ascii="宋体" w:hAnsi="宋体" w:cs="宋体"/>
                <w:b/>
                <w:bCs/>
                <w:color w:val="auto"/>
                <w:szCs w:val="21"/>
              </w:rPr>
              <w:t>1.12</w:t>
            </w:r>
          </w:p>
        </w:tc>
        <w:tc>
          <w:tcPr>
            <w:tcW w:w="2218" w:type="dxa"/>
            <w:tcBorders>
              <w:top w:val="single" w:color="auto" w:sz="6" w:space="0"/>
              <w:left w:val="single" w:color="auto" w:sz="6" w:space="0"/>
              <w:bottom w:val="single" w:color="auto" w:sz="6" w:space="0"/>
              <w:right w:val="single" w:color="auto" w:sz="6" w:space="0"/>
            </w:tcBorders>
            <w:vAlign w:val="center"/>
          </w:tcPr>
          <w:p w14:paraId="7B2228A8">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分包</w:t>
            </w:r>
          </w:p>
        </w:tc>
        <w:tc>
          <w:tcPr>
            <w:tcW w:w="6246" w:type="dxa"/>
            <w:tcBorders>
              <w:top w:val="single" w:color="auto" w:sz="6" w:space="0"/>
              <w:left w:val="single" w:color="auto" w:sz="6" w:space="0"/>
              <w:bottom w:val="single" w:color="auto" w:sz="6" w:space="0"/>
              <w:right w:val="single" w:color="auto" w:sz="12" w:space="0"/>
            </w:tcBorders>
            <w:vAlign w:val="center"/>
          </w:tcPr>
          <w:p w14:paraId="162A1E67">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不允许</w:t>
            </w:r>
          </w:p>
        </w:tc>
      </w:tr>
      <w:tr w14:paraId="5CA141B1">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6518E166">
            <w:pPr>
              <w:autoSpaceDE w:val="0"/>
              <w:autoSpaceDN w:val="0"/>
              <w:adjustRightInd w:val="0"/>
              <w:snapToGrid w:val="0"/>
              <w:spacing w:line="240" w:lineRule="auto"/>
              <w:jc w:val="center"/>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047601C5">
            <w:pPr>
              <w:autoSpaceDE w:val="0"/>
              <w:autoSpaceDN w:val="0"/>
              <w:adjustRightInd w:val="0"/>
              <w:snapToGrid w:val="0"/>
              <w:spacing w:line="240" w:lineRule="auto"/>
              <w:ind w:right="-88" w:rightChars="-42"/>
              <w:jc w:val="center"/>
              <w:rPr>
                <w:rFonts w:ascii="宋体" w:hAnsi="宋体" w:cs="宋体"/>
                <w:b/>
                <w:bCs/>
                <w:color w:val="auto"/>
                <w:szCs w:val="21"/>
              </w:rPr>
            </w:pPr>
            <w:r>
              <w:rPr>
                <w:rFonts w:hint="eastAsia" w:ascii="宋体" w:hAnsi="宋体" w:cs="宋体"/>
                <w:b/>
                <w:bCs/>
                <w:color w:val="auto"/>
                <w:szCs w:val="21"/>
              </w:rPr>
              <w:t>2.1</w:t>
            </w:r>
          </w:p>
        </w:tc>
        <w:tc>
          <w:tcPr>
            <w:tcW w:w="2218" w:type="dxa"/>
            <w:tcBorders>
              <w:top w:val="single" w:color="auto" w:sz="6" w:space="0"/>
              <w:left w:val="single" w:color="auto" w:sz="6" w:space="0"/>
              <w:bottom w:val="single" w:color="auto" w:sz="6" w:space="0"/>
              <w:right w:val="single" w:color="auto" w:sz="6" w:space="0"/>
            </w:tcBorders>
            <w:vAlign w:val="center"/>
          </w:tcPr>
          <w:p w14:paraId="5A5B9ABE">
            <w:pPr>
              <w:autoSpaceDE w:val="0"/>
              <w:autoSpaceDN w:val="0"/>
              <w:adjustRightInd w:val="0"/>
              <w:snapToGrid w:val="0"/>
              <w:spacing w:line="240" w:lineRule="auto"/>
              <w:jc w:val="center"/>
              <w:rPr>
                <w:rFonts w:ascii="宋体" w:hAnsi="宋体" w:cs="宋体"/>
                <w:b/>
                <w:bCs/>
                <w:color w:val="auto"/>
                <w:sz w:val="24"/>
              </w:rPr>
            </w:pPr>
            <w:r>
              <w:rPr>
                <w:rFonts w:hint="eastAsia" w:ascii="宋体" w:hAnsi="宋体" w:cs="宋体"/>
                <w:b/>
                <w:bCs/>
                <w:color w:val="auto"/>
                <w:sz w:val="24"/>
                <w:lang w:val="zh-CN"/>
              </w:rPr>
              <w:t>构成《磋商文件》的其他材料</w:t>
            </w:r>
          </w:p>
        </w:tc>
        <w:tc>
          <w:tcPr>
            <w:tcW w:w="6246" w:type="dxa"/>
            <w:tcBorders>
              <w:top w:val="single" w:color="auto" w:sz="6" w:space="0"/>
              <w:left w:val="single" w:color="auto" w:sz="6" w:space="0"/>
              <w:bottom w:val="single" w:color="auto" w:sz="6" w:space="0"/>
              <w:right w:val="single" w:color="auto" w:sz="12" w:space="0"/>
            </w:tcBorders>
            <w:vAlign w:val="center"/>
          </w:tcPr>
          <w:p w14:paraId="722F1115">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见“第三章供应商须知”相应条款</w:t>
            </w:r>
          </w:p>
        </w:tc>
      </w:tr>
      <w:tr w14:paraId="37ABD0ED">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7EC32497">
            <w:pPr>
              <w:autoSpaceDE w:val="0"/>
              <w:autoSpaceDN w:val="0"/>
              <w:adjustRightInd w:val="0"/>
              <w:snapToGrid w:val="0"/>
              <w:spacing w:line="240" w:lineRule="auto"/>
              <w:jc w:val="center"/>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6E83282">
            <w:pPr>
              <w:autoSpaceDE w:val="0"/>
              <w:autoSpaceDN w:val="0"/>
              <w:adjustRightInd w:val="0"/>
              <w:snapToGrid w:val="0"/>
              <w:spacing w:line="240" w:lineRule="auto"/>
              <w:ind w:left="-134" w:leftChars="-64" w:right="-88" w:rightChars="-42"/>
              <w:jc w:val="center"/>
              <w:rPr>
                <w:rFonts w:ascii="宋体" w:hAnsi="宋体" w:cs="宋体"/>
                <w:b/>
                <w:bCs/>
                <w:color w:val="auto"/>
                <w:szCs w:val="21"/>
                <w:lang w:val="zh-CN"/>
              </w:rPr>
            </w:pPr>
            <w:r>
              <w:rPr>
                <w:rFonts w:hint="eastAsia" w:ascii="宋体" w:hAnsi="宋体" w:cs="宋体"/>
                <w:b/>
                <w:bCs/>
                <w:color w:val="auto"/>
                <w:szCs w:val="21"/>
              </w:rPr>
              <w:t>2.2.1</w:t>
            </w:r>
          </w:p>
        </w:tc>
        <w:tc>
          <w:tcPr>
            <w:tcW w:w="2218" w:type="dxa"/>
            <w:tcBorders>
              <w:top w:val="single" w:color="auto" w:sz="6" w:space="0"/>
              <w:left w:val="single" w:color="auto" w:sz="6" w:space="0"/>
              <w:bottom w:val="single" w:color="auto" w:sz="6" w:space="0"/>
              <w:right w:val="single" w:color="auto" w:sz="6" w:space="0"/>
            </w:tcBorders>
            <w:vAlign w:val="center"/>
          </w:tcPr>
          <w:p w14:paraId="5D2AE1ED">
            <w:pPr>
              <w:autoSpaceDE w:val="0"/>
              <w:autoSpaceDN w:val="0"/>
              <w:adjustRightInd w:val="0"/>
              <w:snapToGrid w:val="0"/>
              <w:spacing w:line="240" w:lineRule="auto"/>
              <w:ind w:right="-97" w:rightChars="-46"/>
              <w:jc w:val="center"/>
              <w:rPr>
                <w:rFonts w:ascii="宋体" w:hAnsi="宋体" w:cs="宋体"/>
                <w:b/>
                <w:bCs/>
                <w:color w:val="auto"/>
                <w:sz w:val="24"/>
                <w:lang w:val="zh-CN"/>
              </w:rPr>
            </w:pPr>
            <w:r>
              <w:rPr>
                <w:rFonts w:hint="eastAsia" w:ascii="宋体" w:hAnsi="宋体" w:cs="宋体"/>
                <w:b/>
                <w:bCs/>
                <w:color w:val="auto"/>
                <w:sz w:val="24"/>
                <w:lang w:val="zh-CN"/>
              </w:rPr>
              <w:t>供应商提出问题的截止时间</w:t>
            </w:r>
          </w:p>
        </w:tc>
        <w:tc>
          <w:tcPr>
            <w:tcW w:w="6246" w:type="dxa"/>
            <w:tcBorders>
              <w:top w:val="single" w:color="auto" w:sz="6" w:space="0"/>
              <w:left w:val="single" w:color="auto" w:sz="6" w:space="0"/>
              <w:bottom w:val="single" w:color="auto" w:sz="6" w:space="0"/>
              <w:right w:val="single" w:color="auto" w:sz="12" w:space="0"/>
            </w:tcBorders>
            <w:vAlign w:val="center"/>
          </w:tcPr>
          <w:p w14:paraId="3773F48F">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投标截止时间2日前</w:t>
            </w:r>
          </w:p>
        </w:tc>
      </w:tr>
      <w:tr w14:paraId="1D9F9A81">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16B2E2EE">
            <w:pPr>
              <w:autoSpaceDE w:val="0"/>
              <w:autoSpaceDN w:val="0"/>
              <w:adjustRightInd w:val="0"/>
              <w:snapToGrid w:val="0"/>
              <w:spacing w:line="240" w:lineRule="auto"/>
              <w:jc w:val="center"/>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5D36E75D">
            <w:pPr>
              <w:autoSpaceDE w:val="0"/>
              <w:autoSpaceDN w:val="0"/>
              <w:adjustRightInd w:val="0"/>
              <w:snapToGrid w:val="0"/>
              <w:spacing w:line="240" w:lineRule="auto"/>
              <w:ind w:right="-88" w:rightChars="-42"/>
              <w:jc w:val="center"/>
              <w:rPr>
                <w:rFonts w:ascii="宋体" w:hAnsi="宋体" w:cs="宋体"/>
                <w:b/>
                <w:bCs/>
                <w:color w:val="auto"/>
                <w:szCs w:val="21"/>
                <w:lang w:val="zh-CN"/>
              </w:rPr>
            </w:pPr>
            <w:r>
              <w:rPr>
                <w:rFonts w:hint="eastAsia" w:ascii="宋体" w:hAnsi="宋体" w:cs="宋体"/>
                <w:b/>
                <w:bCs/>
                <w:color w:val="auto"/>
                <w:szCs w:val="21"/>
                <w:lang w:val="zh-CN"/>
              </w:rPr>
              <w:t>2.3</w:t>
            </w:r>
          </w:p>
        </w:tc>
        <w:tc>
          <w:tcPr>
            <w:tcW w:w="2218" w:type="dxa"/>
            <w:tcBorders>
              <w:top w:val="single" w:color="auto" w:sz="6" w:space="0"/>
              <w:left w:val="single" w:color="auto" w:sz="6" w:space="0"/>
              <w:bottom w:val="single" w:color="auto" w:sz="6" w:space="0"/>
              <w:right w:val="single" w:color="auto" w:sz="6" w:space="0"/>
            </w:tcBorders>
            <w:vAlign w:val="center"/>
          </w:tcPr>
          <w:p w14:paraId="32FCA97E">
            <w:pPr>
              <w:autoSpaceDE w:val="0"/>
              <w:autoSpaceDN w:val="0"/>
              <w:adjustRightInd w:val="0"/>
              <w:snapToGrid w:val="0"/>
              <w:spacing w:line="240" w:lineRule="auto"/>
              <w:ind w:right="-97" w:rightChars="-46"/>
              <w:jc w:val="center"/>
              <w:rPr>
                <w:rFonts w:ascii="宋体" w:hAnsi="宋体" w:cs="宋体"/>
                <w:b/>
                <w:bCs/>
                <w:color w:val="auto"/>
                <w:sz w:val="24"/>
                <w:lang w:val="zh-CN"/>
              </w:rPr>
            </w:pPr>
            <w:r>
              <w:rPr>
                <w:rFonts w:hint="eastAsia" w:ascii="宋体" w:hAnsi="宋体" w:cs="宋体"/>
                <w:b/>
                <w:bCs/>
                <w:color w:val="auto"/>
                <w:sz w:val="24"/>
                <w:lang w:val="zh-CN"/>
              </w:rPr>
              <w:t>《磋商文件》澄清修改补充时间</w:t>
            </w:r>
          </w:p>
        </w:tc>
        <w:tc>
          <w:tcPr>
            <w:tcW w:w="6246" w:type="dxa"/>
            <w:tcBorders>
              <w:top w:val="single" w:color="auto" w:sz="6" w:space="0"/>
              <w:left w:val="single" w:color="auto" w:sz="6" w:space="0"/>
              <w:bottom w:val="single" w:color="auto" w:sz="6" w:space="0"/>
              <w:right w:val="single" w:color="auto" w:sz="12" w:space="0"/>
            </w:tcBorders>
            <w:vAlign w:val="center"/>
          </w:tcPr>
          <w:p w14:paraId="032AEB10">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投标截止时间</w:t>
            </w:r>
            <w:r>
              <w:rPr>
                <w:rFonts w:hint="eastAsia" w:ascii="宋体" w:hAnsi="宋体" w:cs="宋体"/>
                <w:color w:val="auto"/>
                <w:sz w:val="24"/>
              </w:rPr>
              <w:t>5</w:t>
            </w:r>
            <w:r>
              <w:rPr>
                <w:rFonts w:hint="eastAsia" w:ascii="宋体" w:hAnsi="宋体" w:cs="宋体"/>
                <w:color w:val="auto"/>
                <w:sz w:val="24"/>
                <w:lang w:val="zh-CN"/>
              </w:rPr>
              <w:t>日前</w:t>
            </w:r>
          </w:p>
        </w:tc>
      </w:tr>
      <w:tr w14:paraId="3365B209">
        <w:tblPrEx>
          <w:tblCellMar>
            <w:top w:w="0" w:type="dxa"/>
            <w:left w:w="108" w:type="dxa"/>
            <w:bottom w:w="0" w:type="dxa"/>
            <w:right w:w="108" w:type="dxa"/>
          </w:tblCellMar>
        </w:tblPrEx>
        <w:trPr>
          <w:trHeight w:val="300" w:hRule="atLeast"/>
          <w:jc w:val="center"/>
        </w:trPr>
        <w:tc>
          <w:tcPr>
            <w:tcW w:w="508" w:type="dxa"/>
            <w:vMerge w:val="continue"/>
            <w:tcBorders>
              <w:left w:val="single" w:color="auto" w:sz="12" w:space="0"/>
              <w:right w:val="single" w:color="auto" w:sz="6" w:space="0"/>
            </w:tcBorders>
          </w:tcPr>
          <w:p w14:paraId="471B99B0">
            <w:pPr>
              <w:autoSpaceDE w:val="0"/>
              <w:autoSpaceDN w:val="0"/>
              <w:adjustRightInd w:val="0"/>
              <w:snapToGrid w:val="0"/>
              <w:spacing w:line="240" w:lineRule="auto"/>
              <w:jc w:val="center"/>
              <w:rPr>
                <w:rFonts w:ascii="宋体" w:hAnsi="宋体" w:cs="宋体"/>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34980A2">
            <w:pPr>
              <w:autoSpaceDE w:val="0"/>
              <w:autoSpaceDN w:val="0"/>
              <w:adjustRightInd w:val="0"/>
              <w:snapToGrid w:val="0"/>
              <w:spacing w:line="240" w:lineRule="auto"/>
              <w:ind w:right="-88" w:rightChars="-42"/>
              <w:jc w:val="center"/>
              <w:rPr>
                <w:rFonts w:ascii="宋体" w:hAnsi="宋体" w:cs="宋体"/>
                <w:b/>
                <w:bCs/>
                <w:color w:val="auto"/>
                <w:szCs w:val="21"/>
              </w:rPr>
            </w:pPr>
            <w:r>
              <w:rPr>
                <w:rFonts w:hint="eastAsia" w:ascii="宋体" w:hAnsi="宋体" w:cs="宋体"/>
                <w:b/>
                <w:bCs/>
                <w:color w:val="auto"/>
                <w:szCs w:val="21"/>
                <w:lang w:val="zh-CN"/>
              </w:rPr>
              <w:t>2.4</w:t>
            </w:r>
          </w:p>
        </w:tc>
        <w:tc>
          <w:tcPr>
            <w:tcW w:w="2218" w:type="dxa"/>
            <w:tcBorders>
              <w:top w:val="single" w:color="auto" w:sz="6" w:space="0"/>
              <w:left w:val="single" w:color="auto" w:sz="6" w:space="0"/>
              <w:bottom w:val="single" w:color="auto" w:sz="6" w:space="0"/>
              <w:right w:val="single" w:color="auto" w:sz="6" w:space="0"/>
            </w:tcBorders>
            <w:vAlign w:val="center"/>
          </w:tcPr>
          <w:p w14:paraId="7B019911">
            <w:pPr>
              <w:autoSpaceDE w:val="0"/>
              <w:autoSpaceDN w:val="0"/>
              <w:adjustRightInd w:val="0"/>
              <w:snapToGrid w:val="0"/>
              <w:spacing w:line="240" w:lineRule="auto"/>
              <w:ind w:left="-126" w:leftChars="-60" w:right="-36" w:rightChars="-17"/>
              <w:jc w:val="center"/>
              <w:rPr>
                <w:rFonts w:ascii="宋体" w:hAnsi="宋体" w:cs="宋体"/>
                <w:b/>
                <w:bCs/>
                <w:color w:val="auto"/>
                <w:szCs w:val="21"/>
                <w:lang w:val="zh-CN"/>
              </w:rPr>
            </w:pPr>
            <w:r>
              <w:rPr>
                <w:rFonts w:hint="eastAsia" w:ascii="宋体" w:hAnsi="宋体" w:cs="宋体"/>
                <w:b/>
                <w:bCs/>
                <w:color w:val="auto"/>
                <w:sz w:val="24"/>
                <w:lang w:val="zh-CN"/>
              </w:rPr>
              <w:t>《磋商文件》的澄清修改补充告知方式</w:t>
            </w:r>
          </w:p>
        </w:tc>
        <w:tc>
          <w:tcPr>
            <w:tcW w:w="6246" w:type="dxa"/>
            <w:tcBorders>
              <w:top w:val="single" w:color="auto" w:sz="6" w:space="0"/>
              <w:left w:val="single" w:color="auto" w:sz="6" w:space="0"/>
              <w:bottom w:val="single" w:color="auto" w:sz="6" w:space="0"/>
              <w:right w:val="single" w:color="auto" w:sz="12" w:space="0"/>
            </w:tcBorders>
            <w:vAlign w:val="center"/>
          </w:tcPr>
          <w:p w14:paraId="17542B2A">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见“第三章供应商须知”相应条款</w:t>
            </w:r>
          </w:p>
        </w:tc>
      </w:tr>
      <w:tr w14:paraId="27ACDCB7">
        <w:tblPrEx>
          <w:tblCellMar>
            <w:top w:w="0" w:type="dxa"/>
            <w:left w:w="108" w:type="dxa"/>
            <w:bottom w:w="0" w:type="dxa"/>
            <w:right w:w="108" w:type="dxa"/>
          </w:tblCellMar>
        </w:tblPrEx>
        <w:trPr>
          <w:trHeight w:val="535" w:hRule="atLeast"/>
          <w:jc w:val="center"/>
        </w:trPr>
        <w:tc>
          <w:tcPr>
            <w:tcW w:w="508" w:type="dxa"/>
            <w:vMerge w:val="continue"/>
            <w:tcBorders>
              <w:left w:val="single" w:color="auto" w:sz="12" w:space="0"/>
              <w:bottom w:val="single" w:color="auto" w:sz="6" w:space="0"/>
              <w:right w:val="single" w:color="auto" w:sz="6" w:space="0"/>
            </w:tcBorders>
          </w:tcPr>
          <w:p w14:paraId="55344A42">
            <w:pPr>
              <w:autoSpaceDE w:val="0"/>
              <w:autoSpaceDN w:val="0"/>
              <w:adjustRightInd w:val="0"/>
              <w:snapToGrid w:val="0"/>
              <w:spacing w:line="240" w:lineRule="auto"/>
              <w:jc w:val="center"/>
              <w:rPr>
                <w:rFonts w:ascii="宋体" w:hAnsi="宋体" w:cs="宋体"/>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30EBF72">
            <w:pPr>
              <w:autoSpaceDE w:val="0"/>
              <w:autoSpaceDN w:val="0"/>
              <w:adjustRightInd w:val="0"/>
              <w:snapToGrid w:val="0"/>
              <w:spacing w:line="240" w:lineRule="auto"/>
              <w:ind w:right="-88" w:rightChars="-42"/>
              <w:jc w:val="center"/>
              <w:rPr>
                <w:rFonts w:ascii="宋体" w:hAnsi="宋体" w:cs="宋体"/>
                <w:b/>
                <w:bCs/>
                <w:color w:val="auto"/>
                <w:szCs w:val="21"/>
                <w:lang w:val="zh-CN"/>
              </w:rPr>
            </w:pPr>
            <w:r>
              <w:rPr>
                <w:rFonts w:hint="eastAsia" w:ascii="宋体" w:hAnsi="宋体" w:cs="宋体"/>
                <w:b/>
                <w:bCs/>
                <w:color w:val="auto"/>
                <w:szCs w:val="21"/>
                <w:lang w:val="zh-CN"/>
              </w:rPr>
              <w:t>3.2</w:t>
            </w:r>
          </w:p>
        </w:tc>
        <w:tc>
          <w:tcPr>
            <w:tcW w:w="2218" w:type="dxa"/>
            <w:tcBorders>
              <w:top w:val="single" w:color="auto" w:sz="6" w:space="0"/>
              <w:left w:val="single" w:color="auto" w:sz="6" w:space="0"/>
              <w:bottom w:val="single" w:color="auto" w:sz="6" w:space="0"/>
              <w:right w:val="single" w:color="auto" w:sz="6" w:space="0"/>
            </w:tcBorders>
            <w:vAlign w:val="center"/>
          </w:tcPr>
          <w:p w14:paraId="16D89908">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构成《响应文件》的其他材料</w:t>
            </w:r>
          </w:p>
        </w:tc>
        <w:tc>
          <w:tcPr>
            <w:tcW w:w="6246" w:type="dxa"/>
            <w:tcBorders>
              <w:top w:val="single" w:color="auto" w:sz="6" w:space="0"/>
              <w:left w:val="single" w:color="auto" w:sz="6" w:space="0"/>
              <w:bottom w:val="single" w:color="auto" w:sz="6" w:space="0"/>
              <w:right w:val="single" w:color="auto" w:sz="12" w:space="0"/>
            </w:tcBorders>
            <w:vAlign w:val="center"/>
          </w:tcPr>
          <w:p w14:paraId="48419E45">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见“第三章 供应商须知”相应条款</w:t>
            </w:r>
          </w:p>
        </w:tc>
      </w:tr>
      <w:tr w14:paraId="3503DC78">
        <w:tblPrEx>
          <w:tblCellMar>
            <w:top w:w="0" w:type="dxa"/>
            <w:left w:w="108" w:type="dxa"/>
            <w:bottom w:w="0" w:type="dxa"/>
            <w:right w:w="108" w:type="dxa"/>
          </w:tblCellMar>
        </w:tblPrEx>
        <w:trPr>
          <w:trHeight w:val="535" w:hRule="atLeast"/>
          <w:jc w:val="center"/>
        </w:trPr>
        <w:tc>
          <w:tcPr>
            <w:tcW w:w="508" w:type="dxa"/>
            <w:vMerge w:val="restart"/>
            <w:tcBorders>
              <w:top w:val="single" w:color="auto" w:sz="6" w:space="0"/>
              <w:left w:val="single" w:color="auto" w:sz="12" w:space="0"/>
              <w:right w:val="single" w:color="auto" w:sz="6" w:space="0"/>
            </w:tcBorders>
          </w:tcPr>
          <w:p w14:paraId="0D080A05">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69300E05">
            <w:pPr>
              <w:autoSpaceDE w:val="0"/>
              <w:autoSpaceDN w:val="0"/>
              <w:adjustRightInd w:val="0"/>
              <w:snapToGrid w:val="0"/>
              <w:spacing w:line="240" w:lineRule="auto"/>
              <w:ind w:right="-88" w:rightChars="-42"/>
              <w:jc w:val="center"/>
              <w:rPr>
                <w:rFonts w:ascii="宋体" w:hAnsi="宋体" w:cs="宋体"/>
                <w:b/>
                <w:bCs/>
                <w:color w:val="auto"/>
                <w:szCs w:val="21"/>
                <w:lang w:val="zh-CN"/>
              </w:rPr>
            </w:pPr>
            <w:r>
              <w:rPr>
                <w:rFonts w:hint="eastAsia" w:ascii="宋体" w:hAnsi="宋体" w:cs="宋体"/>
                <w:b/>
                <w:bCs/>
                <w:color w:val="auto"/>
                <w:szCs w:val="21"/>
                <w:lang w:val="zh-CN"/>
              </w:rPr>
              <w:t>3.4.1</w:t>
            </w:r>
          </w:p>
        </w:tc>
        <w:tc>
          <w:tcPr>
            <w:tcW w:w="2218" w:type="dxa"/>
            <w:tcBorders>
              <w:top w:val="single" w:color="auto" w:sz="6" w:space="0"/>
              <w:left w:val="single" w:color="auto" w:sz="6" w:space="0"/>
              <w:bottom w:val="single" w:color="auto" w:sz="6" w:space="0"/>
              <w:right w:val="single" w:color="auto" w:sz="6" w:space="0"/>
            </w:tcBorders>
            <w:vAlign w:val="center"/>
          </w:tcPr>
          <w:p w14:paraId="3B5150DF">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响应有效期</w:t>
            </w:r>
          </w:p>
        </w:tc>
        <w:tc>
          <w:tcPr>
            <w:tcW w:w="6246" w:type="dxa"/>
            <w:tcBorders>
              <w:top w:val="single" w:color="auto" w:sz="6" w:space="0"/>
              <w:left w:val="single" w:color="auto" w:sz="6" w:space="0"/>
              <w:bottom w:val="single" w:color="auto" w:sz="6" w:space="0"/>
              <w:right w:val="single" w:color="auto" w:sz="12" w:space="0"/>
            </w:tcBorders>
            <w:vAlign w:val="center"/>
          </w:tcPr>
          <w:p w14:paraId="62A10F9B">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从《响应文件》开启之日起，响应有效期为90日历天</w:t>
            </w:r>
          </w:p>
        </w:tc>
      </w:tr>
      <w:tr w14:paraId="0D7F7B5A">
        <w:tblPrEx>
          <w:tblCellMar>
            <w:top w:w="0" w:type="dxa"/>
            <w:left w:w="108" w:type="dxa"/>
            <w:bottom w:w="0" w:type="dxa"/>
            <w:right w:w="108" w:type="dxa"/>
          </w:tblCellMar>
        </w:tblPrEx>
        <w:trPr>
          <w:trHeight w:val="694" w:hRule="atLeast"/>
          <w:jc w:val="center"/>
        </w:trPr>
        <w:tc>
          <w:tcPr>
            <w:tcW w:w="508" w:type="dxa"/>
            <w:vMerge w:val="continue"/>
            <w:tcBorders>
              <w:left w:val="single" w:color="auto" w:sz="12" w:space="0"/>
              <w:right w:val="single" w:color="auto" w:sz="6" w:space="0"/>
            </w:tcBorders>
          </w:tcPr>
          <w:p w14:paraId="297043B9">
            <w:pPr>
              <w:autoSpaceDE w:val="0"/>
              <w:autoSpaceDN w:val="0"/>
              <w:adjustRightInd w:val="0"/>
              <w:snapToGrid w:val="0"/>
              <w:spacing w:line="240" w:lineRule="auto"/>
              <w:jc w:val="center"/>
              <w:rPr>
                <w:rFonts w:ascii="宋体" w:hAnsi="宋体" w:cs="宋体"/>
                <w:b/>
                <w:bCs/>
                <w:color w:val="auto"/>
                <w:sz w:val="24"/>
                <w:lang w:val="zh-CN"/>
              </w:rPr>
            </w:pPr>
          </w:p>
        </w:tc>
        <w:tc>
          <w:tcPr>
            <w:tcW w:w="699" w:type="dxa"/>
            <w:tcBorders>
              <w:top w:val="single" w:color="auto" w:sz="6" w:space="0"/>
              <w:left w:val="single" w:color="auto" w:sz="12" w:space="0"/>
              <w:right w:val="single" w:color="auto" w:sz="6" w:space="0"/>
            </w:tcBorders>
            <w:vAlign w:val="center"/>
          </w:tcPr>
          <w:p w14:paraId="5B2C28F4">
            <w:pPr>
              <w:autoSpaceDE w:val="0"/>
              <w:autoSpaceDN w:val="0"/>
              <w:adjustRightInd w:val="0"/>
              <w:snapToGrid w:val="0"/>
              <w:spacing w:line="240" w:lineRule="auto"/>
              <w:ind w:right="-88" w:rightChars="-42"/>
              <w:jc w:val="center"/>
              <w:rPr>
                <w:rFonts w:ascii="宋体" w:hAnsi="宋体" w:cs="宋体"/>
                <w:b/>
                <w:bCs/>
                <w:color w:val="auto"/>
                <w:szCs w:val="21"/>
                <w:lang w:val="zh-CN"/>
              </w:rPr>
            </w:pPr>
            <w:r>
              <w:rPr>
                <w:rFonts w:hint="eastAsia" w:ascii="宋体" w:hAnsi="宋体" w:cs="宋体"/>
                <w:b/>
                <w:bCs/>
                <w:color w:val="auto"/>
                <w:szCs w:val="21"/>
                <w:lang w:val="zh-CN"/>
              </w:rPr>
              <w:t>3.5</w:t>
            </w:r>
          </w:p>
        </w:tc>
        <w:tc>
          <w:tcPr>
            <w:tcW w:w="2218" w:type="dxa"/>
            <w:tcBorders>
              <w:top w:val="single" w:color="auto" w:sz="6" w:space="0"/>
              <w:left w:val="single" w:color="auto" w:sz="6" w:space="0"/>
              <w:right w:val="single" w:color="auto" w:sz="6" w:space="0"/>
            </w:tcBorders>
            <w:vAlign w:val="center"/>
          </w:tcPr>
          <w:p w14:paraId="5C3F63F5">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投标承诺函</w:t>
            </w:r>
          </w:p>
          <w:p w14:paraId="6DD23F08">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（替代投标保证金）</w:t>
            </w:r>
          </w:p>
        </w:tc>
        <w:tc>
          <w:tcPr>
            <w:tcW w:w="6246" w:type="dxa"/>
            <w:tcBorders>
              <w:top w:val="single" w:color="auto" w:sz="6" w:space="0"/>
              <w:left w:val="single" w:color="auto" w:sz="6" w:space="0"/>
              <w:right w:val="single" w:color="auto" w:sz="12" w:space="0"/>
            </w:tcBorders>
            <w:vAlign w:val="center"/>
          </w:tcPr>
          <w:p w14:paraId="5AA4C001">
            <w:pPr>
              <w:widowControl w:val="0"/>
              <w:snapToGrid w:val="0"/>
              <w:spacing w:before="120" w:beforeLines="50" w:line="240" w:lineRule="auto"/>
              <w:rPr>
                <w:rFonts w:ascii="宋体" w:hAnsi="宋体" w:cs="宋体"/>
                <w:color w:val="auto"/>
                <w:sz w:val="24"/>
                <w:szCs w:val="24"/>
              </w:rPr>
            </w:pPr>
            <w:r>
              <w:rPr>
                <w:rFonts w:hint="eastAsia" w:ascii="宋体" w:hAnsi="宋体" w:cs="宋体"/>
                <w:color w:val="auto"/>
                <w:sz w:val="24"/>
                <w:szCs w:val="24"/>
              </w:rPr>
              <w:t>以投标承诺函形式替代投标保证金。</w:t>
            </w:r>
          </w:p>
          <w:p w14:paraId="369BD4BA">
            <w:pPr>
              <w:widowControl w:val="0"/>
              <w:snapToGrid w:val="0"/>
              <w:spacing w:before="120" w:beforeLines="50" w:line="240" w:lineRule="auto"/>
              <w:rPr>
                <w:rFonts w:ascii="宋体" w:hAnsi="宋体" w:cs="宋体"/>
                <w:color w:val="auto"/>
                <w:sz w:val="24"/>
                <w:szCs w:val="24"/>
              </w:rPr>
            </w:pPr>
            <w:r>
              <w:rPr>
                <w:rFonts w:hint="eastAsia" w:ascii="宋体" w:hAnsi="宋体" w:cs="宋体"/>
                <w:color w:val="auto"/>
                <w:sz w:val="24"/>
                <w:szCs w:val="24"/>
              </w:rPr>
              <w:t>供应商应按附件格式进行投标承诺，违背承诺的责任追究。</w:t>
            </w:r>
          </w:p>
        </w:tc>
      </w:tr>
      <w:tr w14:paraId="3FF1E209">
        <w:tblPrEx>
          <w:tblCellMar>
            <w:top w:w="0" w:type="dxa"/>
            <w:left w:w="108" w:type="dxa"/>
            <w:bottom w:w="0" w:type="dxa"/>
            <w:right w:w="108" w:type="dxa"/>
          </w:tblCellMar>
        </w:tblPrEx>
        <w:trPr>
          <w:trHeight w:val="577" w:hRule="atLeast"/>
          <w:jc w:val="center"/>
        </w:trPr>
        <w:tc>
          <w:tcPr>
            <w:tcW w:w="508" w:type="dxa"/>
            <w:vMerge w:val="continue"/>
            <w:tcBorders>
              <w:left w:val="single" w:color="auto" w:sz="12" w:space="0"/>
              <w:right w:val="single" w:color="auto" w:sz="6" w:space="0"/>
            </w:tcBorders>
          </w:tcPr>
          <w:p w14:paraId="062CE8D2">
            <w:pPr>
              <w:autoSpaceDE w:val="0"/>
              <w:autoSpaceDN w:val="0"/>
              <w:adjustRightInd w:val="0"/>
              <w:snapToGrid w:val="0"/>
              <w:spacing w:line="240" w:lineRule="auto"/>
              <w:jc w:val="center"/>
              <w:rPr>
                <w:rFonts w:ascii="宋体" w:hAnsi="宋体" w:cs="宋体"/>
                <w:b/>
                <w:bCs/>
                <w:color w:val="auto"/>
                <w:sz w:val="24"/>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14:paraId="7AF3AA9C">
            <w:pPr>
              <w:autoSpaceDE w:val="0"/>
              <w:autoSpaceDN w:val="0"/>
              <w:adjustRightInd w:val="0"/>
              <w:snapToGrid w:val="0"/>
              <w:spacing w:line="240" w:lineRule="auto"/>
              <w:ind w:right="-88" w:rightChars="-42"/>
              <w:jc w:val="center"/>
              <w:rPr>
                <w:rFonts w:ascii="宋体" w:hAnsi="宋体" w:cs="宋体"/>
                <w:b/>
                <w:bCs/>
                <w:color w:val="auto"/>
                <w:szCs w:val="21"/>
                <w:lang w:val="zh-CN"/>
              </w:rPr>
            </w:pPr>
            <w:r>
              <w:rPr>
                <w:rFonts w:hint="eastAsia" w:ascii="宋体" w:hAnsi="宋体" w:cs="宋体"/>
                <w:b/>
                <w:bCs/>
                <w:color w:val="auto"/>
                <w:szCs w:val="21"/>
                <w:lang w:val="zh-CN"/>
              </w:rPr>
              <w:t>3.7.3</w:t>
            </w:r>
          </w:p>
        </w:tc>
        <w:tc>
          <w:tcPr>
            <w:tcW w:w="2218" w:type="dxa"/>
            <w:tcBorders>
              <w:top w:val="single" w:color="auto" w:sz="4" w:space="0"/>
              <w:left w:val="single" w:color="auto" w:sz="6" w:space="0"/>
              <w:bottom w:val="single" w:color="auto" w:sz="6" w:space="0"/>
              <w:right w:val="single" w:color="auto" w:sz="6" w:space="0"/>
            </w:tcBorders>
            <w:vAlign w:val="center"/>
          </w:tcPr>
          <w:p w14:paraId="5C1770F1">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偏差描述</w:t>
            </w:r>
          </w:p>
        </w:tc>
        <w:tc>
          <w:tcPr>
            <w:tcW w:w="6246" w:type="dxa"/>
            <w:tcBorders>
              <w:top w:val="single" w:color="auto" w:sz="4" w:space="0"/>
              <w:left w:val="single" w:color="auto" w:sz="6" w:space="0"/>
              <w:bottom w:val="single" w:color="auto" w:sz="6" w:space="0"/>
              <w:right w:val="single" w:color="auto" w:sz="12" w:space="0"/>
            </w:tcBorders>
            <w:vAlign w:val="center"/>
          </w:tcPr>
          <w:p w14:paraId="20C2BEA1">
            <w:pPr>
              <w:widowControl w:val="0"/>
              <w:snapToGrid w:val="0"/>
              <w:spacing w:before="120" w:beforeLines="50" w:line="240" w:lineRule="auto"/>
              <w:rPr>
                <w:rFonts w:ascii="宋体" w:hAnsi="宋体" w:cs="宋体"/>
                <w:b/>
                <w:color w:val="auto"/>
                <w:sz w:val="24"/>
                <w:szCs w:val="24"/>
              </w:rPr>
            </w:pPr>
            <w:r>
              <w:rPr>
                <w:rFonts w:hint="eastAsia" w:ascii="宋体" w:hAnsi="宋体" w:cs="宋体"/>
                <w:color w:val="auto"/>
                <w:sz w:val="24"/>
                <w:lang w:val="zh-CN"/>
              </w:rPr>
              <w:t>见“第三章 供应商须知”相应条款</w:t>
            </w:r>
          </w:p>
        </w:tc>
      </w:tr>
      <w:tr w14:paraId="59B2C2E2">
        <w:tblPrEx>
          <w:tblCellMar>
            <w:top w:w="0" w:type="dxa"/>
            <w:left w:w="108" w:type="dxa"/>
            <w:bottom w:w="0" w:type="dxa"/>
            <w:right w:w="108" w:type="dxa"/>
          </w:tblCellMar>
        </w:tblPrEx>
        <w:trPr>
          <w:trHeight w:val="65" w:hRule="atLeast"/>
          <w:jc w:val="center"/>
        </w:trPr>
        <w:tc>
          <w:tcPr>
            <w:tcW w:w="508" w:type="dxa"/>
            <w:vMerge w:val="continue"/>
            <w:tcBorders>
              <w:left w:val="single" w:color="auto" w:sz="12" w:space="0"/>
              <w:right w:val="single" w:color="auto" w:sz="6" w:space="0"/>
            </w:tcBorders>
          </w:tcPr>
          <w:p w14:paraId="3E006C95">
            <w:pPr>
              <w:autoSpaceDE w:val="0"/>
              <w:autoSpaceDN w:val="0"/>
              <w:adjustRightInd w:val="0"/>
              <w:snapToGrid w:val="0"/>
              <w:spacing w:line="240" w:lineRule="auto"/>
              <w:jc w:val="center"/>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2268750">
            <w:pPr>
              <w:autoSpaceDE w:val="0"/>
              <w:autoSpaceDN w:val="0"/>
              <w:adjustRightInd w:val="0"/>
              <w:snapToGrid w:val="0"/>
              <w:spacing w:line="240" w:lineRule="auto"/>
              <w:ind w:right="-88" w:rightChars="-42"/>
              <w:jc w:val="center"/>
              <w:rPr>
                <w:rFonts w:ascii="宋体" w:hAnsi="宋体" w:cs="宋体"/>
                <w:b/>
                <w:bCs/>
                <w:color w:val="auto"/>
                <w:szCs w:val="21"/>
                <w:lang w:val="zh-CN"/>
              </w:rPr>
            </w:pPr>
            <w:r>
              <w:rPr>
                <w:rFonts w:hint="eastAsia" w:ascii="宋体" w:hAnsi="宋体" w:cs="宋体"/>
                <w:b/>
                <w:bCs/>
                <w:color w:val="auto"/>
                <w:szCs w:val="21"/>
              </w:rPr>
              <w:t>3.7.4</w:t>
            </w:r>
          </w:p>
        </w:tc>
        <w:tc>
          <w:tcPr>
            <w:tcW w:w="2218" w:type="dxa"/>
            <w:tcBorders>
              <w:top w:val="single" w:color="auto" w:sz="6" w:space="0"/>
              <w:left w:val="single" w:color="auto" w:sz="6" w:space="0"/>
              <w:bottom w:val="single" w:color="auto" w:sz="6" w:space="0"/>
              <w:right w:val="single" w:color="auto" w:sz="6" w:space="0"/>
            </w:tcBorders>
            <w:vAlign w:val="center"/>
          </w:tcPr>
          <w:p w14:paraId="6CAA6D12">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签字或盖章要求</w:t>
            </w:r>
          </w:p>
        </w:tc>
        <w:tc>
          <w:tcPr>
            <w:tcW w:w="6246" w:type="dxa"/>
            <w:tcBorders>
              <w:top w:val="single" w:color="auto" w:sz="6" w:space="0"/>
              <w:left w:val="single" w:color="auto" w:sz="6" w:space="0"/>
              <w:bottom w:val="single" w:color="auto" w:sz="6" w:space="0"/>
              <w:right w:val="single" w:color="auto" w:sz="12" w:space="0"/>
            </w:tcBorders>
            <w:vAlign w:val="center"/>
          </w:tcPr>
          <w:p w14:paraId="0FFE79D8">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见“第三章 供应商须知”相应条款</w:t>
            </w:r>
          </w:p>
        </w:tc>
      </w:tr>
      <w:tr w14:paraId="740125CE">
        <w:tblPrEx>
          <w:tblCellMar>
            <w:top w:w="0" w:type="dxa"/>
            <w:left w:w="108" w:type="dxa"/>
            <w:bottom w:w="0" w:type="dxa"/>
            <w:right w:w="108" w:type="dxa"/>
          </w:tblCellMar>
        </w:tblPrEx>
        <w:trPr>
          <w:trHeight w:val="343" w:hRule="atLeast"/>
          <w:jc w:val="center"/>
        </w:trPr>
        <w:tc>
          <w:tcPr>
            <w:tcW w:w="508" w:type="dxa"/>
            <w:vMerge w:val="continue"/>
            <w:tcBorders>
              <w:left w:val="single" w:color="auto" w:sz="12" w:space="0"/>
              <w:right w:val="single" w:color="auto" w:sz="6" w:space="0"/>
            </w:tcBorders>
          </w:tcPr>
          <w:p w14:paraId="14F7C4AE">
            <w:pPr>
              <w:autoSpaceDE w:val="0"/>
              <w:autoSpaceDN w:val="0"/>
              <w:adjustRightInd w:val="0"/>
              <w:snapToGrid w:val="0"/>
              <w:spacing w:line="240" w:lineRule="auto"/>
              <w:jc w:val="center"/>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7E4C4A0">
            <w:pPr>
              <w:autoSpaceDE w:val="0"/>
              <w:autoSpaceDN w:val="0"/>
              <w:adjustRightInd w:val="0"/>
              <w:snapToGrid w:val="0"/>
              <w:spacing w:line="240" w:lineRule="auto"/>
              <w:ind w:right="-88" w:rightChars="-42"/>
              <w:jc w:val="center"/>
              <w:rPr>
                <w:rFonts w:ascii="宋体" w:hAnsi="宋体" w:cs="宋体"/>
                <w:b/>
                <w:bCs/>
                <w:color w:val="auto"/>
                <w:szCs w:val="21"/>
                <w:lang w:val="zh-CN"/>
              </w:rPr>
            </w:pPr>
            <w:r>
              <w:rPr>
                <w:rFonts w:hint="eastAsia" w:ascii="宋体" w:hAnsi="宋体" w:cs="宋体"/>
                <w:b/>
                <w:bCs/>
                <w:color w:val="auto"/>
                <w:szCs w:val="21"/>
              </w:rPr>
              <w:t>4.2.4</w:t>
            </w:r>
          </w:p>
        </w:tc>
        <w:tc>
          <w:tcPr>
            <w:tcW w:w="2218" w:type="dxa"/>
            <w:tcBorders>
              <w:top w:val="single" w:color="auto" w:sz="6" w:space="0"/>
              <w:left w:val="single" w:color="auto" w:sz="6" w:space="0"/>
              <w:bottom w:val="single" w:color="auto" w:sz="6" w:space="0"/>
              <w:right w:val="single" w:color="auto" w:sz="6" w:space="0"/>
            </w:tcBorders>
            <w:vAlign w:val="center"/>
          </w:tcPr>
          <w:p w14:paraId="5735FAD7">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是否退还《响应文件》</w:t>
            </w:r>
          </w:p>
        </w:tc>
        <w:tc>
          <w:tcPr>
            <w:tcW w:w="6246" w:type="dxa"/>
            <w:tcBorders>
              <w:top w:val="single" w:color="auto" w:sz="6" w:space="0"/>
              <w:left w:val="single" w:color="auto" w:sz="6" w:space="0"/>
              <w:bottom w:val="single" w:color="auto" w:sz="6" w:space="0"/>
              <w:right w:val="single" w:color="auto" w:sz="12" w:space="0"/>
            </w:tcBorders>
            <w:vAlign w:val="center"/>
          </w:tcPr>
          <w:p w14:paraId="443DC341">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否</w:t>
            </w:r>
          </w:p>
        </w:tc>
      </w:tr>
      <w:tr w14:paraId="2D1139C5">
        <w:tblPrEx>
          <w:tblCellMar>
            <w:top w:w="0" w:type="dxa"/>
            <w:left w:w="108" w:type="dxa"/>
            <w:bottom w:w="0" w:type="dxa"/>
            <w:right w:w="108" w:type="dxa"/>
          </w:tblCellMar>
        </w:tblPrEx>
        <w:trPr>
          <w:trHeight w:val="507" w:hRule="atLeast"/>
          <w:jc w:val="center"/>
        </w:trPr>
        <w:tc>
          <w:tcPr>
            <w:tcW w:w="508" w:type="dxa"/>
            <w:vMerge w:val="continue"/>
            <w:tcBorders>
              <w:left w:val="single" w:color="auto" w:sz="12" w:space="0"/>
              <w:bottom w:val="single" w:color="auto" w:sz="6" w:space="0"/>
              <w:right w:val="single" w:color="auto" w:sz="6" w:space="0"/>
            </w:tcBorders>
          </w:tcPr>
          <w:p w14:paraId="77601638">
            <w:pPr>
              <w:autoSpaceDE w:val="0"/>
              <w:autoSpaceDN w:val="0"/>
              <w:adjustRightInd w:val="0"/>
              <w:snapToGrid w:val="0"/>
              <w:spacing w:line="240" w:lineRule="auto"/>
              <w:jc w:val="center"/>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4163AD2B">
            <w:pPr>
              <w:autoSpaceDE w:val="0"/>
              <w:autoSpaceDN w:val="0"/>
              <w:adjustRightInd w:val="0"/>
              <w:snapToGrid w:val="0"/>
              <w:spacing w:line="240" w:lineRule="auto"/>
              <w:ind w:left="-134" w:leftChars="-64" w:right="-88" w:rightChars="-42"/>
              <w:jc w:val="center"/>
              <w:rPr>
                <w:rFonts w:ascii="宋体" w:hAnsi="宋体" w:cs="宋体"/>
                <w:b/>
                <w:bCs/>
                <w:color w:val="auto"/>
                <w:szCs w:val="21"/>
                <w:lang w:val="zh-CN"/>
              </w:rPr>
            </w:pPr>
            <w:r>
              <w:rPr>
                <w:rFonts w:hint="eastAsia" w:ascii="宋体" w:hAnsi="宋体" w:cs="宋体"/>
                <w:b/>
                <w:bCs/>
                <w:color w:val="auto"/>
                <w:szCs w:val="21"/>
              </w:rPr>
              <w:t>6.1</w:t>
            </w:r>
          </w:p>
        </w:tc>
        <w:tc>
          <w:tcPr>
            <w:tcW w:w="2218" w:type="dxa"/>
            <w:tcBorders>
              <w:top w:val="single" w:color="auto" w:sz="6" w:space="0"/>
              <w:left w:val="single" w:color="auto" w:sz="6" w:space="0"/>
              <w:bottom w:val="single" w:color="auto" w:sz="6" w:space="0"/>
              <w:right w:val="single" w:color="auto" w:sz="6" w:space="0"/>
            </w:tcBorders>
            <w:vAlign w:val="center"/>
          </w:tcPr>
          <w:p w14:paraId="5774796E">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磋商小组的组建</w:t>
            </w:r>
          </w:p>
        </w:tc>
        <w:tc>
          <w:tcPr>
            <w:tcW w:w="6246" w:type="dxa"/>
            <w:tcBorders>
              <w:top w:val="single" w:color="auto" w:sz="6" w:space="0"/>
              <w:left w:val="single" w:color="auto" w:sz="6" w:space="0"/>
              <w:bottom w:val="single" w:color="auto" w:sz="6" w:space="0"/>
              <w:right w:val="single" w:color="auto" w:sz="12" w:space="0"/>
            </w:tcBorders>
            <w:vAlign w:val="center"/>
          </w:tcPr>
          <w:p w14:paraId="44B4808A">
            <w:pPr>
              <w:autoSpaceDE w:val="0"/>
              <w:autoSpaceDN w:val="0"/>
              <w:adjustRightInd w:val="0"/>
              <w:snapToGrid w:val="0"/>
              <w:spacing w:before="120" w:beforeLines="50" w:line="240" w:lineRule="auto"/>
              <w:rPr>
                <w:rFonts w:ascii="宋体" w:hAnsi="宋体" w:cs="宋体"/>
                <w:color w:val="auto"/>
                <w:sz w:val="24"/>
                <w:lang w:val="zh-CN"/>
              </w:rPr>
            </w:pPr>
            <w:r>
              <w:rPr>
                <w:rFonts w:hint="eastAsia" w:ascii="宋体" w:hAnsi="宋体" w:cs="宋体"/>
                <w:color w:val="auto"/>
                <w:sz w:val="24"/>
                <w:lang w:val="zh-CN"/>
              </w:rPr>
              <w:t>见“第三章 供应商须知”相应条款</w:t>
            </w:r>
          </w:p>
        </w:tc>
      </w:tr>
      <w:tr w14:paraId="11EE37D3">
        <w:tblPrEx>
          <w:tblCellMar>
            <w:top w:w="0" w:type="dxa"/>
            <w:left w:w="108" w:type="dxa"/>
            <w:bottom w:w="0" w:type="dxa"/>
            <w:right w:w="108" w:type="dxa"/>
          </w:tblCellMar>
        </w:tblPrEx>
        <w:trPr>
          <w:trHeight w:val="543" w:hRule="atLeast"/>
          <w:jc w:val="center"/>
        </w:trPr>
        <w:tc>
          <w:tcPr>
            <w:tcW w:w="508" w:type="dxa"/>
            <w:vMerge w:val="restart"/>
            <w:tcBorders>
              <w:left w:val="single" w:color="auto" w:sz="12" w:space="0"/>
              <w:right w:val="single" w:color="auto" w:sz="6" w:space="0"/>
            </w:tcBorders>
          </w:tcPr>
          <w:p w14:paraId="0C98BEC4">
            <w:pPr>
              <w:autoSpaceDE w:val="0"/>
              <w:autoSpaceDN w:val="0"/>
              <w:adjustRightInd w:val="0"/>
              <w:snapToGrid w:val="0"/>
              <w:spacing w:line="240" w:lineRule="auto"/>
              <w:jc w:val="center"/>
              <w:rPr>
                <w:rFonts w:ascii="宋体" w:hAnsi="宋体" w:cs="宋体"/>
                <w:b/>
                <w:bCs/>
                <w:color w:val="auto"/>
                <w:sz w:val="24"/>
              </w:rPr>
            </w:pPr>
            <w:r>
              <w:rPr>
                <w:rFonts w:hint="eastAsia" w:ascii="宋体" w:hAnsi="宋体" w:cs="宋体"/>
                <w:b/>
                <w:bCs/>
                <w:color w:val="auto"/>
                <w:sz w:val="24"/>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3638E6A7">
            <w:pPr>
              <w:autoSpaceDE w:val="0"/>
              <w:autoSpaceDN w:val="0"/>
              <w:adjustRightInd w:val="0"/>
              <w:snapToGrid w:val="0"/>
              <w:spacing w:line="240" w:lineRule="auto"/>
              <w:ind w:left="-134" w:leftChars="-64" w:right="-88" w:rightChars="-42"/>
              <w:jc w:val="center"/>
              <w:rPr>
                <w:rFonts w:ascii="宋体" w:hAnsi="宋体" w:cs="宋体"/>
                <w:b/>
                <w:bCs/>
                <w:color w:val="auto"/>
                <w:szCs w:val="21"/>
              </w:rPr>
            </w:pPr>
            <w:r>
              <w:rPr>
                <w:rFonts w:hint="eastAsia" w:ascii="宋体" w:hAnsi="宋体" w:cs="宋体"/>
                <w:b/>
                <w:bCs/>
                <w:color w:val="auto"/>
                <w:szCs w:val="21"/>
              </w:rPr>
              <w:t>7.1</w:t>
            </w:r>
          </w:p>
        </w:tc>
        <w:tc>
          <w:tcPr>
            <w:tcW w:w="2218" w:type="dxa"/>
            <w:tcBorders>
              <w:top w:val="single" w:color="auto" w:sz="6" w:space="0"/>
              <w:left w:val="single" w:color="auto" w:sz="6" w:space="0"/>
              <w:bottom w:val="single" w:color="auto" w:sz="6" w:space="0"/>
              <w:right w:val="single" w:color="auto" w:sz="6" w:space="0"/>
            </w:tcBorders>
            <w:vAlign w:val="center"/>
          </w:tcPr>
          <w:p w14:paraId="09FCC4C9">
            <w:pPr>
              <w:autoSpaceDE w:val="0"/>
              <w:autoSpaceDN w:val="0"/>
              <w:adjustRightInd w:val="0"/>
              <w:snapToGrid w:val="0"/>
              <w:spacing w:line="240" w:lineRule="auto"/>
              <w:jc w:val="center"/>
              <w:rPr>
                <w:rFonts w:ascii="宋体" w:hAnsi="宋体" w:cs="宋体"/>
                <w:b/>
                <w:color w:val="auto"/>
                <w:sz w:val="24"/>
              </w:rPr>
            </w:pPr>
            <w:r>
              <w:rPr>
                <w:rFonts w:hint="eastAsia" w:ascii="宋体" w:hAnsi="宋体" w:cs="宋体"/>
                <w:b/>
                <w:color w:val="auto"/>
                <w:sz w:val="24"/>
              </w:rPr>
              <w:t>是否授权磋商小组确定成交供应商</w:t>
            </w:r>
          </w:p>
        </w:tc>
        <w:tc>
          <w:tcPr>
            <w:tcW w:w="6246" w:type="dxa"/>
            <w:tcBorders>
              <w:top w:val="single" w:color="auto" w:sz="6" w:space="0"/>
              <w:left w:val="single" w:color="auto" w:sz="6" w:space="0"/>
              <w:bottom w:val="single" w:color="auto" w:sz="6" w:space="0"/>
              <w:right w:val="single" w:color="auto" w:sz="12" w:space="0"/>
            </w:tcBorders>
            <w:vAlign w:val="center"/>
          </w:tcPr>
          <w:p w14:paraId="3D4A506F">
            <w:pPr>
              <w:adjustRightInd w:val="0"/>
              <w:snapToGrid w:val="0"/>
              <w:spacing w:before="120" w:beforeLines="50" w:line="240" w:lineRule="auto"/>
              <w:rPr>
                <w:rFonts w:ascii="宋体" w:hAnsi="宋体" w:cs="宋体"/>
                <w:color w:val="auto"/>
                <w:sz w:val="24"/>
              </w:rPr>
            </w:pPr>
            <w:r>
              <w:rPr>
                <w:rFonts w:hint="eastAsia" w:ascii="宋体" w:hAnsi="宋体" w:cs="宋体"/>
                <w:color w:val="auto"/>
                <w:sz w:val="24"/>
              </w:rPr>
              <w:t>是。按照评审得分由高到低顺序推荐3名成交候选人，并确定排名第一的成交候选人为成交供应商。</w:t>
            </w:r>
          </w:p>
        </w:tc>
      </w:tr>
      <w:tr w14:paraId="540C9A52">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621E1762">
            <w:pPr>
              <w:autoSpaceDE w:val="0"/>
              <w:autoSpaceDN w:val="0"/>
              <w:adjustRightInd w:val="0"/>
              <w:snapToGrid w:val="0"/>
              <w:spacing w:line="240" w:lineRule="auto"/>
              <w:jc w:val="center"/>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75FCAB5">
            <w:pPr>
              <w:autoSpaceDE w:val="0"/>
              <w:autoSpaceDN w:val="0"/>
              <w:adjustRightInd w:val="0"/>
              <w:snapToGrid w:val="0"/>
              <w:spacing w:line="240" w:lineRule="auto"/>
              <w:jc w:val="center"/>
              <w:rPr>
                <w:rFonts w:ascii="宋体" w:hAnsi="宋体" w:cs="宋体"/>
                <w:b/>
                <w:bCs/>
                <w:color w:val="auto"/>
                <w:sz w:val="24"/>
              </w:rPr>
            </w:pPr>
            <w:r>
              <w:rPr>
                <w:rFonts w:hint="eastAsia" w:ascii="宋体" w:hAnsi="宋体" w:cs="宋体"/>
                <w:b/>
                <w:bCs/>
                <w:color w:val="auto"/>
                <w:sz w:val="24"/>
              </w:rPr>
              <w:t>7.2</w:t>
            </w:r>
          </w:p>
        </w:tc>
        <w:tc>
          <w:tcPr>
            <w:tcW w:w="2218" w:type="dxa"/>
            <w:tcBorders>
              <w:top w:val="single" w:color="auto" w:sz="6" w:space="0"/>
              <w:left w:val="single" w:color="auto" w:sz="6" w:space="0"/>
              <w:bottom w:val="single" w:color="auto" w:sz="6" w:space="0"/>
              <w:right w:val="single" w:color="auto" w:sz="6" w:space="0"/>
            </w:tcBorders>
            <w:vAlign w:val="center"/>
          </w:tcPr>
          <w:p w14:paraId="4E7BB40D">
            <w:pPr>
              <w:autoSpaceDE w:val="0"/>
              <w:autoSpaceDN w:val="0"/>
              <w:adjustRightInd w:val="0"/>
              <w:snapToGrid w:val="0"/>
              <w:spacing w:line="240" w:lineRule="auto"/>
              <w:jc w:val="center"/>
              <w:rPr>
                <w:rFonts w:ascii="宋体" w:hAnsi="宋体" w:cs="宋体"/>
                <w:b/>
                <w:color w:val="auto"/>
                <w:sz w:val="24"/>
              </w:rPr>
            </w:pPr>
            <w:r>
              <w:rPr>
                <w:rFonts w:hint="eastAsia" w:ascii="宋体" w:hAnsi="宋体" w:cs="宋体"/>
                <w:b/>
                <w:color w:val="auto"/>
                <w:sz w:val="24"/>
              </w:rPr>
              <w:t>成交结果公告</w:t>
            </w:r>
          </w:p>
        </w:tc>
        <w:tc>
          <w:tcPr>
            <w:tcW w:w="6246" w:type="dxa"/>
            <w:tcBorders>
              <w:top w:val="single" w:color="auto" w:sz="6" w:space="0"/>
              <w:left w:val="single" w:color="auto" w:sz="6" w:space="0"/>
              <w:bottom w:val="single" w:color="auto" w:sz="6" w:space="0"/>
              <w:right w:val="single" w:color="auto" w:sz="12" w:space="0"/>
            </w:tcBorders>
            <w:vAlign w:val="center"/>
          </w:tcPr>
          <w:p w14:paraId="5C621075">
            <w:pPr>
              <w:adjustRightInd w:val="0"/>
              <w:snapToGrid w:val="0"/>
              <w:spacing w:before="120" w:beforeLines="50" w:line="240" w:lineRule="auto"/>
              <w:rPr>
                <w:rFonts w:ascii="宋体" w:hAnsi="宋体" w:cs="宋体"/>
                <w:color w:val="auto"/>
                <w:sz w:val="24"/>
              </w:rPr>
            </w:pPr>
            <w:r>
              <w:rPr>
                <w:rFonts w:hint="eastAsia" w:asciiTheme="minorEastAsia" w:hAnsiTheme="minorEastAsia" w:eastAsiaTheme="minorEastAsia"/>
                <w:color w:val="auto"/>
                <w:sz w:val="24"/>
              </w:rPr>
              <w:t>本次竞争性磋商的成交结果将在成交供应商确定当日在竞争性磋商公告所述媒介公告1个工作日。</w:t>
            </w:r>
          </w:p>
        </w:tc>
      </w:tr>
      <w:tr w14:paraId="0C18C0A2">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2654C440">
            <w:pPr>
              <w:autoSpaceDE w:val="0"/>
              <w:autoSpaceDN w:val="0"/>
              <w:adjustRightInd w:val="0"/>
              <w:snapToGrid w:val="0"/>
              <w:spacing w:line="240" w:lineRule="auto"/>
              <w:jc w:val="center"/>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26451309">
            <w:pPr>
              <w:autoSpaceDE w:val="0"/>
              <w:autoSpaceDN w:val="0"/>
              <w:adjustRightInd w:val="0"/>
              <w:snapToGrid w:val="0"/>
              <w:spacing w:line="240" w:lineRule="auto"/>
              <w:jc w:val="center"/>
              <w:rPr>
                <w:rFonts w:ascii="宋体" w:hAnsi="宋体" w:cs="宋体"/>
                <w:b/>
                <w:bCs/>
                <w:color w:val="auto"/>
                <w:sz w:val="24"/>
              </w:rPr>
            </w:pPr>
            <w:r>
              <w:rPr>
                <w:rFonts w:hint="eastAsia" w:ascii="宋体" w:hAnsi="宋体" w:cs="宋体"/>
                <w:b/>
                <w:bCs/>
                <w:color w:val="auto"/>
                <w:sz w:val="24"/>
              </w:rPr>
              <w:t>7.3</w:t>
            </w:r>
          </w:p>
        </w:tc>
        <w:tc>
          <w:tcPr>
            <w:tcW w:w="2218" w:type="dxa"/>
            <w:tcBorders>
              <w:top w:val="single" w:color="auto" w:sz="6" w:space="0"/>
              <w:left w:val="single" w:color="auto" w:sz="6" w:space="0"/>
              <w:bottom w:val="single" w:color="auto" w:sz="6" w:space="0"/>
              <w:right w:val="single" w:color="auto" w:sz="6" w:space="0"/>
            </w:tcBorders>
            <w:vAlign w:val="center"/>
          </w:tcPr>
          <w:p w14:paraId="0E9ED180">
            <w:pPr>
              <w:autoSpaceDE w:val="0"/>
              <w:autoSpaceDN w:val="0"/>
              <w:adjustRightInd w:val="0"/>
              <w:snapToGrid w:val="0"/>
              <w:spacing w:line="240" w:lineRule="auto"/>
              <w:jc w:val="center"/>
              <w:rPr>
                <w:rFonts w:ascii="宋体" w:hAnsi="宋体" w:cs="宋体"/>
                <w:b/>
                <w:bCs/>
                <w:color w:val="auto"/>
                <w:sz w:val="24"/>
              </w:rPr>
            </w:pPr>
            <w:r>
              <w:rPr>
                <w:rFonts w:hint="eastAsia" w:ascii="宋体" w:hAnsi="宋体" w:cs="宋体"/>
                <w:b/>
                <w:bCs/>
                <w:color w:val="auto"/>
                <w:sz w:val="24"/>
              </w:rPr>
              <w:t>质疑</w:t>
            </w:r>
          </w:p>
        </w:tc>
        <w:tc>
          <w:tcPr>
            <w:tcW w:w="6246" w:type="dxa"/>
            <w:tcBorders>
              <w:top w:val="single" w:color="auto" w:sz="6" w:space="0"/>
              <w:left w:val="single" w:color="auto" w:sz="6" w:space="0"/>
              <w:bottom w:val="single" w:color="auto" w:sz="6" w:space="0"/>
              <w:right w:val="single" w:color="auto" w:sz="12" w:space="0"/>
            </w:tcBorders>
            <w:vAlign w:val="center"/>
          </w:tcPr>
          <w:p w14:paraId="05FE9177">
            <w:pPr>
              <w:rPr>
                <w:rFonts w:ascii="宋体" w:hAnsi="宋体" w:cs="宋体"/>
                <w:color w:val="auto"/>
                <w:sz w:val="24"/>
              </w:rPr>
            </w:pPr>
            <w:r>
              <w:rPr>
                <w:rFonts w:hint="eastAsia" w:ascii="宋体" w:hAnsi="宋体" w:cs="宋体"/>
                <w:color w:val="auto"/>
                <w:sz w:val="24"/>
              </w:rPr>
              <w:t>参与本次采购活动的供应商如有异议，可在各环节法定质疑期内向采购代理机构一次性提出针对该采购程序环节的书面质疑函，书面原件送达至磋商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cs="宋体"/>
                <w:bCs/>
                <w:color w:val="auto"/>
                <w:sz w:val="24"/>
                <w:szCs w:val="24"/>
              </w:rPr>
              <w:t>疑的日期。供应商为自然人的，应当由本人签字；供应商为法人或者其他组织的，应当由法定代表人、主要负责人或者其授权代表签字或者盖章，并加盖公章。</w:t>
            </w:r>
            <w:r>
              <w:rPr>
                <w:rFonts w:hint="eastAsia" w:ascii="宋体" w:hAnsi="宋体" w:cs="宋体"/>
                <w:color w:val="auto"/>
                <w:sz w:val="24"/>
              </w:rPr>
              <w:t>如对采购代理机构的答复仍有异议的，可向同级财政局政府采购监督管理办公室提出书面投诉。（具体程序按照《政府采购质疑和投诉办法》执行）。</w:t>
            </w:r>
          </w:p>
        </w:tc>
      </w:tr>
      <w:tr w14:paraId="7E5876D5">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0E46A45D">
            <w:pPr>
              <w:autoSpaceDE w:val="0"/>
              <w:autoSpaceDN w:val="0"/>
              <w:adjustRightInd w:val="0"/>
              <w:snapToGrid w:val="0"/>
              <w:spacing w:line="240" w:lineRule="auto"/>
              <w:jc w:val="center"/>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5BE1E85A">
            <w:pPr>
              <w:autoSpaceDE w:val="0"/>
              <w:autoSpaceDN w:val="0"/>
              <w:adjustRightInd w:val="0"/>
              <w:snapToGrid w:val="0"/>
              <w:spacing w:line="240" w:lineRule="auto"/>
              <w:jc w:val="center"/>
              <w:rPr>
                <w:rFonts w:ascii="宋体" w:hAnsi="宋体" w:cs="宋体"/>
                <w:b/>
                <w:bCs/>
                <w:color w:val="auto"/>
                <w:sz w:val="24"/>
              </w:rPr>
            </w:pPr>
            <w:r>
              <w:rPr>
                <w:rFonts w:hint="eastAsia" w:ascii="宋体" w:hAnsi="宋体" w:cs="宋体"/>
                <w:b/>
                <w:bCs/>
                <w:color w:val="auto"/>
                <w:sz w:val="24"/>
              </w:rPr>
              <w:t>7.4</w:t>
            </w:r>
          </w:p>
        </w:tc>
        <w:tc>
          <w:tcPr>
            <w:tcW w:w="2218" w:type="dxa"/>
            <w:tcBorders>
              <w:top w:val="single" w:color="auto" w:sz="6" w:space="0"/>
              <w:left w:val="single" w:color="auto" w:sz="6" w:space="0"/>
              <w:bottom w:val="single" w:color="auto" w:sz="6" w:space="0"/>
              <w:right w:val="single" w:color="auto" w:sz="6" w:space="0"/>
            </w:tcBorders>
            <w:vAlign w:val="center"/>
          </w:tcPr>
          <w:p w14:paraId="714AB833">
            <w:pPr>
              <w:autoSpaceDE w:val="0"/>
              <w:autoSpaceDN w:val="0"/>
              <w:adjustRightInd w:val="0"/>
              <w:snapToGrid w:val="0"/>
              <w:spacing w:line="240" w:lineRule="auto"/>
              <w:jc w:val="center"/>
              <w:rPr>
                <w:rFonts w:ascii="宋体" w:hAnsi="宋体" w:cs="宋体"/>
                <w:b/>
                <w:bCs/>
                <w:color w:val="auto"/>
                <w:sz w:val="24"/>
              </w:rPr>
            </w:pPr>
            <w:r>
              <w:rPr>
                <w:rFonts w:hint="eastAsia" w:ascii="宋体" w:hAnsi="宋体" w:cs="宋体"/>
                <w:b/>
                <w:bCs/>
                <w:color w:val="auto"/>
                <w:sz w:val="24"/>
              </w:rPr>
              <w:t>成交通知书</w:t>
            </w:r>
          </w:p>
        </w:tc>
        <w:tc>
          <w:tcPr>
            <w:tcW w:w="6246" w:type="dxa"/>
            <w:tcBorders>
              <w:top w:val="single" w:color="auto" w:sz="6" w:space="0"/>
              <w:left w:val="single" w:color="auto" w:sz="6" w:space="0"/>
              <w:bottom w:val="single" w:color="auto" w:sz="6" w:space="0"/>
              <w:right w:val="single" w:color="auto" w:sz="12" w:space="0"/>
            </w:tcBorders>
            <w:vAlign w:val="center"/>
          </w:tcPr>
          <w:p w14:paraId="7239281D">
            <w:pPr>
              <w:adjustRightInd w:val="0"/>
              <w:snapToGrid w:val="0"/>
              <w:spacing w:before="120" w:beforeLines="50" w:line="240" w:lineRule="auto"/>
              <w:rPr>
                <w:rFonts w:ascii="宋体" w:hAnsi="宋体" w:cs="宋体"/>
                <w:color w:val="auto"/>
                <w:sz w:val="24"/>
                <w:lang w:val="zh-CN"/>
              </w:rPr>
            </w:pPr>
            <w:r>
              <w:rPr>
                <w:rFonts w:hint="eastAsia" w:cs="楷体_GB2312" w:asciiTheme="minorEastAsia" w:hAnsiTheme="minorEastAsia" w:eastAsiaTheme="minorEastAsia"/>
                <w:color w:val="auto"/>
                <w:sz w:val="24"/>
                <w:lang w:val="zh-CN"/>
              </w:rPr>
              <w:t>采购代理机构在成交供应商确定当</w:t>
            </w:r>
            <w:r>
              <w:rPr>
                <w:rFonts w:hint="eastAsia" w:cs="楷体_GB2312" w:asciiTheme="minorEastAsia" w:hAnsiTheme="minorEastAsia" w:eastAsiaTheme="minorEastAsia"/>
                <w:color w:val="auto"/>
                <w:sz w:val="24"/>
              </w:rPr>
              <w:t>日</w:t>
            </w:r>
            <w:r>
              <w:rPr>
                <w:rFonts w:hint="eastAsia" w:cs="楷体_GB2312" w:asciiTheme="minorEastAsia" w:hAnsiTheme="minorEastAsia" w:eastAsiaTheme="minorEastAsia"/>
                <w:color w:val="auto"/>
                <w:sz w:val="24"/>
                <w:lang w:val="zh-CN"/>
              </w:rPr>
              <w:t>，向成交供应商发出成交通知书。</w:t>
            </w:r>
          </w:p>
        </w:tc>
      </w:tr>
      <w:tr w14:paraId="4092B58C">
        <w:tblPrEx>
          <w:tblCellMar>
            <w:top w:w="0" w:type="dxa"/>
            <w:left w:w="108" w:type="dxa"/>
            <w:bottom w:w="0" w:type="dxa"/>
            <w:right w:w="108" w:type="dxa"/>
          </w:tblCellMar>
        </w:tblPrEx>
        <w:trPr>
          <w:trHeight w:val="453" w:hRule="atLeast"/>
          <w:jc w:val="center"/>
        </w:trPr>
        <w:tc>
          <w:tcPr>
            <w:tcW w:w="508" w:type="dxa"/>
            <w:vMerge w:val="restart"/>
            <w:tcBorders>
              <w:left w:val="single" w:color="auto" w:sz="12" w:space="0"/>
              <w:right w:val="single" w:color="auto" w:sz="6" w:space="0"/>
            </w:tcBorders>
          </w:tcPr>
          <w:p w14:paraId="3C95A6FB">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2CFA5604">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7.5</w:t>
            </w:r>
          </w:p>
        </w:tc>
        <w:tc>
          <w:tcPr>
            <w:tcW w:w="2218" w:type="dxa"/>
            <w:tcBorders>
              <w:top w:val="single" w:color="auto" w:sz="6" w:space="0"/>
              <w:left w:val="single" w:color="auto" w:sz="6" w:space="0"/>
              <w:bottom w:val="single" w:color="auto" w:sz="6" w:space="0"/>
              <w:right w:val="single" w:color="auto" w:sz="6" w:space="0"/>
            </w:tcBorders>
            <w:vAlign w:val="center"/>
          </w:tcPr>
          <w:p w14:paraId="47EB6159">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履约保证金</w:t>
            </w:r>
          </w:p>
        </w:tc>
        <w:tc>
          <w:tcPr>
            <w:tcW w:w="6246" w:type="dxa"/>
            <w:tcBorders>
              <w:top w:val="single" w:color="auto" w:sz="6" w:space="0"/>
              <w:left w:val="single" w:color="auto" w:sz="6" w:space="0"/>
              <w:bottom w:val="single" w:color="auto" w:sz="6" w:space="0"/>
              <w:right w:val="single" w:color="auto" w:sz="12" w:space="0"/>
            </w:tcBorders>
            <w:vAlign w:val="center"/>
          </w:tcPr>
          <w:p w14:paraId="77B09E7A">
            <w:pPr>
              <w:widowControl w:val="0"/>
              <w:snapToGrid w:val="0"/>
              <w:spacing w:before="120" w:beforeLines="50" w:line="240" w:lineRule="auto"/>
              <w:rPr>
                <w:rFonts w:ascii="宋体" w:hAnsi="宋体" w:cs="宋体"/>
                <w:color w:val="auto"/>
                <w:sz w:val="24"/>
                <w:szCs w:val="24"/>
              </w:rPr>
            </w:pPr>
            <w:r>
              <w:rPr>
                <w:rFonts w:hint="eastAsia" w:ascii="宋体" w:hAnsi="宋体" w:cs="宋体"/>
                <w:color w:val="auto"/>
                <w:sz w:val="24"/>
                <w:szCs w:val="24"/>
              </w:rPr>
              <w:t>无需缴纳</w:t>
            </w:r>
          </w:p>
        </w:tc>
      </w:tr>
      <w:tr w14:paraId="7FFAC20A">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02ABFC35">
            <w:pPr>
              <w:autoSpaceDE w:val="0"/>
              <w:autoSpaceDN w:val="0"/>
              <w:adjustRightInd w:val="0"/>
              <w:snapToGrid w:val="0"/>
              <w:spacing w:line="240" w:lineRule="auto"/>
              <w:jc w:val="center"/>
              <w:rPr>
                <w:rFonts w:ascii="宋体" w:hAnsi="宋体" w:cs="宋体"/>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3A39D7B">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8</w:t>
            </w:r>
          </w:p>
        </w:tc>
        <w:tc>
          <w:tcPr>
            <w:tcW w:w="2218" w:type="dxa"/>
            <w:tcBorders>
              <w:top w:val="single" w:color="auto" w:sz="6" w:space="0"/>
              <w:left w:val="single" w:color="auto" w:sz="6" w:space="0"/>
              <w:bottom w:val="single" w:color="auto" w:sz="6" w:space="0"/>
              <w:right w:val="single" w:color="auto" w:sz="6" w:space="0"/>
            </w:tcBorders>
            <w:vAlign w:val="center"/>
          </w:tcPr>
          <w:p w14:paraId="0CB9F217">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验收</w:t>
            </w:r>
          </w:p>
        </w:tc>
        <w:tc>
          <w:tcPr>
            <w:tcW w:w="6246" w:type="dxa"/>
            <w:tcBorders>
              <w:top w:val="single" w:color="auto" w:sz="6" w:space="0"/>
              <w:left w:val="single" w:color="auto" w:sz="6" w:space="0"/>
              <w:bottom w:val="single" w:color="auto" w:sz="6" w:space="0"/>
              <w:right w:val="single" w:color="auto" w:sz="12" w:space="0"/>
            </w:tcBorders>
            <w:vAlign w:val="center"/>
          </w:tcPr>
          <w:p w14:paraId="7BBA6FE1">
            <w:pPr>
              <w:widowControl w:val="0"/>
              <w:snapToGrid w:val="0"/>
              <w:spacing w:before="120" w:beforeLines="50" w:line="240" w:lineRule="auto"/>
              <w:rPr>
                <w:rFonts w:ascii="宋体" w:hAnsi="宋体" w:cs="宋体"/>
                <w:color w:val="auto"/>
                <w:sz w:val="24"/>
                <w:szCs w:val="24"/>
              </w:rPr>
            </w:pPr>
            <w:r>
              <w:rPr>
                <w:rFonts w:hint="eastAsia" w:ascii="宋体" w:hAnsi="宋体" w:cs="宋体"/>
                <w:color w:val="auto"/>
                <w:sz w:val="24"/>
                <w:szCs w:val="24"/>
              </w:rPr>
              <w:t>见“第三章供应商须知”相应条款</w:t>
            </w:r>
          </w:p>
        </w:tc>
      </w:tr>
      <w:tr w14:paraId="107A9A2A">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0782086D">
            <w:pPr>
              <w:autoSpaceDE w:val="0"/>
              <w:autoSpaceDN w:val="0"/>
              <w:adjustRightInd w:val="0"/>
              <w:spacing w:line="360" w:lineRule="auto"/>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EC3A96A">
            <w:pPr>
              <w:autoSpaceDE w:val="0"/>
              <w:autoSpaceDN w:val="0"/>
              <w:adjustRightInd w:val="0"/>
              <w:spacing w:line="360" w:lineRule="auto"/>
              <w:jc w:val="center"/>
              <w:rPr>
                <w:rFonts w:ascii="宋体" w:hAnsi="宋体" w:cs="宋体"/>
                <w:b/>
                <w:bCs/>
                <w:color w:val="auto"/>
                <w:sz w:val="24"/>
              </w:rPr>
            </w:pPr>
            <w:r>
              <w:rPr>
                <w:rFonts w:hint="eastAsia" w:ascii="宋体" w:hAnsi="宋体" w:cs="宋体"/>
                <w:b/>
                <w:bCs/>
                <w:color w:val="auto"/>
                <w:sz w:val="24"/>
              </w:rPr>
              <w:t>9</w:t>
            </w:r>
          </w:p>
        </w:tc>
        <w:tc>
          <w:tcPr>
            <w:tcW w:w="2218" w:type="dxa"/>
            <w:tcBorders>
              <w:top w:val="single" w:color="auto" w:sz="6" w:space="0"/>
              <w:left w:val="single" w:color="auto" w:sz="6" w:space="0"/>
              <w:bottom w:val="single" w:color="auto" w:sz="6" w:space="0"/>
              <w:right w:val="single" w:color="auto" w:sz="6" w:space="0"/>
            </w:tcBorders>
            <w:vAlign w:val="center"/>
          </w:tcPr>
          <w:p w14:paraId="684B594E">
            <w:pPr>
              <w:autoSpaceDE w:val="0"/>
              <w:autoSpaceDN w:val="0"/>
              <w:adjustRightInd w:val="0"/>
              <w:snapToGrid w:val="0"/>
              <w:spacing w:line="240" w:lineRule="auto"/>
              <w:jc w:val="center"/>
              <w:rPr>
                <w:rFonts w:ascii="宋体" w:hAnsi="宋体" w:cs="宋体"/>
                <w:b/>
                <w:bCs/>
                <w:color w:val="auto"/>
                <w:sz w:val="24"/>
                <w:lang w:val="zh-CN"/>
              </w:rPr>
            </w:pPr>
            <w:r>
              <w:rPr>
                <w:rFonts w:hint="eastAsia" w:ascii="宋体" w:hAnsi="宋体" w:cs="宋体"/>
                <w:b/>
                <w:bCs/>
                <w:color w:val="auto"/>
                <w:sz w:val="24"/>
                <w:lang w:val="zh-CN"/>
              </w:rPr>
              <w:t>付款</w:t>
            </w:r>
          </w:p>
        </w:tc>
        <w:tc>
          <w:tcPr>
            <w:tcW w:w="6246" w:type="dxa"/>
            <w:tcBorders>
              <w:top w:val="single" w:color="auto" w:sz="6" w:space="0"/>
              <w:left w:val="single" w:color="auto" w:sz="6" w:space="0"/>
              <w:bottom w:val="single" w:color="auto" w:sz="6" w:space="0"/>
              <w:right w:val="single" w:color="auto" w:sz="12" w:space="0"/>
            </w:tcBorders>
            <w:vAlign w:val="center"/>
          </w:tcPr>
          <w:p w14:paraId="4462C488">
            <w:pPr>
              <w:snapToGrid w:val="0"/>
              <w:spacing w:before="120" w:beforeLines="50" w:line="240" w:lineRule="auto"/>
              <w:rPr>
                <w:rFonts w:ascii="宋体" w:hAnsi="宋体" w:cs="宋体"/>
                <w:color w:val="auto"/>
                <w:sz w:val="24"/>
                <w:szCs w:val="24"/>
              </w:rPr>
            </w:pPr>
            <w:bookmarkStart w:id="24" w:name="OLE_LINK11"/>
            <w:r>
              <w:rPr>
                <w:rFonts w:hint="eastAsia" w:ascii="宋体" w:hAnsi="宋体" w:cs="宋体"/>
                <w:color w:val="auto"/>
                <w:sz w:val="24"/>
                <w:szCs w:val="24"/>
              </w:rPr>
              <w:t>为进一步优化营商环境，根据安财购﹝2022﹞8号文件落实政府采购中小企业预付款的规定，采购人可在政府采购合同签订后，向成交供应商预付不低于合同金额50%的预付款，成交供应商应向采购人提交预付款保函，未提供保函的，视同其放弃项目预付款的支付。</w:t>
            </w:r>
            <w:bookmarkEnd w:id="24"/>
            <w:r>
              <w:rPr>
                <w:rFonts w:hint="eastAsia" w:ascii="宋体" w:hAnsi="宋体" w:cs="宋体"/>
                <w:color w:val="auto"/>
                <w:sz w:val="24"/>
                <w:szCs w:val="24"/>
              </w:rPr>
              <w:t>具体内容以双方签订合同为准。</w:t>
            </w:r>
          </w:p>
        </w:tc>
      </w:tr>
      <w:tr w14:paraId="0BA4808C">
        <w:tblPrEx>
          <w:tblCellMar>
            <w:top w:w="0" w:type="dxa"/>
            <w:left w:w="108" w:type="dxa"/>
            <w:bottom w:w="0" w:type="dxa"/>
            <w:right w:w="108" w:type="dxa"/>
          </w:tblCellMar>
        </w:tblPrEx>
        <w:trPr>
          <w:trHeight w:val="453" w:hRule="atLeast"/>
          <w:jc w:val="center"/>
        </w:trPr>
        <w:tc>
          <w:tcPr>
            <w:tcW w:w="508" w:type="dxa"/>
            <w:tcBorders>
              <w:left w:val="single" w:color="auto" w:sz="12" w:space="0"/>
              <w:right w:val="single" w:color="auto" w:sz="6" w:space="0"/>
            </w:tcBorders>
          </w:tcPr>
          <w:p w14:paraId="58CB09A8">
            <w:pPr>
              <w:autoSpaceDE w:val="0"/>
              <w:autoSpaceDN w:val="0"/>
              <w:adjustRightInd w:val="0"/>
              <w:spacing w:line="360" w:lineRule="auto"/>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3365F18">
            <w:pPr>
              <w:autoSpaceDE w:val="0"/>
              <w:autoSpaceDN w:val="0"/>
              <w:adjustRightInd w:val="0"/>
              <w:spacing w:line="360" w:lineRule="auto"/>
              <w:jc w:val="center"/>
              <w:rPr>
                <w:rFonts w:ascii="宋体" w:hAnsi="宋体" w:cs="宋体"/>
                <w:b/>
                <w:bCs/>
                <w:color w:val="auto"/>
                <w:sz w:val="24"/>
              </w:rPr>
            </w:pPr>
            <w:r>
              <w:rPr>
                <w:rFonts w:hint="eastAsia" w:ascii="宋体" w:hAnsi="宋体" w:cs="宋体"/>
                <w:b/>
                <w:bCs/>
                <w:color w:val="auto"/>
                <w:sz w:val="24"/>
              </w:rPr>
              <w:t>10.1</w:t>
            </w:r>
          </w:p>
        </w:tc>
        <w:tc>
          <w:tcPr>
            <w:tcW w:w="2218" w:type="dxa"/>
            <w:tcBorders>
              <w:top w:val="single" w:color="auto" w:sz="6" w:space="0"/>
              <w:left w:val="single" w:color="auto" w:sz="6" w:space="0"/>
              <w:bottom w:val="single" w:color="auto" w:sz="6" w:space="0"/>
              <w:right w:val="single" w:color="auto" w:sz="6" w:space="0"/>
            </w:tcBorders>
            <w:vAlign w:val="center"/>
          </w:tcPr>
          <w:p w14:paraId="277EFF8B">
            <w:pPr>
              <w:autoSpaceDE w:val="0"/>
              <w:autoSpaceDN w:val="0"/>
              <w:adjustRightInd w:val="0"/>
              <w:snapToGrid w:val="0"/>
              <w:spacing w:line="240" w:lineRule="auto"/>
              <w:jc w:val="center"/>
              <w:rPr>
                <w:rFonts w:ascii="宋体" w:hAnsi="宋体" w:cs="宋体"/>
                <w:b/>
                <w:color w:val="auto"/>
                <w:sz w:val="24"/>
              </w:rPr>
            </w:pPr>
            <w:r>
              <w:rPr>
                <w:rFonts w:hint="eastAsia" w:ascii="宋体" w:hAnsi="宋体" w:cs="宋体"/>
                <w:b/>
                <w:color w:val="auto"/>
                <w:sz w:val="24"/>
              </w:rPr>
              <w:t>代理服务费</w:t>
            </w:r>
          </w:p>
        </w:tc>
        <w:tc>
          <w:tcPr>
            <w:tcW w:w="6246" w:type="dxa"/>
            <w:tcBorders>
              <w:top w:val="single" w:color="auto" w:sz="6" w:space="0"/>
              <w:left w:val="single" w:color="auto" w:sz="6" w:space="0"/>
              <w:bottom w:val="single" w:color="auto" w:sz="6" w:space="0"/>
              <w:right w:val="single" w:color="auto" w:sz="12" w:space="0"/>
            </w:tcBorders>
            <w:vAlign w:val="center"/>
          </w:tcPr>
          <w:p w14:paraId="540FAEF6">
            <w:pPr>
              <w:adjustRightInd w:val="0"/>
              <w:snapToGrid w:val="0"/>
              <w:spacing w:before="120" w:beforeLines="50" w:line="240" w:lineRule="auto"/>
              <w:rPr>
                <w:rFonts w:ascii="宋体" w:hAnsi="宋体" w:cs="宋体"/>
                <w:color w:val="auto"/>
                <w:sz w:val="24"/>
              </w:rPr>
            </w:pPr>
            <w:r>
              <w:rPr>
                <w:rFonts w:hint="eastAsia" w:ascii="宋体" w:hAnsi="宋体" w:cs="宋体"/>
                <w:color w:val="auto"/>
                <w:sz w:val="24"/>
              </w:rPr>
              <w:t>参照国家计委《招标代理服务收费管理暂行办法》（计价格〔2002〕1980号）、《国家发展和改革委员会办公厅关于招标代理服务费有关问题的通知》（发改办价格〔2003〕857号）、发改价格〔2011〕534号文件规定</w:t>
            </w:r>
            <w:r>
              <w:rPr>
                <w:rFonts w:hint="eastAsia" w:ascii="宋体" w:hAnsi="宋体" w:cs="宋体"/>
                <w:color w:val="auto"/>
                <w:sz w:val="24"/>
                <w:szCs w:val="24"/>
              </w:rPr>
              <w:t>，中标（成交）供应商在领取中标通知书前向招标代理机构支付招标代理服务费。</w:t>
            </w:r>
          </w:p>
        </w:tc>
      </w:tr>
      <w:tr w14:paraId="5788ECC4">
        <w:tblPrEx>
          <w:tblCellMar>
            <w:top w:w="0" w:type="dxa"/>
            <w:left w:w="108" w:type="dxa"/>
            <w:bottom w:w="0" w:type="dxa"/>
            <w:right w:w="108" w:type="dxa"/>
          </w:tblCellMar>
        </w:tblPrEx>
        <w:trPr>
          <w:trHeight w:val="453" w:hRule="atLeast"/>
          <w:jc w:val="center"/>
        </w:trPr>
        <w:tc>
          <w:tcPr>
            <w:tcW w:w="508" w:type="dxa"/>
            <w:tcBorders>
              <w:left w:val="single" w:color="auto" w:sz="12" w:space="0"/>
              <w:right w:val="single" w:color="auto" w:sz="6" w:space="0"/>
            </w:tcBorders>
          </w:tcPr>
          <w:p w14:paraId="5EE5A245">
            <w:pPr>
              <w:autoSpaceDE w:val="0"/>
              <w:autoSpaceDN w:val="0"/>
              <w:adjustRightInd w:val="0"/>
              <w:spacing w:line="360" w:lineRule="auto"/>
              <w:rPr>
                <w:rFonts w:ascii="宋体" w:hAnsi="宋体" w:cs="宋体"/>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207171EF">
            <w:pPr>
              <w:autoSpaceDE w:val="0"/>
              <w:autoSpaceDN w:val="0"/>
              <w:adjustRightInd w:val="0"/>
              <w:spacing w:line="360" w:lineRule="auto"/>
              <w:jc w:val="center"/>
              <w:rPr>
                <w:rFonts w:ascii="宋体" w:hAnsi="宋体" w:cs="宋体"/>
                <w:b/>
                <w:bCs/>
                <w:color w:val="auto"/>
                <w:sz w:val="24"/>
              </w:rPr>
            </w:pPr>
            <w:r>
              <w:rPr>
                <w:rFonts w:hint="eastAsia" w:ascii="宋体" w:hAnsi="宋体" w:cs="宋体"/>
                <w:b/>
                <w:bCs/>
                <w:color w:val="auto"/>
                <w:sz w:val="24"/>
              </w:rPr>
              <w:t>11</w:t>
            </w:r>
          </w:p>
        </w:tc>
        <w:tc>
          <w:tcPr>
            <w:tcW w:w="2218" w:type="dxa"/>
            <w:tcBorders>
              <w:top w:val="single" w:color="auto" w:sz="6" w:space="0"/>
              <w:left w:val="single" w:color="auto" w:sz="6" w:space="0"/>
              <w:bottom w:val="single" w:color="auto" w:sz="6" w:space="0"/>
              <w:right w:val="single" w:color="auto" w:sz="6" w:space="0"/>
            </w:tcBorders>
            <w:vAlign w:val="center"/>
          </w:tcPr>
          <w:p w14:paraId="5F294F1D">
            <w:pPr>
              <w:autoSpaceDE w:val="0"/>
              <w:autoSpaceDN w:val="0"/>
              <w:adjustRightInd w:val="0"/>
              <w:snapToGrid w:val="0"/>
              <w:spacing w:line="240" w:lineRule="auto"/>
              <w:jc w:val="center"/>
              <w:rPr>
                <w:rFonts w:ascii="宋体" w:hAnsi="宋体" w:cs="宋体"/>
                <w:b/>
                <w:color w:val="auto"/>
                <w:sz w:val="24"/>
                <w:szCs w:val="22"/>
                <w:highlight w:val="yellow"/>
              </w:rPr>
            </w:pPr>
            <w:r>
              <w:rPr>
                <w:rFonts w:hint="eastAsia" w:ascii="宋体" w:hAnsi="宋体" w:cs="宋体"/>
                <w:b/>
                <w:color w:val="auto"/>
                <w:sz w:val="24"/>
              </w:rPr>
              <w:t>中小企业划分标准所属行业</w:t>
            </w:r>
          </w:p>
        </w:tc>
        <w:tc>
          <w:tcPr>
            <w:tcW w:w="6246" w:type="dxa"/>
            <w:tcBorders>
              <w:top w:val="single" w:color="auto" w:sz="6" w:space="0"/>
              <w:left w:val="single" w:color="auto" w:sz="6" w:space="0"/>
              <w:bottom w:val="single" w:color="auto" w:sz="6" w:space="0"/>
              <w:right w:val="single" w:color="auto" w:sz="12" w:space="0"/>
            </w:tcBorders>
            <w:vAlign w:val="center"/>
          </w:tcPr>
          <w:p w14:paraId="1C81EAF6">
            <w:pPr>
              <w:adjustRightInd w:val="0"/>
              <w:snapToGrid w:val="0"/>
              <w:spacing w:before="120" w:beforeLines="50" w:line="240" w:lineRule="auto"/>
              <w:rPr>
                <w:rFonts w:ascii="宋体" w:hAnsi="宋体" w:cs="宋体"/>
                <w:color w:val="auto"/>
                <w:sz w:val="24"/>
                <w:szCs w:val="22"/>
                <w:highlight w:val="yellow"/>
              </w:rPr>
            </w:pPr>
            <w:r>
              <w:rPr>
                <w:rFonts w:hint="eastAsia" w:ascii="宋体" w:hAnsi="宋体" w:cs="宋体"/>
                <w:color w:val="auto"/>
                <w:sz w:val="24"/>
                <w:szCs w:val="24"/>
              </w:rPr>
              <w:t>物业管理</w:t>
            </w:r>
          </w:p>
        </w:tc>
      </w:tr>
    </w:tbl>
    <w:p w14:paraId="29A002D3">
      <w:pPr>
        <w:autoSpaceDE w:val="0"/>
        <w:autoSpaceDN w:val="0"/>
        <w:adjustRightInd w:val="0"/>
        <w:spacing w:line="360" w:lineRule="auto"/>
        <w:ind w:firstLine="420" w:firstLineChars="200"/>
        <w:rPr>
          <w:rFonts w:ascii="宋体" w:hAnsi="宋体" w:cs="宋体"/>
          <w:color w:val="auto"/>
          <w:sz w:val="28"/>
          <w:szCs w:val="28"/>
          <w:lang w:val="zh-CN"/>
        </w:rPr>
      </w:pPr>
      <w:r>
        <w:rPr>
          <w:rFonts w:hint="eastAsia" w:ascii="宋体" w:hAnsi="宋体" w:cs="宋体"/>
          <w:color w:val="auto"/>
        </w:rPr>
        <w:br w:type="page"/>
      </w:r>
      <w:bookmarkStart w:id="25" w:name="_Toc96605338"/>
      <w:r>
        <w:rPr>
          <w:rFonts w:hint="eastAsia" w:ascii="宋体" w:hAnsi="宋体" w:cs="宋体"/>
          <w:b/>
          <w:bCs/>
          <w:color w:val="auto"/>
          <w:sz w:val="28"/>
          <w:szCs w:val="28"/>
          <w:lang w:val="zh-CN"/>
        </w:rPr>
        <w:t>1.总则</w:t>
      </w:r>
      <w:bookmarkEnd w:id="25"/>
    </w:p>
    <w:p w14:paraId="55732143">
      <w:pPr>
        <w:autoSpaceDE w:val="0"/>
        <w:autoSpaceDN w:val="0"/>
        <w:adjustRightInd w:val="0"/>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lang w:val="zh-CN"/>
        </w:rPr>
        <w:t>1.1</w:t>
      </w:r>
      <w:r>
        <w:rPr>
          <w:rFonts w:hint="eastAsia" w:ascii="宋体" w:hAnsi="宋体" w:cs="宋体"/>
          <w:b/>
          <w:color w:val="auto"/>
          <w:sz w:val="24"/>
        </w:rPr>
        <w:t xml:space="preserve"> </w:t>
      </w:r>
      <w:r>
        <w:rPr>
          <w:rFonts w:hint="eastAsia" w:ascii="宋体" w:hAnsi="宋体" w:cs="宋体"/>
          <w:color w:val="auto"/>
          <w:sz w:val="24"/>
          <w:szCs w:val="24"/>
        </w:rPr>
        <w:t>根据《中华人民共和国政府采购法》、《中华人民共和国政府采购法实施条例》、《政府采购竞争性磋商采购方式管理暂行办法》及相关政府采购法律法规等制定本文件。</w:t>
      </w:r>
    </w:p>
    <w:p w14:paraId="282FEA7C">
      <w:pPr>
        <w:adjustRightInd w:val="0"/>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 xml:space="preserve">1.2 </w:t>
      </w:r>
      <w:r>
        <w:rPr>
          <w:rFonts w:hint="eastAsia" w:ascii="宋体" w:hAnsi="宋体" w:cs="宋体"/>
          <w:b/>
          <w:color w:val="auto"/>
          <w:sz w:val="24"/>
          <w:lang w:val="zh-CN"/>
        </w:rPr>
        <w:t>《磋商文件》的法律适用及法律效力</w:t>
      </w:r>
    </w:p>
    <w:p w14:paraId="1BF8BE20">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1.2.1 本《磋商文件》所述内容，仅适用于本次项目采购。</w:t>
      </w:r>
    </w:p>
    <w:p w14:paraId="6AE06CD9">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1.2.2 《磋商文件》的修改性文件、补充文件、澄清文件或说明具有同等法律效力。</w:t>
      </w:r>
    </w:p>
    <w:p w14:paraId="0B9BF84F">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1.2.3 本《磋商文件》适用于并执行《政府采购法》和其它相关的法律、法规。</w:t>
      </w:r>
    </w:p>
    <w:p w14:paraId="06EC2D0B">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1.2.4 本《磋商文件》的解释权属采购人及代理机构。</w:t>
      </w:r>
    </w:p>
    <w:p w14:paraId="2F805FBF">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1.3</w:t>
      </w:r>
      <w:r>
        <w:rPr>
          <w:rFonts w:hint="eastAsia" w:ascii="宋体" w:hAnsi="宋体" w:cs="宋体"/>
          <w:b/>
          <w:color w:val="auto"/>
          <w:sz w:val="24"/>
        </w:rPr>
        <w:t xml:space="preserve"> </w:t>
      </w:r>
      <w:r>
        <w:rPr>
          <w:rFonts w:hint="eastAsia" w:ascii="宋体" w:hAnsi="宋体" w:cs="宋体"/>
          <w:b/>
          <w:color w:val="auto"/>
          <w:sz w:val="24"/>
          <w:lang w:val="zh-CN"/>
        </w:rPr>
        <w:t>合格的供应商</w:t>
      </w:r>
    </w:p>
    <w:p w14:paraId="318AE5EC">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1.3.1</w:t>
      </w:r>
      <w:r>
        <w:rPr>
          <w:rFonts w:hint="eastAsia" w:ascii="宋体" w:hAnsi="宋体" w:cs="宋体"/>
          <w:color w:val="auto"/>
          <w:sz w:val="24"/>
        </w:rPr>
        <w:t xml:space="preserve"> </w:t>
      </w:r>
      <w:r>
        <w:rPr>
          <w:rFonts w:hint="eastAsia" w:ascii="宋体" w:hAnsi="宋体" w:cs="宋体"/>
          <w:color w:val="auto"/>
          <w:sz w:val="24"/>
          <w:lang w:val="zh-CN"/>
        </w:rPr>
        <w:t>凡符合《磋商文件》规定，承认本《磋商文件》所有内容的供应商为合格的供应商。</w:t>
      </w:r>
    </w:p>
    <w:p w14:paraId="653E2746">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1.3.2</w:t>
      </w:r>
      <w:r>
        <w:rPr>
          <w:rFonts w:hint="eastAsia" w:ascii="宋体" w:hAnsi="宋体" w:cs="宋体"/>
          <w:color w:val="auto"/>
          <w:sz w:val="24"/>
        </w:rPr>
        <w:t xml:space="preserve"> </w:t>
      </w:r>
      <w:r>
        <w:rPr>
          <w:rFonts w:hint="eastAsia" w:ascii="宋体" w:hAnsi="宋体" w:cs="宋体"/>
          <w:color w:val="auto"/>
          <w:sz w:val="24"/>
          <w:lang w:val="zh-CN"/>
        </w:rPr>
        <w:t>单位负责人为同一人或者存在直接控股、管理关系的不同供应商，不得参加同一合同项下的政府采购活动。</w:t>
      </w:r>
    </w:p>
    <w:p w14:paraId="391DF0C6">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1.3.3</w:t>
      </w:r>
      <w:r>
        <w:rPr>
          <w:rFonts w:hint="eastAsia" w:ascii="宋体" w:hAnsi="宋体" w:cs="宋体"/>
          <w:color w:val="auto"/>
          <w:sz w:val="24"/>
        </w:rPr>
        <w:t xml:space="preserve"> </w:t>
      </w:r>
      <w:r>
        <w:rPr>
          <w:rFonts w:hint="eastAsia" w:ascii="宋体" w:hAnsi="宋体" w:cs="宋体"/>
          <w:color w:val="auto"/>
          <w:sz w:val="24"/>
          <w:lang w:val="zh-CN"/>
        </w:rPr>
        <w:t>为采购项目提供整体设计、规范编制或者项目管理、监理、检测等服务的供应商，不得再参加该采购项目的其他采购活动。</w:t>
      </w:r>
    </w:p>
    <w:p w14:paraId="7E44D2BB">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1.3.4</w:t>
      </w:r>
      <w:r>
        <w:rPr>
          <w:rFonts w:hint="eastAsia" w:ascii="宋体" w:hAnsi="宋体" w:cs="宋体"/>
          <w:color w:val="auto"/>
          <w:sz w:val="24"/>
        </w:rPr>
        <w:t xml:space="preserve"> </w:t>
      </w:r>
      <w:r>
        <w:rPr>
          <w:rFonts w:hint="eastAsia" w:ascii="宋体" w:hAnsi="宋体" w:cs="宋体"/>
          <w:color w:val="auto"/>
          <w:sz w:val="24"/>
          <w:lang w:val="zh-CN"/>
        </w:rPr>
        <w:t>供应商应遵守国家法律、法规和《磋商文件》的规定。</w:t>
      </w:r>
    </w:p>
    <w:p w14:paraId="2CF6F451">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1.4</w:t>
      </w:r>
      <w:r>
        <w:rPr>
          <w:rFonts w:hint="eastAsia" w:ascii="宋体" w:hAnsi="宋体" w:cs="宋体"/>
          <w:b/>
          <w:color w:val="auto"/>
          <w:sz w:val="24"/>
        </w:rPr>
        <w:t xml:space="preserve"> </w:t>
      </w:r>
      <w:r>
        <w:rPr>
          <w:rFonts w:hint="eastAsia" w:ascii="宋体" w:hAnsi="宋体" w:cs="宋体"/>
          <w:b/>
          <w:color w:val="auto"/>
          <w:sz w:val="24"/>
          <w:lang w:val="zh-CN"/>
        </w:rPr>
        <w:t>联合体</w:t>
      </w:r>
    </w:p>
    <w:p w14:paraId="4B0D5500">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如供应商须知前附表规定接受联合体投标的，应遵守以下规定：</w:t>
      </w:r>
    </w:p>
    <w:p w14:paraId="6DC6B5B5">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676F5CA9">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（2）两个以上供应商可以组成一个投标联合体，以一个供应商的身份投标，但必须确定其中一个单位为投标的全权代表参加投标活动，并承担投标及履约中应承担的全部责任和义务。</w:t>
      </w:r>
    </w:p>
    <w:p w14:paraId="1357F983">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（3）以联合体形式参加投标的，应符</w:t>
      </w:r>
      <w:r>
        <w:rPr>
          <w:rFonts w:hint="eastAsia" w:ascii="宋体" w:hAnsi="宋体" w:cs="宋体"/>
          <w:color w:val="auto"/>
          <w:sz w:val="24"/>
        </w:rPr>
        <w:t>合</w:t>
      </w:r>
      <w:r>
        <w:rPr>
          <w:rFonts w:hint="eastAsia" w:ascii="宋体" w:hAnsi="宋体" w:cs="宋体"/>
          <w:color w:val="auto"/>
          <w:sz w:val="24"/>
          <w:lang w:val="zh-CN"/>
        </w:rPr>
        <w:t>供应商须知前附表的要求，联合体各方均应当符合政府采购法第二十二条第一款规定的条件，联合体各方均应当具备承担采购项目（标段&lt;包&gt;）的相应能力、具备规定的相应资格条件。</w:t>
      </w:r>
    </w:p>
    <w:p w14:paraId="6929AE62">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（4）联合体中有同类资质的供应商按照联合体分工承担相同工作的，应当按照资质等级较低的供应商确定资质等级。</w:t>
      </w:r>
    </w:p>
    <w:p w14:paraId="7F8027C1">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（5）联合体各方之间应当签订联合投标协议，明确约定联合体各方承担的工作和相应的责任，并将联合投标协议连同《响应文件》一并提交采购代理机构。</w:t>
      </w:r>
    </w:p>
    <w:p w14:paraId="3EC5549F">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（6）联合体各方签订联合投标协议后，不得再以自己名义单独在同一项目中投标，也不得组成新的联合体参加同一项目投标。</w:t>
      </w:r>
    </w:p>
    <w:p w14:paraId="3FE1109E">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（7）联合体中标（成交）的，联合体各方应当共同与采购人签订合同，就中标（成交）项目（标段&lt;包&gt;）向采购人承担连带责任。</w:t>
      </w:r>
    </w:p>
    <w:p w14:paraId="743EC6A9">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（8）预留中小企业份额项目中，</w:t>
      </w:r>
      <w:r>
        <w:rPr>
          <w:rFonts w:hint="eastAsia" w:ascii="宋体" w:hAnsi="宋体" w:cs="宋体"/>
          <w:color w:val="auto"/>
          <w:sz w:val="24"/>
          <w:szCs w:val="24"/>
        </w:rPr>
        <w:t>组成联合体的中小企业与联合体内其他企业不得存在直接控股、管理关系。</w:t>
      </w:r>
    </w:p>
    <w:p w14:paraId="3685E19A">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1.5</w:t>
      </w:r>
      <w:r>
        <w:rPr>
          <w:rFonts w:hint="eastAsia" w:ascii="宋体" w:hAnsi="宋体" w:cs="宋体"/>
          <w:b/>
          <w:color w:val="auto"/>
          <w:sz w:val="24"/>
        </w:rPr>
        <w:t xml:space="preserve"> </w:t>
      </w:r>
      <w:r>
        <w:rPr>
          <w:rFonts w:hint="eastAsia" w:ascii="宋体" w:hAnsi="宋体" w:cs="宋体"/>
          <w:b/>
          <w:color w:val="auto"/>
          <w:sz w:val="24"/>
          <w:lang w:val="zh-CN"/>
        </w:rPr>
        <w:t>知识产权</w:t>
      </w:r>
    </w:p>
    <w:p w14:paraId="6F3C8B2D">
      <w:pPr>
        <w:spacing w:line="360" w:lineRule="auto"/>
        <w:ind w:firstLine="480" w:firstLineChars="200"/>
        <w:rPr>
          <w:rFonts w:ascii="宋体" w:hAnsi="宋体" w:cs="宋体"/>
          <w:color w:val="auto"/>
          <w:sz w:val="24"/>
        </w:rPr>
      </w:pPr>
      <w:r>
        <w:rPr>
          <w:rFonts w:hint="eastAsia" w:ascii="宋体" w:hAnsi="宋体" w:cs="宋体"/>
          <w:color w:val="auto"/>
          <w:sz w:val="24"/>
          <w:lang w:val="zh-CN"/>
        </w:rPr>
        <w:t>1.5.1</w:t>
      </w:r>
      <w:r>
        <w:rPr>
          <w:rFonts w:hint="eastAsia" w:ascii="宋体" w:hAnsi="宋体" w:cs="宋体"/>
          <w:color w:val="auto"/>
          <w:sz w:val="24"/>
        </w:rPr>
        <w:t xml:space="preserve"> </w:t>
      </w:r>
      <w:r>
        <w:rPr>
          <w:rFonts w:hint="eastAsia" w:ascii="宋体" w:hAnsi="宋体" w:cs="宋体"/>
          <w:color w:val="auto"/>
          <w:sz w:val="24"/>
          <w:lang w:val="zh-CN"/>
        </w:rPr>
        <w:t>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s="宋体"/>
          <w:color w:val="auto"/>
          <w:sz w:val="24"/>
        </w:rPr>
        <w:t>如因专利权、商标权或其它知识产权而引起法律和经济纠纷，由供应商承担所有相关责任。</w:t>
      </w:r>
    </w:p>
    <w:p w14:paraId="3757A243">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如供应商不拥有相应的知识产权，则在投标报价中必须包括合法获取该知识产权的一切相关费用。如因此导致采购人损失的，供应商须承担全部赔偿责任。</w:t>
      </w:r>
    </w:p>
    <w:p w14:paraId="65E4A2A7">
      <w:pPr>
        <w:spacing w:line="360" w:lineRule="auto"/>
        <w:ind w:firstLine="480" w:firstLineChars="200"/>
        <w:jc w:val="left"/>
        <w:rPr>
          <w:rFonts w:ascii="宋体" w:hAnsi="宋体" w:cs="宋体"/>
          <w:color w:val="auto"/>
          <w:sz w:val="24"/>
        </w:rPr>
      </w:pPr>
      <w:r>
        <w:rPr>
          <w:rFonts w:hint="eastAsia" w:ascii="宋体" w:hAnsi="宋体" w:cs="宋体"/>
          <w:color w:val="auto"/>
          <w:sz w:val="24"/>
        </w:rPr>
        <w:t>1.5.2 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19CF988F">
      <w:pPr>
        <w:spacing w:line="360" w:lineRule="auto"/>
        <w:ind w:firstLine="480" w:firstLineChars="200"/>
        <w:jc w:val="left"/>
        <w:rPr>
          <w:rFonts w:ascii="宋体" w:hAnsi="宋体" w:cs="宋体"/>
          <w:color w:val="auto"/>
          <w:sz w:val="24"/>
        </w:rPr>
      </w:pPr>
      <w:r>
        <w:rPr>
          <w:rFonts w:hint="eastAsia" w:ascii="宋体" w:hAnsi="宋体" w:cs="宋体"/>
          <w:color w:val="auto"/>
          <w:sz w:val="24"/>
        </w:rPr>
        <w:t>1.5.3 除非磋商文件特别规定，采购人享有本项目实施过程中产生的知识成果及知识产权。</w:t>
      </w:r>
    </w:p>
    <w:p w14:paraId="2E2002D3">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1.6</w:t>
      </w:r>
      <w:r>
        <w:rPr>
          <w:rFonts w:hint="eastAsia" w:ascii="宋体" w:hAnsi="宋体" w:cs="宋体"/>
          <w:b/>
          <w:color w:val="auto"/>
          <w:sz w:val="24"/>
        </w:rPr>
        <w:t xml:space="preserve"> </w:t>
      </w:r>
      <w:r>
        <w:rPr>
          <w:rFonts w:hint="eastAsia" w:ascii="宋体" w:hAnsi="宋体" w:cs="宋体"/>
          <w:b/>
          <w:color w:val="auto"/>
          <w:sz w:val="24"/>
          <w:lang w:val="zh-CN"/>
        </w:rPr>
        <w:t>费用</w:t>
      </w:r>
    </w:p>
    <w:p w14:paraId="573CDC14">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无论磋商过程中的做法和结果如何，无论何种原因的磋商失败或终止，供应商应自行承担所有与准备和参加磋商有关的全部费用（类比商业采购中的客户洽谈费用），采购代理机构在任何情况下均无义务和责任承担供应商的任何费用。</w:t>
      </w:r>
    </w:p>
    <w:p w14:paraId="6EF4830B">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1.7</w:t>
      </w:r>
      <w:r>
        <w:rPr>
          <w:rFonts w:hint="eastAsia" w:ascii="宋体" w:hAnsi="宋体" w:cs="宋体"/>
          <w:b/>
          <w:color w:val="auto"/>
          <w:sz w:val="24"/>
        </w:rPr>
        <w:t xml:space="preserve"> </w:t>
      </w:r>
      <w:r>
        <w:rPr>
          <w:rFonts w:hint="eastAsia" w:ascii="宋体" w:hAnsi="宋体" w:cs="宋体"/>
          <w:b/>
          <w:color w:val="auto"/>
          <w:sz w:val="24"/>
          <w:lang w:val="zh-CN"/>
        </w:rPr>
        <w:t>保密</w:t>
      </w:r>
    </w:p>
    <w:p w14:paraId="1DB28BD4">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1.7.1</w:t>
      </w:r>
      <w:r>
        <w:rPr>
          <w:rFonts w:hint="eastAsia" w:ascii="宋体" w:hAnsi="宋体" w:cs="宋体"/>
          <w:color w:val="auto"/>
          <w:sz w:val="24"/>
        </w:rPr>
        <w:t xml:space="preserve"> </w:t>
      </w:r>
      <w:r>
        <w:rPr>
          <w:rFonts w:hint="eastAsia" w:ascii="宋体" w:hAnsi="宋体" w:cs="宋体"/>
          <w:color w:val="auto"/>
          <w:sz w:val="24"/>
          <w:lang w:val="zh-CN"/>
        </w:rPr>
        <w:t>参与竞争性磋商活动的各方应对《磋商文件》和《响应文件》中的商业和技术等秘密保密，供应商应在《响应文件》中对需保密事项予以书面声明，否则视为非保密事项。</w:t>
      </w:r>
    </w:p>
    <w:p w14:paraId="7FFA50E9">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1.7.2</w:t>
      </w:r>
      <w:r>
        <w:rPr>
          <w:rFonts w:hint="eastAsia" w:ascii="宋体" w:hAnsi="宋体" w:cs="宋体"/>
          <w:color w:val="auto"/>
          <w:sz w:val="24"/>
        </w:rPr>
        <w:t xml:space="preserve"> </w:t>
      </w:r>
      <w:r>
        <w:rPr>
          <w:rFonts w:hint="eastAsia" w:ascii="宋体" w:hAnsi="宋体" w:cs="宋体"/>
          <w:color w:val="auto"/>
          <w:sz w:val="24"/>
          <w:lang w:val="zh-CN"/>
        </w:rPr>
        <w:t>依据政府采购成交结果及合同公告规定，成交（合同）标的名称、规格型号、单价及成交（合同）金额等内容不得作为商业秘密。</w:t>
      </w:r>
    </w:p>
    <w:p w14:paraId="70B0460B">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1.8</w:t>
      </w:r>
      <w:r>
        <w:rPr>
          <w:rFonts w:hint="eastAsia" w:ascii="宋体" w:hAnsi="宋体" w:cs="宋体"/>
          <w:b/>
          <w:color w:val="auto"/>
          <w:sz w:val="24"/>
        </w:rPr>
        <w:t xml:space="preserve"> </w:t>
      </w:r>
      <w:r>
        <w:rPr>
          <w:rFonts w:hint="eastAsia" w:ascii="宋体" w:hAnsi="宋体" w:cs="宋体"/>
          <w:b/>
          <w:color w:val="auto"/>
          <w:sz w:val="24"/>
          <w:lang w:val="zh-CN"/>
        </w:rPr>
        <w:t>语言文字</w:t>
      </w:r>
    </w:p>
    <w:p w14:paraId="62E039DA">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除专用术语外，与竞争性磋商有关的语言均使用中文。必要时专用术语应附有中文注释。如果《响应文件》或与投标有关的其它文件、信件及来往函电以其它语言书写，供应商应将其译成中文，并对中文译稿的真实、准确、完整承担责任。</w:t>
      </w:r>
    </w:p>
    <w:p w14:paraId="02A5DD3B">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1.9</w:t>
      </w:r>
      <w:r>
        <w:rPr>
          <w:rFonts w:hint="eastAsia" w:ascii="宋体" w:hAnsi="宋体" w:cs="宋体"/>
          <w:b/>
          <w:color w:val="auto"/>
          <w:sz w:val="24"/>
        </w:rPr>
        <w:t xml:space="preserve"> </w:t>
      </w:r>
      <w:r>
        <w:rPr>
          <w:rFonts w:hint="eastAsia" w:ascii="宋体" w:hAnsi="宋体" w:cs="宋体"/>
          <w:b/>
          <w:color w:val="auto"/>
          <w:sz w:val="24"/>
          <w:lang w:val="zh-CN"/>
        </w:rPr>
        <w:t>计量单位</w:t>
      </w:r>
    </w:p>
    <w:p w14:paraId="76AA0531">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所有计量均采用中华人民共和国法定计量单位。</w:t>
      </w:r>
    </w:p>
    <w:p w14:paraId="7A1E2C77">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1.10</w:t>
      </w:r>
      <w:r>
        <w:rPr>
          <w:rFonts w:hint="eastAsia" w:ascii="宋体" w:hAnsi="宋体" w:cs="宋体"/>
          <w:b/>
          <w:color w:val="auto"/>
          <w:sz w:val="24"/>
        </w:rPr>
        <w:t xml:space="preserve"> </w:t>
      </w:r>
      <w:r>
        <w:rPr>
          <w:rFonts w:hint="eastAsia" w:ascii="宋体" w:hAnsi="宋体" w:cs="宋体"/>
          <w:b/>
          <w:color w:val="auto"/>
          <w:sz w:val="24"/>
          <w:lang w:val="zh-CN"/>
        </w:rPr>
        <w:t>踏勘现场</w:t>
      </w:r>
    </w:p>
    <w:p w14:paraId="216546E7">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1.10.1</w:t>
      </w:r>
      <w:r>
        <w:rPr>
          <w:rFonts w:hint="eastAsia" w:ascii="宋体" w:hAnsi="宋体" w:cs="宋体"/>
          <w:color w:val="auto"/>
          <w:sz w:val="24"/>
        </w:rPr>
        <w:t xml:space="preserve"> </w:t>
      </w:r>
      <w:r>
        <w:rPr>
          <w:rFonts w:hint="eastAsia" w:ascii="宋体" w:hAnsi="宋体" w:cs="宋体"/>
          <w:color w:val="auto"/>
          <w:sz w:val="24"/>
          <w:lang w:val="zh-CN"/>
        </w:rPr>
        <w:t>供应商踏勘现场发生的费用自理，供应商自行负责在踏勘现场中所发生的人员伤亡和财产损失。</w:t>
      </w:r>
    </w:p>
    <w:p w14:paraId="2B6BCD4F">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1.10.2</w:t>
      </w:r>
      <w:r>
        <w:rPr>
          <w:rFonts w:hint="eastAsia" w:ascii="宋体" w:hAnsi="宋体" w:cs="宋体"/>
          <w:color w:val="auto"/>
          <w:sz w:val="24"/>
        </w:rPr>
        <w:t xml:space="preserve"> </w:t>
      </w:r>
      <w:r>
        <w:rPr>
          <w:rFonts w:hint="eastAsia" w:ascii="宋体" w:hAnsi="宋体" w:cs="宋体"/>
          <w:color w:val="auto"/>
          <w:sz w:val="24"/>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14:paraId="3BDFE269">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1.10.3</w:t>
      </w:r>
      <w:r>
        <w:rPr>
          <w:rFonts w:hint="eastAsia" w:ascii="宋体" w:hAnsi="宋体" w:cs="宋体"/>
          <w:color w:val="auto"/>
          <w:sz w:val="24"/>
        </w:rPr>
        <w:t xml:space="preserve"> </w:t>
      </w:r>
      <w:r>
        <w:rPr>
          <w:rFonts w:hint="eastAsia" w:ascii="宋体" w:hAnsi="宋体" w:cs="宋体"/>
          <w:color w:val="auto"/>
          <w:sz w:val="24"/>
          <w:lang w:val="zh-CN"/>
        </w:rPr>
        <w:t>供应商须知前附表规定不组织踏勘现场的，《磋商文件》不单独提供交验地自然环境、气候条件、交验安装条件等情况说明，供应商被视为熟悉前述与履行合同有关的一切情况，供应商可自行踏勘现场并自行了解相关情况。</w:t>
      </w:r>
    </w:p>
    <w:p w14:paraId="7D9A9618">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1.11</w:t>
      </w:r>
      <w:r>
        <w:rPr>
          <w:rFonts w:hint="eastAsia" w:ascii="宋体" w:hAnsi="宋体" w:cs="宋体"/>
          <w:b/>
          <w:color w:val="auto"/>
          <w:sz w:val="24"/>
        </w:rPr>
        <w:t xml:space="preserve"> </w:t>
      </w:r>
      <w:r>
        <w:rPr>
          <w:rFonts w:hint="eastAsia" w:ascii="宋体" w:hAnsi="宋体" w:cs="宋体"/>
          <w:b/>
          <w:color w:val="auto"/>
          <w:sz w:val="24"/>
          <w:lang w:val="zh-CN"/>
        </w:rPr>
        <w:t>投标预备会</w:t>
      </w:r>
    </w:p>
    <w:p w14:paraId="1C65A8AE">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1.11.1</w:t>
      </w:r>
      <w:r>
        <w:rPr>
          <w:rFonts w:hint="eastAsia" w:ascii="宋体" w:hAnsi="宋体" w:cs="宋体"/>
          <w:color w:val="auto"/>
          <w:sz w:val="24"/>
        </w:rPr>
        <w:t xml:space="preserve"> </w:t>
      </w:r>
      <w:r>
        <w:rPr>
          <w:rFonts w:hint="eastAsia" w:ascii="宋体" w:hAnsi="宋体" w:cs="宋体"/>
          <w:color w:val="auto"/>
          <w:sz w:val="24"/>
          <w:lang w:val="zh-CN"/>
        </w:rPr>
        <w:t>供应商须知前附表规定召开投标预备会的，采购人及代理机构按供应商须知前附表规定的时间和地点召开投标预备会，澄清供应商提出的问题。</w:t>
      </w:r>
    </w:p>
    <w:p w14:paraId="4279C394">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1.11.2</w:t>
      </w:r>
      <w:r>
        <w:rPr>
          <w:rFonts w:hint="eastAsia" w:ascii="宋体" w:hAnsi="宋体" w:cs="宋体"/>
          <w:color w:val="auto"/>
          <w:sz w:val="24"/>
        </w:rPr>
        <w:t xml:space="preserve"> </w:t>
      </w:r>
      <w:r>
        <w:rPr>
          <w:rFonts w:hint="eastAsia" w:ascii="宋体" w:hAnsi="宋体" w:cs="宋体"/>
          <w:color w:val="auto"/>
          <w:sz w:val="24"/>
          <w:lang w:val="zh-CN"/>
        </w:rPr>
        <w:t>供应商应在供应商须知前附表规定的时间前，以书面形式将提出的问题送达采购人及代理机构，以便采购人及代理机构在会议期间澄清。</w:t>
      </w:r>
    </w:p>
    <w:p w14:paraId="0DEB1A0C">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1.11.3</w:t>
      </w:r>
      <w:r>
        <w:rPr>
          <w:rFonts w:hint="eastAsia" w:ascii="宋体" w:hAnsi="宋体" w:cs="宋体"/>
          <w:color w:val="auto"/>
          <w:sz w:val="24"/>
        </w:rPr>
        <w:t xml:space="preserve"> </w:t>
      </w:r>
      <w:r>
        <w:rPr>
          <w:rFonts w:hint="eastAsia" w:ascii="宋体" w:hAnsi="宋体" w:cs="宋体"/>
          <w:color w:val="auto"/>
          <w:sz w:val="24"/>
          <w:lang w:val="zh-CN"/>
        </w:rPr>
        <w:t>投标预备会后，采购人及代理机构在供应商须知前附表规定的时间内，将对供应商所提问题的澄清，以本章2.3.2项方式通告潜在供应商。该澄清内容为《磋商文件》的组成部分。</w:t>
      </w:r>
    </w:p>
    <w:p w14:paraId="29026DB5">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1.12</w:t>
      </w:r>
      <w:r>
        <w:rPr>
          <w:rFonts w:hint="eastAsia" w:ascii="宋体" w:hAnsi="宋体" w:cs="宋体"/>
          <w:b/>
          <w:color w:val="auto"/>
          <w:sz w:val="24"/>
        </w:rPr>
        <w:t xml:space="preserve"> </w:t>
      </w:r>
      <w:r>
        <w:rPr>
          <w:rFonts w:hint="eastAsia" w:ascii="宋体" w:hAnsi="宋体" w:cs="宋体"/>
          <w:b/>
          <w:color w:val="auto"/>
          <w:sz w:val="24"/>
          <w:lang w:val="zh-CN"/>
        </w:rPr>
        <w:t>分包</w:t>
      </w:r>
    </w:p>
    <w:p w14:paraId="0F0AA81E">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供应商拟在成交后将成交项目(标段&lt;包&gt;)的部分非主体、非关键性工作进行分包的，应符合供应商须知前附表规定的分包内容、分包金额和接受分包的第三人资质要求等限制性条件。</w:t>
      </w:r>
    </w:p>
    <w:p w14:paraId="4FC541ED">
      <w:pPr>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lang w:val="zh-CN"/>
        </w:rPr>
        <w:t>预留中小企业份额项目中，</w:t>
      </w:r>
      <w:r>
        <w:rPr>
          <w:rFonts w:hint="eastAsia" w:ascii="宋体" w:hAnsi="宋体" w:cs="宋体"/>
          <w:color w:val="auto"/>
          <w:sz w:val="24"/>
          <w:szCs w:val="24"/>
        </w:rPr>
        <w:t>接受分包合同的中小企业与分包企业之间不得存在直接控股、管理关系。</w:t>
      </w:r>
    </w:p>
    <w:p w14:paraId="16D407D0">
      <w:pPr>
        <w:autoSpaceDE w:val="0"/>
        <w:autoSpaceDN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依法享受扶持政策获得政府采购合同的，小微企业不得将合同分包给大中型企业，中型企业不得将合同分包给大型企业。</w:t>
      </w:r>
    </w:p>
    <w:p w14:paraId="44BA674F">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1.13</w:t>
      </w:r>
      <w:r>
        <w:rPr>
          <w:rFonts w:hint="eastAsia" w:ascii="宋体" w:hAnsi="宋体" w:cs="宋体"/>
          <w:b/>
          <w:color w:val="auto"/>
          <w:sz w:val="24"/>
        </w:rPr>
        <w:t xml:space="preserve"> </w:t>
      </w:r>
      <w:r>
        <w:rPr>
          <w:rFonts w:hint="eastAsia" w:ascii="宋体" w:hAnsi="宋体" w:cs="宋体"/>
          <w:b/>
          <w:color w:val="auto"/>
          <w:sz w:val="24"/>
          <w:lang w:val="zh-CN"/>
        </w:rPr>
        <w:t>偏离</w:t>
      </w:r>
    </w:p>
    <w:p w14:paraId="35148226">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《磋商文件》允许《响应文件》偏离《磋商文件》某些要求的，偏离应当符合《磋商文件》规定的偏离范围和幅度。</w:t>
      </w:r>
    </w:p>
    <w:p w14:paraId="350B3656">
      <w:pPr>
        <w:autoSpaceDE w:val="0"/>
        <w:autoSpaceDN w:val="0"/>
        <w:adjustRightInd w:val="0"/>
        <w:snapToGrid w:val="0"/>
        <w:spacing w:line="360" w:lineRule="auto"/>
        <w:ind w:firstLine="562" w:firstLineChars="200"/>
        <w:outlineLvl w:val="1"/>
        <w:rPr>
          <w:rFonts w:ascii="宋体" w:hAnsi="宋体" w:cs="宋体"/>
          <w:b/>
          <w:bCs/>
          <w:color w:val="auto"/>
          <w:sz w:val="28"/>
          <w:szCs w:val="28"/>
          <w:lang w:val="zh-CN"/>
        </w:rPr>
      </w:pPr>
      <w:bookmarkStart w:id="26" w:name="_Toc96605339"/>
      <w:bookmarkStart w:id="27" w:name="_Toc28326"/>
      <w:r>
        <w:rPr>
          <w:rFonts w:hint="eastAsia" w:ascii="宋体" w:hAnsi="宋体" w:cs="宋体"/>
          <w:b/>
          <w:bCs/>
          <w:color w:val="auto"/>
          <w:sz w:val="28"/>
          <w:szCs w:val="28"/>
          <w:lang w:val="zh-CN"/>
        </w:rPr>
        <w:t>2.《磋商文件》</w:t>
      </w:r>
      <w:bookmarkEnd w:id="26"/>
      <w:bookmarkEnd w:id="27"/>
    </w:p>
    <w:p w14:paraId="72BD0642">
      <w:pPr>
        <w:autoSpaceDE w:val="0"/>
        <w:autoSpaceDN w:val="0"/>
        <w:adjustRightInd w:val="0"/>
        <w:snapToGrid w:val="0"/>
        <w:spacing w:line="360" w:lineRule="auto"/>
        <w:ind w:firstLine="482" w:firstLineChars="200"/>
        <w:rPr>
          <w:rFonts w:ascii="宋体" w:hAnsi="宋体" w:cs="宋体"/>
          <w:color w:val="auto"/>
          <w:sz w:val="24"/>
          <w:lang w:val="zh-CN"/>
        </w:rPr>
      </w:pPr>
      <w:r>
        <w:rPr>
          <w:rFonts w:hint="eastAsia" w:ascii="宋体" w:hAnsi="宋体" w:cs="宋体"/>
          <w:b/>
          <w:color w:val="auto"/>
          <w:sz w:val="24"/>
          <w:lang w:val="zh-CN"/>
        </w:rPr>
        <w:t>2.1</w:t>
      </w:r>
      <w:r>
        <w:rPr>
          <w:rFonts w:hint="eastAsia" w:ascii="宋体" w:hAnsi="宋体" w:cs="宋体"/>
          <w:b/>
          <w:color w:val="auto"/>
          <w:sz w:val="24"/>
        </w:rPr>
        <w:t xml:space="preserve"> </w:t>
      </w:r>
      <w:r>
        <w:rPr>
          <w:rFonts w:hint="eastAsia" w:ascii="宋体" w:hAnsi="宋体" w:cs="宋体"/>
          <w:b/>
          <w:color w:val="auto"/>
          <w:sz w:val="24"/>
          <w:lang w:val="zh-CN"/>
        </w:rPr>
        <w:t>《磋商文件》的组成</w:t>
      </w:r>
    </w:p>
    <w:p w14:paraId="42F6DA37">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2.1.1</w:t>
      </w:r>
      <w:r>
        <w:rPr>
          <w:rFonts w:hint="eastAsia" w:ascii="宋体" w:hAnsi="宋体" w:cs="宋体"/>
          <w:color w:val="auto"/>
          <w:sz w:val="24"/>
        </w:rPr>
        <w:t xml:space="preserve"> </w:t>
      </w:r>
      <w:r>
        <w:rPr>
          <w:rFonts w:hint="eastAsia" w:ascii="宋体" w:hAnsi="宋体" w:cs="宋体"/>
          <w:color w:val="auto"/>
          <w:sz w:val="24"/>
          <w:lang w:val="zh-CN"/>
        </w:rPr>
        <w:t>《磋商文件》用以阐明采购项目的内容、程序和合同主要条款。《磋商文件》由下述部分组成：</w:t>
      </w:r>
    </w:p>
    <w:p w14:paraId="3DFC95A0">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（1）竞争性磋商公告</w:t>
      </w:r>
    </w:p>
    <w:p w14:paraId="0D61D90A">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（2）采购项目及服务要求</w:t>
      </w:r>
    </w:p>
    <w:p w14:paraId="45C4706C">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（3）供应商须知</w:t>
      </w:r>
    </w:p>
    <w:p w14:paraId="1C68C3BC">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（4）评审办法</w:t>
      </w:r>
    </w:p>
    <w:p w14:paraId="68EF4416">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（5）合同主要条款</w:t>
      </w:r>
    </w:p>
    <w:p w14:paraId="725D1887">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（6）《响应文件》格式</w:t>
      </w:r>
    </w:p>
    <w:p w14:paraId="57E9D12A">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2.1.2</w:t>
      </w:r>
      <w:r>
        <w:rPr>
          <w:rFonts w:hint="eastAsia" w:ascii="宋体" w:hAnsi="宋体" w:cs="宋体"/>
          <w:color w:val="auto"/>
          <w:sz w:val="24"/>
        </w:rPr>
        <w:t xml:space="preserve"> </w:t>
      </w:r>
      <w:r>
        <w:rPr>
          <w:rFonts w:hint="eastAsia" w:ascii="宋体" w:hAnsi="宋体" w:cs="宋体"/>
          <w:color w:val="auto"/>
          <w:sz w:val="24"/>
          <w:lang w:val="zh-CN"/>
        </w:rPr>
        <w:t>根据本章第1.11款、第2.2款和第2.3款、对《磋商文件》的澄清、修改、补充书构成《磋商文件》的组成部分，并取代《磋商文件》中被澄清、修改处，对所有供应商均有约束力。</w:t>
      </w:r>
    </w:p>
    <w:p w14:paraId="2A6FA071">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2.1.3</w:t>
      </w:r>
      <w:r>
        <w:rPr>
          <w:rFonts w:hint="eastAsia" w:ascii="宋体" w:hAnsi="宋体" w:cs="宋体"/>
          <w:color w:val="auto"/>
          <w:sz w:val="24"/>
        </w:rPr>
        <w:t xml:space="preserve"> </w:t>
      </w:r>
      <w:r>
        <w:rPr>
          <w:rFonts w:hint="eastAsia" w:ascii="宋体" w:hAnsi="宋体" w:cs="宋体"/>
          <w:color w:val="auto"/>
          <w:sz w:val="24"/>
          <w:lang w:val="zh-CN"/>
        </w:rPr>
        <w:t>当《磋商文件》、《磋商文件》的澄清、修改、补充等在同一内容的表述上不一致时，以最后发出（发布）的文件为准。</w:t>
      </w:r>
    </w:p>
    <w:p w14:paraId="149BD87C">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2.1.4</w:t>
      </w:r>
      <w:r>
        <w:rPr>
          <w:rFonts w:hint="eastAsia" w:ascii="宋体" w:hAnsi="宋体" w:cs="宋体"/>
          <w:color w:val="auto"/>
          <w:sz w:val="24"/>
        </w:rPr>
        <w:t xml:space="preserve"> </w:t>
      </w:r>
      <w:r>
        <w:rPr>
          <w:rFonts w:hint="eastAsia" w:ascii="宋体" w:hAnsi="宋体" w:cs="宋体"/>
          <w:color w:val="auto"/>
          <w:sz w:val="24"/>
          <w:lang w:val="zh-CN"/>
        </w:rPr>
        <w:t>供应商与任何人的口头协议不影响《磋商文件》的任何条款和内容。</w:t>
      </w:r>
    </w:p>
    <w:p w14:paraId="1F206774">
      <w:pPr>
        <w:autoSpaceDE w:val="0"/>
        <w:autoSpaceDN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2.1.5 供应商应仔细阅读和检查《磋商文件》的全部内容是否齐全，如发现缺页或附件不全等遗漏，应及时向采购代理机构提出并索取补齐，否则责任及风险自负。</w:t>
      </w:r>
    </w:p>
    <w:p w14:paraId="6E385E0F">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2.2</w:t>
      </w:r>
      <w:r>
        <w:rPr>
          <w:rFonts w:hint="eastAsia" w:ascii="宋体" w:hAnsi="宋体" w:cs="宋体"/>
          <w:b/>
          <w:color w:val="auto"/>
          <w:sz w:val="24"/>
        </w:rPr>
        <w:t xml:space="preserve"> </w:t>
      </w:r>
      <w:r>
        <w:rPr>
          <w:rFonts w:hint="eastAsia" w:ascii="宋体" w:hAnsi="宋体" w:cs="宋体"/>
          <w:b/>
          <w:color w:val="auto"/>
          <w:sz w:val="24"/>
          <w:lang w:val="zh-CN"/>
        </w:rPr>
        <w:t>《磋商文件》的澄清</w:t>
      </w:r>
    </w:p>
    <w:p w14:paraId="005E8B9D">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2.2.1</w:t>
      </w:r>
      <w:r>
        <w:rPr>
          <w:rFonts w:hint="eastAsia" w:ascii="宋体" w:hAnsi="宋体" w:cs="宋体"/>
          <w:color w:val="auto"/>
          <w:sz w:val="24"/>
        </w:rPr>
        <w:t xml:space="preserve"> </w:t>
      </w:r>
      <w:r>
        <w:rPr>
          <w:rFonts w:hint="eastAsia" w:ascii="宋体" w:hAnsi="宋体" w:cs="宋体"/>
          <w:color w:val="auto"/>
          <w:sz w:val="24"/>
          <w:lang w:val="zh-CN"/>
        </w:rPr>
        <w:t>合规获取《磋商文件》的所有潜在供应商对《磋商文件》如有需澄清的疑问，应在供应商须知前附表规定的时间内按竞争性磋商公告中载明的地址以纸质书面形式通知到采购代理机构。在规定的时间内未提出疑问的，将视为对《磋商文件》的完全认可。</w:t>
      </w:r>
    </w:p>
    <w:p w14:paraId="1651C6D9">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2.2.2</w:t>
      </w:r>
      <w:r>
        <w:rPr>
          <w:rFonts w:hint="eastAsia" w:ascii="宋体" w:hAnsi="宋体" w:cs="宋体"/>
          <w:color w:val="auto"/>
          <w:sz w:val="24"/>
        </w:rPr>
        <w:t xml:space="preserve"> </w:t>
      </w:r>
      <w:r>
        <w:rPr>
          <w:rFonts w:hint="eastAsia" w:ascii="宋体" w:hAnsi="宋体" w:cs="宋体"/>
          <w:color w:val="auto"/>
          <w:sz w:val="24"/>
          <w:lang w:val="zh-CN"/>
        </w:rPr>
        <w:t>采购代理机构对潜在供应商在规定的时间内提出的疑问，将视情况以书面形式予以答复，并在其认为必要时，将不标明查询来源的书面答复，在“竞争性磋商公告”所述媒体通告所有潜在供应商。</w:t>
      </w:r>
    </w:p>
    <w:p w14:paraId="5F474F4E">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2.2.3</w:t>
      </w:r>
      <w:r>
        <w:rPr>
          <w:rFonts w:hint="eastAsia" w:ascii="宋体" w:hAnsi="宋体" w:cs="宋体"/>
          <w:color w:val="auto"/>
          <w:sz w:val="24"/>
        </w:rPr>
        <w:t xml:space="preserve"> </w:t>
      </w:r>
      <w:r>
        <w:rPr>
          <w:rFonts w:hint="eastAsia" w:ascii="宋体" w:hAnsi="宋体" w:cs="宋体"/>
          <w:color w:val="auto"/>
          <w:sz w:val="24"/>
          <w:lang w:val="zh-CN"/>
        </w:rPr>
        <w:t>《磋商文件》中如有不符合国家有关强制性规定、不符合国家标准及行业标准的，供应商应在投标阶段或成交实施阶段予以纠正或尽提醒义务。如作为有经验的供应商（中标人）应当知道而未尽提醒义务的，执行指令而造成的损失及风险由供应商（中标人）承担。</w:t>
      </w:r>
    </w:p>
    <w:p w14:paraId="509655D9">
      <w:pPr>
        <w:adjustRightInd w:val="0"/>
        <w:snapToGrid w:val="0"/>
        <w:spacing w:line="360" w:lineRule="auto"/>
        <w:ind w:firstLine="480" w:firstLineChars="200"/>
        <w:jc w:val="left"/>
        <w:rPr>
          <w:rFonts w:ascii="宋体" w:hAnsi="宋体" w:cs="宋体"/>
          <w:color w:val="auto"/>
          <w:sz w:val="24"/>
          <w:lang w:val="zh-CN"/>
        </w:rPr>
      </w:pPr>
      <w:r>
        <w:rPr>
          <w:rFonts w:hint="eastAsia" w:ascii="宋体" w:hAnsi="宋体" w:cs="宋体"/>
          <w:color w:val="auto"/>
          <w:sz w:val="24"/>
          <w:lang w:val="zh-CN"/>
        </w:rPr>
        <w:t>2.2.4</w:t>
      </w:r>
      <w:r>
        <w:rPr>
          <w:rFonts w:hint="eastAsia" w:ascii="宋体" w:hAnsi="宋体" w:cs="宋体"/>
          <w:color w:val="auto"/>
          <w:sz w:val="24"/>
        </w:rPr>
        <w:t xml:space="preserve"> </w:t>
      </w:r>
      <w:r>
        <w:rPr>
          <w:rFonts w:hint="eastAsia" w:ascii="宋体" w:hAnsi="宋体" w:cs="宋体"/>
          <w:color w:val="auto"/>
          <w:sz w:val="24"/>
          <w:lang w:val="zh-CN"/>
        </w:rPr>
        <w:t>采购代理机构可视情况在投标截止前答疑。</w:t>
      </w:r>
    </w:p>
    <w:p w14:paraId="3BB06BD4">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2.3</w:t>
      </w:r>
      <w:r>
        <w:rPr>
          <w:rFonts w:hint="eastAsia" w:ascii="宋体" w:hAnsi="宋体" w:cs="宋体"/>
          <w:b/>
          <w:color w:val="auto"/>
          <w:sz w:val="24"/>
        </w:rPr>
        <w:t xml:space="preserve"> </w:t>
      </w:r>
      <w:r>
        <w:rPr>
          <w:rFonts w:hint="eastAsia" w:ascii="宋体" w:hAnsi="宋体" w:cs="宋体"/>
          <w:b/>
          <w:color w:val="auto"/>
          <w:sz w:val="24"/>
          <w:lang w:val="zh-CN"/>
        </w:rPr>
        <w:t>《磋商文件》的澄清、修改、补充</w:t>
      </w:r>
    </w:p>
    <w:p w14:paraId="069CAADD">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2.3.1</w:t>
      </w:r>
      <w:r>
        <w:rPr>
          <w:rFonts w:hint="eastAsia" w:ascii="宋体" w:hAnsi="宋体" w:cs="宋体"/>
          <w:color w:val="auto"/>
          <w:sz w:val="24"/>
        </w:rPr>
        <w:t xml:space="preserve"> </w:t>
      </w:r>
      <w:r>
        <w:rPr>
          <w:rFonts w:hint="eastAsia" w:ascii="宋体" w:hAnsi="宋体" w:cs="宋体"/>
          <w:color w:val="auto"/>
          <w:sz w:val="24"/>
          <w:lang w:val="zh-CN"/>
        </w:rPr>
        <w:t>采购人、代理机构在投标截止时间前有权澄清修改、补充已发售的《磋商文件》。</w:t>
      </w:r>
    </w:p>
    <w:p w14:paraId="50346672">
      <w:pPr>
        <w:autoSpaceDE w:val="0"/>
        <w:autoSpaceDN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lang w:val="zh-CN"/>
        </w:rPr>
        <w:t>2.3.</w:t>
      </w:r>
      <w:r>
        <w:rPr>
          <w:rFonts w:hint="eastAsia" w:ascii="宋体" w:hAnsi="宋体" w:cs="宋体"/>
          <w:color w:val="auto"/>
          <w:sz w:val="24"/>
        </w:rPr>
        <w:t xml:space="preserve">2 </w:t>
      </w:r>
      <w:r>
        <w:rPr>
          <w:rFonts w:hint="eastAsia" w:ascii="宋体" w:hAnsi="宋体" w:cs="宋体"/>
          <w:color w:val="auto"/>
          <w:sz w:val="24"/>
          <w:szCs w:val="24"/>
        </w:rPr>
        <w:t>磋商过程中对《磋商文件》的变动见第四章“评审办法”3.4款磋商规则。</w:t>
      </w:r>
    </w:p>
    <w:p w14:paraId="42566016">
      <w:pPr>
        <w:autoSpaceDE w:val="0"/>
        <w:autoSpaceDN w:val="0"/>
        <w:adjustRightInd w:val="0"/>
        <w:snapToGrid w:val="0"/>
        <w:spacing w:line="360" w:lineRule="auto"/>
        <w:ind w:firstLine="482" w:firstLineChars="200"/>
        <w:rPr>
          <w:rFonts w:ascii="宋体" w:hAnsi="宋体" w:cs="宋体"/>
          <w:color w:val="auto"/>
          <w:sz w:val="24"/>
          <w:lang w:val="zh-CN"/>
        </w:rPr>
      </w:pPr>
      <w:r>
        <w:rPr>
          <w:rFonts w:hint="eastAsia" w:ascii="宋体" w:hAnsi="宋体" w:cs="宋体"/>
          <w:b/>
          <w:color w:val="auto"/>
          <w:sz w:val="24"/>
          <w:lang w:val="zh-CN"/>
        </w:rPr>
        <w:t>2.4</w:t>
      </w:r>
      <w:r>
        <w:rPr>
          <w:rFonts w:hint="eastAsia" w:ascii="宋体" w:hAnsi="宋体" w:cs="宋体"/>
          <w:b/>
          <w:color w:val="auto"/>
          <w:sz w:val="24"/>
        </w:rPr>
        <w:t xml:space="preserve"> </w:t>
      </w:r>
      <w:r>
        <w:rPr>
          <w:rFonts w:hint="eastAsia" w:ascii="宋体" w:hAnsi="宋体" w:cs="宋体"/>
          <w:b/>
          <w:color w:val="auto"/>
          <w:sz w:val="24"/>
          <w:lang w:val="zh-CN"/>
        </w:rPr>
        <w:t>《磋商文件》的澄清、修改、补充的通知，及相应时间变更</w:t>
      </w:r>
    </w:p>
    <w:p w14:paraId="2889CEBF">
      <w:pPr>
        <w:autoSpaceDE w:val="0"/>
        <w:autoSpaceDN w:val="0"/>
        <w:adjustRightInd w:val="0"/>
        <w:snapToGrid w:val="0"/>
        <w:spacing w:line="360" w:lineRule="auto"/>
        <w:ind w:firstLine="480" w:firstLineChars="200"/>
        <w:rPr>
          <w:rFonts w:ascii="宋体" w:hAnsi="宋体" w:cs="宋体"/>
          <w:b/>
          <w:color w:val="auto"/>
          <w:sz w:val="24"/>
          <w:lang w:val="zh-CN"/>
        </w:rPr>
      </w:pPr>
      <w:r>
        <w:rPr>
          <w:rFonts w:hint="eastAsia" w:ascii="宋体" w:hAnsi="宋体" w:cs="宋体"/>
          <w:color w:val="auto"/>
          <w:sz w:val="24"/>
          <w:lang w:val="zh-CN"/>
        </w:rPr>
        <w:t>2.4.1</w:t>
      </w:r>
      <w:r>
        <w:rPr>
          <w:rFonts w:hint="eastAsia" w:ascii="宋体" w:hAnsi="宋体" w:cs="宋体"/>
          <w:color w:val="auto"/>
          <w:sz w:val="24"/>
        </w:rPr>
        <w:t xml:space="preserve"> 《磋商文件》</w:t>
      </w:r>
      <w:r>
        <w:rPr>
          <w:rFonts w:hint="eastAsia" w:ascii="宋体" w:hAnsi="宋体" w:cs="宋体"/>
          <w:color w:val="auto"/>
          <w:sz w:val="24"/>
          <w:lang w:val="zh-CN"/>
        </w:rPr>
        <w:t>在递交截止时间前的所有澄清、修改（包括时间变更等）、补充事项，均在“竞争性磋商公告”所述媒体予以公告。</w:t>
      </w:r>
      <w:r>
        <w:rPr>
          <w:rFonts w:hint="eastAsia" w:ascii="宋体" w:hAnsi="宋体" w:cs="宋体"/>
          <w:b/>
          <w:color w:val="auto"/>
          <w:sz w:val="24"/>
          <w:lang w:val="zh-CN"/>
        </w:rPr>
        <w:t>澄清或修改公告一经在法定网站以公告形式发布，依法视为书面通知，不再另行通知。</w:t>
      </w:r>
    </w:p>
    <w:p w14:paraId="16BB7466">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基于网上电子交易的特点</w:t>
      </w:r>
      <w:r>
        <w:rPr>
          <w:rFonts w:hint="eastAsia" w:ascii="微软雅黑" w:hAnsi="微软雅黑" w:eastAsia="微软雅黑" w:cs="微软雅黑"/>
          <w:b/>
          <w:color w:val="auto"/>
          <w:sz w:val="24"/>
          <w:lang w:val="zh-CN"/>
        </w:rPr>
        <w:t>——</w:t>
      </w:r>
      <w:r>
        <w:rPr>
          <w:rFonts w:hint="eastAsia" w:ascii="宋体" w:hAnsi="宋体" w:cs="宋体"/>
          <w:b/>
          <w:color w:val="auto"/>
          <w:sz w:val="24"/>
          <w:lang w:val="zh-CN"/>
        </w:rPr>
        <w:t>无权限获知或通知潜在供应商，潜在供应商应随时关注“竞争性磋商公告”所述媒体相关项目信息（为免各部门网站出现维护等情况，潜在供应商应对“竞争性磋商公告”所述媒体逐一查阅），如有遗漏，后果自负。</w:t>
      </w:r>
    </w:p>
    <w:p w14:paraId="2D5D488E">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2.4.2</w:t>
      </w:r>
      <w:r>
        <w:rPr>
          <w:rFonts w:hint="eastAsia" w:ascii="宋体" w:hAnsi="宋体" w:cs="宋体"/>
          <w:color w:val="auto"/>
          <w:sz w:val="24"/>
        </w:rPr>
        <w:t xml:space="preserve"> 《磋商文件》</w:t>
      </w:r>
      <w:r>
        <w:rPr>
          <w:rFonts w:hint="eastAsia" w:ascii="宋体" w:hAnsi="宋体" w:cs="宋体"/>
          <w:color w:val="auto"/>
          <w:sz w:val="24"/>
          <w:lang w:val="zh-CN"/>
        </w:rPr>
        <w:t>的澄清、修改、补充书构成</w:t>
      </w:r>
      <w:r>
        <w:rPr>
          <w:rFonts w:hint="eastAsia" w:ascii="宋体" w:hAnsi="宋体" w:cs="宋体"/>
          <w:color w:val="auto"/>
          <w:sz w:val="24"/>
        </w:rPr>
        <w:t>《磋商文件》</w:t>
      </w:r>
      <w:r>
        <w:rPr>
          <w:rFonts w:hint="eastAsia" w:ascii="宋体" w:hAnsi="宋体" w:cs="宋体"/>
          <w:color w:val="auto"/>
          <w:sz w:val="24"/>
          <w:lang w:val="zh-CN"/>
        </w:rPr>
        <w:t>的组成部分，并取代</w:t>
      </w:r>
      <w:r>
        <w:rPr>
          <w:rFonts w:hint="eastAsia" w:ascii="宋体" w:hAnsi="宋体" w:cs="宋体"/>
          <w:color w:val="auto"/>
          <w:sz w:val="24"/>
        </w:rPr>
        <w:t>《磋商文件》</w:t>
      </w:r>
      <w:r>
        <w:rPr>
          <w:rFonts w:hint="eastAsia" w:ascii="宋体" w:hAnsi="宋体" w:cs="宋体"/>
          <w:color w:val="auto"/>
          <w:sz w:val="24"/>
          <w:lang w:val="zh-CN"/>
        </w:rPr>
        <w:t>中被澄清、修改处，对所有供应商均有约束力。</w:t>
      </w:r>
    </w:p>
    <w:p w14:paraId="24E66961">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2.4.3</w:t>
      </w:r>
      <w:r>
        <w:rPr>
          <w:rFonts w:hint="eastAsia" w:ascii="宋体" w:hAnsi="宋体" w:cs="宋体"/>
          <w:color w:val="auto"/>
          <w:sz w:val="24"/>
        </w:rPr>
        <w:t xml:space="preserve"> </w:t>
      </w:r>
      <w:r>
        <w:rPr>
          <w:rFonts w:hint="eastAsia" w:ascii="宋体" w:hAnsi="宋体" w:cs="宋体"/>
          <w:color w:val="auto"/>
          <w:sz w:val="24"/>
          <w:lang w:val="zh-CN"/>
        </w:rPr>
        <w:t>如果提交首次《响应文件》截止时间前的澄清修改补充发出的时间不满足供应商须知前附表规定时间，并且澄清修改补充内容影响《响应文件》编制的，代理机构可视采购具体情况延长投标截止时间和开标时间，并将在“竞争性磋商公告”所述媒体予以公告。</w:t>
      </w:r>
    </w:p>
    <w:p w14:paraId="68F4C935">
      <w:pPr>
        <w:autoSpaceDE w:val="0"/>
        <w:autoSpaceDN w:val="0"/>
        <w:adjustRightInd w:val="0"/>
        <w:snapToGrid w:val="0"/>
        <w:spacing w:line="360" w:lineRule="auto"/>
        <w:ind w:firstLine="562" w:firstLineChars="200"/>
        <w:outlineLvl w:val="1"/>
        <w:rPr>
          <w:rFonts w:ascii="宋体" w:hAnsi="宋体" w:cs="宋体"/>
          <w:b/>
          <w:bCs/>
          <w:color w:val="auto"/>
          <w:sz w:val="28"/>
          <w:szCs w:val="28"/>
          <w:lang w:val="zh-CN"/>
        </w:rPr>
      </w:pPr>
      <w:bookmarkStart w:id="28" w:name="_Toc96605340"/>
      <w:bookmarkStart w:id="29" w:name="_Toc5120"/>
      <w:r>
        <w:rPr>
          <w:rFonts w:hint="eastAsia" w:ascii="宋体" w:hAnsi="宋体" w:cs="宋体"/>
          <w:b/>
          <w:bCs/>
          <w:color w:val="auto"/>
          <w:sz w:val="28"/>
          <w:szCs w:val="28"/>
          <w:lang w:val="zh-CN"/>
        </w:rPr>
        <w:t>3.《响应文件》</w:t>
      </w:r>
      <w:bookmarkEnd w:id="28"/>
      <w:bookmarkEnd w:id="29"/>
    </w:p>
    <w:p w14:paraId="64B92682">
      <w:pPr>
        <w:autoSpaceDE w:val="0"/>
        <w:autoSpaceDN w:val="0"/>
        <w:adjustRightInd w:val="0"/>
        <w:snapToGrid w:val="0"/>
        <w:spacing w:line="360" w:lineRule="auto"/>
        <w:ind w:firstLine="482" w:firstLineChars="200"/>
        <w:rPr>
          <w:rFonts w:ascii="宋体" w:hAnsi="宋体" w:cs="宋体"/>
          <w:color w:val="auto"/>
          <w:sz w:val="24"/>
          <w:lang w:val="zh-CN"/>
        </w:rPr>
      </w:pPr>
      <w:r>
        <w:rPr>
          <w:rFonts w:hint="eastAsia" w:ascii="宋体" w:hAnsi="宋体" w:cs="宋体"/>
          <w:b/>
          <w:color w:val="auto"/>
          <w:sz w:val="24"/>
          <w:lang w:val="zh-CN"/>
        </w:rPr>
        <w:t>3.1</w:t>
      </w:r>
      <w:r>
        <w:rPr>
          <w:rFonts w:hint="eastAsia" w:ascii="宋体" w:hAnsi="宋体" w:cs="宋体"/>
          <w:b/>
          <w:color w:val="auto"/>
          <w:sz w:val="24"/>
        </w:rPr>
        <w:t xml:space="preserve"> </w:t>
      </w:r>
      <w:r>
        <w:rPr>
          <w:rFonts w:hint="eastAsia" w:ascii="宋体" w:hAnsi="宋体" w:cs="宋体"/>
          <w:color w:val="auto"/>
          <w:sz w:val="24"/>
          <w:lang w:val="zh-CN"/>
        </w:rPr>
        <w:t>供应商应仔细阅读《磋商文件》的所有内容，按《磋商文件》的要求提供《响应文件》，并保证所提供全部资料的真实性。《响应文件》应对《磋商文件》实质性要求作出实质性响应。磋商小组对《响应文件》的有效性、完整性和响应程度进行审查，不满足实质性要求的为</w:t>
      </w:r>
      <w:r>
        <w:rPr>
          <w:rFonts w:hint="eastAsia" w:ascii="宋体" w:hAnsi="宋体" w:cs="宋体"/>
          <w:b/>
          <w:color w:val="auto"/>
          <w:sz w:val="24"/>
          <w:lang w:val="zh-CN"/>
        </w:rPr>
        <w:t>无效文件</w:t>
      </w:r>
      <w:r>
        <w:rPr>
          <w:rFonts w:hint="eastAsia" w:ascii="宋体" w:hAnsi="宋体" w:cs="宋体"/>
          <w:color w:val="auto"/>
          <w:sz w:val="24"/>
          <w:lang w:val="zh-CN"/>
        </w:rPr>
        <w:t>。</w:t>
      </w:r>
    </w:p>
    <w:p w14:paraId="21D4D92D">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3.2</w:t>
      </w:r>
      <w:r>
        <w:rPr>
          <w:rFonts w:hint="eastAsia" w:ascii="宋体" w:hAnsi="宋体" w:cs="宋体"/>
          <w:b/>
          <w:color w:val="auto"/>
          <w:sz w:val="24"/>
        </w:rPr>
        <w:t xml:space="preserve"> </w:t>
      </w:r>
      <w:r>
        <w:rPr>
          <w:rFonts w:hint="eastAsia" w:ascii="宋体" w:hAnsi="宋体" w:cs="宋体"/>
          <w:b/>
          <w:color w:val="auto"/>
          <w:sz w:val="24"/>
          <w:lang w:val="zh-CN"/>
        </w:rPr>
        <w:t>《响应文件》的组成</w:t>
      </w:r>
    </w:p>
    <w:p w14:paraId="14DE63B6">
      <w:pPr>
        <w:adjustRightInd w:val="0"/>
        <w:snapToGrid w:val="0"/>
        <w:spacing w:line="360" w:lineRule="auto"/>
        <w:ind w:firstLine="480" w:firstLineChars="200"/>
        <w:textAlignment w:val="top"/>
        <w:rPr>
          <w:rFonts w:ascii="宋体" w:hAnsi="宋体" w:cs="宋体"/>
          <w:color w:val="auto"/>
          <w:sz w:val="24"/>
          <w:lang w:val="zh-CN"/>
        </w:rPr>
      </w:pPr>
      <w:r>
        <w:rPr>
          <w:rFonts w:hint="eastAsia" w:ascii="宋体" w:hAnsi="宋体" w:cs="宋体"/>
          <w:color w:val="auto"/>
          <w:sz w:val="24"/>
          <w:lang w:val="zh-CN"/>
        </w:rPr>
        <w:t>3.2.1</w:t>
      </w:r>
      <w:r>
        <w:rPr>
          <w:rFonts w:hint="eastAsia" w:ascii="宋体" w:hAnsi="宋体" w:cs="宋体"/>
          <w:color w:val="auto"/>
          <w:sz w:val="24"/>
        </w:rPr>
        <w:t xml:space="preserve"> </w:t>
      </w:r>
      <w:r>
        <w:rPr>
          <w:rFonts w:hint="eastAsia" w:ascii="宋体" w:hAnsi="宋体" w:cs="宋体"/>
          <w:color w:val="auto"/>
          <w:sz w:val="24"/>
          <w:lang w:val="zh-CN"/>
        </w:rPr>
        <w:t>《响应文件》组成如有缺项，磋商小组按照实质性判断原则（实质性要求和实质性响应两因素）、有权视情况将其作无效响应处理，供应商自负此项风险；《响应文件》组成内容未对《磋商文件》实质性要求作出实质性响应，磋商小组按照实质性判断原则、视情况将其作无效响应处理，供应商自负此项风险。</w:t>
      </w:r>
    </w:p>
    <w:p w14:paraId="314B9956">
      <w:pPr>
        <w:adjustRightInd w:val="0"/>
        <w:snapToGrid w:val="0"/>
        <w:spacing w:line="360" w:lineRule="auto"/>
        <w:ind w:firstLine="480" w:firstLineChars="200"/>
        <w:textAlignment w:val="top"/>
        <w:rPr>
          <w:rFonts w:ascii="宋体" w:hAnsi="宋体" w:cs="宋体"/>
          <w:color w:val="auto"/>
          <w:sz w:val="24"/>
          <w:szCs w:val="24"/>
        </w:rPr>
      </w:pPr>
      <w:r>
        <w:rPr>
          <w:rFonts w:hint="eastAsia" w:ascii="宋体" w:hAnsi="宋体" w:cs="宋体"/>
          <w:color w:val="auto"/>
          <w:sz w:val="24"/>
          <w:szCs w:val="24"/>
        </w:rPr>
        <w:t>3.2.2 《响应文件》应包括下列内容：</w:t>
      </w:r>
    </w:p>
    <w:p w14:paraId="3C9DA3B2">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（1）投标书</w:t>
      </w:r>
    </w:p>
    <w:p w14:paraId="2FC8AF74">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（2）开标一览表</w:t>
      </w:r>
    </w:p>
    <w:p w14:paraId="287A7572">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（3）分项报价</w:t>
      </w:r>
    </w:p>
    <w:p w14:paraId="0D4CE67A">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（4）服务方案及服务质量承诺</w:t>
      </w:r>
    </w:p>
    <w:p w14:paraId="51599B7B">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（5）服务拟投入设备清单及其技术参数</w:t>
      </w:r>
    </w:p>
    <w:p w14:paraId="056473F4">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（6）服务拟投入的人员情况表</w:t>
      </w:r>
    </w:p>
    <w:p w14:paraId="340D9A55">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（7）偏差表</w:t>
      </w:r>
    </w:p>
    <w:p w14:paraId="59623102">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（8）关于资格的声明函</w:t>
      </w:r>
    </w:p>
    <w:p w14:paraId="3F1F4F08">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（9）反商业贿赂承诺书</w:t>
      </w:r>
    </w:p>
    <w:p w14:paraId="2A99EC19">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（10）资格要求相关证明材料（文件）</w:t>
      </w:r>
    </w:p>
    <w:p w14:paraId="20663A5E">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（11）采购项目及服务要求所需的其他材料（按条款需要）</w:t>
      </w:r>
    </w:p>
    <w:p w14:paraId="46322D64">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（12）供应商须知所需的其他材料（按条款需要）</w:t>
      </w:r>
    </w:p>
    <w:p w14:paraId="4D89221F">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（13）评审办法所需的其他材料（按条款需要）</w:t>
      </w:r>
    </w:p>
    <w:p w14:paraId="1DA35621">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（14）供应商认为有必要提交的其它材料</w:t>
      </w:r>
    </w:p>
    <w:p w14:paraId="19C223D9">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3.2.3</w:t>
      </w:r>
      <w:r>
        <w:rPr>
          <w:rFonts w:hint="eastAsia" w:ascii="宋体" w:hAnsi="宋体" w:cs="宋体"/>
          <w:color w:val="auto"/>
          <w:sz w:val="24"/>
        </w:rPr>
        <w:t xml:space="preserve"> </w:t>
      </w:r>
      <w:r>
        <w:rPr>
          <w:rFonts w:hint="eastAsia" w:ascii="宋体" w:hAnsi="宋体" w:cs="宋体"/>
          <w:color w:val="auto"/>
          <w:sz w:val="24"/>
          <w:lang w:val="zh-CN"/>
        </w:rPr>
        <w:t>按照本章第4.3款、第四章第3.4款规定，对《响应文件》的补充、修改、澄清、说明或者更正构成《响应文件》的组成部分，</w:t>
      </w:r>
    </w:p>
    <w:p w14:paraId="3A315C1C">
      <w:pPr>
        <w:topLinePunct/>
        <w:adjustRightInd w:val="0"/>
        <w:snapToGrid w:val="0"/>
        <w:spacing w:line="360" w:lineRule="auto"/>
        <w:ind w:firstLine="482" w:firstLineChars="200"/>
        <w:rPr>
          <w:rFonts w:ascii="宋体" w:hAnsi="宋体" w:cs="宋体"/>
          <w:color w:val="auto"/>
          <w:sz w:val="24"/>
          <w:lang w:val="zh-CN"/>
        </w:rPr>
      </w:pPr>
      <w:r>
        <w:rPr>
          <w:rFonts w:hint="eastAsia" w:ascii="宋体" w:hAnsi="宋体" w:cs="宋体"/>
          <w:b/>
          <w:color w:val="auto"/>
          <w:sz w:val="24"/>
          <w:lang w:val="zh-CN"/>
        </w:rPr>
        <w:t>3.3</w:t>
      </w:r>
      <w:r>
        <w:rPr>
          <w:rFonts w:hint="eastAsia" w:ascii="宋体" w:hAnsi="宋体" w:cs="宋体"/>
          <w:b/>
          <w:color w:val="auto"/>
          <w:sz w:val="24"/>
        </w:rPr>
        <w:t xml:space="preserve"> </w:t>
      </w:r>
      <w:r>
        <w:rPr>
          <w:rFonts w:hint="eastAsia" w:ascii="宋体" w:hAnsi="宋体" w:cs="宋体"/>
          <w:b/>
          <w:color w:val="auto"/>
          <w:sz w:val="24"/>
          <w:lang w:val="zh-CN"/>
        </w:rPr>
        <w:t>磋商报价</w:t>
      </w:r>
      <w:r>
        <w:rPr>
          <w:rFonts w:hint="eastAsia" w:ascii="宋体" w:hAnsi="宋体" w:cs="宋体"/>
          <w:color w:val="auto"/>
          <w:sz w:val="24"/>
          <w:lang w:val="zh-CN"/>
        </w:rPr>
        <w:t>（价格构成）：见第二章1.3款。</w:t>
      </w:r>
    </w:p>
    <w:p w14:paraId="14169B92">
      <w:pPr>
        <w:topLinePunct/>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3.4</w:t>
      </w:r>
      <w:r>
        <w:rPr>
          <w:rFonts w:hint="eastAsia" w:ascii="宋体" w:hAnsi="宋体" w:cs="宋体"/>
          <w:b/>
          <w:color w:val="auto"/>
          <w:sz w:val="24"/>
        </w:rPr>
        <w:t xml:space="preserve"> </w:t>
      </w:r>
      <w:r>
        <w:rPr>
          <w:rFonts w:hint="eastAsia" w:ascii="宋体" w:hAnsi="宋体" w:cs="宋体"/>
          <w:b/>
          <w:color w:val="auto"/>
          <w:sz w:val="24"/>
          <w:lang w:val="zh-CN"/>
        </w:rPr>
        <w:t>响应有效期</w:t>
      </w:r>
    </w:p>
    <w:p w14:paraId="6E25C2D1">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3.4.1</w:t>
      </w:r>
      <w:r>
        <w:rPr>
          <w:rFonts w:hint="eastAsia" w:ascii="宋体" w:hAnsi="宋体" w:cs="宋体"/>
          <w:color w:val="auto"/>
          <w:sz w:val="24"/>
        </w:rPr>
        <w:t xml:space="preserve"> </w:t>
      </w:r>
      <w:r>
        <w:rPr>
          <w:rFonts w:hint="eastAsia" w:ascii="宋体" w:hAnsi="宋体" w:cs="宋体"/>
          <w:color w:val="auto"/>
          <w:sz w:val="24"/>
          <w:lang w:val="zh-CN"/>
        </w:rPr>
        <w:t>响应有效期见供应商须知前附表。《响应文件》在响应有效期内保持不变（包括价格等《响应文件》各项条款）。</w:t>
      </w:r>
    </w:p>
    <w:p w14:paraId="1E3937E4">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3.4.2</w:t>
      </w:r>
      <w:r>
        <w:rPr>
          <w:rFonts w:hint="eastAsia" w:ascii="宋体" w:hAnsi="宋体" w:cs="宋体"/>
          <w:color w:val="auto"/>
          <w:sz w:val="24"/>
        </w:rPr>
        <w:t xml:space="preserve"> </w:t>
      </w:r>
      <w:r>
        <w:rPr>
          <w:rFonts w:hint="eastAsia" w:ascii="宋体" w:hAnsi="宋体" w:cs="宋体"/>
          <w:color w:val="auto"/>
          <w:sz w:val="24"/>
          <w:lang w:val="zh-CN"/>
        </w:rPr>
        <w:t>在响应有效期内，供应商撤销或修改其《响应文件》的，应承担《磋商文件》和法律规定的责任。</w:t>
      </w:r>
    </w:p>
    <w:p w14:paraId="12A572DB">
      <w:pPr>
        <w:topLinePunct/>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3.5</w:t>
      </w:r>
      <w:r>
        <w:rPr>
          <w:rFonts w:hint="eastAsia" w:ascii="宋体" w:hAnsi="宋体" w:cs="宋体"/>
          <w:b/>
          <w:color w:val="auto"/>
          <w:sz w:val="24"/>
        </w:rPr>
        <w:t xml:space="preserve"> 投标承诺函</w:t>
      </w:r>
      <w:r>
        <w:rPr>
          <w:rFonts w:hint="eastAsia" w:ascii="宋体" w:hAnsi="宋体" w:cs="宋体"/>
          <w:b/>
          <w:color w:val="auto"/>
          <w:sz w:val="24"/>
          <w:lang w:val="zh-CN"/>
        </w:rPr>
        <w:t>（</w:t>
      </w:r>
      <w:r>
        <w:rPr>
          <w:rFonts w:hint="eastAsia" w:ascii="宋体" w:hAnsi="宋体" w:cs="宋体"/>
          <w:b/>
          <w:color w:val="auto"/>
          <w:sz w:val="24"/>
        </w:rPr>
        <w:t>替代</w:t>
      </w:r>
      <w:r>
        <w:rPr>
          <w:rFonts w:hint="eastAsia" w:ascii="宋体" w:hAnsi="宋体" w:cs="宋体"/>
          <w:b/>
          <w:color w:val="auto"/>
          <w:sz w:val="24"/>
          <w:lang w:val="zh-CN"/>
        </w:rPr>
        <w:t>投标保证金）：</w:t>
      </w:r>
    </w:p>
    <w:p w14:paraId="44C91D87">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lang w:val="zh-CN"/>
        </w:rPr>
        <w:t>3.5.1</w:t>
      </w:r>
      <w:r>
        <w:rPr>
          <w:rFonts w:hint="eastAsia" w:ascii="宋体" w:hAnsi="宋体" w:cs="宋体"/>
          <w:color w:val="auto"/>
          <w:sz w:val="24"/>
          <w:szCs w:val="24"/>
        </w:rPr>
        <w:t xml:space="preserve"> 按照豫财购〔2019〕4号文件规定，本项目以投标承诺函的形式替代投标保证金，供应商应按附件格式进行投标承诺，违背承诺的将承担相应的法律责任及违约责任。</w:t>
      </w:r>
    </w:p>
    <w:p w14:paraId="68089B05">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3.5.2 未提供投标承诺函的为无效投标。</w:t>
      </w:r>
    </w:p>
    <w:p w14:paraId="3EB17010">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3.5.3 供应商的投标承诺函包含供应商承诺的事项及违背承诺的责任追究措施。</w:t>
      </w:r>
    </w:p>
    <w:p w14:paraId="54992421">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3.5.4 承诺事项：</w:t>
      </w:r>
    </w:p>
    <w:p w14:paraId="619ED146">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3.5.4.1 供应商应遵循公开、公平、公正和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s="宋体"/>
          <w:color w:val="auto"/>
          <w:sz w:val="24"/>
          <w:szCs w:val="24"/>
        </w:rPr>
        <w:t>诚实信用</w:t>
      </w:r>
      <w:r>
        <w:rPr>
          <w:rFonts w:hint="eastAsia" w:ascii="宋体" w:hAnsi="宋体" w:cs="宋体"/>
          <w:color w:val="auto"/>
          <w:sz w:val="24"/>
          <w:szCs w:val="24"/>
        </w:rPr>
        <w:fldChar w:fldCharType="end"/>
      </w:r>
      <w:r>
        <w:rPr>
          <w:rFonts w:hint="eastAsia" w:ascii="宋体" w:hAnsi="宋体" w:cs="宋体"/>
          <w:color w:val="auto"/>
          <w:sz w:val="24"/>
          <w:szCs w:val="24"/>
        </w:rPr>
        <w:t>的原则自愿参加项目的投标；</w:t>
      </w:r>
    </w:p>
    <w:p w14:paraId="5DBE06E3">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3.5.4.2 供应商在政府采购活动中应提供真实、准确、有效、合法的材料，不</w:t>
      </w:r>
      <w:r>
        <w:rPr>
          <w:rFonts w:hint="eastAsia" w:ascii="宋体" w:hAnsi="宋体" w:cs="宋体"/>
          <w:color w:val="auto"/>
          <w:sz w:val="24"/>
          <w:szCs w:val="24"/>
          <w:lang w:val="zh-CN"/>
        </w:rPr>
        <w:t>提供虚假材料；</w:t>
      </w:r>
    </w:p>
    <w:p w14:paraId="6000BD37">
      <w:pPr>
        <w:widowControl w:val="0"/>
        <w:tabs>
          <w:tab w:val="left" w:pos="65"/>
        </w:tabs>
        <w:spacing w:line="360" w:lineRule="auto"/>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3.5.4.3 供应商</w:t>
      </w:r>
      <w:r>
        <w:rPr>
          <w:rFonts w:hint="eastAsia" w:ascii="宋体" w:hAnsi="宋体" w:cs="宋体"/>
          <w:color w:val="auto"/>
          <w:sz w:val="24"/>
          <w:szCs w:val="24"/>
          <w:lang w:val="zh-CN"/>
        </w:rPr>
        <w:t>按照</w:t>
      </w:r>
      <w:r>
        <w:rPr>
          <w:rFonts w:hint="eastAsia" w:ascii="宋体" w:hAnsi="宋体" w:cs="宋体"/>
          <w:color w:val="auto"/>
          <w:sz w:val="24"/>
          <w:szCs w:val="24"/>
        </w:rPr>
        <w:t>磋商</w:t>
      </w:r>
      <w:r>
        <w:rPr>
          <w:rFonts w:hint="eastAsia" w:ascii="宋体" w:hAnsi="宋体" w:cs="宋体"/>
          <w:color w:val="auto"/>
          <w:sz w:val="24"/>
          <w:szCs w:val="24"/>
          <w:lang w:val="zh-CN"/>
        </w:rPr>
        <w:t>文件规定，在提交响应文件截止时间后，在</w:t>
      </w:r>
      <w:r>
        <w:rPr>
          <w:rFonts w:hint="eastAsia" w:ascii="宋体" w:hAnsi="宋体" w:cs="宋体"/>
          <w:color w:val="auto"/>
          <w:sz w:val="24"/>
          <w:szCs w:val="24"/>
        </w:rPr>
        <w:t>磋商</w:t>
      </w:r>
      <w:r>
        <w:rPr>
          <w:rFonts w:hint="eastAsia" w:ascii="宋体" w:hAnsi="宋体" w:cs="宋体"/>
          <w:color w:val="auto"/>
          <w:sz w:val="24"/>
          <w:szCs w:val="24"/>
          <w:lang w:val="zh-CN"/>
        </w:rPr>
        <w:t>文件规定的投标有效期限内不</w:t>
      </w:r>
      <w:r>
        <w:rPr>
          <w:rFonts w:hint="eastAsia" w:ascii="宋体" w:hAnsi="宋体" w:cs="宋体"/>
          <w:color w:val="auto"/>
          <w:sz w:val="24"/>
          <w:szCs w:val="24"/>
        </w:rPr>
        <w:t>应</w:t>
      </w:r>
      <w:r>
        <w:rPr>
          <w:rFonts w:hint="eastAsia" w:ascii="宋体" w:hAnsi="宋体" w:cs="宋体"/>
          <w:color w:val="auto"/>
          <w:sz w:val="24"/>
          <w:szCs w:val="24"/>
          <w:lang w:val="zh-CN"/>
        </w:rPr>
        <w:t>撤回响应文件；</w:t>
      </w:r>
    </w:p>
    <w:p w14:paraId="4A372F2C">
      <w:pPr>
        <w:widowControl w:val="0"/>
        <w:tabs>
          <w:tab w:val="left" w:pos="65"/>
        </w:tabs>
        <w:spacing w:line="360" w:lineRule="auto"/>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3.5.4.4 不应</w:t>
      </w:r>
      <w:r>
        <w:rPr>
          <w:rFonts w:hint="eastAsia" w:ascii="宋体" w:hAnsi="宋体" w:cs="宋体"/>
          <w:color w:val="auto"/>
          <w:sz w:val="24"/>
          <w:szCs w:val="24"/>
          <w:lang w:val="zh-CN"/>
        </w:rPr>
        <w:t>与其他供应商、采购人或采购代理机构串通或恶意串通</w:t>
      </w:r>
      <w:r>
        <w:rPr>
          <w:rFonts w:hint="eastAsia" w:ascii="宋体" w:hAnsi="宋体" w:cs="宋体"/>
          <w:color w:val="auto"/>
          <w:sz w:val="24"/>
          <w:szCs w:val="24"/>
        </w:rPr>
        <w:t>；</w:t>
      </w:r>
    </w:p>
    <w:p w14:paraId="475A5D4F">
      <w:pPr>
        <w:widowControl w:val="0"/>
        <w:tabs>
          <w:tab w:val="left" w:pos="65"/>
        </w:tabs>
        <w:spacing w:line="360" w:lineRule="auto"/>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3.5.4.5 中标后</w:t>
      </w:r>
      <w:r>
        <w:rPr>
          <w:rFonts w:hint="eastAsia" w:ascii="宋体" w:hAnsi="宋体" w:cs="宋体"/>
          <w:color w:val="auto"/>
          <w:sz w:val="24"/>
          <w:szCs w:val="24"/>
          <w:lang w:val="zh-CN"/>
        </w:rPr>
        <w:t>除不可抗拒力或</w:t>
      </w:r>
      <w:r>
        <w:rPr>
          <w:rFonts w:hint="eastAsia" w:ascii="宋体" w:hAnsi="宋体" w:cs="宋体"/>
          <w:color w:val="auto"/>
          <w:sz w:val="24"/>
          <w:szCs w:val="24"/>
        </w:rPr>
        <w:t>磋商</w:t>
      </w:r>
      <w:r>
        <w:rPr>
          <w:rFonts w:hint="eastAsia" w:ascii="宋体" w:hAnsi="宋体" w:cs="宋体"/>
          <w:color w:val="auto"/>
          <w:sz w:val="24"/>
          <w:szCs w:val="24"/>
          <w:lang w:val="zh-CN"/>
        </w:rPr>
        <w:t>文件认可的情形外</w:t>
      </w:r>
      <w:r>
        <w:rPr>
          <w:rFonts w:hint="eastAsia" w:ascii="宋体" w:hAnsi="宋体" w:cs="宋体"/>
          <w:color w:val="auto"/>
          <w:sz w:val="24"/>
          <w:szCs w:val="24"/>
        </w:rPr>
        <w:t>，供应商应及时领取中标通知书，</w:t>
      </w:r>
      <w:r>
        <w:rPr>
          <w:rFonts w:hint="eastAsia" w:ascii="宋体" w:hAnsi="宋体" w:cs="宋体"/>
          <w:color w:val="auto"/>
          <w:sz w:val="24"/>
          <w:szCs w:val="24"/>
          <w:lang w:val="zh-CN"/>
        </w:rPr>
        <w:t>在成交通知书规定时间、地点与采购人签订合同；</w:t>
      </w:r>
    </w:p>
    <w:p w14:paraId="4EE6A508">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3.5.4.6 供应商应</w:t>
      </w:r>
      <w:r>
        <w:rPr>
          <w:rFonts w:hint="eastAsia" w:ascii="宋体" w:hAnsi="宋体" w:cs="宋体"/>
          <w:color w:val="auto"/>
          <w:sz w:val="24"/>
          <w:szCs w:val="24"/>
          <w:lang w:val="zh-CN"/>
        </w:rPr>
        <w:t>遵守法律法规及</w:t>
      </w:r>
      <w:r>
        <w:rPr>
          <w:rFonts w:hint="eastAsia" w:ascii="宋体" w:hAnsi="宋体" w:cs="宋体"/>
          <w:color w:val="auto"/>
          <w:sz w:val="24"/>
          <w:szCs w:val="24"/>
        </w:rPr>
        <w:t>磋商</w:t>
      </w:r>
      <w:r>
        <w:rPr>
          <w:rFonts w:hint="eastAsia" w:ascii="宋体" w:hAnsi="宋体" w:cs="宋体"/>
          <w:color w:val="auto"/>
          <w:sz w:val="24"/>
          <w:szCs w:val="24"/>
          <w:lang w:val="zh-CN"/>
        </w:rPr>
        <w:t>文件规定的其他情况；</w:t>
      </w:r>
    </w:p>
    <w:p w14:paraId="602D6B56">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3.5.4.7 供应商应按磋商文件规定及时缴纳中标服务费。</w:t>
      </w:r>
    </w:p>
    <w:p w14:paraId="0FD6BAFE">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3.5.5 违背承诺的责任追究措施</w:t>
      </w:r>
    </w:p>
    <w:p w14:paraId="7CC832CC">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供应商如违背上述承诺事项，应无条件接受以下责任追究：</w:t>
      </w:r>
    </w:p>
    <w:p w14:paraId="5AC509A5">
      <w:pPr>
        <w:widowControl w:val="0"/>
        <w:tabs>
          <w:tab w:val="left" w:pos="65"/>
        </w:tabs>
        <w:spacing w:line="360" w:lineRule="auto"/>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 xml:space="preserve">3.5.5.1 </w:t>
      </w:r>
      <w:r>
        <w:rPr>
          <w:rFonts w:hint="eastAsia" w:ascii="宋体" w:hAnsi="宋体" w:cs="宋体"/>
          <w:color w:val="auto"/>
          <w:sz w:val="24"/>
          <w:szCs w:val="24"/>
          <w:lang w:val="zh-CN"/>
        </w:rPr>
        <w:t>法定责任：</w:t>
      </w:r>
      <w:r>
        <w:rPr>
          <w:rFonts w:hint="eastAsia" w:ascii="宋体" w:hAnsi="宋体" w:cs="宋体"/>
          <w:color w:val="auto"/>
          <w:sz w:val="24"/>
          <w:szCs w:val="24"/>
        </w:rPr>
        <w:t>按照政府采购相关法规，</w:t>
      </w:r>
      <w:r>
        <w:rPr>
          <w:rFonts w:hint="eastAsia" w:ascii="宋体" w:hAnsi="宋体" w:cs="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30C12976">
      <w:pPr>
        <w:widowControl w:val="0"/>
        <w:tabs>
          <w:tab w:val="left" w:pos="65"/>
        </w:tabs>
        <w:spacing w:line="360" w:lineRule="auto"/>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给采购人及他人造成损失的，应承担相应的赔偿责任。</w:t>
      </w:r>
    </w:p>
    <w:p w14:paraId="30E4E944">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 xml:space="preserve">3.5.5.2 </w:t>
      </w:r>
      <w:r>
        <w:rPr>
          <w:rFonts w:hint="eastAsia" w:ascii="宋体" w:hAnsi="宋体" w:cs="宋体"/>
          <w:color w:val="auto"/>
          <w:sz w:val="24"/>
          <w:szCs w:val="24"/>
          <w:lang w:val="zh-CN"/>
        </w:rPr>
        <w:t>违约责任：</w:t>
      </w:r>
    </w:p>
    <w:p w14:paraId="1E4C7494">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3.5.5.2.1 已中标的，中标（成交）无效；</w:t>
      </w:r>
    </w:p>
    <w:p w14:paraId="4322D639">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3.5.5.2.2 支付采购人违约标的预算金额2%的</w:t>
      </w:r>
      <w:r>
        <w:rPr>
          <w:rFonts w:hint="eastAsia" w:ascii="宋体" w:hAnsi="宋体" w:cs="宋体"/>
          <w:color w:val="auto"/>
          <w:sz w:val="24"/>
          <w:szCs w:val="24"/>
          <w:lang w:val="zh-CN"/>
        </w:rPr>
        <w:t>违约金</w:t>
      </w:r>
      <w:r>
        <w:rPr>
          <w:rFonts w:hint="eastAsia" w:ascii="宋体" w:hAnsi="宋体" w:cs="宋体"/>
          <w:color w:val="auto"/>
          <w:sz w:val="24"/>
          <w:szCs w:val="24"/>
        </w:rPr>
        <w:t>；</w:t>
      </w:r>
    </w:p>
    <w:p w14:paraId="4E4A0613">
      <w:pPr>
        <w:widowControl w:val="0"/>
        <w:tabs>
          <w:tab w:val="left" w:pos="65"/>
        </w:tabs>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3.5.5.2.3 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s="宋体"/>
          <w:color w:val="auto"/>
          <w:sz w:val="24"/>
          <w:szCs w:val="24"/>
        </w:rPr>
        <w:t>诚实信用</w:t>
      </w:r>
      <w:r>
        <w:rPr>
          <w:rFonts w:hint="eastAsia" w:ascii="宋体" w:hAnsi="宋体" w:cs="宋体"/>
          <w:color w:val="auto"/>
          <w:sz w:val="24"/>
          <w:szCs w:val="24"/>
        </w:rPr>
        <w:fldChar w:fldCharType="end"/>
      </w:r>
      <w:r>
        <w:rPr>
          <w:rFonts w:hint="eastAsia" w:ascii="宋体" w:hAnsi="宋体" w:cs="宋体"/>
          <w:color w:val="auto"/>
          <w:sz w:val="24"/>
          <w:szCs w:val="24"/>
        </w:rPr>
        <w:t>原则，在履行承诺前，代理机构将视该单位为失信企业、不予办理其后相关业务。</w:t>
      </w:r>
    </w:p>
    <w:p w14:paraId="5E0EE8D6">
      <w:pPr>
        <w:autoSpaceDE w:val="0"/>
        <w:autoSpaceDN w:val="0"/>
        <w:adjustRightInd w:val="0"/>
        <w:spacing w:line="360" w:lineRule="auto"/>
        <w:ind w:firstLine="482" w:firstLineChars="200"/>
        <w:rPr>
          <w:rFonts w:ascii="宋体" w:hAnsi="宋体" w:cs="宋体"/>
          <w:b/>
          <w:bCs/>
          <w:color w:val="auto"/>
          <w:sz w:val="28"/>
          <w:szCs w:val="28"/>
          <w:lang w:val="zh-CN"/>
        </w:rPr>
      </w:pPr>
      <w:r>
        <w:rPr>
          <w:rFonts w:hint="eastAsia" w:ascii="宋体" w:hAnsi="宋体" w:cs="宋体"/>
          <w:b/>
          <w:color w:val="auto"/>
          <w:sz w:val="24"/>
          <w:lang w:val="zh-CN"/>
        </w:rPr>
        <w:t>3.6</w:t>
      </w:r>
      <w:r>
        <w:rPr>
          <w:rFonts w:hint="eastAsia" w:ascii="宋体" w:hAnsi="宋体" w:cs="宋体"/>
          <w:b/>
          <w:color w:val="auto"/>
          <w:sz w:val="24"/>
        </w:rPr>
        <w:t xml:space="preserve"> </w:t>
      </w:r>
      <w:r>
        <w:rPr>
          <w:rFonts w:hint="eastAsia" w:ascii="宋体" w:hAnsi="宋体" w:cs="宋体"/>
          <w:b/>
          <w:color w:val="auto"/>
          <w:sz w:val="24"/>
          <w:lang w:val="zh-CN"/>
        </w:rPr>
        <w:t>投标资格文件：</w:t>
      </w:r>
      <w:r>
        <w:rPr>
          <w:rFonts w:hint="eastAsia" w:ascii="宋体" w:hAnsi="宋体" w:cs="宋体"/>
          <w:color w:val="auto"/>
          <w:sz w:val="24"/>
          <w:lang w:val="zh-CN"/>
        </w:rPr>
        <w:t>要求见竞争性磋商公告。</w:t>
      </w:r>
    </w:p>
    <w:p w14:paraId="0B5E3AB6">
      <w:pPr>
        <w:topLinePunct/>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3.7</w:t>
      </w:r>
      <w:r>
        <w:rPr>
          <w:rFonts w:hint="eastAsia" w:ascii="宋体" w:hAnsi="宋体" w:cs="宋体"/>
          <w:b/>
          <w:color w:val="auto"/>
          <w:sz w:val="24"/>
        </w:rPr>
        <w:t xml:space="preserve"> </w:t>
      </w:r>
      <w:r>
        <w:rPr>
          <w:rFonts w:hint="eastAsia" w:ascii="宋体" w:hAnsi="宋体" w:cs="宋体"/>
          <w:b/>
          <w:color w:val="auto"/>
          <w:sz w:val="24"/>
          <w:lang w:val="zh-CN"/>
        </w:rPr>
        <w:t>《响应文件》的编制</w:t>
      </w:r>
    </w:p>
    <w:p w14:paraId="77E8DC7B">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3.7.1</w:t>
      </w:r>
      <w:r>
        <w:rPr>
          <w:rFonts w:hint="eastAsia" w:ascii="宋体" w:hAnsi="宋体" w:cs="宋体"/>
          <w:color w:val="auto"/>
          <w:sz w:val="24"/>
        </w:rPr>
        <w:t xml:space="preserve"> </w:t>
      </w:r>
      <w:r>
        <w:rPr>
          <w:rFonts w:hint="eastAsia" w:ascii="宋体" w:hAnsi="宋体" w:cs="宋体"/>
          <w:color w:val="auto"/>
          <w:sz w:val="24"/>
          <w:lang w:val="zh-CN"/>
        </w:rPr>
        <w:t>《响应文件》应按第六章“《响应文件》格式”进行编写，如有必要，可以增加附页，作为《响应文件》的组成部分。《磋商文件》中未列明格式的，由供应商按一般通用格式自行设计编写。</w:t>
      </w:r>
    </w:p>
    <w:p w14:paraId="5FDFAEE8">
      <w:pPr>
        <w:topLinePunct/>
        <w:adjustRightInd w:val="0"/>
        <w:snapToGrid w:val="0"/>
        <w:spacing w:line="360" w:lineRule="auto"/>
        <w:ind w:firstLine="482" w:firstLineChars="200"/>
        <w:rPr>
          <w:rFonts w:ascii="宋体" w:hAnsi="宋体" w:cs="宋体"/>
          <w:b/>
          <w:bCs/>
          <w:color w:val="auto"/>
          <w:sz w:val="24"/>
          <w:lang w:val="zh-CN"/>
        </w:rPr>
      </w:pPr>
      <w:r>
        <w:rPr>
          <w:rFonts w:hint="eastAsia" w:ascii="宋体" w:hAnsi="宋体" w:cs="宋体"/>
          <w:b/>
          <w:bCs/>
          <w:color w:val="auto"/>
          <w:sz w:val="24"/>
          <w:lang w:val="zh-CN"/>
        </w:rPr>
        <w:t>投标文件编制后，供应商应在投标截止时间前上传加密的电子投标文件（*.aytf）到安阳市电子招投标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电子招投标交易平台将拒绝接收。</w:t>
      </w:r>
    </w:p>
    <w:p w14:paraId="2DDAC1C8">
      <w:pPr>
        <w:topLinePunct/>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3.7.2</w:t>
      </w:r>
      <w:r>
        <w:rPr>
          <w:rFonts w:hint="eastAsia" w:ascii="宋体" w:hAnsi="宋体" w:cs="宋体"/>
          <w:color w:val="auto"/>
          <w:sz w:val="24"/>
        </w:rPr>
        <w:t xml:space="preserve"> </w:t>
      </w:r>
      <w:r>
        <w:rPr>
          <w:rFonts w:hint="eastAsia" w:ascii="宋体" w:hAnsi="宋体" w:cs="宋体"/>
          <w:color w:val="auto"/>
          <w:sz w:val="24"/>
          <w:lang w:val="zh-CN"/>
        </w:rPr>
        <w:t>“《响应文件》格式”仅为对《响应文件》部分内容的格式化规范，并非《响应文件》所应具备的全部内容。供应商应按本章“3.2《响应文件》的组成”列示内容编制《响应文件》。</w:t>
      </w:r>
    </w:p>
    <w:p w14:paraId="770ECD19">
      <w:pPr>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3.7.3</w:t>
      </w:r>
      <w:r>
        <w:rPr>
          <w:rFonts w:hint="eastAsia" w:ascii="宋体" w:hAnsi="宋体" w:cs="宋体"/>
          <w:color w:val="auto"/>
          <w:sz w:val="24"/>
        </w:rPr>
        <w:t xml:space="preserve"> </w:t>
      </w:r>
      <w:r>
        <w:rPr>
          <w:rFonts w:hint="eastAsia" w:ascii="宋体" w:hAnsi="宋体" w:cs="宋体"/>
          <w:color w:val="auto"/>
          <w:sz w:val="24"/>
          <w:lang w:val="zh-CN"/>
        </w:rPr>
        <w:t>《响应文件》应当对《磋商文件》有关标段（包）内容（范围）、</w:t>
      </w:r>
      <w:r>
        <w:rPr>
          <w:rFonts w:hint="eastAsia" w:ascii="宋体" w:hAnsi="宋体" w:cs="宋体"/>
          <w:color w:val="auto"/>
          <w:sz w:val="24"/>
        </w:rPr>
        <w:t>服务</w:t>
      </w:r>
      <w:r>
        <w:rPr>
          <w:rFonts w:hint="eastAsia" w:ascii="宋体" w:hAnsi="宋体" w:cs="宋体"/>
          <w:color w:val="auto"/>
          <w:sz w:val="24"/>
          <w:lang w:val="zh-CN"/>
        </w:rPr>
        <w:t>要求、合同履行期限、投标有效期等实质性内容作出响应。在满足《磋商文件》实质性要求的基础上，可以提出比《磋商文件》要求更有利于采购人的承诺。并符合《磋商文件》偏差规定。</w:t>
      </w:r>
    </w:p>
    <w:p w14:paraId="5AE78A44">
      <w:pPr>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响应文件》的所有条款与《磋商文件》要求有任何不同之处，应按《偏差表》格式逐一填列。《响应文件》与《磋商文件》所有要求存在偏差而未填列的，磋商小组有权按照实质性判断原则（实质性要求和实质性响应两因素）评定其为</w:t>
      </w:r>
      <w:r>
        <w:rPr>
          <w:rFonts w:hint="eastAsia" w:ascii="宋体" w:hAnsi="宋体" w:cs="宋体"/>
          <w:b/>
          <w:color w:val="auto"/>
          <w:sz w:val="24"/>
          <w:lang w:val="zh-CN"/>
        </w:rPr>
        <w:t>无效投标</w:t>
      </w:r>
      <w:r>
        <w:rPr>
          <w:rFonts w:hint="eastAsia" w:ascii="宋体" w:hAnsi="宋体" w:cs="宋体"/>
          <w:color w:val="auto"/>
          <w:sz w:val="24"/>
          <w:lang w:val="zh-CN"/>
        </w:rPr>
        <w:t>。供应商应认真编制《响应文件》并自负此项风险。</w:t>
      </w:r>
    </w:p>
    <w:p w14:paraId="5AE3E680">
      <w:pPr>
        <w:autoSpaceDE w:val="0"/>
        <w:autoSpaceDN w:val="0"/>
        <w:adjustRightInd w:val="0"/>
        <w:snapToGrid w:val="0"/>
        <w:spacing w:line="360" w:lineRule="auto"/>
        <w:ind w:firstLine="482" w:firstLineChars="200"/>
        <w:rPr>
          <w:rFonts w:ascii="宋体" w:hAnsi="宋体" w:cs="宋体"/>
          <w:b/>
          <w:color w:val="auto"/>
          <w:sz w:val="24"/>
        </w:rPr>
      </w:pPr>
      <w:r>
        <w:rPr>
          <w:rFonts w:hint="eastAsia" w:ascii="宋体" w:hAnsi="宋体" w:cs="宋体"/>
          <w:b/>
          <w:color w:val="auto"/>
          <w:sz w:val="24"/>
          <w:lang w:val="zh-CN"/>
        </w:rPr>
        <w:t>3</w:t>
      </w:r>
      <w:r>
        <w:rPr>
          <w:rFonts w:hint="eastAsia" w:ascii="宋体" w:hAnsi="宋体" w:cs="宋体"/>
          <w:b/>
          <w:color w:val="auto"/>
          <w:sz w:val="24"/>
        </w:rPr>
        <w:t>.7.4 《响应文件》应按《磋商文件》</w:t>
      </w:r>
      <w:r>
        <w:rPr>
          <w:rFonts w:hint="eastAsia" w:ascii="宋体" w:hAnsi="宋体" w:cs="宋体"/>
          <w:b/>
          <w:color w:val="auto"/>
          <w:sz w:val="24"/>
          <w:lang w:val="zh-CN"/>
        </w:rPr>
        <w:t>相关要求（含格式上标注的要求）、</w:t>
      </w:r>
      <w:r>
        <w:rPr>
          <w:rFonts w:hint="eastAsia" w:ascii="宋体" w:hAnsi="宋体" w:cs="宋体"/>
          <w:b/>
          <w:color w:val="auto"/>
          <w:sz w:val="24"/>
        </w:rPr>
        <w:t>使用供应商企业数字证书进行电子签章和供应商法定代表人数字证书进行电子签名、并加密，没有使用供应商企业数字证书和供应商法定代表人数字证书进行电子签名并加密的《响应文件》，属于未按照《磋商文件》要求进行签署。</w:t>
      </w:r>
    </w:p>
    <w:p w14:paraId="4A86FC20">
      <w:pPr>
        <w:autoSpaceDE w:val="0"/>
        <w:autoSpaceDN w:val="0"/>
        <w:adjustRightInd w:val="0"/>
        <w:snapToGrid w:val="0"/>
        <w:spacing w:line="360" w:lineRule="auto"/>
        <w:ind w:firstLine="482" w:firstLineChars="200"/>
        <w:rPr>
          <w:rFonts w:ascii="宋体" w:hAnsi="宋体" w:cs="宋体"/>
          <w:color w:val="auto"/>
          <w:sz w:val="24"/>
        </w:rPr>
      </w:pPr>
      <w:r>
        <w:rPr>
          <w:rFonts w:hint="eastAsia" w:ascii="宋体" w:hAnsi="宋体" w:cs="宋体"/>
          <w:b/>
          <w:color w:val="auto"/>
          <w:sz w:val="24"/>
        </w:rPr>
        <w:t>根据《中华人民共和国电子签名法》规定，可靠的电子签名与手写签名或者盖章具有同等的法律效力。本次采购活动中，供应商使用有效的企业数字证书对《响应文件》进行电子签章与加盖供应商公章具有同等法律效力；供应商法定代表人使用有效的个人数字证书对《响应文件》进行签名与法人签章具有同等法律效力。</w:t>
      </w:r>
    </w:p>
    <w:p w14:paraId="2367CE69">
      <w:pPr>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3.7.5</w:t>
      </w:r>
      <w:r>
        <w:rPr>
          <w:rFonts w:hint="eastAsia" w:ascii="宋体" w:hAnsi="宋体" w:cs="宋体"/>
          <w:color w:val="auto"/>
          <w:sz w:val="24"/>
        </w:rPr>
        <w:t xml:space="preserve"> </w:t>
      </w:r>
      <w:r>
        <w:rPr>
          <w:rFonts w:hint="eastAsia" w:ascii="宋体" w:hAnsi="宋体" w:cs="宋体"/>
          <w:color w:val="auto"/>
          <w:sz w:val="24"/>
          <w:lang w:val="zh-CN"/>
        </w:rPr>
        <w:t>供应商可对本《磋商文件》“标段（包）一览表”中所列的所有标段（包）进行分别投标，也可选择其中一个标段（包）或几个标段（包）投标，但不得将《磋商文件》规定的同一标段（包）的内容拆开投标，否则将按</w:t>
      </w:r>
      <w:r>
        <w:rPr>
          <w:rFonts w:hint="eastAsia" w:ascii="宋体" w:hAnsi="宋体" w:cs="宋体"/>
          <w:b/>
          <w:color w:val="auto"/>
          <w:sz w:val="24"/>
          <w:lang w:val="zh-CN"/>
        </w:rPr>
        <w:t>无效投标</w:t>
      </w:r>
      <w:r>
        <w:rPr>
          <w:rFonts w:hint="eastAsia" w:ascii="宋体" w:hAnsi="宋体" w:cs="宋体"/>
          <w:color w:val="auto"/>
          <w:sz w:val="24"/>
          <w:lang w:val="zh-CN"/>
        </w:rPr>
        <w:t>处理。</w:t>
      </w:r>
    </w:p>
    <w:p w14:paraId="6F6224FE">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3.7.6</w:t>
      </w:r>
      <w:r>
        <w:rPr>
          <w:rFonts w:hint="eastAsia" w:ascii="宋体" w:hAnsi="宋体" w:cs="宋体"/>
          <w:color w:val="auto"/>
          <w:sz w:val="24"/>
        </w:rPr>
        <w:t xml:space="preserve"> </w:t>
      </w:r>
      <w:r>
        <w:rPr>
          <w:rFonts w:hint="eastAsia" w:ascii="宋体" w:hAnsi="宋体" w:cs="宋体"/>
          <w:color w:val="auto"/>
          <w:sz w:val="24"/>
          <w:lang w:val="zh-CN"/>
        </w:rPr>
        <w:t>《响应文件》因字迹或表述不清所引起的后果由供应商自行负责。</w:t>
      </w:r>
    </w:p>
    <w:p w14:paraId="647F7C2F">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3.7.7</w:t>
      </w:r>
      <w:r>
        <w:rPr>
          <w:rFonts w:hint="eastAsia" w:ascii="宋体" w:hAnsi="宋体" w:cs="宋体"/>
          <w:color w:val="auto"/>
          <w:sz w:val="24"/>
        </w:rPr>
        <w:t xml:space="preserve"> </w:t>
      </w:r>
      <w:r>
        <w:rPr>
          <w:rFonts w:hint="eastAsia" w:ascii="宋体" w:hAnsi="宋体" w:cs="宋体"/>
          <w:color w:val="auto"/>
          <w:sz w:val="24"/>
          <w:lang w:val="zh-CN"/>
        </w:rPr>
        <w:t>未按上述要求提交的《响应文件》将视为</w:t>
      </w:r>
      <w:r>
        <w:rPr>
          <w:rFonts w:hint="eastAsia" w:ascii="宋体" w:hAnsi="宋体" w:cs="宋体"/>
          <w:b/>
          <w:color w:val="auto"/>
          <w:sz w:val="24"/>
          <w:lang w:val="zh-CN"/>
        </w:rPr>
        <w:t>无效投标。</w:t>
      </w:r>
    </w:p>
    <w:p w14:paraId="5040807C">
      <w:pPr>
        <w:autoSpaceDE w:val="0"/>
        <w:autoSpaceDN w:val="0"/>
        <w:adjustRightInd w:val="0"/>
        <w:snapToGrid w:val="0"/>
        <w:spacing w:line="360" w:lineRule="auto"/>
        <w:ind w:firstLine="562" w:firstLineChars="200"/>
        <w:outlineLvl w:val="1"/>
        <w:rPr>
          <w:rFonts w:ascii="宋体" w:hAnsi="宋体" w:cs="宋体"/>
          <w:b/>
          <w:bCs/>
          <w:color w:val="auto"/>
          <w:sz w:val="28"/>
          <w:szCs w:val="28"/>
          <w:lang w:val="zh-CN"/>
        </w:rPr>
      </w:pPr>
      <w:bookmarkStart w:id="30" w:name="_Toc96605341"/>
      <w:bookmarkStart w:id="31" w:name="_Toc29508"/>
      <w:r>
        <w:rPr>
          <w:rFonts w:hint="eastAsia" w:ascii="宋体" w:hAnsi="宋体" w:cs="宋体"/>
          <w:b/>
          <w:bCs/>
          <w:color w:val="auto"/>
          <w:sz w:val="28"/>
          <w:szCs w:val="28"/>
          <w:lang w:val="zh-CN"/>
        </w:rPr>
        <w:t>4.《响应文件》的提交</w:t>
      </w:r>
      <w:bookmarkEnd w:id="30"/>
      <w:bookmarkEnd w:id="31"/>
    </w:p>
    <w:p w14:paraId="358E93BC">
      <w:pPr>
        <w:autoSpaceDE w:val="0"/>
        <w:autoSpaceDN w:val="0"/>
        <w:adjustRightInd w:val="0"/>
        <w:snapToGrid w:val="0"/>
        <w:spacing w:line="360" w:lineRule="auto"/>
        <w:ind w:firstLine="482" w:firstLineChars="200"/>
        <w:rPr>
          <w:rFonts w:ascii="宋体" w:hAnsi="宋体" w:cs="宋体"/>
          <w:b/>
          <w:color w:val="auto"/>
          <w:sz w:val="24"/>
          <w:lang w:val="zh-CN"/>
        </w:rPr>
      </w:pPr>
      <w:bookmarkStart w:id="32" w:name="OLE_LINK2"/>
      <w:bookmarkStart w:id="33" w:name="_Toc296602445"/>
      <w:r>
        <w:rPr>
          <w:rFonts w:hint="eastAsia" w:ascii="宋体" w:hAnsi="宋体" w:cs="宋体"/>
          <w:b/>
          <w:color w:val="auto"/>
          <w:sz w:val="24"/>
          <w:lang w:val="zh-CN"/>
        </w:rPr>
        <w:t>4.1</w:t>
      </w:r>
      <w:r>
        <w:rPr>
          <w:rFonts w:hint="eastAsia" w:ascii="宋体" w:hAnsi="宋体" w:cs="宋体"/>
          <w:b/>
          <w:color w:val="auto"/>
          <w:sz w:val="24"/>
        </w:rPr>
        <w:t xml:space="preserve"> </w:t>
      </w:r>
      <w:r>
        <w:rPr>
          <w:rFonts w:hint="eastAsia" w:ascii="宋体" w:hAnsi="宋体" w:cs="宋体"/>
          <w:b/>
          <w:color w:val="auto"/>
          <w:sz w:val="24"/>
          <w:lang w:val="zh-CN"/>
        </w:rPr>
        <w:t>《响应文件》的密封和标记</w:t>
      </w:r>
    </w:p>
    <w:p w14:paraId="229D201D">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4.1.1</w:t>
      </w:r>
      <w:r>
        <w:rPr>
          <w:rFonts w:hint="eastAsia" w:ascii="宋体" w:hAnsi="宋体" w:cs="宋体"/>
          <w:b/>
          <w:color w:val="auto"/>
          <w:sz w:val="24"/>
        </w:rPr>
        <w:t xml:space="preserve"> </w:t>
      </w:r>
      <w:r>
        <w:rPr>
          <w:rFonts w:hint="eastAsia" w:ascii="宋体" w:hAnsi="宋体" w:cs="宋体"/>
          <w:b/>
          <w:color w:val="auto"/>
          <w:sz w:val="24"/>
          <w:lang w:val="zh-CN"/>
        </w:rPr>
        <w:t>《响应文件》应当按网上电子交易系统要求进行加密和标记，在《响应文件》提交截止时间前，将加密的《响应文件》上传至“竞争性磋商公告”所述网上电子交易系统。</w:t>
      </w:r>
    </w:p>
    <w:p w14:paraId="4D9B9B6F">
      <w:pPr>
        <w:autoSpaceDE w:val="0"/>
        <w:autoSpaceDN w:val="0"/>
        <w:adjustRightInd w:val="0"/>
        <w:snapToGrid w:val="0"/>
        <w:spacing w:line="360" w:lineRule="auto"/>
        <w:ind w:firstLine="482" w:firstLineChars="200"/>
        <w:rPr>
          <w:rFonts w:ascii="宋体" w:hAnsi="宋体" w:cs="宋体"/>
          <w:b/>
          <w:color w:val="auto"/>
          <w:sz w:val="24"/>
          <w:lang w:val="zh-CN"/>
        </w:rPr>
      </w:pPr>
      <w:bookmarkStart w:id="34" w:name="OLE_LINK1"/>
      <w:r>
        <w:rPr>
          <w:rFonts w:hint="eastAsia" w:ascii="宋体" w:hAnsi="宋体" w:cs="宋体"/>
          <w:b/>
          <w:color w:val="auto"/>
          <w:sz w:val="24"/>
          <w:lang w:val="zh-CN"/>
        </w:rPr>
        <w:t>4.1.2</w:t>
      </w:r>
      <w:r>
        <w:rPr>
          <w:rFonts w:hint="eastAsia" w:ascii="宋体" w:hAnsi="宋体" w:cs="宋体"/>
          <w:b/>
          <w:color w:val="auto"/>
          <w:sz w:val="24"/>
        </w:rPr>
        <w:t xml:space="preserve"> </w:t>
      </w:r>
      <w:r>
        <w:rPr>
          <w:rFonts w:hint="eastAsia" w:ascii="宋体" w:hAnsi="宋体" w:cs="宋体"/>
          <w:b/>
          <w:color w:val="auto"/>
          <w:sz w:val="24"/>
          <w:lang w:val="zh-CN"/>
        </w:rPr>
        <w:t>《响应文件》没有按照上述要求进行加密和标记的、网上电子交易系统将据系统设定拒收其《响应文件》，供应商应自负该项风险，采购代理机构对可能产生的误投或提前启封概不负责。</w:t>
      </w:r>
      <w:bookmarkEnd w:id="34"/>
    </w:p>
    <w:bookmarkEnd w:id="32"/>
    <w:p w14:paraId="63BA9AD7">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4.2</w:t>
      </w:r>
      <w:r>
        <w:rPr>
          <w:rFonts w:hint="eastAsia" w:ascii="宋体" w:hAnsi="宋体" w:cs="宋体"/>
          <w:b/>
          <w:color w:val="auto"/>
          <w:sz w:val="24"/>
        </w:rPr>
        <w:t xml:space="preserve"> </w:t>
      </w:r>
      <w:r>
        <w:rPr>
          <w:rFonts w:hint="eastAsia" w:ascii="宋体" w:hAnsi="宋体" w:cs="宋体"/>
          <w:b/>
          <w:color w:val="auto"/>
          <w:sz w:val="24"/>
          <w:lang w:val="zh-CN"/>
        </w:rPr>
        <w:t>《响应文件》的递交</w:t>
      </w:r>
      <w:bookmarkEnd w:id="33"/>
    </w:p>
    <w:p w14:paraId="0432097F">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4.2.1</w:t>
      </w:r>
      <w:r>
        <w:rPr>
          <w:rFonts w:hint="eastAsia" w:ascii="宋体" w:hAnsi="宋体" w:cs="宋体"/>
          <w:b/>
          <w:color w:val="auto"/>
          <w:sz w:val="24"/>
        </w:rPr>
        <w:t xml:space="preserve"> </w:t>
      </w:r>
      <w:r>
        <w:rPr>
          <w:rFonts w:hint="eastAsia" w:ascii="宋体" w:hAnsi="宋体" w:cs="宋体"/>
          <w:b/>
          <w:color w:val="auto"/>
          <w:sz w:val="24"/>
          <w:lang w:val="zh-CN"/>
        </w:rPr>
        <w:t>供应商应在投标截止时间前上传加密的电子投标文件（*.aytf）到安阳市电子招投标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电子招投标交易平台将拒绝接收。</w:t>
      </w:r>
    </w:p>
    <w:p w14:paraId="630D71A6">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4.2.2</w:t>
      </w:r>
      <w:r>
        <w:rPr>
          <w:rFonts w:hint="eastAsia" w:ascii="宋体" w:hAnsi="宋体" w:cs="宋体"/>
          <w:b/>
          <w:color w:val="auto"/>
          <w:sz w:val="24"/>
        </w:rPr>
        <w:t xml:space="preserve"> </w:t>
      </w:r>
      <w:r>
        <w:rPr>
          <w:rFonts w:hint="eastAsia" w:ascii="宋体" w:hAnsi="宋体" w:cs="宋体"/>
          <w:b/>
          <w:color w:val="auto"/>
          <w:sz w:val="24"/>
          <w:lang w:val="zh-CN"/>
        </w:rPr>
        <w:t>据网上电子交易系统设定，《响应文件》提交截止时间后，系统将自动锁定已经提交的电子《响应文件》，拒绝再次提交。供应商将无法通过网上电子交易系统进行上传，采购代理机构将无法接受并拒绝接受投标截止时间以后提交的《响应文件》。</w:t>
      </w:r>
    </w:p>
    <w:p w14:paraId="0934DB5A">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4.2.3</w:t>
      </w:r>
      <w:r>
        <w:rPr>
          <w:rFonts w:hint="eastAsia" w:ascii="宋体" w:hAnsi="宋体" w:cs="宋体"/>
          <w:color w:val="auto"/>
          <w:sz w:val="24"/>
        </w:rPr>
        <w:t xml:space="preserve"> </w:t>
      </w:r>
      <w:r>
        <w:rPr>
          <w:rFonts w:hint="eastAsia" w:ascii="宋体" w:hAnsi="宋体" w:cs="宋体"/>
          <w:color w:val="auto"/>
          <w:sz w:val="24"/>
          <w:lang w:val="zh-CN"/>
        </w:rPr>
        <w:t>由于不可抗拒的原因，代理机构对《响应文件》的遗失和损坏不负任何责任。</w:t>
      </w:r>
    </w:p>
    <w:p w14:paraId="39026FDD">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4.2.4</w:t>
      </w:r>
      <w:r>
        <w:rPr>
          <w:rFonts w:hint="eastAsia" w:ascii="宋体" w:hAnsi="宋体" w:cs="宋体"/>
          <w:color w:val="auto"/>
          <w:sz w:val="24"/>
        </w:rPr>
        <w:t xml:space="preserve"> </w:t>
      </w:r>
      <w:r>
        <w:rPr>
          <w:rFonts w:hint="eastAsia" w:ascii="宋体" w:hAnsi="宋体" w:cs="宋体"/>
          <w:color w:val="auto"/>
          <w:sz w:val="24"/>
          <w:lang w:val="zh-CN"/>
        </w:rPr>
        <w:t>除供应商须知前附表另有规定外，供应商所递交的《响应文件》不予退还。</w:t>
      </w:r>
    </w:p>
    <w:p w14:paraId="2A75C92A">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4.2.5</w:t>
      </w:r>
      <w:r>
        <w:rPr>
          <w:rFonts w:hint="eastAsia" w:ascii="宋体" w:hAnsi="宋体" w:cs="宋体"/>
          <w:b/>
          <w:color w:val="auto"/>
          <w:sz w:val="24"/>
        </w:rPr>
        <w:t xml:space="preserve"> </w:t>
      </w:r>
      <w:r>
        <w:rPr>
          <w:rFonts w:hint="eastAsia" w:ascii="宋体" w:hAnsi="宋体" w:cs="宋体"/>
          <w:b/>
          <w:color w:val="auto"/>
          <w:sz w:val="24"/>
          <w:lang w:val="zh-CN"/>
        </w:rPr>
        <w:t>基于网上电子交易的系统要求及特点，只接受基于符合网上电子交易系统要求的投标，其他如纸制、送达、电报、电话、电子邮件等形式的投标概不接受。</w:t>
      </w:r>
    </w:p>
    <w:p w14:paraId="127878BF">
      <w:pPr>
        <w:autoSpaceDE w:val="0"/>
        <w:autoSpaceDN w:val="0"/>
        <w:adjustRightInd w:val="0"/>
        <w:snapToGrid w:val="0"/>
        <w:spacing w:line="360" w:lineRule="auto"/>
        <w:ind w:firstLine="482" w:firstLineChars="200"/>
        <w:rPr>
          <w:rFonts w:ascii="宋体" w:hAnsi="宋体" w:cs="宋体"/>
          <w:color w:val="auto"/>
          <w:sz w:val="24"/>
          <w:lang w:val="zh-CN"/>
        </w:rPr>
      </w:pPr>
      <w:r>
        <w:rPr>
          <w:rFonts w:hint="eastAsia" w:ascii="宋体" w:hAnsi="宋体" w:cs="宋体"/>
          <w:b/>
          <w:color w:val="auto"/>
          <w:sz w:val="24"/>
          <w:lang w:val="zh-CN"/>
        </w:rPr>
        <w:t>4.3</w:t>
      </w:r>
      <w:r>
        <w:rPr>
          <w:rFonts w:hint="eastAsia" w:ascii="宋体" w:hAnsi="宋体" w:cs="宋体"/>
          <w:b/>
          <w:color w:val="auto"/>
          <w:sz w:val="24"/>
        </w:rPr>
        <w:t xml:space="preserve"> </w:t>
      </w:r>
      <w:r>
        <w:rPr>
          <w:rFonts w:hint="eastAsia" w:ascii="宋体" w:hAnsi="宋体" w:cs="宋体"/>
          <w:b/>
          <w:color w:val="auto"/>
          <w:sz w:val="24"/>
          <w:lang w:val="zh-CN"/>
        </w:rPr>
        <w:t>《响应文件》的修改与撤回</w:t>
      </w:r>
    </w:p>
    <w:p w14:paraId="6B4C12BA">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4.3.1</w:t>
      </w:r>
      <w:r>
        <w:rPr>
          <w:rFonts w:hint="eastAsia" w:ascii="宋体" w:hAnsi="宋体" w:cs="宋体"/>
          <w:b/>
          <w:color w:val="auto"/>
          <w:sz w:val="24"/>
        </w:rPr>
        <w:t xml:space="preserve"> </w:t>
      </w:r>
      <w:r>
        <w:rPr>
          <w:rFonts w:hint="eastAsia" w:ascii="宋体" w:hAnsi="宋体" w:cs="宋体"/>
          <w:b/>
          <w:color w:val="auto"/>
          <w:sz w:val="24"/>
          <w:lang w:val="zh-CN"/>
        </w:rPr>
        <w:t>供应商于提交《响应文件》截止时间前如对《响应文件》进行补充、修改，可以上传新的《响应文件》进行覆盖。供应商如撤回《响应文件》，应及时书面通知采购代理机构进行办理。</w:t>
      </w:r>
    </w:p>
    <w:p w14:paraId="3D0CB567">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4.3.2</w:t>
      </w:r>
      <w:r>
        <w:rPr>
          <w:rFonts w:hint="eastAsia" w:ascii="宋体" w:hAnsi="宋体" w:cs="宋体"/>
          <w:b/>
          <w:color w:val="auto"/>
          <w:sz w:val="24"/>
        </w:rPr>
        <w:t xml:space="preserve"> </w:t>
      </w:r>
      <w:r>
        <w:rPr>
          <w:rFonts w:hint="eastAsia" w:ascii="宋体" w:hAnsi="宋体" w:cs="宋体"/>
          <w:b/>
          <w:color w:val="auto"/>
          <w:sz w:val="24"/>
          <w:lang w:val="zh-CN"/>
        </w:rPr>
        <w:t>供应商在《响应文件》提交截止时间后不得自行修改或撤回其投标，否则</w:t>
      </w:r>
      <w:r>
        <w:rPr>
          <w:rFonts w:hint="eastAsia" w:ascii="宋体" w:hAnsi="宋体" w:cs="宋体"/>
          <w:color w:val="auto"/>
          <w:sz w:val="24"/>
          <w:szCs w:val="24"/>
        </w:rPr>
        <w:t>依据磋商文件“第三章</w:t>
      </w:r>
      <w:r>
        <w:rPr>
          <w:rFonts w:hint="eastAsia" w:ascii="宋体" w:hAnsi="宋体" w:cs="宋体"/>
          <w:color w:val="auto"/>
          <w:sz w:val="24"/>
          <w:szCs w:val="22"/>
        </w:rPr>
        <w:t>3.5.5 违背承诺的责任追究措施</w:t>
      </w:r>
      <w:r>
        <w:rPr>
          <w:rFonts w:hint="eastAsia" w:ascii="宋体" w:hAnsi="宋体" w:cs="宋体"/>
          <w:color w:val="auto"/>
          <w:sz w:val="24"/>
          <w:szCs w:val="24"/>
        </w:rPr>
        <w:t>”，供应商</w:t>
      </w:r>
      <w:r>
        <w:rPr>
          <w:rFonts w:hint="eastAsia" w:ascii="宋体" w:hAnsi="宋体" w:cs="宋体"/>
          <w:color w:val="auto"/>
          <w:sz w:val="24"/>
          <w:szCs w:val="22"/>
        </w:rPr>
        <w:t>承担相应法律责任及违约责任。</w:t>
      </w:r>
    </w:p>
    <w:p w14:paraId="3B3E4C2E">
      <w:pPr>
        <w:autoSpaceDE w:val="0"/>
        <w:autoSpaceDN w:val="0"/>
        <w:adjustRightInd w:val="0"/>
        <w:snapToGrid w:val="0"/>
        <w:spacing w:line="360" w:lineRule="auto"/>
        <w:ind w:firstLine="562" w:firstLineChars="200"/>
        <w:outlineLvl w:val="1"/>
        <w:rPr>
          <w:rFonts w:ascii="宋体" w:hAnsi="宋体" w:cs="宋体"/>
          <w:color w:val="auto"/>
          <w:sz w:val="24"/>
          <w:lang w:val="zh-CN"/>
        </w:rPr>
      </w:pPr>
      <w:bookmarkStart w:id="35" w:name="_Toc96605342"/>
      <w:bookmarkStart w:id="36" w:name="_Toc20850"/>
      <w:r>
        <w:rPr>
          <w:rFonts w:hint="eastAsia" w:ascii="宋体" w:hAnsi="宋体" w:cs="宋体"/>
          <w:b/>
          <w:bCs/>
          <w:color w:val="auto"/>
          <w:sz w:val="28"/>
          <w:szCs w:val="28"/>
          <w:lang w:val="zh-CN"/>
        </w:rPr>
        <w:t>5.《响应文件》的开启</w:t>
      </w:r>
      <w:bookmarkEnd w:id="35"/>
      <w:bookmarkEnd w:id="36"/>
    </w:p>
    <w:p w14:paraId="7CBFA6DF">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5.1</w:t>
      </w:r>
      <w:r>
        <w:rPr>
          <w:rFonts w:hint="eastAsia" w:ascii="宋体" w:hAnsi="宋体" w:cs="宋体"/>
          <w:b/>
          <w:color w:val="auto"/>
          <w:sz w:val="24"/>
        </w:rPr>
        <w:t xml:space="preserve"> </w:t>
      </w:r>
      <w:r>
        <w:rPr>
          <w:rFonts w:hint="eastAsia" w:ascii="宋体" w:hAnsi="宋体" w:cs="宋体"/>
          <w:b/>
          <w:color w:val="auto"/>
          <w:sz w:val="24"/>
          <w:lang w:val="zh-CN"/>
        </w:rPr>
        <w:t>《响应文件》开启时间和地点</w:t>
      </w:r>
    </w:p>
    <w:p w14:paraId="4376765E">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5.1.1</w:t>
      </w:r>
      <w:r>
        <w:rPr>
          <w:rFonts w:hint="eastAsia" w:ascii="宋体" w:hAnsi="宋体" w:cs="宋体"/>
          <w:b/>
          <w:color w:val="auto"/>
          <w:sz w:val="24"/>
        </w:rPr>
        <w:t xml:space="preserve"> </w:t>
      </w:r>
      <w:r>
        <w:rPr>
          <w:rFonts w:hint="eastAsia" w:ascii="宋体" w:hAnsi="宋体" w:cs="宋体"/>
          <w:b/>
          <w:color w:val="auto"/>
          <w:sz w:val="24"/>
          <w:lang w:val="zh-CN"/>
        </w:rPr>
        <w:t>供应商应在投标截止时间前上传加密的电子投标文件（*.aytf）到安阳市电子招投标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电子招投标交易平台将拒绝接收。</w:t>
      </w:r>
    </w:p>
    <w:p w14:paraId="4B24BD29">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5.2</w:t>
      </w:r>
      <w:r>
        <w:rPr>
          <w:rFonts w:hint="eastAsia" w:ascii="宋体" w:hAnsi="宋体" w:cs="宋体"/>
          <w:b/>
          <w:color w:val="auto"/>
          <w:sz w:val="24"/>
        </w:rPr>
        <w:t xml:space="preserve"> </w:t>
      </w:r>
      <w:r>
        <w:rPr>
          <w:rFonts w:hint="eastAsia" w:ascii="宋体" w:hAnsi="宋体" w:cs="宋体"/>
          <w:b/>
          <w:color w:val="auto"/>
          <w:sz w:val="24"/>
          <w:lang w:val="zh-CN"/>
        </w:rPr>
        <w:t>《响应文件》开启程序</w:t>
      </w:r>
    </w:p>
    <w:p w14:paraId="084C1EC5">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5.2.1</w:t>
      </w:r>
      <w:r>
        <w:rPr>
          <w:rFonts w:hint="eastAsia" w:ascii="宋体" w:hAnsi="宋体" w:cs="宋体"/>
          <w:b/>
          <w:color w:val="auto"/>
          <w:sz w:val="24"/>
        </w:rPr>
        <w:t xml:space="preserve"> </w:t>
      </w:r>
      <w:r>
        <w:rPr>
          <w:rFonts w:hint="eastAsia" w:ascii="宋体" w:hAnsi="宋体" w:cs="宋体"/>
          <w:b/>
          <w:color w:val="auto"/>
          <w:sz w:val="24"/>
          <w:lang w:val="zh-CN"/>
        </w:rPr>
        <w:t>本项目为网上电子交易方式，《响应文件》的开启方式为远程解密，为保证开启工作顺利进行，供应商需在开标阶段、在管理员下达解密指令后的指定时限内，完成对本单位的加密《响应文件》的远程解密。如供应商因自身原因、在指定时限内没有解密成功的，其投标将不能被接受，供应商自行承担相应后果。解密完成后，供应商的报价将在系统界面上显示。</w:t>
      </w:r>
    </w:p>
    <w:p w14:paraId="47D0A673">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鉴于网上电子交易方式的特点，管理员将根据系统情况下达解密指令。</w:t>
      </w:r>
    </w:p>
    <w:p w14:paraId="6E35ABC1">
      <w:pPr>
        <w:autoSpaceDE w:val="0"/>
        <w:autoSpaceDN w:val="0"/>
        <w:adjustRightInd w:val="0"/>
        <w:snapToGrid w:val="0"/>
        <w:spacing w:line="360" w:lineRule="auto"/>
        <w:ind w:firstLine="482" w:firstLineChars="200"/>
        <w:rPr>
          <w:rFonts w:ascii="宋体" w:hAnsi="宋体" w:cs="宋体"/>
          <w:color w:val="auto"/>
          <w:sz w:val="24"/>
          <w:lang w:val="zh-CN"/>
        </w:rPr>
      </w:pPr>
      <w:r>
        <w:rPr>
          <w:rFonts w:hint="eastAsia" w:ascii="宋体" w:hAnsi="宋体" w:cs="宋体"/>
          <w:b/>
          <w:color w:val="auto"/>
          <w:sz w:val="24"/>
          <w:lang w:val="zh-CN"/>
        </w:rPr>
        <w:t>5.2.2</w:t>
      </w:r>
      <w:r>
        <w:rPr>
          <w:rFonts w:hint="eastAsia" w:ascii="宋体" w:hAnsi="宋体" w:cs="宋体"/>
          <w:b/>
          <w:color w:val="auto"/>
          <w:sz w:val="24"/>
        </w:rPr>
        <w:t xml:space="preserve"> </w:t>
      </w:r>
      <w:r>
        <w:rPr>
          <w:rFonts w:hint="eastAsia" w:ascii="宋体" w:hAnsi="宋体" w:cs="宋体"/>
          <w:b/>
          <w:color w:val="auto"/>
          <w:sz w:val="24"/>
          <w:lang w:val="zh-CN"/>
        </w:rPr>
        <w:t>供应商对开标过程和开标记录有疑义，以及认为采购人、采购代理机构相关工作人员有需要回避的情形的，应在系统中提出询问或者回避申请，否则，视为对开标无异议。</w:t>
      </w:r>
    </w:p>
    <w:p w14:paraId="0E6348AF">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5.2.3</w:t>
      </w:r>
      <w:r>
        <w:rPr>
          <w:rFonts w:hint="eastAsia" w:ascii="宋体" w:hAnsi="宋体" w:cs="宋体"/>
          <w:color w:val="auto"/>
          <w:sz w:val="24"/>
        </w:rPr>
        <w:t xml:space="preserve"> </w:t>
      </w:r>
      <w:r>
        <w:rPr>
          <w:rFonts w:hint="eastAsia" w:ascii="宋体" w:hAnsi="宋体" w:cs="宋体"/>
          <w:color w:val="auto"/>
          <w:sz w:val="24"/>
          <w:lang w:val="zh-CN"/>
        </w:rPr>
        <w:t>在开标或评审过程中，有效投标应在三家以上（包括三家）；有效投标不足三家的应予终止（废标）。</w:t>
      </w:r>
    </w:p>
    <w:p w14:paraId="75214F2E">
      <w:pPr>
        <w:autoSpaceDE w:val="0"/>
        <w:autoSpaceDN w:val="0"/>
        <w:adjustRightInd w:val="0"/>
        <w:snapToGrid w:val="0"/>
        <w:spacing w:line="360" w:lineRule="auto"/>
        <w:ind w:firstLine="562" w:firstLineChars="200"/>
        <w:outlineLvl w:val="1"/>
        <w:rPr>
          <w:rFonts w:ascii="宋体" w:hAnsi="宋体" w:cs="宋体"/>
          <w:color w:val="auto"/>
          <w:sz w:val="24"/>
          <w:lang w:val="zh-CN"/>
        </w:rPr>
      </w:pPr>
      <w:bookmarkStart w:id="37" w:name="_Toc96605343"/>
      <w:bookmarkStart w:id="38" w:name="_Toc17704"/>
      <w:r>
        <w:rPr>
          <w:rFonts w:hint="eastAsia" w:ascii="宋体" w:hAnsi="宋体" w:cs="宋体"/>
          <w:b/>
          <w:bCs/>
          <w:color w:val="auto"/>
          <w:sz w:val="28"/>
          <w:szCs w:val="28"/>
          <w:lang w:val="zh-CN"/>
        </w:rPr>
        <w:t>6.评审</w:t>
      </w:r>
      <w:bookmarkEnd w:id="37"/>
      <w:bookmarkEnd w:id="38"/>
    </w:p>
    <w:p w14:paraId="2C79D1FF">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6.1</w:t>
      </w:r>
      <w:r>
        <w:rPr>
          <w:rFonts w:hint="eastAsia" w:ascii="宋体" w:hAnsi="宋体" w:cs="宋体"/>
          <w:b/>
          <w:color w:val="auto"/>
          <w:sz w:val="24"/>
        </w:rPr>
        <w:t xml:space="preserve"> </w:t>
      </w:r>
      <w:r>
        <w:rPr>
          <w:rFonts w:hint="eastAsia" w:ascii="宋体" w:hAnsi="宋体" w:cs="宋体"/>
          <w:b/>
          <w:color w:val="auto"/>
          <w:sz w:val="24"/>
          <w:lang w:val="zh-CN"/>
        </w:rPr>
        <w:t>磋商小组</w:t>
      </w:r>
    </w:p>
    <w:p w14:paraId="4909C836">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评审工作由依法组建的磋商小组负责。磋商小组由采购人代表</w:t>
      </w:r>
      <w:r>
        <w:rPr>
          <w:rFonts w:hint="eastAsia" w:ascii="宋体" w:hAnsi="宋体" w:cs="宋体"/>
          <w:color w:val="auto"/>
          <w:sz w:val="24"/>
        </w:rPr>
        <w:t>1人</w:t>
      </w:r>
      <w:r>
        <w:rPr>
          <w:rFonts w:hint="eastAsia" w:ascii="宋体" w:hAnsi="宋体" w:cs="宋体"/>
          <w:color w:val="auto"/>
          <w:sz w:val="24"/>
          <w:lang w:val="zh-CN"/>
        </w:rPr>
        <w:t>和评审专家</w:t>
      </w:r>
      <w:r>
        <w:rPr>
          <w:rFonts w:hint="eastAsia" w:ascii="宋体" w:hAnsi="宋体" w:cs="宋体"/>
          <w:color w:val="auto"/>
          <w:sz w:val="24"/>
        </w:rPr>
        <w:t>2人</w:t>
      </w:r>
      <w:r>
        <w:rPr>
          <w:rFonts w:hint="eastAsia" w:ascii="宋体" w:hAnsi="宋体" w:cs="宋体"/>
          <w:color w:val="auto"/>
          <w:sz w:val="24"/>
          <w:lang w:val="zh-CN"/>
        </w:rPr>
        <w:t>共3人组成，其中评审专家人数不少于磋商小组成员总数的2/3，评审专家是在监督部门监督下从政府采购专家库中随机抽取产生。</w:t>
      </w:r>
    </w:p>
    <w:p w14:paraId="0F376E4E">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6.2</w:t>
      </w:r>
      <w:r>
        <w:rPr>
          <w:rFonts w:hint="eastAsia" w:ascii="宋体" w:hAnsi="宋体" w:cs="宋体"/>
          <w:b/>
          <w:color w:val="auto"/>
          <w:sz w:val="24"/>
        </w:rPr>
        <w:t xml:space="preserve"> </w:t>
      </w:r>
      <w:r>
        <w:rPr>
          <w:rFonts w:hint="eastAsia" w:ascii="宋体" w:hAnsi="宋体" w:cs="宋体"/>
          <w:b/>
          <w:color w:val="auto"/>
          <w:sz w:val="24"/>
          <w:lang w:val="zh-CN"/>
        </w:rPr>
        <w:t>评审原则</w:t>
      </w:r>
    </w:p>
    <w:p w14:paraId="3A8B0231">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6.2.1</w:t>
      </w:r>
      <w:r>
        <w:rPr>
          <w:rFonts w:hint="eastAsia" w:ascii="宋体" w:hAnsi="宋体" w:cs="宋体"/>
          <w:color w:val="auto"/>
          <w:sz w:val="24"/>
        </w:rPr>
        <w:t xml:space="preserve"> </w:t>
      </w:r>
      <w:r>
        <w:rPr>
          <w:rFonts w:hint="eastAsia" w:ascii="宋体" w:hAnsi="宋体" w:cs="宋体"/>
          <w:color w:val="auto"/>
          <w:sz w:val="24"/>
          <w:lang w:val="zh-CN"/>
        </w:rPr>
        <w:t>坚持公开、公平、公正地对待所有供应商。</w:t>
      </w:r>
    </w:p>
    <w:p w14:paraId="7C6257DC">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6.2.2</w:t>
      </w:r>
      <w:r>
        <w:rPr>
          <w:rFonts w:hint="eastAsia" w:ascii="宋体" w:hAnsi="宋体" w:cs="宋体"/>
          <w:color w:val="auto"/>
          <w:sz w:val="24"/>
        </w:rPr>
        <w:t xml:space="preserve"> </w:t>
      </w:r>
      <w:r>
        <w:rPr>
          <w:rFonts w:hint="eastAsia" w:ascii="宋体" w:hAnsi="宋体" w:cs="宋体"/>
          <w:color w:val="auto"/>
          <w:sz w:val="24"/>
          <w:lang w:val="zh-CN"/>
        </w:rPr>
        <w:t>按照同一评审程序及方法审查所有供应商的《响应文件》。</w:t>
      </w:r>
    </w:p>
    <w:p w14:paraId="64349203">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6.2.3</w:t>
      </w:r>
      <w:r>
        <w:rPr>
          <w:rFonts w:hint="eastAsia" w:ascii="宋体" w:hAnsi="宋体" w:cs="宋体"/>
          <w:color w:val="auto"/>
          <w:sz w:val="24"/>
        </w:rPr>
        <w:t xml:space="preserve"> </w:t>
      </w:r>
      <w:r>
        <w:rPr>
          <w:rFonts w:hint="eastAsia" w:ascii="宋体" w:hAnsi="宋体" w:cs="宋体"/>
          <w:color w:val="auto"/>
          <w:sz w:val="24"/>
          <w:lang w:val="zh-CN"/>
        </w:rPr>
        <w:t>反对不正当竞争。</w:t>
      </w:r>
    </w:p>
    <w:p w14:paraId="2B2BE3C0">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6.3</w:t>
      </w:r>
      <w:r>
        <w:rPr>
          <w:rFonts w:hint="eastAsia" w:ascii="宋体" w:hAnsi="宋体" w:cs="宋体"/>
          <w:b/>
          <w:color w:val="auto"/>
          <w:sz w:val="24"/>
        </w:rPr>
        <w:t xml:space="preserve"> </w:t>
      </w:r>
      <w:r>
        <w:rPr>
          <w:rFonts w:hint="eastAsia" w:ascii="宋体" w:hAnsi="宋体" w:cs="宋体"/>
          <w:b/>
          <w:color w:val="auto"/>
          <w:sz w:val="24"/>
          <w:lang w:val="zh-CN"/>
        </w:rPr>
        <w:t>评审</w:t>
      </w:r>
    </w:p>
    <w:p w14:paraId="70245171">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6.3.1</w:t>
      </w:r>
      <w:r>
        <w:rPr>
          <w:rFonts w:hint="eastAsia" w:ascii="宋体" w:hAnsi="宋体" w:cs="宋体"/>
          <w:color w:val="auto"/>
          <w:sz w:val="24"/>
        </w:rPr>
        <w:t xml:space="preserve"> </w:t>
      </w:r>
      <w:r>
        <w:rPr>
          <w:rFonts w:hint="eastAsia" w:ascii="宋体" w:hAnsi="宋体" w:cs="宋体"/>
          <w:color w:val="auto"/>
          <w:sz w:val="24"/>
          <w:lang w:val="zh-CN"/>
        </w:rPr>
        <w:t>评审工作在磋商小组内独立进行。磋商小组按照第四章“评审办法”规定的方法、评审因素、标准和程序对《响应文件》进行评审。第四章“评审办法”没有规定的方法、评审因素和标准，不作为评审依据。</w:t>
      </w:r>
    </w:p>
    <w:p w14:paraId="786CB3F3">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6.3.2</w:t>
      </w:r>
      <w:r>
        <w:rPr>
          <w:rFonts w:hint="eastAsia" w:ascii="宋体" w:hAnsi="宋体" w:cs="宋体"/>
          <w:color w:val="auto"/>
          <w:sz w:val="24"/>
        </w:rPr>
        <w:t xml:space="preserve"> </w:t>
      </w:r>
      <w:r>
        <w:rPr>
          <w:rFonts w:hint="eastAsia" w:ascii="宋体" w:hAnsi="宋体" w:cs="宋体"/>
          <w:color w:val="auto"/>
          <w:sz w:val="24"/>
          <w:lang w:val="zh-CN"/>
        </w:rPr>
        <w:t>在《响应文件》开启、评审期间，供应商不得向磋商小组成员询问情况，不得进行旨在影响评审结果的活动。</w:t>
      </w:r>
    </w:p>
    <w:p w14:paraId="7308FE0E">
      <w:pPr>
        <w:autoSpaceDE w:val="0"/>
        <w:autoSpaceDN w:val="0"/>
        <w:adjustRightInd w:val="0"/>
        <w:snapToGrid w:val="0"/>
        <w:spacing w:line="360" w:lineRule="auto"/>
        <w:ind w:firstLine="482" w:firstLineChars="200"/>
        <w:rPr>
          <w:rFonts w:ascii="宋体" w:hAnsi="宋体" w:cs="宋体"/>
          <w:color w:val="auto"/>
          <w:sz w:val="24"/>
          <w:lang w:val="zh-CN"/>
        </w:rPr>
      </w:pPr>
      <w:r>
        <w:rPr>
          <w:rFonts w:hint="eastAsia" w:ascii="宋体" w:hAnsi="宋体" w:cs="宋体"/>
          <w:b/>
          <w:color w:val="auto"/>
          <w:sz w:val="24"/>
          <w:lang w:val="zh-CN"/>
        </w:rPr>
        <w:t>6.4</w:t>
      </w:r>
      <w:r>
        <w:rPr>
          <w:rFonts w:hint="eastAsia" w:ascii="宋体" w:hAnsi="宋体" w:cs="宋体"/>
          <w:b/>
          <w:color w:val="auto"/>
          <w:sz w:val="24"/>
        </w:rPr>
        <w:t xml:space="preserve"> </w:t>
      </w:r>
      <w:r>
        <w:rPr>
          <w:rFonts w:hint="eastAsia" w:ascii="宋体" w:hAnsi="宋体" w:cs="宋体"/>
          <w:b/>
          <w:color w:val="auto"/>
          <w:sz w:val="24"/>
          <w:lang w:val="zh-CN"/>
        </w:rPr>
        <w:t>磋商：</w:t>
      </w:r>
      <w:r>
        <w:rPr>
          <w:rFonts w:hint="eastAsia" w:ascii="宋体" w:hAnsi="宋体" w:cs="宋体"/>
          <w:color w:val="auto"/>
          <w:sz w:val="24"/>
          <w:lang w:val="zh-CN"/>
        </w:rPr>
        <w:t>见第四章评审办法3.4 磋商规则</w:t>
      </w:r>
    </w:p>
    <w:p w14:paraId="27CB6CDF">
      <w:pPr>
        <w:autoSpaceDE w:val="0"/>
        <w:autoSpaceDN w:val="0"/>
        <w:adjustRightInd w:val="0"/>
        <w:snapToGrid w:val="0"/>
        <w:spacing w:line="360" w:lineRule="auto"/>
        <w:ind w:firstLine="562" w:firstLineChars="200"/>
        <w:outlineLvl w:val="1"/>
        <w:rPr>
          <w:rFonts w:ascii="宋体" w:hAnsi="宋体" w:cs="宋体"/>
          <w:b/>
          <w:bCs/>
          <w:color w:val="auto"/>
          <w:sz w:val="28"/>
          <w:szCs w:val="28"/>
          <w:lang w:val="zh-CN"/>
        </w:rPr>
      </w:pPr>
      <w:bookmarkStart w:id="39" w:name="_Toc30904"/>
      <w:bookmarkStart w:id="40" w:name="_Toc96605344"/>
      <w:r>
        <w:rPr>
          <w:rFonts w:hint="eastAsia" w:ascii="宋体" w:hAnsi="宋体" w:cs="宋体"/>
          <w:b/>
          <w:bCs/>
          <w:color w:val="auto"/>
          <w:sz w:val="28"/>
          <w:szCs w:val="28"/>
          <w:lang w:val="zh-CN"/>
        </w:rPr>
        <w:t>7.授予合同</w:t>
      </w:r>
      <w:bookmarkEnd w:id="39"/>
      <w:bookmarkEnd w:id="40"/>
    </w:p>
    <w:p w14:paraId="08EF0C78">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7.1</w:t>
      </w:r>
      <w:r>
        <w:rPr>
          <w:rFonts w:hint="eastAsia" w:ascii="宋体" w:hAnsi="宋体" w:cs="宋体"/>
          <w:b/>
          <w:color w:val="auto"/>
          <w:sz w:val="24"/>
        </w:rPr>
        <w:t xml:space="preserve"> </w:t>
      </w:r>
      <w:r>
        <w:rPr>
          <w:rFonts w:hint="eastAsia" w:ascii="宋体" w:hAnsi="宋体" w:cs="宋体"/>
          <w:b/>
          <w:color w:val="auto"/>
          <w:sz w:val="24"/>
          <w:lang w:val="zh-CN"/>
        </w:rPr>
        <w:t>确定成交供应商方式</w:t>
      </w:r>
    </w:p>
    <w:p w14:paraId="680F00D2">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除供应商须知前附表规定授权磋商小组直接确定成交供应商外，采购人应当自收到评审报告</w:t>
      </w:r>
      <w:r>
        <w:rPr>
          <w:rFonts w:hint="eastAsia" w:ascii="宋体" w:hAnsi="宋体" w:cs="宋体"/>
          <w:color w:val="auto"/>
          <w:sz w:val="24"/>
        </w:rPr>
        <w:t>当</w:t>
      </w:r>
      <w:r>
        <w:rPr>
          <w:rFonts w:hint="eastAsia" w:ascii="宋体" w:hAnsi="宋体" w:cs="宋体"/>
          <w:color w:val="auto"/>
          <w:sz w:val="24"/>
          <w:lang w:val="zh-CN"/>
        </w:rPr>
        <w:t>日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14:paraId="7B82B3A2">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7.2</w:t>
      </w:r>
      <w:r>
        <w:rPr>
          <w:rFonts w:hint="eastAsia" w:ascii="宋体" w:hAnsi="宋体" w:cs="宋体"/>
          <w:b/>
          <w:color w:val="auto"/>
          <w:sz w:val="24"/>
        </w:rPr>
        <w:t xml:space="preserve"> </w:t>
      </w:r>
      <w:r>
        <w:rPr>
          <w:rFonts w:hint="eastAsia" w:ascii="宋体" w:hAnsi="宋体" w:cs="宋体"/>
          <w:b/>
          <w:color w:val="auto"/>
          <w:sz w:val="24"/>
          <w:lang w:val="zh-CN"/>
        </w:rPr>
        <w:t>成交结果公告</w:t>
      </w:r>
    </w:p>
    <w:p w14:paraId="3B81F79D">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采购代理机构在成交供应商确定当</w:t>
      </w:r>
      <w:r>
        <w:rPr>
          <w:rFonts w:hint="eastAsia" w:ascii="宋体" w:hAnsi="宋体" w:cs="宋体"/>
          <w:color w:val="auto"/>
          <w:sz w:val="24"/>
        </w:rPr>
        <w:t>日</w:t>
      </w:r>
      <w:r>
        <w:rPr>
          <w:rFonts w:hint="eastAsia" w:ascii="宋体" w:hAnsi="宋体" w:cs="宋体"/>
          <w:color w:val="auto"/>
          <w:sz w:val="24"/>
          <w:lang w:val="zh-CN"/>
        </w:rPr>
        <w:t>，在竞争性磋商公告所述媒体公告成交结果。同时向成交供应商发出成交通知书。成交结果公告期限为1个工作日。</w:t>
      </w:r>
    </w:p>
    <w:p w14:paraId="557AF148">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7.3</w:t>
      </w:r>
      <w:r>
        <w:rPr>
          <w:rFonts w:hint="eastAsia" w:ascii="宋体" w:hAnsi="宋体" w:cs="宋体"/>
          <w:b/>
          <w:color w:val="auto"/>
          <w:sz w:val="24"/>
        </w:rPr>
        <w:t xml:space="preserve"> </w:t>
      </w:r>
      <w:r>
        <w:rPr>
          <w:rFonts w:hint="eastAsia" w:ascii="宋体" w:hAnsi="宋体" w:cs="宋体"/>
          <w:b/>
          <w:color w:val="auto"/>
          <w:sz w:val="24"/>
          <w:lang w:val="zh-CN"/>
        </w:rPr>
        <w:t>质疑</w:t>
      </w:r>
    </w:p>
    <w:p w14:paraId="3B7E0FDC">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rPr>
        <w:t xml:space="preserve">7.3.1 </w:t>
      </w:r>
      <w:r>
        <w:rPr>
          <w:rFonts w:hint="eastAsia" w:ascii="宋体" w:hAnsi="宋体" w:cs="宋体"/>
          <w:color w:val="auto"/>
          <w:sz w:val="24"/>
          <w:lang w:val="zh-CN"/>
        </w:rPr>
        <w:t>见供应商须知前附表。</w:t>
      </w:r>
    </w:p>
    <w:p w14:paraId="704AB3C2">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7.3.2 询问或者质疑事项可能影响成交结果的，采购人应当暂停签订合同，已经签订合同的，应当中止履行合同。</w:t>
      </w:r>
    </w:p>
    <w:p w14:paraId="4358D3FE">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7.4</w:t>
      </w:r>
      <w:r>
        <w:rPr>
          <w:rFonts w:hint="eastAsia" w:ascii="宋体" w:hAnsi="宋体" w:cs="宋体"/>
          <w:b/>
          <w:color w:val="auto"/>
          <w:sz w:val="24"/>
        </w:rPr>
        <w:t xml:space="preserve"> </w:t>
      </w:r>
      <w:r>
        <w:rPr>
          <w:rFonts w:hint="eastAsia" w:ascii="宋体" w:hAnsi="宋体" w:cs="宋体"/>
          <w:b/>
          <w:color w:val="auto"/>
          <w:sz w:val="24"/>
          <w:lang w:val="zh-CN"/>
        </w:rPr>
        <w:t>成交通知：</w:t>
      </w:r>
      <w:r>
        <w:rPr>
          <w:rFonts w:hint="eastAsia" w:ascii="宋体" w:hAnsi="宋体" w:cs="宋体"/>
          <w:color w:val="auto"/>
          <w:sz w:val="24"/>
          <w:lang w:val="zh-CN"/>
        </w:rPr>
        <w:t>见供应商须知前附表。</w:t>
      </w:r>
    </w:p>
    <w:p w14:paraId="6012D9A6">
      <w:pPr>
        <w:autoSpaceDE w:val="0"/>
        <w:autoSpaceDN w:val="0"/>
        <w:adjustRightInd w:val="0"/>
        <w:snapToGrid w:val="0"/>
        <w:spacing w:line="360" w:lineRule="auto"/>
        <w:ind w:firstLine="482" w:firstLineChars="200"/>
        <w:rPr>
          <w:rFonts w:ascii="宋体" w:hAnsi="宋体" w:cs="宋体"/>
          <w:color w:val="auto"/>
          <w:sz w:val="24"/>
          <w:lang w:val="zh-CN"/>
        </w:rPr>
      </w:pPr>
      <w:r>
        <w:rPr>
          <w:rFonts w:hint="eastAsia" w:ascii="宋体" w:hAnsi="宋体" w:cs="宋体"/>
          <w:b/>
          <w:color w:val="auto"/>
          <w:sz w:val="24"/>
          <w:lang w:val="zh-CN"/>
        </w:rPr>
        <w:t>7.5</w:t>
      </w:r>
      <w:r>
        <w:rPr>
          <w:rFonts w:hint="eastAsia" w:ascii="宋体" w:hAnsi="宋体" w:cs="宋体"/>
          <w:b/>
          <w:color w:val="auto"/>
          <w:sz w:val="24"/>
        </w:rPr>
        <w:t xml:space="preserve"> </w:t>
      </w:r>
      <w:r>
        <w:rPr>
          <w:rFonts w:hint="eastAsia" w:ascii="宋体" w:hAnsi="宋体" w:cs="宋体"/>
          <w:b/>
          <w:color w:val="auto"/>
          <w:sz w:val="24"/>
          <w:lang w:val="zh-CN"/>
        </w:rPr>
        <w:t>履约保证金：</w:t>
      </w:r>
      <w:r>
        <w:rPr>
          <w:rFonts w:hint="eastAsia" w:ascii="宋体" w:hAnsi="宋体" w:cs="宋体"/>
          <w:color w:val="auto"/>
          <w:sz w:val="24"/>
          <w:lang w:val="zh-CN"/>
        </w:rPr>
        <w:t>见供应商须知前附表</w:t>
      </w:r>
    </w:p>
    <w:p w14:paraId="4A747B05">
      <w:pPr>
        <w:autoSpaceDE w:val="0"/>
        <w:autoSpaceDN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7.6</w:t>
      </w:r>
      <w:r>
        <w:rPr>
          <w:rFonts w:hint="eastAsia" w:ascii="宋体" w:hAnsi="宋体" w:cs="宋体"/>
          <w:b/>
          <w:color w:val="auto"/>
          <w:sz w:val="24"/>
        </w:rPr>
        <w:t xml:space="preserve"> </w:t>
      </w:r>
      <w:r>
        <w:rPr>
          <w:rFonts w:hint="eastAsia" w:ascii="宋体" w:hAnsi="宋体" w:cs="宋体"/>
          <w:b/>
          <w:color w:val="auto"/>
          <w:sz w:val="24"/>
          <w:lang w:val="zh-CN"/>
        </w:rPr>
        <w:t>签订合同</w:t>
      </w:r>
    </w:p>
    <w:p w14:paraId="3EC28900">
      <w:pPr>
        <w:autoSpaceDE w:val="0"/>
        <w:autoSpaceDN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7.6.1 据优化营商环境精神，</w:t>
      </w:r>
      <w:r>
        <w:rPr>
          <w:rFonts w:hint="eastAsia" w:ascii="宋体" w:hAnsi="宋体" w:cs="宋体"/>
          <w:color w:val="auto"/>
          <w:sz w:val="24"/>
          <w:szCs w:val="24"/>
        </w:rPr>
        <w:t>成交供应商</w:t>
      </w:r>
      <w:r>
        <w:rPr>
          <w:rFonts w:hint="eastAsia" w:ascii="宋体" w:hAnsi="宋体" w:cs="宋体"/>
          <w:color w:val="auto"/>
          <w:sz w:val="24"/>
        </w:rPr>
        <w:t>应在《成交通知书》发出后</w:t>
      </w:r>
      <w:r>
        <w:rPr>
          <w:rFonts w:hint="eastAsia" w:ascii="宋体" w:hAnsi="宋体" w:cs="宋体"/>
          <w:color w:val="auto"/>
          <w:sz w:val="24"/>
          <w:lang w:val="en-US" w:eastAsia="zh-CN"/>
        </w:rPr>
        <w:t>2</w:t>
      </w:r>
      <w:r>
        <w:rPr>
          <w:rFonts w:hint="eastAsia" w:ascii="宋体" w:hAnsi="宋体" w:cs="宋体"/>
          <w:color w:val="auto"/>
          <w:sz w:val="24"/>
        </w:rPr>
        <w:t>个工作日内，按照《磋商文件》确定的合同文本以及成交标的、技术和服务等事项与采购人签订</w:t>
      </w:r>
      <w:r>
        <w:rPr>
          <w:rFonts w:hint="eastAsia" w:ascii="宋体" w:hAnsi="宋体" w:cs="宋体"/>
          <w:color w:val="auto"/>
          <w:sz w:val="24"/>
          <w:lang w:val="zh-CN"/>
        </w:rPr>
        <w:t>书面</w:t>
      </w:r>
      <w:r>
        <w:rPr>
          <w:rFonts w:hint="eastAsia" w:ascii="宋体" w:hAnsi="宋体" w:cs="宋体"/>
          <w:color w:val="auto"/>
          <w:sz w:val="24"/>
        </w:rPr>
        <w:t>政府采购合同。</w:t>
      </w:r>
    </w:p>
    <w:p w14:paraId="01BA37C0">
      <w:pPr>
        <w:autoSpaceDE w:val="0"/>
        <w:autoSpaceDN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rPr>
        <w:t>7.6.2 如</w:t>
      </w:r>
      <w:r>
        <w:rPr>
          <w:rFonts w:hint="eastAsia" w:ascii="宋体" w:hAnsi="宋体" w:cs="宋体"/>
          <w:color w:val="auto"/>
          <w:sz w:val="24"/>
          <w:szCs w:val="24"/>
        </w:rPr>
        <w:t>成交供应商</w:t>
      </w:r>
      <w:r>
        <w:rPr>
          <w:rFonts w:hint="eastAsia" w:ascii="宋体" w:hAnsi="宋体" w:cs="宋体"/>
          <w:color w:val="auto"/>
          <w:sz w:val="24"/>
        </w:rPr>
        <w:t>不按时签订合同、</w:t>
      </w:r>
      <w:r>
        <w:rPr>
          <w:rFonts w:hint="eastAsia" w:ascii="宋体" w:hAnsi="宋体" w:cs="宋体"/>
          <w:color w:val="auto"/>
          <w:sz w:val="24"/>
          <w:lang w:val="zh-CN"/>
        </w:rPr>
        <w:t>拒签合同的，取消其成交资格，</w:t>
      </w:r>
      <w:r>
        <w:rPr>
          <w:rFonts w:hint="eastAsia" w:ascii="宋体" w:hAnsi="宋体" w:cs="宋体"/>
          <w:color w:val="auto"/>
          <w:sz w:val="24"/>
          <w:szCs w:val="24"/>
        </w:rPr>
        <w:t>依据磋商文件“第三章</w:t>
      </w:r>
      <w:r>
        <w:rPr>
          <w:rFonts w:hint="eastAsia" w:ascii="宋体" w:hAnsi="宋体" w:cs="宋体"/>
          <w:color w:val="auto"/>
          <w:sz w:val="24"/>
          <w:szCs w:val="22"/>
        </w:rPr>
        <w:t>3.5.5违背承诺的责任追究措施</w:t>
      </w:r>
      <w:r>
        <w:rPr>
          <w:rFonts w:hint="eastAsia" w:ascii="宋体" w:hAnsi="宋体" w:cs="宋体"/>
          <w:color w:val="auto"/>
          <w:sz w:val="24"/>
          <w:szCs w:val="24"/>
        </w:rPr>
        <w:t>”，供应商</w:t>
      </w:r>
      <w:r>
        <w:rPr>
          <w:rFonts w:hint="eastAsia" w:ascii="宋体" w:hAnsi="宋体" w:cs="宋体"/>
          <w:color w:val="auto"/>
          <w:sz w:val="24"/>
          <w:szCs w:val="22"/>
        </w:rPr>
        <w:t>承担相应法律责任及违约责任。</w:t>
      </w:r>
      <w:r>
        <w:rPr>
          <w:rFonts w:hint="eastAsia" w:ascii="宋体" w:hAnsi="宋体" w:cs="宋体"/>
          <w:color w:val="auto"/>
          <w:sz w:val="24"/>
          <w:lang w:val="zh-CN"/>
        </w:rPr>
        <w:t>给采购人造成的损失，</w:t>
      </w:r>
      <w:r>
        <w:rPr>
          <w:rFonts w:hint="eastAsia" w:ascii="宋体" w:hAnsi="宋体" w:cs="宋体"/>
          <w:color w:val="auto"/>
          <w:sz w:val="24"/>
          <w:szCs w:val="24"/>
        </w:rPr>
        <w:t>成交供应商</w:t>
      </w:r>
      <w:r>
        <w:rPr>
          <w:rFonts w:hint="eastAsia" w:ascii="宋体" w:hAnsi="宋体" w:cs="宋体"/>
          <w:color w:val="auto"/>
          <w:sz w:val="24"/>
          <w:lang w:val="zh-CN"/>
        </w:rPr>
        <w:t>应予以赔偿。</w:t>
      </w:r>
    </w:p>
    <w:p w14:paraId="66BC87D6">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7.6.3 合同生效：成交供应商与采购人签订的合同，双方签字后盖章生效。采购人要在合同签订后1个工作日内登录安阳市政府采购网进行备案并公告。</w:t>
      </w:r>
    </w:p>
    <w:p w14:paraId="54FFF39F">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7.6.4 《成交通知书》、《磋商文件》</w:t>
      </w:r>
      <w:r>
        <w:rPr>
          <w:rFonts w:hint="eastAsia" w:ascii="宋体" w:hAnsi="宋体" w:cs="宋体"/>
          <w:color w:val="auto"/>
          <w:spacing w:val="20"/>
          <w:sz w:val="24"/>
          <w:szCs w:val="24"/>
        </w:rPr>
        <w:t>及其修改补充澄清</w:t>
      </w:r>
      <w:r>
        <w:rPr>
          <w:rFonts w:hint="eastAsia" w:ascii="宋体" w:hAnsi="宋体" w:cs="宋体"/>
          <w:color w:val="auto"/>
          <w:sz w:val="24"/>
          <w:szCs w:val="24"/>
        </w:rPr>
        <w:t>、成交供应商的《响应文件》及</w:t>
      </w:r>
      <w:r>
        <w:rPr>
          <w:rFonts w:hint="eastAsia" w:ascii="宋体" w:hAnsi="宋体" w:cs="宋体"/>
          <w:color w:val="auto"/>
          <w:spacing w:val="20"/>
          <w:sz w:val="24"/>
          <w:szCs w:val="24"/>
        </w:rPr>
        <w:t>其修改补充澄清</w:t>
      </w:r>
      <w:r>
        <w:rPr>
          <w:rFonts w:hint="eastAsia" w:ascii="宋体" w:hAnsi="宋体" w:cs="宋体"/>
          <w:color w:val="auto"/>
          <w:sz w:val="24"/>
          <w:szCs w:val="24"/>
        </w:rPr>
        <w:t>等，均为签订合同的依据。所定合同不得对《磋商文件》和成交供应商的《响应文件》作实质性修改，采购人和成交供应商不得私下订立背离合同实质性内容的协议。</w:t>
      </w:r>
    </w:p>
    <w:p w14:paraId="35241781">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7.6.5 评审会后，成交供应商、采购人之间擅自私下谈判、变更中标（成交）标的、价格及《磋商文件》《响应文件》实质性内容的，有关部门将按《中华人民共和国政府采购法》及相关法规的规定处理。</w:t>
      </w:r>
    </w:p>
    <w:p w14:paraId="5FDC36C5">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7.6.6 采购人与成交供应商签订《政府采购合同》后，合同履行中产生的纠纷、争议，由采购人与成交供应商按合同条款及《中华人民共和国民法典》处理。</w:t>
      </w:r>
    </w:p>
    <w:p w14:paraId="0388925E">
      <w:pPr>
        <w:widowControl w:val="0"/>
        <w:adjustRightInd w:val="0"/>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7.7</w:t>
      </w:r>
      <w:r>
        <w:rPr>
          <w:rFonts w:hint="eastAsia" w:ascii="宋体" w:hAnsi="宋体" w:cs="宋体"/>
          <w:b/>
          <w:color w:val="auto"/>
          <w:sz w:val="24"/>
        </w:rPr>
        <w:t xml:space="preserve"> </w:t>
      </w:r>
      <w:r>
        <w:rPr>
          <w:rFonts w:hint="eastAsia" w:ascii="宋体" w:hAnsi="宋体" w:cs="宋体"/>
          <w:b/>
          <w:color w:val="auto"/>
          <w:sz w:val="24"/>
          <w:lang w:val="zh-CN"/>
        </w:rPr>
        <w:t>合同补充变更</w:t>
      </w:r>
    </w:p>
    <w:p w14:paraId="51574976">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7.7.1 政府采购合同履行中，采购人需追加与合同标的相同的货物、工程和服务的（即追加原合同标的数量），在不改变合同条款（包括原合同单价）的前提下，双方可以协商签订补充合同，但所有补充合同总金额不得超过原合同采购金额的10%，不得调增原合同单价，不得超出项目预算，超过原合同采购金额的10%，应重新组织采购活动。</w:t>
      </w:r>
    </w:p>
    <w:p w14:paraId="6D23028F">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bCs/>
          <w:color w:val="auto"/>
          <w:sz w:val="24"/>
          <w:szCs w:val="24"/>
        </w:rPr>
        <w:t xml:space="preserve">7.7.2 </w:t>
      </w:r>
      <w:r>
        <w:rPr>
          <w:rFonts w:hint="eastAsia" w:ascii="宋体" w:hAnsi="宋体" w:cs="宋体"/>
          <w:color w:val="auto"/>
          <w:sz w:val="24"/>
          <w:szCs w:val="24"/>
        </w:rPr>
        <w:t>采购人需追加的货物、工程和服务的金额达到50万元以上（含50万元）、且超过中标（成交）价3%的，采购人应当自确定变更之日起5个工作日内将变更情况及事由报送同级监察机关。</w:t>
      </w:r>
    </w:p>
    <w:p w14:paraId="32F987EF">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采购项目在中标（成交）后经有关行政机关批准变更的，批准的行政机关应当自批准之日起3个工作日内将批准文件抄送同级监察机关备案。</w:t>
      </w:r>
    </w:p>
    <w:p w14:paraId="6445605B">
      <w:pPr>
        <w:widowControl w:val="0"/>
        <w:adjustRightInd w:val="0"/>
        <w:snapToGrid w:val="0"/>
        <w:spacing w:line="360" w:lineRule="auto"/>
        <w:ind w:firstLine="562" w:firstLineChars="200"/>
        <w:outlineLvl w:val="1"/>
        <w:rPr>
          <w:rFonts w:ascii="宋体" w:hAnsi="宋体" w:cs="宋体"/>
          <w:b/>
          <w:bCs/>
          <w:color w:val="auto"/>
          <w:sz w:val="28"/>
          <w:szCs w:val="28"/>
          <w:lang w:val="zh-CN"/>
        </w:rPr>
      </w:pPr>
      <w:bookmarkStart w:id="41" w:name="_Toc96605345"/>
      <w:bookmarkStart w:id="42" w:name="_Toc17828"/>
      <w:r>
        <w:rPr>
          <w:rFonts w:hint="eastAsia" w:ascii="宋体" w:hAnsi="宋体" w:cs="宋体"/>
          <w:b/>
          <w:bCs/>
          <w:color w:val="auto"/>
          <w:sz w:val="28"/>
          <w:szCs w:val="28"/>
          <w:lang w:val="zh-CN"/>
        </w:rPr>
        <w:t>8.验收</w:t>
      </w:r>
      <w:bookmarkEnd w:id="41"/>
      <w:bookmarkEnd w:id="42"/>
    </w:p>
    <w:p w14:paraId="1E32BA67">
      <w:pPr>
        <w:widowControl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8.1</w:t>
      </w:r>
      <w:r>
        <w:rPr>
          <w:rFonts w:hint="eastAsia" w:ascii="宋体" w:hAnsi="宋体" w:cs="宋体"/>
          <w:color w:val="auto"/>
          <w:sz w:val="24"/>
        </w:rPr>
        <w:t xml:space="preserve"> </w:t>
      </w:r>
      <w:r>
        <w:rPr>
          <w:rFonts w:hint="eastAsia" w:ascii="宋体" w:hAnsi="宋体" w:cs="宋体"/>
          <w:color w:val="auto"/>
          <w:sz w:val="24"/>
          <w:lang w:val="zh-CN"/>
        </w:rPr>
        <w:t>验收时间：项目具备验收条件时，由采购</w:t>
      </w:r>
      <w:r>
        <w:rPr>
          <w:rFonts w:hint="eastAsia" w:ascii="宋体" w:hAnsi="宋体" w:cs="宋体"/>
          <w:color w:val="auto"/>
          <w:sz w:val="24"/>
        </w:rPr>
        <w:t>人</w:t>
      </w:r>
      <w:r>
        <w:rPr>
          <w:rFonts w:hint="eastAsia" w:ascii="宋体" w:hAnsi="宋体" w:cs="宋体"/>
          <w:color w:val="auto"/>
          <w:sz w:val="24"/>
          <w:lang w:val="zh-CN"/>
        </w:rPr>
        <w:t>成立验收工作组负责验收。</w:t>
      </w:r>
      <w:r>
        <w:rPr>
          <w:rFonts w:hint="eastAsia" w:ascii="宋体" w:hAnsi="宋体" w:cs="宋体"/>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277AD299">
      <w:pPr>
        <w:widowControl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8.2</w:t>
      </w:r>
      <w:r>
        <w:rPr>
          <w:rFonts w:hint="eastAsia" w:ascii="宋体" w:hAnsi="宋体" w:cs="宋体"/>
          <w:color w:val="auto"/>
          <w:sz w:val="24"/>
        </w:rPr>
        <w:t xml:space="preserve"> </w:t>
      </w:r>
      <w:r>
        <w:rPr>
          <w:rFonts w:hint="eastAsia" w:ascii="宋体" w:hAnsi="宋体" w:cs="宋体"/>
          <w:color w:val="auto"/>
          <w:sz w:val="24"/>
          <w:lang w:val="zh-CN"/>
        </w:rPr>
        <w:t>验收工作组：合同履约验收工作应成立验收工作组专门负责。</w:t>
      </w:r>
    </w:p>
    <w:p w14:paraId="72B86EEE">
      <w:pPr>
        <w:widowControl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直接参与该项目政府采购活动的主要负责人不得作为验收工作的主要负责人。</w:t>
      </w:r>
      <w:r>
        <w:rPr>
          <w:rFonts w:hint="eastAsia" w:ascii="宋体" w:hAnsi="宋体" w:cs="宋体"/>
          <w:color w:val="auto"/>
          <w:sz w:val="24"/>
        </w:rPr>
        <w:t>对于采购人和使用人分离的采购项目，应当邀请实际使用人参与验收；政府向社会公众提供的公共服务项目，验收时应当邀请服务对象参与并出具意见，验收结果应当向社会公告。</w:t>
      </w:r>
    </w:p>
    <w:p w14:paraId="752F6050">
      <w:pPr>
        <w:widowControl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8.2.1 </w:t>
      </w:r>
      <w:r>
        <w:rPr>
          <w:rFonts w:hint="eastAsia" w:ascii="宋体" w:hAnsi="宋体" w:cs="宋体"/>
          <w:color w:val="auto"/>
          <w:sz w:val="24"/>
          <w:lang w:val="zh-CN"/>
        </w:rPr>
        <w:t>政府采购合同金额</w:t>
      </w:r>
      <w:r>
        <w:rPr>
          <w:rFonts w:hint="eastAsia" w:ascii="宋体" w:hAnsi="宋体" w:cs="宋体"/>
          <w:color w:val="auto"/>
          <w:sz w:val="24"/>
        </w:rPr>
        <w:t>在</w:t>
      </w:r>
      <w:r>
        <w:rPr>
          <w:rFonts w:hint="eastAsia" w:ascii="宋体" w:hAnsi="宋体" w:cs="宋体"/>
          <w:color w:val="auto"/>
          <w:sz w:val="24"/>
          <w:lang w:val="zh-CN"/>
        </w:rPr>
        <w:t>10万元以下（</w:t>
      </w:r>
      <w:r>
        <w:rPr>
          <w:rFonts w:hint="eastAsia" w:ascii="宋体" w:hAnsi="宋体" w:cs="宋体"/>
          <w:color w:val="auto"/>
          <w:sz w:val="24"/>
        </w:rPr>
        <w:t>含10万元</w:t>
      </w:r>
      <w:r>
        <w:rPr>
          <w:rFonts w:hint="eastAsia" w:ascii="宋体" w:hAnsi="宋体" w:cs="宋体"/>
          <w:color w:val="auto"/>
          <w:sz w:val="24"/>
          <w:lang w:val="zh-CN"/>
        </w:rPr>
        <w:t>）的项目，原则上可以不邀请评审专家参加，组织方成立验收小组自行验收。</w:t>
      </w:r>
      <w:r>
        <w:rPr>
          <w:rFonts w:hint="eastAsia" w:ascii="宋体" w:hAnsi="宋体" w:cs="宋体"/>
          <w:color w:val="auto"/>
          <w:sz w:val="24"/>
        </w:rPr>
        <w:t>自行验收时，验收小组应仔细对照采购文件及合同，对标的物的数量、质量、规格、型号等参数逐一核对，并编制验收报告。组织方认为不能独立完成验收任务的，可以邀请评审专家参与验收。</w:t>
      </w:r>
    </w:p>
    <w:p w14:paraId="747B303F">
      <w:pPr>
        <w:widowControl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8.2.2 </w:t>
      </w:r>
      <w:r>
        <w:rPr>
          <w:rFonts w:hint="eastAsia" w:ascii="宋体" w:hAnsi="宋体" w:cs="宋体"/>
          <w:color w:val="auto"/>
          <w:sz w:val="24"/>
          <w:lang w:val="zh-CN"/>
        </w:rPr>
        <w:t>政府采购合同金额50万元以下的（含50万元）的项目，验收工作组应不少于三人；政府采购合同金额50万元以上的项目，验收工作组应由</w:t>
      </w:r>
      <w:r>
        <w:rPr>
          <w:rFonts w:hint="eastAsia" w:ascii="宋体" w:hAnsi="宋体" w:cs="宋体"/>
          <w:color w:val="auto"/>
          <w:sz w:val="24"/>
        </w:rPr>
        <w:t>采购人</w:t>
      </w:r>
      <w:r>
        <w:rPr>
          <w:rFonts w:hint="eastAsia" w:ascii="宋体" w:hAnsi="宋体" w:cs="宋体"/>
          <w:color w:val="auto"/>
          <w:sz w:val="24"/>
          <w:lang w:val="zh-CN"/>
        </w:rPr>
        <w:t>领导牵头，财务、审计、监察、资产管理、技术等部门人员参与，成员不少于五人。验收工作</w:t>
      </w:r>
      <w:r>
        <w:rPr>
          <w:rFonts w:hint="eastAsia" w:ascii="宋体" w:hAnsi="宋体" w:cs="宋体"/>
          <w:color w:val="auto"/>
          <w:sz w:val="24"/>
        </w:rPr>
        <w:t>原则上</w:t>
      </w:r>
      <w:r>
        <w:rPr>
          <w:rFonts w:hint="eastAsia" w:ascii="宋体" w:hAnsi="宋体" w:cs="宋体"/>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宋体"/>
          <w:color w:val="auto"/>
          <w:sz w:val="24"/>
        </w:rPr>
        <w:t>采购人</w:t>
      </w:r>
      <w:r>
        <w:rPr>
          <w:rFonts w:hint="eastAsia" w:ascii="宋体" w:hAnsi="宋体" w:cs="宋体"/>
          <w:color w:val="auto"/>
          <w:sz w:val="24"/>
          <w:lang w:val="zh-CN"/>
        </w:rPr>
        <w:t>必须委托国家认可专业检测机构进行验收。</w:t>
      </w:r>
    </w:p>
    <w:p w14:paraId="2DB1401D">
      <w:pPr>
        <w:widowControl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8.3 验收时，验收小组按照采购合同的约定对每一项技术、服务、安全标准的履约情况进行确认。</w:t>
      </w:r>
      <w:r>
        <w:rPr>
          <w:rFonts w:hint="eastAsia" w:ascii="宋体" w:hAnsi="宋体" w:cs="宋体"/>
          <w:color w:val="auto"/>
          <w:sz w:val="24"/>
          <w:lang w:val="zh-CN"/>
        </w:rPr>
        <w:t>验收时需要进行破坏性试验的，供应商应进行充分的配合并提供备品备件。</w:t>
      </w:r>
    </w:p>
    <w:p w14:paraId="733EE5F2">
      <w:pPr>
        <w:widowControl w:val="0"/>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lang w:val="zh-CN"/>
        </w:rPr>
        <w:t>8.</w:t>
      </w:r>
      <w:r>
        <w:rPr>
          <w:rFonts w:hint="eastAsia" w:ascii="宋体" w:hAnsi="宋体" w:cs="宋体"/>
          <w:color w:val="auto"/>
          <w:sz w:val="24"/>
        </w:rPr>
        <w:t xml:space="preserve">4 </w:t>
      </w:r>
      <w:r>
        <w:rPr>
          <w:rFonts w:hint="eastAsia" w:ascii="宋体" w:hAnsi="宋体" w:cs="宋体"/>
          <w:color w:val="auto"/>
          <w:sz w:val="24"/>
          <w:lang w:val="zh-CN"/>
        </w:rPr>
        <w:t>验收报告：验收后，由采购</w:t>
      </w:r>
      <w:r>
        <w:rPr>
          <w:rFonts w:hint="eastAsia" w:ascii="宋体" w:hAnsi="宋体" w:cs="宋体"/>
          <w:color w:val="auto"/>
          <w:sz w:val="24"/>
        </w:rPr>
        <w:t>人</w:t>
      </w:r>
      <w:r>
        <w:rPr>
          <w:rFonts w:hint="eastAsia" w:ascii="宋体" w:hAnsi="宋体" w:cs="宋体"/>
          <w:color w:val="auto"/>
          <w:sz w:val="24"/>
          <w:lang w:val="zh-CN"/>
        </w:rPr>
        <w:t>及专家等出具验收报告（</w:t>
      </w:r>
      <w:r>
        <w:rPr>
          <w:rFonts w:hint="eastAsia" w:ascii="宋体" w:hAnsi="宋体" w:cs="宋体"/>
          <w:color w:val="auto"/>
          <w:sz w:val="24"/>
        </w:rPr>
        <w:t>自行验收的，由采购人出具</w:t>
      </w:r>
      <w:r>
        <w:rPr>
          <w:rFonts w:hint="eastAsia" w:ascii="宋体" w:hAnsi="宋体" w:cs="宋体"/>
          <w:color w:val="auto"/>
          <w:sz w:val="24"/>
          <w:lang w:val="zh-CN"/>
        </w:rPr>
        <w:t>），国家规定强制性检测的采购项目应附国家认可的专业检测机构出具的验收报告。</w:t>
      </w:r>
    </w:p>
    <w:p w14:paraId="4BCC914C">
      <w:pPr>
        <w:widowControl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8.</w:t>
      </w:r>
      <w:r>
        <w:rPr>
          <w:rFonts w:hint="eastAsia" w:ascii="宋体" w:hAnsi="宋体" w:cs="宋体"/>
          <w:color w:val="auto"/>
          <w:sz w:val="24"/>
        </w:rPr>
        <w:t xml:space="preserve">5 </w:t>
      </w:r>
      <w:r>
        <w:rPr>
          <w:rFonts w:hint="eastAsia" w:ascii="宋体" w:hAnsi="宋体" w:cs="宋体"/>
          <w:color w:val="auto"/>
          <w:sz w:val="24"/>
          <w:lang w:val="zh-CN"/>
        </w:rPr>
        <w:t>验收中发现</w:t>
      </w:r>
      <w:r>
        <w:rPr>
          <w:rFonts w:hint="eastAsia" w:ascii="宋体" w:hAnsi="宋体" w:cs="宋体"/>
          <w:color w:val="auto"/>
          <w:sz w:val="24"/>
          <w:szCs w:val="24"/>
        </w:rPr>
        <w:t>成交供应商</w:t>
      </w:r>
      <w:r>
        <w:rPr>
          <w:rFonts w:hint="eastAsia" w:ascii="宋体" w:hAnsi="宋体" w:cs="宋体"/>
          <w:color w:val="auto"/>
          <w:sz w:val="24"/>
          <w:lang w:val="zh-CN"/>
        </w:rPr>
        <w:t>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2C8B60C5">
      <w:pPr>
        <w:widowControl w:val="0"/>
        <w:adjustRightInd w:val="0"/>
        <w:snapToGrid w:val="0"/>
        <w:spacing w:line="360" w:lineRule="auto"/>
        <w:ind w:firstLine="480" w:firstLineChars="200"/>
        <w:outlineLvl w:val="1"/>
        <w:rPr>
          <w:rFonts w:ascii="宋体" w:hAnsi="宋体" w:cs="宋体"/>
          <w:b/>
          <w:bCs/>
          <w:color w:val="auto"/>
          <w:sz w:val="28"/>
          <w:szCs w:val="28"/>
          <w:lang w:val="zh-CN"/>
        </w:rPr>
      </w:pPr>
      <w:bookmarkStart w:id="43" w:name="_Toc11513"/>
      <w:bookmarkStart w:id="44" w:name="_Toc96605346"/>
      <w:r>
        <w:rPr>
          <w:rFonts w:hint="eastAsia" w:ascii="宋体" w:hAnsi="宋体" w:cs="宋体"/>
          <w:color w:val="auto"/>
          <w:sz w:val="24"/>
          <w:szCs w:val="24"/>
        </w:rPr>
        <w:t>8.6 验收公告的时限：采购人要在政府采购项目验收完成后1个工作日内登录安阳市政府采购网进行验收公告。</w:t>
      </w:r>
      <w:bookmarkEnd w:id="43"/>
    </w:p>
    <w:p w14:paraId="174FD2FE">
      <w:pPr>
        <w:widowControl w:val="0"/>
        <w:adjustRightInd w:val="0"/>
        <w:snapToGrid w:val="0"/>
        <w:spacing w:line="360" w:lineRule="auto"/>
        <w:ind w:firstLine="562" w:firstLineChars="200"/>
        <w:outlineLvl w:val="1"/>
        <w:rPr>
          <w:rFonts w:ascii="宋体" w:hAnsi="宋体" w:cs="宋体"/>
          <w:b/>
          <w:bCs/>
          <w:color w:val="auto"/>
          <w:sz w:val="28"/>
          <w:szCs w:val="28"/>
          <w:lang w:val="zh-CN"/>
        </w:rPr>
      </w:pPr>
      <w:bookmarkStart w:id="45" w:name="_Toc15836"/>
      <w:r>
        <w:rPr>
          <w:rFonts w:hint="eastAsia" w:ascii="宋体" w:hAnsi="宋体" w:cs="宋体"/>
          <w:b/>
          <w:bCs/>
          <w:color w:val="auto"/>
          <w:sz w:val="28"/>
          <w:szCs w:val="28"/>
          <w:lang w:val="zh-CN"/>
        </w:rPr>
        <w:t>9.付款</w:t>
      </w:r>
      <w:bookmarkEnd w:id="44"/>
      <w:bookmarkEnd w:id="45"/>
    </w:p>
    <w:p w14:paraId="64524805">
      <w:pPr>
        <w:widowControl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见供应商须知前附表。</w:t>
      </w:r>
    </w:p>
    <w:p w14:paraId="30B81520">
      <w:pPr>
        <w:widowControl w:val="0"/>
        <w:adjustRightInd w:val="0"/>
        <w:snapToGrid w:val="0"/>
        <w:spacing w:line="360" w:lineRule="auto"/>
        <w:ind w:firstLine="562" w:firstLineChars="200"/>
        <w:outlineLvl w:val="1"/>
        <w:rPr>
          <w:rFonts w:ascii="宋体" w:hAnsi="宋体" w:cs="宋体"/>
          <w:b/>
          <w:bCs/>
          <w:color w:val="auto"/>
          <w:sz w:val="28"/>
          <w:szCs w:val="28"/>
          <w:lang w:val="zh-CN"/>
        </w:rPr>
      </w:pPr>
      <w:bookmarkStart w:id="46" w:name="_Toc96605347"/>
      <w:bookmarkStart w:id="47" w:name="_Toc25344"/>
      <w:r>
        <w:rPr>
          <w:rFonts w:hint="eastAsia" w:ascii="宋体" w:hAnsi="宋体" w:cs="宋体"/>
          <w:b/>
          <w:bCs/>
          <w:color w:val="auto"/>
          <w:sz w:val="28"/>
          <w:szCs w:val="28"/>
          <w:lang w:val="zh-CN"/>
        </w:rPr>
        <w:t>10.其他</w:t>
      </w:r>
      <w:bookmarkEnd w:id="46"/>
      <w:bookmarkEnd w:id="47"/>
    </w:p>
    <w:p w14:paraId="3A515674">
      <w:pPr>
        <w:widowControl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10.1</w:t>
      </w:r>
      <w:r>
        <w:rPr>
          <w:rFonts w:hint="eastAsia" w:ascii="宋体" w:hAnsi="宋体" w:cs="宋体"/>
          <w:color w:val="auto"/>
          <w:sz w:val="24"/>
        </w:rPr>
        <w:t xml:space="preserve"> </w:t>
      </w:r>
      <w:r>
        <w:rPr>
          <w:rFonts w:hint="eastAsia" w:ascii="宋体" w:hAnsi="宋体" w:cs="宋体"/>
          <w:color w:val="auto"/>
          <w:sz w:val="24"/>
          <w:lang w:val="zh-CN"/>
        </w:rPr>
        <w:t>中标服务费等：见供应商须知前附表。</w:t>
      </w:r>
    </w:p>
    <w:p w14:paraId="1334156C">
      <w:pPr>
        <w:widowControl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10.2</w:t>
      </w:r>
      <w:r>
        <w:rPr>
          <w:rFonts w:hint="eastAsia" w:ascii="宋体" w:hAnsi="宋体" w:cs="宋体"/>
          <w:color w:val="auto"/>
          <w:sz w:val="24"/>
        </w:rPr>
        <w:t xml:space="preserve"> </w:t>
      </w:r>
      <w:r>
        <w:rPr>
          <w:rFonts w:hint="eastAsia" w:ascii="宋体" w:hAnsi="宋体" w:cs="宋体"/>
          <w:color w:val="auto"/>
          <w:sz w:val="24"/>
          <w:lang w:val="zh-CN"/>
        </w:rPr>
        <w:t>近义解释。《磋商文件》中：“投标”同义“递交《响应文件》”，“供应商”同义“递交《响应文件》的供应商”，“《响应文件》”同义“《投标文件》”，“中标”同义“成交”，“成交供应商”同义“中标人”，“《响应文件》开启”同义“《响应文件》的开启”。</w:t>
      </w:r>
    </w:p>
    <w:p w14:paraId="2D155ED7">
      <w:pPr>
        <w:widowControl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10.3</w:t>
      </w:r>
      <w:r>
        <w:rPr>
          <w:rFonts w:hint="eastAsia" w:ascii="宋体" w:hAnsi="宋体" w:cs="宋体"/>
          <w:color w:val="auto"/>
          <w:sz w:val="24"/>
        </w:rPr>
        <w:t xml:space="preserve"> </w:t>
      </w:r>
      <w:r>
        <w:rPr>
          <w:rFonts w:hint="eastAsia" w:ascii="宋体" w:hAnsi="宋体" w:cs="宋体"/>
          <w:color w:val="auto"/>
          <w:sz w:val="24"/>
          <w:lang w:val="zh-CN"/>
        </w:rPr>
        <w:t>供应商资格条件中包含非法人单位的，《磋商文件》中法定代表人一词相应包含表示证照标示的负责人</w:t>
      </w:r>
      <w:r>
        <w:rPr>
          <w:rFonts w:hint="eastAsia" w:ascii="宋体" w:hAnsi="宋体" w:cs="宋体"/>
          <w:color w:val="auto"/>
          <w:sz w:val="24"/>
        </w:rPr>
        <w:t>；</w:t>
      </w:r>
      <w:r>
        <w:rPr>
          <w:rFonts w:hint="eastAsia" w:ascii="宋体" w:hAnsi="宋体" w:cs="宋体"/>
          <w:color w:val="auto"/>
          <w:sz w:val="24"/>
          <w:lang w:val="zh-CN"/>
        </w:rPr>
        <w:t>供应商资格条件中包含自然人的，《磋商文件》中法定代表人一词相应包含表示自然人，自然人应由其本人签署《响应文件》、参加投标，不应再授权他人。</w:t>
      </w:r>
    </w:p>
    <w:p w14:paraId="6968BEE1">
      <w:pPr>
        <w:widowControl w:val="0"/>
        <w:autoSpaceDE w:val="0"/>
        <w:autoSpaceDN w:val="0"/>
        <w:adjustRightInd w:val="0"/>
        <w:spacing w:line="360" w:lineRule="auto"/>
        <w:ind w:firstLine="480" w:firstLineChars="200"/>
        <w:jc w:val="left"/>
        <w:textAlignment w:val="auto"/>
        <w:rPr>
          <w:rFonts w:ascii="宋体" w:hAnsi="宋体" w:cs="宋体"/>
          <w:color w:val="auto"/>
          <w:sz w:val="24"/>
          <w:lang w:val="zh-CN"/>
        </w:rPr>
      </w:pPr>
      <w:r>
        <w:rPr>
          <w:rFonts w:hint="eastAsia" w:ascii="宋体" w:hAnsi="宋体" w:cs="宋体"/>
          <w:color w:val="auto"/>
          <w:sz w:val="24"/>
          <w:lang w:val="zh-CN"/>
        </w:rPr>
        <w:t>10.4</w:t>
      </w:r>
      <w:r>
        <w:rPr>
          <w:rFonts w:hint="eastAsia" w:ascii="宋体" w:hAnsi="宋体" w:cs="宋体"/>
          <w:color w:val="auto"/>
          <w:sz w:val="24"/>
        </w:rPr>
        <w:t xml:space="preserve"> </w:t>
      </w:r>
      <w:r>
        <w:rPr>
          <w:rFonts w:hint="eastAsia" w:ascii="宋体" w:hAnsi="宋体" w:cs="宋体"/>
          <w:color w:val="auto"/>
          <w:sz w:val="24"/>
          <w:lang w:val="zh-CN"/>
        </w:rPr>
        <w:t>《磋商文件》第一章至第四章各章中，用序号标示条、款、项、目，例如：1为第1条，1.1为第1条第1款（简称1.1款），1.1.1为第1条第1款第1项（简称1.1.1项）。“条”包含款、项、目；“款”包含项、目；“项”包含目。</w:t>
      </w:r>
    </w:p>
    <w:p w14:paraId="717B9422">
      <w:pPr>
        <w:widowControl w:val="0"/>
        <w:adjustRightInd w:val="0"/>
        <w:snapToGrid w:val="0"/>
        <w:spacing w:line="360" w:lineRule="auto"/>
        <w:ind w:firstLine="562" w:firstLineChars="200"/>
        <w:outlineLvl w:val="1"/>
        <w:rPr>
          <w:rFonts w:ascii="宋体" w:hAnsi="宋体" w:cs="宋体"/>
          <w:b/>
          <w:bCs/>
          <w:color w:val="auto"/>
          <w:sz w:val="28"/>
          <w:szCs w:val="28"/>
          <w:lang w:val="zh-CN"/>
        </w:rPr>
      </w:pPr>
      <w:bookmarkStart w:id="48" w:name="_Toc9945"/>
      <w:bookmarkStart w:id="49" w:name="_Toc58855443"/>
      <w:bookmarkStart w:id="50" w:name="_Toc65223321"/>
      <w:r>
        <w:rPr>
          <w:rFonts w:hint="eastAsia" w:ascii="宋体" w:hAnsi="宋体" w:cs="宋体"/>
          <w:b/>
          <w:bCs/>
          <w:color w:val="auto"/>
          <w:sz w:val="28"/>
          <w:szCs w:val="28"/>
          <w:lang w:val="zh-CN"/>
        </w:rPr>
        <w:t>11.河南省政府采购合同融资政策告知函</w:t>
      </w:r>
      <w:bookmarkEnd w:id="48"/>
      <w:bookmarkEnd w:id="49"/>
      <w:bookmarkEnd w:id="50"/>
    </w:p>
    <w:p w14:paraId="3A8A2D46">
      <w:pPr>
        <w:widowControl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各供应商：</w:t>
      </w:r>
    </w:p>
    <w:p w14:paraId="4193DA75">
      <w:pPr>
        <w:widowControl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欢迎贵公司参与河南省政府采购活动！</w:t>
      </w:r>
    </w:p>
    <w:p w14:paraId="4F58603A">
      <w:pPr>
        <w:widowControl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政府采购合同融资是河南省财政厅支持中小微企业发展，针对参与政府采购活动的供应商融资难、融资贵问题推出的一项融资政策。贵公司若成为本次政府采购项目的中标人，可持政府采购合同向金融机构申请贷款，无需抵押、担保，融资机构将根据《河南省政府采购合同融资工作实施方案》（豫财购〔2017〕10号），按照双方自愿的原则提供便捷、优惠的贷款服务。</w:t>
      </w:r>
    </w:p>
    <w:p w14:paraId="6B2AA781">
      <w:pPr>
        <w:widowControl w:val="0"/>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贷款渠道和提供贷款的金融机构，可在河南省政府采购网“河南省政府采购合同融资平台”查询联系。</w:t>
      </w:r>
    </w:p>
    <w:p w14:paraId="59578BB0">
      <w:pPr>
        <w:widowControl w:val="0"/>
        <w:snapToGrid w:val="0"/>
        <w:spacing w:line="560" w:lineRule="exact"/>
        <w:jc w:val="left"/>
        <w:rPr>
          <w:rFonts w:ascii="宋体" w:hAnsi="宋体" w:cs="宋体"/>
          <w:b/>
          <w:color w:val="auto"/>
          <w:sz w:val="30"/>
          <w:szCs w:val="30"/>
          <w:lang w:val="zh-CN"/>
        </w:rPr>
      </w:pPr>
    </w:p>
    <w:p w14:paraId="6BACBE7B">
      <w:pPr>
        <w:widowControl w:val="0"/>
        <w:snapToGrid w:val="0"/>
        <w:spacing w:line="560" w:lineRule="exact"/>
        <w:jc w:val="left"/>
        <w:rPr>
          <w:rFonts w:ascii="宋体" w:hAnsi="宋体" w:cs="宋体"/>
          <w:b/>
          <w:color w:val="auto"/>
          <w:sz w:val="30"/>
          <w:szCs w:val="30"/>
          <w:lang w:val="zh-CN"/>
        </w:rPr>
      </w:pPr>
    </w:p>
    <w:p w14:paraId="189EA541">
      <w:pPr>
        <w:widowControl w:val="0"/>
        <w:snapToGrid w:val="0"/>
        <w:spacing w:line="560" w:lineRule="exact"/>
        <w:jc w:val="left"/>
        <w:rPr>
          <w:rFonts w:ascii="宋体" w:hAnsi="宋体" w:cs="宋体"/>
          <w:b/>
          <w:color w:val="auto"/>
          <w:sz w:val="30"/>
          <w:szCs w:val="30"/>
          <w:lang w:val="zh-CN"/>
        </w:rPr>
      </w:pPr>
    </w:p>
    <w:p w14:paraId="03193B0A">
      <w:pPr>
        <w:widowControl w:val="0"/>
        <w:snapToGrid w:val="0"/>
        <w:spacing w:line="560" w:lineRule="exact"/>
        <w:jc w:val="left"/>
        <w:rPr>
          <w:rFonts w:ascii="宋体" w:hAnsi="宋体" w:cs="宋体"/>
          <w:b/>
          <w:color w:val="auto"/>
          <w:sz w:val="30"/>
          <w:szCs w:val="30"/>
          <w:lang w:val="zh-CN"/>
        </w:rPr>
      </w:pPr>
    </w:p>
    <w:p w14:paraId="34A7380E">
      <w:pPr>
        <w:widowControl w:val="0"/>
        <w:snapToGrid w:val="0"/>
        <w:spacing w:line="560" w:lineRule="exact"/>
        <w:jc w:val="left"/>
        <w:rPr>
          <w:rFonts w:ascii="宋体" w:hAnsi="宋体" w:cs="宋体"/>
          <w:b/>
          <w:color w:val="auto"/>
          <w:sz w:val="30"/>
          <w:szCs w:val="30"/>
          <w:lang w:val="zh-CN"/>
        </w:rPr>
      </w:pPr>
    </w:p>
    <w:p w14:paraId="6550A5AC">
      <w:pPr>
        <w:rPr>
          <w:rFonts w:ascii="宋体" w:hAnsi="宋体" w:cs="宋体"/>
          <w:b/>
          <w:color w:val="auto"/>
          <w:sz w:val="30"/>
          <w:szCs w:val="30"/>
          <w:lang w:val="zh-CN"/>
        </w:rPr>
      </w:pPr>
      <w:r>
        <w:rPr>
          <w:rFonts w:hint="eastAsia" w:ascii="宋体" w:hAnsi="宋体" w:cs="宋体"/>
          <w:b/>
          <w:color w:val="auto"/>
          <w:sz w:val="30"/>
          <w:szCs w:val="30"/>
          <w:lang w:val="zh-CN"/>
        </w:rPr>
        <w:br w:type="page"/>
      </w:r>
    </w:p>
    <w:p w14:paraId="15048073">
      <w:pPr>
        <w:pStyle w:val="2"/>
        <w:rPr>
          <w:color w:val="auto"/>
          <w:lang w:val="zh-CN"/>
        </w:rPr>
      </w:pPr>
      <w:bookmarkStart w:id="51" w:name="_Toc32613"/>
      <w:r>
        <w:rPr>
          <w:rFonts w:hint="eastAsia"/>
          <w:color w:val="auto"/>
          <w:lang w:val="zh-CN"/>
        </w:rPr>
        <w:t>第四章</w:t>
      </w:r>
      <w:r>
        <w:rPr>
          <w:rFonts w:hint="eastAsia"/>
          <w:color w:val="auto"/>
        </w:rPr>
        <w:t xml:space="preserve">  </w:t>
      </w:r>
      <w:r>
        <w:rPr>
          <w:rFonts w:hint="eastAsia"/>
          <w:color w:val="auto"/>
          <w:lang w:val="zh-CN"/>
        </w:rPr>
        <w:t>评审办法</w:t>
      </w:r>
      <w:bookmarkEnd w:id="51"/>
    </w:p>
    <w:p w14:paraId="52B10671">
      <w:pPr>
        <w:spacing w:line="360" w:lineRule="auto"/>
        <w:jc w:val="left"/>
        <w:rPr>
          <w:rFonts w:ascii="宋体" w:hAnsi="宋体" w:cs="宋体"/>
          <w:b/>
          <w:bCs/>
          <w:color w:val="auto"/>
          <w:sz w:val="24"/>
          <w:szCs w:val="32"/>
        </w:rPr>
      </w:pPr>
      <w:r>
        <w:rPr>
          <w:rFonts w:hint="eastAsia" w:ascii="宋体" w:hAnsi="宋体" w:cs="宋体"/>
          <w:b/>
          <w:bCs/>
          <w:color w:val="auto"/>
          <w:sz w:val="24"/>
          <w:szCs w:val="32"/>
        </w:rPr>
        <w:t>评审办法前附表</w:t>
      </w:r>
    </w:p>
    <w:tbl>
      <w:tblPr>
        <w:tblStyle w:val="22"/>
        <w:tblW w:w="9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105"/>
        <w:gridCol w:w="1182"/>
        <w:gridCol w:w="1965"/>
        <w:gridCol w:w="4495"/>
      </w:tblGrid>
      <w:tr w14:paraId="14A4F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44" w:type="dxa"/>
            <w:gridSpan w:val="2"/>
            <w:vAlign w:val="bottom"/>
          </w:tcPr>
          <w:p w14:paraId="16700E54">
            <w:pPr>
              <w:spacing w:line="360" w:lineRule="auto"/>
              <w:jc w:val="center"/>
              <w:rPr>
                <w:rFonts w:ascii="宋体" w:hAnsi="宋体" w:cs="宋体"/>
                <w:color w:val="auto"/>
                <w:sz w:val="24"/>
                <w:szCs w:val="24"/>
              </w:rPr>
            </w:pPr>
            <w:r>
              <w:rPr>
                <w:rFonts w:hint="eastAsia" w:ascii="宋体" w:hAnsi="宋体" w:cs="宋体"/>
                <w:color w:val="auto"/>
                <w:sz w:val="24"/>
                <w:szCs w:val="24"/>
              </w:rPr>
              <w:t>条款号</w:t>
            </w:r>
          </w:p>
        </w:tc>
        <w:tc>
          <w:tcPr>
            <w:tcW w:w="3147" w:type="dxa"/>
            <w:gridSpan w:val="2"/>
            <w:vAlign w:val="bottom"/>
          </w:tcPr>
          <w:p w14:paraId="670E470B">
            <w:pPr>
              <w:spacing w:line="360" w:lineRule="auto"/>
              <w:jc w:val="center"/>
              <w:rPr>
                <w:rFonts w:ascii="宋体" w:hAnsi="宋体" w:cs="宋体"/>
                <w:color w:val="auto"/>
                <w:sz w:val="24"/>
                <w:szCs w:val="24"/>
              </w:rPr>
            </w:pPr>
            <w:r>
              <w:rPr>
                <w:rFonts w:hint="eastAsia" w:ascii="宋体" w:hAnsi="宋体" w:cs="宋体"/>
                <w:color w:val="auto"/>
                <w:sz w:val="24"/>
                <w:szCs w:val="24"/>
              </w:rPr>
              <w:t>评审因素</w:t>
            </w:r>
          </w:p>
        </w:tc>
        <w:tc>
          <w:tcPr>
            <w:tcW w:w="4495" w:type="dxa"/>
            <w:vAlign w:val="bottom"/>
          </w:tcPr>
          <w:p w14:paraId="5501C878">
            <w:pPr>
              <w:spacing w:line="360" w:lineRule="auto"/>
              <w:jc w:val="center"/>
              <w:rPr>
                <w:rFonts w:ascii="宋体" w:hAnsi="宋体" w:cs="宋体"/>
                <w:color w:val="auto"/>
                <w:sz w:val="24"/>
                <w:szCs w:val="24"/>
              </w:rPr>
            </w:pPr>
            <w:r>
              <w:rPr>
                <w:rFonts w:hint="eastAsia" w:ascii="宋体" w:hAnsi="宋体" w:cs="宋体"/>
                <w:color w:val="auto"/>
                <w:sz w:val="24"/>
                <w:szCs w:val="24"/>
              </w:rPr>
              <w:t>评审标准</w:t>
            </w:r>
          </w:p>
        </w:tc>
      </w:tr>
      <w:tr w14:paraId="46526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restart"/>
            <w:vAlign w:val="center"/>
          </w:tcPr>
          <w:p w14:paraId="5D3A3BD5">
            <w:pPr>
              <w:spacing w:line="360" w:lineRule="auto"/>
              <w:jc w:val="center"/>
              <w:rPr>
                <w:rFonts w:ascii="宋体" w:hAnsi="宋体" w:cs="宋体"/>
                <w:color w:val="auto"/>
                <w:sz w:val="24"/>
                <w:szCs w:val="24"/>
              </w:rPr>
            </w:pPr>
            <w:r>
              <w:rPr>
                <w:rFonts w:hint="eastAsia" w:ascii="宋体" w:hAnsi="宋体" w:cs="宋体"/>
                <w:color w:val="auto"/>
                <w:sz w:val="24"/>
                <w:szCs w:val="24"/>
              </w:rPr>
              <w:t>2.1.1</w:t>
            </w:r>
          </w:p>
        </w:tc>
        <w:tc>
          <w:tcPr>
            <w:tcW w:w="1105" w:type="dxa"/>
            <w:vMerge w:val="restart"/>
            <w:vAlign w:val="center"/>
          </w:tcPr>
          <w:p w14:paraId="210CDA75">
            <w:pPr>
              <w:spacing w:line="360" w:lineRule="auto"/>
              <w:jc w:val="center"/>
              <w:rPr>
                <w:rFonts w:ascii="宋体" w:hAnsi="宋体" w:cs="宋体"/>
                <w:color w:val="auto"/>
                <w:sz w:val="24"/>
                <w:szCs w:val="24"/>
              </w:rPr>
            </w:pPr>
            <w:r>
              <w:rPr>
                <w:rFonts w:hint="eastAsia" w:ascii="宋体" w:hAnsi="宋体" w:cs="宋体"/>
                <w:color w:val="auto"/>
                <w:sz w:val="24"/>
                <w:szCs w:val="24"/>
              </w:rPr>
              <w:t>资格性审查</w:t>
            </w:r>
          </w:p>
        </w:tc>
        <w:tc>
          <w:tcPr>
            <w:tcW w:w="3147" w:type="dxa"/>
            <w:gridSpan w:val="2"/>
            <w:vAlign w:val="center"/>
          </w:tcPr>
          <w:p w14:paraId="5E5AB589">
            <w:pPr>
              <w:spacing w:line="360" w:lineRule="auto"/>
              <w:jc w:val="center"/>
              <w:rPr>
                <w:rFonts w:ascii="宋体" w:hAnsi="宋体" w:cs="宋体"/>
                <w:color w:val="auto"/>
                <w:sz w:val="24"/>
                <w:szCs w:val="24"/>
              </w:rPr>
            </w:pPr>
            <w:r>
              <w:rPr>
                <w:rFonts w:hint="eastAsia" w:ascii="宋体" w:hAnsi="宋体" w:cs="宋体"/>
                <w:color w:val="auto"/>
                <w:sz w:val="24"/>
                <w:szCs w:val="24"/>
              </w:rPr>
              <w:t>第一章“竞争性磋商公告”各项资格要求</w:t>
            </w:r>
          </w:p>
        </w:tc>
        <w:tc>
          <w:tcPr>
            <w:tcW w:w="4495" w:type="dxa"/>
            <w:vAlign w:val="center"/>
          </w:tcPr>
          <w:p w14:paraId="3B6D66FF">
            <w:pPr>
              <w:spacing w:line="360" w:lineRule="auto"/>
              <w:jc w:val="left"/>
              <w:rPr>
                <w:rFonts w:ascii="宋体" w:hAnsi="宋体" w:cs="宋体"/>
                <w:color w:val="auto"/>
                <w:sz w:val="24"/>
                <w:szCs w:val="24"/>
              </w:rPr>
            </w:pPr>
            <w:r>
              <w:rPr>
                <w:rFonts w:hint="eastAsia" w:ascii="宋体" w:hAnsi="宋体" w:cs="宋体"/>
                <w:color w:val="auto"/>
                <w:sz w:val="24"/>
                <w:szCs w:val="24"/>
              </w:rPr>
              <w:t>符合第一章“竞争性磋商公告”各项资格要求所需证件材料及证明材料</w:t>
            </w:r>
          </w:p>
        </w:tc>
      </w:tr>
      <w:tr w14:paraId="1F1D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continue"/>
            <w:vAlign w:val="center"/>
          </w:tcPr>
          <w:p w14:paraId="24B9003F">
            <w:pPr>
              <w:spacing w:line="360" w:lineRule="auto"/>
              <w:ind w:firstLine="480" w:firstLineChars="200"/>
              <w:jc w:val="center"/>
              <w:rPr>
                <w:rFonts w:ascii="宋体" w:hAnsi="宋体" w:cs="宋体"/>
                <w:color w:val="auto"/>
                <w:sz w:val="24"/>
                <w:szCs w:val="24"/>
              </w:rPr>
            </w:pPr>
          </w:p>
        </w:tc>
        <w:tc>
          <w:tcPr>
            <w:tcW w:w="1105" w:type="dxa"/>
            <w:vMerge w:val="continue"/>
            <w:vAlign w:val="center"/>
          </w:tcPr>
          <w:p w14:paraId="5986E2ED">
            <w:pPr>
              <w:spacing w:line="360" w:lineRule="auto"/>
              <w:ind w:firstLine="480" w:firstLineChars="200"/>
              <w:jc w:val="center"/>
              <w:rPr>
                <w:rFonts w:ascii="宋体" w:hAnsi="宋体" w:cs="宋体"/>
                <w:color w:val="auto"/>
                <w:sz w:val="24"/>
                <w:szCs w:val="24"/>
              </w:rPr>
            </w:pPr>
          </w:p>
        </w:tc>
        <w:tc>
          <w:tcPr>
            <w:tcW w:w="3147" w:type="dxa"/>
            <w:gridSpan w:val="2"/>
            <w:vAlign w:val="center"/>
          </w:tcPr>
          <w:p w14:paraId="67AA7A8D">
            <w:pPr>
              <w:spacing w:line="360" w:lineRule="auto"/>
              <w:jc w:val="center"/>
              <w:rPr>
                <w:rFonts w:ascii="宋体" w:hAnsi="宋体" w:cs="宋体"/>
                <w:color w:val="auto"/>
                <w:sz w:val="24"/>
                <w:szCs w:val="24"/>
              </w:rPr>
            </w:pPr>
            <w:r>
              <w:rPr>
                <w:rFonts w:hint="eastAsia" w:ascii="宋体" w:hAnsi="宋体" w:cs="宋体"/>
                <w:color w:val="auto"/>
                <w:sz w:val="24"/>
                <w:szCs w:val="24"/>
              </w:rPr>
              <w:t>投标承诺函</w:t>
            </w:r>
          </w:p>
          <w:p w14:paraId="170C8089">
            <w:pPr>
              <w:spacing w:line="360" w:lineRule="auto"/>
              <w:jc w:val="center"/>
              <w:rPr>
                <w:rFonts w:ascii="宋体" w:hAnsi="宋体" w:cs="宋体"/>
                <w:color w:val="auto"/>
                <w:sz w:val="24"/>
                <w:szCs w:val="24"/>
              </w:rPr>
            </w:pPr>
            <w:r>
              <w:rPr>
                <w:rFonts w:hint="eastAsia" w:ascii="宋体" w:hAnsi="宋体" w:cs="宋体"/>
                <w:color w:val="auto"/>
                <w:sz w:val="24"/>
                <w:szCs w:val="24"/>
              </w:rPr>
              <w:t>（替代投标保证金）</w:t>
            </w:r>
          </w:p>
        </w:tc>
        <w:tc>
          <w:tcPr>
            <w:tcW w:w="4495" w:type="dxa"/>
            <w:vAlign w:val="center"/>
          </w:tcPr>
          <w:p w14:paraId="021EDB0E">
            <w:pPr>
              <w:spacing w:line="360" w:lineRule="auto"/>
              <w:jc w:val="left"/>
              <w:rPr>
                <w:rFonts w:ascii="宋体" w:hAnsi="宋体" w:cs="宋体"/>
                <w:color w:val="auto"/>
                <w:sz w:val="24"/>
                <w:szCs w:val="24"/>
              </w:rPr>
            </w:pPr>
            <w:r>
              <w:rPr>
                <w:rFonts w:hint="eastAsia" w:ascii="宋体" w:hAnsi="宋体" w:cs="宋体"/>
                <w:color w:val="auto"/>
                <w:sz w:val="24"/>
                <w:szCs w:val="24"/>
              </w:rPr>
              <w:t>符合第三章“供应商须知”3.5 款规定</w:t>
            </w:r>
          </w:p>
        </w:tc>
      </w:tr>
      <w:tr w14:paraId="4E8B6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continue"/>
            <w:vAlign w:val="center"/>
          </w:tcPr>
          <w:p w14:paraId="1333B553">
            <w:pPr>
              <w:spacing w:line="360" w:lineRule="auto"/>
              <w:ind w:firstLine="480" w:firstLineChars="200"/>
              <w:jc w:val="center"/>
              <w:rPr>
                <w:rFonts w:ascii="宋体" w:hAnsi="宋体" w:cs="宋体"/>
                <w:color w:val="auto"/>
                <w:sz w:val="24"/>
                <w:szCs w:val="24"/>
              </w:rPr>
            </w:pPr>
          </w:p>
        </w:tc>
        <w:tc>
          <w:tcPr>
            <w:tcW w:w="1105" w:type="dxa"/>
            <w:vMerge w:val="continue"/>
            <w:vAlign w:val="center"/>
          </w:tcPr>
          <w:p w14:paraId="66EDCC30">
            <w:pPr>
              <w:spacing w:line="360" w:lineRule="auto"/>
              <w:ind w:firstLine="480" w:firstLineChars="200"/>
              <w:jc w:val="center"/>
              <w:rPr>
                <w:rFonts w:ascii="宋体" w:hAnsi="宋体" w:cs="宋体"/>
                <w:color w:val="auto"/>
                <w:sz w:val="24"/>
                <w:szCs w:val="24"/>
              </w:rPr>
            </w:pPr>
          </w:p>
        </w:tc>
        <w:tc>
          <w:tcPr>
            <w:tcW w:w="3147" w:type="dxa"/>
            <w:gridSpan w:val="2"/>
            <w:vAlign w:val="center"/>
          </w:tcPr>
          <w:p w14:paraId="67E331A0">
            <w:pPr>
              <w:spacing w:line="360" w:lineRule="auto"/>
              <w:jc w:val="center"/>
              <w:rPr>
                <w:rFonts w:ascii="宋体" w:hAnsi="宋体" w:cs="宋体"/>
                <w:color w:val="auto"/>
                <w:sz w:val="24"/>
                <w:szCs w:val="24"/>
              </w:rPr>
            </w:pPr>
            <w:r>
              <w:rPr>
                <w:rFonts w:hint="eastAsia" w:ascii="宋体" w:hAnsi="宋体" w:cs="宋体"/>
                <w:color w:val="auto"/>
                <w:sz w:val="24"/>
                <w:szCs w:val="24"/>
              </w:rPr>
              <w:t>联合体（如有）</w:t>
            </w:r>
          </w:p>
        </w:tc>
        <w:tc>
          <w:tcPr>
            <w:tcW w:w="4495" w:type="dxa"/>
            <w:vAlign w:val="center"/>
          </w:tcPr>
          <w:p w14:paraId="1F4462D9">
            <w:pPr>
              <w:spacing w:line="360" w:lineRule="auto"/>
              <w:jc w:val="left"/>
              <w:rPr>
                <w:rFonts w:ascii="宋体" w:hAnsi="宋体" w:cs="宋体"/>
                <w:color w:val="auto"/>
                <w:sz w:val="24"/>
                <w:szCs w:val="24"/>
              </w:rPr>
            </w:pPr>
            <w:r>
              <w:rPr>
                <w:rFonts w:hint="eastAsia" w:ascii="宋体" w:hAnsi="宋体" w:cs="宋体"/>
                <w:color w:val="auto"/>
                <w:sz w:val="24"/>
                <w:szCs w:val="24"/>
              </w:rPr>
              <w:t>符合第三章“供应商须知”1.4 款规定</w:t>
            </w:r>
          </w:p>
        </w:tc>
      </w:tr>
      <w:tr w14:paraId="68963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restart"/>
            <w:vAlign w:val="center"/>
          </w:tcPr>
          <w:p w14:paraId="327141E9">
            <w:pPr>
              <w:spacing w:line="360" w:lineRule="auto"/>
              <w:jc w:val="center"/>
              <w:rPr>
                <w:rFonts w:ascii="宋体" w:hAnsi="宋体" w:cs="宋体"/>
                <w:color w:val="auto"/>
                <w:sz w:val="24"/>
                <w:szCs w:val="24"/>
              </w:rPr>
            </w:pPr>
            <w:r>
              <w:rPr>
                <w:rFonts w:hint="eastAsia" w:ascii="宋体" w:hAnsi="宋体" w:cs="宋体"/>
                <w:color w:val="auto"/>
                <w:sz w:val="24"/>
                <w:szCs w:val="24"/>
              </w:rPr>
              <w:t>2.1.2</w:t>
            </w:r>
          </w:p>
        </w:tc>
        <w:tc>
          <w:tcPr>
            <w:tcW w:w="1105" w:type="dxa"/>
            <w:vMerge w:val="restart"/>
            <w:vAlign w:val="center"/>
          </w:tcPr>
          <w:p w14:paraId="622545F3">
            <w:pPr>
              <w:spacing w:line="360" w:lineRule="auto"/>
              <w:jc w:val="center"/>
              <w:rPr>
                <w:rFonts w:ascii="宋体" w:hAnsi="宋体" w:cs="宋体"/>
                <w:color w:val="auto"/>
                <w:sz w:val="24"/>
                <w:szCs w:val="24"/>
              </w:rPr>
            </w:pPr>
            <w:r>
              <w:rPr>
                <w:rFonts w:hint="eastAsia" w:ascii="宋体" w:hAnsi="宋体" w:cs="宋体"/>
                <w:color w:val="auto"/>
                <w:sz w:val="24"/>
                <w:szCs w:val="24"/>
              </w:rPr>
              <w:t>符合性审查</w:t>
            </w:r>
          </w:p>
        </w:tc>
        <w:tc>
          <w:tcPr>
            <w:tcW w:w="1182" w:type="dxa"/>
            <w:vMerge w:val="restart"/>
            <w:vAlign w:val="center"/>
          </w:tcPr>
          <w:p w14:paraId="467D25E7">
            <w:pPr>
              <w:spacing w:line="360" w:lineRule="auto"/>
              <w:jc w:val="center"/>
              <w:rPr>
                <w:rFonts w:ascii="宋体" w:hAnsi="宋体" w:cs="宋体"/>
                <w:color w:val="auto"/>
                <w:sz w:val="24"/>
                <w:szCs w:val="24"/>
              </w:rPr>
            </w:pPr>
            <w:r>
              <w:rPr>
                <w:rFonts w:hint="eastAsia" w:ascii="宋体" w:hAnsi="宋体" w:cs="宋体"/>
                <w:color w:val="auto"/>
                <w:sz w:val="24"/>
                <w:szCs w:val="24"/>
              </w:rPr>
              <w:t>有效性</w:t>
            </w:r>
          </w:p>
        </w:tc>
        <w:tc>
          <w:tcPr>
            <w:tcW w:w="1965" w:type="dxa"/>
            <w:vAlign w:val="center"/>
          </w:tcPr>
          <w:p w14:paraId="48B58D40">
            <w:pPr>
              <w:spacing w:line="360" w:lineRule="auto"/>
              <w:jc w:val="center"/>
              <w:rPr>
                <w:rFonts w:ascii="宋体" w:hAnsi="宋体" w:cs="宋体"/>
                <w:color w:val="auto"/>
                <w:sz w:val="24"/>
                <w:szCs w:val="24"/>
              </w:rPr>
            </w:pPr>
            <w:r>
              <w:rPr>
                <w:rFonts w:hint="eastAsia" w:ascii="宋体" w:hAnsi="宋体" w:cs="宋体"/>
                <w:color w:val="auto"/>
                <w:sz w:val="24"/>
                <w:szCs w:val="24"/>
              </w:rPr>
              <w:t>供应商名称</w:t>
            </w:r>
          </w:p>
        </w:tc>
        <w:tc>
          <w:tcPr>
            <w:tcW w:w="4495" w:type="dxa"/>
            <w:vAlign w:val="center"/>
          </w:tcPr>
          <w:p w14:paraId="7EB67C14">
            <w:pPr>
              <w:spacing w:line="360" w:lineRule="auto"/>
              <w:rPr>
                <w:rFonts w:ascii="宋体" w:hAnsi="宋体" w:cs="宋体"/>
                <w:color w:val="auto"/>
                <w:sz w:val="24"/>
                <w:szCs w:val="24"/>
              </w:rPr>
            </w:pPr>
            <w:r>
              <w:rPr>
                <w:rFonts w:hint="eastAsia" w:ascii="宋体" w:hAnsi="宋体" w:cs="宋体"/>
                <w:color w:val="auto"/>
                <w:sz w:val="24"/>
                <w:szCs w:val="24"/>
              </w:rPr>
              <w:t>与营业执照等证照及签章一致</w:t>
            </w:r>
          </w:p>
        </w:tc>
      </w:tr>
      <w:tr w14:paraId="46B74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continue"/>
            <w:tcBorders>
              <w:top w:val="nil"/>
            </w:tcBorders>
            <w:vAlign w:val="center"/>
          </w:tcPr>
          <w:p w14:paraId="5DE48B7F">
            <w:pPr>
              <w:spacing w:line="360" w:lineRule="auto"/>
              <w:ind w:firstLine="480" w:firstLineChars="200"/>
              <w:rPr>
                <w:rFonts w:ascii="宋体" w:hAnsi="宋体" w:cs="宋体"/>
                <w:color w:val="auto"/>
                <w:sz w:val="24"/>
                <w:szCs w:val="24"/>
              </w:rPr>
            </w:pPr>
          </w:p>
        </w:tc>
        <w:tc>
          <w:tcPr>
            <w:tcW w:w="1105" w:type="dxa"/>
            <w:vMerge w:val="continue"/>
            <w:tcBorders>
              <w:top w:val="nil"/>
            </w:tcBorders>
            <w:vAlign w:val="center"/>
          </w:tcPr>
          <w:p w14:paraId="4F2212EE">
            <w:pPr>
              <w:spacing w:line="360" w:lineRule="auto"/>
              <w:ind w:firstLine="480" w:firstLineChars="200"/>
              <w:rPr>
                <w:rFonts w:ascii="宋体" w:hAnsi="宋体" w:cs="宋体"/>
                <w:color w:val="auto"/>
                <w:sz w:val="24"/>
                <w:szCs w:val="24"/>
              </w:rPr>
            </w:pPr>
          </w:p>
        </w:tc>
        <w:tc>
          <w:tcPr>
            <w:tcW w:w="1182" w:type="dxa"/>
            <w:vMerge w:val="continue"/>
            <w:tcBorders>
              <w:top w:val="nil"/>
            </w:tcBorders>
            <w:vAlign w:val="center"/>
          </w:tcPr>
          <w:p w14:paraId="3C8722AF">
            <w:pPr>
              <w:spacing w:line="360" w:lineRule="auto"/>
              <w:ind w:firstLine="480" w:firstLineChars="200"/>
              <w:jc w:val="center"/>
              <w:rPr>
                <w:rFonts w:ascii="宋体" w:hAnsi="宋体" w:cs="宋体"/>
                <w:color w:val="auto"/>
                <w:sz w:val="24"/>
                <w:szCs w:val="24"/>
              </w:rPr>
            </w:pPr>
          </w:p>
        </w:tc>
        <w:tc>
          <w:tcPr>
            <w:tcW w:w="1965" w:type="dxa"/>
            <w:vAlign w:val="center"/>
          </w:tcPr>
          <w:p w14:paraId="39A3F1B8">
            <w:pPr>
              <w:spacing w:line="360" w:lineRule="auto"/>
              <w:jc w:val="center"/>
              <w:rPr>
                <w:rFonts w:ascii="宋体" w:hAnsi="宋体" w:cs="宋体"/>
                <w:color w:val="auto"/>
                <w:sz w:val="24"/>
                <w:szCs w:val="24"/>
              </w:rPr>
            </w:pPr>
            <w:r>
              <w:rPr>
                <w:rFonts w:hint="eastAsia" w:ascii="宋体" w:hAnsi="宋体" w:cs="宋体"/>
                <w:color w:val="auto"/>
                <w:sz w:val="24"/>
                <w:szCs w:val="24"/>
              </w:rPr>
              <w:t>签字或盖章</w:t>
            </w:r>
          </w:p>
        </w:tc>
        <w:tc>
          <w:tcPr>
            <w:tcW w:w="4495" w:type="dxa"/>
            <w:vAlign w:val="center"/>
          </w:tcPr>
          <w:p w14:paraId="77551041">
            <w:pPr>
              <w:spacing w:line="360" w:lineRule="auto"/>
              <w:rPr>
                <w:rFonts w:ascii="宋体" w:hAnsi="宋体" w:cs="宋体"/>
                <w:color w:val="auto"/>
                <w:sz w:val="24"/>
                <w:szCs w:val="24"/>
              </w:rPr>
            </w:pPr>
            <w:r>
              <w:rPr>
                <w:rFonts w:hint="eastAsia" w:ascii="宋体" w:hAnsi="宋体" w:cs="宋体"/>
                <w:color w:val="auto"/>
                <w:sz w:val="24"/>
                <w:szCs w:val="24"/>
              </w:rPr>
              <w:t>符合第三章“供应商须知”3.7.4项规定</w:t>
            </w:r>
          </w:p>
        </w:tc>
      </w:tr>
      <w:tr w14:paraId="5E4E8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continue"/>
            <w:tcBorders>
              <w:top w:val="nil"/>
            </w:tcBorders>
            <w:vAlign w:val="center"/>
          </w:tcPr>
          <w:p w14:paraId="476F003F">
            <w:pPr>
              <w:spacing w:line="360" w:lineRule="auto"/>
              <w:ind w:firstLine="480" w:firstLineChars="200"/>
              <w:rPr>
                <w:rFonts w:ascii="宋体" w:hAnsi="宋体" w:cs="宋体"/>
                <w:color w:val="auto"/>
                <w:sz w:val="24"/>
                <w:szCs w:val="24"/>
              </w:rPr>
            </w:pPr>
          </w:p>
        </w:tc>
        <w:tc>
          <w:tcPr>
            <w:tcW w:w="1105" w:type="dxa"/>
            <w:vMerge w:val="continue"/>
            <w:tcBorders>
              <w:top w:val="nil"/>
            </w:tcBorders>
            <w:vAlign w:val="center"/>
          </w:tcPr>
          <w:p w14:paraId="7CB6D9CD">
            <w:pPr>
              <w:spacing w:line="360" w:lineRule="auto"/>
              <w:ind w:firstLine="480" w:firstLineChars="200"/>
              <w:rPr>
                <w:rFonts w:ascii="宋体" w:hAnsi="宋体" w:cs="宋体"/>
                <w:color w:val="auto"/>
                <w:sz w:val="24"/>
                <w:szCs w:val="24"/>
              </w:rPr>
            </w:pPr>
          </w:p>
        </w:tc>
        <w:tc>
          <w:tcPr>
            <w:tcW w:w="1182" w:type="dxa"/>
            <w:vAlign w:val="center"/>
          </w:tcPr>
          <w:p w14:paraId="39F46471">
            <w:pPr>
              <w:spacing w:line="360" w:lineRule="auto"/>
              <w:jc w:val="center"/>
              <w:rPr>
                <w:rFonts w:ascii="宋体" w:hAnsi="宋体" w:cs="宋体"/>
                <w:color w:val="auto"/>
                <w:sz w:val="24"/>
                <w:szCs w:val="24"/>
              </w:rPr>
            </w:pPr>
            <w:r>
              <w:rPr>
                <w:rFonts w:hint="eastAsia" w:ascii="宋体" w:hAnsi="宋体" w:cs="宋体"/>
                <w:color w:val="auto"/>
                <w:sz w:val="24"/>
                <w:szCs w:val="24"/>
              </w:rPr>
              <w:t>完整性</w:t>
            </w:r>
          </w:p>
        </w:tc>
        <w:tc>
          <w:tcPr>
            <w:tcW w:w="1965" w:type="dxa"/>
            <w:vAlign w:val="center"/>
          </w:tcPr>
          <w:p w14:paraId="457043E6">
            <w:pPr>
              <w:spacing w:line="360" w:lineRule="auto"/>
              <w:jc w:val="center"/>
              <w:rPr>
                <w:rFonts w:ascii="宋体" w:hAnsi="宋体" w:cs="宋体"/>
                <w:color w:val="auto"/>
                <w:sz w:val="24"/>
                <w:szCs w:val="24"/>
              </w:rPr>
            </w:pPr>
            <w:r>
              <w:rPr>
                <w:rFonts w:hint="eastAsia" w:ascii="宋体" w:hAnsi="宋体" w:cs="宋体"/>
                <w:color w:val="auto"/>
                <w:sz w:val="24"/>
                <w:szCs w:val="24"/>
              </w:rPr>
              <w:t>《响应文件》组成</w:t>
            </w:r>
          </w:p>
        </w:tc>
        <w:tc>
          <w:tcPr>
            <w:tcW w:w="4495" w:type="dxa"/>
            <w:vAlign w:val="center"/>
          </w:tcPr>
          <w:p w14:paraId="3146230E">
            <w:pPr>
              <w:spacing w:line="360" w:lineRule="auto"/>
              <w:rPr>
                <w:rFonts w:ascii="宋体" w:hAnsi="宋体" w:cs="宋体"/>
                <w:color w:val="auto"/>
                <w:sz w:val="24"/>
                <w:szCs w:val="24"/>
              </w:rPr>
            </w:pPr>
            <w:r>
              <w:rPr>
                <w:rFonts w:hint="eastAsia" w:ascii="宋体" w:hAnsi="宋体" w:cs="宋体"/>
                <w:color w:val="auto"/>
                <w:sz w:val="24"/>
                <w:szCs w:val="24"/>
              </w:rPr>
              <w:t>符合第三章“供应商须知”3.2款规定</w:t>
            </w:r>
          </w:p>
        </w:tc>
      </w:tr>
      <w:tr w14:paraId="0FBBB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continue"/>
            <w:tcBorders>
              <w:top w:val="nil"/>
            </w:tcBorders>
            <w:vAlign w:val="center"/>
          </w:tcPr>
          <w:p w14:paraId="4B742779">
            <w:pPr>
              <w:spacing w:line="360" w:lineRule="auto"/>
              <w:ind w:firstLine="480" w:firstLineChars="200"/>
              <w:rPr>
                <w:rFonts w:ascii="宋体" w:hAnsi="宋体" w:cs="宋体"/>
                <w:color w:val="auto"/>
                <w:sz w:val="24"/>
                <w:szCs w:val="24"/>
              </w:rPr>
            </w:pPr>
          </w:p>
        </w:tc>
        <w:tc>
          <w:tcPr>
            <w:tcW w:w="1105" w:type="dxa"/>
            <w:vMerge w:val="continue"/>
            <w:tcBorders>
              <w:top w:val="nil"/>
            </w:tcBorders>
            <w:vAlign w:val="center"/>
          </w:tcPr>
          <w:p w14:paraId="5603AA08">
            <w:pPr>
              <w:spacing w:line="360" w:lineRule="auto"/>
              <w:ind w:firstLine="480" w:firstLineChars="200"/>
              <w:rPr>
                <w:rFonts w:ascii="宋体" w:hAnsi="宋体" w:cs="宋体"/>
                <w:color w:val="auto"/>
                <w:sz w:val="24"/>
                <w:szCs w:val="24"/>
              </w:rPr>
            </w:pPr>
          </w:p>
        </w:tc>
        <w:tc>
          <w:tcPr>
            <w:tcW w:w="1182" w:type="dxa"/>
            <w:vMerge w:val="restart"/>
            <w:vAlign w:val="center"/>
          </w:tcPr>
          <w:p w14:paraId="68C36F36">
            <w:pPr>
              <w:spacing w:line="360" w:lineRule="auto"/>
              <w:jc w:val="center"/>
              <w:rPr>
                <w:rFonts w:ascii="宋体" w:hAnsi="宋体" w:cs="宋体"/>
                <w:color w:val="auto"/>
                <w:sz w:val="24"/>
                <w:szCs w:val="24"/>
              </w:rPr>
            </w:pPr>
            <w:r>
              <w:rPr>
                <w:rFonts w:hint="eastAsia" w:ascii="宋体" w:hAnsi="宋体" w:cs="宋体"/>
                <w:color w:val="auto"/>
                <w:sz w:val="24"/>
                <w:szCs w:val="24"/>
              </w:rPr>
              <w:t>响应程度</w:t>
            </w:r>
          </w:p>
        </w:tc>
        <w:tc>
          <w:tcPr>
            <w:tcW w:w="1965" w:type="dxa"/>
            <w:vAlign w:val="center"/>
          </w:tcPr>
          <w:p w14:paraId="3AF453F9">
            <w:pPr>
              <w:spacing w:line="360" w:lineRule="auto"/>
              <w:jc w:val="center"/>
              <w:rPr>
                <w:rFonts w:ascii="宋体" w:hAnsi="宋体" w:cs="宋体"/>
                <w:color w:val="auto"/>
                <w:sz w:val="24"/>
                <w:szCs w:val="24"/>
              </w:rPr>
            </w:pPr>
            <w:r>
              <w:rPr>
                <w:rFonts w:hint="eastAsia" w:ascii="宋体" w:hAnsi="宋体" w:cs="宋体"/>
                <w:color w:val="auto"/>
                <w:sz w:val="24"/>
                <w:szCs w:val="24"/>
              </w:rPr>
              <w:t>磋商报价</w:t>
            </w:r>
          </w:p>
        </w:tc>
        <w:tc>
          <w:tcPr>
            <w:tcW w:w="4495" w:type="dxa"/>
            <w:vAlign w:val="center"/>
          </w:tcPr>
          <w:p w14:paraId="1BD9CAEB">
            <w:pPr>
              <w:spacing w:line="360" w:lineRule="auto"/>
              <w:rPr>
                <w:rFonts w:ascii="宋体" w:hAnsi="宋体" w:cs="宋体"/>
                <w:color w:val="auto"/>
                <w:sz w:val="24"/>
                <w:szCs w:val="24"/>
              </w:rPr>
            </w:pPr>
            <w:r>
              <w:rPr>
                <w:rFonts w:hint="eastAsia" w:ascii="宋体" w:hAnsi="宋体" w:cs="宋体"/>
                <w:color w:val="auto"/>
                <w:sz w:val="24"/>
                <w:szCs w:val="24"/>
              </w:rPr>
              <w:t>符合第二章“采购项目及服务要求”1.3款规定</w:t>
            </w:r>
          </w:p>
        </w:tc>
      </w:tr>
      <w:tr w14:paraId="6F13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continue"/>
            <w:tcBorders>
              <w:top w:val="nil"/>
            </w:tcBorders>
            <w:vAlign w:val="center"/>
          </w:tcPr>
          <w:p w14:paraId="1E659E49">
            <w:pPr>
              <w:spacing w:line="360" w:lineRule="auto"/>
              <w:ind w:firstLine="480" w:firstLineChars="200"/>
              <w:rPr>
                <w:rFonts w:ascii="宋体" w:hAnsi="宋体" w:cs="宋体"/>
                <w:color w:val="auto"/>
                <w:sz w:val="24"/>
                <w:szCs w:val="24"/>
              </w:rPr>
            </w:pPr>
          </w:p>
        </w:tc>
        <w:tc>
          <w:tcPr>
            <w:tcW w:w="1105" w:type="dxa"/>
            <w:vMerge w:val="continue"/>
            <w:tcBorders>
              <w:top w:val="nil"/>
            </w:tcBorders>
            <w:vAlign w:val="center"/>
          </w:tcPr>
          <w:p w14:paraId="668A9D9D">
            <w:pPr>
              <w:spacing w:line="360" w:lineRule="auto"/>
              <w:ind w:firstLine="480" w:firstLineChars="200"/>
              <w:rPr>
                <w:rFonts w:ascii="宋体" w:hAnsi="宋体" w:cs="宋体"/>
                <w:color w:val="auto"/>
                <w:sz w:val="24"/>
                <w:szCs w:val="24"/>
              </w:rPr>
            </w:pPr>
          </w:p>
        </w:tc>
        <w:tc>
          <w:tcPr>
            <w:tcW w:w="1182" w:type="dxa"/>
            <w:vMerge w:val="continue"/>
            <w:tcBorders>
              <w:top w:val="nil"/>
            </w:tcBorders>
            <w:vAlign w:val="center"/>
          </w:tcPr>
          <w:p w14:paraId="1AEF1414">
            <w:pPr>
              <w:spacing w:line="360" w:lineRule="auto"/>
              <w:ind w:firstLine="480" w:firstLineChars="200"/>
              <w:jc w:val="center"/>
              <w:rPr>
                <w:rFonts w:ascii="宋体" w:hAnsi="宋体" w:cs="宋体"/>
                <w:color w:val="auto"/>
                <w:sz w:val="24"/>
                <w:szCs w:val="24"/>
              </w:rPr>
            </w:pPr>
          </w:p>
        </w:tc>
        <w:tc>
          <w:tcPr>
            <w:tcW w:w="1965" w:type="dxa"/>
            <w:vAlign w:val="center"/>
          </w:tcPr>
          <w:p w14:paraId="3662AECC">
            <w:pPr>
              <w:spacing w:line="360" w:lineRule="auto"/>
              <w:jc w:val="center"/>
              <w:rPr>
                <w:rFonts w:ascii="宋体" w:hAnsi="宋体" w:cs="宋体"/>
                <w:color w:val="auto"/>
                <w:sz w:val="24"/>
                <w:szCs w:val="24"/>
              </w:rPr>
            </w:pPr>
            <w:r>
              <w:rPr>
                <w:rFonts w:hint="eastAsia" w:ascii="宋体" w:hAnsi="宋体" w:cs="宋体"/>
                <w:color w:val="auto"/>
                <w:sz w:val="24"/>
                <w:szCs w:val="24"/>
              </w:rPr>
              <w:t>响应内容（范围）、</w:t>
            </w:r>
          </w:p>
          <w:p w14:paraId="70DD74D6">
            <w:pPr>
              <w:spacing w:line="360" w:lineRule="auto"/>
              <w:jc w:val="center"/>
              <w:rPr>
                <w:rFonts w:ascii="宋体" w:hAnsi="宋体" w:cs="宋体"/>
                <w:color w:val="auto"/>
                <w:sz w:val="24"/>
                <w:szCs w:val="24"/>
              </w:rPr>
            </w:pPr>
            <w:r>
              <w:rPr>
                <w:rFonts w:hint="eastAsia" w:ascii="宋体" w:hAnsi="宋体" w:cs="宋体"/>
                <w:color w:val="auto"/>
                <w:sz w:val="24"/>
                <w:szCs w:val="24"/>
              </w:rPr>
              <w:t>服务要求</w:t>
            </w:r>
          </w:p>
        </w:tc>
        <w:tc>
          <w:tcPr>
            <w:tcW w:w="4495" w:type="dxa"/>
            <w:vAlign w:val="center"/>
          </w:tcPr>
          <w:p w14:paraId="57BB8506">
            <w:pPr>
              <w:spacing w:line="360" w:lineRule="auto"/>
              <w:rPr>
                <w:rFonts w:ascii="宋体" w:hAnsi="宋体" w:cs="宋体"/>
                <w:color w:val="auto"/>
                <w:sz w:val="24"/>
                <w:szCs w:val="24"/>
              </w:rPr>
            </w:pPr>
            <w:r>
              <w:rPr>
                <w:rFonts w:hint="eastAsia" w:ascii="宋体" w:hAnsi="宋体" w:cs="宋体"/>
                <w:color w:val="auto"/>
                <w:sz w:val="24"/>
                <w:szCs w:val="24"/>
              </w:rPr>
              <w:t>符合第二章“采购项目及服务要求”第2条规定</w:t>
            </w:r>
          </w:p>
        </w:tc>
      </w:tr>
      <w:tr w14:paraId="75771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continue"/>
            <w:tcBorders>
              <w:top w:val="nil"/>
            </w:tcBorders>
            <w:vAlign w:val="center"/>
          </w:tcPr>
          <w:p w14:paraId="43D2767D">
            <w:pPr>
              <w:spacing w:line="360" w:lineRule="auto"/>
              <w:ind w:firstLine="480" w:firstLineChars="200"/>
              <w:rPr>
                <w:rFonts w:ascii="宋体" w:hAnsi="宋体" w:cs="宋体"/>
                <w:color w:val="auto"/>
                <w:sz w:val="24"/>
                <w:szCs w:val="24"/>
              </w:rPr>
            </w:pPr>
          </w:p>
        </w:tc>
        <w:tc>
          <w:tcPr>
            <w:tcW w:w="1105" w:type="dxa"/>
            <w:vMerge w:val="continue"/>
            <w:tcBorders>
              <w:top w:val="nil"/>
            </w:tcBorders>
            <w:vAlign w:val="center"/>
          </w:tcPr>
          <w:p w14:paraId="1A72D12E">
            <w:pPr>
              <w:spacing w:line="360" w:lineRule="auto"/>
              <w:ind w:firstLine="480" w:firstLineChars="200"/>
              <w:rPr>
                <w:rFonts w:ascii="宋体" w:hAnsi="宋体" w:cs="宋体"/>
                <w:color w:val="auto"/>
                <w:sz w:val="24"/>
                <w:szCs w:val="24"/>
              </w:rPr>
            </w:pPr>
          </w:p>
        </w:tc>
        <w:tc>
          <w:tcPr>
            <w:tcW w:w="1182" w:type="dxa"/>
            <w:vMerge w:val="continue"/>
            <w:tcBorders>
              <w:top w:val="nil"/>
            </w:tcBorders>
            <w:vAlign w:val="center"/>
          </w:tcPr>
          <w:p w14:paraId="0E2FBF0D">
            <w:pPr>
              <w:spacing w:line="360" w:lineRule="auto"/>
              <w:ind w:firstLine="480" w:firstLineChars="200"/>
              <w:jc w:val="center"/>
              <w:rPr>
                <w:rFonts w:ascii="宋体" w:hAnsi="宋体" w:cs="宋体"/>
                <w:color w:val="auto"/>
                <w:sz w:val="24"/>
                <w:szCs w:val="24"/>
              </w:rPr>
            </w:pPr>
          </w:p>
        </w:tc>
        <w:tc>
          <w:tcPr>
            <w:tcW w:w="1965" w:type="dxa"/>
            <w:vAlign w:val="center"/>
          </w:tcPr>
          <w:p w14:paraId="26AB1DE1">
            <w:pPr>
              <w:spacing w:line="360" w:lineRule="auto"/>
              <w:jc w:val="center"/>
              <w:rPr>
                <w:rFonts w:ascii="宋体" w:hAnsi="宋体" w:cs="宋体"/>
                <w:color w:val="auto"/>
                <w:sz w:val="24"/>
                <w:szCs w:val="24"/>
              </w:rPr>
            </w:pPr>
            <w:r>
              <w:rPr>
                <w:rFonts w:hint="eastAsia" w:ascii="宋体" w:hAnsi="宋体" w:cs="宋体"/>
                <w:color w:val="auto"/>
                <w:sz w:val="24"/>
                <w:szCs w:val="24"/>
              </w:rPr>
              <w:t>合同履行期限</w:t>
            </w:r>
          </w:p>
          <w:p w14:paraId="2A17E73E">
            <w:pPr>
              <w:spacing w:line="360" w:lineRule="auto"/>
              <w:jc w:val="center"/>
              <w:rPr>
                <w:rFonts w:ascii="宋体" w:hAnsi="宋体" w:cs="宋体"/>
                <w:color w:val="auto"/>
                <w:sz w:val="24"/>
                <w:szCs w:val="24"/>
              </w:rPr>
            </w:pPr>
            <w:r>
              <w:rPr>
                <w:rFonts w:hint="eastAsia" w:ascii="宋体" w:hAnsi="宋体" w:cs="宋体"/>
                <w:color w:val="auto"/>
                <w:sz w:val="24"/>
                <w:szCs w:val="24"/>
              </w:rPr>
              <w:t>（服务期限）</w:t>
            </w:r>
          </w:p>
        </w:tc>
        <w:tc>
          <w:tcPr>
            <w:tcW w:w="4495" w:type="dxa"/>
            <w:vAlign w:val="center"/>
          </w:tcPr>
          <w:p w14:paraId="362B38C1">
            <w:pPr>
              <w:spacing w:line="360" w:lineRule="auto"/>
              <w:rPr>
                <w:rFonts w:ascii="宋体" w:hAnsi="宋体" w:cs="宋体"/>
                <w:color w:val="auto"/>
                <w:sz w:val="24"/>
                <w:szCs w:val="24"/>
              </w:rPr>
            </w:pPr>
            <w:r>
              <w:rPr>
                <w:rFonts w:hint="eastAsia" w:ascii="宋体" w:hAnsi="宋体" w:cs="宋体"/>
                <w:color w:val="auto"/>
                <w:sz w:val="24"/>
                <w:szCs w:val="24"/>
              </w:rPr>
              <w:t>符合第二章“采购项目及服务要求”1.2款规定</w:t>
            </w:r>
          </w:p>
        </w:tc>
      </w:tr>
      <w:tr w14:paraId="7E1E0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continue"/>
            <w:tcBorders>
              <w:top w:val="nil"/>
            </w:tcBorders>
            <w:vAlign w:val="center"/>
          </w:tcPr>
          <w:p w14:paraId="56B2B24A">
            <w:pPr>
              <w:spacing w:line="360" w:lineRule="auto"/>
              <w:ind w:firstLine="480" w:firstLineChars="200"/>
              <w:rPr>
                <w:rFonts w:ascii="宋体" w:hAnsi="宋体" w:cs="宋体"/>
                <w:color w:val="auto"/>
                <w:sz w:val="24"/>
                <w:szCs w:val="24"/>
              </w:rPr>
            </w:pPr>
          </w:p>
        </w:tc>
        <w:tc>
          <w:tcPr>
            <w:tcW w:w="1105" w:type="dxa"/>
            <w:vMerge w:val="continue"/>
            <w:tcBorders>
              <w:top w:val="nil"/>
            </w:tcBorders>
            <w:vAlign w:val="center"/>
          </w:tcPr>
          <w:p w14:paraId="7FF81071">
            <w:pPr>
              <w:spacing w:line="360" w:lineRule="auto"/>
              <w:ind w:firstLine="480" w:firstLineChars="200"/>
              <w:rPr>
                <w:rFonts w:ascii="宋体" w:hAnsi="宋体" w:cs="宋体"/>
                <w:color w:val="auto"/>
                <w:sz w:val="24"/>
                <w:szCs w:val="24"/>
              </w:rPr>
            </w:pPr>
          </w:p>
        </w:tc>
        <w:tc>
          <w:tcPr>
            <w:tcW w:w="1182" w:type="dxa"/>
            <w:vMerge w:val="continue"/>
            <w:tcBorders>
              <w:top w:val="nil"/>
            </w:tcBorders>
            <w:vAlign w:val="center"/>
          </w:tcPr>
          <w:p w14:paraId="2508C6F6">
            <w:pPr>
              <w:spacing w:line="360" w:lineRule="auto"/>
              <w:ind w:firstLine="480" w:firstLineChars="200"/>
              <w:jc w:val="center"/>
              <w:rPr>
                <w:rFonts w:ascii="宋体" w:hAnsi="宋体" w:cs="宋体"/>
                <w:color w:val="auto"/>
                <w:sz w:val="24"/>
                <w:szCs w:val="24"/>
              </w:rPr>
            </w:pPr>
          </w:p>
        </w:tc>
        <w:tc>
          <w:tcPr>
            <w:tcW w:w="1965" w:type="dxa"/>
            <w:vAlign w:val="center"/>
          </w:tcPr>
          <w:p w14:paraId="3C595482">
            <w:pPr>
              <w:spacing w:line="360" w:lineRule="auto"/>
              <w:jc w:val="center"/>
              <w:rPr>
                <w:rFonts w:ascii="宋体" w:hAnsi="宋体" w:cs="宋体"/>
                <w:color w:val="auto"/>
                <w:sz w:val="24"/>
                <w:szCs w:val="24"/>
              </w:rPr>
            </w:pPr>
            <w:r>
              <w:rPr>
                <w:rFonts w:hint="eastAsia" w:ascii="宋体" w:hAnsi="宋体" w:cs="宋体"/>
                <w:color w:val="auto"/>
                <w:sz w:val="24"/>
                <w:szCs w:val="24"/>
              </w:rPr>
              <w:t>响应有效期</w:t>
            </w:r>
          </w:p>
        </w:tc>
        <w:tc>
          <w:tcPr>
            <w:tcW w:w="4495" w:type="dxa"/>
            <w:vAlign w:val="center"/>
          </w:tcPr>
          <w:p w14:paraId="11BD475E">
            <w:pPr>
              <w:spacing w:line="360" w:lineRule="auto"/>
              <w:rPr>
                <w:rFonts w:ascii="宋体" w:hAnsi="宋体" w:cs="宋体"/>
                <w:color w:val="auto"/>
                <w:sz w:val="24"/>
                <w:szCs w:val="24"/>
              </w:rPr>
            </w:pPr>
            <w:r>
              <w:rPr>
                <w:rFonts w:hint="eastAsia" w:ascii="宋体" w:hAnsi="宋体" w:cs="宋体"/>
                <w:color w:val="auto"/>
                <w:sz w:val="24"/>
                <w:szCs w:val="24"/>
              </w:rPr>
              <w:t>符合第三章“供应商须知”3.4 款规定</w:t>
            </w:r>
          </w:p>
        </w:tc>
      </w:tr>
      <w:tr w14:paraId="66367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continue"/>
            <w:tcBorders>
              <w:top w:val="nil"/>
            </w:tcBorders>
            <w:vAlign w:val="center"/>
          </w:tcPr>
          <w:p w14:paraId="0EA5BD08">
            <w:pPr>
              <w:spacing w:line="360" w:lineRule="auto"/>
              <w:ind w:firstLine="480" w:firstLineChars="200"/>
              <w:rPr>
                <w:rFonts w:ascii="宋体" w:hAnsi="宋体" w:cs="宋体"/>
                <w:color w:val="auto"/>
                <w:sz w:val="24"/>
                <w:szCs w:val="24"/>
              </w:rPr>
            </w:pPr>
          </w:p>
        </w:tc>
        <w:tc>
          <w:tcPr>
            <w:tcW w:w="1105" w:type="dxa"/>
            <w:vMerge w:val="continue"/>
            <w:tcBorders>
              <w:top w:val="nil"/>
            </w:tcBorders>
            <w:vAlign w:val="center"/>
          </w:tcPr>
          <w:p w14:paraId="3A981F45">
            <w:pPr>
              <w:spacing w:line="360" w:lineRule="auto"/>
              <w:ind w:firstLine="480" w:firstLineChars="200"/>
              <w:rPr>
                <w:rFonts w:ascii="宋体" w:hAnsi="宋体" w:cs="宋体"/>
                <w:color w:val="auto"/>
                <w:sz w:val="24"/>
                <w:szCs w:val="24"/>
              </w:rPr>
            </w:pPr>
          </w:p>
        </w:tc>
        <w:tc>
          <w:tcPr>
            <w:tcW w:w="1182" w:type="dxa"/>
            <w:vMerge w:val="continue"/>
            <w:tcBorders>
              <w:top w:val="nil"/>
            </w:tcBorders>
            <w:vAlign w:val="center"/>
          </w:tcPr>
          <w:p w14:paraId="5591DC4C">
            <w:pPr>
              <w:spacing w:line="360" w:lineRule="auto"/>
              <w:ind w:firstLine="480" w:firstLineChars="200"/>
              <w:jc w:val="center"/>
              <w:rPr>
                <w:rFonts w:ascii="宋体" w:hAnsi="宋体" w:cs="宋体"/>
                <w:color w:val="auto"/>
                <w:sz w:val="24"/>
                <w:szCs w:val="24"/>
              </w:rPr>
            </w:pPr>
          </w:p>
        </w:tc>
        <w:tc>
          <w:tcPr>
            <w:tcW w:w="1965" w:type="dxa"/>
            <w:vAlign w:val="center"/>
          </w:tcPr>
          <w:p w14:paraId="7187A604">
            <w:pPr>
              <w:spacing w:line="360" w:lineRule="auto"/>
              <w:jc w:val="center"/>
              <w:rPr>
                <w:rFonts w:ascii="宋体" w:hAnsi="宋体" w:cs="宋体"/>
                <w:color w:val="auto"/>
                <w:sz w:val="24"/>
                <w:szCs w:val="24"/>
              </w:rPr>
            </w:pPr>
            <w:r>
              <w:rPr>
                <w:rFonts w:hint="eastAsia" w:ascii="宋体" w:hAnsi="宋体" w:cs="宋体"/>
                <w:color w:val="auto"/>
                <w:sz w:val="24"/>
                <w:szCs w:val="24"/>
              </w:rPr>
              <w:t>《响应文件》格式</w:t>
            </w:r>
          </w:p>
        </w:tc>
        <w:tc>
          <w:tcPr>
            <w:tcW w:w="4495" w:type="dxa"/>
            <w:vAlign w:val="center"/>
          </w:tcPr>
          <w:p w14:paraId="17B425A7">
            <w:pPr>
              <w:spacing w:line="360" w:lineRule="auto"/>
              <w:rPr>
                <w:rFonts w:ascii="宋体" w:hAnsi="宋体" w:cs="宋体"/>
                <w:color w:val="auto"/>
                <w:sz w:val="24"/>
                <w:szCs w:val="24"/>
              </w:rPr>
            </w:pPr>
            <w:r>
              <w:rPr>
                <w:rFonts w:hint="eastAsia" w:ascii="宋体" w:hAnsi="宋体" w:cs="宋体"/>
                <w:color w:val="auto"/>
                <w:sz w:val="24"/>
                <w:szCs w:val="24"/>
              </w:rPr>
              <w:t>符合第六章“《响应文件》格式”规定</w:t>
            </w:r>
          </w:p>
        </w:tc>
      </w:tr>
      <w:tr w14:paraId="22954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continue"/>
            <w:tcBorders>
              <w:top w:val="nil"/>
            </w:tcBorders>
            <w:vAlign w:val="center"/>
          </w:tcPr>
          <w:p w14:paraId="2008702F">
            <w:pPr>
              <w:spacing w:line="360" w:lineRule="auto"/>
              <w:ind w:firstLine="480" w:firstLineChars="200"/>
              <w:rPr>
                <w:rFonts w:ascii="宋体" w:hAnsi="宋体" w:cs="宋体"/>
                <w:color w:val="auto"/>
                <w:sz w:val="24"/>
                <w:szCs w:val="24"/>
              </w:rPr>
            </w:pPr>
          </w:p>
        </w:tc>
        <w:tc>
          <w:tcPr>
            <w:tcW w:w="1105" w:type="dxa"/>
            <w:vMerge w:val="continue"/>
            <w:tcBorders>
              <w:top w:val="nil"/>
            </w:tcBorders>
            <w:vAlign w:val="center"/>
          </w:tcPr>
          <w:p w14:paraId="78BA4AC8">
            <w:pPr>
              <w:spacing w:line="360" w:lineRule="auto"/>
              <w:ind w:firstLine="480" w:firstLineChars="200"/>
              <w:rPr>
                <w:rFonts w:ascii="宋体" w:hAnsi="宋体" w:cs="宋体"/>
                <w:color w:val="auto"/>
                <w:sz w:val="24"/>
                <w:szCs w:val="24"/>
              </w:rPr>
            </w:pPr>
          </w:p>
        </w:tc>
        <w:tc>
          <w:tcPr>
            <w:tcW w:w="1182" w:type="dxa"/>
            <w:vMerge w:val="continue"/>
            <w:tcBorders>
              <w:top w:val="nil"/>
            </w:tcBorders>
            <w:vAlign w:val="center"/>
          </w:tcPr>
          <w:p w14:paraId="0D4D9A66">
            <w:pPr>
              <w:spacing w:line="360" w:lineRule="auto"/>
              <w:ind w:firstLine="480" w:firstLineChars="200"/>
              <w:jc w:val="center"/>
              <w:rPr>
                <w:rFonts w:ascii="宋体" w:hAnsi="宋体" w:cs="宋体"/>
                <w:color w:val="auto"/>
                <w:sz w:val="24"/>
                <w:szCs w:val="24"/>
              </w:rPr>
            </w:pPr>
          </w:p>
        </w:tc>
        <w:tc>
          <w:tcPr>
            <w:tcW w:w="1965" w:type="dxa"/>
            <w:vAlign w:val="center"/>
          </w:tcPr>
          <w:p w14:paraId="6F4885D5">
            <w:pPr>
              <w:spacing w:line="360" w:lineRule="auto"/>
              <w:jc w:val="center"/>
              <w:rPr>
                <w:rFonts w:ascii="宋体" w:hAnsi="宋体" w:cs="宋体"/>
                <w:color w:val="auto"/>
                <w:sz w:val="24"/>
                <w:szCs w:val="24"/>
              </w:rPr>
            </w:pPr>
            <w:r>
              <w:rPr>
                <w:rFonts w:hint="eastAsia" w:ascii="宋体" w:hAnsi="宋体" w:cs="宋体"/>
                <w:color w:val="auto"/>
                <w:sz w:val="24"/>
                <w:szCs w:val="24"/>
              </w:rPr>
              <w:t>付款</w:t>
            </w:r>
          </w:p>
        </w:tc>
        <w:tc>
          <w:tcPr>
            <w:tcW w:w="4495" w:type="dxa"/>
            <w:vAlign w:val="center"/>
          </w:tcPr>
          <w:p w14:paraId="293AA3C3">
            <w:pPr>
              <w:spacing w:line="360" w:lineRule="auto"/>
              <w:rPr>
                <w:rFonts w:ascii="宋体" w:hAnsi="宋体" w:cs="宋体"/>
                <w:color w:val="auto"/>
                <w:sz w:val="24"/>
                <w:szCs w:val="24"/>
              </w:rPr>
            </w:pPr>
            <w:r>
              <w:rPr>
                <w:rFonts w:hint="eastAsia" w:ascii="宋体" w:hAnsi="宋体" w:cs="宋体"/>
                <w:color w:val="auto"/>
                <w:sz w:val="24"/>
                <w:szCs w:val="24"/>
              </w:rPr>
              <w:t>符合第三章“供应商须知”第 9 条规定</w:t>
            </w:r>
          </w:p>
        </w:tc>
      </w:tr>
      <w:tr w14:paraId="2D5DD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continue"/>
            <w:tcBorders>
              <w:top w:val="nil"/>
            </w:tcBorders>
            <w:vAlign w:val="center"/>
          </w:tcPr>
          <w:p w14:paraId="66D92FA4">
            <w:pPr>
              <w:spacing w:line="360" w:lineRule="auto"/>
              <w:ind w:firstLine="480" w:firstLineChars="200"/>
              <w:rPr>
                <w:rFonts w:ascii="宋体" w:hAnsi="宋体" w:cs="宋体"/>
                <w:color w:val="auto"/>
                <w:sz w:val="24"/>
                <w:szCs w:val="24"/>
              </w:rPr>
            </w:pPr>
          </w:p>
        </w:tc>
        <w:tc>
          <w:tcPr>
            <w:tcW w:w="1105" w:type="dxa"/>
            <w:vMerge w:val="continue"/>
            <w:tcBorders>
              <w:top w:val="nil"/>
            </w:tcBorders>
            <w:vAlign w:val="center"/>
          </w:tcPr>
          <w:p w14:paraId="0C054058">
            <w:pPr>
              <w:spacing w:line="360" w:lineRule="auto"/>
              <w:ind w:firstLine="480" w:firstLineChars="200"/>
              <w:rPr>
                <w:rFonts w:ascii="宋体" w:hAnsi="宋体" w:cs="宋体"/>
                <w:color w:val="auto"/>
                <w:sz w:val="24"/>
                <w:szCs w:val="24"/>
              </w:rPr>
            </w:pPr>
          </w:p>
        </w:tc>
        <w:tc>
          <w:tcPr>
            <w:tcW w:w="1182" w:type="dxa"/>
            <w:vMerge w:val="continue"/>
            <w:tcBorders>
              <w:top w:val="nil"/>
            </w:tcBorders>
            <w:vAlign w:val="center"/>
          </w:tcPr>
          <w:p w14:paraId="4B1F474C">
            <w:pPr>
              <w:spacing w:line="360" w:lineRule="auto"/>
              <w:ind w:firstLine="480" w:firstLineChars="200"/>
              <w:jc w:val="center"/>
              <w:rPr>
                <w:rFonts w:ascii="宋体" w:hAnsi="宋体" w:cs="宋体"/>
                <w:color w:val="auto"/>
                <w:sz w:val="24"/>
                <w:szCs w:val="24"/>
              </w:rPr>
            </w:pPr>
          </w:p>
        </w:tc>
        <w:tc>
          <w:tcPr>
            <w:tcW w:w="1965" w:type="dxa"/>
            <w:vAlign w:val="center"/>
          </w:tcPr>
          <w:p w14:paraId="423724E4">
            <w:pPr>
              <w:spacing w:line="360" w:lineRule="auto"/>
              <w:jc w:val="center"/>
              <w:rPr>
                <w:rFonts w:ascii="宋体" w:hAnsi="宋体" w:cs="宋体"/>
                <w:color w:val="auto"/>
                <w:sz w:val="24"/>
                <w:szCs w:val="24"/>
              </w:rPr>
            </w:pPr>
            <w:r>
              <w:rPr>
                <w:rFonts w:hint="eastAsia" w:ascii="宋体" w:hAnsi="宋体" w:cs="宋体"/>
                <w:color w:val="auto"/>
                <w:sz w:val="24"/>
                <w:szCs w:val="24"/>
              </w:rPr>
              <w:t>偏差描述</w:t>
            </w:r>
          </w:p>
        </w:tc>
        <w:tc>
          <w:tcPr>
            <w:tcW w:w="4495" w:type="dxa"/>
            <w:vAlign w:val="center"/>
          </w:tcPr>
          <w:p w14:paraId="0FBF930E">
            <w:pPr>
              <w:spacing w:line="360" w:lineRule="auto"/>
              <w:rPr>
                <w:rFonts w:ascii="宋体" w:hAnsi="宋体" w:cs="宋体"/>
                <w:color w:val="auto"/>
                <w:sz w:val="24"/>
                <w:szCs w:val="24"/>
              </w:rPr>
            </w:pPr>
            <w:r>
              <w:rPr>
                <w:rFonts w:hint="eastAsia" w:ascii="宋体" w:hAnsi="宋体" w:cs="宋体"/>
                <w:color w:val="auto"/>
                <w:sz w:val="24"/>
                <w:szCs w:val="24"/>
              </w:rPr>
              <w:t>符合第三章“供应商须知”3.7.3 项规定</w:t>
            </w:r>
          </w:p>
        </w:tc>
      </w:tr>
      <w:tr w14:paraId="7FA7F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9" w:type="dxa"/>
            <w:vMerge w:val="continue"/>
            <w:tcBorders>
              <w:top w:val="nil"/>
            </w:tcBorders>
            <w:vAlign w:val="center"/>
          </w:tcPr>
          <w:p w14:paraId="605C5598">
            <w:pPr>
              <w:spacing w:line="360" w:lineRule="auto"/>
              <w:ind w:firstLine="480" w:firstLineChars="200"/>
              <w:rPr>
                <w:rFonts w:ascii="宋体" w:hAnsi="宋体" w:cs="宋体"/>
                <w:color w:val="auto"/>
                <w:sz w:val="24"/>
                <w:szCs w:val="24"/>
              </w:rPr>
            </w:pPr>
          </w:p>
        </w:tc>
        <w:tc>
          <w:tcPr>
            <w:tcW w:w="1105" w:type="dxa"/>
            <w:vMerge w:val="continue"/>
            <w:tcBorders>
              <w:top w:val="nil"/>
            </w:tcBorders>
            <w:vAlign w:val="center"/>
          </w:tcPr>
          <w:p w14:paraId="25DDF6A0">
            <w:pPr>
              <w:spacing w:line="360" w:lineRule="auto"/>
              <w:ind w:firstLine="480" w:firstLineChars="200"/>
              <w:rPr>
                <w:rFonts w:ascii="宋体" w:hAnsi="宋体" w:cs="宋体"/>
                <w:color w:val="auto"/>
                <w:sz w:val="24"/>
                <w:szCs w:val="24"/>
              </w:rPr>
            </w:pPr>
          </w:p>
        </w:tc>
        <w:tc>
          <w:tcPr>
            <w:tcW w:w="1182" w:type="dxa"/>
            <w:vMerge w:val="continue"/>
            <w:tcBorders>
              <w:top w:val="nil"/>
            </w:tcBorders>
            <w:vAlign w:val="center"/>
          </w:tcPr>
          <w:p w14:paraId="7B17C3FD">
            <w:pPr>
              <w:spacing w:line="360" w:lineRule="auto"/>
              <w:ind w:firstLine="480" w:firstLineChars="200"/>
              <w:jc w:val="center"/>
              <w:rPr>
                <w:rFonts w:ascii="宋体" w:hAnsi="宋体" w:cs="宋体"/>
                <w:color w:val="auto"/>
                <w:sz w:val="24"/>
                <w:szCs w:val="24"/>
              </w:rPr>
            </w:pPr>
          </w:p>
        </w:tc>
        <w:tc>
          <w:tcPr>
            <w:tcW w:w="1965" w:type="dxa"/>
            <w:vAlign w:val="center"/>
          </w:tcPr>
          <w:p w14:paraId="225FAB20">
            <w:pPr>
              <w:spacing w:line="360" w:lineRule="auto"/>
              <w:jc w:val="center"/>
              <w:rPr>
                <w:rFonts w:ascii="宋体" w:hAnsi="宋体" w:cs="宋体"/>
                <w:color w:val="auto"/>
                <w:sz w:val="24"/>
                <w:szCs w:val="24"/>
              </w:rPr>
            </w:pPr>
            <w:r>
              <w:rPr>
                <w:rFonts w:hint="eastAsia" w:ascii="宋体" w:hAnsi="宋体" w:cs="宋体"/>
                <w:color w:val="auto"/>
                <w:sz w:val="24"/>
                <w:szCs w:val="24"/>
              </w:rPr>
              <w:t>《磋商文件》总体响应</w:t>
            </w:r>
          </w:p>
        </w:tc>
        <w:tc>
          <w:tcPr>
            <w:tcW w:w="4495" w:type="dxa"/>
            <w:vAlign w:val="center"/>
          </w:tcPr>
          <w:p w14:paraId="3734F941">
            <w:pPr>
              <w:spacing w:line="360" w:lineRule="auto"/>
              <w:rPr>
                <w:rFonts w:ascii="宋体" w:hAnsi="宋体" w:cs="宋体"/>
                <w:color w:val="auto"/>
                <w:sz w:val="24"/>
                <w:szCs w:val="24"/>
              </w:rPr>
            </w:pPr>
            <w:r>
              <w:rPr>
                <w:rFonts w:hint="eastAsia" w:ascii="宋体" w:hAnsi="宋体" w:cs="宋体"/>
                <w:color w:val="auto"/>
                <w:sz w:val="24"/>
                <w:szCs w:val="24"/>
              </w:rPr>
              <w:t>符合第三章“供应商须知”1.3项规定</w:t>
            </w:r>
          </w:p>
        </w:tc>
      </w:tr>
    </w:tbl>
    <w:p w14:paraId="7F2DA179">
      <w:pPr>
        <w:spacing w:line="360" w:lineRule="auto"/>
        <w:ind w:firstLine="420" w:firstLineChars="200"/>
        <w:jc w:val="left"/>
        <w:rPr>
          <w:rFonts w:ascii="宋体" w:hAnsi="宋体" w:cs="宋体"/>
          <w:color w:val="auto"/>
          <w:szCs w:val="24"/>
        </w:rPr>
      </w:pPr>
    </w:p>
    <w:p w14:paraId="43E09DA5">
      <w:pPr>
        <w:widowControl w:val="0"/>
        <w:snapToGrid w:val="0"/>
        <w:spacing w:line="560" w:lineRule="exact"/>
        <w:jc w:val="center"/>
        <w:rPr>
          <w:rFonts w:ascii="宋体" w:hAnsi="宋体" w:cs="宋体"/>
          <w:b/>
          <w:color w:val="auto"/>
          <w:sz w:val="30"/>
          <w:szCs w:val="30"/>
        </w:rPr>
      </w:pPr>
    </w:p>
    <w:p w14:paraId="6A823537">
      <w:pPr>
        <w:widowControl w:val="0"/>
        <w:snapToGrid w:val="0"/>
        <w:spacing w:line="560" w:lineRule="exact"/>
        <w:jc w:val="center"/>
        <w:rPr>
          <w:rFonts w:ascii="宋体" w:hAnsi="宋体" w:cs="宋体"/>
          <w:b/>
          <w:color w:val="auto"/>
          <w:sz w:val="30"/>
          <w:szCs w:val="30"/>
        </w:rPr>
      </w:pPr>
    </w:p>
    <w:p w14:paraId="0E987CE1">
      <w:pPr>
        <w:widowControl w:val="0"/>
        <w:snapToGrid w:val="0"/>
        <w:spacing w:line="560" w:lineRule="exact"/>
        <w:jc w:val="left"/>
        <w:rPr>
          <w:rFonts w:ascii="宋体" w:hAnsi="宋体" w:cs="宋体"/>
          <w:b/>
          <w:color w:val="auto"/>
          <w:sz w:val="24"/>
          <w:szCs w:val="24"/>
        </w:rPr>
      </w:pPr>
      <w:r>
        <w:rPr>
          <w:rFonts w:hint="eastAsia" w:ascii="宋体" w:hAnsi="宋体" w:cs="宋体"/>
          <w:b/>
          <w:color w:val="auto"/>
          <w:sz w:val="24"/>
          <w:szCs w:val="24"/>
        </w:rPr>
        <w:t>评</w:t>
      </w:r>
      <w:r>
        <w:rPr>
          <w:rFonts w:hint="eastAsia" w:ascii="宋体" w:hAnsi="宋体" w:cs="宋体"/>
          <w:b/>
          <w:bCs/>
          <w:color w:val="auto"/>
          <w:sz w:val="24"/>
          <w:szCs w:val="32"/>
        </w:rPr>
        <w:t>审</w:t>
      </w:r>
      <w:r>
        <w:rPr>
          <w:rFonts w:hint="eastAsia" w:ascii="宋体" w:hAnsi="宋体" w:cs="宋体"/>
          <w:b/>
          <w:color w:val="auto"/>
          <w:sz w:val="24"/>
          <w:szCs w:val="24"/>
        </w:rPr>
        <w:t>办法前附表------分值构成与评分标准</w:t>
      </w:r>
    </w:p>
    <w:tbl>
      <w:tblPr>
        <w:tblStyle w:val="22"/>
        <w:tblW w:w="93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28"/>
        <w:gridCol w:w="2044"/>
        <w:gridCol w:w="5946"/>
      </w:tblGrid>
      <w:tr w14:paraId="04E59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3"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2C68771E">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2044" w:type="dxa"/>
            <w:tcBorders>
              <w:top w:val="single" w:color="auto" w:sz="4" w:space="0"/>
              <w:left w:val="single" w:color="auto" w:sz="4" w:space="0"/>
              <w:bottom w:val="single" w:color="auto" w:sz="4" w:space="0"/>
              <w:right w:val="single" w:color="auto" w:sz="4" w:space="0"/>
            </w:tcBorders>
            <w:vAlign w:val="center"/>
          </w:tcPr>
          <w:p w14:paraId="240AE821">
            <w:pPr>
              <w:spacing w:line="360" w:lineRule="auto"/>
              <w:jc w:val="center"/>
              <w:rPr>
                <w:rFonts w:ascii="宋体" w:hAnsi="宋体" w:cs="宋体"/>
                <w:b/>
                <w:color w:val="auto"/>
                <w:szCs w:val="21"/>
              </w:rPr>
            </w:pPr>
            <w:r>
              <w:rPr>
                <w:rFonts w:hint="eastAsia" w:ascii="宋体" w:hAnsi="宋体" w:cs="宋体"/>
                <w:b/>
                <w:color w:val="auto"/>
                <w:szCs w:val="21"/>
              </w:rPr>
              <w:t>评分因素</w:t>
            </w:r>
          </w:p>
        </w:tc>
        <w:tc>
          <w:tcPr>
            <w:tcW w:w="5946" w:type="dxa"/>
            <w:tcBorders>
              <w:top w:val="single" w:color="auto" w:sz="4" w:space="0"/>
              <w:left w:val="single" w:color="auto" w:sz="4" w:space="0"/>
              <w:bottom w:val="single" w:color="auto" w:sz="4" w:space="0"/>
              <w:right w:val="single" w:color="auto" w:sz="4" w:space="0"/>
            </w:tcBorders>
            <w:vAlign w:val="center"/>
          </w:tcPr>
          <w:p w14:paraId="26A6C2CB">
            <w:pPr>
              <w:spacing w:line="360" w:lineRule="auto"/>
              <w:jc w:val="center"/>
              <w:rPr>
                <w:rFonts w:ascii="宋体" w:hAnsi="宋体" w:cs="宋体"/>
                <w:b/>
                <w:color w:val="auto"/>
                <w:szCs w:val="21"/>
              </w:rPr>
            </w:pPr>
            <w:r>
              <w:rPr>
                <w:rFonts w:hint="eastAsia" w:ascii="宋体" w:hAnsi="宋体" w:cs="宋体"/>
                <w:b/>
                <w:color w:val="auto"/>
                <w:szCs w:val="21"/>
              </w:rPr>
              <w:t>评分标准</w:t>
            </w:r>
          </w:p>
        </w:tc>
      </w:tr>
      <w:tr w14:paraId="6F51F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18AA525D">
            <w:pPr>
              <w:spacing w:line="360" w:lineRule="auto"/>
              <w:jc w:val="center"/>
              <w:rPr>
                <w:rFonts w:ascii="宋体" w:hAnsi="宋体" w:cs="宋体"/>
                <w:color w:val="auto"/>
                <w:szCs w:val="21"/>
              </w:rPr>
            </w:pPr>
            <w:r>
              <w:rPr>
                <w:rFonts w:hint="eastAsia" w:ascii="宋体" w:hAnsi="宋体" w:cs="宋体"/>
                <w:color w:val="auto"/>
                <w:szCs w:val="21"/>
              </w:rPr>
              <w:t>2.2.1</w:t>
            </w:r>
          </w:p>
        </w:tc>
        <w:tc>
          <w:tcPr>
            <w:tcW w:w="2044" w:type="dxa"/>
            <w:tcBorders>
              <w:top w:val="single" w:color="auto" w:sz="4" w:space="0"/>
              <w:left w:val="single" w:color="auto" w:sz="4" w:space="0"/>
              <w:bottom w:val="single" w:color="auto" w:sz="4" w:space="0"/>
              <w:right w:val="single" w:color="auto" w:sz="4" w:space="0"/>
            </w:tcBorders>
            <w:vAlign w:val="center"/>
          </w:tcPr>
          <w:p w14:paraId="04D5378A">
            <w:pPr>
              <w:spacing w:line="360" w:lineRule="auto"/>
              <w:jc w:val="center"/>
              <w:rPr>
                <w:rFonts w:ascii="宋体" w:hAnsi="宋体" w:cs="宋体"/>
                <w:color w:val="auto"/>
                <w:szCs w:val="21"/>
              </w:rPr>
            </w:pPr>
            <w:r>
              <w:rPr>
                <w:rFonts w:hint="eastAsia" w:ascii="宋体" w:hAnsi="宋体" w:cs="宋体"/>
                <w:color w:val="auto"/>
                <w:szCs w:val="21"/>
              </w:rPr>
              <w:t>分值构成</w:t>
            </w:r>
          </w:p>
          <w:p w14:paraId="5BA68B24">
            <w:pPr>
              <w:spacing w:line="360" w:lineRule="auto"/>
              <w:jc w:val="center"/>
              <w:rPr>
                <w:rFonts w:ascii="宋体" w:hAnsi="宋体" w:cs="宋体"/>
                <w:color w:val="auto"/>
                <w:szCs w:val="21"/>
              </w:rPr>
            </w:pPr>
            <w:r>
              <w:rPr>
                <w:rFonts w:hint="eastAsia" w:ascii="宋体" w:hAnsi="宋体" w:cs="宋体"/>
                <w:color w:val="auto"/>
                <w:szCs w:val="21"/>
              </w:rPr>
              <w:t>（总分100分）</w:t>
            </w:r>
          </w:p>
        </w:tc>
        <w:tc>
          <w:tcPr>
            <w:tcW w:w="5946" w:type="dxa"/>
            <w:tcBorders>
              <w:top w:val="single" w:color="auto" w:sz="4" w:space="0"/>
              <w:left w:val="single" w:color="auto" w:sz="4" w:space="0"/>
              <w:bottom w:val="single" w:color="auto" w:sz="4" w:space="0"/>
              <w:right w:val="single" w:color="auto" w:sz="4" w:space="0"/>
            </w:tcBorders>
          </w:tcPr>
          <w:p w14:paraId="50B0B813">
            <w:pPr>
              <w:snapToGrid w:val="0"/>
              <w:spacing w:line="360" w:lineRule="auto"/>
              <w:rPr>
                <w:rFonts w:ascii="宋体" w:hAnsi="宋体" w:cs="宋体"/>
                <w:color w:val="auto"/>
                <w:szCs w:val="21"/>
                <w:u w:val="single"/>
              </w:rPr>
            </w:pPr>
            <w:r>
              <w:rPr>
                <w:rFonts w:hint="eastAsia" w:ascii="宋体" w:hAnsi="宋体" w:cs="宋体"/>
                <w:color w:val="auto"/>
                <w:szCs w:val="21"/>
              </w:rPr>
              <w:t>投标报价：</w:t>
            </w:r>
            <w:r>
              <w:rPr>
                <w:rFonts w:hint="eastAsia" w:ascii="宋体" w:hAnsi="宋体" w:cs="宋体"/>
                <w:color w:val="auto"/>
                <w:szCs w:val="21"/>
                <w:u w:val="single"/>
              </w:rPr>
              <w:t xml:space="preserve"> 30 </w:t>
            </w:r>
            <w:r>
              <w:rPr>
                <w:rFonts w:hint="eastAsia" w:ascii="宋体" w:hAnsi="宋体" w:cs="宋体"/>
                <w:color w:val="auto"/>
                <w:szCs w:val="21"/>
              </w:rPr>
              <w:t>分</w:t>
            </w:r>
          </w:p>
          <w:p w14:paraId="17C97F07">
            <w:pPr>
              <w:snapToGrid w:val="0"/>
              <w:spacing w:line="360" w:lineRule="auto"/>
              <w:rPr>
                <w:rFonts w:ascii="宋体" w:hAnsi="宋体" w:cs="宋体"/>
                <w:color w:val="auto"/>
                <w:szCs w:val="21"/>
              </w:rPr>
            </w:pPr>
            <w:r>
              <w:rPr>
                <w:rFonts w:hint="eastAsia" w:ascii="宋体" w:hAnsi="宋体" w:cs="宋体"/>
                <w:color w:val="auto"/>
                <w:szCs w:val="21"/>
              </w:rPr>
              <w:t>技术部分：</w:t>
            </w:r>
            <w:r>
              <w:rPr>
                <w:rFonts w:hint="eastAsia" w:ascii="宋体" w:hAnsi="宋体" w:cs="宋体"/>
                <w:color w:val="auto"/>
                <w:szCs w:val="21"/>
                <w:u w:val="single"/>
              </w:rPr>
              <w:t xml:space="preserve"> 15</w:t>
            </w:r>
            <w:r>
              <w:rPr>
                <w:rFonts w:hint="eastAsia" w:ascii="宋体" w:hAnsi="宋体" w:cs="宋体"/>
                <w:color w:val="auto"/>
                <w:szCs w:val="21"/>
              </w:rPr>
              <w:t>分</w:t>
            </w:r>
          </w:p>
          <w:p w14:paraId="2CA678D4">
            <w:pPr>
              <w:spacing w:line="360" w:lineRule="auto"/>
              <w:rPr>
                <w:rFonts w:ascii="宋体" w:hAnsi="宋体" w:cs="宋体"/>
                <w:color w:val="auto"/>
                <w:szCs w:val="21"/>
              </w:rPr>
            </w:pPr>
            <w:r>
              <w:rPr>
                <w:rFonts w:hint="eastAsia" w:ascii="宋体" w:hAnsi="宋体" w:cs="宋体"/>
                <w:color w:val="auto"/>
                <w:szCs w:val="21"/>
              </w:rPr>
              <w:t>商务部分：</w:t>
            </w:r>
            <w:r>
              <w:rPr>
                <w:rFonts w:hint="eastAsia" w:ascii="宋体" w:hAnsi="宋体" w:cs="宋体"/>
                <w:color w:val="auto"/>
                <w:szCs w:val="21"/>
                <w:u w:val="single"/>
              </w:rPr>
              <w:t xml:space="preserve"> 55 </w:t>
            </w:r>
            <w:r>
              <w:rPr>
                <w:rFonts w:hint="eastAsia" w:ascii="宋体" w:hAnsi="宋体" w:cs="宋体"/>
                <w:color w:val="auto"/>
                <w:szCs w:val="21"/>
              </w:rPr>
              <w:t>分</w:t>
            </w:r>
          </w:p>
        </w:tc>
      </w:tr>
      <w:tr w14:paraId="6A7EF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73C00C70">
            <w:pPr>
              <w:spacing w:line="360" w:lineRule="auto"/>
              <w:jc w:val="center"/>
              <w:rPr>
                <w:rFonts w:ascii="宋体" w:hAnsi="宋体" w:cs="宋体"/>
                <w:b/>
                <w:bCs/>
                <w:color w:val="auto"/>
                <w:szCs w:val="21"/>
              </w:rPr>
            </w:pPr>
            <w:r>
              <w:rPr>
                <w:rFonts w:hint="eastAsia" w:ascii="宋体" w:hAnsi="宋体" w:cs="宋体"/>
                <w:b/>
                <w:bCs/>
                <w:color w:val="auto"/>
                <w:szCs w:val="21"/>
              </w:rPr>
              <w:t>类别</w:t>
            </w:r>
          </w:p>
        </w:tc>
        <w:tc>
          <w:tcPr>
            <w:tcW w:w="2044" w:type="dxa"/>
            <w:tcBorders>
              <w:top w:val="single" w:color="auto" w:sz="4" w:space="0"/>
              <w:left w:val="single" w:color="auto" w:sz="4" w:space="0"/>
              <w:bottom w:val="single" w:color="auto" w:sz="4" w:space="0"/>
              <w:right w:val="single" w:color="auto" w:sz="4" w:space="0"/>
            </w:tcBorders>
            <w:vAlign w:val="center"/>
          </w:tcPr>
          <w:p w14:paraId="40843836">
            <w:pPr>
              <w:spacing w:line="360" w:lineRule="auto"/>
              <w:jc w:val="center"/>
              <w:rPr>
                <w:rFonts w:ascii="宋体" w:hAnsi="宋体" w:cs="宋体"/>
                <w:b/>
                <w:bCs/>
                <w:color w:val="auto"/>
                <w:szCs w:val="21"/>
              </w:rPr>
            </w:pPr>
            <w:r>
              <w:rPr>
                <w:rFonts w:hint="eastAsia" w:ascii="宋体" w:hAnsi="宋体" w:cs="宋体"/>
                <w:b/>
                <w:bCs/>
                <w:color w:val="auto"/>
                <w:szCs w:val="21"/>
              </w:rPr>
              <w:t>评审因素</w:t>
            </w:r>
          </w:p>
        </w:tc>
        <w:tc>
          <w:tcPr>
            <w:tcW w:w="5946" w:type="dxa"/>
            <w:tcBorders>
              <w:top w:val="single" w:color="auto" w:sz="4" w:space="0"/>
              <w:left w:val="single" w:color="auto" w:sz="4" w:space="0"/>
              <w:bottom w:val="single" w:color="auto" w:sz="4" w:space="0"/>
              <w:right w:val="single" w:color="auto" w:sz="4" w:space="0"/>
            </w:tcBorders>
            <w:vAlign w:val="center"/>
          </w:tcPr>
          <w:p w14:paraId="20CE8409">
            <w:pPr>
              <w:spacing w:line="360" w:lineRule="auto"/>
              <w:jc w:val="center"/>
              <w:rPr>
                <w:rFonts w:ascii="宋体" w:hAnsi="宋体" w:cs="宋体"/>
                <w:b/>
                <w:bCs/>
                <w:color w:val="auto"/>
                <w:szCs w:val="21"/>
              </w:rPr>
            </w:pPr>
            <w:r>
              <w:rPr>
                <w:rFonts w:hint="eastAsia" w:ascii="宋体" w:hAnsi="宋体" w:cs="宋体"/>
                <w:b/>
                <w:bCs/>
                <w:color w:val="auto"/>
                <w:szCs w:val="21"/>
              </w:rPr>
              <w:t>评分标准</w:t>
            </w:r>
          </w:p>
        </w:tc>
      </w:tr>
      <w:tr w14:paraId="2546E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1"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6AB7D1F4">
            <w:pPr>
              <w:spacing w:line="360" w:lineRule="auto"/>
              <w:jc w:val="center"/>
              <w:rPr>
                <w:rFonts w:ascii="宋体" w:hAnsi="宋体" w:cs="宋体"/>
                <w:color w:val="auto"/>
                <w:szCs w:val="21"/>
              </w:rPr>
            </w:pPr>
            <w:r>
              <w:rPr>
                <w:rFonts w:hint="eastAsia" w:ascii="宋体" w:hAnsi="宋体" w:cs="宋体"/>
                <w:color w:val="auto"/>
                <w:szCs w:val="21"/>
              </w:rPr>
              <w:t>2.2.2（1）投标报价（30分）</w:t>
            </w:r>
          </w:p>
        </w:tc>
        <w:tc>
          <w:tcPr>
            <w:tcW w:w="2044" w:type="dxa"/>
            <w:tcBorders>
              <w:top w:val="single" w:color="auto" w:sz="4" w:space="0"/>
              <w:left w:val="single" w:color="auto" w:sz="4" w:space="0"/>
              <w:bottom w:val="single" w:color="auto" w:sz="4" w:space="0"/>
              <w:right w:val="single" w:color="auto" w:sz="4" w:space="0"/>
            </w:tcBorders>
            <w:vAlign w:val="center"/>
          </w:tcPr>
          <w:p w14:paraId="4F311226">
            <w:pPr>
              <w:spacing w:line="360" w:lineRule="auto"/>
              <w:jc w:val="center"/>
              <w:rPr>
                <w:rFonts w:ascii="宋体" w:hAnsi="宋体" w:cs="宋体"/>
                <w:color w:val="auto"/>
                <w:szCs w:val="21"/>
              </w:rPr>
            </w:pPr>
            <w:r>
              <w:rPr>
                <w:rFonts w:hint="eastAsia" w:ascii="宋体" w:hAnsi="宋体" w:cs="宋体"/>
                <w:color w:val="auto"/>
                <w:szCs w:val="21"/>
              </w:rPr>
              <w:t>投标报价（30分）</w:t>
            </w:r>
          </w:p>
        </w:tc>
        <w:tc>
          <w:tcPr>
            <w:tcW w:w="5946" w:type="dxa"/>
            <w:tcBorders>
              <w:top w:val="single" w:color="auto" w:sz="4" w:space="0"/>
              <w:left w:val="single" w:color="auto" w:sz="4" w:space="0"/>
              <w:bottom w:val="single" w:color="auto" w:sz="4" w:space="0"/>
              <w:right w:val="single" w:color="auto" w:sz="4" w:space="0"/>
            </w:tcBorders>
            <w:vAlign w:val="center"/>
          </w:tcPr>
          <w:p w14:paraId="5588179A">
            <w:pPr>
              <w:spacing w:line="360" w:lineRule="auto"/>
              <w:jc w:val="left"/>
              <w:rPr>
                <w:color w:val="auto"/>
              </w:rPr>
            </w:pPr>
            <w:r>
              <w:rPr>
                <w:rFonts w:hint="eastAsia"/>
                <w:color w:val="auto"/>
              </w:rPr>
              <w:t>价格因素评分：价格分采用低价优先法计算，即满足磋商文件要求且投标价格最低的投标报价为评标基准价，其价格分为满分。</w:t>
            </w:r>
          </w:p>
          <w:p w14:paraId="4B31EA75">
            <w:pPr>
              <w:spacing w:line="360" w:lineRule="auto"/>
              <w:jc w:val="left"/>
              <w:rPr>
                <w:color w:val="auto"/>
              </w:rPr>
            </w:pPr>
            <w:r>
              <w:rPr>
                <w:rFonts w:hint="eastAsia"/>
                <w:color w:val="auto"/>
              </w:rPr>
              <w:t>其他供应商的价格分统一按照下列公式计算：投标报价得分=(评标基准价／投标报价)×30</w:t>
            </w:r>
          </w:p>
        </w:tc>
      </w:tr>
      <w:tr w14:paraId="053AA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5" w:hRule="atLeast"/>
          <w:jc w:val="center"/>
        </w:trPr>
        <w:tc>
          <w:tcPr>
            <w:tcW w:w="1328" w:type="dxa"/>
            <w:vMerge w:val="restart"/>
            <w:tcBorders>
              <w:left w:val="single" w:color="auto" w:sz="4" w:space="0"/>
              <w:right w:val="single" w:color="auto" w:sz="4" w:space="0"/>
            </w:tcBorders>
            <w:vAlign w:val="center"/>
          </w:tcPr>
          <w:p w14:paraId="3C710C3F">
            <w:pPr>
              <w:spacing w:line="360" w:lineRule="auto"/>
              <w:jc w:val="left"/>
              <w:rPr>
                <w:color w:val="auto"/>
              </w:rPr>
            </w:pPr>
            <w:r>
              <w:rPr>
                <w:rFonts w:hint="eastAsia"/>
                <w:color w:val="auto"/>
              </w:rPr>
              <w:t>2.2.2(2)</w:t>
            </w:r>
          </w:p>
          <w:p w14:paraId="5CF361AB">
            <w:pPr>
              <w:spacing w:line="360" w:lineRule="auto"/>
              <w:jc w:val="left"/>
              <w:rPr>
                <w:color w:val="auto"/>
              </w:rPr>
            </w:pPr>
            <w:r>
              <w:rPr>
                <w:rFonts w:hint="eastAsia"/>
                <w:color w:val="auto"/>
              </w:rPr>
              <w:t>技术部分 （15分）</w:t>
            </w:r>
          </w:p>
        </w:tc>
        <w:tc>
          <w:tcPr>
            <w:tcW w:w="2044" w:type="dxa"/>
            <w:vMerge w:val="restart"/>
            <w:tcBorders>
              <w:top w:val="single" w:color="auto" w:sz="4" w:space="0"/>
              <w:left w:val="single" w:color="auto" w:sz="4" w:space="0"/>
              <w:right w:val="single" w:color="auto" w:sz="4" w:space="0"/>
            </w:tcBorders>
            <w:vAlign w:val="center"/>
          </w:tcPr>
          <w:p w14:paraId="76424BAB">
            <w:pPr>
              <w:spacing w:line="360" w:lineRule="auto"/>
              <w:jc w:val="left"/>
              <w:rPr>
                <w:color w:val="auto"/>
              </w:rPr>
            </w:pPr>
            <w:r>
              <w:rPr>
                <w:rFonts w:hint="eastAsia"/>
                <w:color w:val="auto"/>
              </w:rPr>
              <w:t>服务方案（15分）</w:t>
            </w:r>
          </w:p>
        </w:tc>
        <w:tc>
          <w:tcPr>
            <w:tcW w:w="5946" w:type="dxa"/>
            <w:tcBorders>
              <w:top w:val="single" w:color="auto" w:sz="4" w:space="0"/>
              <w:left w:val="single" w:color="auto" w:sz="4" w:space="0"/>
              <w:right w:val="single" w:color="auto" w:sz="4" w:space="0"/>
            </w:tcBorders>
            <w:vAlign w:val="center"/>
          </w:tcPr>
          <w:p w14:paraId="7148F369">
            <w:pPr>
              <w:spacing w:line="360" w:lineRule="auto"/>
              <w:jc w:val="left"/>
              <w:rPr>
                <w:color w:val="auto"/>
              </w:rPr>
            </w:pPr>
            <w:r>
              <w:rPr>
                <w:rFonts w:hint="eastAsia"/>
                <w:color w:val="auto"/>
              </w:rPr>
              <w:t>1.公厕保洁服务项目整体方案，根据方案的合理性、可行性、环保性、可实施性进行打分：</w:t>
            </w:r>
            <w:r>
              <w:rPr>
                <w:rFonts w:hint="eastAsia"/>
                <w:color w:val="auto"/>
              </w:rPr>
              <w:br w:type="textWrapping"/>
            </w:r>
            <w:r>
              <w:rPr>
                <w:rFonts w:hint="eastAsia"/>
                <w:color w:val="auto"/>
              </w:rPr>
              <w:t>方案科学严谨、完善细致、可操作性强得3分；</w:t>
            </w:r>
          </w:p>
          <w:p w14:paraId="47ABFDB0">
            <w:pPr>
              <w:spacing w:line="360" w:lineRule="auto"/>
              <w:jc w:val="left"/>
              <w:rPr>
                <w:color w:val="auto"/>
              </w:rPr>
            </w:pPr>
            <w:r>
              <w:rPr>
                <w:rFonts w:hint="eastAsia"/>
                <w:color w:val="auto"/>
              </w:rPr>
              <w:t>方案基本合理、满足需求的得2分；</w:t>
            </w:r>
          </w:p>
          <w:p w14:paraId="1E5DE185">
            <w:pPr>
              <w:spacing w:line="360" w:lineRule="auto"/>
              <w:jc w:val="left"/>
              <w:rPr>
                <w:color w:val="auto"/>
              </w:rPr>
            </w:pPr>
            <w:r>
              <w:rPr>
                <w:rFonts w:hint="eastAsia"/>
                <w:color w:val="auto"/>
              </w:rPr>
              <w:t>不能满足需求或未提供的得0分；</w:t>
            </w:r>
          </w:p>
        </w:tc>
      </w:tr>
      <w:tr w14:paraId="7C70D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1328" w:type="dxa"/>
            <w:vMerge w:val="continue"/>
            <w:tcBorders>
              <w:left w:val="single" w:color="auto" w:sz="4" w:space="0"/>
              <w:right w:val="single" w:color="auto" w:sz="4" w:space="0"/>
            </w:tcBorders>
            <w:vAlign w:val="center"/>
          </w:tcPr>
          <w:p w14:paraId="038D1F1E">
            <w:pPr>
              <w:spacing w:line="360" w:lineRule="auto"/>
              <w:jc w:val="left"/>
              <w:rPr>
                <w:color w:val="auto"/>
              </w:rPr>
            </w:pPr>
          </w:p>
        </w:tc>
        <w:tc>
          <w:tcPr>
            <w:tcW w:w="2044" w:type="dxa"/>
            <w:vMerge w:val="continue"/>
            <w:tcBorders>
              <w:left w:val="single" w:color="auto" w:sz="4" w:space="0"/>
              <w:right w:val="single" w:color="auto" w:sz="4" w:space="0"/>
            </w:tcBorders>
            <w:vAlign w:val="center"/>
          </w:tcPr>
          <w:p w14:paraId="65AB44E7">
            <w:pPr>
              <w:spacing w:line="360" w:lineRule="auto"/>
              <w:jc w:val="left"/>
              <w:rPr>
                <w:color w:val="auto"/>
              </w:rPr>
            </w:pPr>
          </w:p>
        </w:tc>
        <w:tc>
          <w:tcPr>
            <w:tcW w:w="5946" w:type="dxa"/>
            <w:tcBorders>
              <w:top w:val="single" w:color="auto" w:sz="4" w:space="0"/>
              <w:left w:val="single" w:color="auto" w:sz="4" w:space="0"/>
              <w:right w:val="single" w:color="auto" w:sz="4" w:space="0"/>
            </w:tcBorders>
            <w:vAlign w:val="center"/>
          </w:tcPr>
          <w:p w14:paraId="1092CD57">
            <w:pPr>
              <w:spacing w:line="360" w:lineRule="auto"/>
              <w:jc w:val="left"/>
              <w:rPr>
                <w:color w:val="auto"/>
              </w:rPr>
            </w:pPr>
            <w:r>
              <w:rPr>
                <w:rFonts w:hint="eastAsia"/>
                <w:color w:val="auto"/>
              </w:rPr>
              <w:t>2.本项目实施难点分析及解决措施，提供针对本项目实施的难点分析及解决措施：</w:t>
            </w:r>
          </w:p>
          <w:p w14:paraId="0F267AD5">
            <w:pPr>
              <w:spacing w:line="360" w:lineRule="auto"/>
              <w:jc w:val="left"/>
              <w:rPr>
                <w:color w:val="auto"/>
              </w:rPr>
            </w:pPr>
            <w:r>
              <w:rPr>
                <w:rFonts w:hint="eastAsia"/>
                <w:color w:val="auto"/>
              </w:rPr>
              <w:t>方案科学严谨、完善细致、可操作性强得3分；</w:t>
            </w:r>
          </w:p>
          <w:p w14:paraId="20D0155C">
            <w:pPr>
              <w:spacing w:line="360" w:lineRule="auto"/>
              <w:jc w:val="left"/>
              <w:rPr>
                <w:color w:val="auto"/>
              </w:rPr>
            </w:pPr>
            <w:r>
              <w:rPr>
                <w:rFonts w:hint="eastAsia"/>
                <w:color w:val="auto"/>
              </w:rPr>
              <w:t>方案基本合理、满足需求的得2分；</w:t>
            </w:r>
          </w:p>
          <w:p w14:paraId="6AFDD45D">
            <w:pPr>
              <w:spacing w:line="360" w:lineRule="auto"/>
              <w:jc w:val="left"/>
              <w:rPr>
                <w:color w:val="auto"/>
              </w:rPr>
            </w:pPr>
            <w:r>
              <w:rPr>
                <w:rFonts w:hint="eastAsia"/>
                <w:color w:val="auto"/>
              </w:rPr>
              <w:t>不能满足需求或未提供的得0分；</w:t>
            </w:r>
          </w:p>
        </w:tc>
      </w:tr>
      <w:tr w14:paraId="68D91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4" w:hRule="atLeast"/>
          <w:jc w:val="center"/>
        </w:trPr>
        <w:tc>
          <w:tcPr>
            <w:tcW w:w="1328" w:type="dxa"/>
            <w:vMerge w:val="continue"/>
            <w:tcBorders>
              <w:left w:val="single" w:color="auto" w:sz="4" w:space="0"/>
              <w:right w:val="single" w:color="auto" w:sz="4" w:space="0"/>
            </w:tcBorders>
            <w:vAlign w:val="center"/>
          </w:tcPr>
          <w:p w14:paraId="14F37256">
            <w:pPr>
              <w:spacing w:line="360" w:lineRule="auto"/>
              <w:jc w:val="left"/>
              <w:rPr>
                <w:color w:val="auto"/>
              </w:rPr>
            </w:pPr>
          </w:p>
        </w:tc>
        <w:tc>
          <w:tcPr>
            <w:tcW w:w="2044" w:type="dxa"/>
            <w:vMerge w:val="continue"/>
            <w:tcBorders>
              <w:left w:val="single" w:color="auto" w:sz="4" w:space="0"/>
              <w:right w:val="single" w:color="auto" w:sz="4" w:space="0"/>
            </w:tcBorders>
            <w:vAlign w:val="center"/>
          </w:tcPr>
          <w:p w14:paraId="72AD340B">
            <w:pPr>
              <w:spacing w:line="360" w:lineRule="auto"/>
              <w:jc w:val="left"/>
              <w:rPr>
                <w:color w:val="auto"/>
              </w:rPr>
            </w:pPr>
          </w:p>
        </w:tc>
        <w:tc>
          <w:tcPr>
            <w:tcW w:w="5946" w:type="dxa"/>
            <w:tcBorders>
              <w:top w:val="single" w:color="auto" w:sz="4" w:space="0"/>
              <w:left w:val="single" w:color="auto" w:sz="4" w:space="0"/>
              <w:right w:val="single" w:color="auto" w:sz="4" w:space="0"/>
            </w:tcBorders>
            <w:shd w:val="clear" w:color="auto" w:fill="auto"/>
            <w:vAlign w:val="center"/>
          </w:tcPr>
          <w:p w14:paraId="0B7729DB">
            <w:pPr>
              <w:spacing w:line="360" w:lineRule="auto"/>
              <w:jc w:val="left"/>
              <w:rPr>
                <w:color w:val="auto"/>
              </w:rPr>
            </w:pPr>
            <w:r>
              <w:rPr>
                <w:rFonts w:hint="eastAsia"/>
                <w:color w:val="auto"/>
              </w:rPr>
              <w:t>3.本项目各项管理制度及质量保证措施，提供针对本项目制定的管理制度、质量保证措施：</w:t>
            </w:r>
          </w:p>
          <w:p w14:paraId="32742508">
            <w:pPr>
              <w:spacing w:line="360" w:lineRule="auto"/>
              <w:jc w:val="left"/>
              <w:rPr>
                <w:color w:val="auto"/>
              </w:rPr>
            </w:pPr>
            <w:r>
              <w:rPr>
                <w:rFonts w:hint="eastAsia"/>
                <w:color w:val="auto"/>
              </w:rPr>
              <w:t>方案科学严谨、完善细致、可操作性强得3分；</w:t>
            </w:r>
          </w:p>
          <w:p w14:paraId="3AC32B50">
            <w:pPr>
              <w:spacing w:line="360" w:lineRule="auto"/>
              <w:jc w:val="left"/>
              <w:rPr>
                <w:color w:val="auto"/>
              </w:rPr>
            </w:pPr>
            <w:r>
              <w:rPr>
                <w:rFonts w:hint="eastAsia"/>
                <w:color w:val="auto"/>
              </w:rPr>
              <w:t>方案基本合理、满足需求的得2分；</w:t>
            </w:r>
          </w:p>
          <w:p w14:paraId="30651ED7">
            <w:pPr>
              <w:spacing w:line="360" w:lineRule="auto"/>
              <w:jc w:val="left"/>
              <w:rPr>
                <w:color w:val="auto"/>
              </w:rPr>
            </w:pPr>
            <w:r>
              <w:rPr>
                <w:rFonts w:hint="eastAsia"/>
                <w:color w:val="auto"/>
              </w:rPr>
              <w:t>不能满足需求或未提供的得0分；</w:t>
            </w:r>
          </w:p>
        </w:tc>
      </w:tr>
      <w:tr w14:paraId="64B20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8" w:type="dxa"/>
            <w:vMerge w:val="continue"/>
            <w:tcBorders>
              <w:left w:val="single" w:color="auto" w:sz="4" w:space="0"/>
              <w:right w:val="single" w:color="auto" w:sz="4" w:space="0"/>
            </w:tcBorders>
            <w:vAlign w:val="center"/>
          </w:tcPr>
          <w:p w14:paraId="7E3C0F48">
            <w:pPr>
              <w:spacing w:line="360" w:lineRule="auto"/>
              <w:jc w:val="left"/>
              <w:rPr>
                <w:color w:val="auto"/>
              </w:rPr>
            </w:pPr>
          </w:p>
        </w:tc>
        <w:tc>
          <w:tcPr>
            <w:tcW w:w="2044" w:type="dxa"/>
            <w:vMerge w:val="continue"/>
            <w:tcBorders>
              <w:left w:val="single" w:color="auto" w:sz="4" w:space="0"/>
              <w:right w:val="single" w:color="auto" w:sz="4" w:space="0"/>
            </w:tcBorders>
            <w:vAlign w:val="center"/>
          </w:tcPr>
          <w:p w14:paraId="701B1FE4">
            <w:pPr>
              <w:spacing w:line="360" w:lineRule="auto"/>
              <w:jc w:val="left"/>
              <w:rPr>
                <w:color w:val="auto"/>
              </w:rPr>
            </w:pPr>
          </w:p>
        </w:tc>
        <w:tc>
          <w:tcPr>
            <w:tcW w:w="5946" w:type="dxa"/>
            <w:tcBorders>
              <w:top w:val="single" w:color="auto" w:sz="4" w:space="0"/>
              <w:left w:val="single" w:color="auto" w:sz="4" w:space="0"/>
              <w:right w:val="single" w:color="auto" w:sz="4" w:space="0"/>
            </w:tcBorders>
            <w:shd w:val="clear" w:color="auto" w:fill="auto"/>
            <w:vAlign w:val="center"/>
          </w:tcPr>
          <w:p w14:paraId="52A82570">
            <w:pPr>
              <w:spacing w:line="360" w:lineRule="auto"/>
              <w:jc w:val="left"/>
              <w:rPr>
                <w:color w:val="auto"/>
              </w:rPr>
            </w:pPr>
            <w:r>
              <w:rPr>
                <w:rFonts w:hint="eastAsia"/>
                <w:color w:val="auto"/>
              </w:rPr>
              <w:t>4.本项目人员配置方案及人员培训计划，根据人员职责分工明确性、作业人员培训计划进行打分：</w:t>
            </w:r>
          </w:p>
          <w:p w14:paraId="527905D5">
            <w:pPr>
              <w:spacing w:line="360" w:lineRule="auto"/>
              <w:jc w:val="left"/>
              <w:rPr>
                <w:color w:val="auto"/>
              </w:rPr>
            </w:pPr>
            <w:r>
              <w:rPr>
                <w:rFonts w:hint="eastAsia"/>
                <w:color w:val="auto"/>
              </w:rPr>
              <w:t>方案科学严谨、完善细致、可操作性强得3分；</w:t>
            </w:r>
          </w:p>
          <w:p w14:paraId="0069E7E1">
            <w:pPr>
              <w:spacing w:line="360" w:lineRule="auto"/>
              <w:jc w:val="left"/>
              <w:rPr>
                <w:color w:val="auto"/>
              </w:rPr>
            </w:pPr>
            <w:r>
              <w:rPr>
                <w:rFonts w:hint="eastAsia"/>
                <w:color w:val="auto"/>
              </w:rPr>
              <w:t>方案基本合理、满足需求的得2分；</w:t>
            </w:r>
          </w:p>
          <w:p w14:paraId="2B2FB3FB">
            <w:pPr>
              <w:spacing w:line="360" w:lineRule="auto"/>
              <w:jc w:val="left"/>
              <w:rPr>
                <w:color w:val="auto"/>
              </w:rPr>
            </w:pPr>
            <w:r>
              <w:rPr>
                <w:rFonts w:hint="eastAsia"/>
                <w:color w:val="auto"/>
              </w:rPr>
              <w:t>不能满足需求或未提供的得0分；</w:t>
            </w:r>
          </w:p>
        </w:tc>
      </w:tr>
      <w:tr w14:paraId="03F7B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3" w:hRule="atLeast"/>
          <w:jc w:val="center"/>
        </w:trPr>
        <w:tc>
          <w:tcPr>
            <w:tcW w:w="1328" w:type="dxa"/>
            <w:vMerge w:val="continue"/>
            <w:tcBorders>
              <w:left w:val="single" w:color="auto" w:sz="4" w:space="0"/>
              <w:right w:val="single" w:color="auto" w:sz="4" w:space="0"/>
            </w:tcBorders>
            <w:vAlign w:val="center"/>
          </w:tcPr>
          <w:p w14:paraId="0F68EECC">
            <w:pPr>
              <w:spacing w:line="360" w:lineRule="auto"/>
              <w:jc w:val="left"/>
              <w:rPr>
                <w:color w:val="auto"/>
              </w:rPr>
            </w:pPr>
          </w:p>
        </w:tc>
        <w:tc>
          <w:tcPr>
            <w:tcW w:w="2044" w:type="dxa"/>
            <w:vMerge w:val="continue"/>
            <w:tcBorders>
              <w:left w:val="single" w:color="auto" w:sz="4" w:space="0"/>
              <w:right w:val="single" w:color="auto" w:sz="4" w:space="0"/>
            </w:tcBorders>
            <w:vAlign w:val="center"/>
          </w:tcPr>
          <w:p w14:paraId="381B5213">
            <w:pPr>
              <w:spacing w:line="360" w:lineRule="auto"/>
              <w:jc w:val="left"/>
              <w:rPr>
                <w:color w:val="auto"/>
              </w:rPr>
            </w:pPr>
          </w:p>
        </w:tc>
        <w:tc>
          <w:tcPr>
            <w:tcW w:w="5946" w:type="dxa"/>
            <w:tcBorders>
              <w:top w:val="single" w:color="auto" w:sz="4" w:space="0"/>
              <w:left w:val="single" w:color="auto" w:sz="4" w:space="0"/>
              <w:right w:val="single" w:color="auto" w:sz="4" w:space="0"/>
            </w:tcBorders>
            <w:shd w:val="clear" w:color="auto" w:fill="auto"/>
            <w:vAlign w:val="center"/>
          </w:tcPr>
          <w:p w14:paraId="1E0A7C40">
            <w:pPr>
              <w:spacing w:line="360" w:lineRule="auto"/>
              <w:jc w:val="left"/>
              <w:rPr>
                <w:rFonts w:hint="eastAsia" w:eastAsia="宋体"/>
                <w:color w:val="auto"/>
                <w:lang w:eastAsia="zh-CN"/>
              </w:rPr>
            </w:pPr>
            <w:r>
              <w:rPr>
                <w:rFonts w:hint="eastAsia"/>
                <w:color w:val="auto"/>
              </w:rPr>
              <w:t>5.根据项目内各类突发事件、重大活动、重要检查及各级业务主管部门安排的临时性工作制定的应急方案进行打分</w:t>
            </w:r>
            <w:r>
              <w:rPr>
                <w:rFonts w:hint="eastAsia"/>
                <w:color w:val="auto"/>
                <w:lang w:eastAsia="zh-CN"/>
              </w:rPr>
              <w:t>：</w:t>
            </w:r>
          </w:p>
          <w:p w14:paraId="562C4B68">
            <w:pPr>
              <w:spacing w:line="360" w:lineRule="auto"/>
              <w:jc w:val="left"/>
              <w:rPr>
                <w:color w:val="auto"/>
              </w:rPr>
            </w:pPr>
            <w:r>
              <w:rPr>
                <w:rFonts w:hint="eastAsia"/>
                <w:color w:val="auto"/>
              </w:rPr>
              <w:t>方案科学严谨、完善细致、可操作性强得3分；</w:t>
            </w:r>
          </w:p>
          <w:p w14:paraId="53489373">
            <w:pPr>
              <w:spacing w:line="360" w:lineRule="auto"/>
              <w:jc w:val="left"/>
              <w:rPr>
                <w:color w:val="auto"/>
              </w:rPr>
            </w:pPr>
            <w:r>
              <w:rPr>
                <w:rFonts w:hint="eastAsia"/>
                <w:color w:val="auto"/>
              </w:rPr>
              <w:t>方案基本合理、满足需求的得2分；</w:t>
            </w:r>
          </w:p>
          <w:p w14:paraId="2FB39A4C">
            <w:pPr>
              <w:spacing w:line="360" w:lineRule="auto"/>
              <w:jc w:val="left"/>
              <w:rPr>
                <w:color w:val="auto"/>
              </w:rPr>
            </w:pPr>
            <w:r>
              <w:rPr>
                <w:rFonts w:hint="eastAsia"/>
                <w:color w:val="auto"/>
              </w:rPr>
              <w:t>不能满足需求或未提供的得0分。</w:t>
            </w:r>
          </w:p>
        </w:tc>
      </w:tr>
      <w:tr w14:paraId="24ED7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1328" w:type="dxa"/>
            <w:vMerge w:val="restart"/>
            <w:tcBorders>
              <w:top w:val="single" w:color="auto" w:sz="4" w:space="0"/>
              <w:left w:val="single" w:color="auto" w:sz="4" w:space="0"/>
              <w:right w:val="single" w:color="auto" w:sz="4" w:space="0"/>
            </w:tcBorders>
            <w:vAlign w:val="center"/>
          </w:tcPr>
          <w:p w14:paraId="18C88B19">
            <w:pPr>
              <w:spacing w:line="360" w:lineRule="auto"/>
              <w:jc w:val="left"/>
              <w:rPr>
                <w:color w:val="auto"/>
              </w:rPr>
            </w:pPr>
            <w:r>
              <w:rPr>
                <w:rFonts w:hint="eastAsia"/>
                <w:color w:val="auto"/>
              </w:rPr>
              <w:t>2.2.2(3)</w:t>
            </w:r>
          </w:p>
          <w:p w14:paraId="04EB5C23">
            <w:pPr>
              <w:spacing w:line="360" w:lineRule="auto"/>
              <w:jc w:val="left"/>
              <w:rPr>
                <w:color w:val="auto"/>
              </w:rPr>
            </w:pPr>
            <w:r>
              <w:rPr>
                <w:rFonts w:hint="eastAsia"/>
                <w:color w:val="auto"/>
              </w:rPr>
              <w:t>商务部分</w:t>
            </w:r>
          </w:p>
          <w:p w14:paraId="3E2A242F">
            <w:pPr>
              <w:spacing w:line="360" w:lineRule="auto"/>
              <w:jc w:val="left"/>
              <w:rPr>
                <w:color w:val="auto"/>
              </w:rPr>
            </w:pPr>
            <w:r>
              <w:rPr>
                <w:rFonts w:hint="eastAsia"/>
                <w:color w:val="auto"/>
              </w:rPr>
              <w:t>（55分）</w:t>
            </w: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14:paraId="60B614D4">
            <w:pPr>
              <w:spacing w:line="360" w:lineRule="auto"/>
              <w:jc w:val="left"/>
              <w:rPr>
                <w:color w:val="auto"/>
              </w:rPr>
            </w:pPr>
            <w:r>
              <w:rPr>
                <w:rFonts w:hint="eastAsia"/>
                <w:color w:val="auto"/>
              </w:rPr>
              <w:t>信用等级（3分）</w:t>
            </w:r>
          </w:p>
        </w:tc>
        <w:tc>
          <w:tcPr>
            <w:tcW w:w="5946" w:type="dxa"/>
            <w:tcBorders>
              <w:top w:val="single" w:color="auto" w:sz="4" w:space="0"/>
              <w:left w:val="single" w:color="auto" w:sz="4" w:space="0"/>
              <w:bottom w:val="single" w:color="auto" w:sz="4" w:space="0"/>
              <w:right w:val="single" w:color="auto" w:sz="4" w:space="0"/>
            </w:tcBorders>
            <w:shd w:val="clear" w:color="auto" w:fill="auto"/>
            <w:vAlign w:val="center"/>
          </w:tcPr>
          <w:p w14:paraId="41F2DFF8">
            <w:pPr>
              <w:spacing w:line="360" w:lineRule="auto"/>
              <w:jc w:val="left"/>
              <w:rPr>
                <w:color w:val="auto"/>
              </w:rPr>
            </w:pPr>
            <w:r>
              <w:rPr>
                <w:rFonts w:hint="eastAsia"/>
                <w:color w:val="auto"/>
              </w:rPr>
              <w:t>供应商提供有效期内的信用等级证书。信用等级为AAA级得3分，AA级得2分，A级得1分。（响应文件须附信用等级证书扫描件和证书相关网站查询截图）</w:t>
            </w:r>
          </w:p>
        </w:tc>
      </w:tr>
      <w:tr w14:paraId="4F605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3" w:hRule="atLeast"/>
          <w:jc w:val="center"/>
        </w:trPr>
        <w:tc>
          <w:tcPr>
            <w:tcW w:w="1328" w:type="dxa"/>
            <w:vMerge w:val="continue"/>
            <w:tcBorders>
              <w:left w:val="single" w:color="auto" w:sz="4" w:space="0"/>
              <w:right w:val="single" w:color="auto" w:sz="4" w:space="0"/>
            </w:tcBorders>
            <w:vAlign w:val="center"/>
          </w:tcPr>
          <w:p w14:paraId="09E253A5">
            <w:pPr>
              <w:spacing w:line="360" w:lineRule="auto"/>
              <w:jc w:val="left"/>
              <w:rPr>
                <w:color w:val="auto"/>
              </w:rPr>
            </w:pP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14:paraId="07945936">
            <w:pPr>
              <w:spacing w:line="360" w:lineRule="auto"/>
              <w:jc w:val="left"/>
              <w:rPr>
                <w:color w:val="auto"/>
              </w:rPr>
            </w:pPr>
            <w:r>
              <w:rPr>
                <w:rFonts w:hint="eastAsia"/>
                <w:color w:val="auto"/>
              </w:rPr>
              <w:t>体系认证（3分）</w:t>
            </w:r>
          </w:p>
        </w:tc>
        <w:tc>
          <w:tcPr>
            <w:tcW w:w="5946" w:type="dxa"/>
            <w:tcBorders>
              <w:top w:val="single" w:color="auto" w:sz="4" w:space="0"/>
              <w:left w:val="single" w:color="auto" w:sz="4" w:space="0"/>
              <w:bottom w:val="single" w:color="auto" w:sz="4" w:space="0"/>
              <w:right w:val="single" w:color="auto" w:sz="4" w:space="0"/>
            </w:tcBorders>
            <w:shd w:val="clear" w:color="auto" w:fill="auto"/>
            <w:vAlign w:val="center"/>
          </w:tcPr>
          <w:p w14:paraId="07DB054E">
            <w:pPr>
              <w:spacing w:line="360" w:lineRule="auto"/>
              <w:jc w:val="left"/>
              <w:rPr>
                <w:color w:val="auto"/>
              </w:rPr>
            </w:pPr>
            <w:r>
              <w:rPr>
                <w:rFonts w:hint="eastAsia"/>
                <w:color w:val="auto"/>
              </w:rPr>
              <w:t>供应商须通过ISO质量管理体系、环境管理体系、职业健康安全管理体系认证，证书在有效期内，认证范围：物业管理或保洁服务或类似相关服务，每提供1项得1分，最多得3分。（响应文件须附证书扫描件和全国认证认可信息公共服务平台查询截图）</w:t>
            </w:r>
          </w:p>
        </w:tc>
      </w:tr>
      <w:tr w14:paraId="713BE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8" w:type="dxa"/>
            <w:vMerge w:val="continue"/>
            <w:tcBorders>
              <w:left w:val="single" w:color="auto" w:sz="4" w:space="0"/>
              <w:right w:val="single" w:color="auto" w:sz="4" w:space="0"/>
            </w:tcBorders>
            <w:vAlign w:val="center"/>
          </w:tcPr>
          <w:p w14:paraId="52F8D34E">
            <w:pPr>
              <w:spacing w:line="360" w:lineRule="auto"/>
              <w:jc w:val="left"/>
              <w:rPr>
                <w:color w:val="auto"/>
              </w:rPr>
            </w:pP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14:paraId="749780BA">
            <w:pPr>
              <w:spacing w:line="360" w:lineRule="auto"/>
              <w:jc w:val="left"/>
              <w:rPr>
                <w:color w:val="auto"/>
              </w:rPr>
            </w:pPr>
            <w:r>
              <w:rPr>
                <w:rFonts w:hint="eastAsia"/>
                <w:color w:val="auto"/>
              </w:rPr>
              <w:t>企业荣誉</w:t>
            </w:r>
            <w:r>
              <w:rPr>
                <w:rFonts w:hint="eastAsia"/>
                <w:color w:val="auto"/>
                <w:shd w:val="clear" w:color="auto" w:fill="FFFFFF" w:themeFill="background1"/>
              </w:rPr>
              <w:t>（18分）</w:t>
            </w:r>
          </w:p>
        </w:tc>
        <w:tc>
          <w:tcPr>
            <w:tcW w:w="5946" w:type="dxa"/>
            <w:tcBorders>
              <w:top w:val="single" w:color="auto" w:sz="4" w:space="0"/>
              <w:left w:val="single" w:color="auto" w:sz="4" w:space="0"/>
              <w:bottom w:val="single" w:color="auto" w:sz="4" w:space="0"/>
              <w:right w:val="single" w:color="auto" w:sz="4" w:space="0"/>
            </w:tcBorders>
            <w:shd w:val="clear" w:color="auto" w:fill="auto"/>
            <w:vAlign w:val="center"/>
          </w:tcPr>
          <w:p w14:paraId="36903FBD">
            <w:pPr>
              <w:spacing w:line="360" w:lineRule="auto"/>
              <w:jc w:val="left"/>
              <w:rPr>
                <w:color w:val="auto"/>
              </w:rPr>
            </w:pPr>
            <w:r>
              <w:rPr>
                <w:rFonts w:hint="eastAsia"/>
                <w:color w:val="auto"/>
              </w:rPr>
              <w:t>1.供应商</w:t>
            </w:r>
            <w:r>
              <w:rPr>
                <w:rFonts w:hint="eastAsia"/>
                <w:color w:val="auto"/>
                <w:lang w:val="zh-CN"/>
              </w:rPr>
              <w:t>获得国家级、省级、市级</w:t>
            </w:r>
            <w:r>
              <w:rPr>
                <w:rFonts w:hint="eastAsia"/>
                <w:color w:val="auto"/>
              </w:rPr>
              <w:t>政府部门授予的品牌荣誉或先进单位称号的</w:t>
            </w:r>
            <w:r>
              <w:rPr>
                <w:rFonts w:hint="eastAsia"/>
                <w:color w:val="auto"/>
                <w:lang w:val="zh-CN"/>
              </w:rPr>
              <w:t>。获得国家级政府部门的得</w:t>
            </w:r>
            <w:r>
              <w:rPr>
                <w:rFonts w:hint="eastAsia"/>
                <w:color w:val="auto"/>
              </w:rPr>
              <w:t>6</w:t>
            </w:r>
            <w:r>
              <w:rPr>
                <w:rFonts w:hint="eastAsia"/>
                <w:color w:val="auto"/>
                <w:lang w:val="zh-CN"/>
              </w:rPr>
              <w:t>分，省级政府部门的得3分，市级政府部门的得1分，最多得</w:t>
            </w:r>
            <w:r>
              <w:rPr>
                <w:rFonts w:hint="eastAsia"/>
                <w:color w:val="auto"/>
              </w:rPr>
              <w:t>6</w:t>
            </w:r>
            <w:r>
              <w:rPr>
                <w:rFonts w:hint="eastAsia"/>
                <w:color w:val="auto"/>
                <w:lang w:val="zh-CN"/>
              </w:rPr>
              <w:t>分，</w:t>
            </w:r>
            <w:r>
              <w:rPr>
                <w:rFonts w:hint="eastAsia"/>
                <w:color w:val="auto"/>
              </w:rPr>
              <w:t>未提供不得分</w:t>
            </w:r>
            <w:r>
              <w:rPr>
                <w:rFonts w:hint="eastAsia"/>
                <w:color w:val="auto"/>
                <w:lang w:val="zh-CN"/>
              </w:rPr>
              <w:t>。</w:t>
            </w:r>
            <w:r>
              <w:rPr>
                <w:rFonts w:hint="eastAsia"/>
                <w:color w:val="auto"/>
              </w:rPr>
              <w:t>(响应文件须附相关证书</w:t>
            </w:r>
            <w:r>
              <w:rPr>
                <w:rFonts w:hint="eastAsia"/>
                <w:color w:val="auto"/>
                <w:lang w:val="en-US" w:eastAsia="zh-CN"/>
              </w:rPr>
              <w:t>或红头文件</w:t>
            </w:r>
            <w:r>
              <w:rPr>
                <w:rFonts w:hint="eastAsia"/>
                <w:color w:val="auto"/>
              </w:rPr>
              <w:t>扫描件)</w:t>
            </w:r>
            <w:r>
              <w:rPr>
                <w:rFonts w:hint="eastAsia"/>
                <w:color w:val="auto"/>
              </w:rPr>
              <w:br w:type="textWrapping"/>
            </w:r>
            <w:r>
              <w:rPr>
                <w:rFonts w:hint="eastAsia"/>
                <w:color w:val="auto"/>
              </w:rPr>
              <w:t>2.供应商获得过“省级服务业标准化示范项目”的得6分，获得过“市级服务业标准化示范项目”的得3分，</w:t>
            </w:r>
            <w:r>
              <w:rPr>
                <w:rFonts w:hint="eastAsia"/>
                <w:color w:val="auto"/>
                <w:lang w:val="zh-CN"/>
              </w:rPr>
              <w:t>最多得</w:t>
            </w:r>
            <w:r>
              <w:rPr>
                <w:rFonts w:hint="eastAsia"/>
                <w:color w:val="auto"/>
              </w:rPr>
              <w:t>6</w:t>
            </w:r>
            <w:r>
              <w:rPr>
                <w:rFonts w:hint="eastAsia"/>
                <w:color w:val="auto"/>
                <w:lang w:val="zh-CN"/>
              </w:rPr>
              <w:t>分，</w:t>
            </w:r>
            <w:r>
              <w:rPr>
                <w:rFonts w:hint="eastAsia"/>
                <w:color w:val="auto"/>
              </w:rPr>
              <w:t>未提供不得分。(响应文件须附省级或市级市场监督管理局的红头文件扫描件)</w:t>
            </w:r>
          </w:p>
          <w:p w14:paraId="258AD622">
            <w:pPr>
              <w:spacing w:line="360" w:lineRule="auto"/>
              <w:jc w:val="left"/>
              <w:rPr>
                <w:color w:val="auto"/>
              </w:rPr>
            </w:pPr>
            <w:r>
              <w:rPr>
                <w:rFonts w:hint="eastAsia"/>
                <w:color w:val="auto"/>
              </w:rPr>
              <w:t>3.供应商有连续三年被政府部门评为文明诚信企业类荣誉的得2分，有连续五年被政府部门评为文明诚信企业类荣誉的得3分，未提供不得分。（响应文件须附政府表彰文件扫描件，有效时间以红头文件落款时间为准）</w:t>
            </w:r>
          </w:p>
          <w:p w14:paraId="70BAAB6E">
            <w:pPr>
              <w:spacing w:line="360" w:lineRule="auto"/>
              <w:jc w:val="left"/>
              <w:rPr>
                <w:rFonts w:hint="eastAsia" w:eastAsia="宋体"/>
                <w:color w:val="auto"/>
                <w:lang w:eastAsia="zh-CN"/>
              </w:rPr>
            </w:pPr>
            <w:r>
              <w:rPr>
                <w:rFonts w:hint="eastAsia"/>
                <w:color w:val="auto"/>
              </w:rPr>
              <w:t>4.供应商参与起草并经政府主管部门发布并实施市级及以上服务业地方标准的，参与一项省级标准得3分，市级标准得1分，</w:t>
            </w:r>
            <w:r>
              <w:rPr>
                <w:rFonts w:hint="eastAsia"/>
                <w:color w:val="auto"/>
                <w:lang w:val="zh-CN"/>
              </w:rPr>
              <w:t>最多得</w:t>
            </w:r>
            <w:r>
              <w:rPr>
                <w:rFonts w:hint="eastAsia"/>
                <w:color w:val="auto"/>
                <w:lang w:val="en-US" w:eastAsia="zh-CN"/>
              </w:rPr>
              <w:t>3</w:t>
            </w:r>
            <w:r>
              <w:rPr>
                <w:rFonts w:hint="eastAsia"/>
                <w:color w:val="auto"/>
                <w:lang w:val="zh-CN"/>
              </w:rPr>
              <w:t>分，</w:t>
            </w:r>
            <w:r>
              <w:rPr>
                <w:rFonts w:hint="eastAsia"/>
                <w:color w:val="auto"/>
              </w:rPr>
              <w:t>未提供不得分</w:t>
            </w:r>
            <w:r>
              <w:rPr>
                <w:rFonts w:hint="eastAsia"/>
                <w:color w:val="auto"/>
                <w:lang w:eastAsia="zh-CN"/>
              </w:rPr>
              <w:t>。（</w:t>
            </w:r>
            <w:r>
              <w:rPr>
                <w:rFonts w:hint="eastAsia"/>
                <w:color w:val="auto"/>
              </w:rPr>
              <w:t>响应文件须附</w:t>
            </w:r>
            <w:r>
              <w:rPr>
                <w:rFonts w:hint="eastAsia"/>
                <w:color w:val="auto"/>
                <w:lang w:val="en-US" w:eastAsia="zh-CN"/>
              </w:rPr>
              <w:t>政府主管部门印发的</w:t>
            </w:r>
            <w:r>
              <w:rPr>
                <w:rFonts w:hint="eastAsia"/>
                <w:color w:val="auto"/>
              </w:rPr>
              <w:t>相关标准文件</w:t>
            </w:r>
            <w:r>
              <w:rPr>
                <w:rFonts w:hint="eastAsia"/>
                <w:color w:val="auto"/>
                <w:lang w:val="en-US" w:eastAsia="zh-CN"/>
              </w:rPr>
              <w:t>扫描件</w:t>
            </w:r>
            <w:r>
              <w:rPr>
                <w:rFonts w:hint="eastAsia"/>
                <w:color w:val="auto"/>
                <w:lang w:eastAsia="zh-CN"/>
              </w:rPr>
              <w:t>）</w:t>
            </w:r>
          </w:p>
        </w:tc>
      </w:tr>
      <w:tr w14:paraId="2ED41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tcW w:w="1328" w:type="dxa"/>
            <w:vMerge w:val="continue"/>
            <w:tcBorders>
              <w:left w:val="single" w:color="auto" w:sz="4" w:space="0"/>
              <w:right w:val="single" w:color="auto" w:sz="4" w:space="0"/>
            </w:tcBorders>
            <w:vAlign w:val="center"/>
          </w:tcPr>
          <w:p w14:paraId="46B04D17">
            <w:pPr>
              <w:spacing w:line="360" w:lineRule="auto"/>
              <w:jc w:val="left"/>
              <w:rPr>
                <w:color w:val="auto"/>
              </w:rPr>
            </w:pP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14:paraId="01304EBB">
            <w:pPr>
              <w:spacing w:line="360" w:lineRule="auto"/>
              <w:jc w:val="left"/>
              <w:rPr>
                <w:color w:val="auto"/>
              </w:rPr>
            </w:pPr>
            <w:r>
              <w:rPr>
                <w:rFonts w:hint="eastAsia"/>
                <w:color w:val="auto"/>
              </w:rPr>
              <w:t>人员配备（10分）</w:t>
            </w:r>
          </w:p>
        </w:tc>
        <w:tc>
          <w:tcPr>
            <w:tcW w:w="5946" w:type="dxa"/>
            <w:tcBorders>
              <w:top w:val="single" w:color="auto" w:sz="4" w:space="0"/>
              <w:left w:val="single" w:color="auto" w:sz="4" w:space="0"/>
              <w:bottom w:val="single" w:color="auto" w:sz="4" w:space="0"/>
              <w:right w:val="single" w:color="auto" w:sz="4" w:space="0"/>
            </w:tcBorders>
            <w:shd w:val="clear" w:color="auto" w:fill="auto"/>
            <w:vAlign w:val="center"/>
          </w:tcPr>
          <w:p w14:paraId="04964296">
            <w:pPr>
              <w:spacing w:line="360" w:lineRule="auto"/>
              <w:jc w:val="left"/>
              <w:rPr>
                <w:color w:val="auto"/>
              </w:rPr>
            </w:pPr>
            <w:r>
              <w:rPr>
                <w:rFonts w:hint="eastAsia"/>
                <w:color w:val="auto"/>
              </w:rPr>
              <w:t>1.供应商拟派项目经理具备以下条件：40周岁及以下，具有本科及以上学历，同时具有全国物业项目经理证的得5分。（提供身份证、毕业证及学信网查询截图、提供相关证书及网上查询截图，同时提供本单位为其缴纳的近一年任意3个月社保证明。缺项不得分）</w:t>
            </w:r>
          </w:p>
          <w:p w14:paraId="3DF060C0">
            <w:pPr>
              <w:spacing w:line="360" w:lineRule="auto"/>
              <w:jc w:val="left"/>
              <w:rPr>
                <w:color w:val="auto"/>
              </w:rPr>
            </w:pPr>
            <w:r>
              <w:rPr>
                <w:rFonts w:hint="eastAsia"/>
                <w:color w:val="auto"/>
              </w:rPr>
              <w:t>2.供应商拟派保洁主管具备以下条件：55周岁及以下，具有保洁员技能等级证书的得3分。（提供身份证、证书及同时提供本单位为其缴纳的近一年任意3个月社保证明。缺项不得分）。</w:t>
            </w:r>
          </w:p>
          <w:p w14:paraId="51717ED8">
            <w:pPr>
              <w:spacing w:line="360" w:lineRule="auto"/>
              <w:jc w:val="left"/>
              <w:rPr>
                <w:color w:val="auto"/>
              </w:rPr>
            </w:pPr>
            <w:r>
              <w:rPr>
                <w:rFonts w:hint="eastAsia"/>
                <w:color w:val="auto"/>
              </w:rPr>
              <w:t>3.供应商拟派员工参加省级或市级技能大赛并获得相关荣誉证书的，省级荣誉得2分，市级荣誉得1分，</w:t>
            </w:r>
            <w:r>
              <w:rPr>
                <w:rFonts w:hint="eastAsia"/>
                <w:color w:val="auto"/>
                <w:lang w:val="zh-CN"/>
              </w:rPr>
              <w:t>最多得</w:t>
            </w:r>
            <w:r>
              <w:rPr>
                <w:rFonts w:hint="eastAsia"/>
                <w:color w:val="auto"/>
                <w:lang w:val="en-US" w:eastAsia="zh-CN"/>
              </w:rPr>
              <w:t>2</w:t>
            </w:r>
            <w:r>
              <w:rPr>
                <w:rFonts w:hint="eastAsia"/>
                <w:color w:val="auto"/>
                <w:lang w:val="zh-CN"/>
              </w:rPr>
              <w:t>分，</w:t>
            </w:r>
            <w:r>
              <w:rPr>
                <w:rFonts w:hint="eastAsia"/>
                <w:color w:val="auto"/>
              </w:rPr>
              <w:t>未提供不得分。（响应文件须附荣誉证书扫描件，同时提供本单位为其缴纳的近一年任意3个月社保证明。缺项不得分）</w:t>
            </w:r>
          </w:p>
        </w:tc>
      </w:tr>
      <w:tr w14:paraId="4E419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tcW w:w="1328" w:type="dxa"/>
            <w:vMerge w:val="continue"/>
            <w:tcBorders>
              <w:left w:val="single" w:color="auto" w:sz="4" w:space="0"/>
              <w:right w:val="single" w:color="auto" w:sz="4" w:space="0"/>
            </w:tcBorders>
            <w:vAlign w:val="center"/>
          </w:tcPr>
          <w:p w14:paraId="10A24286">
            <w:pPr>
              <w:spacing w:line="360" w:lineRule="auto"/>
              <w:jc w:val="left"/>
              <w:rPr>
                <w:color w:val="auto"/>
              </w:rPr>
            </w:pP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14:paraId="0DF1C34D">
            <w:pPr>
              <w:spacing w:line="360" w:lineRule="auto"/>
              <w:jc w:val="left"/>
              <w:rPr>
                <w:color w:val="auto"/>
                <w:highlight w:val="red"/>
              </w:rPr>
            </w:pPr>
            <w:r>
              <w:rPr>
                <w:rFonts w:hint="eastAsia"/>
                <w:color w:val="auto"/>
              </w:rPr>
              <w:t>设备配置（13分）</w:t>
            </w:r>
          </w:p>
        </w:tc>
        <w:tc>
          <w:tcPr>
            <w:tcW w:w="5946" w:type="dxa"/>
            <w:tcBorders>
              <w:top w:val="single" w:color="auto" w:sz="4" w:space="0"/>
              <w:left w:val="single" w:color="auto" w:sz="4" w:space="0"/>
              <w:bottom w:val="single" w:color="auto" w:sz="4" w:space="0"/>
              <w:right w:val="single" w:color="auto" w:sz="4" w:space="0"/>
            </w:tcBorders>
            <w:shd w:val="clear" w:color="auto" w:fill="auto"/>
            <w:vAlign w:val="center"/>
          </w:tcPr>
          <w:p w14:paraId="69F514CF">
            <w:pPr>
              <w:spacing w:line="360" w:lineRule="auto"/>
              <w:jc w:val="left"/>
              <w:rPr>
                <w:color w:val="auto"/>
              </w:rPr>
            </w:pPr>
            <w:r>
              <w:rPr>
                <w:rFonts w:hint="eastAsia"/>
                <w:color w:val="auto"/>
              </w:rPr>
              <w:t>1.供应商具有电动全封闭垃圾清运车的得4分，</w:t>
            </w:r>
            <w:r>
              <w:rPr>
                <w:rFonts w:hint="eastAsia"/>
                <w:color w:val="auto"/>
                <w:lang w:val="en-US" w:eastAsia="zh-CN"/>
              </w:rPr>
              <w:t>未提供</w:t>
            </w:r>
            <w:r>
              <w:rPr>
                <w:rFonts w:hint="eastAsia"/>
                <w:color w:val="auto"/>
              </w:rPr>
              <w:t>不得分。（响应文件须附购车发票或租赁协议扫描件）。</w:t>
            </w:r>
          </w:p>
          <w:p w14:paraId="3A2A2960">
            <w:pPr>
              <w:spacing w:line="360" w:lineRule="auto"/>
              <w:jc w:val="left"/>
              <w:rPr>
                <w:color w:val="auto"/>
              </w:rPr>
            </w:pPr>
            <w:r>
              <w:rPr>
                <w:rFonts w:hint="eastAsia"/>
                <w:color w:val="auto"/>
              </w:rPr>
              <w:t>2.供应商具备吸粪车辆的得4分，</w:t>
            </w:r>
            <w:r>
              <w:rPr>
                <w:rFonts w:hint="eastAsia"/>
                <w:color w:val="auto"/>
                <w:lang w:val="en-US" w:eastAsia="zh-CN"/>
              </w:rPr>
              <w:t>未提供</w:t>
            </w:r>
            <w:r>
              <w:rPr>
                <w:rFonts w:hint="eastAsia"/>
                <w:color w:val="auto"/>
              </w:rPr>
              <w:t>不得分。（响应文件须附购车发票扫描件或租赁协议扫描件）。</w:t>
            </w:r>
          </w:p>
          <w:p w14:paraId="4EC265EC">
            <w:pPr>
              <w:spacing w:line="360" w:lineRule="auto"/>
              <w:jc w:val="left"/>
              <w:rPr>
                <w:color w:val="auto"/>
                <w:highlight w:val="red"/>
              </w:rPr>
            </w:pPr>
            <w:r>
              <w:rPr>
                <w:rFonts w:hint="eastAsia"/>
                <w:color w:val="auto"/>
              </w:rPr>
              <w:t>3.供应商具备专业设备：电动保洁车，每提供一辆得1分，最多得5分。（响应文件须附购车发票或租赁协议扫描件）。</w:t>
            </w:r>
          </w:p>
        </w:tc>
      </w:tr>
      <w:tr w14:paraId="2117B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1328" w:type="dxa"/>
            <w:vMerge w:val="continue"/>
            <w:tcBorders>
              <w:left w:val="single" w:color="auto" w:sz="4" w:space="0"/>
              <w:right w:val="single" w:color="auto" w:sz="4" w:space="0"/>
            </w:tcBorders>
            <w:vAlign w:val="center"/>
          </w:tcPr>
          <w:p w14:paraId="1993F175">
            <w:pPr>
              <w:spacing w:line="360" w:lineRule="auto"/>
              <w:jc w:val="left"/>
              <w:rPr>
                <w:color w:val="auto"/>
              </w:rPr>
            </w:pP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14:paraId="739AC598">
            <w:pPr>
              <w:spacing w:line="360" w:lineRule="auto"/>
              <w:jc w:val="left"/>
              <w:rPr>
                <w:color w:val="auto"/>
              </w:rPr>
            </w:pPr>
            <w:r>
              <w:rPr>
                <w:rFonts w:hint="eastAsia"/>
                <w:color w:val="auto"/>
              </w:rPr>
              <w:t>企业业绩（8分）</w:t>
            </w:r>
          </w:p>
        </w:tc>
        <w:tc>
          <w:tcPr>
            <w:tcW w:w="5946" w:type="dxa"/>
            <w:tcBorders>
              <w:top w:val="single" w:color="auto" w:sz="4" w:space="0"/>
              <w:left w:val="single" w:color="auto" w:sz="4" w:space="0"/>
              <w:bottom w:val="single" w:color="auto" w:sz="4" w:space="0"/>
              <w:right w:val="single" w:color="auto" w:sz="4" w:space="0"/>
            </w:tcBorders>
            <w:shd w:val="clear" w:color="auto" w:fill="auto"/>
            <w:vAlign w:val="center"/>
          </w:tcPr>
          <w:p w14:paraId="7C46BA8A">
            <w:pPr>
              <w:spacing w:line="360" w:lineRule="auto"/>
              <w:jc w:val="left"/>
              <w:rPr>
                <w:color w:val="auto"/>
              </w:rPr>
            </w:pPr>
            <w:r>
              <w:rPr>
                <w:rFonts w:hint="eastAsia"/>
                <w:color w:val="auto"/>
              </w:rPr>
              <w:t>提供2023年1月1日以来（以合同签订时间为准）承接过保洁</w:t>
            </w:r>
            <w:r>
              <w:rPr>
                <w:rFonts w:hint="eastAsia"/>
                <w:color w:val="auto"/>
                <w:lang w:val="en-US" w:eastAsia="zh-CN"/>
              </w:rPr>
              <w:t>类似</w:t>
            </w:r>
            <w:r>
              <w:rPr>
                <w:rFonts w:hint="eastAsia"/>
                <w:color w:val="auto"/>
              </w:rPr>
              <w:t>业绩，提供1份得4分，最多得8分。（响应文件须附成交通知书、成交结果公告截图、业绩合同，缺项不得分。）</w:t>
            </w:r>
          </w:p>
        </w:tc>
      </w:tr>
    </w:tbl>
    <w:p w14:paraId="006B081C">
      <w:pPr>
        <w:spacing w:line="360" w:lineRule="auto"/>
        <w:jc w:val="left"/>
        <w:rPr>
          <w:color w:val="auto"/>
        </w:rPr>
      </w:pPr>
    </w:p>
    <w:p w14:paraId="2F24B0FC">
      <w:pPr>
        <w:widowControl w:val="0"/>
        <w:autoSpaceDE w:val="0"/>
        <w:autoSpaceDN w:val="0"/>
        <w:spacing w:line="360" w:lineRule="auto"/>
        <w:ind w:firstLine="422" w:firstLineChars="200"/>
        <w:jc w:val="left"/>
        <w:textAlignment w:val="auto"/>
        <w:rPr>
          <w:rFonts w:ascii="宋体" w:hAnsi="宋体" w:cs="宋体"/>
          <w:b/>
          <w:color w:val="auto"/>
          <w:szCs w:val="21"/>
          <w:lang w:bidi="zh-CN"/>
        </w:rPr>
      </w:pPr>
      <w:r>
        <w:rPr>
          <w:rFonts w:hint="eastAsia" w:ascii="宋体" w:hAnsi="宋体" w:cs="宋体"/>
          <w:b/>
          <w:color w:val="auto"/>
          <w:szCs w:val="21"/>
          <w:lang w:bidi="zh-CN"/>
        </w:rPr>
        <w:t>注：以上涉及证书、证件、合同等相关证明资料应于响应文件中提供扫描件，否则对应项不得分；供应商自行承诺、提供的相关资料等不实的，按《政府采购法》有关提供虚假材料的规定给予处罚。</w:t>
      </w:r>
    </w:p>
    <w:p w14:paraId="31AD385A">
      <w:pPr>
        <w:widowControl w:val="0"/>
        <w:autoSpaceDE w:val="0"/>
        <w:autoSpaceDN w:val="0"/>
        <w:spacing w:line="360" w:lineRule="auto"/>
        <w:ind w:firstLine="482" w:firstLineChars="200"/>
        <w:jc w:val="left"/>
        <w:textAlignment w:val="auto"/>
        <w:rPr>
          <w:rFonts w:ascii="宋体" w:hAnsi="宋体" w:cs="宋体"/>
          <w:b/>
          <w:bCs/>
          <w:color w:val="auto"/>
          <w:sz w:val="24"/>
          <w:szCs w:val="24"/>
          <w:lang w:bidi="zh-CN"/>
        </w:rPr>
      </w:pPr>
      <w:r>
        <w:rPr>
          <w:rFonts w:hint="eastAsia" w:ascii="宋体" w:hAnsi="宋体" w:cs="宋体"/>
          <w:b/>
          <w:bCs/>
          <w:color w:val="auto"/>
          <w:sz w:val="24"/>
          <w:szCs w:val="24"/>
          <w:lang w:bidi="zh-CN"/>
        </w:rPr>
        <w:t>1.评审方法（评定成交的标准）</w:t>
      </w:r>
    </w:p>
    <w:p w14:paraId="60637B4D">
      <w:pPr>
        <w:widowControl w:val="0"/>
        <w:autoSpaceDE w:val="0"/>
        <w:autoSpaceDN w:val="0"/>
        <w:spacing w:line="360" w:lineRule="auto"/>
        <w:ind w:firstLine="480" w:firstLineChars="200"/>
        <w:jc w:val="left"/>
        <w:textAlignment w:val="auto"/>
        <w:rPr>
          <w:rFonts w:ascii="宋体" w:hAnsi="宋体" w:cs="宋体"/>
          <w:bCs/>
          <w:color w:val="auto"/>
          <w:sz w:val="24"/>
          <w:szCs w:val="24"/>
          <w:lang w:bidi="zh-CN"/>
        </w:rPr>
      </w:pPr>
      <w:r>
        <w:rPr>
          <w:rFonts w:hint="eastAsia" w:ascii="宋体" w:hAnsi="宋体" w:cs="宋体"/>
          <w:bCs/>
          <w:color w:val="auto"/>
          <w:sz w:val="24"/>
          <w:szCs w:val="24"/>
          <w:lang w:bidi="zh-CN"/>
        </w:rPr>
        <w:t>本次政府采购项目（标段&lt;包&gt;）的评审方法采用《政府采购竞争性磋商采购方式管理暂行办法》中的“综合评分法”，由磋商小组采用综合评分法对提交最后报价的供应商的《响应文件》和最后报价进行综合评分，《响应文件》满足磋商文件全部实质性要求且按评审因素的量化指标评审得分最高的供应商为该项目（标段&lt;包&gt;）成交候选供应商。</w:t>
      </w:r>
    </w:p>
    <w:p w14:paraId="7CF6955A">
      <w:pPr>
        <w:widowControl w:val="0"/>
        <w:autoSpaceDE w:val="0"/>
        <w:autoSpaceDN w:val="0"/>
        <w:spacing w:line="360" w:lineRule="auto"/>
        <w:ind w:firstLine="482" w:firstLineChars="200"/>
        <w:jc w:val="left"/>
        <w:textAlignment w:val="auto"/>
        <w:rPr>
          <w:rFonts w:ascii="宋体" w:hAnsi="宋体" w:cs="宋体"/>
          <w:b/>
          <w:bCs/>
          <w:color w:val="auto"/>
          <w:sz w:val="24"/>
          <w:szCs w:val="24"/>
          <w:lang w:bidi="zh-CN"/>
        </w:rPr>
      </w:pPr>
      <w:r>
        <w:rPr>
          <w:rFonts w:hint="eastAsia" w:ascii="宋体" w:hAnsi="宋体" w:cs="宋体"/>
          <w:b/>
          <w:bCs/>
          <w:color w:val="auto"/>
          <w:sz w:val="24"/>
          <w:szCs w:val="24"/>
          <w:lang w:bidi="zh-CN"/>
        </w:rPr>
        <w:t>2.评审标准</w:t>
      </w:r>
    </w:p>
    <w:p w14:paraId="3F43686B">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2.1</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初步评审标准</w:t>
      </w:r>
    </w:p>
    <w:p w14:paraId="7B940632">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2.1.1</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资格性审查标准：见评审办法前附表。</w:t>
      </w:r>
    </w:p>
    <w:p w14:paraId="6D0D766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2.1.2</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符合性审查标准：见评审办法前附表。</w:t>
      </w:r>
    </w:p>
    <w:p w14:paraId="23D551D6">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2.2 详细评审标准</w:t>
      </w:r>
    </w:p>
    <w:p w14:paraId="32A06308">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2.2.1 分值构成：见评审办法前附表</w:t>
      </w:r>
    </w:p>
    <w:p w14:paraId="22565529">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2.2.2 评分标准：见评审办法前附表</w:t>
      </w:r>
    </w:p>
    <w:p w14:paraId="2C9C3C22">
      <w:pPr>
        <w:widowControl w:val="0"/>
        <w:autoSpaceDE w:val="0"/>
        <w:autoSpaceDN w:val="0"/>
        <w:spacing w:line="360" w:lineRule="auto"/>
        <w:ind w:firstLine="482" w:firstLineChars="200"/>
        <w:jc w:val="left"/>
        <w:textAlignment w:val="auto"/>
        <w:rPr>
          <w:rFonts w:ascii="宋体" w:hAnsi="宋体" w:cs="宋体"/>
          <w:b/>
          <w:bCs/>
          <w:color w:val="auto"/>
          <w:sz w:val="24"/>
          <w:szCs w:val="24"/>
          <w:lang w:bidi="zh-CN"/>
        </w:rPr>
      </w:pPr>
      <w:r>
        <w:rPr>
          <w:rFonts w:hint="eastAsia" w:ascii="宋体" w:hAnsi="宋体" w:cs="宋体"/>
          <w:b/>
          <w:bCs/>
          <w:color w:val="auto"/>
          <w:sz w:val="24"/>
          <w:szCs w:val="24"/>
          <w:lang w:bidi="zh-CN"/>
        </w:rPr>
        <w:t>3.评审程序</w:t>
      </w:r>
    </w:p>
    <w:p w14:paraId="2B48FF19">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磋商小组按标段（包）进行评审</w:t>
      </w:r>
    </w:p>
    <w:p w14:paraId="4C1BACB8">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3.1 确认《磋商文件》</w:t>
      </w:r>
    </w:p>
    <w:p w14:paraId="6E534F2A">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3.1.1 磋商小组确认《磋商文件》，《磋商文件》内容违反国家有关强制性规定的，磋商小组应当停止评审并向采购人或者采购代理机构书面说明情况。</w:t>
      </w:r>
    </w:p>
    <w:p w14:paraId="40A186D0">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3.1.2 磋商小组要求解释《磋商文件》的，书面提出需解释的相关《磋商文件》的具体内容后、由采购代理机构或者采购人进行书面解释。</w:t>
      </w:r>
    </w:p>
    <w:p w14:paraId="6830AF89">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 初步评审</w:t>
      </w:r>
    </w:p>
    <w:p w14:paraId="036FFCFA">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3.2.1 磋商小组依据本章第2.1.1、2.1.2款规定的标准对《响应文件》进行资格性、符合性评审。有一项不符合评审标准的，作无效响应处理。</w:t>
      </w:r>
    </w:p>
    <w:p w14:paraId="6A8F288A">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3.2.2 供应商有以下情形之一的，其投标作无效响应处理：</w:t>
      </w:r>
    </w:p>
    <w:p w14:paraId="48A0F00E">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（1）供应商不符合国家或者《磋商文件》规定的资格条件；</w:t>
      </w:r>
    </w:p>
    <w:p w14:paraId="4B09BBA0">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（2）供应商没有按照《磋商文件》要求提供投标承诺函；</w:t>
      </w:r>
    </w:p>
    <w:p w14:paraId="0D6EE214">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（3）投标联合体不符合《磋商文件》规定；</w:t>
      </w:r>
    </w:p>
    <w:p w14:paraId="448A403C">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（4）《响应文件》的签字盖章不符合《磋商文件》规定；</w:t>
      </w:r>
    </w:p>
    <w:p w14:paraId="328CBAA6">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（5）磋商报价高于竞争性磋商公告公布的预算金额；</w:t>
      </w:r>
    </w:p>
    <w:p w14:paraId="31777129">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（6）同一供应商提交两个以上不同的《响应文件》或者磋商报价，《响应文件》的每种报价有两个报价或其他选择性报价的；</w:t>
      </w:r>
    </w:p>
    <w:p w14:paraId="60B1C940">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（7）《响应文件》没有对《磋商文件》的实质性要求和条件作出实质性响应，或不符合《磋商文件》的实质性要求和条件；</w:t>
      </w:r>
    </w:p>
    <w:p w14:paraId="75EF4875">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（8）《响应文件》附有采购项目不能接受的条件或不符合国家强制性规定的；</w:t>
      </w:r>
    </w:p>
    <w:p w14:paraId="7ECE352E">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（9）单位负责人为同一人或者存在控股、管理关系的不同单位，参加同一项目（标段&lt;包&gt;）投标的；</w:t>
      </w:r>
    </w:p>
    <w:p w14:paraId="19E6EF99">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（10）为采购项目提供整体设计、规范编制或者项目管理、监理、检测等服务的供应商，不得再参加该采购项目的其他采购活动。</w:t>
      </w:r>
    </w:p>
    <w:p w14:paraId="211079EA">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（11）组成联合体或者接受分包的小微企业与联合体内其他企业、分包企业之间存在直接控股、管理关系的；</w:t>
      </w:r>
    </w:p>
    <w:p w14:paraId="1F0DF3BF">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（12）提供虚假材料谋取成交的；</w:t>
      </w:r>
    </w:p>
    <w:p w14:paraId="73409746">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（13）供应商有串通投标、行贿等违法行为。其中，有下列情形之一的，视为供应商相互串通投标：</w:t>
      </w:r>
    </w:p>
    <w:p w14:paraId="3E28264A">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◆不同供应商的《响应文件》由同一单位或者个人编制；</w:t>
      </w:r>
    </w:p>
    <w:p w14:paraId="654FEAA4">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◆不同供应商委托同一单位或者个人办理投标事宜；</w:t>
      </w:r>
    </w:p>
    <w:p w14:paraId="6CAB9CE9">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◆不同供应商的《响应文件》载明的项目管理成员为同一人；</w:t>
      </w:r>
    </w:p>
    <w:p w14:paraId="42F284F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◆不同供应商的《响应文件》异常一致或者磋商报价呈规律性差异；</w:t>
      </w:r>
    </w:p>
    <w:p w14:paraId="34C7FDD8">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◆不同供应商的《响应文件》相互混装。</w:t>
      </w:r>
    </w:p>
    <w:p w14:paraId="14DBA2E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（14）根据豫财购〔2021〕6号文件，参与同一个标段(包)的供应商存在下列情形之一的，其投标(响应)文件无效：</w:t>
      </w:r>
    </w:p>
    <w:p w14:paraId="6FD861E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◆不同供应商的电子投标(响应)文件上传计算机的网卡MAC地址、CPU序列号和硬盘序列号等硬件信息相同的；</w:t>
      </w:r>
    </w:p>
    <w:p w14:paraId="480C9C7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◆不同供应商的投标(响应)文件由同一电子设备编制、打印加密或者上传；</w:t>
      </w:r>
    </w:p>
    <w:p w14:paraId="537844C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◆不同供应商的投标(响应)文件由同一电子设备打印、复印；</w:t>
      </w:r>
    </w:p>
    <w:p w14:paraId="1AC71F8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◆不同供应商的投标(响应)文件由同一人送达或者分发，或者不同供应商联系人为同一人或不同联系人的联系电话一致的；</w:t>
      </w:r>
    </w:p>
    <w:p w14:paraId="61D4E86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◆不同供应商的投标(响应)文件的内容存在两处以上细节错误一致；</w:t>
      </w:r>
    </w:p>
    <w:p w14:paraId="58D2773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◆不同供应商的法定代表人、委托代理人、项目经理等由同一个单位缴纳社会保险或者领取报酬的；</w:t>
      </w:r>
    </w:p>
    <w:p w14:paraId="0B26A65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◆不同供应商投标(响应)文件中法定代表人或者负责人签字出自同一人之手；</w:t>
      </w:r>
    </w:p>
    <w:p w14:paraId="26CD175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◆其它涉嫌串通的情形。</w:t>
      </w:r>
    </w:p>
    <w:p w14:paraId="2E02DD50">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3.2.3 未实质性响应《磋商文件》的《响应文件》按无效处理，磋商小组应当通过评审界面的对话框告知有关供应商。</w:t>
      </w:r>
    </w:p>
    <w:p w14:paraId="391A070E">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3.2.4 “开标一览表”与分项报价或报价明细表有差别时，以“开标一览表”为准；大写文字表示的数据与小写数字表示的有差别时，以大写文字表示的数据为准；单价与“开标一览表”总价不符时，以“开标一览表”总价为准。如供应商拒绝接受上述意见，其投标将被拒绝。</w:t>
      </w:r>
    </w:p>
    <w:p w14:paraId="3D3BD5A3">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3.2.5 磋商小组负责审查确定每一响应项目（标段&lt;包&gt;）是否对《磋商文件》的实质性要求作出了实质性的响应，而没有重大偏离和保留。实质性响应的《响应文件》是指《响应文件》符合《磋商文件》的所有条款、条件和规定且没有重大偏离和保留（重大偏离和保留是指影响到《磋商文件》和供应商的义务的规定，而纠正这些偏离将影响到其他提交实质性响应供应商的公平竞争地位）。</w:t>
      </w:r>
    </w:p>
    <w:p w14:paraId="44B7CBAB">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3.2.6 磋商小组判断《响应文件》的响应性仅基于《响应文件》本身而不靠外部证据。</w:t>
      </w:r>
    </w:p>
    <w:p w14:paraId="62A41E59">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3.2.7 磋商小组拒绝被确定为非实质性响应的供应商，供应商不得通过修正或撤销不符之处而使其《响应文件》成为实质性响应的《响应文件》。</w:t>
      </w:r>
    </w:p>
    <w:p w14:paraId="7A32E64B">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3.2.8 允许供应商修改《响应文件》中不构成重大偏离的、微小的、非正规、不一致或不规则的地方。</w:t>
      </w:r>
    </w:p>
    <w:p w14:paraId="6902350A">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3.3 《响应文件》的澄清</w:t>
      </w:r>
    </w:p>
    <w:p w14:paraId="66196B16">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《响应文件》的澄清在“竞争性磋商公告”所述网上电子交易系统进行。</w:t>
      </w:r>
    </w:p>
    <w:p w14:paraId="7E1ACBE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3.3.1 评审期间，供应商法定代表人须时刻关注电子开标室并保持通讯畅通。如因通讯不畅导致供应商无法及时澄清而被认定为无效响应等后果的，由供应商自行承担。</w:t>
      </w:r>
    </w:p>
    <w:p w14:paraId="3AC02FE0">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3.3.2 为有助于对《响应文件》进行审查、评估和比较，磋商小组有权个别的向供应商提出质疑，请供应商澄清其投标内容。</w:t>
      </w:r>
    </w:p>
    <w:p w14:paraId="665BA2B8">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3.3.3 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3AE53C">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3.3.4 供应商的澄清、说明或者更正应当采用书面形式，应加盖供应商电子签章或其法定代表人电子签名。并将澄清等内容作为附件上传至系统中。应当采用书面形式，应加盖供应商电子签章或其法定代表人电子签名。并将澄清等内容作为附件上传至系统中。</w:t>
      </w:r>
    </w:p>
    <w:p w14:paraId="18B078CC">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3.3.5 供应商的澄清文件是《响应文件》的组成部分，并取代《响应文件》中被澄清的部分。</w:t>
      </w:r>
    </w:p>
    <w:p w14:paraId="11E8D239">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3.3.6 澄清文件应按磋商小组规定的时间提交。</w:t>
      </w:r>
    </w:p>
    <w:p w14:paraId="0A3EA73D">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 磋商规则</w:t>
      </w:r>
    </w:p>
    <w:p w14:paraId="635DD6AE">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评审磋商在“竞争性磋商公告”所述网上电子交易系统进行。</w:t>
      </w:r>
    </w:p>
    <w:p w14:paraId="05819D23">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3.4.1 本次政府采购采取竞争性磋商方式。磋商小组将据评审情况就所报项目的技术、服务、价格等事项与有关供应商分别进行磋商。磋商的任何一方不得将与磋商有关的技术资料、价格和其他信息透露给其他供应商。</w:t>
      </w:r>
    </w:p>
    <w:p w14:paraId="3DA88150">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3.4.2 磋商小组根据《磋商文件》规定的程序、评定成交的标准等事项与实质性响应《磋商文件》实质性要求的供应商进行磋商。</w:t>
      </w:r>
    </w:p>
    <w:p w14:paraId="1325ADC7">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3.4.3 磋商小组所有成员集中与单一供应商分别进行磋商，并给予所有参加磋商的供应商平等的磋商机会。</w:t>
      </w:r>
    </w:p>
    <w:p w14:paraId="314F1149">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3.4.4 在磋商过程中，磋商小组可以根据《磋商文件》和磋商情况实质性变动采购需求中的技术、服务要求以及合同草案条款，《磋商文件》中的其他内容将不再变动。实质性变动的内容，经采购人代表确认后，磋商小组将在评审界面的对话框及时通知所有参加磋商的供应商。评审期间，供应商可通过评审界面的对话框接受询问。磋商结束后，未实质性响应《磋商文件》的《响应文件》按无效处理，磋商小组应当通过评审界面的对话框告知有关供应商。磋商小组将在评审界面的对话框及时通知所有参加磋商的供应商。</w:t>
      </w:r>
    </w:p>
    <w:p w14:paraId="3D358FB0">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3.4.5 对《磋商文件》作出的实质性变动是《磋商文件》的有效组成部分。</w:t>
      </w:r>
    </w:p>
    <w:p w14:paraId="563B92E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3.4.6 供应商应当按照《磋商文件》的变动情况和磋商小组的要求重新提交《响应文件》或修订《响应文件》相应条款，并应加盖供应商或其法定代表人的电子签名。</w:t>
      </w:r>
    </w:p>
    <w:p w14:paraId="343796C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3.4.7 价格磋商</w:t>
      </w:r>
    </w:p>
    <w:p w14:paraId="043DABC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3.4.7.1 见第二章“采购项目及服务要求”1.3.2项规定。</w:t>
      </w:r>
    </w:p>
    <w:p w14:paraId="27E6AA33">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3.4.7.2 磋商小组应当要求所有继续参加磋商的供应商在规定时间内提交最后报价，提交最后报价的供应商不得少于3家（政策法规有另行规定的除外）。最后报价是《响应文件》的有效组成部分。</w:t>
      </w:r>
    </w:p>
    <w:p w14:paraId="45079F1C">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3.4.8 《磋商文件》的实质性变动影响到供应商因此无法继续参加磋商的，供应商可以在提交最后报价之前退出磋商。其《响应文件》按无效处理的供应商，所提交的最后报价也按无效处理。</w:t>
      </w:r>
    </w:p>
    <w:p w14:paraId="6F32C7E9">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3.4.9 供应商提交最后报价应在系统中填列分项报价，分项报价自动汇总价。</w:t>
      </w:r>
    </w:p>
    <w:p w14:paraId="14948319">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3.4.10 本项目在开标后只进行一轮报价，即最后报价。网上交易系统中管理员发起最后报价后，如供应商未在指定时限内提交最后报价，视为该供应商根据磋商情况退出磋商。</w:t>
      </w:r>
    </w:p>
    <w:p w14:paraId="4450FCD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3.4.11 供应商在网上报价过程中，如遇到网上投标系统的操作问题，可通过网上预留的咨询电话进行咨询。供应商因未按照要求进行操作、供应商办理的数字证书失效等其他自身原因导致响应文件错误或无效的，磋商小组将认定其为无效投标。</w:t>
      </w:r>
    </w:p>
    <w:p w14:paraId="762C881E">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3.5 详细评审</w:t>
      </w:r>
    </w:p>
    <w:p w14:paraId="154DF212">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3.5.1 经磋商确定最终采购需求和提交最后报价的供应商后，由磋商小组采用综合评分法对提交最后报价的供应商的《响应文件》和最后报价进行综合评分。</w:t>
      </w:r>
    </w:p>
    <w:p w14:paraId="4B5EAB2F">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3.5.2 按本章第4条规定执行促进中小企业发展扶持政策。</w:t>
      </w:r>
    </w:p>
    <w:p w14:paraId="0E2B0BCD">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3.5.3 磋商小组按本章第2.2款规定的量化因素和分值进行打分，并计算出综合评标得分。</w:t>
      </w:r>
    </w:p>
    <w:p w14:paraId="1FDF852C">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3.5.4 评分计算保留2位小数，第三位小数四舍五入。评分计算中出现中间值时按插入法计算得分。</w:t>
      </w:r>
    </w:p>
    <w:p w14:paraId="50ABE564">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3.5.5 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投标处理。</w:t>
      </w:r>
    </w:p>
    <w:p w14:paraId="46A2F587">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3.5.6 在评审过程中，凡遇到《磋商文件》中无界定或界定不清，前后不一致，使磋商小组成员意见有分歧且又难于协商一致的问题，均由磋商小组予以表决。</w:t>
      </w:r>
    </w:p>
    <w:p w14:paraId="77C4B1F7">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3.6 复核</w:t>
      </w:r>
    </w:p>
    <w:p w14:paraId="0E07EC4A">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3.6.1 磋商小组要对评分汇总情况进行复核，对评审数据进行校对、核对，特别是对排名第一的、报价最低的、被认定为无效的情形进行重点复核。</w:t>
      </w:r>
    </w:p>
    <w:p w14:paraId="469432F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3.6.2 磋商小组对供应商的价格分等客观评分项的评分应当一致，对其他需要借助专业知识评判的主观评分项，应当严格按照评分细则公正评分，不得超出评分标准范围，对畸高、畸低的重大差异评分书面说明理由。</w:t>
      </w:r>
    </w:p>
    <w:p w14:paraId="06948AA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3.7 评审结果</w:t>
      </w:r>
    </w:p>
    <w:p w14:paraId="473811C6">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3.7.1 磋商小组应当根据综合评分情况，按照评审得分由高到低顺序推荐3名以上成交候选供应商，并编写评审报告。符合本《政府采购竞争性磋商采购方式管理暂行办法》第二十一条第三款情形的，可以推荐2家成交候选供应商；根据《财政部关于政府竞争性磋商采购方式管理暂行办法有关问题的补充通知》，在采购过程中符合要求的供应商（社会资本）只有2家的，竞争性磋商采购活动可以继续进行。评审得分相同的，按照最后报价由低到高的顺序推荐。评审得分且最后报价相同的，按照技术指标优劣顺序推荐。</w:t>
      </w:r>
    </w:p>
    <w:p w14:paraId="4E5B31B0">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3.7.2 确定中标单位：按第三章“供应商须知前附表”7.1款规定及本章第1条规定。</w:t>
      </w:r>
    </w:p>
    <w:p w14:paraId="1B4BD92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3.8 磋商终止</w:t>
      </w:r>
    </w:p>
    <w:p w14:paraId="5B1F721F">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3.8.1 出现下列情形之一的，终止竞争性磋商活动：</w:t>
      </w:r>
    </w:p>
    <w:p w14:paraId="583E70E9">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（1）因情况变化，不再符合规定的竞争性磋商采购方式适用情形的；</w:t>
      </w:r>
    </w:p>
    <w:p w14:paraId="69114ABB">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（2）出现影响采购公正的违法、违规行为的；</w:t>
      </w:r>
    </w:p>
    <w:p w14:paraId="59774437">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（3）除《政府采购竞争性磋商采购方式管理暂行办法》第二十一条第三款规定的情形外，在采购过程中符合竞争要求的供应商或者报价未超过预算金额的供应商不足3家的；政策法规有另行规定的除外。</w:t>
      </w:r>
    </w:p>
    <w:p w14:paraId="1FFE5A8B">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（4）在采购活动中因重大变故，采购任务取消的。</w:t>
      </w:r>
    </w:p>
    <w:p w14:paraId="34600B35">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3.8.2 磋商小组要在采购项目（标段&lt;包&gt;）磋商失败时，出具《磋商文件》是否存在不合理条款的论证意见，要协助采购人、采购代理机构、财政部门答复质疑或处理投诉事项。</w:t>
      </w:r>
    </w:p>
    <w:p w14:paraId="08B128A3">
      <w:pPr>
        <w:widowControl w:val="0"/>
        <w:autoSpaceDE w:val="0"/>
        <w:autoSpaceDN w:val="0"/>
        <w:spacing w:line="360" w:lineRule="auto"/>
        <w:ind w:firstLine="482" w:firstLineChars="200"/>
        <w:jc w:val="left"/>
        <w:textAlignment w:val="auto"/>
        <w:rPr>
          <w:rFonts w:ascii="宋体" w:hAnsi="宋体" w:cs="宋体"/>
          <w:b/>
          <w:bCs/>
          <w:color w:val="auto"/>
          <w:sz w:val="24"/>
          <w:szCs w:val="24"/>
          <w:lang w:bidi="zh-CN"/>
        </w:rPr>
      </w:pPr>
      <w:bookmarkStart w:id="52" w:name="_Toc65223327"/>
      <w:r>
        <w:rPr>
          <w:rFonts w:hint="eastAsia" w:ascii="宋体" w:hAnsi="宋体" w:cs="宋体"/>
          <w:b/>
          <w:bCs/>
          <w:color w:val="auto"/>
          <w:sz w:val="24"/>
          <w:szCs w:val="24"/>
          <w:lang w:bidi="zh-CN"/>
        </w:rPr>
        <w:t>4.政府采购促进中小企业发展扶持政策</w:t>
      </w:r>
      <w:bookmarkEnd w:id="52"/>
    </w:p>
    <w:p w14:paraId="766EC727">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4.1 在政府采购活动中，供应商提供的货物、工程或者服务符合下列情形的，享受《政府采购促进中小企业发展管理办法》规定的中小企业扶持政策：</w:t>
      </w:r>
    </w:p>
    <w:p w14:paraId="4082B1E7">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（一）在货物采购项目中，货物由中小企业制造，即货物由中小企业生产且使用该中小企业商号或者注册商标；</w:t>
      </w:r>
    </w:p>
    <w:p w14:paraId="19274435">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（二）在工程采购项目中，工程由中小企业承建，即工程施工单位为中小企业；</w:t>
      </w:r>
    </w:p>
    <w:p w14:paraId="073F8E8F">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（三）在服务采购项目中，服务由中小企业承接，即提供服务的人员为中小企业依照《中华人民共和国劳动合同法》订立劳动合同的从业人员。</w:t>
      </w:r>
    </w:p>
    <w:p w14:paraId="5A21926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在货物采购项目中，供应商提供的货物既有中小企业制造货物，也有大型企业制造货物的，不享受中小企业扶持政策。</w:t>
      </w:r>
    </w:p>
    <w:p w14:paraId="05FC8FC9">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以联合体形式参加政府采购活动，联合体各方均为中小企业的，联合体视同中小企业。其中，联合体各方均为小微企业的，联合体视同小微企业。</w:t>
      </w:r>
    </w:p>
    <w:p w14:paraId="1A2D44BE">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4.2 符合中小企业划分标准的个体工商户，在政府采购活动中视同中小企业。</w:t>
      </w:r>
    </w:p>
    <w:p w14:paraId="4B810F9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4.3 监狱企业、符合法定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5A61736A">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4.3.1 享受政府采购支持政策的残疾人福利性单位应当同时满足以下条件：</w:t>
      </w:r>
    </w:p>
    <w:p w14:paraId="3C8D6BEF">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（1）安置的残疾人占本单位在职职工人数的比例不低于25%（含25%），并且安置的残疾人人数不少于10人（含10人）；</w:t>
      </w:r>
    </w:p>
    <w:p w14:paraId="7032A597">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（2）依法与安置的每位残疾人签订了一年以上（含一年）的劳动合同或服务协议；</w:t>
      </w:r>
    </w:p>
    <w:p w14:paraId="56437B4C">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（3）为安置的每位残疾人按月足额缴纳了基本养老保险、基本医疗保险、失业保险、工伤保险和生育保险等社会保险费；</w:t>
      </w:r>
    </w:p>
    <w:p w14:paraId="17ADDAE8">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（4）通过银行等金融机构向安置的每位残疾人，按月支付了不低于单位所在区县适用的经省级人民政府批准的月最低工资标准的工资；</w:t>
      </w:r>
    </w:p>
    <w:p w14:paraId="37E820C5">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（5）提供本单位制造的货物、承担的工程或者服务（以下简称产品），或者提供其他残疾人福利性单位制造的货物（不包括使用非残疾人福利性单位注册商标的货物）。</w:t>
      </w:r>
    </w:p>
    <w:p w14:paraId="66671C0E">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B6A405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4.4 参加本次政府采购项目的中小企业应按附件格式提供《中小企业声明函》。如《磋商文件》接受以联合体形式参加投标的，联合体各方均应按附件格式提供《中小企业声明函》。</w:t>
      </w:r>
    </w:p>
    <w:p w14:paraId="4696B41F">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供应商按照财库〔2020〕46号规定及《磋商文件》要求提供声明函内容不实的，属于提供虚假材料谋取中标、成交，依照《中华人民共和国政府采购法》等国家有关规定追究相应责任。</w:t>
      </w:r>
    </w:p>
    <w:p w14:paraId="5347DCAD">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4.5 本次政府采购项目专门面向中小企业，■提供《中小企业声明函》，专门面向中小企业的采购项目无价格扣除。</w:t>
      </w:r>
    </w:p>
    <w:p w14:paraId="7B37A3EC">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4.6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2CE2641C">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4.7 中标、成交供应商享受中小企业扶持政策的，中标、成交供应商的《中小企业声明函》将随中标、成交结果公开。</w:t>
      </w:r>
    </w:p>
    <w:p w14:paraId="246CA6C4">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4.8 依法享受扶持政策获得政府采购合同的，小微企业不得将合同分包给大中型企业，中型企业不得将合同分包给大型企业。</w:t>
      </w:r>
    </w:p>
    <w:p w14:paraId="44E940AC">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4.9 政府采购监督检查、投诉处理及政府采购行政处罚中对中小企业的认定，由货物制造商或者工程、服务供应商注册登记所在地的县级以上人民政府中小企业主管部门负责。</w:t>
      </w:r>
    </w:p>
    <w:p w14:paraId="56480070">
      <w:pPr>
        <w:spacing w:line="360" w:lineRule="auto"/>
        <w:jc w:val="center"/>
        <w:rPr>
          <w:rFonts w:ascii="宋体" w:hAnsi="宋体" w:cs="宋体"/>
          <w:color w:val="auto"/>
          <w:sz w:val="24"/>
          <w:szCs w:val="24"/>
        </w:rPr>
      </w:pPr>
      <w:r>
        <w:rPr>
          <w:rFonts w:hint="eastAsia" w:ascii="宋体" w:hAnsi="宋体" w:cs="宋体"/>
          <w:color w:val="auto"/>
          <w:sz w:val="24"/>
          <w:szCs w:val="24"/>
        </w:rPr>
        <w:br w:type="page"/>
      </w:r>
      <w:bookmarkStart w:id="53" w:name="_Toc491702292"/>
      <w:bookmarkStart w:id="54" w:name="_Toc31685"/>
      <w:r>
        <w:rPr>
          <w:rStyle w:val="28"/>
          <w:rFonts w:hint="eastAsia"/>
          <w:color w:val="auto"/>
          <w:lang w:val="zh-CN"/>
        </w:rPr>
        <w:t>第五章</w:t>
      </w:r>
      <w:bookmarkEnd w:id="53"/>
      <w:r>
        <w:rPr>
          <w:rStyle w:val="28"/>
          <w:rFonts w:hint="eastAsia"/>
          <w:color w:val="auto"/>
        </w:rPr>
        <w:t xml:space="preserve">  </w:t>
      </w:r>
      <w:r>
        <w:rPr>
          <w:rStyle w:val="28"/>
          <w:rFonts w:hint="eastAsia"/>
          <w:color w:val="auto"/>
          <w:lang w:val="zh-CN"/>
        </w:rPr>
        <w:t>合同主要条款</w:t>
      </w:r>
      <w:bookmarkEnd w:id="54"/>
    </w:p>
    <w:p w14:paraId="721C2C1E">
      <w:pPr>
        <w:spacing w:line="500" w:lineRule="exact"/>
        <w:jc w:val="center"/>
        <w:rPr>
          <w:rFonts w:ascii="宋体" w:hAnsi="宋体" w:cs="宋体"/>
          <w:b/>
          <w:color w:val="auto"/>
          <w:sz w:val="30"/>
          <w:szCs w:val="30"/>
          <w:lang w:val="zh-CN"/>
        </w:rPr>
      </w:pPr>
      <w:r>
        <w:rPr>
          <w:rFonts w:hint="eastAsia" w:ascii="宋体" w:hAnsi="宋体" w:cs="宋体"/>
          <w:b/>
          <w:color w:val="auto"/>
          <w:sz w:val="30"/>
          <w:szCs w:val="30"/>
          <w:lang w:val="zh-CN"/>
        </w:rPr>
        <w:t>服务合同</w:t>
      </w:r>
    </w:p>
    <w:p w14:paraId="14A84479">
      <w:pPr>
        <w:spacing w:line="500" w:lineRule="exact"/>
        <w:ind w:firstLine="602" w:firstLineChars="200"/>
        <w:jc w:val="center"/>
        <w:rPr>
          <w:rFonts w:ascii="宋体" w:hAnsi="宋体" w:cs="宋体"/>
          <w:color w:val="auto"/>
          <w:sz w:val="24"/>
          <w:szCs w:val="24"/>
        </w:rPr>
      </w:pPr>
      <w:r>
        <w:rPr>
          <w:rFonts w:hint="eastAsia" w:ascii="宋体" w:hAnsi="宋体" w:cs="宋体"/>
          <w:b/>
          <w:color w:val="auto"/>
          <w:sz w:val="30"/>
          <w:szCs w:val="30"/>
          <w:lang w:val="zh-CN"/>
        </w:rPr>
        <w:t>（仅供参考，具体以实际签订为准）</w:t>
      </w:r>
    </w:p>
    <w:p w14:paraId="081AB6E4">
      <w:pPr>
        <w:widowControl w:val="0"/>
        <w:spacing w:line="360" w:lineRule="auto"/>
        <w:jc w:val="left"/>
        <w:textAlignment w:val="top"/>
        <w:rPr>
          <w:rFonts w:ascii="宋体" w:hAnsi="宋体" w:cs="宋体"/>
          <w:color w:val="auto"/>
          <w:sz w:val="24"/>
          <w:szCs w:val="24"/>
        </w:rPr>
      </w:pPr>
      <w:r>
        <w:rPr>
          <w:rFonts w:hint="eastAsia" w:ascii="宋体" w:hAnsi="宋体" w:cs="宋体"/>
          <w:color w:val="auto"/>
          <w:sz w:val="24"/>
          <w:szCs w:val="24"/>
        </w:rPr>
        <w:t>甲方：（采购人）</w:t>
      </w:r>
    </w:p>
    <w:p w14:paraId="34394F00">
      <w:pPr>
        <w:widowControl w:val="0"/>
        <w:spacing w:line="360" w:lineRule="auto"/>
        <w:jc w:val="left"/>
        <w:textAlignment w:val="top"/>
        <w:rPr>
          <w:rFonts w:ascii="宋体" w:hAnsi="宋体" w:cs="宋体"/>
          <w:color w:val="auto"/>
          <w:sz w:val="24"/>
          <w:szCs w:val="24"/>
        </w:rPr>
      </w:pPr>
      <w:r>
        <w:rPr>
          <w:rFonts w:hint="eastAsia" w:ascii="宋体" w:hAnsi="宋体" w:cs="宋体"/>
          <w:color w:val="auto"/>
          <w:sz w:val="24"/>
          <w:szCs w:val="24"/>
        </w:rPr>
        <w:t>乙方：（供应商）</w:t>
      </w:r>
    </w:p>
    <w:p w14:paraId="38822396">
      <w:pPr>
        <w:widowControl w:val="0"/>
        <w:spacing w:line="360" w:lineRule="auto"/>
        <w:ind w:firstLine="480" w:firstLineChars="200"/>
        <w:rPr>
          <w:rFonts w:ascii="宋体" w:hAnsi="宋体" w:cs="宋体"/>
          <w:color w:val="auto"/>
          <w:spacing w:val="20"/>
          <w:sz w:val="24"/>
          <w:szCs w:val="24"/>
        </w:rPr>
      </w:pPr>
      <w:r>
        <w:rPr>
          <w:rFonts w:hint="eastAsia" w:ascii="宋体" w:hAnsi="宋体" w:cs="宋体"/>
          <w:color w:val="auto"/>
          <w:sz w:val="24"/>
          <w:szCs w:val="24"/>
        </w:rPr>
        <w:t>甲、乙双方持招标公司</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日签发的</w:t>
      </w:r>
      <w:r>
        <w:rPr>
          <w:rFonts w:hint="eastAsia" w:ascii="宋体" w:hAnsi="宋体" w:cs="宋体"/>
          <w:color w:val="auto"/>
          <w:sz w:val="24"/>
          <w:szCs w:val="24"/>
          <w:u w:val="single"/>
        </w:rPr>
        <w:t>（采购人及项目名称）</w:t>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〕成交通知书，根据采购文件</w:t>
      </w:r>
      <w:r>
        <w:rPr>
          <w:rFonts w:hint="eastAsia" w:ascii="宋体" w:hAnsi="宋体" w:cs="宋体"/>
          <w:color w:val="auto"/>
          <w:spacing w:val="20"/>
          <w:sz w:val="24"/>
          <w:szCs w:val="24"/>
        </w:rPr>
        <w:t>及其修改补充澄清、投标文件及其修改补充澄清的内容，经双方平等协商一致，达成以下合同条款：</w:t>
      </w:r>
    </w:p>
    <w:p w14:paraId="713C1774">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一、本合同所指服务为此次竞争性磋商的服务，包括</w:t>
      </w:r>
      <w:r>
        <w:rPr>
          <w:rFonts w:hint="eastAsia" w:ascii="宋体" w:hAnsi="宋体" w:cs="宋体"/>
          <w:color w:val="auto"/>
          <w:sz w:val="24"/>
          <w:szCs w:val="24"/>
          <w:u w:val="single"/>
        </w:rPr>
        <w:t>（详细注明内容）</w:t>
      </w:r>
      <w:r>
        <w:rPr>
          <w:rFonts w:hint="eastAsia" w:ascii="宋体" w:hAnsi="宋体" w:cs="宋体"/>
          <w:color w:val="auto"/>
          <w:sz w:val="24"/>
          <w:szCs w:val="24"/>
        </w:rPr>
        <w:t>，合同总价款为元（大写：                 ）。</w:t>
      </w:r>
    </w:p>
    <w:p w14:paraId="7A708122">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二、服务质量要求及乙方对质量负责条件和期限：</w:t>
      </w:r>
    </w:p>
    <w:p w14:paraId="4497DC13">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按国家及行业标准、采购文件及响应文件等相应条款制订。</w:t>
      </w:r>
    </w:p>
    <w:p w14:paraId="46C33FC2">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三、服务时间、地点、方式：</w:t>
      </w:r>
    </w:p>
    <w:p w14:paraId="1F082752">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按国家及行业标准、采购文件及响应文件等相应条款制订。</w:t>
      </w:r>
    </w:p>
    <w:p w14:paraId="5B7056C0">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四、验收程序和要求</w:t>
      </w:r>
    </w:p>
    <w:p w14:paraId="110DE7AD">
      <w:pPr>
        <w:widowControl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1、验收时间：项目具备验收条件时，由采购</w:t>
      </w:r>
      <w:r>
        <w:rPr>
          <w:rFonts w:hint="eastAsia" w:ascii="宋体" w:hAnsi="宋体" w:cs="宋体"/>
          <w:color w:val="auto"/>
          <w:sz w:val="24"/>
          <w:szCs w:val="24"/>
        </w:rPr>
        <w:t>人</w:t>
      </w:r>
      <w:r>
        <w:rPr>
          <w:rFonts w:hint="eastAsia" w:ascii="宋体" w:hAnsi="宋体" w:cs="宋体"/>
          <w:color w:val="auto"/>
          <w:sz w:val="24"/>
          <w:szCs w:val="24"/>
          <w:lang w:val="zh-CN"/>
        </w:rPr>
        <w:t>成立验收工作组负责验收。</w:t>
      </w:r>
      <w:r>
        <w:rPr>
          <w:rFonts w:hint="eastAsia" w:ascii="宋体" w:hAnsi="宋体" w:cs="宋体"/>
          <w:color w:val="auto"/>
          <w:sz w:val="24"/>
          <w:szCs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6EBC757F">
      <w:pPr>
        <w:widowControl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2、验收工作组：合同履约验收工作应成立验收工作组专门负责。</w:t>
      </w:r>
    </w:p>
    <w:p w14:paraId="38399967">
      <w:pPr>
        <w:widowControl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直接参与该项目政府采购活动的主要负责人不得作为验收工作的主要负责人。</w:t>
      </w:r>
      <w:r>
        <w:rPr>
          <w:rFonts w:hint="eastAsia" w:ascii="宋体" w:hAnsi="宋体" w:cs="宋体"/>
          <w:color w:val="auto"/>
          <w:sz w:val="24"/>
          <w:szCs w:val="24"/>
        </w:rPr>
        <w:t>对于采购人和使用人分离的采购项目，应当邀请实际使用人参与验收；政府向社会公众提供的公共服务项目，验收时应当邀请服务对象参与并出具意见，验收结果应当向社会公告。</w:t>
      </w:r>
    </w:p>
    <w:p w14:paraId="5FC8BAA1">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2.1 </w:t>
      </w:r>
      <w:r>
        <w:rPr>
          <w:rFonts w:hint="eastAsia" w:ascii="宋体" w:hAnsi="宋体" w:cs="宋体"/>
          <w:color w:val="auto"/>
          <w:sz w:val="24"/>
          <w:szCs w:val="24"/>
          <w:lang w:val="zh-CN"/>
        </w:rPr>
        <w:t>政府采购合同金额</w:t>
      </w:r>
      <w:r>
        <w:rPr>
          <w:rFonts w:hint="eastAsia" w:ascii="宋体" w:hAnsi="宋体" w:cs="宋体"/>
          <w:color w:val="auto"/>
          <w:sz w:val="24"/>
          <w:szCs w:val="24"/>
        </w:rPr>
        <w:t>在</w:t>
      </w:r>
      <w:r>
        <w:rPr>
          <w:rFonts w:hint="eastAsia" w:ascii="宋体" w:hAnsi="宋体" w:cs="宋体"/>
          <w:color w:val="auto"/>
          <w:sz w:val="24"/>
          <w:szCs w:val="24"/>
          <w:lang w:val="zh-CN"/>
        </w:rPr>
        <w:t>10万元以下（</w:t>
      </w:r>
      <w:r>
        <w:rPr>
          <w:rFonts w:hint="eastAsia" w:ascii="宋体" w:hAnsi="宋体" w:cs="宋体"/>
          <w:color w:val="auto"/>
          <w:sz w:val="24"/>
          <w:szCs w:val="24"/>
        </w:rPr>
        <w:t>含10万元</w:t>
      </w:r>
      <w:r>
        <w:rPr>
          <w:rFonts w:hint="eastAsia" w:ascii="宋体" w:hAnsi="宋体" w:cs="宋体"/>
          <w:color w:val="auto"/>
          <w:sz w:val="24"/>
          <w:szCs w:val="24"/>
          <w:lang w:val="zh-CN"/>
        </w:rPr>
        <w:t>）的项目，原则上可以不邀请评审专家参加，组织方成立验收小组自行验收。</w:t>
      </w:r>
      <w:r>
        <w:rPr>
          <w:rFonts w:hint="eastAsia" w:ascii="宋体" w:hAnsi="宋体" w:cs="宋体"/>
          <w:color w:val="auto"/>
          <w:sz w:val="24"/>
          <w:szCs w:val="24"/>
        </w:rPr>
        <w:t>自行验收时，验收小组应仔细对照采购文件及合同，对标的物的数量、质量、规格、型号等参数逐一核对，并编制验收报告。组织方认为不能独立完成验收任务的，可以邀请评审专家参与验收。</w:t>
      </w:r>
    </w:p>
    <w:p w14:paraId="51880243">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2.2 </w:t>
      </w:r>
      <w:r>
        <w:rPr>
          <w:rFonts w:hint="eastAsia" w:ascii="宋体" w:hAnsi="宋体" w:cs="宋体"/>
          <w:color w:val="auto"/>
          <w:sz w:val="24"/>
          <w:szCs w:val="24"/>
          <w:lang w:val="zh-CN"/>
        </w:rPr>
        <w:t>政府采购合同金额50万元以下的（含50万元）的项目，验收工作组应不少于三人；政府采购合同金额50万元以上的项目，验收工作组应由</w:t>
      </w:r>
      <w:r>
        <w:rPr>
          <w:rFonts w:hint="eastAsia" w:ascii="宋体" w:hAnsi="宋体" w:cs="宋体"/>
          <w:color w:val="auto"/>
          <w:sz w:val="24"/>
          <w:szCs w:val="24"/>
        </w:rPr>
        <w:t>采购人</w:t>
      </w:r>
      <w:r>
        <w:rPr>
          <w:rFonts w:hint="eastAsia" w:ascii="宋体" w:hAnsi="宋体" w:cs="宋体"/>
          <w:color w:val="auto"/>
          <w:sz w:val="24"/>
          <w:szCs w:val="24"/>
          <w:lang w:val="zh-CN"/>
        </w:rPr>
        <w:t>领导牵头，财务、审计、监察、资产管理、技术等部门人员参与，成员不少于五人。验收工作</w:t>
      </w:r>
      <w:r>
        <w:rPr>
          <w:rFonts w:hint="eastAsia" w:ascii="宋体" w:hAnsi="宋体" w:cs="宋体"/>
          <w:color w:val="auto"/>
          <w:sz w:val="24"/>
          <w:szCs w:val="24"/>
        </w:rPr>
        <w:t>原则上</w:t>
      </w:r>
      <w:r>
        <w:rPr>
          <w:rFonts w:hint="eastAsia" w:ascii="宋体" w:hAnsi="宋体" w:cs="宋体"/>
          <w:color w:val="auto"/>
          <w:sz w:val="24"/>
          <w:szCs w:val="24"/>
          <w:lang w:val="zh-CN"/>
        </w:rPr>
        <w:t>应当邀请采购项目评审专家参加验收；大型、复杂或者技术性很强的政府采购项目，应当邀请国家认可的质量检测机构参加验收工作；国家规定强制性检测的采购项目，</w:t>
      </w:r>
      <w:r>
        <w:rPr>
          <w:rFonts w:hint="eastAsia" w:ascii="宋体" w:hAnsi="宋体" w:cs="宋体"/>
          <w:color w:val="auto"/>
          <w:sz w:val="24"/>
          <w:szCs w:val="24"/>
        </w:rPr>
        <w:t>采购人</w:t>
      </w:r>
      <w:r>
        <w:rPr>
          <w:rFonts w:hint="eastAsia" w:ascii="宋体" w:hAnsi="宋体" w:cs="宋体"/>
          <w:color w:val="auto"/>
          <w:sz w:val="24"/>
          <w:szCs w:val="24"/>
          <w:lang w:val="zh-CN"/>
        </w:rPr>
        <w:t>必须委托国家认可专业检测机构进行验收。</w:t>
      </w:r>
    </w:p>
    <w:p w14:paraId="7BBA5A4D">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3、验收时，验收小组按照采购合同的约定对每一项技术、服务、安全标准的履约情况进行确认。</w:t>
      </w:r>
      <w:r>
        <w:rPr>
          <w:rFonts w:hint="eastAsia" w:ascii="宋体" w:hAnsi="宋体" w:cs="宋体"/>
          <w:color w:val="auto"/>
          <w:sz w:val="24"/>
          <w:szCs w:val="24"/>
          <w:lang w:val="zh-CN"/>
        </w:rPr>
        <w:t>验收时需要进行破坏性试验的，供应商应进行充分的配合并提供备品备件。</w:t>
      </w:r>
    </w:p>
    <w:p w14:paraId="5CB44510">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val="zh-CN"/>
        </w:rPr>
        <w:t>、验收报告：验收后，由采购</w:t>
      </w:r>
      <w:r>
        <w:rPr>
          <w:rFonts w:hint="eastAsia" w:ascii="宋体" w:hAnsi="宋体" w:cs="宋体"/>
          <w:color w:val="auto"/>
          <w:sz w:val="24"/>
          <w:szCs w:val="24"/>
        </w:rPr>
        <w:t>人</w:t>
      </w:r>
      <w:r>
        <w:rPr>
          <w:rFonts w:hint="eastAsia" w:ascii="宋体" w:hAnsi="宋体" w:cs="宋体"/>
          <w:color w:val="auto"/>
          <w:sz w:val="24"/>
          <w:szCs w:val="24"/>
          <w:lang w:val="zh-CN"/>
        </w:rPr>
        <w:t>及专家等出具验收报告（</w:t>
      </w:r>
      <w:r>
        <w:rPr>
          <w:rFonts w:hint="eastAsia" w:ascii="宋体" w:hAnsi="宋体" w:cs="宋体"/>
          <w:color w:val="auto"/>
          <w:sz w:val="24"/>
          <w:szCs w:val="24"/>
        </w:rPr>
        <w:t>自行验收的，由采购人出具</w:t>
      </w:r>
      <w:r>
        <w:rPr>
          <w:rFonts w:hint="eastAsia" w:ascii="宋体" w:hAnsi="宋体" w:cs="宋体"/>
          <w:color w:val="auto"/>
          <w:sz w:val="24"/>
          <w:szCs w:val="24"/>
          <w:lang w:val="zh-CN"/>
        </w:rPr>
        <w:t>），国家规定强制性检测的采购项目应附国家认可的专业检测机构出具的验收报告。</w:t>
      </w:r>
    </w:p>
    <w:p w14:paraId="41986572">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zh-CN"/>
        </w:rPr>
        <w:t>验收中发现中标人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2D5D469C">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五、履约保证金：无需缴纳。</w:t>
      </w:r>
    </w:p>
    <w:p w14:paraId="5BDA8373">
      <w:pPr>
        <w:widowControl w:val="0"/>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六、付款程序：</w:t>
      </w:r>
      <w:r>
        <w:rPr>
          <w:rFonts w:hint="eastAsia" w:ascii="宋体" w:hAnsi="宋体" w:cs="宋体"/>
          <w:color w:val="auto"/>
          <w:sz w:val="24"/>
          <w:szCs w:val="24"/>
          <w:u w:val="single"/>
        </w:rPr>
        <w:t xml:space="preserve">                   </w:t>
      </w:r>
    </w:p>
    <w:p w14:paraId="12EA153F">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七、合同遵行《保障中小企业款项支付条例》。</w:t>
      </w:r>
    </w:p>
    <w:p w14:paraId="4CF8E56F">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八、责任和义务</w:t>
      </w:r>
    </w:p>
    <w:p w14:paraId="49E67114">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1、甲方的责任和义务</w:t>
      </w:r>
    </w:p>
    <w:p w14:paraId="669F6DDC">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（1）对乙方给予必要的协助。</w:t>
      </w:r>
    </w:p>
    <w:p w14:paraId="6754A9C2">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（2）按时验收、及时支付资金。</w:t>
      </w:r>
    </w:p>
    <w:p w14:paraId="1BEC5DAB">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（3）遵守国家法律法规，不得要求乙方虚开发票，不得向乙方索要“好处”、“回扣”、“礼品”，或要求乙方提供合同以外的其他物品或服务。</w:t>
      </w:r>
    </w:p>
    <w:p w14:paraId="5F5BC17E">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（4）对乙方未按合同约定履约在验收报告中注明违约情形和事项，并应及时通知财政部门。违反相关法规的向相关行政执法部门举报。</w:t>
      </w:r>
    </w:p>
    <w:p w14:paraId="497391AF">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（5）其他法律法规规定应尽的义务。</w:t>
      </w:r>
    </w:p>
    <w:p w14:paraId="5BE84C22">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2、乙方的责任和义务</w:t>
      </w:r>
    </w:p>
    <w:p w14:paraId="2C997CC0">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（1）严格按采购文件要求与投标文件的质量及服务承诺执行，保质、按期履行。</w:t>
      </w:r>
    </w:p>
    <w:p w14:paraId="345E1705">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（2）不得将合同权利义务全部或部分转让给第三人。</w:t>
      </w:r>
    </w:p>
    <w:p w14:paraId="640A0402">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（3）验收合格前，对货物和人员的安全负责，应采取安全措施，确保人员、材料、设备和设施的安全，防止货物验收合格前的人身伤害和财产损失；应对其履行合同所雇佣的全部人员的工伤事故承担责任。</w:t>
      </w:r>
    </w:p>
    <w:p w14:paraId="3D6B9D6D">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（4）遵守法律、依法纳税。</w:t>
      </w:r>
    </w:p>
    <w:p w14:paraId="08CE52A8">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（5）遵守职业道德和行业规范，坚决杜绝送礼、回扣、报销费用等一切不正当竞争行为和商业贿赂行为；对甲方索要回扣、礼品等违规行为，向同级财政局政府采购监督管理科及相关执法机关举报。</w:t>
      </w:r>
    </w:p>
    <w:p w14:paraId="7570002A">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（6）其他法律法规规定应尽的义务。</w:t>
      </w:r>
    </w:p>
    <w:p w14:paraId="44E62FE3">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九、违约责任：</w:t>
      </w:r>
    </w:p>
    <w:p w14:paraId="3A9FB2E0">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1、甲方无正当理由拒付款项的，向乙方偿付拒收拒付部分款项总额  %的违约金。</w:t>
      </w:r>
    </w:p>
    <w:p w14:paraId="05B7EE72">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2、乙方提供服务不符合合同规定，甲方有权拒付相关款项。</w:t>
      </w:r>
    </w:p>
    <w:p w14:paraId="19AC6F6A">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3、乙方逾期，乙方向甲方每日偿付</w:t>
      </w:r>
      <w:r>
        <w:rPr>
          <w:rFonts w:hint="eastAsia" w:ascii="宋体" w:hAnsi="宋体" w:cs="宋体"/>
          <w:color w:val="auto"/>
          <w:sz w:val="24"/>
          <w:szCs w:val="24"/>
          <w:u w:val="single"/>
        </w:rPr>
        <w:t xml:space="preserve">     </w:t>
      </w:r>
      <w:r>
        <w:rPr>
          <w:rFonts w:hint="eastAsia" w:ascii="宋体" w:hAnsi="宋体" w:cs="宋体"/>
          <w:color w:val="auto"/>
          <w:sz w:val="24"/>
          <w:szCs w:val="24"/>
        </w:rPr>
        <w:t>%赔偿费。</w:t>
      </w:r>
    </w:p>
    <w:p w14:paraId="7FC85C5E">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十、《采购文件》及其修改补充、投标文件及其修改补充澄清均为本合同的组成部分。</w:t>
      </w:r>
    </w:p>
    <w:p w14:paraId="67EB106A">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十一、本合同发生争议时双方应按合同条款协商解决。双方协商不成的，可以根据仲裁协议向当地仲裁机构申请仲裁。当事人没有订立仲裁协议或者仲裁协议无效的，可以向当地人民法院起诉。</w:t>
      </w:r>
    </w:p>
    <w:p w14:paraId="5933DB0E">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十二、合同生效及其它：</w:t>
      </w:r>
    </w:p>
    <w:p w14:paraId="7A6C4DD6">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本合同经甲乙双方代表签字、加盖公章和骑缝章后生效。本合同一式</w:t>
      </w:r>
      <w:r>
        <w:rPr>
          <w:rFonts w:hint="eastAsia" w:ascii="宋体" w:hAnsi="宋体" w:cs="宋体"/>
          <w:color w:val="auto"/>
          <w:sz w:val="24"/>
          <w:szCs w:val="24"/>
          <w:u w:val="single"/>
        </w:rPr>
        <w:t xml:space="preserve">     </w:t>
      </w:r>
      <w:r>
        <w:rPr>
          <w:rFonts w:hint="eastAsia" w:ascii="宋体" w:hAnsi="宋体" w:cs="宋体"/>
          <w:color w:val="auto"/>
          <w:sz w:val="24"/>
          <w:szCs w:val="24"/>
        </w:rPr>
        <w:t>份，甲乙双方各持</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5A71A7B4">
      <w:pPr>
        <w:widowControl w:val="0"/>
        <w:spacing w:line="360" w:lineRule="auto"/>
        <w:ind w:firstLine="555"/>
        <w:rPr>
          <w:rFonts w:ascii="宋体" w:hAnsi="宋体" w:cs="宋体"/>
          <w:color w:val="auto"/>
          <w:sz w:val="24"/>
          <w:szCs w:val="24"/>
        </w:rPr>
      </w:pPr>
      <w:r>
        <w:rPr>
          <w:rFonts w:hint="eastAsia" w:ascii="宋体" w:hAnsi="宋体" w:cs="宋体"/>
          <w:color w:val="auto"/>
          <w:sz w:val="24"/>
          <w:szCs w:val="24"/>
        </w:rPr>
        <w:t>甲方要在合同签订后1个工作日内登录安阳市政府采购网进行备案并公告。</w:t>
      </w:r>
    </w:p>
    <w:p w14:paraId="5D2C016D">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融资政策</w:t>
      </w:r>
      <w:r>
        <w:rPr>
          <w:rFonts w:hint="eastAsia" w:ascii="宋体" w:hAnsi="宋体" w:cs="宋体"/>
          <w:color w:val="auto"/>
          <w:sz w:val="24"/>
          <w:szCs w:val="24"/>
        </w:rPr>
        <w:t>：</w:t>
      </w:r>
      <w:r>
        <w:rPr>
          <w:rFonts w:ascii="宋体" w:hAnsi="宋体" w:cs="宋体"/>
          <w:color w:val="auto"/>
          <w:sz w:val="24"/>
          <w:szCs w:val="24"/>
        </w:rPr>
        <w:t>政府采购合同融资是河南省财政厅支持中小微企业发展，针对参与政府采购活动的</w:t>
      </w:r>
      <w:r>
        <w:rPr>
          <w:rFonts w:hint="eastAsia" w:ascii="宋体" w:hAnsi="宋体" w:cs="宋体"/>
          <w:color w:val="auto"/>
          <w:sz w:val="24"/>
          <w:szCs w:val="24"/>
        </w:rPr>
        <w:t>供应商</w:t>
      </w:r>
      <w:r>
        <w:rPr>
          <w:rFonts w:ascii="宋体" w:hAnsi="宋体" w:cs="宋体"/>
          <w:color w:val="auto"/>
          <w:sz w:val="24"/>
          <w:szCs w:val="24"/>
        </w:rPr>
        <w:t>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D9D7D1F">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贷款渠道和提供贷款的金融机构，可在河南省政府采购网“河南省政府采购合同融资平台”查询联系。</w:t>
      </w:r>
    </w:p>
    <w:p w14:paraId="5FD7DC03">
      <w:pPr>
        <w:widowControl w:val="0"/>
        <w:spacing w:line="360" w:lineRule="auto"/>
        <w:ind w:firstLine="555"/>
        <w:rPr>
          <w:rFonts w:ascii="宋体" w:hAnsi="宋体" w:cs="宋体"/>
          <w:color w:val="auto"/>
          <w:sz w:val="24"/>
          <w:szCs w:val="24"/>
        </w:rPr>
      </w:pPr>
    </w:p>
    <w:p w14:paraId="5A2294AD">
      <w:pPr>
        <w:widowControl w:val="0"/>
        <w:spacing w:line="360" w:lineRule="auto"/>
        <w:ind w:firstLine="555"/>
        <w:rPr>
          <w:rFonts w:ascii="宋体" w:hAnsi="宋体" w:cs="宋体"/>
          <w:color w:val="auto"/>
          <w:sz w:val="24"/>
          <w:szCs w:val="24"/>
        </w:rPr>
      </w:pPr>
      <w:r>
        <w:rPr>
          <w:rFonts w:hint="eastAsia" w:ascii="宋体" w:hAnsi="宋体" w:cs="宋体"/>
          <w:color w:val="auto"/>
          <w:sz w:val="24"/>
          <w:szCs w:val="24"/>
        </w:rPr>
        <w:t>甲方：                      乙方：</w:t>
      </w:r>
    </w:p>
    <w:p w14:paraId="59B9D80E">
      <w:pPr>
        <w:widowControl w:val="0"/>
        <w:spacing w:line="360" w:lineRule="auto"/>
        <w:ind w:firstLine="555"/>
        <w:rPr>
          <w:rFonts w:ascii="宋体" w:hAnsi="宋体" w:cs="宋体"/>
          <w:color w:val="auto"/>
          <w:sz w:val="24"/>
          <w:szCs w:val="24"/>
        </w:rPr>
      </w:pPr>
      <w:r>
        <w:rPr>
          <w:rFonts w:hint="eastAsia" w:ascii="宋体" w:hAnsi="宋体" w:cs="宋体"/>
          <w:color w:val="auto"/>
          <w:sz w:val="24"/>
          <w:szCs w:val="24"/>
        </w:rPr>
        <w:t>地址：                      地址：</w:t>
      </w:r>
    </w:p>
    <w:p w14:paraId="0DFF4C13">
      <w:pPr>
        <w:widowControl w:val="0"/>
        <w:spacing w:line="360" w:lineRule="auto"/>
        <w:ind w:firstLine="555"/>
        <w:rPr>
          <w:rFonts w:ascii="宋体" w:hAnsi="宋体" w:cs="宋体"/>
          <w:color w:val="auto"/>
          <w:sz w:val="24"/>
          <w:szCs w:val="24"/>
        </w:rPr>
      </w:pPr>
      <w:r>
        <w:rPr>
          <w:rFonts w:hint="eastAsia" w:ascii="宋体" w:hAnsi="宋体" w:cs="宋体"/>
          <w:color w:val="auto"/>
          <w:sz w:val="24"/>
          <w:szCs w:val="24"/>
        </w:rPr>
        <w:t>法定代表人：                法定代表人：</w:t>
      </w:r>
    </w:p>
    <w:p w14:paraId="6DE6AF74">
      <w:pPr>
        <w:widowControl w:val="0"/>
        <w:spacing w:line="360" w:lineRule="auto"/>
        <w:ind w:firstLine="555"/>
        <w:rPr>
          <w:rFonts w:ascii="宋体" w:hAnsi="宋体" w:cs="宋体"/>
          <w:color w:val="auto"/>
          <w:sz w:val="24"/>
          <w:szCs w:val="24"/>
        </w:rPr>
      </w:pPr>
      <w:r>
        <w:rPr>
          <w:rFonts w:hint="eastAsia" w:ascii="宋体" w:hAnsi="宋体" w:cs="宋体"/>
          <w:color w:val="auto"/>
          <w:sz w:val="24"/>
          <w:szCs w:val="24"/>
        </w:rPr>
        <w:t>委托代理人：                委托代理人：</w:t>
      </w:r>
    </w:p>
    <w:p w14:paraId="4B55B0CA">
      <w:pPr>
        <w:widowControl w:val="0"/>
        <w:spacing w:line="360" w:lineRule="auto"/>
        <w:ind w:firstLine="555"/>
        <w:rPr>
          <w:rFonts w:ascii="宋体" w:hAnsi="宋体" w:cs="宋体"/>
          <w:color w:val="auto"/>
          <w:sz w:val="24"/>
          <w:szCs w:val="24"/>
        </w:rPr>
      </w:pPr>
      <w:r>
        <w:rPr>
          <w:rFonts w:hint="eastAsia" w:ascii="宋体" w:hAnsi="宋体" w:cs="宋体"/>
          <w:color w:val="auto"/>
          <w:sz w:val="24"/>
          <w:szCs w:val="24"/>
        </w:rPr>
        <w:t>电话：                      电话：</w:t>
      </w:r>
    </w:p>
    <w:p w14:paraId="14710992">
      <w:pPr>
        <w:widowControl w:val="0"/>
        <w:spacing w:line="360" w:lineRule="auto"/>
        <w:ind w:firstLine="555"/>
        <w:rPr>
          <w:rFonts w:ascii="宋体" w:hAnsi="宋体" w:cs="宋体"/>
          <w:color w:val="auto"/>
          <w:sz w:val="24"/>
          <w:szCs w:val="24"/>
        </w:rPr>
      </w:pPr>
      <w:r>
        <w:rPr>
          <w:rFonts w:hint="eastAsia" w:ascii="宋体" w:hAnsi="宋体" w:cs="宋体"/>
          <w:color w:val="auto"/>
          <w:sz w:val="24"/>
          <w:szCs w:val="24"/>
        </w:rPr>
        <w:t>开户银行：                  开户银行：</w:t>
      </w:r>
    </w:p>
    <w:p w14:paraId="4D2CD2B0">
      <w:pPr>
        <w:widowControl w:val="0"/>
        <w:spacing w:line="360" w:lineRule="auto"/>
        <w:ind w:firstLine="555"/>
        <w:rPr>
          <w:rFonts w:ascii="宋体" w:hAnsi="宋体" w:cs="宋体"/>
          <w:color w:val="auto"/>
          <w:sz w:val="24"/>
          <w:szCs w:val="24"/>
        </w:rPr>
      </w:pPr>
      <w:r>
        <w:rPr>
          <w:rFonts w:hint="eastAsia" w:ascii="宋体" w:hAnsi="宋体" w:cs="宋体"/>
          <w:color w:val="auto"/>
          <w:sz w:val="24"/>
          <w:szCs w:val="24"/>
        </w:rPr>
        <w:t>银行账号：                  银行账号：</w:t>
      </w:r>
    </w:p>
    <w:p w14:paraId="5B8DFCDD">
      <w:pPr>
        <w:widowControl w:val="0"/>
        <w:tabs>
          <w:tab w:val="left" w:pos="4678"/>
        </w:tabs>
        <w:spacing w:line="360" w:lineRule="auto"/>
        <w:ind w:firstLine="555"/>
        <w:rPr>
          <w:rFonts w:ascii="宋体" w:hAnsi="宋体" w:cs="宋体"/>
          <w:color w:val="auto"/>
          <w:sz w:val="24"/>
          <w:szCs w:val="24"/>
        </w:rPr>
      </w:pPr>
      <w:r>
        <w:rPr>
          <w:rFonts w:hint="eastAsia" w:ascii="宋体" w:hAnsi="宋体" w:cs="宋体"/>
          <w:color w:val="auto"/>
          <w:sz w:val="24"/>
          <w:szCs w:val="24"/>
        </w:rPr>
        <w:t>签约时间：                  签约地点：</w:t>
      </w:r>
    </w:p>
    <w:p w14:paraId="25DC6DC8">
      <w:pPr>
        <w:rPr>
          <w:color w:val="auto"/>
        </w:rPr>
      </w:pPr>
      <w:r>
        <w:rPr>
          <w:rFonts w:hint="eastAsia"/>
          <w:color w:val="auto"/>
        </w:rPr>
        <w:br w:type="page"/>
      </w:r>
    </w:p>
    <w:p w14:paraId="6384F7D3">
      <w:pPr>
        <w:pStyle w:val="2"/>
        <w:rPr>
          <w:color w:val="auto"/>
        </w:rPr>
      </w:pPr>
      <w:bookmarkStart w:id="55" w:name="_Toc1452"/>
      <w:r>
        <w:rPr>
          <w:rFonts w:hint="eastAsia"/>
          <w:color w:val="auto"/>
        </w:rPr>
        <w:t>第六章  响应文件格式</w:t>
      </w:r>
      <w:bookmarkEnd w:id="55"/>
    </w:p>
    <w:p w14:paraId="454A6065">
      <w:pPr>
        <w:rPr>
          <w:color w:val="auto"/>
        </w:rPr>
      </w:pPr>
    </w:p>
    <w:p w14:paraId="00DB3C1F">
      <w:pPr>
        <w:spacing w:line="360" w:lineRule="auto"/>
        <w:rPr>
          <w:color w:val="auto"/>
        </w:rPr>
      </w:pPr>
      <w:r>
        <w:rPr>
          <w:rFonts w:hint="eastAsia"/>
          <w:color w:val="auto"/>
        </w:rPr>
        <w:t>供应商</w:t>
      </w:r>
      <w:r>
        <w:rPr>
          <w:color w:val="auto"/>
        </w:rPr>
        <w:t>应按</w:t>
      </w:r>
      <w:r>
        <w:rPr>
          <w:rFonts w:hint="eastAsia"/>
          <w:color w:val="auto"/>
        </w:rPr>
        <w:t>“供应商</w:t>
      </w:r>
      <w:r>
        <w:rPr>
          <w:color w:val="auto"/>
        </w:rPr>
        <w:t>须知--《响应文件》的组成</w:t>
      </w:r>
      <w:r>
        <w:rPr>
          <w:rFonts w:hint="eastAsia"/>
          <w:color w:val="auto"/>
        </w:rPr>
        <w:t>”</w:t>
      </w:r>
      <w:r>
        <w:rPr>
          <w:color w:val="auto"/>
        </w:rPr>
        <w:t>列示内容编制《响应文件》，本章</w:t>
      </w:r>
      <w:r>
        <w:rPr>
          <w:rFonts w:hint="eastAsia"/>
          <w:color w:val="auto"/>
        </w:rPr>
        <w:t>“</w:t>
      </w:r>
      <w:r>
        <w:rPr>
          <w:color w:val="auto"/>
        </w:rPr>
        <w:t>《响应文件》格式</w:t>
      </w:r>
      <w:r>
        <w:rPr>
          <w:rFonts w:hint="eastAsia"/>
          <w:color w:val="auto"/>
        </w:rPr>
        <w:t>”</w:t>
      </w:r>
      <w:r>
        <w:rPr>
          <w:color w:val="auto"/>
        </w:rPr>
        <w:t>仅为对《响应文件》部分内容的格式化规范，并非《响应文件》所应具备的全部内容。</w:t>
      </w:r>
    </w:p>
    <w:p w14:paraId="337E71D6">
      <w:pPr>
        <w:spacing w:before="120" w:beforeLines="50" w:after="120" w:afterLines="50" w:line="360" w:lineRule="auto"/>
        <w:ind w:left="1260" w:leftChars="600"/>
        <w:rPr>
          <w:rFonts w:ascii="宋体" w:hAnsi="宋体" w:cs="宋体"/>
          <w:color w:val="auto"/>
          <w:sz w:val="32"/>
          <w:szCs w:val="32"/>
        </w:rPr>
      </w:pPr>
    </w:p>
    <w:p w14:paraId="36511680">
      <w:pPr>
        <w:spacing w:before="120" w:beforeLines="50" w:after="120" w:afterLines="50" w:line="360" w:lineRule="auto"/>
        <w:ind w:left="840" w:leftChars="400"/>
        <w:rPr>
          <w:rFonts w:ascii="宋体" w:hAnsi="宋体" w:cs="宋体"/>
          <w:color w:val="auto"/>
          <w:sz w:val="32"/>
          <w:szCs w:val="32"/>
        </w:rPr>
      </w:pPr>
      <w:r>
        <w:rPr>
          <w:rFonts w:hint="eastAsia" w:ascii="宋体" w:hAnsi="宋体" w:cs="宋体"/>
          <w:color w:val="auto"/>
          <w:sz w:val="32"/>
          <w:szCs w:val="32"/>
        </w:rPr>
        <w:t>项目名称：</w:t>
      </w:r>
      <w:r>
        <w:rPr>
          <w:rFonts w:hint="eastAsia" w:ascii="宋体" w:hAnsi="宋体" w:cs="宋体"/>
          <w:color w:val="auto"/>
          <w:sz w:val="32"/>
          <w:szCs w:val="32"/>
          <w:u w:val="single"/>
        </w:rPr>
        <w:t xml:space="preserve">                          </w:t>
      </w:r>
    </w:p>
    <w:p w14:paraId="2B6729F4">
      <w:pPr>
        <w:spacing w:before="120" w:beforeLines="50" w:after="120" w:afterLines="50" w:line="360" w:lineRule="auto"/>
        <w:ind w:left="840" w:leftChars="400"/>
        <w:rPr>
          <w:rFonts w:ascii="宋体" w:hAnsi="宋体" w:cs="宋体"/>
          <w:color w:val="auto"/>
          <w:sz w:val="32"/>
          <w:szCs w:val="32"/>
        </w:rPr>
      </w:pPr>
      <w:r>
        <w:rPr>
          <w:rFonts w:hint="eastAsia" w:ascii="宋体" w:hAnsi="宋体" w:cs="宋体"/>
          <w:color w:val="auto"/>
          <w:sz w:val="32"/>
          <w:szCs w:val="32"/>
        </w:rPr>
        <w:t>项目编号：</w:t>
      </w:r>
      <w:r>
        <w:rPr>
          <w:rFonts w:hint="eastAsia" w:ascii="宋体" w:hAnsi="宋体" w:cs="宋体"/>
          <w:color w:val="auto"/>
          <w:sz w:val="32"/>
          <w:szCs w:val="32"/>
          <w:u w:val="single"/>
        </w:rPr>
        <w:t xml:space="preserve">                           </w:t>
      </w:r>
    </w:p>
    <w:p w14:paraId="13818949">
      <w:pPr>
        <w:spacing w:before="720" w:beforeLines="300" w:after="240" w:afterLines="100" w:line="360" w:lineRule="auto"/>
        <w:jc w:val="center"/>
        <w:rPr>
          <w:rFonts w:ascii="宋体" w:hAnsi="宋体" w:cs="宋体"/>
          <w:b/>
          <w:color w:val="auto"/>
          <w:sz w:val="32"/>
          <w:szCs w:val="32"/>
        </w:rPr>
      </w:pPr>
    </w:p>
    <w:p w14:paraId="4D47B22D">
      <w:pPr>
        <w:spacing w:after="480" w:afterLines="200" w:line="360" w:lineRule="auto"/>
        <w:ind w:left="3620" w:leftChars="299" w:hanging="2992" w:hangingChars="466"/>
        <w:jc w:val="center"/>
        <w:rPr>
          <w:rFonts w:ascii="宋体" w:hAnsi="宋体" w:cs="宋体"/>
          <w:b/>
          <w:color w:val="auto"/>
          <w:spacing w:val="60"/>
          <w:sz w:val="96"/>
          <w:szCs w:val="96"/>
        </w:rPr>
      </w:pPr>
      <w:r>
        <w:rPr>
          <w:rFonts w:hint="eastAsia" w:ascii="宋体" w:hAnsi="宋体" w:cs="宋体"/>
          <w:b/>
          <w:color w:val="auto"/>
          <w:spacing w:val="60"/>
          <w:sz w:val="52"/>
          <w:szCs w:val="52"/>
        </w:rPr>
        <w:t>响应文件</w:t>
      </w:r>
    </w:p>
    <w:p w14:paraId="46D9720B">
      <w:pPr>
        <w:spacing w:before="120" w:beforeLines="50" w:after="120" w:afterLines="50" w:line="360" w:lineRule="auto"/>
        <w:ind w:firstLine="1744" w:firstLineChars="545"/>
        <w:rPr>
          <w:rFonts w:ascii="宋体" w:hAnsi="宋体" w:cs="宋体"/>
          <w:color w:val="auto"/>
          <w:sz w:val="32"/>
          <w:szCs w:val="32"/>
        </w:rPr>
      </w:pPr>
    </w:p>
    <w:p w14:paraId="4EA5E84B">
      <w:pPr>
        <w:spacing w:line="360" w:lineRule="auto"/>
        <w:rPr>
          <w:rFonts w:ascii="宋体" w:hAnsi="宋体" w:cs="宋体"/>
          <w:b/>
          <w:color w:val="auto"/>
          <w:sz w:val="36"/>
          <w:szCs w:val="36"/>
        </w:rPr>
      </w:pPr>
    </w:p>
    <w:p w14:paraId="545E1A51">
      <w:pPr>
        <w:spacing w:line="360" w:lineRule="auto"/>
        <w:rPr>
          <w:rFonts w:ascii="宋体" w:hAnsi="宋体" w:cs="宋体"/>
          <w:b/>
          <w:color w:val="auto"/>
          <w:sz w:val="36"/>
          <w:szCs w:val="36"/>
        </w:rPr>
      </w:pPr>
    </w:p>
    <w:p w14:paraId="7ACD6783">
      <w:pPr>
        <w:pStyle w:val="56"/>
        <w:spacing w:before="360" w:beforeLines="150" w:after="360" w:afterLines="150" w:line="360" w:lineRule="auto"/>
        <w:jc w:val="both"/>
        <w:rPr>
          <w:rFonts w:hAnsi="宋体" w:cs="宋体"/>
          <w:color w:val="auto"/>
          <w:sz w:val="28"/>
          <w:szCs w:val="28"/>
        </w:rPr>
      </w:pPr>
      <w:r>
        <w:rPr>
          <w:rFonts w:hint="eastAsia" w:hAnsi="宋体" w:cs="宋体"/>
          <w:color w:val="auto"/>
          <w:sz w:val="28"/>
          <w:szCs w:val="28"/>
        </w:rPr>
        <w:t>供应商：</w:t>
      </w:r>
      <w:r>
        <w:rPr>
          <w:rFonts w:hint="eastAsia" w:hAnsi="宋体" w:cs="宋体"/>
          <w:color w:val="auto"/>
          <w:sz w:val="28"/>
          <w:szCs w:val="28"/>
          <w:u w:val="single"/>
        </w:rPr>
        <w:t xml:space="preserve">                                    </w:t>
      </w:r>
      <w:r>
        <w:rPr>
          <w:rFonts w:hint="eastAsia" w:hAnsi="宋体" w:cs="宋体"/>
          <w:color w:val="auto"/>
          <w:sz w:val="28"/>
          <w:szCs w:val="28"/>
        </w:rPr>
        <w:t>（加盖电子签章）</w:t>
      </w:r>
    </w:p>
    <w:p w14:paraId="2ED9C6F1">
      <w:pPr>
        <w:pStyle w:val="56"/>
        <w:spacing w:before="360" w:beforeLines="150" w:after="360" w:afterLines="150" w:line="360" w:lineRule="auto"/>
        <w:jc w:val="both"/>
        <w:rPr>
          <w:rFonts w:hAnsi="宋体" w:cs="宋体"/>
          <w:color w:val="auto"/>
          <w:sz w:val="28"/>
          <w:szCs w:val="28"/>
          <w:u w:val="single"/>
        </w:rPr>
      </w:pPr>
      <w:r>
        <w:rPr>
          <w:rFonts w:hint="eastAsia" w:hAnsi="宋体" w:cs="宋体"/>
          <w:color w:val="auto"/>
          <w:sz w:val="28"/>
          <w:szCs w:val="28"/>
        </w:rPr>
        <w:t>法定代表人：</w:t>
      </w:r>
      <w:r>
        <w:rPr>
          <w:rFonts w:hint="eastAsia" w:hAnsi="宋体" w:cs="宋体"/>
          <w:color w:val="auto"/>
          <w:sz w:val="28"/>
          <w:szCs w:val="28"/>
          <w:u w:val="single"/>
        </w:rPr>
        <w:t xml:space="preserve">                                </w:t>
      </w:r>
      <w:r>
        <w:rPr>
          <w:rFonts w:hint="eastAsia" w:hAnsi="宋体" w:cs="宋体"/>
          <w:color w:val="auto"/>
          <w:sz w:val="28"/>
          <w:szCs w:val="28"/>
        </w:rPr>
        <w:t>（加盖电子签名）</w:t>
      </w:r>
    </w:p>
    <w:p w14:paraId="2EDD8D99">
      <w:pPr>
        <w:spacing w:before="360" w:beforeLines="150" w:after="360" w:afterLines="150" w:line="586" w:lineRule="atLeast"/>
        <w:rPr>
          <w:rFonts w:ascii="宋体" w:hAnsi="宋体" w:cs="宋体"/>
          <w:color w:val="auto"/>
          <w:sz w:val="28"/>
          <w:szCs w:val="28"/>
        </w:rPr>
      </w:pPr>
      <w:r>
        <w:rPr>
          <w:rFonts w:hint="eastAsia" w:ascii="宋体" w:hAnsi="宋体" w:cs="宋体"/>
          <w:color w:val="auto"/>
          <w:sz w:val="28"/>
          <w:szCs w:val="28"/>
        </w:rPr>
        <w:t>投标日期：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14:paraId="2BF76A90">
      <w:pPr>
        <w:rPr>
          <w:rFonts w:ascii="宋体" w:hAnsi="宋体" w:cs="宋体"/>
          <w:b/>
          <w:color w:val="auto"/>
          <w:sz w:val="30"/>
          <w:szCs w:val="30"/>
        </w:rPr>
      </w:pPr>
      <w:r>
        <w:rPr>
          <w:rFonts w:hint="eastAsia" w:ascii="宋体" w:hAnsi="宋体" w:cs="宋体"/>
          <w:b/>
          <w:color w:val="auto"/>
          <w:sz w:val="30"/>
          <w:szCs w:val="30"/>
        </w:rPr>
        <w:br w:type="page"/>
      </w:r>
    </w:p>
    <w:p w14:paraId="4D08DBBD">
      <w:pPr>
        <w:pStyle w:val="2"/>
        <w:rPr>
          <w:color w:val="auto"/>
        </w:rPr>
      </w:pPr>
      <w:bookmarkStart w:id="56" w:name="_Toc30165"/>
      <w:r>
        <w:rPr>
          <w:rFonts w:hint="eastAsia"/>
          <w:color w:val="auto"/>
        </w:rPr>
        <w:t>一、投标书</w:t>
      </w:r>
      <w:bookmarkEnd w:id="56"/>
    </w:p>
    <w:p w14:paraId="7037080C">
      <w:pPr>
        <w:spacing w:line="240" w:lineRule="auto"/>
        <w:rPr>
          <w:rFonts w:ascii="宋体" w:hAnsi="宋体" w:cs="宋体"/>
          <w:color w:val="auto"/>
          <w:sz w:val="24"/>
          <w:szCs w:val="24"/>
        </w:rPr>
      </w:pPr>
      <w:r>
        <w:rPr>
          <w:rFonts w:hint="eastAsia" w:ascii="宋体" w:hAnsi="宋体" w:cs="宋体"/>
          <w:color w:val="auto"/>
          <w:sz w:val="24"/>
          <w:szCs w:val="24"/>
        </w:rPr>
        <w:t>致：（采购人名称）</w:t>
      </w:r>
    </w:p>
    <w:p w14:paraId="389C5A13">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根据贵方竞争性磋商（项目名称）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的《磋商文件》（项目编号：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），经详细研究，我们决定参加该项目的采购活动并按要求提交《响应文件》。我们郑重声明对我单位提交的所有投标资料的真实准确完整承担完全责任、并对之负法律责任。</w:t>
      </w:r>
    </w:p>
    <w:p w14:paraId="6B24CBE8">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（1）投标书</w:t>
      </w:r>
    </w:p>
    <w:p w14:paraId="012827B5">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（2）开标一览表</w:t>
      </w:r>
    </w:p>
    <w:p w14:paraId="49ADDB36">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（3）分项报价</w:t>
      </w:r>
    </w:p>
    <w:p w14:paraId="1FCE2968">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（4）服务方案及服务质量承诺</w:t>
      </w:r>
    </w:p>
    <w:p w14:paraId="37B58155">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（5）服务拟投入设备清单及其技术参数</w:t>
      </w:r>
    </w:p>
    <w:p w14:paraId="24DD0A8D">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（6）服务拟投入的人员情况表</w:t>
      </w:r>
    </w:p>
    <w:p w14:paraId="1225E08B">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（7）偏差表</w:t>
      </w:r>
    </w:p>
    <w:p w14:paraId="2ECF8914">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（8）关于资格的声明函</w:t>
      </w:r>
    </w:p>
    <w:p w14:paraId="065EF3E3">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（9）反商业贿赂承诺书</w:t>
      </w:r>
    </w:p>
    <w:p w14:paraId="1503FF89">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（10）资格要求相关证明材料（文件）</w:t>
      </w:r>
    </w:p>
    <w:p w14:paraId="694EE89B">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（11）采购项目及服务要求所需的其他材料（按条款需要）</w:t>
      </w:r>
    </w:p>
    <w:p w14:paraId="48422CF3">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（12）供应商须知所需的其他材料（按条款需要）</w:t>
      </w:r>
    </w:p>
    <w:p w14:paraId="7DE24987">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（13）评审办法所需的其他材料（按条款需要）</w:t>
      </w:r>
    </w:p>
    <w:p w14:paraId="64608C91">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（14）供应商认为有必要提交的其它材料</w:t>
      </w:r>
    </w:p>
    <w:p w14:paraId="620D5ECC">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w:t>
      </w:r>
    </w:p>
    <w:p w14:paraId="431ECB11">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据此函，签字代表宣布同意如下：</w:t>
      </w:r>
    </w:p>
    <w:p w14:paraId="18EFD54D">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1.所附“《响应文件》开标一览表”中规定的应提供和交付的投标总价为：人民币</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，即</w:t>
      </w:r>
      <w:r>
        <w:rPr>
          <w:rFonts w:hint="eastAsia" w:ascii="宋体" w:hAnsi="宋体" w:cs="宋体"/>
          <w:color w:val="auto"/>
          <w:sz w:val="24"/>
          <w:szCs w:val="24"/>
          <w:u w:val="single"/>
        </w:rPr>
        <w:t xml:space="preserve">         </w:t>
      </w:r>
      <w:r>
        <w:rPr>
          <w:rFonts w:hint="eastAsia" w:ascii="宋体" w:hAnsi="宋体" w:cs="宋体"/>
          <w:color w:val="auto"/>
          <w:sz w:val="24"/>
          <w:szCs w:val="24"/>
        </w:rPr>
        <w:t>（文字表述），合同履行期限（服务期限）：</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，服务地点：</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4567680B">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2.如果我单位的投标书被接受，我单位将履行《磋商文件》中规定的每一项要求，按期、按质、按量履行合同。</w:t>
      </w:r>
    </w:p>
    <w:p w14:paraId="7F265538">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3.我单位愿按《中华人民共和国民法典》履行我单位的全部责任。</w:t>
      </w:r>
    </w:p>
    <w:p w14:paraId="67127682">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我单位已详细阅读并完全理解、同意《磋商文件》的全部内容，包括澄清、修改、补充文件（竞争性磋商公告所述媒体公布）以及全部参考资料和有关附件；除我单位在《磋商文件》规定期间内书面提出的疑问外，我单位放弃对这方面有不明及误解的权力。</w:t>
      </w:r>
    </w:p>
    <w:p w14:paraId="4761E3F4">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5.《响应文件》自开启日起有效期为90日历天。</w:t>
      </w:r>
    </w:p>
    <w:p w14:paraId="5A61310C">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6.我单位承诺按照《磋商文件》规定的付款方式执行。</w:t>
      </w:r>
    </w:p>
    <w:p w14:paraId="7E619DAC">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7.如果在规定的开标时间后，我单位在投标有效期内撤回投标的，依据磋商文件“第三章3.5.5违背承诺的责任追究措施”，我单位承担相应法律责任及违约责任。</w:t>
      </w:r>
    </w:p>
    <w:p w14:paraId="79FBF774">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8.我单位同意提供按照贵方可能要求的与磋商有关的一切数据或资料，理解贵方不一定要接受最低价的投标或收到的任何投标。</w:t>
      </w:r>
    </w:p>
    <w:p w14:paraId="758F2D1E">
      <w:pPr>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9.与本投标有关的一切正式往来请寄：</w:t>
      </w:r>
    </w:p>
    <w:p w14:paraId="6111A7CB">
      <w:pPr>
        <w:spacing w:line="400" w:lineRule="atLeast"/>
        <w:rPr>
          <w:rFonts w:ascii="宋体" w:hAnsi="宋体" w:cs="宋体"/>
          <w:color w:val="auto"/>
          <w:spacing w:val="8"/>
          <w:sz w:val="24"/>
          <w:szCs w:val="24"/>
        </w:rPr>
      </w:pPr>
    </w:p>
    <w:p w14:paraId="71D673EC">
      <w:pPr>
        <w:spacing w:line="400" w:lineRule="atLeast"/>
        <w:rPr>
          <w:rFonts w:ascii="宋体" w:hAnsi="宋体" w:cs="宋体"/>
          <w:color w:val="auto"/>
          <w:spacing w:val="8"/>
          <w:sz w:val="24"/>
          <w:szCs w:val="24"/>
        </w:rPr>
      </w:pPr>
      <w:r>
        <w:rPr>
          <w:rFonts w:hint="eastAsia" w:ascii="宋体" w:hAnsi="宋体" w:cs="宋体"/>
          <w:color w:val="auto"/>
          <w:spacing w:val="8"/>
          <w:sz w:val="24"/>
          <w:szCs w:val="24"/>
        </w:rPr>
        <w:t>地址：                            邮政编码：</w:t>
      </w:r>
    </w:p>
    <w:p w14:paraId="52D20143">
      <w:pPr>
        <w:spacing w:line="400" w:lineRule="atLeast"/>
        <w:rPr>
          <w:rFonts w:ascii="宋体" w:hAnsi="宋体" w:cs="宋体"/>
          <w:color w:val="auto"/>
          <w:spacing w:val="8"/>
          <w:sz w:val="24"/>
          <w:szCs w:val="24"/>
        </w:rPr>
      </w:pPr>
      <w:r>
        <w:rPr>
          <w:rFonts w:hint="eastAsia" w:ascii="宋体" w:hAnsi="宋体" w:cs="宋体"/>
          <w:color w:val="auto"/>
          <w:spacing w:val="8"/>
          <w:sz w:val="24"/>
          <w:szCs w:val="24"/>
        </w:rPr>
        <w:t>电话：                            传真：</w:t>
      </w:r>
    </w:p>
    <w:p w14:paraId="512CBCA9">
      <w:pPr>
        <w:spacing w:line="400" w:lineRule="atLeast"/>
        <w:rPr>
          <w:rFonts w:ascii="宋体" w:hAnsi="宋体" w:cs="宋体"/>
          <w:color w:val="auto"/>
          <w:spacing w:val="8"/>
          <w:sz w:val="24"/>
          <w:szCs w:val="24"/>
        </w:rPr>
      </w:pPr>
    </w:p>
    <w:p w14:paraId="52A1F7BE">
      <w:pPr>
        <w:spacing w:line="400" w:lineRule="atLeast"/>
        <w:rPr>
          <w:rFonts w:ascii="宋体" w:hAnsi="宋体" w:cs="宋体"/>
          <w:color w:val="auto"/>
          <w:spacing w:val="8"/>
          <w:sz w:val="24"/>
          <w:szCs w:val="24"/>
        </w:rPr>
      </w:pPr>
    </w:p>
    <w:p w14:paraId="6FD9BDC5">
      <w:pPr>
        <w:spacing w:line="400" w:lineRule="atLeast"/>
        <w:rPr>
          <w:rFonts w:ascii="宋体" w:hAnsi="宋体" w:cs="宋体"/>
          <w:color w:val="auto"/>
          <w:spacing w:val="8"/>
          <w:sz w:val="24"/>
          <w:szCs w:val="24"/>
        </w:rPr>
      </w:pPr>
    </w:p>
    <w:p w14:paraId="44438C89">
      <w:pPr>
        <w:tabs>
          <w:tab w:val="left" w:pos="0"/>
        </w:tabs>
        <w:spacing w:line="360" w:lineRule="auto"/>
        <w:ind w:right="512"/>
        <w:rPr>
          <w:rFonts w:ascii="宋体" w:hAnsi="宋体" w:cs="宋体"/>
          <w:color w:val="auto"/>
          <w:spacing w:val="8"/>
          <w:sz w:val="24"/>
        </w:rPr>
      </w:pPr>
      <w:r>
        <w:rPr>
          <w:rFonts w:hint="eastAsia" w:ascii="宋体" w:hAnsi="宋体" w:cs="宋体"/>
          <w:color w:val="auto"/>
          <w:sz w:val="24"/>
          <w:szCs w:val="24"/>
        </w:rPr>
        <w:t>供应商（电子签章）</w:t>
      </w:r>
      <w:r>
        <w:rPr>
          <w:rFonts w:hint="eastAsia" w:ascii="宋体" w:hAnsi="宋体" w:cs="宋体"/>
          <w:color w:val="auto"/>
          <w:spacing w:val="8"/>
          <w:sz w:val="24"/>
        </w:rPr>
        <w:t>：</w:t>
      </w:r>
    </w:p>
    <w:p w14:paraId="01699729">
      <w:pPr>
        <w:tabs>
          <w:tab w:val="left" w:pos="0"/>
        </w:tabs>
        <w:spacing w:line="360" w:lineRule="auto"/>
        <w:ind w:right="768"/>
        <w:jc w:val="left"/>
        <w:rPr>
          <w:rFonts w:ascii="宋体" w:hAnsi="宋体" w:cs="宋体"/>
          <w:color w:val="auto"/>
          <w:spacing w:val="8"/>
          <w:sz w:val="24"/>
        </w:rPr>
      </w:pPr>
      <w:r>
        <w:rPr>
          <w:rFonts w:hint="eastAsia" w:ascii="宋体" w:hAnsi="宋体" w:cs="宋体"/>
          <w:color w:val="auto"/>
          <w:spacing w:val="8"/>
          <w:sz w:val="24"/>
        </w:rPr>
        <w:t>法定代表人</w:t>
      </w:r>
      <w:r>
        <w:rPr>
          <w:rFonts w:hint="eastAsia" w:ascii="宋体" w:hAnsi="宋体" w:cs="宋体"/>
          <w:color w:val="auto"/>
          <w:sz w:val="24"/>
          <w:szCs w:val="24"/>
        </w:rPr>
        <w:t>（电子签名）</w:t>
      </w:r>
      <w:r>
        <w:rPr>
          <w:rFonts w:hint="eastAsia" w:ascii="宋体" w:hAnsi="宋体" w:cs="宋体"/>
          <w:color w:val="auto"/>
          <w:spacing w:val="8"/>
          <w:sz w:val="24"/>
        </w:rPr>
        <w:t>：</w:t>
      </w:r>
    </w:p>
    <w:p w14:paraId="7F70D3D2">
      <w:pPr>
        <w:autoSpaceDE w:val="0"/>
        <w:autoSpaceDN w:val="0"/>
        <w:adjustRightInd w:val="0"/>
        <w:spacing w:line="360" w:lineRule="auto"/>
        <w:rPr>
          <w:rFonts w:ascii="宋体" w:hAnsi="宋体" w:cs="宋体"/>
          <w:color w:val="auto"/>
          <w:sz w:val="24"/>
        </w:rPr>
      </w:pPr>
      <w:r>
        <w:rPr>
          <w:rFonts w:hint="eastAsia" w:ascii="宋体" w:hAnsi="宋体" w:cs="宋体"/>
          <w:color w:val="auto"/>
          <w:spacing w:val="8"/>
          <w:sz w:val="24"/>
        </w:rPr>
        <w:t>日期：</w:t>
      </w:r>
      <w:r>
        <w:rPr>
          <w:rFonts w:hint="eastAsia" w:ascii="宋体" w:hAnsi="宋体" w:cs="宋体"/>
          <w:color w:val="auto"/>
          <w:sz w:val="24"/>
          <w:lang w:val="zh-CN"/>
        </w:rPr>
        <w:t xml:space="preserve">   年   月   日</w:t>
      </w:r>
    </w:p>
    <w:p w14:paraId="3764FFBD">
      <w:pPr>
        <w:spacing w:line="500" w:lineRule="exact"/>
        <w:ind w:firstLine="480" w:firstLineChars="200"/>
        <w:jc w:val="left"/>
        <w:rPr>
          <w:rFonts w:ascii="宋体" w:hAnsi="宋体" w:cs="宋体"/>
          <w:color w:val="auto"/>
          <w:sz w:val="24"/>
          <w:szCs w:val="24"/>
        </w:rPr>
      </w:pPr>
    </w:p>
    <w:p w14:paraId="2EC27617">
      <w:pPr>
        <w:spacing w:line="500" w:lineRule="exact"/>
        <w:ind w:firstLine="480" w:firstLineChars="200"/>
        <w:jc w:val="left"/>
        <w:rPr>
          <w:rFonts w:ascii="宋体" w:hAnsi="宋体" w:cs="宋体"/>
          <w:color w:val="auto"/>
          <w:sz w:val="24"/>
          <w:szCs w:val="24"/>
        </w:rPr>
      </w:pPr>
    </w:p>
    <w:p w14:paraId="618625C7">
      <w:pPr>
        <w:spacing w:line="500" w:lineRule="exact"/>
        <w:ind w:firstLine="480" w:firstLineChars="200"/>
        <w:jc w:val="left"/>
        <w:rPr>
          <w:rFonts w:ascii="宋体" w:hAnsi="宋体" w:cs="宋体"/>
          <w:color w:val="auto"/>
          <w:sz w:val="24"/>
          <w:szCs w:val="24"/>
        </w:rPr>
      </w:pPr>
    </w:p>
    <w:p w14:paraId="01DAF7A6">
      <w:pPr>
        <w:spacing w:line="500" w:lineRule="exact"/>
        <w:ind w:firstLine="480" w:firstLineChars="200"/>
        <w:jc w:val="left"/>
        <w:rPr>
          <w:rFonts w:ascii="宋体" w:hAnsi="宋体" w:cs="宋体"/>
          <w:color w:val="auto"/>
          <w:sz w:val="24"/>
          <w:szCs w:val="24"/>
        </w:rPr>
      </w:pPr>
    </w:p>
    <w:p w14:paraId="74B309E1">
      <w:pPr>
        <w:spacing w:line="500" w:lineRule="exact"/>
        <w:ind w:firstLine="480" w:firstLineChars="200"/>
        <w:jc w:val="left"/>
        <w:rPr>
          <w:rFonts w:ascii="宋体" w:hAnsi="宋体" w:cs="宋体"/>
          <w:color w:val="auto"/>
          <w:sz w:val="24"/>
          <w:szCs w:val="24"/>
        </w:rPr>
      </w:pPr>
    </w:p>
    <w:p w14:paraId="36B76772">
      <w:pPr>
        <w:spacing w:line="500" w:lineRule="exact"/>
        <w:ind w:firstLine="480" w:firstLineChars="200"/>
        <w:jc w:val="left"/>
        <w:rPr>
          <w:rFonts w:ascii="宋体" w:hAnsi="宋体" w:cs="宋体"/>
          <w:color w:val="auto"/>
          <w:sz w:val="24"/>
          <w:szCs w:val="24"/>
        </w:rPr>
      </w:pPr>
    </w:p>
    <w:p w14:paraId="6D920888">
      <w:pPr>
        <w:spacing w:line="500" w:lineRule="exact"/>
        <w:ind w:firstLine="480" w:firstLineChars="200"/>
        <w:jc w:val="left"/>
        <w:rPr>
          <w:rFonts w:ascii="宋体" w:hAnsi="宋体" w:cs="宋体"/>
          <w:color w:val="auto"/>
          <w:sz w:val="24"/>
          <w:szCs w:val="24"/>
        </w:rPr>
      </w:pPr>
    </w:p>
    <w:p w14:paraId="4481FC1F">
      <w:pPr>
        <w:spacing w:line="500" w:lineRule="exact"/>
        <w:ind w:firstLine="480" w:firstLineChars="200"/>
        <w:jc w:val="left"/>
        <w:rPr>
          <w:rFonts w:ascii="宋体" w:hAnsi="宋体" w:cs="宋体"/>
          <w:color w:val="auto"/>
          <w:sz w:val="24"/>
          <w:szCs w:val="24"/>
        </w:rPr>
      </w:pPr>
    </w:p>
    <w:p w14:paraId="37C88763">
      <w:pPr>
        <w:spacing w:line="500" w:lineRule="exact"/>
        <w:ind w:firstLine="480" w:firstLineChars="200"/>
        <w:jc w:val="left"/>
        <w:rPr>
          <w:rFonts w:ascii="宋体" w:hAnsi="宋体" w:cs="宋体"/>
          <w:color w:val="auto"/>
          <w:sz w:val="24"/>
          <w:szCs w:val="24"/>
        </w:rPr>
      </w:pPr>
    </w:p>
    <w:p w14:paraId="5118B643">
      <w:pPr>
        <w:spacing w:line="500" w:lineRule="exact"/>
        <w:ind w:firstLine="480" w:firstLineChars="200"/>
        <w:jc w:val="left"/>
        <w:rPr>
          <w:rFonts w:ascii="宋体" w:hAnsi="宋体" w:cs="宋体"/>
          <w:color w:val="auto"/>
          <w:sz w:val="24"/>
          <w:szCs w:val="24"/>
        </w:rPr>
      </w:pPr>
    </w:p>
    <w:p w14:paraId="1B6534C6">
      <w:pPr>
        <w:spacing w:line="500" w:lineRule="exact"/>
        <w:ind w:firstLine="480" w:firstLineChars="200"/>
        <w:jc w:val="left"/>
        <w:rPr>
          <w:rFonts w:ascii="宋体" w:hAnsi="宋体" w:cs="宋体"/>
          <w:color w:val="auto"/>
          <w:sz w:val="24"/>
          <w:szCs w:val="24"/>
        </w:rPr>
      </w:pPr>
    </w:p>
    <w:p w14:paraId="028A7606">
      <w:pPr>
        <w:spacing w:line="500" w:lineRule="exact"/>
        <w:ind w:firstLine="480" w:firstLineChars="200"/>
        <w:jc w:val="left"/>
        <w:rPr>
          <w:rFonts w:ascii="宋体" w:hAnsi="宋体" w:cs="宋体"/>
          <w:color w:val="auto"/>
          <w:sz w:val="24"/>
          <w:szCs w:val="24"/>
        </w:rPr>
      </w:pPr>
    </w:p>
    <w:p w14:paraId="480E0B97">
      <w:pPr>
        <w:spacing w:line="500" w:lineRule="exact"/>
        <w:ind w:firstLine="480" w:firstLineChars="200"/>
        <w:jc w:val="left"/>
        <w:rPr>
          <w:rFonts w:ascii="宋体" w:hAnsi="宋体" w:cs="宋体"/>
          <w:color w:val="auto"/>
          <w:sz w:val="24"/>
          <w:szCs w:val="24"/>
        </w:rPr>
      </w:pPr>
    </w:p>
    <w:p w14:paraId="2F295D3F">
      <w:pPr>
        <w:spacing w:line="500" w:lineRule="exact"/>
        <w:ind w:firstLine="480" w:firstLineChars="200"/>
        <w:jc w:val="left"/>
        <w:rPr>
          <w:rFonts w:ascii="宋体" w:hAnsi="宋体" w:cs="宋体"/>
          <w:color w:val="auto"/>
          <w:sz w:val="24"/>
          <w:szCs w:val="24"/>
        </w:rPr>
      </w:pPr>
    </w:p>
    <w:p w14:paraId="0ACB0A3D">
      <w:pPr>
        <w:pStyle w:val="2"/>
        <w:rPr>
          <w:color w:val="auto"/>
        </w:rPr>
      </w:pPr>
      <w:bookmarkStart w:id="57" w:name="_Toc6895"/>
      <w:r>
        <w:rPr>
          <w:rFonts w:hint="eastAsia"/>
          <w:color w:val="auto"/>
        </w:rPr>
        <w:t>二、开标一览表</w:t>
      </w:r>
      <w:bookmarkEnd w:id="57"/>
    </w:p>
    <w:tbl>
      <w:tblPr>
        <w:tblStyle w:val="23"/>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7309"/>
      </w:tblGrid>
      <w:tr w14:paraId="29E6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961" w:type="dxa"/>
            <w:vAlign w:val="center"/>
          </w:tcPr>
          <w:p w14:paraId="4C14BB14">
            <w:pPr>
              <w:jc w:val="center"/>
              <w:rPr>
                <w:rFonts w:ascii="宋体" w:hAnsi="宋体" w:cs="宋体"/>
                <w:color w:val="auto"/>
                <w:sz w:val="24"/>
                <w:szCs w:val="24"/>
              </w:rPr>
            </w:pPr>
            <w:r>
              <w:rPr>
                <w:rFonts w:hint="eastAsia" w:ascii="宋体" w:hAnsi="宋体" w:cs="宋体"/>
                <w:color w:val="auto"/>
                <w:sz w:val="24"/>
                <w:szCs w:val="24"/>
              </w:rPr>
              <w:t>项目名称</w:t>
            </w:r>
          </w:p>
        </w:tc>
        <w:tc>
          <w:tcPr>
            <w:tcW w:w="7309" w:type="dxa"/>
            <w:vAlign w:val="center"/>
          </w:tcPr>
          <w:p w14:paraId="309980D7">
            <w:pPr>
              <w:jc w:val="center"/>
              <w:rPr>
                <w:rFonts w:ascii="宋体" w:hAnsi="宋体" w:cs="宋体"/>
                <w:color w:val="auto"/>
                <w:sz w:val="24"/>
                <w:szCs w:val="24"/>
              </w:rPr>
            </w:pPr>
          </w:p>
        </w:tc>
      </w:tr>
      <w:tr w14:paraId="3149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961" w:type="dxa"/>
            <w:vAlign w:val="center"/>
          </w:tcPr>
          <w:p w14:paraId="20B4BBF8">
            <w:pPr>
              <w:jc w:val="center"/>
              <w:rPr>
                <w:rFonts w:ascii="宋体" w:hAnsi="宋体" w:cs="宋体"/>
                <w:color w:val="auto"/>
                <w:sz w:val="24"/>
                <w:szCs w:val="24"/>
              </w:rPr>
            </w:pPr>
            <w:r>
              <w:rPr>
                <w:rFonts w:hint="eastAsia" w:ascii="宋体" w:hAnsi="宋体" w:cs="宋体"/>
                <w:color w:val="auto"/>
                <w:sz w:val="24"/>
                <w:szCs w:val="24"/>
              </w:rPr>
              <w:t>供应商名称</w:t>
            </w:r>
          </w:p>
        </w:tc>
        <w:tc>
          <w:tcPr>
            <w:tcW w:w="7309" w:type="dxa"/>
            <w:vAlign w:val="center"/>
          </w:tcPr>
          <w:p w14:paraId="176D2C3C">
            <w:pPr>
              <w:jc w:val="center"/>
              <w:rPr>
                <w:rFonts w:ascii="宋体" w:hAnsi="宋体" w:cs="宋体"/>
                <w:color w:val="auto"/>
                <w:sz w:val="24"/>
                <w:szCs w:val="24"/>
              </w:rPr>
            </w:pPr>
          </w:p>
        </w:tc>
      </w:tr>
      <w:tr w14:paraId="306D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1961" w:type="dxa"/>
            <w:vAlign w:val="center"/>
          </w:tcPr>
          <w:p w14:paraId="3DC85CD0">
            <w:pPr>
              <w:jc w:val="center"/>
              <w:rPr>
                <w:rFonts w:ascii="宋体" w:hAnsi="宋体" w:cs="宋体"/>
                <w:color w:val="auto"/>
                <w:sz w:val="24"/>
                <w:szCs w:val="24"/>
              </w:rPr>
            </w:pPr>
            <w:r>
              <w:rPr>
                <w:rFonts w:hint="eastAsia" w:ascii="宋体" w:hAnsi="宋体" w:cs="宋体"/>
                <w:color w:val="auto"/>
                <w:sz w:val="24"/>
                <w:szCs w:val="24"/>
              </w:rPr>
              <w:t>磋商报价</w:t>
            </w:r>
          </w:p>
          <w:p w14:paraId="4F28DC28">
            <w:pPr>
              <w:jc w:val="center"/>
              <w:rPr>
                <w:rFonts w:ascii="宋体" w:hAnsi="宋体" w:cs="宋体"/>
                <w:color w:val="auto"/>
                <w:sz w:val="24"/>
                <w:szCs w:val="24"/>
              </w:rPr>
            </w:pPr>
            <w:r>
              <w:rPr>
                <w:rFonts w:hint="eastAsia" w:ascii="宋体" w:hAnsi="宋体" w:cs="宋体"/>
                <w:color w:val="auto"/>
                <w:sz w:val="24"/>
                <w:szCs w:val="24"/>
              </w:rPr>
              <w:t>（第一次）</w:t>
            </w:r>
          </w:p>
        </w:tc>
        <w:tc>
          <w:tcPr>
            <w:tcW w:w="7309" w:type="dxa"/>
            <w:vAlign w:val="center"/>
          </w:tcPr>
          <w:p w14:paraId="113281CC">
            <w:pPr>
              <w:rPr>
                <w:rFonts w:ascii="宋体" w:hAnsi="宋体" w:cs="宋体"/>
                <w:color w:val="auto"/>
                <w:sz w:val="24"/>
                <w:szCs w:val="24"/>
              </w:rPr>
            </w:pPr>
            <w:r>
              <w:rPr>
                <w:rFonts w:hint="eastAsia" w:ascii="宋体" w:hAnsi="宋体" w:cs="宋体"/>
                <w:color w:val="auto"/>
                <w:sz w:val="24"/>
                <w:szCs w:val="24"/>
              </w:rPr>
              <w:t>大写：</w:t>
            </w:r>
            <w:r>
              <w:rPr>
                <w:rFonts w:hint="eastAsia" w:ascii="宋体" w:hAnsi="宋体" w:cs="宋体"/>
                <w:color w:val="auto"/>
                <w:sz w:val="24"/>
                <w:szCs w:val="24"/>
                <w:u w:val="single"/>
              </w:rPr>
              <w:t xml:space="preserve">                </w:t>
            </w:r>
          </w:p>
          <w:p w14:paraId="1099A731">
            <w:pPr>
              <w:rPr>
                <w:rFonts w:ascii="宋体" w:hAnsi="宋体" w:cs="宋体"/>
                <w:color w:val="auto"/>
                <w:sz w:val="24"/>
                <w:szCs w:val="24"/>
              </w:rPr>
            </w:pPr>
            <w:r>
              <w:rPr>
                <w:rFonts w:hint="eastAsia" w:ascii="宋体" w:hAnsi="宋体" w:cs="宋体"/>
                <w:color w:val="auto"/>
                <w:sz w:val="24"/>
                <w:szCs w:val="24"/>
              </w:rPr>
              <w:t>小写：</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p>
        </w:tc>
      </w:tr>
      <w:tr w14:paraId="74A4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961" w:type="dxa"/>
            <w:vAlign w:val="center"/>
          </w:tcPr>
          <w:p w14:paraId="7E8DDFB9">
            <w:pPr>
              <w:jc w:val="center"/>
              <w:rPr>
                <w:rFonts w:ascii="宋体" w:hAnsi="宋体" w:cs="宋体"/>
                <w:color w:val="auto"/>
                <w:sz w:val="24"/>
                <w:szCs w:val="24"/>
              </w:rPr>
            </w:pPr>
            <w:r>
              <w:rPr>
                <w:rFonts w:hint="eastAsia" w:ascii="宋体" w:hAnsi="宋体" w:cs="宋体"/>
                <w:color w:val="auto"/>
                <w:spacing w:val="2"/>
                <w:sz w:val="24"/>
                <w:szCs w:val="24"/>
              </w:rPr>
              <w:t>合同履行期限</w:t>
            </w:r>
          </w:p>
        </w:tc>
        <w:tc>
          <w:tcPr>
            <w:tcW w:w="7309" w:type="dxa"/>
            <w:vAlign w:val="center"/>
          </w:tcPr>
          <w:p w14:paraId="0DD59B64">
            <w:pPr>
              <w:jc w:val="center"/>
              <w:rPr>
                <w:rFonts w:ascii="宋体" w:hAnsi="宋体" w:cs="宋体"/>
                <w:color w:val="auto"/>
                <w:sz w:val="24"/>
                <w:szCs w:val="24"/>
              </w:rPr>
            </w:pPr>
          </w:p>
        </w:tc>
      </w:tr>
      <w:tr w14:paraId="0435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9270" w:type="dxa"/>
            <w:gridSpan w:val="2"/>
            <w:vAlign w:val="center"/>
          </w:tcPr>
          <w:p w14:paraId="1E3ABF3B">
            <w:pPr>
              <w:rPr>
                <w:rFonts w:ascii="宋体" w:hAnsi="宋体" w:cs="宋体"/>
                <w:color w:val="auto"/>
                <w:sz w:val="24"/>
                <w:szCs w:val="24"/>
              </w:rPr>
            </w:pPr>
            <w:r>
              <w:rPr>
                <w:rFonts w:hint="eastAsia" w:ascii="宋体" w:hAnsi="宋体" w:cs="宋体"/>
                <w:color w:val="auto"/>
                <w:sz w:val="24"/>
                <w:szCs w:val="24"/>
              </w:rPr>
              <w:t>需要说明的其它问题：</w:t>
            </w:r>
          </w:p>
          <w:p w14:paraId="1606A42E">
            <w:pPr>
              <w:jc w:val="center"/>
              <w:rPr>
                <w:rFonts w:ascii="宋体" w:hAnsi="宋体" w:cs="宋体"/>
                <w:color w:val="auto"/>
                <w:sz w:val="24"/>
                <w:szCs w:val="24"/>
              </w:rPr>
            </w:pPr>
          </w:p>
        </w:tc>
      </w:tr>
    </w:tbl>
    <w:p w14:paraId="1B12C9AA">
      <w:pPr>
        <w:widowControl w:val="0"/>
        <w:snapToGrid w:val="0"/>
        <w:spacing w:line="560" w:lineRule="exact"/>
        <w:ind w:firstLine="482" w:firstLineChars="200"/>
        <w:jc w:val="left"/>
        <w:rPr>
          <w:rFonts w:ascii="宋体" w:hAnsi="宋体" w:cs="宋体"/>
          <w:b/>
          <w:color w:val="auto"/>
          <w:sz w:val="24"/>
          <w:szCs w:val="24"/>
        </w:rPr>
      </w:pPr>
    </w:p>
    <w:p w14:paraId="5F025736">
      <w:pPr>
        <w:widowControl w:val="0"/>
        <w:snapToGrid w:val="0"/>
        <w:spacing w:line="560" w:lineRule="exact"/>
        <w:ind w:firstLine="482" w:firstLineChars="200"/>
        <w:jc w:val="left"/>
        <w:rPr>
          <w:rFonts w:ascii="宋体" w:hAnsi="宋体" w:cs="宋体"/>
          <w:b/>
          <w:color w:val="auto"/>
          <w:sz w:val="24"/>
          <w:szCs w:val="24"/>
        </w:rPr>
      </w:pPr>
    </w:p>
    <w:p w14:paraId="2EA5B3AF">
      <w:pPr>
        <w:widowControl w:val="0"/>
        <w:snapToGrid w:val="0"/>
        <w:spacing w:line="560" w:lineRule="exact"/>
        <w:ind w:firstLine="482" w:firstLineChars="200"/>
        <w:jc w:val="left"/>
        <w:rPr>
          <w:rFonts w:ascii="宋体" w:hAnsi="宋体" w:cs="宋体"/>
          <w:b/>
          <w:color w:val="auto"/>
          <w:sz w:val="24"/>
          <w:szCs w:val="24"/>
        </w:rPr>
      </w:pPr>
    </w:p>
    <w:p w14:paraId="42AE67A7">
      <w:pPr>
        <w:spacing w:line="500" w:lineRule="exact"/>
        <w:ind w:firstLine="482" w:firstLineChars="200"/>
        <w:rPr>
          <w:rFonts w:ascii="宋体" w:hAnsi="宋体" w:cs="宋体"/>
          <w:b/>
          <w:color w:val="auto"/>
          <w:sz w:val="24"/>
          <w:szCs w:val="24"/>
        </w:rPr>
      </w:pPr>
    </w:p>
    <w:p w14:paraId="6316CAF4">
      <w:pPr>
        <w:spacing w:line="500" w:lineRule="exact"/>
        <w:ind w:firstLine="482" w:firstLineChars="200"/>
        <w:jc w:val="left"/>
        <w:rPr>
          <w:rFonts w:ascii="宋体" w:hAnsi="宋体" w:cs="宋体"/>
          <w:b/>
          <w:color w:val="auto"/>
          <w:sz w:val="24"/>
          <w:szCs w:val="24"/>
        </w:rPr>
      </w:pPr>
    </w:p>
    <w:p w14:paraId="556A8887">
      <w:pPr>
        <w:tabs>
          <w:tab w:val="left" w:pos="0"/>
        </w:tabs>
        <w:spacing w:line="360" w:lineRule="auto"/>
        <w:ind w:right="512"/>
        <w:rPr>
          <w:rFonts w:ascii="宋体" w:hAnsi="宋体" w:cs="宋体"/>
          <w:color w:val="auto"/>
          <w:spacing w:val="8"/>
          <w:sz w:val="24"/>
        </w:rPr>
      </w:pPr>
      <w:r>
        <w:rPr>
          <w:rFonts w:hint="eastAsia" w:ascii="宋体" w:hAnsi="宋体" w:cs="宋体"/>
          <w:color w:val="auto"/>
          <w:sz w:val="24"/>
          <w:szCs w:val="24"/>
        </w:rPr>
        <w:t>供应商（电子签章）</w:t>
      </w:r>
      <w:r>
        <w:rPr>
          <w:rFonts w:hint="eastAsia" w:ascii="宋体" w:hAnsi="宋体" w:cs="宋体"/>
          <w:color w:val="auto"/>
          <w:spacing w:val="8"/>
          <w:sz w:val="24"/>
        </w:rPr>
        <w:t>：</w:t>
      </w:r>
    </w:p>
    <w:p w14:paraId="35C6384F">
      <w:pPr>
        <w:tabs>
          <w:tab w:val="left" w:pos="0"/>
        </w:tabs>
        <w:spacing w:line="360" w:lineRule="auto"/>
        <w:ind w:right="768"/>
        <w:jc w:val="left"/>
        <w:rPr>
          <w:rFonts w:ascii="宋体" w:hAnsi="宋体" w:cs="宋体"/>
          <w:color w:val="auto"/>
          <w:spacing w:val="8"/>
          <w:sz w:val="24"/>
        </w:rPr>
      </w:pPr>
      <w:r>
        <w:rPr>
          <w:rFonts w:hint="eastAsia" w:ascii="宋体" w:hAnsi="宋体" w:cs="宋体"/>
          <w:color w:val="auto"/>
          <w:spacing w:val="8"/>
          <w:sz w:val="24"/>
        </w:rPr>
        <w:t>法定代表人</w:t>
      </w:r>
      <w:r>
        <w:rPr>
          <w:rFonts w:hint="eastAsia" w:ascii="宋体" w:hAnsi="宋体" w:cs="宋体"/>
          <w:color w:val="auto"/>
          <w:sz w:val="24"/>
          <w:szCs w:val="24"/>
        </w:rPr>
        <w:t>（电子签名）</w:t>
      </w:r>
      <w:r>
        <w:rPr>
          <w:rFonts w:hint="eastAsia" w:ascii="宋体" w:hAnsi="宋体" w:cs="宋体"/>
          <w:color w:val="auto"/>
          <w:spacing w:val="8"/>
          <w:sz w:val="24"/>
        </w:rPr>
        <w:t>：</w:t>
      </w:r>
    </w:p>
    <w:p w14:paraId="37BACCC9">
      <w:pPr>
        <w:autoSpaceDE w:val="0"/>
        <w:autoSpaceDN w:val="0"/>
        <w:adjustRightInd w:val="0"/>
        <w:spacing w:line="360" w:lineRule="auto"/>
        <w:rPr>
          <w:rFonts w:ascii="宋体" w:hAnsi="宋体" w:cs="宋体"/>
          <w:color w:val="auto"/>
          <w:sz w:val="24"/>
        </w:rPr>
      </w:pPr>
      <w:r>
        <w:rPr>
          <w:rFonts w:hint="eastAsia" w:ascii="宋体" w:hAnsi="宋体" w:cs="宋体"/>
          <w:color w:val="auto"/>
          <w:spacing w:val="8"/>
          <w:sz w:val="24"/>
        </w:rPr>
        <w:t>日期：</w:t>
      </w:r>
      <w:r>
        <w:rPr>
          <w:rFonts w:hint="eastAsia" w:ascii="宋体" w:hAnsi="宋体" w:cs="宋体"/>
          <w:color w:val="auto"/>
          <w:sz w:val="24"/>
          <w:lang w:val="zh-CN"/>
        </w:rPr>
        <w:t xml:space="preserve">   年   月   日</w:t>
      </w:r>
    </w:p>
    <w:p w14:paraId="75915EB7">
      <w:pPr>
        <w:rPr>
          <w:rFonts w:ascii="宋体" w:hAnsi="宋体" w:cs="宋体"/>
          <w:b/>
          <w:color w:val="auto"/>
          <w:sz w:val="30"/>
          <w:szCs w:val="30"/>
        </w:rPr>
      </w:pPr>
      <w:r>
        <w:rPr>
          <w:rFonts w:hint="eastAsia" w:ascii="宋体" w:hAnsi="宋体" w:cs="宋体"/>
          <w:b/>
          <w:color w:val="auto"/>
          <w:sz w:val="30"/>
          <w:szCs w:val="30"/>
        </w:rPr>
        <w:br w:type="page"/>
      </w:r>
    </w:p>
    <w:p w14:paraId="37ABFBBA">
      <w:pPr>
        <w:pStyle w:val="2"/>
        <w:rPr>
          <w:color w:val="auto"/>
        </w:rPr>
      </w:pPr>
      <w:bookmarkStart w:id="58" w:name="_Toc11600"/>
      <w:r>
        <w:rPr>
          <w:rFonts w:hint="eastAsia"/>
          <w:color w:val="auto"/>
        </w:rPr>
        <w:t>三、分项报价</w:t>
      </w:r>
      <w:bookmarkEnd w:id="58"/>
    </w:p>
    <w:p w14:paraId="50701908">
      <w:pPr>
        <w:jc w:val="center"/>
        <w:rPr>
          <w:rFonts w:hint="eastAsia" w:ascii="宋体" w:hAnsi="宋体" w:cs="宋体"/>
          <w:b/>
          <w:color w:val="auto"/>
          <w:sz w:val="24"/>
          <w:szCs w:val="24"/>
        </w:rPr>
      </w:pPr>
      <w:r>
        <w:rPr>
          <w:rFonts w:hint="eastAsia" w:ascii="宋体" w:hAnsi="宋体" w:cs="宋体"/>
          <w:b/>
          <w:color w:val="auto"/>
          <w:sz w:val="24"/>
          <w:szCs w:val="24"/>
        </w:rPr>
        <w:t>（格式自拟）</w:t>
      </w:r>
    </w:p>
    <w:p w14:paraId="30A04C05">
      <w:pPr>
        <w:rPr>
          <w:rFonts w:ascii="宋体" w:hAnsi="宋体" w:cs="宋体"/>
          <w:b/>
          <w:color w:val="auto"/>
          <w:sz w:val="24"/>
          <w:szCs w:val="24"/>
        </w:rPr>
      </w:pPr>
    </w:p>
    <w:p w14:paraId="55D67A3A">
      <w:pPr>
        <w:rPr>
          <w:rFonts w:ascii="宋体" w:hAnsi="宋体" w:cs="宋体"/>
          <w:b/>
          <w:color w:val="auto"/>
          <w:sz w:val="24"/>
          <w:szCs w:val="24"/>
        </w:rPr>
      </w:pPr>
    </w:p>
    <w:p w14:paraId="5B349A9C">
      <w:pPr>
        <w:rPr>
          <w:rFonts w:ascii="宋体" w:hAnsi="宋体" w:cs="宋体"/>
          <w:b/>
          <w:color w:val="auto"/>
          <w:sz w:val="24"/>
          <w:szCs w:val="24"/>
        </w:rPr>
      </w:pPr>
    </w:p>
    <w:p w14:paraId="0EF04601">
      <w:pPr>
        <w:rPr>
          <w:rFonts w:ascii="宋体" w:hAnsi="宋体" w:cs="宋体"/>
          <w:b/>
          <w:color w:val="auto"/>
          <w:sz w:val="24"/>
          <w:szCs w:val="24"/>
        </w:rPr>
      </w:pPr>
    </w:p>
    <w:p w14:paraId="74BCC014">
      <w:pPr>
        <w:rPr>
          <w:rFonts w:ascii="宋体" w:hAnsi="宋体" w:cs="宋体"/>
          <w:color w:val="auto"/>
          <w:sz w:val="24"/>
          <w:szCs w:val="24"/>
        </w:rPr>
      </w:pPr>
    </w:p>
    <w:p w14:paraId="5275899A">
      <w:pPr>
        <w:rPr>
          <w:rFonts w:ascii="宋体" w:hAnsi="宋体" w:cs="宋体"/>
          <w:color w:val="auto"/>
          <w:sz w:val="24"/>
          <w:szCs w:val="24"/>
        </w:rPr>
      </w:pPr>
    </w:p>
    <w:p w14:paraId="1982F064">
      <w:pPr>
        <w:rPr>
          <w:rFonts w:ascii="宋体" w:hAnsi="宋体" w:cs="宋体"/>
          <w:color w:val="auto"/>
          <w:sz w:val="24"/>
          <w:szCs w:val="24"/>
        </w:rPr>
      </w:pPr>
    </w:p>
    <w:p w14:paraId="402EB11C">
      <w:pPr>
        <w:rPr>
          <w:rFonts w:ascii="宋体" w:hAnsi="宋体" w:cs="宋体"/>
          <w:color w:val="auto"/>
          <w:sz w:val="24"/>
          <w:szCs w:val="24"/>
        </w:rPr>
      </w:pPr>
    </w:p>
    <w:p w14:paraId="30790E1B">
      <w:pPr>
        <w:rPr>
          <w:rFonts w:ascii="宋体" w:hAnsi="宋体" w:cs="宋体"/>
          <w:color w:val="auto"/>
          <w:sz w:val="24"/>
          <w:szCs w:val="24"/>
        </w:rPr>
      </w:pPr>
    </w:p>
    <w:p w14:paraId="779440B7">
      <w:pPr>
        <w:rPr>
          <w:rFonts w:ascii="宋体" w:hAnsi="宋体" w:cs="宋体"/>
          <w:color w:val="auto"/>
          <w:sz w:val="24"/>
          <w:szCs w:val="24"/>
        </w:rPr>
      </w:pPr>
    </w:p>
    <w:p w14:paraId="0A051F85">
      <w:pPr>
        <w:tabs>
          <w:tab w:val="left" w:pos="0"/>
        </w:tabs>
        <w:spacing w:line="360" w:lineRule="auto"/>
        <w:ind w:right="512"/>
        <w:rPr>
          <w:rFonts w:ascii="宋体" w:hAnsi="宋体" w:cs="宋体"/>
          <w:color w:val="auto"/>
          <w:sz w:val="24"/>
          <w:szCs w:val="24"/>
        </w:rPr>
      </w:pPr>
      <w:bookmarkStart w:id="59" w:name="_Toc2514"/>
    </w:p>
    <w:p w14:paraId="48077127">
      <w:pPr>
        <w:tabs>
          <w:tab w:val="left" w:pos="0"/>
        </w:tabs>
        <w:spacing w:line="360" w:lineRule="auto"/>
        <w:ind w:right="512"/>
        <w:rPr>
          <w:rFonts w:ascii="宋体" w:hAnsi="宋体" w:cs="宋体"/>
          <w:color w:val="auto"/>
          <w:sz w:val="24"/>
          <w:szCs w:val="24"/>
        </w:rPr>
      </w:pPr>
    </w:p>
    <w:p w14:paraId="22F6035F">
      <w:pPr>
        <w:tabs>
          <w:tab w:val="left" w:pos="0"/>
        </w:tabs>
        <w:spacing w:line="360" w:lineRule="auto"/>
        <w:ind w:right="512"/>
        <w:rPr>
          <w:rFonts w:ascii="宋体" w:hAnsi="宋体" w:cs="宋体"/>
          <w:color w:val="auto"/>
          <w:sz w:val="24"/>
          <w:szCs w:val="24"/>
        </w:rPr>
      </w:pPr>
    </w:p>
    <w:p w14:paraId="0BC972DB">
      <w:pPr>
        <w:tabs>
          <w:tab w:val="left" w:pos="0"/>
        </w:tabs>
        <w:spacing w:line="360" w:lineRule="auto"/>
        <w:ind w:right="512"/>
        <w:rPr>
          <w:rFonts w:ascii="宋体" w:hAnsi="宋体" w:cs="宋体"/>
          <w:color w:val="auto"/>
          <w:sz w:val="24"/>
          <w:szCs w:val="24"/>
        </w:rPr>
      </w:pPr>
    </w:p>
    <w:p w14:paraId="6853189B">
      <w:pPr>
        <w:tabs>
          <w:tab w:val="left" w:pos="0"/>
        </w:tabs>
        <w:spacing w:line="360" w:lineRule="auto"/>
        <w:ind w:right="512"/>
        <w:rPr>
          <w:rFonts w:ascii="宋体" w:hAnsi="宋体" w:cs="宋体"/>
          <w:color w:val="auto"/>
          <w:sz w:val="24"/>
          <w:szCs w:val="24"/>
        </w:rPr>
      </w:pPr>
    </w:p>
    <w:p w14:paraId="38FA9B52">
      <w:pPr>
        <w:tabs>
          <w:tab w:val="left" w:pos="0"/>
        </w:tabs>
        <w:spacing w:line="360" w:lineRule="auto"/>
        <w:ind w:right="512"/>
        <w:rPr>
          <w:rFonts w:ascii="宋体" w:hAnsi="宋体" w:cs="宋体"/>
          <w:color w:val="auto"/>
          <w:sz w:val="24"/>
          <w:szCs w:val="24"/>
        </w:rPr>
      </w:pPr>
    </w:p>
    <w:p w14:paraId="539C7704">
      <w:pPr>
        <w:tabs>
          <w:tab w:val="left" w:pos="0"/>
        </w:tabs>
        <w:spacing w:line="360" w:lineRule="auto"/>
        <w:ind w:right="512"/>
        <w:rPr>
          <w:rFonts w:ascii="宋体" w:hAnsi="宋体" w:cs="宋体"/>
          <w:color w:val="auto"/>
          <w:sz w:val="24"/>
          <w:szCs w:val="24"/>
        </w:rPr>
      </w:pPr>
    </w:p>
    <w:p w14:paraId="0C277A32">
      <w:pPr>
        <w:tabs>
          <w:tab w:val="left" w:pos="0"/>
        </w:tabs>
        <w:spacing w:line="360" w:lineRule="auto"/>
        <w:ind w:right="512"/>
        <w:rPr>
          <w:rFonts w:ascii="宋体" w:hAnsi="宋体" w:cs="宋体"/>
          <w:color w:val="auto"/>
          <w:sz w:val="24"/>
          <w:szCs w:val="24"/>
        </w:rPr>
      </w:pPr>
    </w:p>
    <w:p w14:paraId="4E30C045">
      <w:pPr>
        <w:tabs>
          <w:tab w:val="left" w:pos="0"/>
        </w:tabs>
        <w:spacing w:line="360" w:lineRule="auto"/>
        <w:ind w:right="512"/>
        <w:rPr>
          <w:rFonts w:ascii="宋体" w:hAnsi="宋体" w:cs="宋体"/>
          <w:color w:val="auto"/>
          <w:sz w:val="24"/>
          <w:szCs w:val="24"/>
        </w:rPr>
      </w:pPr>
    </w:p>
    <w:p w14:paraId="271C0B50">
      <w:pPr>
        <w:tabs>
          <w:tab w:val="left" w:pos="0"/>
        </w:tabs>
        <w:spacing w:line="360" w:lineRule="auto"/>
        <w:ind w:right="512"/>
        <w:rPr>
          <w:rFonts w:ascii="宋体" w:hAnsi="宋体" w:cs="宋体"/>
          <w:color w:val="auto"/>
          <w:sz w:val="24"/>
          <w:szCs w:val="24"/>
        </w:rPr>
      </w:pPr>
    </w:p>
    <w:p w14:paraId="27F80AA1">
      <w:pPr>
        <w:tabs>
          <w:tab w:val="left" w:pos="0"/>
        </w:tabs>
        <w:spacing w:line="360" w:lineRule="auto"/>
        <w:ind w:right="512"/>
        <w:rPr>
          <w:rFonts w:ascii="宋体" w:hAnsi="宋体" w:cs="宋体"/>
          <w:color w:val="auto"/>
          <w:sz w:val="24"/>
          <w:szCs w:val="24"/>
        </w:rPr>
      </w:pPr>
    </w:p>
    <w:p w14:paraId="34496A3A">
      <w:pPr>
        <w:tabs>
          <w:tab w:val="left" w:pos="0"/>
        </w:tabs>
        <w:spacing w:line="360" w:lineRule="auto"/>
        <w:ind w:right="512"/>
        <w:rPr>
          <w:rFonts w:ascii="宋体" w:hAnsi="宋体" w:cs="宋体"/>
          <w:color w:val="auto"/>
          <w:sz w:val="24"/>
          <w:szCs w:val="24"/>
        </w:rPr>
      </w:pPr>
    </w:p>
    <w:p w14:paraId="1A337D15">
      <w:pPr>
        <w:tabs>
          <w:tab w:val="left" w:pos="0"/>
        </w:tabs>
        <w:spacing w:line="360" w:lineRule="auto"/>
        <w:ind w:right="512"/>
        <w:rPr>
          <w:rFonts w:ascii="宋体" w:hAnsi="宋体" w:cs="宋体"/>
          <w:color w:val="auto"/>
          <w:sz w:val="24"/>
          <w:szCs w:val="24"/>
        </w:rPr>
      </w:pPr>
    </w:p>
    <w:p w14:paraId="68F14D1D">
      <w:pPr>
        <w:tabs>
          <w:tab w:val="left" w:pos="0"/>
        </w:tabs>
        <w:spacing w:line="360" w:lineRule="auto"/>
        <w:ind w:right="512"/>
        <w:rPr>
          <w:rFonts w:ascii="宋体" w:hAnsi="宋体" w:cs="宋体"/>
          <w:color w:val="auto"/>
          <w:sz w:val="24"/>
          <w:szCs w:val="24"/>
        </w:rPr>
      </w:pPr>
    </w:p>
    <w:p w14:paraId="13D5B40F">
      <w:pPr>
        <w:tabs>
          <w:tab w:val="left" w:pos="0"/>
        </w:tabs>
        <w:spacing w:line="360" w:lineRule="auto"/>
        <w:ind w:right="512"/>
        <w:rPr>
          <w:rFonts w:ascii="宋体" w:hAnsi="宋体" w:cs="宋体"/>
          <w:color w:val="auto"/>
          <w:spacing w:val="8"/>
          <w:sz w:val="24"/>
        </w:rPr>
      </w:pPr>
      <w:r>
        <w:rPr>
          <w:rFonts w:hint="eastAsia" w:ascii="宋体" w:hAnsi="宋体" w:cs="宋体"/>
          <w:color w:val="auto"/>
          <w:sz w:val="24"/>
          <w:szCs w:val="24"/>
        </w:rPr>
        <w:t>供应商（电子签章）</w:t>
      </w:r>
      <w:r>
        <w:rPr>
          <w:rFonts w:hint="eastAsia" w:ascii="宋体" w:hAnsi="宋体" w:cs="宋体"/>
          <w:color w:val="auto"/>
          <w:spacing w:val="8"/>
          <w:sz w:val="24"/>
        </w:rPr>
        <w:t>：</w:t>
      </w:r>
    </w:p>
    <w:p w14:paraId="4C3B080D">
      <w:pPr>
        <w:tabs>
          <w:tab w:val="left" w:pos="0"/>
        </w:tabs>
        <w:spacing w:line="360" w:lineRule="auto"/>
        <w:ind w:right="768"/>
        <w:jc w:val="left"/>
        <w:rPr>
          <w:rFonts w:ascii="宋体" w:hAnsi="宋体" w:cs="宋体"/>
          <w:color w:val="auto"/>
          <w:spacing w:val="8"/>
          <w:sz w:val="24"/>
        </w:rPr>
      </w:pPr>
      <w:r>
        <w:rPr>
          <w:rFonts w:hint="eastAsia" w:ascii="宋体" w:hAnsi="宋体" w:cs="宋体"/>
          <w:color w:val="auto"/>
          <w:spacing w:val="8"/>
          <w:sz w:val="24"/>
        </w:rPr>
        <w:t>法定代表人</w:t>
      </w:r>
      <w:r>
        <w:rPr>
          <w:rFonts w:hint="eastAsia" w:ascii="宋体" w:hAnsi="宋体" w:cs="宋体"/>
          <w:color w:val="auto"/>
          <w:sz w:val="24"/>
          <w:szCs w:val="24"/>
        </w:rPr>
        <w:t>（电子签名）</w:t>
      </w:r>
      <w:r>
        <w:rPr>
          <w:rFonts w:hint="eastAsia" w:ascii="宋体" w:hAnsi="宋体" w:cs="宋体"/>
          <w:color w:val="auto"/>
          <w:spacing w:val="8"/>
          <w:sz w:val="24"/>
        </w:rPr>
        <w:t>：</w:t>
      </w:r>
    </w:p>
    <w:p w14:paraId="2310D37D">
      <w:pPr>
        <w:autoSpaceDE w:val="0"/>
        <w:autoSpaceDN w:val="0"/>
        <w:adjustRightInd w:val="0"/>
        <w:spacing w:line="360" w:lineRule="auto"/>
        <w:rPr>
          <w:rFonts w:ascii="宋体" w:hAnsi="宋体" w:cs="宋体"/>
          <w:color w:val="auto"/>
          <w:sz w:val="24"/>
        </w:rPr>
      </w:pPr>
      <w:r>
        <w:rPr>
          <w:rFonts w:hint="eastAsia" w:ascii="宋体" w:hAnsi="宋体" w:cs="宋体"/>
          <w:color w:val="auto"/>
          <w:spacing w:val="8"/>
          <w:sz w:val="24"/>
        </w:rPr>
        <w:t>日期：</w:t>
      </w:r>
      <w:r>
        <w:rPr>
          <w:rFonts w:hint="eastAsia" w:ascii="宋体" w:hAnsi="宋体" w:cs="宋体"/>
          <w:color w:val="auto"/>
          <w:sz w:val="24"/>
          <w:lang w:val="zh-CN"/>
        </w:rPr>
        <w:t xml:space="preserve">   年   月   日</w:t>
      </w:r>
    </w:p>
    <w:p w14:paraId="73946342">
      <w:pPr>
        <w:rPr>
          <w:color w:val="auto"/>
        </w:rPr>
      </w:pPr>
    </w:p>
    <w:p w14:paraId="6D3510C5">
      <w:pPr>
        <w:rPr>
          <w:color w:val="auto"/>
        </w:rPr>
      </w:pPr>
      <w:r>
        <w:rPr>
          <w:rFonts w:hint="eastAsia"/>
          <w:color w:val="auto"/>
        </w:rPr>
        <w:br w:type="page"/>
      </w:r>
    </w:p>
    <w:p w14:paraId="4EA75B3E">
      <w:pPr>
        <w:pStyle w:val="2"/>
        <w:rPr>
          <w:color w:val="auto"/>
        </w:rPr>
      </w:pPr>
      <w:r>
        <w:rPr>
          <w:rFonts w:hint="eastAsia"/>
          <w:color w:val="auto"/>
        </w:rPr>
        <w:t>四、服务方案及服务质量承诺</w:t>
      </w:r>
      <w:bookmarkEnd w:id="59"/>
    </w:p>
    <w:p w14:paraId="7A469A36">
      <w:pPr>
        <w:jc w:val="center"/>
        <w:rPr>
          <w:rFonts w:ascii="宋体" w:hAnsi="宋体" w:cs="宋体"/>
          <w:b/>
          <w:color w:val="auto"/>
          <w:sz w:val="24"/>
          <w:szCs w:val="24"/>
        </w:rPr>
      </w:pPr>
      <w:r>
        <w:rPr>
          <w:rFonts w:hint="eastAsia" w:ascii="宋体" w:hAnsi="宋体" w:cs="宋体"/>
          <w:b/>
          <w:color w:val="auto"/>
          <w:sz w:val="24"/>
          <w:szCs w:val="24"/>
        </w:rPr>
        <w:t>（格式自定）</w:t>
      </w:r>
    </w:p>
    <w:p w14:paraId="45C0BF4C">
      <w:pPr>
        <w:rPr>
          <w:rFonts w:ascii="宋体" w:hAnsi="宋体" w:cs="宋体"/>
          <w:b/>
          <w:color w:val="auto"/>
          <w:sz w:val="24"/>
          <w:szCs w:val="24"/>
        </w:rPr>
      </w:pPr>
      <w:r>
        <w:rPr>
          <w:rFonts w:hint="eastAsia" w:ascii="宋体" w:hAnsi="宋体" w:cs="宋体"/>
          <w:b/>
          <w:color w:val="auto"/>
          <w:sz w:val="24"/>
          <w:szCs w:val="24"/>
        </w:rPr>
        <w:t>项目名称：</w:t>
      </w:r>
    </w:p>
    <w:p w14:paraId="68F997DA">
      <w:pPr>
        <w:rPr>
          <w:rFonts w:ascii="宋体" w:hAnsi="宋体" w:cs="宋体"/>
          <w:b/>
          <w:color w:val="auto"/>
          <w:sz w:val="24"/>
          <w:szCs w:val="24"/>
        </w:rPr>
      </w:pPr>
      <w:r>
        <w:rPr>
          <w:rFonts w:hint="eastAsia" w:ascii="宋体" w:hAnsi="宋体" w:cs="宋体"/>
          <w:b/>
          <w:color w:val="auto"/>
          <w:sz w:val="24"/>
          <w:szCs w:val="24"/>
        </w:rPr>
        <w:t>项目编号：</w:t>
      </w:r>
    </w:p>
    <w:p w14:paraId="3C9371AF">
      <w:pPr>
        <w:spacing w:line="600" w:lineRule="atLeast"/>
        <w:jc w:val="right"/>
        <w:rPr>
          <w:rFonts w:ascii="宋体" w:hAnsi="宋体" w:cs="宋体"/>
          <w:color w:val="auto"/>
          <w:spacing w:val="8"/>
          <w:sz w:val="24"/>
          <w:szCs w:val="24"/>
        </w:rPr>
      </w:pPr>
    </w:p>
    <w:p w14:paraId="06FA88FD">
      <w:pPr>
        <w:spacing w:line="600" w:lineRule="atLeast"/>
        <w:jc w:val="right"/>
        <w:rPr>
          <w:rFonts w:ascii="宋体" w:hAnsi="宋体" w:cs="宋体"/>
          <w:color w:val="auto"/>
          <w:spacing w:val="8"/>
          <w:sz w:val="24"/>
          <w:szCs w:val="24"/>
        </w:rPr>
      </w:pPr>
    </w:p>
    <w:p w14:paraId="74A72FC8">
      <w:pPr>
        <w:spacing w:line="600" w:lineRule="atLeast"/>
        <w:jc w:val="right"/>
        <w:rPr>
          <w:rFonts w:ascii="宋体" w:hAnsi="宋体" w:cs="宋体"/>
          <w:color w:val="auto"/>
          <w:spacing w:val="8"/>
          <w:sz w:val="24"/>
          <w:szCs w:val="24"/>
        </w:rPr>
      </w:pPr>
    </w:p>
    <w:p w14:paraId="318AE2D3">
      <w:pPr>
        <w:spacing w:line="600" w:lineRule="atLeast"/>
        <w:jc w:val="right"/>
        <w:rPr>
          <w:rFonts w:ascii="宋体" w:hAnsi="宋体" w:cs="宋体"/>
          <w:color w:val="auto"/>
          <w:spacing w:val="8"/>
          <w:sz w:val="24"/>
          <w:szCs w:val="24"/>
        </w:rPr>
      </w:pPr>
    </w:p>
    <w:p w14:paraId="672F696E">
      <w:pPr>
        <w:spacing w:line="600" w:lineRule="atLeast"/>
        <w:jc w:val="right"/>
        <w:rPr>
          <w:rFonts w:ascii="宋体" w:hAnsi="宋体" w:cs="宋体"/>
          <w:color w:val="auto"/>
          <w:spacing w:val="8"/>
          <w:sz w:val="24"/>
          <w:szCs w:val="24"/>
        </w:rPr>
      </w:pPr>
    </w:p>
    <w:p w14:paraId="6EE8333B">
      <w:pPr>
        <w:spacing w:line="600" w:lineRule="atLeast"/>
        <w:jc w:val="right"/>
        <w:rPr>
          <w:rFonts w:ascii="宋体" w:hAnsi="宋体" w:cs="宋体"/>
          <w:color w:val="auto"/>
          <w:spacing w:val="8"/>
          <w:sz w:val="24"/>
          <w:szCs w:val="24"/>
        </w:rPr>
      </w:pPr>
    </w:p>
    <w:p w14:paraId="08E38596">
      <w:pPr>
        <w:spacing w:line="600" w:lineRule="atLeast"/>
        <w:jc w:val="right"/>
        <w:rPr>
          <w:rFonts w:ascii="宋体" w:hAnsi="宋体" w:cs="宋体"/>
          <w:color w:val="auto"/>
          <w:spacing w:val="8"/>
          <w:sz w:val="24"/>
          <w:szCs w:val="24"/>
        </w:rPr>
      </w:pPr>
    </w:p>
    <w:p w14:paraId="20C2D8F5">
      <w:pPr>
        <w:spacing w:line="600" w:lineRule="atLeast"/>
        <w:jc w:val="right"/>
        <w:rPr>
          <w:rFonts w:ascii="宋体" w:hAnsi="宋体" w:cs="宋体"/>
          <w:color w:val="auto"/>
          <w:spacing w:val="8"/>
          <w:sz w:val="24"/>
          <w:szCs w:val="24"/>
        </w:rPr>
      </w:pPr>
    </w:p>
    <w:p w14:paraId="0794B67F">
      <w:pPr>
        <w:spacing w:line="600" w:lineRule="atLeast"/>
        <w:jc w:val="right"/>
        <w:rPr>
          <w:rFonts w:ascii="宋体" w:hAnsi="宋体" w:cs="宋体"/>
          <w:color w:val="auto"/>
          <w:spacing w:val="8"/>
          <w:sz w:val="24"/>
          <w:szCs w:val="24"/>
        </w:rPr>
      </w:pPr>
    </w:p>
    <w:p w14:paraId="554C1360">
      <w:pPr>
        <w:spacing w:line="600" w:lineRule="atLeast"/>
        <w:jc w:val="right"/>
        <w:rPr>
          <w:rFonts w:ascii="宋体" w:hAnsi="宋体" w:cs="宋体"/>
          <w:color w:val="auto"/>
          <w:spacing w:val="8"/>
          <w:sz w:val="24"/>
          <w:szCs w:val="24"/>
        </w:rPr>
      </w:pPr>
    </w:p>
    <w:p w14:paraId="628DA1C8">
      <w:pPr>
        <w:spacing w:line="600" w:lineRule="atLeast"/>
        <w:jc w:val="right"/>
        <w:rPr>
          <w:rFonts w:ascii="宋体" w:hAnsi="宋体" w:cs="宋体"/>
          <w:color w:val="auto"/>
          <w:spacing w:val="8"/>
          <w:sz w:val="24"/>
          <w:szCs w:val="24"/>
        </w:rPr>
      </w:pPr>
    </w:p>
    <w:p w14:paraId="50F6C9A8">
      <w:pPr>
        <w:spacing w:line="600" w:lineRule="atLeast"/>
        <w:jc w:val="right"/>
        <w:rPr>
          <w:rFonts w:ascii="宋体" w:hAnsi="宋体" w:cs="宋体"/>
          <w:color w:val="auto"/>
          <w:spacing w:val="8"/>
          <w:sz w:val="24"/>
          <w:szCs w:val="24"/>
        </w:rPr>
      </w:pPr>
    </w:p>
    <w:p w14:paraId="7DD02257">
      <w:pPr>
        <w:spacing w:line="600" w:lineRule="atLeast"/>
        <w:jc w:val="right"/>
        <w:rPr>
          <w:rFonts w:ascii="宋体" w:hAnsi="宋体" w:cs="宋体"/>
          <w:color w:val="auto"/>
          <w:spacing w:val="8"/>
          <w:sz w:val="24"/>
          <w:szCs w:val="24"/>
        </w:rPr>
      </w:pPr>
    </w:p>
    <w:p w14:paraId="5EAC5AB0">
      <w:pPr>
        <w:spacing w:line="600" w:lineRule="atLeast"/>
        <w:jc w:val="right"/>
        <w:rPr>
          <w:rFonts w:ascii="宋体" w:hAnsi="宋体" w:cs="宋体"/>
          <w:color w:val="auto"/>
          <w:spacing w:val="8"/>
          <w:sz w:val="24"/>
          <w:szCs w:val="24"/>
        </w:rPr>
      </w:pPr>
    </w:p>
    <w:p w14:paraId="1318577A">
      <w:pPr>
        <w:spacing w:line="600" w:lineRule="atLeast"/>
        <w:jc w:val="right"/>
        <w:rPr>
          <w:rFonts w:ascii="宋体" w:hAnsi="宋体" w:cs="宋体"/>
          <w:color w:val="auto"/>
          <w:spacing w:val="8"/>
          <w:sz w:val="24"/>
          <w:szCs w:val="24"/>
        </w:rPr>
      </w:pPr>
    </w:p>
    <w:p w14:paraId="436043A7">
      <w:pPr>
        <w:spacing w:line="600" w:lineRule="atLeast"/>
        <w:jc w:val="right"/>
        <w:rPr>
          <w:rFonts w:ascii="宋体" w:hAnsi="宋体" w:cs="宋体"/>
          <w:color w:val="auto"/>
          <w:spacing w:val="8"/>
          <w:sz w:val="24"/>
          <w:szCs w:val="24"/>
        </w:rPr>
      </w:pPr>
    </w:p>
    <w:p w14:paraId="75D018A1">
      <w:pPr>
        <w:tabs>
          <w:tab w:val="left" w:pos="0"/>
        </w:tabs>
        <w:spacing w:line="360" w:lineRule="auto"/>
        <w:ind w:right="512"/>
        <w:rPr>
          <w:rFonts w:ascii="宋体" w:hAnsi="宋体" w:cs="宋体"/>
          <w:color w:val="auto"/>
          <w:spacing w:val="8"/>
          <w:sz w:val="24"/>
        </w:rPr>
      </w:pPr>
      <w:r>
        <w:rPr>
          <w:rFonts w:hint="eastAsia" w:ascii="宋体" w:hAnsi="宋体" w:cs="宋体"/>
          <w:color w:val="auto"/>
          <w:sz w:val="24"/>
          <w:szCs w:val="24"/>
        </w:rPr>
        <w:t>供应商（电子签章）</w:t>
      </w:r>
      <w:r>
        <w:rPr>
          <w:rFonts w:hint="eastAsia" w:ascii="宋体" w:hAnsi="宋体" w:cs="宋体"/>
          <w:color w:val="auto"/>
          <w:spacing w:val="8"/>
          <w:sz w:val="24"/>
        </w:rPr>
        <w:t>：</w:t>
      </w:r>
    </w:p>
    <w:p w14:paraId="436B8073">
      <w:pPr>
        <w:tabs>
          <w:tab w:val="left" w:pos="0"/>
        </w:tabs>
        <w:spacing w:line="360" w:lineRule="auto"/>
        <w:ind w:right="768"/>
        <w:jc w:val="left"/>
        <w:rPr>
          <w:rFonts w:ascii="宋体" w:hAnsi="宋体" w:cs="宋体"/>
          <w:color w:val="auto"/>
          <w:spacing w:val="8"/>
          <w:sz w:val="24"/>
        </w:rPr>
      </w:pPr>
      <w:r>
        <w:rPr>
          <w:rFonts w:hint="eastAsia" w:ascii="宋体" w:hAnsi="宋体" w:cs="宋体"/>
          <w:color w:val="auto"/>
          <w:spacing w:val="8"/>
          <w:sz w:val="24"/>
        </w:rPr>
        <w:t>法定代表人</w:t>
      </w:r>
      <w:r>
        <w:rPr>
          <w:rFonts w:hint="eastAsia" w:ascii="宋体" w:hAnsi="宋体" w:cs="宋体"/>
          <w:color w:val="auto"/>
          <w:sz w:val="24"/>
          <w:szCs w:val="24"/>
        </w:rPr>
        <w:t>（电子签名）</w:t>
      </w:r>
      <w:r>
        <w:rPr>
          <w:rFonts w:hint="eastAsia" w:ascii="宋体" w:hAnsi="宋体" w:cs="宋体"/>
          <w:color w:val="auto"/>
          <w:spacing w:val="8"/>
          <w:sz w:val="24"/>
        </w:rPr>
        <w:t>：</w:t>
      </w:r>
    </w:p>
    <w:p w14:paraId="4C4D54CD">
      <w:pPr>
        <w:autoSpaceDE w:val="0"/>
        <w:autoSpaceDN w:val="0"/>
        <w:adjustRightInd w:val="0"/>
        <w:spacing w:line="360" w:lineRule="auto"/>
        <w:rPr>
          <w:rFonts w:ascii="宋体" w:hAnsi="宋体" w:cs="宋体"/>
          <w:color w:val="auto"/>
          <w:sz w:val="24"/>
        </w:rPr>
      </w:pPr>
      <w:r>
        <w:rPr>
          <w:rFonts w:hint="eastAsia" w:ascii="宋体" w:hAnsi="宋体" w:cs="宋体"/>
          <w:color w:val="auto"/>
          <w:spacing w:val="8"/>
          <w:sz w:val="24"/>
        </w:rPr>
        <w:t>日期：</w:t>
      </w:r>
      <w:r>
        <w:rPr>
          <w:rFonts w:hint="eastAsia" w:ascii="宋体" w:hAnsi="宋体" w:cs="宋体"/>
          <w:color w:val="auto"/>
          <w:sz w:val="24"/>
          <w:lang w:val="zh-CN"/>
        </w:rPr>
        <w:t xml:space="preserve">   年   月   日</w:t>
      </w:r>
    </w:p>
    <w:p w14:paraId="7AB18A63">
      <w:pPr>
        <w:rPr>
          <w:rFonts w:ascii="宋体" w:hAnsi="宋体" w:cs="宋体"/>
          <w:b/>
          <w:color w:val="auto"/>
          <w:sz w:val="24"/>
          <w:szCs w:val="24"/>
        </w:rPr>
      </w:pPr>
    </w:p>
    <w:p w14:paraId="479F874F">
      <w:pPr>
        <w:rPr>
          <w:rFonts w:ascii="宋体" w:hAnsi="宋体" w:cs="宋体"/>
          <w:b/>
          <w:color w:val="auto"/>
          <w:sz w:val="24"/>
          <w:szCs w:val="24"/>
        </w:rPr>
      </w:pPr>
    </w:p>
    <w:p w14:paraId="47EF680E">
      <w:pPr>
        <w:rPr>
          <w:rFonts w:ascii="宋体" w:hAnsi="宋体" w:cs="宋体"/>
          <w:b/>
          <w:color w:val="auto"/>
          <w:sz w:val="24"/>
          <w:szCs w:val="24"/>
        </w:rPr>
      </w:pPr>
    </w:p>
    <w:p w14:paraId="7F7CDBF8">
      <w:pPr>
        <w:rPr>
          <w:rFonts w:ascii="宋体" w:hAnsi="宋体" w:cs="宋体"/>
          <w:b/>
          <w:color w:val="auto"/>
          <w:sz w:val="30"/>
          <w:szCs w:val="30"/>
        </w:rPr>
      </w:pPr>
      <w:r>
        <w:rPr>
          <w:rFonts w:hint="eastAsia" w:ascii="宋体" w:hAnsi="宋体" w:cs="宋体"/>
          <w:b/>
          <w:color w:val="auto"/>
          <w:sz w:val="30"/>
          <w:szCs w:val="30"/>
        </w:rPr>
        <w:br w:type="page"/>
      </w:r>
    </w:p>
    <w:p w14:paraId="1DBB0B35">
      <w:pPr>
        <w:pStyle w:val="2"/>
        <w:rPr>
          <w:color w:val="auto"/>
        </w:rPr>
      </w:pPr>
      <w:bookmarkStart w:id="60" w:name="_Toc12109"/>
      <w:r>
        <w:rPr>
          <w:rFonts w:hint="eastAsia"/>
          <w:color w:val="auto"/>
        </w:rPr>
        <w:t>五、服务拟投入设备清单及其技术参数</w:t>
      </w:r>
      <w:bookmarkEnd w:id="60"/>
    </w:p>
    <w:p w14:paraId="6729A622">
      <w:pPr>
        <w:jc w:val="left"/>
        <w:rPr>
          <w:rFonts w:ascii="宋体" w:hAnsi="宋体" w:cs="宋体"/>
          <w:b/>
          <w:color w:val="auto"/>
          <w:sz w:val="24"/>
          <w:szCs w:val="24"/>
        </w:rPr>
      </w:pPr>
      <w:r>
        <w:rPr>
          <w:rFonts w:hint="eastAsia" w:ascii="宋体" w:hAnsi="宋体" w:cs="宋体"/>
          <w:b/>
          <w:color w:val="auto"/>
          <w:sz w:val="24"/>
          <w:szCs w:val="24"/>
        </w:rPr>
        <w:t>项目名称：</w:t>
      </w:r>
    </w:p>
    <w:p w14:paraId="78213C44">
      <w:pPr>
        <w:jc w:val="left"/>
        <w:rPr>
          <w:rFonts w:ascii="宋体" w:hAnsi="宋体" w:cs="宋体"/>
          <w:b/>
          <w:color w:val="auto"/>
          <w:sz w:val="24"/>
          <w:szCs w:val="24"/>
        </w:rPr>
      </w:pPr>
      <w:r>
        <w:rPr>
          <w:rFonts w:hint="eastAsia" w:ascii="宋体" w:hAnsi="宋体" w:cs="宋体"/>
          <w:b/>
          <w:color w:val="auto"/>
          <w:sz w:val="24"/>
          <w:szCs w:val="24"/>
        </w:rPr>
        <w:t>项目编号：</w:t>
      </w:r>
    </w:p>
    <w:tbl>
      <w:tblPr>
        <w:tblStyle w:val="78"/>
        <w:tblW w:w="87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2605"/>
        <w:gridCol w:w="539"/>
        <w:gridCol w:w="540"/>
        <w:gridCol w:w="1753"/>
        <w:gridCol w:w="2659"/>
      </w:tblGrid>
      <w:tr w14:paraId="2FF57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635" w:type="dxa"/>
            <w:tcBorders>
              <w:top w:val="single" w:color="000000" w:sz="8" w:space="0"/>
            </w:tcBorders>
            <w:vAlign w:val="center"/>
          </w:tcPr>
          <w:p w14:paraId="0FA3BF09">
            <w:pPr>
              <w:pStyle w:val="77"/>
              <w:autoSpaceDE w:val="0"/>
              <w:autoSpaceDN w:val="0"/>
              <w:adjustRightInd w:val="0"/>
              <w:snapToGrid w:val="0"/>
              <w:spacing w:line="240" w:lineRule="auto"/>
              <w:jc w:val="center"/>
              <w:rPr>
                <w:color w:val="auto"/>
              </w:rPr>
            </w:pPr>
            <w:r>
              <w:rPr>
                <w:color w:val="auto"/>
                <w:spacing w:val="-2"/>
              </w:rPr>
              <w:t>序号</w:t>
            </w:r>
          </w:p>
        </w:tc>
        <w:tc>
          <w:tcPr>
            <w:tcW w:w="2605" w:type="dxa"/>
            <w:tcBorders>
              <w:top w:val="single" w:color="000000" w:sz="8" w:space="0"/>
            </w:tcBorders>
            <w:vAlign w:val="center"/>
          </w:tcPr>
          <w:p w14:paraId="694DEAC6">
            <w:pPr>
              <w:pStyle w:val="77"/>
              <w:autoSpaceDE w:val="0"/>
              <w:autoSpaceDN w:val="0"/>
              <w:adjustRightInd w:val="0"/>
              <w:snapToGrid w:val="0"/>
              <w:spacing w:line="240" w:lineRule="auto"/>
              <w:jc w:val="center"/>
              <w:rPr>
                <w:color w:val="auto"/>
              </w:rPr>
            </w:pPr>
            <w:r>
              <w:rPr>
                <w:color w:val="auto"/>
                <w:spacing w:val="-3"/>
              </w:rPr>
              <w:t>设备名称</w:t>
            </w:r>
          </w:p>
        </w:tc>
        <w:tc>
          <w:tcPr>
            <w:tcW w:w="539" w:type="dxa"/>
            <w:tcBorders>
              <w:top w:val="single" w:color="000000" w:sz="8" w:space="0"/>
            </w:tcBorders>
            <w:vAlign w:val="center"/>
          </w:tcPr>
          <w:p w14:paraId="001E617F">
            <w:pPr>
              <w:pStyle w:val="77"/>
              <w:autoSpaceDE w:val="0"/>
              <w:autoSpaceDN w:val="0"/>
              <w:adjustRightInd w:val="0"/>
              <w:snapToGrid w:val="0"/>
              <w:spacing w:line="240" w:lineRule="auto"/>
              <w:jc w:val="center"/>
              <w:rPr>
                <w:color w:val="auto"/>
              </w:rPr>
            </w:pPr>
            <w:r>
              <w:rPr>
                <w:color w:val="auto"/>
                <w:spacing w:val="-3"/>
              </w:rPr>
              <w:t>单位</w:t>
            </w:r>
          </w:p>
        </w:tc>
        <w:tc>
          <w:tcPr>
            <w:tcW w:w="540" w:type="dxa"/>
            <w:tcBorders>
              <w:top w:val="single" w:color="000000" w:sz="8" w:space="0"/>
            </w:tcBorders>
            <w:vAlign w:val="center"/>
          </w:tcPr>
          <w:p w14:paraId="24DC8AAB">
            <w:pPr>
              <w:pStyle w:val="77"/>
              <w:autoSpaceDE w:val="0"/>
              <w:autoSpaceDN w:val="0"/>
              <w:adjustRightInd w:val="0"/>
              <w:snapToGrid w:val="0"/>
              <w:spacing w:line="240" w:lineRule="auto"/>
              <w:jc w:val="center"/>
              <w:rPr>
                <w:color w:val="auto"/>
              </w:rPr>
            </w:pPr>
            <w:r>
              <w:rPr>
                <w:color w:val="auto"/>
                <w:spacing w:val="-3"/>
              </w:rPr>
              <w:t>数量</w:t>
            </w:r>
          </w:p>
        </w:tc>
        <w:tc>
          <w:tcPr>
            <w:tcW w:w="1753" w:type="dxa"/>
            <w:tcBorders>
              <w:top w:val="single" w:color="000000" w:sz="8" w:space="0"/>
            </w:tcBorders>
            <w:vAlign w:val="center"/>
          </w:tcPr>
          <w:p w14:paraId="31995A7D">
            <w:pPr>
              <w:pStyle w:val="77"/>
              <w:autoSpaceDE w:val="0"/>
              <w:autoSpaceDN w:val="0"/>
              <w:adjustRightInd w:val="0"/>
              <w:snapToGrid w:val="0"/>
              <w:spacing w:line="240" w:lineRule="auto"/>
              <w:jc w:val="center"/>
              <w:rPr>
                <w:color w:val="auto"/>
              </w:rPr>
            </w:pPr>
            <w:r>
              <w:rPr>
                <w:color w:val="auto"/>
                <w:spacing w:val="-5"/>
              </w:rPr>
              <w:t>品牌型号</w:t>
            </w:r>
          </w:p>
        </w:tc>
        <w:tc>
          <w:tcPr>
            <w:tcW w:w="2659" w:type="dxa"/>
            <w:tcBorders>
              <w:top w:val="single" w:color="000000" w:sz="8" w:space="0"/>
            </w:tcBorders>
            <w:vAlign w:val="center"/>
          </w:tcPr>
          <w:p w14:paraId="6076378A">
            <w:pPr>
              <w:pStyle w:val="77"/>
              <w:autoSpaceDE w:val="0"/>
              <w:autoSpaceDN w:val="0"/>
              <w:adjustRightInd w:val="0"/>
              <w:snapToGrid w:val="0"/>
              <w:spacing w:line="240" w:lineRule="auto"/>
              <w:jc w:val="center"/>
              <w:rPr>
                <w:color w:val="auto"/>
              </w:rPr>
            </w:pPr>
            <w:r>
              <w:rPr>
                <w:color w:val="auto"/>
                <w:spacing w:val="-2"/>
              </w:rPr>
              <w:t>技术参数</w:t>
            </w:r>
          </w:p>
        </w:tc>
      </w:tr>
      <w:tr w14:paraId="58A6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635" w:type="dxa"/>
            <w:vAlign w:val="center"/>
          </w:tcPr>
          <w:p w14:paraId="79B28348">
            <w:pPr>
              <w:pStyle w:val="77"/>
              <w:autoSpaceDE w:val="0"/>
              <w:autoSpaceDN w:val="0"/>
              <w:adjustRightInd w:val="0"/>
              <w:snapToGrid w:val="0"/>
              <w:spacing w:line="240" w:lineRule="auto"/>
              <w:jc w:val="center"/>
              <w:rPr>
                <w:color w:val="auto"/>
              </w:rPr>
            </w:pPr>
            <w:r>
              <w:rPr>
                <w:color w:val="auto"/>
              </w:rPr>
              <w:t>1</w:t>
            </w:r>
          </w:p>
        </w:tc>
        <w:tc>
          <w:tcPr>
            <w:tcW w:w="2605" w:type="dxa"/>
            <w:vAlign w:val="center"/>
          </w:tcPr>
          <w:p w14:paraId="71CE821E">
            <w:pPr>
              <w:autoSpaceDE w:val="0"/>
              <w:autoSpaceDN w:val="0"/>
              <w:adjustRightInd w:val="0"/>
              <w:snapToGrid w:val="0"/>
              <w:spacing w:line="240" w:lineRule="auto"/>
              <w:jc w:val="center"/>
              <w:rPr>
                <w:rFonts w:ascii="Arial"/>
                <w:color w:val="auto"/>
              </w:rPr>
            </w:pPr>
          </w:p>
        </w:tc>
        <w:tc>
          <w:tcPr>
            <w:tcW w:w="539" w:type="dxa"/>
            <w:vAlign w:val="center"/>
          </w:tcPr>
          <w:p w14:paraId="798F56A7">
            <w:pPr>
              <w:autoSpaceDE w:val="0"/>
              <w:autoSpaceDN w:val="0"/>
              <w:adjustRightInd w:val="0"/>
              <w:snapToGrid w:val="0"/>
              <w:spacing w:line="240" w:lineRule="auto"/>
              <w:jc w:val="center"/>
              <w:rPr>
                <w:rFonts w:ascii="Arial"/>
                <w:color w:val="auto"/>
              </w:rPr>
            </w:pPr>
          </w:p>
        </w:tc>
        <w:tc>
          <w:tcPr>
            <w:tcW w:w="540" w:type="dxa"/>
            <w:vAlign w:val="center"/>
          </w:tcPr>
          <w:p w14:paraId="3AAAA0B4">
            <w:pPr>
              <w:autoSpaceDE w:val="0"/>
              <w:autoSpaceDN w:val="0"/>
              <w:adjustRightInd w:val="0"/>
              <w:snapToGrid w:val="0"/>
              <w:spacing w:line="240" w:lineRule="auto"/>
              <w:jc w:val="center"/>
              <w:rPr>
                <w:rFonts w:ascii="Arial"/>
                <w:color w:val="auto"/>
              </w:rPr>
            </w:pPr>
          </w:p>
        </w:tc>
        <w:tc>
          <w:tcPr>
            <w:tcW w:w="1753" w:type="dxa"/>
            <w:vAlign w:val="center"/>
          </w:tcPr>
          <w:p w14:paraId="14F83306">
            <w:pPr>
              <w:autoSpaceDE w:val="0"/>
              <w:autoSpaceDN w:val="0"/>
              <w:adjustRightInd w:val="0"/>
              <w:snapToGrid w:val="0"/>
              <w:spacing w:line="240" w:lineRule="auto"/>
              <w:jc w:val="center"/>
              <w:rPr>
                <w:rFonts w:ascii="Arial"/>
                <w:color w:val="auto"/>
              </w:rPr>
            </w:pPr>
          </w:p>
        </w:tc>
        <w:tc>
          <w:tcPr>
            <w:tcW w:w="2659" w:type="dxa"/>
            <w:vAlign w:val="center"/>
          </w:tcPr>
          <w:p w14:paraId="2BE2FF13">
            <w:pPr>
              <w:autoSpaceDE w:val="0"/>
              <w:autoSpaceDN w:val="0"/>
              <w:adjustRightInd w:val="0"/>
              <w:snapToGrid w:val="0"/>
              <w:spacing w:line="240" w:lineRule="auto"/>
              <w:jc w:val="center"/>
              <w:rPr>
                <w:rFonts w:ascii="Arial"/>
                <w:color w:val="auto"/>
              </w:rPr>
            </w:pPr>
          </w:p>
        </w:tc>
      </w:tr>
      <w:tr w14:paraId="05A58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trPr>
        <w:tc>
          <w:tcPr>
            <w:tcW w:w="635" w:type="dxa"/>
            <w:vAlign w:val="center"/>
          </w:tcPr>
          <w:p w14:paraId="2122BA3D">
            <w:pPr>
              <w:pStyle w:val="77"/>
              <w:autoSpaceDE w:val="0"/>
              <w:autoSpaceDN w:val="0"/>
              <w:adjustRightInd w:val="0"/>
              <w:snapToGrid w:val="0"/>
              <w:spacing w:line="240" w:lineRule="auto"/>
              <w:jc w:val="center"/>
              <w:rPr>
                <w:color w:val="auto"/>
              </w:rPr>
            </w:pPr>
            <w:r>
              <w:rPr>
                <w:color w:val="auto"/>
              </w:rPr>
              <w:t>2</w:t>
            </w:r>
          </w:p>
        </w:tc>
        <w:tc>
          <w:tcPr>
            <w:tcW w:w="2605" w:type="dxa"/>
            <w:vAlign w:val="center"/>
          </w:tcPr>
          <w:p w14:paraId="5B5B8985">
            <w:pPr>
              <w:autoSpaceDE w:val="0"/>
              <w:autoSpaceDN w:val="0"/>
              <w:adjustRightInd w:val="0"/>
              <w:snapToGrid w:val="0"/>
              <w:spacing w:line="240" w:lineRule="auto"/>
              <w:jc w:val="center"/>
              <w:rPr>
                <w:rFonts w:ascii="Arial"/>
                <w:color w:val="auto"/>
              </w:rPr>
            </w:pPr>
          </w:p>
        </w:tc>
        <w:tc>
          <w:tcPr>
            <w:tcW w:w="539" w:type="dxa"/>
            <w:vAlign w:val="center"/>
          </w:tcPr>
          <w:p w14:paraId="0208828F">
            <w:pPr>
              <w:autoSpaceDE w:val="0"/>
              <w:autoSpaceDN w:val="0"/>
              <w:adjustRightInd w:val="0"/>
              <w:snapToGrid w:val="0"/>
              <w:spacing w:line="240" w:lineRule="auto"/>
              <w:jc w:val="center"/>
              <w:rPr>
                <w:rFonts w:ascii="Arial"/>
                <w:color w:val="auto"/>
              </w:rPr>
            </w:pPr>
          </w:p>
        </w:tc>
        <w:tc>
          <w:tcPr>
            <w:tcW w:w="540" w:type="dxa"/>
            <w:vAlign w:val="center"/>
          </w:tcPr>
          <w:p w14:paraId="69604542">
            <w:pPr>
              <w:autoSpaceDE w:val="0"/>
              <w:autoSpaceDN w:val="0"/>
              <w:adjustRightInd w:val="0"/>
              <w:snapToGrid w:val="0"/>
              <w:spacing w:line="240" w:lineRule="auto"/>
              <w:jc w:val="center"/>
              <w:rPr>
                <w:rFonts w:ascii="Arial"/>
                <w:color w:val="auto"/>
              </w:rPr>
            </w:pPr>
          </w:p>
        </w:tc>
        <w:tc>
          <w:tcPr>
            <w:tcW w:w="1753" w:type="dxa"/>
            <w:vAlign w:val="center"/>
          </w:tcPr>
          <w:p w14:paraId="2F6AA147">
            <w:pPr>
              <w:autoSpaceDE w:val="0"/>
              <w:autoSpaceDN w:val="0"/>
              <w:adjustRightInd w:val="0"/>
              <w:snapToGrid w:val="0"/>
              <w:spacing w:line="240" w:lineRule="auto"/>
              <w:jc w:val="center"/>
              <w:rPr>
                <w:rFonts w:ascii="Arial"/>
                <w:color w:val="auto"/>
              </w:rPr>
            </w:pPr>
          </w:p>
        </w:tc>
        <w:tc>
          <w:tcPr>
            <w:tcW w:w="2659" w:type="dxa"/>
            <w:vAlign w:val="center"/>
          </w:tcPr>
          <w:p w14:paraId="72926581">
            <w:pPr>
              <w:autoSpaceDE w:val="0"/>
              <w:autoSpaceDN w:val="0"/>
              <w:adjustRightInd w:val="0"/>
              <w:snapToGrid w:val="0"/>
              <w:spacing w:line="240" w:lineRule="auto"/>
              <w:jc w:val="center"/>
              <w:rPr>
                <w:rFonts w:ascii="Arial"/>
                <w:color w:val="auto"/>
              </w:rPr>
            </w:pPr>
          </w:p>
        </w:tc>
      </w:tr>
      <w:tr w14:paraId="0978F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trPr>
        <w:tc>
          <w:tcPr>
            <w:tcW w:w="635" w:type="dxa"/>
            <w:vAlign w:val="center"/>
          </w:tcPr>
          <w:p w14:paraId="34FA05E6">
            <w:pPr>
              <w:pStyle w:val="77"/>
              <w:autoSpaceDE w:val="0"/>
              <w:autoSpaceDN w:val="0"/>
              <w:adjustRightInd w:val="0"/>
              <w:snapToGrid w:val="0"/>
              <w:spacing w:line="240" w:lineRule="auto"/>
              <w:jc w:val="center"/>
              <w:rPr>
                <w:color w:val="auto"/>
              </w:rPr>
            </w:pPr>
            <w:r>
              <w:rPr>
                <w:color w:val="auto"/>
              </w:rPr>
              <w:t>3</w:t>
            </w:r>
          </w:p>
        </w:tc>
        <w:tc>
          <w:tcPr>
            <w:tcW w:w="2605" w:type="dxa"/>
            <w:vAlign w:val="center"/>
          </w:tcPr>
          <w:p w14:paraId="4C405622">
            <w:pPr>
              <w:autoSpaceDE w:val="0"/>
              <w:autoSpaceDN w:val="0"/>
              <w:adjustRightInd w:val="0"/>
              <w:snapToGrid w:val="0"/>
              <w:spacing w:line="240" w:lineRule="auto"/>
              <w:jc w:val="center"/>
              <w:rPr>
                <w:rFonts w:ascii="Arial"/>
                <w:color w:val="auto"/>
              </w:rPr>
            </w:pPr>
          </w:p>
        </w:tc>
        <w:tc>
          <w:tcPr>
            <w:tcW w:w="539" w:type="dxa"/>
            <w:vAlign w:val="center"/>
          </w:tcPr>
          <w:p w14:paraId="425317F2">
            <w:pPr>
              <w:autoSpaceDE w:val="0"/>
              <w:autoSpaceDN w:val="0"/>
              <w:adjustRightInd w:val="0"/>
              <w:snapToGrid w:val="0"/>
              <w:spacing w:line="240" w:lineRule="auto"/>
              <w:jc w:val="center"/>
              <w:rPr>
                <w:rFonts w:ascii="Arial"/>
                <w:color w:val="auto"/>
              </w:rPr>
            </w:pPr>
          </w:p>
        </w:tc>
        <w:tc>
          <w:tcPr>
            <w:tcW w:w="540" w:type="dxa"/>
            <w:vAlign w:val="center"/>
          </w:tcPr>
          <w:p w14:paraId="1CA4E3F1">
            <w:pPr>
              <w:autoSpaceDE w:val="0"/>
              <w:autoSpaceDN w:val="0"/>
              <w:adjustRightInd w:val="0"/>
              <w:snapToGrid w:val="0"/>
              <w:spacing w:line="240" w:lineRule="auto"/>
              <w:jc w:val="center"/>
              <w:rPr>
                <w:rFonts w:ascii="Arial"/>
                <w:color w:val="auto"/>
              </w:rPr>
            </w:pPr>
          </w:p>
        </w:tc>
        <w:tc>
          <w:tcPr>
            <w:tcW w:w="1753" w:type="dxa"/>
            <w:vAlign w:val="center"/>
          </w:tcPr>
          <w:p w14:paraId="015AF7A0">
            <w:pPr>
              <w:autoSpaceDE w:val="0"/>
              <w:autoSpaceDN w:val="0"/>
              <w:adjustRightInd w:val="0"/>
              <w:snapToGrid w:val="0"/>
              <w:spacing w:line="240" w:lineRule="auto"/>
              <w:jc w:val="center"/>
              <w:rPr>
                <w:rFonts w:ascii="Arial"/>
                <w:color w:val="auto"/>
              </w:rPr>
            </w:pPr>
          </w:p>
        </w:tc>
        <w:tc>
          <w:tcPr>
            <w:tcW w:w="2659" w:type="dxa"/>
            <w:vAlign w:val="center"/>
          </w:tcPr>
          <w:p w14:paraId="1EF02F2C">
            <w:pPr>
              <w:autoSpaceDE w:val="0"/>
              <w:autoSpaceDN w:val="0"/>
              <w:adjustRightInd w:val="0"/>
              <w:snapToGrid w:val="0"/>
              <w:spacing w:line="240" w:lineRule="auto"/>
              <w:jc w:val="center"/>
              <w:rPr>
                <w:rFonts w:ascii="Arial"/>
                <w:color w:val="auto"/>
              </w:rPr>
            </w:pPr>
          </w:p>
        </w:tc>
      </w:tr>
      <w:tr w14:paraId="6078D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635" w:type="dxa"/>
            <w:vAlign w:val="center"/>
          </w:tcPr>
          <w:p w14:paraId="5E13EB23">
            <w:pPr>
              <w:pStyle w:val="77"/>
              <w:autoSpaceDE w:val="0"/>
              <w:autoSpaceDN w:val="0"/>
              <w:adjustRightInd w:val="0"/>
              <w:snapToGrid w:val="0"/>
              <w:spacing w:line="240" w:lineRule="auto"/>
              <w:jc w:val="center"/>
              <w:rPr>
                <w:color w:val="auto"/>
              </w:rPr>
            </w:pPr>
            <w:r>
              <w:rPr>
                <w:color w:val="auto"/>
                <w:spacing w:val="-6"/>
                <w:position w:val="-3"/>
              </w:rPr>
              <w:t>……</w:t>
            </w:r>
          </w:p>
        </w:tc>
        <w:tc>
          <w:tcPr>
            <w:tcW w:w="2605" w:type="dxa"/>
            <w:vAlign w:val="center"/>
          </w:tcPr>
          <w:p w14:paraId="0D20602B">
            <w:pPr>
              <w:autoSpaceDE w:val="0"/>
              <w:autoSpaceDN w:val="0"/>
              <w:adjustRightInd w:val="0"/>
              <w:snapToGrid w:val="0"/>
              <w:spacing w:line="240" w:lineRule="auto"/>
              <w:jc w:val="center"/>
              <w:rPr>
                <w:rFonts w:ascii="Arial"/>
                <w:color w:val="auto"/>
              </w:rPr>
            </w:pPr>
          </w:p>
        </w:tc>
        <w:tc>
          <w:tcPr>
            <w:tcW w:w="539" w:type="dxa"/>
            <w:vAlign w:val="center"/>
          </w:tcPr>
          <w:p w14:paraId="50DCFE82">
            <w:pPr>
              <w:autoSpaceDE w:val="0"/>
              <w:autoSpaceDN w:val="0"/>
              <w:adjustRightInd w:val="0"/>
              <w:snapToGrid w:val="0"/>
              <w:spacing w:line="240" w:lineRule="auto"/>
              <w:jc w:val="center"/>
              <w:rPr>
                <w:rFonts w:ascii="Arial"/>
                <w:color w:val="auto"/>
              </w:rPr>
            </w:pPr>
          </w:p>
        </w:tc>
        <w:tc>
          <w:tcPr>
            <w:tcW w:w="540" w:type="dxa"/>
            <w:vAlign w:val="center"/>
          </w:tcPr>
          <w:p w14:paraId="5B0FF063">
            <w:pPr>
              <w:autoSpaceDE w:val="0"/>
              <w:autoSpaceDN w:val="0"/>
              <w:adjustRightInd w:val="0"/>
              <w:snapToGrid w:val="0"/>
              <w:spacing w:line="240" w:lineRule="auto"/>
              <w:jc w:val="center"/>
              <w:rPr>
                <w:rFonts w:ascii="Arial"/>
                <w:color w:val="auto"/>
              </w:rPr>
            </w:pPr>
          </w:p>
        </w:tc>
        <w:tc>
          <w:tcPr>
            <w:tcW w:w="1753" w:type="dxa"/>
            <w:vAlign w:val="center"/>
          </w:tcPr>
          <w:p w14:paraId="17A65081">
            <w:pPr>
              <w:autoSpaceDE w:val="0"/>
              <w:autoSpaceDN w:val="0"/>
              <w:adjustRightInd w:val="0"/>
              <w:snapToGrid w:val="0"/>
              <w:spacing w:line="240" w:lineRule="auto"/>
              <w:jc w:val="center"/>
              <w:rPr>
                <w:rFonts w:ascii="Arial"/>
                <w:color w:val="auto"/>
              </w:rPr>
            </w:pPr>
          </w:p>
        </w:tc>
        <w:tc>
          <w:tcPr>
            <w:tcW w:w="2659" w:type="dxa"/>
            <w:vAlign w:val="center"/>
          </w:tcPr>
          <w:p w14:paraId="692597D7">
            <w:pPr>
              <w:autoSpaceDE w:val="0"/>
              <w:autoSpaceDN w:val="0"/>
              <w:adjustRightInd w:val="0"/>
              <w:snapToGrid w:val="0"/>
              <w:spacing w:line="240" w:lineRule="auto"/>
              <w:jc w:val="center"/>
              <w:rPr>
                <w:rFonts w:ascii="Arial"/>
                <w:color w:val="auto"/>
              </w:rPr>
            </w:pPr>
          </w:p>
        </w:tc>
      </w:tr>
    </w:tbl>
    <w:p w14:paraId="34989709">
      <w:pPr>
        <w:autoSpaceDE w:val="0"/>
        <w:autoSpaceDN w:val="0"/>
        <w:adjustRightInd w:val="0"/>
        <w:snapToGrid w:val="0"/>
        <w:spacing w:line="360" w:lineRule="auto"/>
        <w:rPr>
          <w:rFonts w:ascii="宋体" w:hAnsi="宋体" w:cs="宋体"/>
          <w:color w:val="auto"/>
          <w:spacing w:val="-1"/>
          <w:szCs w:val="21"/>
        </w:rPr>
      </w:pPr>
      <w:r>
        <w:rPr>
          <w:rFonts w:ascii="宋体" w:hAnsi="宋体" w:cs="宋体"/>
          <w:color w:val="auto"/>
          <w:spacing w:val="-1"/>
          <w:szCs w:val="21"/>
        </w:rPr>
        <w:t>注：供应商应详细填写服务投入设备的具体技术参数。包括货物的品牌型号、规格等技术参数。</w:t>
      </w:r>
    </w:p>
    <w:p w14:paraId="22DABE95">
      <w:pPr>
        <w:jc w:val="left"/>
        <w:rPr>
          <w:rFonts w:ascii="宋体" w:hAnsi="宋体" w:cs="宋体"/>
          <w:b/>
          <w:color w:val="auto"/>
          <w:sz w:val="24"/>
          <w:szCs w:val="24"/>
        </w:rPr>
      </w:pPr>
    </w:p>
    <w:p w14:paraId="06CFD25E">
      <w:pPr>
        <w:jc w:val="left"/>
        <w:rPr>
          <w:rFonts w:ascii="宋体" w:hAnsi="宋体" w:cs="宋体"/>
          <w:b/>
          <w:color w:val="auto"/>
          <w:sz w:val="24"/>
          <w:szCs w:val="24"/>
        </w:rPr>
      </w:pPr>
    </w:p>
    <w:p w14:paraId="5CAC50EF">
      <w:pPr>
        <w:pStyle w:val="31"/>
        <w:rPr>
          <w:rFonts w:ascii="宋体" w:hAnsi="宋体" w:cs="宋体"/>
          <w:b/>
          <w:sz w:val="24"/>
          <w:szCs w:val="24"/>
        </w:rPr>
      </w:pPr>
    </w:p>
    <w:p w14:paraId="344CA1B2">
      <w:pPr>
        <w:pStyle w:val="31"/>
        <w:rPr>
          <w:rFonts w:ascii="宋体" w:hAnsi="宋体" w:cs="宋体"/>
          <w:b/>
          <w:sz w:val="24"/>
          <w:szCs w:val="24"/>
        </w:rPr>
      </w:pPr>
    </w:p>
    <w:p w14:paraId="72303CE2">
      <w:pPr>
        <w:pStyle w:val="31"/>
        <w:rPr>
          <w:rFonts w:ascii="宋体" w:hAnsi="宋体" w:cs="宋体"/>
          <w:b/>
          <w:sz w:val="24"/>
          <w:szCs w:val="24"/>
        </w:rPr>
      </w:pPr>
    </w:p>
    <w:p w14:paraId="7494BF6A">
      <w:pPr>
        <w:pStyle w:val="31"/>
        <w:rPr>
          <w:rFonts w:ascii="宋体" w:hAnsi="宋体" w:cs="宋体"/>
          <w:b/>
          <w:sz w:val="24"/>
          <w:szCs w:val="24"/>
        </w:rPr>
      </w:pPr>
    </w:p>
    <w:p w14:paraId="4D53C1E7">
      <w:pPr>
        <w:pStyle w:val="31"/>
        <w:rPr>
          <w:rFonts w:ascii="宋体" w:hAnsi="宋体" w:cs="宋体"/>
          <w:b/>
          <w:sz w:val="24"/>
          <w:szCs w:val="24"/>
        </w:rPr>
      </w:pPr>
    </w:p>
    <w:p w14:paraId="3B7A6EC1">
      <w:pPr>
        <w:tabs>
          <w:tab w:val="left" w:pos="0"/>
        </w:tabs>
        <w:spacing w:line="360" w:lineRule="auto"/>
        <w:ind w:right="512"/>
        <w:rPr>
          <w:rFonts w:ascii="宋体" w:hAnsi="宋体" w:cs="宋体"/>
          <w:color w:val="auto"/>
          <w:spacing w:val="8"/>
          <w:sz w:val="24"/>
        </w:rPr>
      </w:pPr>
      <w:r>
        <w:rPr>
          <w:rFonts w:hint="eastAsia" w:ascii="宋体" w:hAnsi="宋体" w:cs="宋体"/>
          <w:color w:val="auto"/>
          <w:sz w:val="24"/>
          <w:szCs w:val="24"/>
        </w:rPr>
        <w:t>供应商（电子签章）</w:t>
      </w:r>
      <w:r>
        <w:rPr>
          <w:rFonts w:hint="eastAsia" w:ascii="宋体" w:hAnsi="宋体" w:cs="宋体"/>
          <w:color w:val="auto"/>
          <w:spacing w:val="8"/>
          <w:sz w:val="24"/>
        </w:rPr>
        <w:t>：</w:t>
      </w:r>
    </w:p>
    <w:p w14:paraId="02C2B090">
      <w:pPr>
        <w:tabs>
          <w:tab w:val="left" w:pos="0"/>
        </w:tabs>
        <w:spacing w:line="360" w:lineRule="auto"/>
        <w:ind w:right="768"/>
        <w:jc w:val="left"/>
        <w:rPr>
          <w:rFonts w:ascii="宋体" w:hAnsi="宋体" w:cs="宋体"/>
          <w:color w:val="auto"/>
          <w:spacing w:val="8"/>
          <w:sz w:val="24"/>
        </w:rPr>
      </w:pPr>
      <w:r>
        <w:rPr>
          <w:rFonts w:hint="eastAsia" w:ascii="宋体" w:hAnsi="宋体" w:cs="宋体"/>
          <w:color w:val="auto"/>
          <w:spacing w:val="8"/>
          <w:sz w:val="24"/>
        </w:rPr>
        <w:t>法定代表人</w:t>
      </w:r>
      <w:r>
        <w:rPr>
          <w:rFonts w:hint="eastAsia" w:ascii="宋体" w:hAnsi="宋体" w:cs="宋体"/>
          <w:color w:val="auto"/>
          <w:sz w:val="24"/>
          <w:szCs w:val="24"/>
        </w:rPr>
        <w:t>（电子签名）</w:t>
      </w:r>
      <w:r>
        <w:rPr>
          <w:rFonts w:hint="eastAsia" w:ascii="宋体" w:hAnsi="宋体" w:cs="宋体"/>
          <w:color w:val="auto"/>
          <w:spacing w:val="8"/>
          <w:sz w:val="24"/>
        </w:rPr>
        <w:t>：</w:t>
      </w:r>
    </w:p>
    <w:p w14:paraId="6030C0F3">
      <w:pPr>
        <w:autoSpaceDE w:val="0"/>
        <w:autoSpaceDN w:val="0"/>
        <w:adjustRightInd w:val="0"/>
        <w:spacing w:line="360" w:lineRule="auto"/>
        <w:rPr>
          <w:rFonts w:ascii="宋体" w:hAnsi="宋体" w:cs="宋体"/>
          <w:color w:val="auto"/>
          <w:sz w:val="24"/>
        </w:rPr>
      </w:pPr>
      <w:r>
        <w:rPr>
          <w:rFonts w:hint="eastAsia" w:ascii="宋体" w:hAnsi="宋体" w:cs="宋体"/>
          <w:color w:val="auto"/>
          <w:spacing w:val="8"/>
          <w:sz w:val="24"/>
        </w:rPr>
        <w:t>日期：</w:t>
      </w:r>
      <w:r>
        <w:rPr>
          <w:rFonts w:hint="eastAsia" w:ascii="宋体" w:hAnsi="宋体" w:cs="宋体"/>
          <w:color w:val="auto"/>
          <w:sz w:val="24"/>
          <w:lang w:val="zh-CN"/>
        </w:rPr>
        <w:t xml:space="preserve">   年   月   日</w:t>
      </w:r>
    </w:p>
    <w:p w14:paraId="3D4F64DA">
      <w:pPr>
        <w:rPr>
          <w:color w:val="auto"/>
        </w:rPr>
      </w:pPr>
      <w:bookmarkStart w:id="61" w:name="_Toc27655"/>
      <w:r>
        <w:rPr>
          <w:rFonts w:hint="eastAsia"/>
          <w:color w:val="auto"/>
        </w:rPr>
        <w:br w:type="page"/>
      </w:r>
    </w:p>
    <w:p w14:paraId="3E3C0C94">
      <w:pPr>
        <w:pStyle w:val="2"/>
        <w:rPr>
          <w:color w:val="auto"/>
        </w:rPr>
      </w:pPr>
      <w:r>
        <w:rPr>
          <w:rFonts w:hint="eastAsia"/>
          <w:color w:val="auto"/>
        </w:rPr>
        <w:t>六、服务拟投入的人员情况表</w:t>
      </w:r>
      <w:bookmarkEnd w:id="61"/>
    </w:p>
    <w:p w14:paraId="13D245F1">
      <w:pPr>
        <w:jc w:val="center"/>
        <w:rPr>
          <w:rFonts w:ascii="宋体" w:hAnsi="宋体" w:cs="宋体"/>
          <w:b/>
          <w:color w:val="auto"/>
          <w:sz w:val="24"/>
          <w:szCs w:val="24"/>
        </w:rPr>
      </w:pPr>
      <w:r>
        <w:rPr>
          <w:rFonts w:hint="eastAsia" w:ascii="宋体" w:hAnsi="宋体" w:cs="宋体"/>
          <w:b/>
          <w:color w:val="auto"/>
          <w:sz w:val="24"/>
          <w:szCs w:val="24"/>
        </w:rPr>
        <w:t>（格式自定）</w:t>
      </w:r>
    </w:p>
    <w:p w14:paraId="432F239E">
      <w:pPr>
        <w:jc w:val="center"/>
        <w:rPr>
          <w:rFonts w:ascii="宋体" w:hAnsi="宋体" w:cs="宋体"/>
          <w:b/>
          <w:color w:val="auto"/>
          <w:sz w:val="24"/>
          <w:szCs w:val="24"/>
        </w:rPr>
      </w:pPr>
    </w:p>
    <w:p w14:paraId="3A53E302">
      <w:pPr>
        <w:jc w:val="center"/>
        <w:rPr>
          <w:rFonts w:ascii="宋体" w:hAnsi="宋体" w:cs="宋体"/>
          <w:b/>
          <w:color w:val="auto"/>
          <w:sz w:val="24"/>
          <w:szCs w:val="24"/>
        </w:rPr>
      </w:pPr>
    </w:p>
    <w:p w14:paraId="0757D72B">
      <w:pPr>
        <w:jc w:val="center"/>
        <w:rPr>
          <w:rFonts w:ascii="宋体" w:hAnsi="宋体" w:cs="宋体"/>
          <w:b/>
          <w:color w:val="auto"/>
          <w:sz w:val="24"/>
          <w:szCs w:val="24"/>
        </w:rPr>
      </w:pPr>
    </w:p>
    <w:p w14:paraId="225A3BA5">
      <w:pPr>
        <w:jc w:val="center"/>
        <w:rPr>
          <w:rFonts w:ascii="宋体" w:hAnsi="宋体" w:cs="宋体"/>
          <w:b/>
          <w:color w:val="auto"/>
          <w:sz w:val="24"/>
          <w:szCs w:val="24"/>
        </w:rPr>
      </w:pPr>
    </w:p>
    <w:p w14:paraId="2DDA7A2D">
      <w:pPr>
        <w:jc w:val="center"/>
        <w:rPr>
          <w:rFonts w:ascii="宋体" w:hAnsi="宋体" w:cs="宋体"/>
          <w:b/>
          <w:color w:val="auto"/>
          <w:sz w:val="24"/>
          <w:szCs w:val="24"/>
        </w:rPr>
      </w:pPr>
    </w:p>
    <w:p w14:paraId="509FF28C">
      <w:pPr>
        <w:jc w:val="center"/>
        <w:rPr>
          <w:rFonts w:ascii="宋体" w:hAnsi="宋体" w:cs="宋体"/>
          <w:b/>
          <w:color w:val="auto"/>
          <w:sz w:val="24"/>
          <w:szCs w:val="24"/>
        </w:rPr>
      </w:pPr>
    </w:p>
    <w:p w14:paraId="73D76175">
      <w:pPr>
        <w:jc w:val="center"/>
        <w:rPr>
          <w:rFonts w:ascii="宋体" w:hAnsi="宋体" w:cs="宋体"/>
          <w:b/>
          <w:color w:val="auto"/>
          <w:sz w:val="24"/>
          <w:szCs w:val="24"/>
        </w:rPr>
      </w:pPr>
    </w:p>
    <w:p w14:paraId="0F1D3A02">
      <w:pPr>
        <w:jc w:val="center"/>
        <w:rPr>
          <w:rFonts w:ascii="宋体" w:hAnsi="宋体" w:cs="宋体"/>
          <w:b/>
          <w:color w:val="auto"/>
          <w:sz w:val="24"/>
          <w:szCs w:val="24"/>
        </w:rPr>
      </w:pPr>
    </w:p>
    <w:p w14:paraId="35A0B8E2">
      <w:pPr>
        <w:jc w:val="center"/>
        <w:rPr>
          <w:rFonts w:ascii="宋体" w:hAnsi="宋体" w:cs="宋体"/>
          <w:b/>
          <w:color w:val="auto"/>
          <w:sz w:val="24"/>
          <w:szCs w:val="24"/>
        </w:rPr>
      </w:pPr>
    </w:p>
    <w:p w14:paraId="7A60A946">
      <w:pPr>
        <w:jc w:val="center"/>
        <w:rPr>
          <w:rFonts w:ascii="宋体" w:hAnsi="宋体" w:cs="宋体"/>
          <w:b/>
          <w:color w:val="auto"/>
          <w:sz w:val="24"/>
          <w:szCs w:val="24"/>
        </w:rPr>
      </w:pPr>
    </w:p>
    <w:p w14:paraId="5F8EA145">
      <w:pPr>
        <w:jc w:val="center"/>
        <w:rPr>
          <w:rFonts w:ascii="宋体" w:hAnsi="宋体" w:cs="宋体"/>
          <w:b/>
          <w:color w:val="auto"/>
          <w:sz w:val="24"/>
          <w:szCs w:val="24"/>
        </w:rPr>
      </w:pPr>
    </w:p>
    <w:p w14:paraId="484B1DCA">
      <w:pPr>
        <w:jc w:val="center"/>
        <w:rPr>
          <w:rFonts w:ascii="宋体" w:hAnsi="宋体" w:cs="宋体"/>
          <w:b/>
          <w:color w:val="auto"/>
          <w:sz w:val="24"/>
          <w:szCs w:val="24"/>
        </w:rPr>
      </w:pPr>
    </w:p>
    <w:p w14:paraId="5FBA0649">
      <w:pPr>
        <w:jc w:val="center"/>
        <w:rPr>
          <w:rFonts w:ascii="宋体" w:hAnsi="宋体" w:cs="宋体"/>
          <w:b/>
          <w:color w:val="auto"/>
          <w:sz w:val="24"/>
          <w:szCs w:val="24"/>
        </w:rPr>
      </w:pPr>
    </w:p>
    <w:p w14:paraId="6191C146">
      <w:pPr>
        <w:jc w:val="center"/>
        <w:rPr>
          <w:rFonts w:ascii="宋体" w:hAnsi="宋体" w:cs="宋体"/>
          <w:b/>
          <w:color w:val="auto"/>
          <w:sz w:val="24"/>
          <w:szCs w:val="24"/>
        </w:rPr>
      </w:pPr>
    </w:p>
    <w:p w14:paraId="1BBCFE6B">
      <w:pPr>
        <w:jc w:val="center"/>
        <w:rPr>
          <w:rFonts w:ascii="宋体" w:hAnsi="宋体" w:cs="宋体"/>
          <w:b/>
          <w:color w:val="auto"/>
          <w:sz w:val="24"/>
          <w:szCs w:val="24"/>
        </w:rPr>
      </w:pPr>
    </w:p>
    <w:p w14:paraId="442AD870">
      <w:pPr>
        <w:jc w:val="center"/>
        <w:rPr>
          <w:rFonts w:ascii="宋体" w:hAnsi="宋体" w:cs="宋体"/>
          <w:b/>
          <w:color w:val="auto"/>
          <w:sz w:val="24"/>
          <w:szCs w:val="24"/>
        </w:rPr>
      </w:pPr>
    </w:p>
    <w:p w14:paraId="3B5541BD">
      <w:pPr>
        <w:jc w:val="center"/>
        <w:rPr>
          <w:rFonts w:ascii="宋体" w:hAnsi="宋体" w:cs="宋体"/>
          <w:b/>
          <w:color w:val="auto"/>
          <w:sz w:val="24"/>
          <w:szCs w:val="24"/>
        </w:rPr>
      </w:pPr>
    </w:p>
    <w:p w14:paraId="56604590">
      <w:pPr>
        <w:jc w:val="center"/>
        <w:rPr>
          <w:rFonts w:ascii="宋体" w:hAnsi="宋体" w:cs="宋体"/>
          <w:b/>
          <w:color w:val="auto"/>
          <w:sz w:val="24"/>
          <w:szCs w:val="24"/>
        </w:rPr>
      </w:pPr>
    </w:p>
    <w:p w14:paraId="38BD7957">
      <w:pPr>
        <w:jc w:val="center"/>
        <w:rPr>
          <w:rFonts w:ascii="宋体" w:hAnsi="宋体" w:cs="宋体"/>
          <w:b/>
          <w:color w:val="auto"/>
          <w:sz w:val="24"/>
          <w:szCs w:val="24"/>
        </w:rPr>
      </w:pPr>
    </w:p>
    <w:p w14:paraId="6B1D01EE">
      <w:pPr>
        <w:jc w:val="center"/>
        <w:rPr>
          <w:rFonts w:ascii="宋体" w:hAnsi="宋体" w:cs="宋体"/>
          <w:b/>
          <w:color w:val="auto"/>
          <w:sz w:val="24"/>
          <w:szCs w:val="24"/>
        </w:rPr>
      </w:pPr>
    </w:p>
    <w:p w14:paraId="1A81DACE">
      <w:pPr>
        <w:pStyle w:val="31"/>
      </w:pPr>
    </w:p>
    <w:p w14:paraId="4E24F410">
      <w:pPr>
        <w:jc w:val="center"/>
        <w:rPr>
          <w:rFonts w:ascii="宋体" w:hAnsi="宋体" w:cs="宋体"/>
          <w:b/>
          <w:color w:val="auto"/>
          <w:sz w:val="24"/>
          <w:szCs w:val="24"/>
        </w:rPr>
      </w:pPr>
    </w:p>
    <w:p w14:paraId="71543644">
      <w:pPr>
        <w:jc w:val="center"/>
        <w:rPr>
          <w:rFonts w:ascii="宋体" w:hAnsi="宋体" w:cs="宋体"/>
          <w:b/>
          <w:color w:val="auto"/>
          <w:sz w:val="24"/>
          <w:szCs w:val="24"/>
        </w:rPr>
      </w:pPr>
    </w:p>
    <w:p w14:paraId="0698B352">
      <w:pPr>
        <w:jc w:val="center"/>
        <w:rPr>
          <w:rFonts w:ascii="宋体" w:hAnsi="宋体" w:cs="宋体"/>
          <w:b/>
          <w:color w:val="auto"/>
          <w:sz w:val="24"/>
          <w:szCs w:val="24"/>
        </w:rPr>
      </w:pPr>
    </w:p>
    <w:p w14:paraId="4333665E">
      <w:pPr>
        <w:jc w:val="center"/>
        <w:rPr>
          <w:rFonts w:ascii="宋体" w:hAnsi="宋体" w:cs="宋体"/>
          <w:b/>
          <w:color w:val="auto"/>
          <w:sz w:val="24"/>
          <w:szCs w:val="24"/>
        </w:rPr>
      </w:pPr>
    </w:p>
    <w:p w14:paraId="089AD775">
      <w:pPr>
        <w:jc w:val="center"/>
        <w:rPr>
          <w:rFonts w:ascii="宋体" w:hAnsi="宋体" w:cs="宋体"/>
          <w:b/>
          <w:color w:val="auto"/>
          <w:sz w:val="24"/>
          <w:szCs w:val="24"/>
        </w:rPr>
      </w:pPr>
    </w:p>
    <w:p w14:paraId="0C67C422">
      <w:pPr>
        <w:jc w:val="center"/>
        <w:rPr>
          <w:rFonts w:ascii="宋体" w:hAnsi="宋体" w:cs="宋体"/>
          <w:b/>
          <w:color w:val="auto"/>
          <w:sz w:val="24"/>
          <w:szCs w:val="24"/>
        </w:rPr>
      </w:pPr>
    </w:p>
    <w:p w14:paraId="24E8C1A1">
      <w:pPr>
        <w:jc w:val="center"/>
        <w:rPr>
          <w:rFonts w:ascii="宋体" w:hAnsi="宋体" w:cs="宋体"/>
          <w:b/>
          <w:color w:val="auto"/>
          <w:sz w:val="24"/>
          <w:szCs w:val="24"/>
        </w:rPr>
      </w:pPr>
    </w:p>
    <w:p w14:paraId="5020FD7C">
      <w:pPr>
        <w:jc w:val="center"/>
        <w:rPr>
          <w:rFonts w:ascii="宋体" w:hAnsi="宋体" w:cs="宋体"/>
          <w:b/>
          <w:color w:val="auto"/>
          <w:sz w:val="24"/>
          <w:szCs w:val="24"/>
        </w:rPr>
      </w:pPr>
    </w:p>
    <w:p w14:paraId="0C4176C3">
      <w:pPr>
        <w:jc w:val="center"/>
        <w:rPr>
          <w:rFonts w:ascii="宋体" w:hAnsi="宋体" w:cs="宋体"/>
          <w:b/>
          <w:color w:val="auto"/>
          <w:sz w:val="24"/>
          <w:szCs w:val="24"/>
        </w:rPr>
      </w:pPr>
    </w:p>
    <w:p w14:paraId="4A8CD674">
      <w:pPr>
        <w:jc w:val="center"/>
        <w:rPr>
          <w:rFonts w:ascii="宋体" w:hAnsi="宋体" w:cs="宋体"/>
          <w:b/>
          <w:color w:val="auto"/>
          <w:sz w:val="24"/>
          <w:szCs w:val="24"/>
        </w:rPr>
      </w:pPr>
    </w:p>
    <w:p w14:paraId="719E8B7B">
      <w:pPr>
        <w:tabs>
          <w:tab w:val="left" w:pos="0"/>
        </w:tabs>
        <w:spacing w:line="360" w:lineRule="auto"/>
        <w:ind w:right="512"/>
        <w:rPr>
          <w:rFonts w:ascii="宋体" w:hAnsi="宋体" w:cs="宋体"/>
          <w:color w:val="auto"/>
          <w:spacing w:val="8"/>
          <w:sz w:val="24"/>
        </w:rPr>
      </w:pPr>
      <w:r>
        <w:rPr>
          <w:rFonts w:hint="eastAsia" w:ascii="宋体" w:hAnsi="宋体" w:cs="宋体"/>
          <w:color w:val="auto"/>
          <w:sz w:val="24"/>
          <w:szCs w:val="24"/>
        </w:rPr>
        <w:t>供应商（电子签章）</w:t>
      </w:r>
      <w:r>
        <w:rPr>
          <w:rFonts w:hint="eastAsia" w:ascii="宋体" w:hAnsi="宋体" w:cs="宋体"/>
          <w:color w:val="auto"/>
          <w:spacing w:val="8"/>
          <w:sz w:val="24"/>
        </w:rPr>
        <w:t>：</w:t>
      </w:r>
    </w:p>
    <w:p w14:paraId="505B57C8">
      <w:pPr>
        <w:tabs>
          <w:tab w:val="left" w:pos="0"/>
        </w:tabs>
        <w:spacing w:line="360" w:lineRule="auto"/>
        <w:ind w:right="768"/>
        <w:jc w:val="left"/>
        <w:rPr>
          <w:rFonts w:ascii="宋体" w:hAnsi="宋体" w:cs="宋体"/>
          <w:color w:val="auto"/>
          <w:spacing w:val="8"/>
          <w:sz w:val="24"/>
        </w:rPr>
      </w:pPr>
      <w:r>
        <w:rPr>
          <w:rFonts w:hint="eastAsia" w:ascii="宋体" w:hAnsi="宋体" w:cs="宋体"/>
          <w:color w:val="auto"/>
          <w:spacing w:val="8"/>
          <w:sz w:val="24"/>
        </w:rPr>
        <w:t>法定代表人</w:t>
      </w:r>
      <w:r>
        <w:rPr>
          <w:rFonts w:hint="eastAsia" w:ascii="宋体" w:hAnsi="宋体" w:cs="宋体"/>
          <w:color w:val="auto"/>
          <w:sz w:val="24"/>
          <w:szCs w:val="24"/>
        </w:rPr>
        <w:t>（电子签名）</w:t>
      </w:r>
      <w:r>
        <w:rPr>
          <w:rFonts w:hint="eastAsia" w:ascii="宋体" w:hAnsi="宋体" w:cs="宋体"/>
          <w:color w:val="auto"/>
          <w:spacing w:val="8"/>
          <w:sz w:val="24"/>
        </w:rPr>
        <w:t>：</w:t>
      </w:r>
    </w:p>
    <w:p w14:paraId="57EA77A7">
      <w:pPr>
        <w:autoSpaceDE w:val="0"/>
        <w:autoSpaceDN w:val="0"/>
        <w:adjustRightInd w:val="0"/>
        <w:spacing w:line="360" w:lineRule="auto"/>
        <w:rPr>
          <w:rFonts w:ascii="宋体" w:hAnsi="宋体" w:cs="宋体"/>
          <w:b/>
          <w:color w:val="auto"/>
          <w:sz w:val="24"/>
          <w:szCs w:val="24"/>
        </w:rPr>
      </w:pPr>
      <w:r>
        <w:rPr>
          <w:rFonts w:hint="eastAsia" w:ascii="宋体" w:hAnsi="宋体" w:cs="宋体"/>
          <w:color w:val="auto"/>
          <w:spacing w:val="8"/>
          <w:sz w:val="24"/>
        </w:rPr>
        <w:t>日期：</w:t>
      </w:r>
      <w:r>
        <w:rPr>
          <w:rFonts w:hint="eastAsia" w:ascii="宋体" w:hAnsi="宋体" w:cs="宋体"/>
          <w:color w:val="auto"/>
          <w:sz w:val="24"/>
        </w:rPr>
        <w:t xml:space="preserve">   </w:t>
      </w:r>
      <w:r>
        <w:rPr>
          <w:rFonts w:hint="eastAsia" w:ascii="宋体" w:hAnsi="宋体" w:cs="宋体"/>
          <w:color w:val="auto"/>
          <w:sz w:val="24"/>
          <w:lang w:val="zh-CN"/>
        </w:rPr>
        <w:t>年</w:t>
      </w:r>
      <w:r>
        <w:rPr>
          <w:rFonts w:hint="eastAsia" w:ascii="宋体" w:hAnsi="宋体" w:cs="宋体"/>
          <w:color w:val="auto"/>
          <w:sz w:val="24"/>
        </w:rPr>
        <w:t xml:space="preserve">   </w:t>
      </w:r>
      <w:r>
        <w:rPr>
          <w:rFonts w:hint="eastAsia" w:ascii="宋体" w:hAnsi="宋体" w:cs="宋体"/>
          <w:color w:val="auto"/>
          <w:sz w:val="24"/>
          <w:lang w:val="zh-CN"/>
        </w:rPr>
        <w:t>月</w:t>
      </w:r>
      <w:r>
        <w:rPr>
          <w:rFonts w:hint="eastAsia" w:ascii="宋体" w:hAnsi="宋体" w:cs="宋体"/>
          <w:color w:val="auto"/>
          <w:sz w:val="24"/>
        </w:rPr>
        <w:t xml:space="preserve">   </w:t>
      </w:r>
      <w:r>
        <w:rPr>
          <w:rFonts w:hint="eastAsia" w:ascii="宋体" w:hAnsi="宋体" w:cs="宋体"/>
          <w:color w:val="auto"/>
          <w:sz w:val="24"/>
          <w:lang w:val="zh-CN"/>
        </w:rPr>
        <w:t>日</w:t>
      </w:r>
    </w:p>
    <w:p w14:paraId="56B1A352">
      <w:pPr>
        <w:pStyle w:val="2"/>
        <w:rPr>
          <w:color w:val="auto"/>
        </w:rPr>
      </w:pPr>
      <w:bookmarkStart w:id="62" w:name="_Toc21448"/>
      <w:r>
        <w:rPr>
          <w:rFonts w:hint="eastAsia"/>
          <w:color w:val="auto"/>
        </w:rPr>
        <w:t>七、偏差表</w:t>
      </w:r>
      <w:bookmarkEnd w:id="62"/>
    </w:p>
    <w:p w14:paraId="63975957">
      <w:pPr>
        <w:tabs>
          <w:tab w:val="left" w:pos="540"/>
        </w:tabs>
        <w:spacing w:line="440" w:lineRule="exact"/>
        <w:jc w:val="center"/>
        <w:rPr>
          <w:rFonts w:ascii="宋体" w:hAnsi="宋体" w:cs="宋体"/>
          <w:b/>
          <w:color w:val="auto"/>
          <w:sz w:val="30"/>
          <w:szCs w:val="30"/>
        </w:rPr>
      </w:pPr>
      <w:r>
        <w:rPr>
          <w:rFonts w:hint="eastAsia" w:ascii="宋体" w:hAnsi="宋体" w:cs="宋体"/>
          <w:b/>
          <w:color w:val="auto"/>
          <w:sz w:val="30"/>
          <w:szCs w:val="30"/>
        </w:rPr>
        <w:t>（一）技术偏差表</w:t>
      </w:r>
    </w:p>
    <w:p w14:paraId="3826BEED">
      <w:pPr>
        <w:snapToGrid w:val="0"/>
        <w:spacing w:line="560" w:lineRule="atLeast"/>
        <w:jc w:val="left"/>
        <w:rPr>
          <w:rFonts w:ascii="宋体" w:hAnsi="宋体" w:cs="宋体"/>
          <w:color w:val="auto"/>
          <w:sz w:val="28"/>
          <w:szCs w:val="28"/>
          <w:u w:val="single"/>
        </w:rPr>
      </w:pPr>
      <w:r>
        <w:rPr>
          <w:rFonts w:hint="eastAsia" w:ascii="宋体" w:hAnsi="宋体" w:cs="宋体"/>
          <w:color w:val="auto"/>
          <w:sz w:val="28"/>
          <w:szCs w:val="28"/>
        </w:rPr>
        <w:t>项目名称：</w:t>
      </w:r>
      <w:r>
        <w:rPr>
          <w:rFonts w:hint="eastAsia" w:ascii="宋体" w:hAnsi="宋体" w:cs="宋体"/>
          <w:color w:val="auto"/>
          <w:sz w:val="28"/>
          <w:szCs w:val="28"/>
          <w:u w:val="single"/>
        </w:rPr>
        <w:t xml:space="preserve">                          </w:t>
      </w:r>
    </w:p>
    <w:p w14:paraId="75AA3C84">
      <w:pPr>
        <w:tabs>
          <w:tab w:val="left" w:pos="9365"/>
        </w:tabs>
        <w:snapToGrid w:val="0"/>
        <w:spacing w:after="56" w:line="560" w:lineRule="atLeast"/>
        <w:jc w:val="left"/>
        <w:textAlignment w:val="top"/>
        <w:rPr>
          <w:rFonts w:ascii="宋体" w:hAnsi="宋体" w:cs="宋体"/>
          <w:color w:val="auto"/>
          <w:sz w:val="32"/>
          <w:szCs w:val="32"/>
        </w:rPr>
      </w:pPr>
      <w:r>
        <w:rPr>
          <w:rFonts w:hint="eastAsia" w:ascii="宋体" w:hAnsi="宋体" w:cs="宋体"/>
          <w:color w:val="auto"/>
          <w:sz w:val="28"/>
          <w:szCs w:val="28"/>
        </w:rPr>
        <w:t>项目编号：</w:t>
      </w:r>
      <w:r>
        <w:rPr>
          <w:rFonts w:hint="eastAsia" w:ascii="宋体" w:hAnsi="宋体" w:cs="宋体"/>
          <w:color w:val="auto"/>
          <w:sz w:val="28"/>
          <w:szCs w:val="28"/>
          <w:u w:val="single"/>
        </w:rPr>
        <w:t xml:space="preserve">                          </w:t>
      </w:r>
    </w:p>
    <w:tbl>
      <w:tblPr>
        <w:tblStyle w:val="22"/>
        <w:tblW w:w="9203" w:type="dxa"/>
        <w:tblInd w:w="-11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48"/>
        <w:gridCol w:w="2984"/>
        <w:gridCol w:w="3172"/>
        <w:gridCol w:w="2599"/>
      </w:tblGrid>
      <w:tr w14:paraId="494BD0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448" w:type="dxa"/>
            <w:vAlign w:val="center"/>
          </w:tcPr>
          <w:p w14:paraId="4B69CFBE">
            <w:pPr>
              <w:spacing w:line="560" w:lineRule="atLeast"/>
              <w:jc w:val="center"/>
              <w:rPr>
                <w:rFonts w:ascii="宋体" w:hAnsi="宋体" w:cs="宋体"/>
                <w:color w:val="auto"/>
                <w:sz w:val="28"/>
              </w:rPr>
            </w:pPr>
            <w:r>
              <w:rPr>
                <w:rFonts w:hint="eastAsia" w:ascii="宋体" w:hAnsi="宋体" w:cs="宋体"/>
                <w:color w:val="auto"/>
              </w:rPr>
              <w:t>序号</w:t>
            </w:r>
          </w:p>
        </w:tc>
        <w:tc>
          <w:tcPr>
            <w:tcW w:w="2984" w:type="dxa"/>
            <w:vAlign w:val="center"/>
          </w:tcPr>
          <w:p w14:paraId="2CAA20B4">
            <w:pPr>
              <w:spacing w:line="560" w:lineRule="atLeast"/>
              <w:jc w:val="center"/>
              <w:rPr>
                <w:rFonts w:ascii="宋体" w:hAnsi="宋体" w:cs="宋体"/>
                <w:color w:val="auto"/>
                <w:sz w:val="28"/>
              </w:rPr>
            </w:pPr>
            <w:r>
              <w:rPr>
                <w:rFonts w:hint="eastAsia" w:ascii="宋体" w:hAnsi="宋体" w:cs="宋体"/>
                <w:color w:val="auto"/>
              </w:rPr>
              <w:t>磋商文件要求条款</w:t>
            </w:r>
          </w:p>
        </w:tc>
        <w:tc>
          <w:tcPr>
            <w:tcW w:w="3172" w:type="dxa"/>
            <w:vAlign w:val="center"/>
          </w:tcPr>
          <w:p w14:paraId="4908FF8B">
            <w:pPr>
              <w:spacing w:line="560" w:lineRule="atLeast"/>
              <w:jc w:val="center"/>
              <w:rPr>
                <w:rFonts w:ascii="宋体" w:hAnsi="宋体" w:cs="宋体"/>
                <w:color w:val="auto"/>
                <w:sz w:val="28"/>
              </w:rPr>
            </w:pPr>
            <w:r>
              <w:rPr>
                <w:rFonts w:hint="eastAsia" w:ascii="宋体" w:hAnsi="宋体" w:cs="宋体"/>
                <w:color w:val="auto"/>
              </w:rPr>
              <w:t>响应文件条款</w:t>
            </w:r>
          </w:p>
        </w:tc>
        <w:tc>
          <w:tcPr>
            <w:tcW w:w="2599" w:type="dxa"/>
            <w:vAlign w:val="center"/>
          </w:tcPr>
          <w:p w14:paraId="6F8DBBFA">
            <w:pPr>
              <w:spacing w:line="560" w:lineRule="atLeast"/>
              <w:jc w:val="center"/>
              <w:rPr>
                <w:rFonts w:ascii="宋体" w:hAnsi="宋体" w:cs="宋体"/>
                <w:color w:val="auto"/>
                <w:sz w:val="28"/>
              </w:rPr>
            </w:pPr>
            <w:r>
              <w:rPr>
                <w:rFonts w:hint="eastAsia" w:ascii="宋体" w:hAnsi="宋体" w:cs="宋体"/>
                <w:color w:val="auto"/>
              </w:rPr>
              <w:t>偏差</w:t>
            </w:r>
          </w:p>
        </w:tc>
      </w:tr>
      <w:tr w14:paraId="65D2B7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448" w:type="dxa"/>
            <w:vAlign w:val="center"/>
          </w:tcPr>
          <w:p w14:paraId="5AD28DB6">
            <w:pPr>
              <w:spacing w:line="560" w:lineRule="atLeast"/>
              <w:jc w:val="center"/>
              <w:rPr>
                <w:rFonts w:ascii="宋体" w:hAnsi="宋体" w:cs="宋体"/>
                <w:color w:val="auto"/>
                <w:sz w:val="28"/>
              </w:rPr>
            </w:pPr>
            <w:r>
              <w:rPr>
                <w:rFonts w:hint="eastAsia" w:ascii="宋体" w:hAnsi="宋体" w:cs="宋体"/>
                <w:color w:val="auto"/>
              </w:rPr>
              <w:t>1</w:t>
            </w:r>
          </w:p>
        </w:tc>
        <w:tc>
          <w:tcPr>
            <w:tcW w:w="2984" w:type="dxa"/>
            <w:vAlign w:val="center"/>
          </w:tcPr>
          <w:p w14:paraId="3710D66E">
            <w:pPr>
              <w:spacing w:line="560" w:lineRule="atLeast"/>
              <w:jc w:val="center"/>
              <w:rPr>
                <w:rFonts w:ascii="宋体" w:hAnsi="宋体" w:cs="宋体"/>
                <w:color w:val="auto"/>
              </w:rPr>
            </w:pPr>
            <w:r>
              <w:rPr>
                <w:rFonts w:hint="eastAsia" w:ascii="宋体" w:hAnsi="宋体" w:cs="宋体"/>
                <w:color w:val="auto"/>
              </w:rPr>
              <w:t xml:space="preserve"> </w:t>
            </w:r>
          </w:p>
        </w:tc>
        <w:tc>
          <w:tcPr>
            <w:tcW w:w="3172" w:type="dxa"/>
            <w:vAlign w:val="center"/>
          </w:tcPr>
          <w:p w14:paraId="4A6191E2">
            <w:pPr>
              <w:spacing w:line="560" w:lineRule="atLeast"/>
              <w:jc w:val="center"/>
              <w:rPr>
                <w:rFonts w:ascii="宋体" w:hAnsi="宋体" w:cs="宋体"/>
                <w:color w:val="auto"/>
                <w:sz w:val="28"/>
              </w:rPr>
            </w:pPr>
          </w:p>
        </w:tc>
        <w:tc>
          <w:tcPr>
            <w:tcW w:w="2599" w:type="dxa"/>
            <w:vAlign w:val="center"/>
          </w:tcPr>
          <w:p w14:paraId="11CDA02C">
            <w:pPr>
              <w:spacing w:line="560" w:lineRule="atLeast"/>
              <w:jc w:val="center"/>
              <w:rPr>
                <w:rFonts w:ascii="宋体" w:hAnsi="宋体" w:cs="宋体"/>
                <w:color w:val="auto"/>
                <w:sz w:val="28"/>
              </w:rPr>
            </w:pPr>
          </w:p>
        </w:tc>
      </w:tr>
      <w:tr w14:paraId="5D4F36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448" w:type="dxa"/>
            <w:vAlign w:val="center"/>
          </w:tcPr>
          <w:p w14:paraId="3BFC2240">
            <w:pPr>
              <w:spacing w:line="560" w:lineRule="atLeast"/>
              <w:jc w:val="center"/>
              <w:rPr>
                <w:rFonts w:ascii="宋体" w:hAnsi="宋体" w:cs="宋体"/>
                <w:color w:val="auto"/>
                <w:sz w:val="28"/>
              </w:rPr>
            </w:pPr>
            <w:r>
              <w:rPr>
                <w:rFonts w:hint="eastAsia" w:ascii="宋体" w:hAnsi="宋体" w:cs="宋体"/>
                <w:color w:val="auto"/>
              </w:rPr>
              <w:t>2</w:t>
            </w:r>
          </w:p>
        </w:tc>
        <w:tc>
          <w:tcPr>
            <w:tcW w:w="2984" w:type="dxa"/>
            <w:vAlign w:val="center"/>
          </w:tcPr>
          <w:p w14:paraId="7C241467">
            <w:pPr>
              <w:spacing w:line="560" w:lineRule="atLeast"/>
              <w:jc w:val="center"/>
              <w:rPr>
                <w:rFonts w:ascii="宋体" w:hAnsi="宋体" w:cs="宋体"/>
                <w:color w:val="auto"/>
              </w:rPr>
            </w:pPr>
            <w:r>
              <w:rPr>
                <w:rFonts w:hint="eastAsia" w:ascii="宋体" w:hAnsi="宋体" w:cs="宋体"/>
                <w:color w:val="auto"/>
              </w:rPr>
              <w:t xml:space="preserve"> </w:t>
            </w:r>
          </w:p>
        </w:tc>
        <w:tc>
          <w:tcPr>
            <w:tcW w:w="3172" w:type="dxa"/>
            <w:vAlign w:val="center"/>
          </w:tcPr>
          <w:p w14:paraId="70022A88">
            <w:pPr>
              <w:spacing w:line="560" w:lineRule="atLeast"/>
              <w:jc w:val="center"/>
              <w:rPr>
                <w:rFonts w:ascii="宋体" w:hAnsi="宋体" w:cs="宋体"/>
                <w:color w:val="auto"/>
                <w:sz w:val="28"/>
              </w:rPr>
            </w:pPr>
          </w:p>
        </w:tc>
        <w:tc>
          <w:tcPr>
            <w:tcW w:w="2599" w:type="dxa"/>
            <w:vAlign w:val="center"/>
          </w:tcPr>
          <w:p w14:paraId="32D1EFC6">
            <w:pPr>
              <w:spacing w:line="560" w:lineRule="atLeast"/>
              <w:jc w:val="center"/>
              <w:rPr>
                <w:rFonts w:ascii="宋体" w:hAnsi="宋体" w:cs="宋体"/>
                <w:color w:val="auto"/>
                <w:sz w:val="28"/>
              </w:rPr>
            </w:pPr>
          </w:p>
        </w:tc>
      </w:tr>
      <w:tr w14:paraId="4FB80B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448" w:type="dxa"/>
            <w:vAlign w:val="center"/>
          </w:tcPr>
          <w:p w14:paraId="582D0BB3">
            <w:pPr>
              <w:spacing w:line="560" w:lineRule="atLeast"/>
              <w:jc w:val="center"/>
              <w:rPr>
                <w:rFonts w:ascii="宋体" w:hAnsi="宋体" w:cs="宋体"/>
                <w:color w:val="auto"/>
                <w:sz w:val="28"/>
              </w:rPr>
            </w:pPr>
            <w:r>
              <w:rPr>
                <w:rFonts w:hint="eastAsia" w:ascii="宋体" w:hAnsi="宋体" w:cs="宋体"/>
                <w:color w:val="auto"/>
              </w:rPr>
              <w:t>3</w:t>
            </w:r>
          </w:p>
        </w:tc>
        <w:tc>
          <w:tcPr>
            <w:tcW w:w="2984" w:type="dxa"/>
            <w:vAlign w:val="center"/>
          </w:tcPr>
          <w:p w14:paraId="65C32C02">
            <w:pPr>
              <w:spacing w:line="560" w:lineRule="atLeast"/>
              <w:jc w:val="center"/>
              <w:rPr>
                <w:rFonts w:ascii="宋体" w:hAnsi="宋体" w:cs="宋体"/>
                <w:color w:val="auto"/>
              </w:rPr>
            </w:pPr>
            <w:r>
              <w:rPr>
                <w:rFonts w:hint="eastAsia" w:ascii="宋体" w:hAnsi="宋体" w:cs="宋体"/>
                <w:color w:val="auto"/>
              </w:rPr>
              <w:t xml:space="preserve"> </w:t>
            </w:r>
          </w:p>
        </w:tc>
        <w:tc>
          <w:tcPr>
            <w:tcW w:w="3172" w:type="dxa"/>
            <w:vAlign w:val="center"/>
          </w:tcPr>
          <w:p w14:paraId="799449C3">
            <w:pPr>
              <w:spacing w:line="560" w:lineRule="atLeast"/>
              <w:jc w:val="center"/>
              <w:rPr>
                <w:rFonts w:ascii="宋体" w:hAnsi="宋体" w:cs="宋体"/>
                <w:color w:val="auto"/>
                <w:sz w:val="28"/>
              </w:rPr>
            </w:pPr>
          </w:p>
        </w:tc>
        <w:tc>
          <w:tcPr>
            <w:tcW w:w="2599" w:type="dxa"/>
            <w:vAlign w:val="center"/>
          </w:tcPr>
          <w:p w14:paraId="5F581BA9">
            <w:pPr>
              <w:spacing w:line="560" w:lineRule="atLeast"/>
              <w:jc w:val="center"/>
              <w:rPr>
                <w:rFonts w:ascii="宋体" w:hAnsi="宋体" w:cs="宋体"/>
                <w:color w:val="auto"/>
                <w:sz w:val="28"/>
              </w:rPr>
            </w:pPr>
          </w:p>
        </w:tc>
      </w:tr>
      <w:tr w14:paraId="554FE2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448" w:type="dxa"/>
            <w:vAlign w:val="center"/>
          </w:tcPr>
          <w:p w14:paraId="19DE58F5">
            <w:pPr>
              <w:spacing w:line="560" w:lineRule="atLeast"/>
              <w:jc w:val="center"/>
              <w:rPr>
                <w:rFonts w:ascii="宋体" w:hAnsi="宋体" w:cs="宋体"/>
                <w:color w:val="auto"/>
                <w:sz w:val="28"/>
              </w:rPr>
            </w:pPr>
            <w:r>
              <w:rPr>
                <w:rFonts w:hint="eastAsia" w:ascii="宋体" w:hAnsi="宋体" w:cs="宋体"/>
                <w:color w:val="auto"/>
              </w:rPr>
              <w:t>4</w:t>
            </w:r>
          </w:p>
        </w:tc>
        <w:tc>
          <w:tcPr>
            <w:tcW w:w="2984" w:type="dxa"/>
            <w:vAlign w:val="center"/>
          </w:tcPr>
          <w:p w14:paraId="3B0A4E67">
            <w:pPr>
              <w:spacing w:line="560" w:lineRule="atLeast"/>
              <w:jc w:val="center"/>
              <w:rPr>
                <w:rFonts w:ascii="宋体" w:hAnsi="宋体" w:cs="宋体"/>
                <w:color w:val="auto"/>
              </w:rPr>
            </w:pPr>
            <w:r>
              <w:rPr>
                <w:rFonts w:hint="eastAsia" w:ascii="宋体" w:hAnsi="宋体" w:cs="宋体"/>
                <w:color w:val="auto"/>
              </w:rPr>
              <w:t xml:space="preserve"> </w:t>
            </w:r>
          </w:p>
        </w:tc>
        <w:tc>
          <w:tcPr>
            <w:tcW w:w="3172" w:type="dxa"/>
            <w:vAlign w:val="center"/>
          </w:tcPr>
          <w:p w14:paraId="1EC637E0">
            <w:pPr>
              <w:spacing w:line="560" w:lineRule="atLeast"/>
              <w:jc w:val="center"/>
              <w:rPr>
                <w:rFonts w:ascii="宋体" w:hAnsi="宋体" w:cs="宋体"/>
                <w:color w:val="auto"/>
                <w:sz w:val="28"/>
              </w:rPr>
            </w:pPr>
          </w:p>
        </w:tc>
        <w:tc>
          <w:tcPr>
            <w:tcW w:w="2599" w:type="dxa"/>
            <w:vAlign w:val="center"/>
          </w:tcPr>
          <w:p w14:paraId="3BFF651A">
            <w:pPr>
              <w:spacing w:line="560" w:lineRule="atLeast"/>
              <w:jc w:val="center"/>
              <w:rPr>
                <w:rFonts w:ascii="宋体" w:hAnsi="宋体" w:cs="宋体"/>
                <w:color w:val="auto"/>
                <w:sz w:val="28"/>
              </w:rPr>
            </w:pPr>
          </w:p>
        </w:tc>
      </w:tr>
      <w:tr w14:paraId="21BF0D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9" w:hRule="atLeast"/>
        </w:trPr>
        <w:tc>
          <w:tcPr>
            <w:tcW w:w="448" w:type="dxa"/>
            <w:vAlign w:val="center"/>
          </w:tcPr>
          <w:p w14:paraId="440278E6">
            <w:pPr>
              <w:spacing w:line="560" w:lineRule="atLeast"/>
              <w:jc w:val="center"/>
              <w:rPr>
                <w:rFonts w:ascii="宋体" w:hAnsi="宋体" w:cs="宋体"/>
                <w:color w:val="auto"/>
                <w:sz w:val="28"/>
              </w:rPr>
            </w:pPr>
            <w:r>
              <w:rPr>
                <w:rFonts w:hint="eastAsia" w:ascii="宋体" w:hAnsi="宋体" w:cs="宋体"/>
                <w:color w:val="auto"/>
              </w:rPr>
              <w:t>5</w:t>
            </w:r>
          </w:p>
        </w:tc>
        <w:tc>
          <w:tcPr>
            <w:tcW w:w="2984" w:type="dxa"/>
            <w:vAlign w:val="center"/>
          </w:tcPr>
          <w:p w14:paraId="75FD7C1A">
            <w:pPr>
              <w:spacing w:line="560" w:lineRule="atLeast"/>
              <w:jc w:val="center"/>
              <w:rPr>
                <w:rFonts w:ascii="宋体" w:hAnsi="宋体" w:cs="宋体"/>
                <w:color w:val="auto"/>
                <w:sz w:val="28"/>
              </w:rPr>
            </w:pPr>
          </w:p>
        </w:tc>
        <w:tc>
          <w:tcPr>
            <w:tcW w:w="3172" w:type="dxa"/>
            <w:vAlign w:val="center"/>
          </w:tcPr>
          <w:p w14:paraId="347DA5D0">
            <w:pPr>
              <w:spacing w:line="560" w:lineRule="atLeast"/>
              <w:jc w:val="center"/>
              <w:rPr>
                <w:rFonts w:ascii="宋体" w:hAnsi="宋体" w:cs="宋体"/>
                <w:color w:val="auto"/>
                <w:sz w:val="28"/>
              </w:rPr>
            </w:pPr>
          </w:p>
        </w:tc>
        <w:tc>
          <w:tcPr>
            <w:tcW w:w="2599" w:type="dxa"/>
            <w:vAlign w:val="center"/>
          </w:tcPr>
          <w:p w14:paraId="1F77ECCD">
            <w:pPr>
              <w:spacing w:line="560" w:lineRule="atLeast"/>
              <w:jc w:val="center"/>
              <w:rPr>
                <w:rFonts w:ascii="宋体" w:hAnsi="宋体" w:cs="宋体"/>
                <w:color w:val="auto"/>
                <w:sz w:val="28"/>
              </w:rPr>
            </w:pPr>
          </w:p>
        </w:tc>
      </w:tr>
      <w:tr w14:paraId="60CEB6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448" w:type="dxa"/>
            <w:vAlign w:val="center"/>
          </w:tcPr>
          <w:p w14:paraId="36278174">
            <w:pPr>
              <w:spacing w:line="560" w:lineRule="atLeast"/>
              <w:jc w:val="center"/>
              <w:rPr>
                <w:rFonts w:ascii="宋体" w:hAnsi="宋体" w:cs="宋体"/>
                <w:color w:val="auto"/>
                <w:sz w:val="28"/>
              </w:rPr>
            </w:pPr>
            <w:r>
              <w:rPr>
                <w:rFonts w:hint="eastAsia" w:ascii="宋体" w:hAnsi="宋体" w:cs="宋体"/>
                <w:color w:val="auto"/>
              </w:rPr>
              <w:t>6</w:t>
            </w:r>
          </w:p>
        </w:tc>
        <w:tc>
          <w:tcPr>
            <w:tcW w:w="2984" w:type="dxa"/>
            <w:vAlign w:val="center"/>
          </w:tcPr>
          <w:p w14:paraId="4CD6B674">
            <w:pPr>
              <w:spacing w:line="560" w:lineRule="atLeast"/>
              <w:jc w:val="center"/>
              <w:rPr>
                <w:rFonts w:ascii="宋体" w:hAnsi="宋体" w:cs="宋体"/>
                <w:color w:val="auto"/>
                <w:sz w:val="28"/>
              </w:rPr>
            </w:pPr>
          </w:p>
        </w:tc>
        <w:tc>
          <w:tcPr>
            <w:tcW w:w="3172" w:type="dxa"/>
            <w:vAlign w:val="center"/>
          </w:tcPr>
          <w:p w14:paraId="0F39DC40">
            <w:pPr>
              <w:spacing w:line="560" w:lineRule="atLeast"/>
              <w:jc w:val="center"/>
              <w:rPr>
                <w:rFonts w:ascii="宋体" w:hAnsi="宋体" w:cs="宋体"/>
                <w:color w:val="auto"/>
                <w:sz w:val="28"/>
              </w:rPr>
            </w:pPr>
          </w:p>
        </w:tc>
        <w:tc>
          <w:tcPr>
            <w:tcW w:w="2599" w:type="dxa"/>
            <w:vAlign w:val="center"/>
          </w:tcPr>
          <w:p w14:paraId="7450FDFB">
            <w:pPr>
              <w:spacing w:line="560" w:lineRule="atLeast"/>
              <w:jc w:val="center"/>
              <w:rPr>
                <w:rFonts w:ascii="宋体" w:hAnsi="宋体" w:cs="宋体"/>
                <w:color w:val="auto"/>
                <w:sz w:val="28"/>
              </w:rPr>
            </w:pPr>
          </w:p>
        </w:tc>
      </w:tr>
      <w:tr w14:paraId="331419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448" w:type="dxa"/>
            <w:vAlign w:val="center"/>
          </w:tcPr>
          <w:p w14:paraId="533B5E43">
            <w:pPr>
              <w:spacing w:line="560" w:lineRule="atLeast"/>
              <w:jc w:val="center"/>
              <w:rPr>
                <w:rFonts w:ascii="宋体" w:hAnsi="宋体" w:cs="宋体"/>
                <w:color w:val="auto"/>
                <w:sz w:val="28"/>
              </w:rPr>
            </w:pPr>
            <w:r>
              <w:rPr>
                <w:rFonts w:hint="eastAsia" w:ascii="宋体" w:hAnsi="宋体" w:cs="宋体"/>
                <w:color w:val="auto"/>
              </w:rPr>
              <w:t>7</w:t>
            </w:r>
          </w:p>
        </w:tc>
        <w:tc>
          <w:tcPr>
            <w:tcW w:w="2984" w:type="dxa"/>
            <w:vAlign w:val="center"/>
          </w:tcPr>
          <w:p w14:paraId="597EFE8A">
            <w:pPr>
              <w:spacing w:line="560" w:lineRule="atLeast"/>
              <w:jc w:val="center"/>
              <w:rPr>
                <w:rFonts w:ascii="宋体" w:hAnsi="宋体" w:cs="宋体"/>
                <w:color w:val="auto"/>
                <w:sz w:val="28"/>
              </w:rPr>
            </w:pPr>
          </w:p>
        </w:tc>
        <w:tc>
          <w:tcPr>
            <w:tcW w:w="3172" w:type="dxa"/>
            <w:vAlign w:val="center"/>
          </w:tcPr>
          <w:p w14:paraId="49D7AA63">
            <w:pPr>
              <w:spacing w:line="560" w:lineRule="atLeast"/>
              <w:jc w:val="center"/>
              <w:rPr>
                <w:rFonts w:ascii="宋体" w:hAnsi="宋体" w:cs="宋体"/>
                <w:color w:val="auto"/>
                <w:sz w:val="28"/>
              </w:rPr>
            </w:pPr>
          </w:p>
        </w:tc>
        <w:tc>
          <w:tcPr>
            <w:tcW w:w="2599" w:type="dxa"/>
            <w:vAlign w:val="center"/>
          </w:tcPr>
          <w:p w14:paraId="117CEC36">
            <w:pPr>
              <w:spacing w:line="560" w:lineRule="atLeast"/>
              <w:jc w:val="center"/>
              <w:rPr>
                <w:rFonts w:ascii="宋体" w:hAnsi="宋体" w:cs="宋体"/>
                <w:color w:val="auto"/>
                <w:sz w:val="28"/>
              </w:rPr>
            </w:pPr>
          </w:p>
        </w:tc>
      </w:tr>
      <w:tr w14:paraId="4151BD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448" w:type="dxa"/>
            <w:vAlign w:val="center"/>
          </w:tcPr>
          <w:p w14:paraId="2ADA309F">
            <w:pPr>
              <w:spacing w:line="560" w:lineRule="atLeast"/>
              <w:jc w:val="center"/>
              <w:rPr>
                <w:rFonts w:ascii="宋体" w:hAnsi="宋体" w:cs="宋体"/>
                <w:color w:val="auto"/>
                <w:sz w:val="28"/>
              </w:rPr>
            </w:pPr>
            <w:r>
              <w:rPr>
                <w:rFonts w:hint="eastAsia" w:ascii="宋体" w:hAnsi="宋体" w:cs="宋体"/>
                <w:color w:val="auto"/>
              </w:rPr>
              <w:t>8</w:t>
            </w:r>
          </w:p>
        </w:tc>
        <w:tc>
          <w:tcPr>
            <w:tcW w:w="2984" w:type="dxa"/>
            <w:vAlign w:val="center"/>
          </w:tcPr>
          <w:p w14:paraId="2E6EB268">
            <w:pPr>
              <w:spacing w:line="560" w:lineRule="atLeast"/>
              <w:jc w:val="center"/>
              <w:rPr>
                <w:rFonts w:ascii="宋体" w:hAnsi="宋体" w:cs="宋体"/>
                <w:color w:val="auto"/>
                <w:sz w:val="28"/>
              </w:rPr>
            </w:pPr>
          </w:p>
        </w:tc>
        <w:tc>
          <w:tcPr>
            <w:tcW w:w="3172" w:type="dxa"/>
            <w:vAlign w:val="center"/>
          </w:tcPr>
          <w:p w14:paraId="331E86C0">
            <w:pPr>
              <w:spacing w:line="560" w:lineRule="atLeast"/>
              <w:jc w:val="center"/>
              <w:rPr>
                <w:rFonts w:ascii="宋体" w:hAnsi="宋体" w:cs="宋体"/>
                <w:color w:val="auto"/>
                <w:sz w:val="28"/>
              </w:rPr>
            </w:pPr>
          </w:p>
        </w:tc>
        <w:tc>
          <w:tcPr>
            <w:tcW w:w="2599" w:type="dxa"/>
            <w:vAlign w:val="center"/>
          </w:tcPr>
          <w:p w14:paraId="1E78A714">
            <w:pPr>
              <w:spacing w:line="560" w:lineRule="atLeast"/>
              <w:jc w:val="center"/>
              <w:rPr>
                <w:rFonts w:ascii="宋体" w:hAnsi="宋体" w:cs="宋体"/>
                <w:color w:val="auto"/>
                <w:sz w:val="28"/>
              </w:rPr>
            </w:pPr>
          </w:p>
        </w:tc>
      </w:tr>
      <w:tr w14:paraId="52174C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448" w:type="dxa"/>
            <w:vAlign w:val="center"/>
          </w:tcPr>
          <w:p w14:paraId="779A19AB">
            <w:pPr>
              <w:spacing w:line="560" w:lineRule="atLeast"/>
              <w:jc w:val="center"/>
              <w:rPr>
                <w:rFonts w:ascii="宋体" w:hAnsi="宋体" w:cs="宋体"/>
                <w:color w:val="auto"/>
                <w:sz w:val="28"/>
              </w:rPr>
            </w:pPr>
            <w:r>
              <w:rPr>
                <w:rFonts w:hint="eastAsia" w:ascii="宋体" w:hAnsi="宋体" w:cs="宋体"/>
                <w:color w:val="auto"/>
              </w:rPr>
              <w:t>......</w:t>
            </w:r>
          </w:p>
        </w:tc>
        <w:tc>
          <w:tcPr>
            <w:tcW w:w="2984" w:type="dxa"/>
            <w:vAlign w:val="center"/>
          </w:tcPr>
          <w:p w14:paraId="5E7DD812">
            <w:pPr>
              <w:spacing w:line="560" w:lineRule="atLeast"/>
              <w:jc w:val="center"/>
              <w:rPr>
                <w:rFonts w:ascii="宋体" w:hAnsi="宋体" w:cs="宋体"/>
                <w:color w:val="auto"/>
                <w:sz w:val="28"/>
              </w:rPr>
            </w:pPr>
          </w:p>
        </w:tc>
        <w:tc>
          <w:tcPr>
            <w:tcW w:w="3172" w:type="dxa"/>
            <w:vAlign w:val="center"/>
          </w:tcPr>
          <w:p w14:paraId="59B5314E">
            <w:pPr>
              <w:spacing w:line="560" w:lineRule="atLeast"/>
              <w:jc w:val="center"/>
              <w:rPr>
                <w:rFonts w:ascii="宋体" w:hAnsi="宋体" w:cs="宋体"/>
                <w:color w:val="auto"/>
                <w:sz w:val="28"/>
              </w:rPr>
            </w:pPr>
          </w:p>
        </w:tc>
        <w:tc>
          <w:tcPr>
            <w:tcW w:w="2599" w:type="dxa"/>
            <w:vAlign w:val="center"/>
          </w:tcPr>
          <w:p w14:paraId="1484F48C">
            <w:pPr>
              <w:spacing w:line="560" w:lineRule="atLeast"/>
              <w:jc w:val="center"/>
              <w:rPr>
                <w:rFonts w:ascii="宋体" w:hAnsi="宋体" w:cs="宋体"/>
                <w:color w:val="auto"/>
                <w:sz w:val="28"/>
              </w:rPr>
            </w:pPr>
          </w:p>
        </w:tc>
      </w:tr>
    </w:tbl>
    <w:p w14:paraId="4A19EF18">
      <w:pPr>
        <w:tabs>
          <w:tab w:val="left" w:pos="9365"/>
        </w:tabs>
        <w:snapToGrid w:val="0"/>
        <w:spacing w:after="56" w:line="560" w:lineRule="atLeast"/>
        <w:ind w:firstLine="623"/>
        <w:textAlignment w:val="top"/>
        <w:rPr>
          <w:rFonts w:ascii="宋体" w:hAnsi="宋体" w:cs="宋体"/>
          <w:color w:val="auto"/>
          <w:sz w:val="24"/>
          <w:szCs w:val="24"/>
        </w:rPr>
      </w:pPr>
      <w:r>
        <w:rPr>
          <w:rFonts w:hint="eastAsia" w:ascii="宋体" w:hAnsi="宋体" w:cs="宋体"/>
          <w:color w:val="auto"/>
          <w:sz w:val="24"/>
          <w:szCs w:val="24"/>
        </w:rPr>
        <w:t>注：1、“技术偏差表”应详细注明与《磋商文件》中各项技术要求有何不同，并说明其符合性（优于、或低于《磋商文件》要求）。</w:t>
      </w:r>
    </w:p>
    <w:p w14:paraId="74FFD229">
      <w:pPr>
        <w:tabs>
          <w:tab w:val="left" w:pos="9365"/>
        </w:tabs>
        <w:snapToGrid w:val="0"/>
        <w:spacing w:after="56" w:line="560" w:lineRule="atLeast"/>
        <w:ind w:firstLine="623"/>
        <w:textAlignment w:val="top"/>
        <w:rPr>
          <w:rFonts w:ascii="宋体" w:hAnsi="宋体" w:cs="宋体"/>
          <w:color w:val="auto"/>
          <w:sz w:val="24"/>
          <w:szCs w:val="24"/>
        </w:rPr>
      </w:pPr>
      <w:r>
        <w:rPr>
          <w:rFonts w:hint="eastAsia" w:ascii="宋体" w:hAnsi="宋体" w:cs="宋体"/>
          <w:color w:val="auto"/>
          <w:sz w:val="24"/>
          <w:szCs w:val="24"/>
        </w:rPr>
        <w:t>2、如投标条款与《磋商文件》要求一致，仍需在本表填列“与《磋商文件》所有条款要求一致，无偏差”字样。</w:t>
      </w:r>
    </w:p>
    <w:p w14:paraId="71A79B87">
      <w:pPr>
        <w:tabs>
          <w:tab w:val="left" w:pos="0"/>
        </w:tabs>
        <w:spacing w:line="360" w:lineRule="auto"/>
        <w:ind w:right="512"/>
        <w:rPr>
          <w:rFonts w:ascii="宋体" w:hAnsi="宋体" w:cs="宋体"/>
          <w:color w:val="auto"/>
          <w:spacing w:val="8"/>
          <w:sz w:val="24"/>
        </w:rPr>
      </w:pPr>
      <w:r>
        <w:rPr>
          <w:rFonts w:hint="eastAsia" w:ascii="宋体" w:hAnsi="宋体" w:cs="宋体"/>
          <w:color w:val="auto"/>
          <w:sz w:val="24"/>
          <w:szCs w:val="24"/>
        </w:rPr>
        <w:t>供应商（电子签章）</w:t>
      </w:r>
      <w:r>
        <w:rPr>
          <w:rFonts w:hint="eastAsia" w:ascii="宋体" w:hAnsi="宋体" w:cs="宋体"/>
          <w:color w:val="auto"/>
          <w:spacing w:val="8"/>
          <w:sz w:val="24"/>
        </w:rPr>
        <w:t>：</w:t>
      </w:r>
    </w:p>
    <w:p w14:paraId="355E2A43">
      <w:pPr>
        <w:tabs>
          <w:tab w:val="left" w:pos="0"/>
        </w:tabs>
        <w:spacing w:line="360" w:lineRule="auto"/>
        <w:ind w:right="768"/>
        <w:jc w:val="left"/>
        <w:rPr>
          <w:rFonts w:ascii="宋体" w:hAnsi="宋体" w:cs="宋体"/>
          <w:color w:val="auto"/>
          <w:spacing w:val="8"/>
          <w:sz w:val="24"/>
        </w:rPr>
      </w:pPr>
      <w:r>
        <w:rPr>
          <w:rFonts w:hint="eastAsia" w:ascii="宋体" w:hAnsi="宋体" w:cs="宋体"/>
          <w:color w:val="auto"/>
          <w:spacing w:val="8"/>
          <w:sz w:val="24"/>
        </w:rPr>
        <w:t>法定代表人</w:t>
      </w:r>
      <w:r>
        <w:rPr>
          <w:rFonts w:hint="eastAsia" w:ascii="宋体" w:hAnsi="宋体" w:cs="宋体"/>
          <w:color w:val="auto"/>
          <w:sz w:val="24"/>
          <w:szCs w:val="24"/>
        </w:rPr>
        <w:t>（电子签名）</w:t>
      </w:r>
      <w:r>
        <w:rPr>
          <w:rFonts w:hint="eastAsia" w:ascii="宋体" w:hAnsi="宋体" w:cs="宋体"/>
          <w:color w:val="auto"/>
          <w:spacing w:val="8"/>
          <w:sz w:val="24"/>
        </w:rPr>
        <w:t>：</w:t>
      </w:r>
    </w:p>
    <w:p w14:paraId="7C291BB5">
      <w:pPr>
        <w:autoSpaceDE w:val="0"/>
        <w:autoSpaceDN w:val="0"/>
        <w:adjustRightInd w:val="0"/>
        <w:spacing w:line="360" w:lineRule="auto"/>
        <w:rPr>
          <w:rFonts w:ascii="宋体" w:hAnsi="宋体" w:cs="宋体"/>
          <w:color w:val="auto"/>
          <w:sz w:val="24"/>
        </w:rPr>
      </w:pPr>
      <w:r>
        <w:rPr>
          <w:rFonts w:hint="eastAsia" w:ascii="宋体" w:hAnsi="宋体" w:cs="宋体"/>
          <w:color w:val="auto"/>
          <w:spacing w:val="8"/>
          <w:sz w:val="24"/>
        </w:rPr>
        <w:t>日期 ：</w:t>
      </w:r>
      <w:r>
        <w:rPr>
          <w:rFonts w:hint="eastAsia" w:ascii="宋体" w:hAnsi="宋体" w:cs="宋体"/>
          <w:color w:val="auto"/>
          <w:sz w:val="24"/>
          <w:lang w:val="zh-CN"/>
        </w:rPr>
        <w:t xml:space="preserve">   年   月   日</w:t>
      </w:r>
    </w:p>
    <w:p w14:paraId="5D4F1024">
      <w:pPr>
        <w:spacing w:line="240" w:lineRule="auto"/>
        <w:jc w:val="center"/>
        <w:textAlignment w:val="auto"/>
        <w:rPr>
          <w:rFonts w:ascii="宋体" w:hAnsi="宋体" w:cs="宋体"/>
          <w:color w:val="auto"/>
          <w:sz w:val="28"/>
          <w:szCs w:val="28"/>
        </w:rPr>
      </w:pPr>
      <w:r>
        <w:rPr>
          <w:rFonts w:hint="eastAsia" w:ascii="宋体" w:hAnsi="宋体" w:cs="宋体"/>
          <w:color w:val="auto"/>
          <w:sz w:val="28"/>
          <w:szCs w:val="28"/>
        </w:rPr>
        <w:br w:type="page"/>
      </w:r>
      <w:r>
        <w:rPr>
          <w:rFonts w:hint="eastAsia" w:ascii="宋体" w:hAnsi="宋体" w:cs="宋体"/>
          <w:b/>
          <w:color w:val="auto"/>
          <w:sz w:val="30"/>
          <w:szCs w:val="30"/>
        </w:rPr>
        <w:t>（二）其他偏差表（除技术偏差外）</w:t>
      </w:r>
    </w:p>
    <w:p w14:paraId="152CA4B7">
      <w:pPr>
        <w:snapToGrid w:val="0"/>
        <w:spacing w:line="560" w:lineRule="atLeast"/>
        <w:jc w:val="left"/>
        <w:rPr>
          <w:rFonts w:ascii="宋体" w:hAnsi="宋体" w:cs="宋体"/>
          <w:color w:val="auto"/>
          <w:sz w:val="28"/>
          <w:szCs w:val="28"/>
          <w:u w:val="single"/>
        </w:rPr>
      </w:pPr>
      <w:r>
        <w:rPr>
          <w:rFonts w:hint="eastAsia" w:ascii="宋体" w:hAnsi="宋体" w:cs="宋体"/>
          <w:color w:val="auto"/>
          <w:sz w:val="28"/>
          <w:szCs w:val="28"/>
        </w:rPr>
        <w:t>项目名称：</w:t>
      </w:r>
      <w:r>
        <w:rPr>
          <w:rFonts w:hint="eastAsia" w:ascii="宋体" w:hAnsi="宋体" w:cs="宋体"/>
          <w:color w:val="auto"/>
          <w:sz w:val="28"/>
          <w:szCs w:val="28"/>
          <w:u w:val="single"/>
        </w:rPr>
        <w:t xml:space="preserve">                          </w:t>
      </w:r>
    </w:p>
    <w:p w14:paraId="73FA93FC">
      <w:pPr>
        <w:tabs>
          <w:tab w:val="left" w:pos="9365"/>
        </w:tabs>
        <w:snapToGrid w:val="0"/>
        <w:spacing w:after="56" w:line="560" w:lineRule="atLeast"/>
        <w:jc w:val="left"/>
        <w:textAlignment w:val="top"/>
        <w:rPr>
          <w:rFonts w:ascii="宋体" w:hAnsi="宋体" w:cs="宋体"/>
          <w:color w:val="auto"/>
          <w:sz w:val="32"/>
          <w:szCs w:val="32"/>
        </w:rPr>
      </w:pPr>
      <w:r>
        <w:rPr>
          <w:rFonts w:hint="eastAsia" w:ascii="宋体" w:hAnsi="宋体" w:cs="宋体"/>
          <w:color w:val="auto"/>
          <w:sz w:val="28"/>
          <w:szCs w:val="28"/>
        </w:rPr>
        <w:t>项目编号：</w:t>
      </w:r>
      <w:r>
        <w:rPr>
          <w:rFonts w:hint="eastAsia" w:ascii="宋体" w:hAnsi="宋体" w:cs="宋体"/>
          <w:color w:val="auto"/>
          <w:sz w:val="28"/>
          <w:szCs w:val="28"/>
          <w:u w:val="single"/>
        </w:rPr>
        <w:t xml:space="preserve">                          </w:t>
      </w:r>
    </w:p>
    <w:tbl>
      <w:tblPr>
        <w:tblStyle w:val="22"/>
        <w:tblW w:w="9203" w:type="dxa"/>
        <w:tblInd w:w="-11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48"/>
        <w:gridCol w:w="2984"/>
        <w:gridCol w:w="3172"/>
        <w:gridCol w:w="2599"/>
      </w:tblGrid>
      <w:tr w14:paraId="3218B1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448" w:type="dxa"/>
            <w:vAlign w:val="center"/>
          </w:tcPr>
          <w:p w14:paraId="5DE4F817">
            <w:pPr>
              <w:spacing w:line="560" w:lineRule="atLeast"/>
              <w:jc w:val="center"/>
              <w:rPr>
                <w:rFonts w:ascii="宋体" w:hAnsi="宋体" w:cs="宋体"/>
                <w:color w:val="auto"/>
                <w:sz w:val="28"/>
              </w:rPr>
            </w:pPr>
            <w:r>
              <w:rPr>
                <w:rFonts w:hint="eastAsia" w:ascii="宋体" w:hAnsi="宋体" w:cs="宋体"/>
                <w:color w:val="auto"/>
              </w:rPr>
              <w:t>序号</w:t>
            </w:r>
          </w:p>
        </w:tc>
        <w:tc>
          <w:tcPr>
            <w:tcW w:w="2984" w:type="dxa"/>
            <w:vAlign w:val="center"/>
          </w:tcPr>
          <w:p w14:paraId="3163F2C6">
            <w:pPr>
              <w:spacing w:line="560" w:lineRule="atLeast"/>
              <w:jc w:val="center"/>
              <w:rPr>
                <w:rFonts w:ascii="宋体" w:hAnsi="宋体" w:cs="宋体"/>
                <w:color w:val="auto"/>
                <w:sz w:val="28"/>
              </w:rPr>
            </w:pPr>
            <w:r>
              <w:rPr>
                <w:rFonts w:hint="eastAsia" w:ascii="宋体" w:hAnsi="宋体" w:cs="宋体"/>
                <w:color w:val="auto"/>
              </w:rPr>
              <w:t>磋商文件要求条款</w:t>
            </w:r>
          </w:p>
        </w:tc>
        <w:tc>
          <w:tcPr>
            <w:tcW w:w="3172" w:type="dxa"/>
            <w:vAlign w:val="center"/>
          </w:tcPr>
          <w:p w14:paraId="476F008B">
            <w:pPr>
              <w:spacing w:line="560" w:lineRule="atLeast"/>
              <w:jc w:val="center"/>
              <w:rPr>
                <w:rFonts w:ascii="宋体" w:hAnsi="宋体" w:cs="宋体"/>
                <w:color w:val="auto"/>
                <w:sz w:val="28"/>
              </w:rPr>
            </w:pPr>
            <w:r>
              <w:rPr>
                <w:rFonts w:hint="eastAsia" w:ascii="宋体" w:hAnsi="宋体" w:cs="宋体"/>
                <w:color w:val="auto"/>
              </w:rPr>
              <w:t>响应文件条款</w:t>
            </w:r>
          </w:p>
        </w:tc>
        <w:tc>
          <w:tcPr>
            <w:tcW w:w="2599" w:type="dxa"/>
            <w:vAlign w:val="center"/>
          </w:tcPr>
          <w:p w14:paraId="4921B17E">
            <w:pPr>
              <w:spacing w:line="560" w:lineRule="atLeast"/>
              <w:jc w:val="center"/>
              <w:rPr>
                <w:rFonts w:ascii="宋体" w:hAnsi="宋体" w:cs="宋体"/>
                <w:color w:val="auto"/>
                <w:sz w:val="28"/>
              </w:rPr>
            </w:pPr>
            <w:r>
              <w:rPr>
                <w:rFonts w:hint="eastAsia" w:ascii="宋体" w:hAnsi="宋体" w:cs="宋体"/>
                <w:color w:val="auto"/>
              </w:rPr>
              <w:t>偏差</w:t>
            </w:r>
          </w:p>
        </w:tc>
      </w:tr>
      <w:tr w14:paraId="777A1B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448" w:type="dxa"/>
            <w:vAlign w:val="center"/>
          </w:tcPr>
          <w:p w14:paraId="351CC4B4">
            <w:pPr>
              <w:spacing w:line="560" w:lineRule="atLeast"/>
              <w:jc w:val="center"/>
              <w:rPr>
                <w:rFonts w:ascii="宋体" w:hAnsi="宋体" w:cs="宋体"/>
                <w:color w:val="auto"/>
                <w:sz w:val="28"/>
              </w:rPr>
            </w:pPr>
            <w:r>
              <w:rPr>
                <w:rFonts w:hint="eastAsia" w:ascii="宋体" w:hAnsi="宋体" w:cs="宋体"/>
                <w:color w:val="auto"/>
              </w:rPr>
              <w:t>1</w:t>
            </w:r>
          </w:p>
        </w:tc>
        <w:tc>
          <w:tcPr>
            <w:tcW w:w="2984" w:type="dxa"/>
            <w:vAlign w:val="center"/>
          </w:tcPr>
          <w:p w14:paraId="0EFC4C6E">
            <w:pPr>
              <w:spacing w:line="560" w:lineRule="atLeast"/>
              <w:jc w:val="center"/>
              <w:rPr>
                <w:rFonts w:ascii="宋体" w:hAnsi="宋体" w:cs="宋体"/>
                <w:color w:val="auto"/>
              </w:rPr>
            </w:pPr>
            <w:r>
              <w:rPr>
                <w:rFonts w:hint="eastAsia" w:ascii="宋体" w:hAnsi="宋体" w:cs="宋体"/>
                <w:color w:val="auto"/>
              </w:rPr>
              <w:t xml:space="preserve"> </w:t>
            </w:r>
          </w:p>
        </w:tc>
        <w:tc>
          <w:tcPr>
            <w:tcW w:w="3172" w:type="dxa"/>
            <w:vAlign w:val="center"/>
          </w:tcPr>
          <w:p w14:paraId="5DB4FA58">
            <w:pPr>
              <w:spacing w:line="560" w:lineRule="atLeast"/>
              <w:jc w:val="center"/>
              <w:rPr>
                <w:rFonts w:ascii="宋体" w:hAnsi="宋体" w:cs="宋体"/>
                <w:color w:val="auto"/>
                <w:sz w:val="28"/>
              </w:rPr>
            </w:pPr>
          </w:p>
        </w:tc>
        <w:tc>
          <w:tcPr>
            <w:tcW w:w="2599" w:type="dxa"/>
            <w:vAlign w:val="center"/>
          </w:tcPr>
          <w:p w14:paraId="3485282F">
            <w:pPr>
              <w:spacing w:line="560" w:lineRule="atLeast"/>
              <w:jc w:val="center"/>
              <w:rPr>
                <w:rFonts w:ascii="宋体" w:hAnsi="宋体" w:cs="宋体"/>
                <w:color w:val="auto"/>
                <w:sz w:val="28"/>
              </w:rPr>
            </w:pPr>
          </w:p>
        </w:tc>
      </w:tr>
      <w:tr w14:paraId="086E9F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448" w:type="dxa"/>
            <w:vAlign w:val="center"/>
          </w:tcPr>
          <w:p w14:paraId="1BB10227">
            <w:pPr>
              <w:spacing w:line="560" w:lineRule="atLeast"/>
              <w:jc w:val="center"/>
              <w:rPr>
                <w:rFonts w:ascii="宋体" w:hAnsi="宋体" w:cs="宋体"/>
                <w:color w:val="auto"/>
                <w:sz w:val="28"/>
              </w:rPr>
            </w:pPr>
            <w:r>
              <w:rPr>
                <w:rFonts w:hint="eastAsia" w:ascii="宋体" w:hAnsi="宋体" w:cs="宋体"/>
                <w:color w:val="auto"/>
              </w:rPr>
              <w:t>2</w:t>
            </w:r>
          </w:p>
        </w:tc>
        <w:tc>
          <w:tcPr>
            <w:tcW w:w="2984" w:type="dxa"/>
            <w:vAlign w:val="center"/>
          </w:tcPr>
          <w:p w14:paraId="28D78740">
            <w:pPr>
              <w:spacing w:line="560" w:lineRule="atLeast"/>
              <w:jc w:val="center"/>
              <w:rPr>
                <w:rFonts w:ascii="宋体" w:hAnsi="宋体" w:cs="宋体"/>
                <w:color w:val="auto"/>
              </w:rPr>
            </w:pPr>
            <w:r>
              <w:rPr>
                <w:rFonts w:hint="eastAsia" w:ascii="宋体" w:hAnsi="宋体" w:cs="宋体"/>
                <w:color w:val="auto"/>
              </w:rPr>
              <w:t xml:space="preserve"> </w:t>
            </w:r>
          </w:p>
        </w:tc>
        <w:tc>
          <w:tcPr>
            <w:tcW w:w="3172" w:type="dxa"/>
            <w:vAlign w:val="center"/>
          </w:tcPr>
          <w:p w14:paraId="3D523D1A">
            <w:pPr>
              <w:spacing w:line="560" w:lineRule="atLeast"/>
              <w:jc w:val="center"/>
              <w:rPr>
                <w:rFonts w:ascii="宋体" w:hAnsi="宋体" w:cs="宋体"/>
                <w:color w:val="auto"/>
                <w:sz w:val="28"/>
              </w:rPr>
            </w:pPr>
          </w:p>
        </w:tc>
        <w:tc>
          <w:tcPr>
            <w:tcW w:w="2599" w:type="dxa"/>
            <w:vAlign w:val="center"/>
          </w:tcPr>
          <w:p w14:paraId="37DEFF05">
            <w:pPr>
              <w:spacing w:line="560" w:lineRule="atLeast"/>
              <w:jc w:val="center"/>
              <w:rPr>
                <w:rFonts w:ascii="宋体" w:hAnsi="宋体" w:cs="宋体"/>
                <w:color w:val="auto"/>
                <w:sz w:val="28"/>
              </w:rPr>
            </w:pPr>
          </w:p>
        </w:tc>
      </w:tr>
      <w:tr w14:paraId="014FE7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448" w:type="dxa"/>
            <w:vAlign w:val="center"/>
          </w:tcPr>
          <w:p w14:paraId="11B4378A">
            <w:pPr>
              <w:spacing w:line="560" w:lineRule="atLeast"/>
              <w:jc w:val="center"/>
              <w:rPr>
                <w:rFonts w:ascii="宋体" w:hAnsi="宋体" w:cs="宋体"/>
                <w:color w:val="auto"/>
                <w:sz w:val="28"/>
              </w:rPr>
            </w:pPr>
            <w:r>
              <w:rPr>
                <w:rFonts w:hint="eastAsia" w:ascii="宋体" w:hAnsi="宋体" w:cs="宋体"/>
                <w:color w:val="auto"/>
              </w:rPr>
              <w:t>3</w:t>
            </w:r>
          </w:p>
        </w:tc>
        <w:tc>
          <w:tcPr>
            <w:tcW w:w="2984" w:type="dxa"/>
            <w:vAlign w:val="center"/>
          </w:tcPr>
          <w:p w14:paraId="642458F6">
            <w:pPr>
              <w:spacing w:line="560" w:lineRule="atLeast"/>
              <w:jc w:val="center"/>
              <w:rPr>
                <w:rFonts w:ascii="宋体" w:hAnsi="宋体" w:cs="宋体"/>
                <w:color w:val="auto"/>
              </w:rPr>
            </w:pPr>
            <w:r>
              <w:rPr>
                <w:rFonts w:hint="eastAsia" w:ascii="宋体" w:hAnsi="宋体" w:cs="宋体"/>
                <w:color w:val="auto"/>
              </w:rPr>
              <w:t xml:space="preserve"> </w:t>
            </w:r>
          </w:p>
        </w:tc>
        <w:tc>
          <w:tcPr>
            <w:tcW w:w="3172" w:type="dxa"/>
            <w:vAlign w:val="center"/>
          </w:tcPr>
          <w:p w14:paraId="0B457325">
            <w:pPr>
              <w:spacing w:line="560" w:lineRule="atLeast"/>
              <w:jc w:val="center"/>
              <w:rPr>
                <w:rFonts w:ascii="宋体" w:hAnsi="宋体" w:cs="宋体"/>
                <w:color w:val="auto"/>
                <w:sz w:val="28"/>
              </w:rPr>
            </w:pPr>
          </w:p>
        </w:tc>
        <w:tc>
          <w:tcPr>
            <w:tcW w:w="2599" w:type="dxa"/>
            <w:vAlign w:val="center"/>
          </w:tcPr>
          <w:p w14:paraId="776C390B">
            <w:pPr>
              <w:spacing w:line="560" w:lineRule="atLeast"/>
              <w:jc w:val="center"/>
              <w:rPr>
                <w:rFonts w:ascii="宋体" w:hAnsi="宋体" w:cs="宋体"/>
                <w:color w:val="auto"/>
                <w:sz w:val="28"/>
              </w:rPr>
            </w:pPr>
          </w:p>
        </w:tc>
      </w:tr>
      <w:tr w14:paraId="676C74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448" w:type="dxa"/>
            <w:vAlign w:val="center"/>
          </w:tcPr>
          <w:p w14:paraId="29869B82">
            <w:pPr>
              <w:spacing w:line="560" w:lineRule="atLeast"/>
              <w:jc w:val="center"/>
              <w:rPr>
                <w:rFonts w:ascii="宋体" w:hAnsi="宋体" w:cs="宋体"/>
                <w:color w:val="auto"/>
                <w:sz w:val="28"/>
              </w:rPr>
            </w:pPr>
            <w:r>
              <w:rPr>
                <w:rFonts w:hint="eastAsia" w:ascii="宋体" w:hAnsi="宋体" w:cs="宋体"/>
                <w:color w:val="auto"/>
              </w:rPr>
              <w:t>4</w:t>
            </w:r>
          </w:p>
        </w:tc>
        <w:tc>
          <w:tcPr>
            <w:tcW w:w="2984" w:type="dxa"/>
            <w:vAlign w:val="center"/>
          </w:tcPr>
          <w:p w14:paraId="60063570">
            <w:pPr>
              <w:spacing w:line="560" w:lineRule="atLeast"/>
              <w:jc w:val="center"/>
              <w:rPr>
                <w:rFonts w:ascii="宋体" w:hAnsi="宋体" w:cs="宋体"/>
                <w:color w:val="auto"/>
              </w:rPr>
            </w:pPr>
            <w:r>
              <w:rPr>
                <w:rFonts w:hint="eastAsia" w:ascii="宋体" w:hAnsi="宋体" w:cs="宋体"/>
                <w:color w:val="auto"/>
              </w:rPr>
              <w:t xml:space="preserve"> </w:t>
            </w:r>
          </w:p>
        </w:tc>
        <w:tc>
          <w:tcPr>
            <w:tcW w:w="3172" w:type="dxa"/>
            <w:vAlign w:val="center"/>
          </w:tcPr>
          <w:p w14:paraId="37A8F074">
            <w:pPr>
              <w:spacing w:line="560" w:lineRule="atLeast"/>
              <w:jc w:val="center"/>
              <w:rPr>
                <w:rFonts w:ascii="宋体" w:hAnsi="宋体" w:cs="宋体"/>
                <w:color w:val="auto"/>
                <w:sz w:val="28"/>
              </w:rPr>
            </w:pPr>
          </w:p>
        </w:tc>
        <w:tc>
          <w:tcPr>
            <w:tcW w:w="2599" w:type="dxa"/>
            <w:vAlign w:val="center"/>
          </w:tcPr>
          <w:p w14:paraId="189F14C3">
            <w:pPr>
              <w:spacing w:line="560" w:lineRule="atLeast"/>
              <w:jc w:val="center"/>
              <w:rPr>
                <w:rFonts w:ascii="宋体" w:hAnsi="宋体" w:cs="宋体"/>
                <w:color w:val="auto"/>
                <w:sz w:val="28"/>
              </w:rPr>
            </w:pPr>
          </w:p>
        </w:tc>
      </w:tr>
      <w:tr w14:paraId="6BBC39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9" w:hRule="atLeast"/>
        </w:trPr>
        <w:tc>
          <w:tcPr>
            <w:tcW w:w="448" w:type="dxa"/>
            <w:vAlign w:val="center"/>
          </w:tcPr>
          <w:p w14:paraId="747C2502">
            <w:pPr>
              <w:spacing w:line="560" w:lineRule="atLeast"/>
              <w:jc w:val="center"/>
              <w:rPr>
                <w:rFonts w:ascii="宋体" w:hAnsi="宋体" w:cs="宋体"/>
                <w:color w:val="auto"/>
                <w:sz w:val="28"/>
              </w:rPr>
            </w:pPr>
            <w:r>
              <w:rPr>
                <w:rFonts w:hint="eastAsia" w:ascii="宋体" w:hAnsi="宋体" w:cs="宋体"/>
                <w:color w:val="auto"/>
              </w:rPr>
              <w:t>5</w:t>
            </w:r>
          </w:p>
        </w:tc>
        <w:tc>
          <w:tcPr>
            <w:tcW w:w="2984" w:type="dxa"/>
            <w:vAlign w:val="center"/>
          </w:tcPr>
          <w:p w14:paraId="3EAE8018">
            <w:pPr>
              <w:spacing w:line="560" w:lineRule="atLeast"/>
              <w:jc w:val="center"/>
              <w:rPr>
                <w:rFonts w:ascii="宋体" w:hAnsi="宋体" w:cs="宋体"/>
                <w:color w:val="auto"/>
                <w:sz w:val="28"/>
              </w:rPr>
            </w:pPr>
          </w:p>
        </w:tc>
        <w:tc>
          <w:tcPr>
            <w:tcW w:w="3172" w:type="dxa"/>
            <w:vAlign w:val="center"/>
          </w:tcPr>
          <w:p w14:paraId="7C9F6156">
            <w:pPr>
              <w:spacing w:line="560" w:lineRule="atLeast"/>
              <w:jc w:val="center"/>
              <w:rPr>
                <w:rFonts w:ascii="宋体" w:hAnsi="宋体" w:cs="宋体"/>
                <w:color w:val="auto"/>
                <w:sz w:val="28"/>
              </w:rPr>
            </w:pPr>
          </w:p>
        </w:tc>
        <w:tc>
          <w:tcPr>
            <w:tcW w:w="2599" w:type="dxa"/>
            <w:vAlign w:val="center"/>
          </w:tcPr>
          <w:p w14:paraId="62B85563">
            <w:pPr>
              <w:spacing w:line="560" w:lineRule="atLeast"/>
              <w:jc w:val="center"/>
              <w:rPr>
                <w:rFonts w:ascii="宋体" w:hAnsi="宋体" w:cs="宋体"/>
                <w:color w:val="auto"/>
                <w:sz w:val="28"/>
              </w:rPr>
            </w:pPr>
          </w:p>
        </w:tc>
      </w:tr>
      <w:tr w14:paraId="0BDF92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448" w:type="dxa"/>
            <w:vAlign w:val="center"/>
          </w:tcPr>
          <w:p w14:paraId="7FDB965F">
            <w:pPr>
              <w:spacing w:line="560" w:lineRule="atLeast"/>
              <w:jc w:val="center"/>
              <w:rPr>
                <w:rFonts w:ascii="宋体" w:hAnsi="宋体" w:cs="宋体"/>
                <w:color w:val="auto"/>
                <w:sz w:val="28"/>
              </w:rPr>
            </w:pPr>
            <w:r>
              <w:rPr>
                <w:rFonts w:hint="eastAsia" w:ascii="宋体" w:hAnsi="宋体" w:cs="宋体"/>
                <w:color w:val="auto"/>
              </w:rPr>
              <w:t>6</w:t>
            </w:r>
          </w:p>
        </w:tc>
        <w:tc>
          <w:tcPr>
            <w:tcW w:w="2984" w:type="dxa"/>
            <w:vAlign w:val="center"/>
          </w:tcPr>
          <w:p w14:paraId="664BB8B1">
            <w:pPr>
              <w:spacing w:line="560" w:lineRule="atLeast"/>
              <w:jc w:val="center"/>
              <w:rPr>
                <w:rFonts w:ascii="宋体" w:hAnsi="宋体" w:cs="宋体"/>
                <w:color w:val="auto"/>
                <w:sz w:val="28"/>
              </w:rPr>
            </w:pPr>
          </w:p>
        </w:tc>
        <w:tc>
          <w:tcPr>
            <w:tcW w:w="3172" w:type="dxa"/>
            <w:vAlign w:val="center"/>
          </w:tcPr>
          <w:p w14:paraId="1A662BCF">
            <w:pPr>
              <w:spacing w:line="560" w:lineRule="atLeast"/>
              <w:jc w:val="center"/>
              <w:rPr>
                <w:rFonts w:ascii="宋体" w:hAnsi="宋体" w:cs="宋体"/>
                <w:color w:val="auto"/>
                <w:sz w:val="28"/>
              </w:rPr>
            </w:pPr>
          </w:p>
        </w:tc>
        <w:tc>
          <w:tcPr>
            <w:tcW w:w="2599" w:type="dxa"/>
            <w:vAlign w:val="center"/>
          </w:tcPr>
          <w:p w14:paraId="3DF68DF3">
            <w:pPr>
              <w:spacing w:line="560" w:lineRule="atLeast"/>
              <w:jc w:val="center"/>
              <w:rPr>
                <w:rFonts w:ascii="宋体" w:hAnsi="宋体" w:cs="宋体"/>
                <w:color w:val="auto"/>
                <w:sz w:val="28"/>
              </w:rPr>
            </w:pPr>
          </w:p>
        </w:tc>
      </w:tr>
      <w:tr w14:paraId="55CE7D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448" w:type="dxa"/>
            <w:vAlign w:val="center"/>
          </w:tcPr>
          <w:p w14:paraId="7EA26118">
            <w:pPr>
              <w:spacing w:line="560" w:lineRule="atLeast"/>
              <w:jc w:val="center"/>
              <w:rPr>
                <w:rFonts w:ascii="宋体" w:hAnsi="宋体" w:cs="宋体"/>
                <w:color w:val="auto"/>
                <w:sz w:val="28"/>
              </w:rPr>
            </w:pPr>
            <w:r>
              <w:rPr>
                <w:rFonts w:hint="eastAsia" w:ascii="宋体" w:hAnsi="宋体" w:cs="宋体"/>
                <w:color w:val="auto"/>
              </w:rPr>
              <w:t>7</w:t>
            </w:r>
          </w:p>
        </w:tc>
        <w:tc>
          <w:tcPr>
            <w:tcW w:w="2984" w:type="dxa"/>
            <w:vAlign w:val="center"/>
          </w:tcPr>
          <w:p w14:paraId="00DA6FAA">
            <w:pPr>
              <w:spacing w:line="560" w:lineRule="atLeast"/>
              <w:jc w:val="center"/>
              <w:rPr>
                <w:rFonts w:ascii="宋体" w:hAnsi="宋体" w:cs="宋体"/>
                <w:color w:val="auto"/>
                <w:sz w:val="28"/>
              </w:rPr>
            </w:pPr>
          </w:p>
        </w:tc>
        <w:tc>
          <w:tcPr>
            <w:tcW w:w="3172" w:type="dxa"/>
            <w:vAlign w:val="center"/>
          </w:tcPr>
          <w:p w14:paraId="36135610">
            <w:pPr>
              <w:spacing w:line="560" w:lineRule="atLeast"/>
              <w:jc w:val="center"/>
              <w:rPr>
                <w:rFonts w:ascii="宋体" w:hAnsi="宋体" w:cs="宋体"/>
                <w:color w:val="auto"/>
                <w:sz w:val="28"/>
              </w:rPr>
            </w:pPr>
          </w:p>
        </w:tc>
        <w:tc>
          <w:tcPr>
            <w:tcW w:w="2599" w:type="dxa"/>
            <w:vAlign w:val="center"/>
          </w:tcPr>
          <w:p w14:paraId="27FDAF21">
            <w:pPr>
              <w:spacing w:line="560" w:lineRule="atLeast"/>
              <w:jc w:val="center"/>
              <w:rPr>
                <w:rFonts w:ascii="宋体" w:hAnsi="宋体" w:cs="宋体"/>
                <w:color w:val="auto"/>
                <w:sz w:val="28"/>
              </w:rPr>
            </w:pPr>
          </w:p>
        </w:tc>
      </w:tr>
      <w:tr w14:paraId="7CD452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448" w:type="dxa"/>
            <w:vAlign w:val="center"/>
          </w:tcPr>
          <w:p w14:paraId="34DD4DBF">
            <w:pPr>
              <w:spacing w:line="560" w:lineRule="atLeast"/>
              <w:jc w:val="center"/>
              <w:rPr>
                <w:rFonts w:ascii="宋体" w:hAnsi="宋体" w:cs="宋体"/>
                <w:color w:val="auto"/>
                <w:sz w:val="28"/>
              </w:rPr>
            </w:pPr>
            <w:r>
              <w:rPr>
                <w:rFonts w:hint="eastAsia" w:ascii="宋体" w:hAnsi="宋体" w:cs="宋体"/>
                <w:color w:val="auto"/>
              </w:rPr>
              <w:t>8</w:t>
            </w:r>
          </w:p>
        </w:tc>
        <w:tc>
          <w:tcPr>
            <w:tcW w:w="2984" w:type="dxa"/>
            <w:vAlign w:val="center"/>
          </w:tcPr>
          <w:p w14:paraId="53DEC136">
            <w:pPr>
              <w:spacing w:line="560" w:lineRule="atLeast"/>
              <w:jc w:val="center"/>
              <w:rPr>
                <w:rFonts w:ascii="宋体" w:hAnsi="宋体" w:cs="宋体"/>
                <w:color w:val="auto"/>
                <w:sz w:val="28"/>
              </w:rPr>
            </w:pPr>
          </w:p>
        </w:tc>
        <w:tc>
          <w:tcPr>
            <w:tcW w:w="3172" w:type="dxa"/>
            <w:vAlign w:val="center"/>
          </w:tcPr>
          <w:p w14:paraId="1A3D2A50">
            <w:pPr>
              <w:spacing w:line="560" w:lineRule="atLeast"/>
              <w:jc w:val="center"/>
              <w:rPr>
                <w:rFonts w:ascii="宋体" w:hAnsi="宋体" w:cs="宋体"/>
                <w:color w:val="auto"/>
                <w:sz w:val="28"/>
              </w:rPr>
            </w:pPr>
          </w:p>
        </w:tc>
        <w:tc>
          <w:tcPr>
            <w:tcW w:w="2599" w:type="dxa"/>
            <w:vAlign w:val="center"/>
          </w:tcPr>
          <w:p w14:paraId="71B5B6E2">
            <w:pPr>
              <w:spacing w:line="560" w:lineRule="atLeast"/>
              <w:jc w:val="center"/>
              <w:rPr>
                <w:rFonts w:ascii="宋体" w:hAnsi="宋体" w:cs="宋体"/>
                <w:color w:val="auto"/>
                <w:sz w:val="28"/>
              </w:rPr>
            </w:pPr>
          </w:p>
        </w:tc>
      </w:tr>
      <w:tr w14:paraId="1565F2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448" w:type="dxa"/>
            <w:vAlign w:val="center"/>
          </w:tcPr>
          <w:p w14:paraId="3B0F72E4">
            <w:pPr>
              <w:spacing w:line="560" w:lineRule="atLeast"/>
              <w:jc w:val="center"/>
              <w:rPr>
                <w:rFonts w:ascii="宋体" w:hAnsi="宋体" w:cs="宋体"/>
                <w:color w:val="auto"/>
                <w:sz w:val="28"/>
              </w:rPr>
            </w:pPr>
            <w:r>
              <w:rPr>
                <w:rFonts w:hint="eastAsia" w:ascii="宋体" w:hAnsi="宋体" w:cs="宋体"/>
                <w:color w:val="auto"/>
              </w:rPr>
              <w:t>......</w:t>
            </w:r>
          </w:p>
        </w:tc>
        <w:tc>
          <w:tcPr>
            <w:tcW w:w="2984" w:type="dxa"/>
            <w:vAlign w:val="center"/>
          </w:tcPr>
          <w:p w14:paraId="412A9A67">
            <w:pPr>
              <w:spacing w:line="560" w:lineRule="atLeast"/>
              <w:jc w:val="center"/>
              <w:rPr>
                <w:rFonts w:ascii="宋体" w:hAnsi="宋体" w:cs="宋体"/>
                <w:color w:val="auto"/>
                <w:sz w:val="28"/>
              </w:rPr>
            </w:pPr>
          </w:p>
        </w:tc>
        <w:tc>
          <w:tcPr>
            <w:tcW w:w="3172" w:type="dxa"/>
            <w:vAlign w:val="center"/>
          </w:tcPr>
          <w:p w14:paraId="46628731">
            <w:pPr>
              <w:spacing w:line="560" w:lineRule="atLeast"/>
              <w:jc w:val="center"/>
              <w:rPr>
                <w:rFonts w:ascii="宋体" w:hAnsi="宋体" w:cs="宋体"/>
                <w:color w:val="auto"/>
                <w:sz w:val="28"/>
              </w:rPr>
            </w:pPr>
          </w:p>
        </w:tc>
        <w:tc>
          <w:tcPr>
            <w:tcW w:w="2599" w:type="dxa"/>
            <w:vAlign w:val="center"/>
          </w:tcPr>
          <w:p w14:paraId="227A1E92">
            <w:pPr>
              <w:spacing w:line="560" w:lineRule="atLeast"/>
              <w:jc w:val="center"/>
              <w:rPr>
                <w:rFonts w:ascii="宋体" w:hAnsi="宋体" w:cs="宋体"/>
                <w:color w:val="auto"/>
                <w:sz w:val="28"/>
              </w:rPr>
            </w:pPr>
          </w:p>
        </w:tc>
      </w:tr>
    </w:tbl>
    <w:p w14:paraId="45DD235A">
      <w:pPr>
        <w:tabs>
          <w:tab w:val="left" w:pos="9365"/>
        </w:tabs>
        <w:snapToGrid w:val="0"/>
        <w:spacing w:after="56" w:line="560" w:lineRule="atLeast"/>
        <w:ind w:firstLine="623"/>
        <w:textAlignment w:val="top"/>
        <w:rPr>
          <w:rFonts w:ascii="宋体" w:hAnsi="宋体" w:cs="宋体"/>
          <w:color w:val="auto"/>
          <w:sz w:val="24"/>
          <w:szCs w:val="24"/>
        </w:rPr>
      </w:pPr>
      <w:r>
        <w:rPr>
          <w:rFonts w:hint="eastAsia" w:ascii="宋体" w:hAnsi="宋体" w:cs="宋体"/>
          <w:color w:val="auto"/>
          <w:sz w:val="24"/>
          <w:szCs w:val="24"/>
        </w:rPr>
        <w:t>注：1、“其他偏差表”应详细注明与《磋商文件》中各项要求（除技术条款外的所有条款）有何不同，并说明其符合性（优于、或低于《磋商文件》要求）。</w:t>
      </w:r>
    </w:p>
    <w:p w14:paraId="33F0A03C">
      <w:pPr>
        <w:tabs>
          <w:tab w:val="left" w:pos="9365"/>
        </w:tabs>
        <w:snapToGrid w:val="0"/>
        <w:spacing w:after="56" w:line="560" w:lineRule="atLeast"/>
        <w:ind w:firstLine="623"/>
        <w:textAlignment w:val="top"/>
        <w:rPr>
          <w:rFonts w:ascii="宋体" w:hAnsi="宋体" w:cs="宋体"/>
          <w:color w:val="auto"/>
          <w:sz w:val="24"/>
          <w:szCs w:val="24"/>
        </w:rPr>
      </w:pPr>
      <w:r>
        <w:rPr>
          <w:rFonts w:hint="eastAsia" w:ascii="宋体" w:hAnsi="宋体" w:cs="宋体"/>
          <w:color w:val="auto"/>
          <w:sz w:val="24"/>
          <w:szCs w:val="24"/>
        </w:rPr>
        <w:t>2、如投标条款与《磋商文件》其他要求一致，仍需在本表填列“除技术条款外，与《磋商文件》所有条款要求一致，无偏差”字样。</w:t>
      </w:r>
    </w:p>
    <w:p w14:paraId="306948C4">
      <w:pPr>
        <w:tabs>
          <w:tab w:val="left" w:pos="0"/>
        </w:tabs>
        <w:spacing w:line="360" w:lineRule="auto"/>
        <w:ind w:right="512"/>
        <w:rPr>
          <w:rFonts w:ascii="宋体" w:hAnsi="宋体" w:cs="宋体"/>
          <w:color w:val="auto"/>
          <w:sz w:val="24"/>
          <w:szCs w:val="24"/>
        </w:rPr>
      </w:pPr>
    </w:p>
    <w:p w14:paraId="284F69DE">
      <w:pPr>
        <w:tabs>
          <w:tab w:val="left" w:pos="0"/>
        </w:tabs>
        <w:spacing w:line="360" w:lineRule="auto"/>
        <w:ind w:right="512"/>
        <w:rPr>
          <w:rFonts w:ascii="宋体" w:hAnsi="宋体" w:cs="宋体"/>
          <w:color w:val="auto"/>
          <w:sz w:val="24"/>
          <w:szCs w:val="24"/>
        </w:rPr>
      </w:pPr>
    </w:p>
    <w:p w14:paraId="55E35414">
      <w:pPr>
        <w:tabs>
          <w:tab w:val="left" w:pos="0"/>
        </w:tabs>
        <w:spacing w:line="360" w:lineRule="auto"/>
        <w:ind w:right="512"/>
        <w:rPr>
          <w:rFonts w:ascii="宋体" w:hAnsi="宋体" w:cs="宋体"/>
          <w:color w:val="auto"/>
          <w:spacing w:val="8"/>
          <w:sz w:val="24"/>
        </w:rPr>
      </w:pPr>
      <w:r>
        <w:rPr>
          <w:rFonts w:hint="eastAsia" w:ascii="宋体" w:hAnsi="宋体" w:cs="宋体"/>
          <w:color w:val="auto"/>
          <w:sz w:val="24"/>
          <w:szCs w:val="24"/>
        </w:rPr>
        <w:t>供应商（电子签章）</w:t>
      </w:r>
      <w:r>
        <w:rPr>
          <w:rFonts w:hint="eastAsia" w:ascii="宋体" w:hAnsi="宋体" w:cs="宋体"/>
          <w:color w:val="auto"/>
          <w:spacing w:val="8"/>
          <w:sz w:val="24"/>
        </w:rPr>
        <w:t>：</w:t>
      </w:r>
    </w:p>
    <w:p w14:paraId="7FA353F4">
      <w:pPr>
        <w:tabs>
          <w:tab w:val="left" w:pos="0"/>
        </w:tabs>
        <w:spacing w:line="360" w:lineRule="auto"/>
        <w:ind w:right="768"/>
        <w:jc w:val="left"/>
        <w:rPr>
          <w:rFonts w:ascii="宋体" w:hAnsi="宋体" w:cs="宋体"/>
          <w:color w:val="auto"/>
          <w:spacing w:val="8"/>
          <w:sz w:val="24"/>
        </w:rPr>
      </w:pPr>
      <w:r>
        <w:rPr>
          <w:rFonts w:hint="eastAsia" w:ascii="宋体" w:hAnsi="宋体" w:cs="宋体"/>
          <w:color w:val="auto"/>
          <w:spacing w:val="8"/>
          <w:sz w:val="24"/>
        </w:rPr>
        <w:t>法定代表人</w:t>
      </w:r>
      <w:r>
        <w:rPr>
          <w:rFonts w:hint="eastAsia" w:ascii="宋体" w:hAnsi="宋体" w:cs="宋体"/>
          <w:color w:val="auto"/>
          <w:sz w:val="24"/>
          <w:szCs w:val="24"/>
        </w:rPr>
        <w:t>（电子签名）</w:t>
      </w:r>
      <w:r>
        <w:rPr>
          <w:rFonts w:hint="eastAsia" w:ascii="宋体" w:hAnsi="宋体" w:cs="宋体"/>
          <w:color w:val="auto"/>
          <w:spacing w:val="8"/>
          <w:sz w:val="24"/>
        </w:rPr>
        <w:t>：</w:t>
      </w:r>
    </w:p>
    <w:p w14:paraId="28EB11AD">
      <w:pPr>
        <w:autoSpaceDE w:val="0"/>
        <w:autoSpaceDN w:val="0"/>
        <w:adjustRightInd w:val="0"/>
        <w:spacing w:line="360" w:lineRule="auto"/>
        <w:rPr>
          <w:rFonts w:ascii="宋体" w:hAnsi="宋体" w:cs="宋体"/>
          <w:color w:val="auto"/>
          <w:sz w:val="24"/>
        </w:rPr>
      </w:pPr>
      <w:r>
        <w:rPr>
          <w:rFonts w:hint="eastAsia" w:ascii="宋体" w:hAnsi="宋体" w:cs="宋体"/>
          <w:color w:val="auto"/>
          <w:spacing w:val="8"/>
          <w:sz w:val="24"/>
        </w:rPr>
        <w:t>日期 ：</w:t>
      </w:r>
      <w:r>
        <w:rPr>
          <w:rFonts w:hint="eastAsia" w:ascii="宋体" w:hAnsi="宋体" w:cs="宋体"/>
          <w:color w:val="auto"/>
          <w:sz w:val="24"/>
          <w:lang w:val="zh-CN"/>
        </w:rPr>
        <w:t xml:space="preserve">   年   月   日</w:t>
      </w:r>
    </w:p>
    <w:p w14:paraId="3830C0FA">
      <w:pPr>
        <w:rPr>
          <w:color w:val="auto"/>
        </w:rPr>
      </w:pPr>
      <w:bookmarkStart w:id="63" w:name="_Toc4710"/>
      <w:r>
        <w:rPr>
          <w:rFonts w:hint="eastAsia"/>
          <w:color w:val="auto"/>
        </w:rPr>
        <w:br w:type="page"/>
      </w:r>
    </w:p>
    <w:p w14:paraId="6F168005">
      <w:pPr>
        <w:pStyle w:val="2"/>
        <w:rPr>
          <w:rFonts w:ascii="宋体" w:hAnsi="宋体" w:cs="宋体"/>
          <w:color w:val="auto"/>
        </w:rPr>
      </w:pPr>
      <w:bookmarkStart w:id="64" w:name="_Toc25523"/>
      <w:r>
        <w:rPr>
          <w:rFonts w:hint="eastAsia"/>
          <w:color w:val="auto"/>
        </w:rPr>
        <w:t>八、关于资格的声明函</w:t>
      </w:r>
      <w:bookmarkEnd w:id="64"/>
    </w:p>
    <w:p w14:paraId="73C9C39D">
      <w:pPr>
        <w:snapToGrid w:val="0"/>
        <w:spacing w:line="560" w:lineRule="exact"/>
        <w:rPr>
          <w:rFonts w:ascii="宋体" w:hAnsi="宋体" w:cs="宋体"/>
          <w:color w:val="auto"/>
          <w:sz w:val="24"/>
        </w:rPr>
      </w:pPr>
      <w:r>
        <w:rPr>
          <w:rFonts w:hint="eastAsia" w:ascii="宋体" w:hAnsi="宋体" w:cs="宋体"/>
          <w:color w:val="auto"/>
          <w:sz w:val="24"/>
        </w:rPr>
        <w:t>河南圣坤工程咨询有限公司：</w:t>
      </w:r>
    </w:p>
    <w:p w14:paraId="5B253711">
      <w:pPr>
        <w:snapToGrid w:val="0"/>
        <w:spacing w:line="560" w:lineRule="exact"/>
        <w:ind w:firstLine="555"/>
        <w:rPr>
          <w:rFonts w:ascii="宋体" w:hAnsi="宋体" w:cs="宋体"/>
          <w:color w:val="auto"/>
          <w:sz w:val="24"/>
        </w:rPr>
      </w:pPr>
      <w:r>
        <w:rPr>
          <w:rFonts w:hint="eastAsia" w:ascii="宋体" w:hAnsi="宋体" w:cs="宋体"/>
          <w:color w:val="auto"/>
          <w:sz w:val="24"/>
        </w:rPr>
        <w:t>关于贵方项目编号为</w:t>
      </w:r>
      <w:r>
        <w:rPr>
          <w:rFonts w:hint="eastAsia" w:ascii="宋体" w:hAnsi="宋体" w:cs="宋体"/>
          <w:color w:val="auto"/>
          <w:sz w:val="24"/>
          <w:u w:val="single"/>
        </w:rPr>
        <w:t xml:space="preserve">       </w:t>
      </w:r>
      <w:r>
        <w:rPr>
          <w:rFonts w:hint="eastAsia" w:ascii="宋体" w:hAnsi="宋体" w:cs="宋体"/>
          <w:color w:val="auto"/>
          <w:sz w:val="24"/>
        </w:rPr>
        <w:t>的磋商公告，本签字人愿意参加投标，提供磋商文件中规定的产品及服务，并声明提交下列文件是准确的、真实的和有效的。</w:t>
      </w:r>
    </w:p>
    <w:p w14:paraId="1362B992">
      <w:pPr>
        <w:snapToGrid w:val="0"/>
        <w:spacing w:line="560" w:lineRule="exact"/>
        <w:ind w:firstLine="480" w:firstLineChars="200"/>
        <w:rPr>
          <w:rFonts w:ascii="宋体" w:hAnsi="宋体" w:cs="宋体"/>
          <w:color w:val="auto"/>
          <w:sz w:val="24"/>
        </w:rPr>
      </w:pPr>
      <w:r>
        <w:rPr>
          <w:rFonts w:hint="eastAsia" w:ascii="宋体" w:hAnsi="宋体" w:cs="宋体"/>
          <w:color w:val="auto"/>
          <w:sz w:val="24"/>
        </w:rPr>
        <w:t>1.《磋商文件》第一章“竞争性磋商公告”第二条所要求的资格性证明文件（证件或证明资料或承诺）。</w:t>
      </w:r>
    </w:p>
    <w:p w14:paraId="7F91D1C5">
      <w:pPr>
        <w:snapToGrid w:val="0"/>
        <w:spacing w:line="560" w:lineRule="exact"/>
        <w:ind w:firstLine="555"/>
        <w:rPr>
          <w:rFonts w:ascii="宋体" w:hAnsi="宋体" w:cs="宋体"/>
          <w:color w:val="auto"/>
          <w:sz w:val="24"/>
        </w:rPr>
      </w:pPr>
      <w:r>
        <w:rPr>
          <w:rFonts w:hint="eastAsia" w:ascii="宋体" w:hAnsi="宋体" w:cs="宋体"/>
          <w:color w:val="auto"/>
          <w:sz w:val="24"/>
        </w:rPr>
        <w:t>2.采购项目中必须的其他证件。</w:t>
      </w:r>
    </w:p>
    <w:p w14:paraId="797F6BEE">
      <w:pPr>
        <w:snapToGrid w:val="0"/>
        <w:spacing w:line="560" w:lineRule="exact"/>
        <w:ind w:firstLine="555"/>
        <w:rPr>
          <w:rFonts w:ascii="宋体" w:hAnsi="宋体" w:cs="宋体"/>
          <w:color w:val="auto"/>
          <w:sz w:val="24"/>
        </w:rPr>
      </w:pPr>
      <w:r>
        <w:rPr>
          <w:rFonts w:hint="eastAsia" w:ascii="宋体" w:hAnsi="宋体" w:cs="宋体"/>
          <w:color w:val="auto"/>
          <w:sz w:val="24"/>
        </w:rPr>
        <w:t>3.本签字人确认资格文件中的说明是真实的、准确的。</w:t>
      </w:r>
    </w:p>
    <w:p w14:paraId="6F10EA90">
      <w:pPr>
        <w:snapToGrid w:val="0"/>
        <w:spacing w:line="560" w:lineRule="exact"/>
        <w:ind w:firstLine="555"/>
        <w:rPr>
          <w:rFonts w:ascii="宋体" w:hAnsi="宋体" w:cs="宋体"/>
          <w:color w:val="auto"/>
          <w:sz w:val="24"/>
        </w:rPr>
      </w:pPr>
    </w:p>
    <w:p w14:paraId="4A222D91">
      <w:pPr>
        <w:snapToGrid w:val="0"/>
        <w:spacing w:line="560" w:lineRule="exact"/>
        <w:ind w:firstLine="555"/>
        <w:rPr>
          <w:rFonts w:ascii="宋体" w:hAnsi="宋体" w:cs="宋体"/>
          <w:color w:val="auto"/>
          <w:sz w:val="24"/>
        </w:rPr>
      </w:pPr>
    </w:p>
    <w:p w14:paraId="6BB672AB">
      <w:pPr>
        <w:snapToGrid w:val="0"/>
        <w:spacing w:line="560" w:lineRule="exact"/>
        <w:ind w:firstLine="555"/>
        <w:rPr>
          <w:rFonts w:ascii="宋体" w:hAnsi="宋体" w:cs="宋体"/>
          <w:color w:val="auto"/>
          <w:sz w:val="24"/>
        </w:rPr>
      </w:pPr>
    </w:p>
    <w:p w14:paraId="5636295F">
      <w:pPr>
        <w:pStyle w:val="31"/>
        <w:rPr>
          <w:rFonts w:ascii="宋体" w:hAnsi="宋体" w:cs="宋体"/>
          <w:sz w:val="24"/>
        </w:rPr>
      </w:pPr>
    </w:p>
    <w:p w14:paraId="5D8BEE49">
      <w:pPr>
        <w:pStyle w:val="31"/>
        <w:rPr>
          <w:rFonts w:ascii="宋体" w:hAnsi="宋体" w:cs="宋体"/>
          <w:sz w:val="24"/>
        </w:rPr>
      </w:pPr>
    </w:p>
    <w:p w14:paraId="5585C967">
      <w:pPr>
        <w:pStyle w:val="31"/>
        <w:rPr>
          <w:rFonts w:ascii="宋体" w:hAnsi="宋体" w:cs="宋体"/>
          <w:sz w:val="24"/>
        </w:rPr>
      </w:pPr>
    </w:p>
    <w:p w14:paraId="48E05006">
      <w:pPr>
        <w:pStyle w:val="31"/>
        <w:rPr>
          <w:rFonts w:ascii="宋体" w:hAnsi="宋体" w:cs="宋体"/>
          <w:sz w:val="24"/>
        </w:rPr>
      </w:pPr>
    </w:p>
    <w:p w14:paraId="68A6A51E">
      <w:pPr>
        <w:pStyle w:val="31"/>
        <w:rPr>
          <w:rFonts w:ascii="宋体" w:hAnsi="宋体" w:cs="宋体"/>
          <w:sz w:val="24"/>
        </w:rPr>
      </w:pPr>
    </w:p>
    <w:p w14:paraId="3A277605">
      <w:pPr>
        <w:pStyle w:val="31"/>
        <w:rPr>
          <w:rFonts w:ascii="宋体" w:hAnsi="宋体" w:cs="宋体"/>
          <w:sz w:val="24"/>
        </w:rPr>
      </w:pPr>
    </w:p>
    <w:p w14:paraId="2B3E59D1">
      <w:pPr>
        <w:pStyle w:val="31"/>
        <w:rPr>
          <w:rFonts w:ascii="宋体" w:hAnsi="宋体" w:cs="宋体"/>
          <w:sz w:val="24"/>
        </w:rPr>
      </w:pPr>
    </w:p>
    <w:p w14:paraId="4A610A45">
      <w:pPr>
        <w:pStyle w:val="31"/>
        <w:rPr>
          <w:rFonts w:ascii="宋体" w:hAnsi="宋体" w:cs="宋体"/>
          <w:sz w:val="24"/>
        </w:rPr>
      </w:pPr>
    </w:p>
    <w:p w14:paraId="3794B18F">
      <w:pPr>
        <w:pStyle w:val="31"/>
        <w:rPr>
          <w:rFonts w:ascii="宋体" w:hAnsi="宋体" w:cs="宋体"/>
          <w:sz w:val="24"/>
        </w:rPr>
      </w:pPr>
    </w:p>
    <w:p w14:paraId="1578C8D5">
      <w:pPr>
        <w:pStyle w:val="31"/>
        <w:rPr>
          <w:rFonts w:ascii="宋体" w:hAnsi="宋体" w:cs="宋体"/>
          <w:sz w:val="24"/>
        </w:rPr>
      </w:pPr>
    </w:p>
    <w:p w14:paraId="336455E2">
      <w:pPr>
        <w:tabs>
          <w:tab w:val="left" w:pos="540"/>
        </w:tabs>
        <w:spacing w:line="360" w:lineRule="auto"/>
        <w:rPr>
          <w:rFonts w:ascii="宋体" w:hAnsi="宋体" w:cs="宋体"/>
          <w:color w:val="auto"/>
          <w:sz w:val="24"/>
          <w:szCs w:val="24"/>
        </w:rPr>
      </w:pPr>
      <w:r>
        <w:rPr>
          <w:rFonts w:hint="eastAsia" w:ascii="宋体" w:hAnsi="宋体" w:cs="宋体"/>
          <w:color w:val="auto"/>
          <w:sz w:val="24"/>
          <w:szCs w:val="24"/>
        </w:rPr>
        <w:t>供应商（电子签章）：</w:t>
      </w:r>
    </w:p>
    <w:p w14:paraId="2630925B">
      <w:pPr>
        <w:snapToGrid w:val="0"/>
        <w:spacing w:line="360" w:lineRule="auto"/>
        <w:rPr>
          <w:rFonts w:ascii="宋体" w:hAnsi="宋体" w:cs="宋体"/>
          <w:color w:val="auto"/>
          <w:sz w:val="24"/>
          <w:szCs w:val="24"/>
        </w:rPr>
      </w:pPr>
      <w:r>
        <w:rPr>
          <w:rFonts w:hint="eastAsia" w:ascii="宋体" w:hAnsi="宋体" w:cs="宋体"/>
          <w:color w:val="auto"/>
          <w:sz w:val="24"/>
          <w:szCs w:val="24"/>
        </w:rPr>
        <w:t>法定代表人（电子签名）：</w:t>
      </w:r>
    </w:p>
    <w:p w14:paraId="7A04699E">
      <w:pPr>
        <w:widowControl w:val="0"/>
        <w:tabs>
          <w:tab w:val="left" w:pos="9365"/>
        </w:tabs>
        <w:snapToGrid w:val="0"/>
        <w:spacing w:line="360" w:lineRule="auto"/>
        <w:jc w:val="left"/>
        <w:textAlignment w:val="top"/>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lang w:val="zh-CN"/>
        </w:rPr>
        <w:t xml:space="preserve">  年   月   日</w:t>
      </w:r>
    </w:p>
    <w:p w14:paraId="40F6F7F8">
      <w:pPr>
        <w:widowControl w:val="0"/>
        <w:tabs>
          <w:tab w:val="left" w:pos="9365"/>
        </w:tabs>
        <w:snapToGrid w:val="0"/>
        <w:spacing w:after="56" w:line="560" w:lineRule="exact"/>
        <w:ind w:right="85"/>
        <w:jc w:val="left"/>
        <w:textAlignment w:val="top"/>
        <w:rPr>
          <w:rFonts w:ascii="宋体" w:hAnsi="宋体" w:cs="宋体"/>
          <w:color w:val="auto"/>
          <w:sz w:val="24"/>
          <w:lang w:val="zh-CN"/>
        </w:rPr>
      </w:pPr>
      <w:r>
        <w:rPr>
          <w:rFonts w:hint="eastAsia" w:ascii="宋体" w:hAnsi="宋体" w:cs="宋体"/>
          <w:color w:val="auto"/>
          <w:sz w:val="24"/>
          <w:lang w:val="zh-CN"/>
        </w:rPr>
        <w:br w:type="page"/>
      </w:r>
    </w:p>
    <w:p w14:paraId="5D9319F7">
      <w:pPr>
        <w:pStyle w:val="2"/>
        <w:rPr>
          <w:color w:val="auto"/>
        </w:rPr>
      </w:pPr>
      <w:r>
        <w:rPr>
          <w:rFonts w:hint="eastAsia"/>
          <w:color w:val="auto"/>
        </w:rPr>
        <w:t>九、反商业贿赂承诺书</w:t>
      </w:r>
      <w:bookmarkEnd w:id="63"/>
    </w:p>
    <w:p w14:paraId="3E699C4F">
      <w:pPr>
        <w:snapToGrid w:val="0"/>
        <w:spacing w:line="560" w:lineRule="atLeast"/>
        <w:ind w:right="56" w:firstLine="555"/>
        <w:rPr>
          <w:rFonts w:ascii="宋体" w:hAnsi="宋体" w:cs="宋体"/>
          <w:color w:val="auto"/>
          <w:sz w:val="24"/>
        </w:rPr>
      </w:pPr>
      <w:r>
        <w:rPr>
          <w:rFonts w:hint="eastAsia" w:ascii="宋体" w:hAnsi="宋体" w:cs="宋体"/>
          <w:color w:val="auto"/>
          <w:sz w:val="24"/>
        </w:rPr>
        <w:t>我公司承诺：</w:t>
      </w:r>
    </w:p>
    <w:p w14:paraId="2F85B036">
      <w:pPr>
        <w:snapToGrid w:val="0"/>
        <w:spacing w:line="560" w:lineRule="atLeast"/>
        <w:ind w:right="56" w:firstLine="555"/>
        <w:rPr>
          <w:rFonts w:ascii="宋体" w:hAnsi="宋体" w:cs="宋体"/>
          <w:color w:val="auto"/>
          <w:sz w:val="24"/>
        </w:rPr>
      </w:pPr>
      <w:r>
        <w:rPr>
          <w:rFonts w:hint="eastAsia" w:ascii="宋体" w:hAnsi="宋体" w:cs="宋体"/>
          <w:color w:val="auto"/>
          <w:sz w:val="24"/>
        </w:rPr>
        <w:t>在采购活动中，我公司保证做到：</w:t>
      </w:r>
    </w:p>
    <w:p w14:paraId="3E2730FB">
      <w:pPr>
        <w:snapToGrid w:val="0"/>
        <w:spacing w:line="560" w:lineRule="atLeast"/>
        <w:ind w:right="56" w:firstLine="555"/>
        <w:rPr>
          <w:rFonts w:ascii="宋体" w:hAnsi="宋体" w:cs="宋体"/>
          <w:color w:val="auto"/>
          <w:sz w:val="24"/>
        </w:rPr>
      </w:pPr>
      <w:r>
        <w:rPr>
          <w:rFonts w:hint="eastAsia" w:ascii="宋体" w:hAnsi="宋体" w:cs="宋体"/>
          <w:color w:val="auto"/>
          <w:sz w:val="24"/>
        </w:rPr>
        <w:t>一、公平竞争参加本次采购活动。</w:t>
      </w:r>
    </w:p>
    <w:p w14:paraId="149320E4">
      <w:pPr>
        <w:snapToGrid w:val="0"/>
        <w:spacing w:line="560" w:lineRule="atLeast"/>
        <w:ind w:right="56" w:firstLine="555"/>
        <w:rPr>
          <w:rFonts w:ascii="宋体" w:hAnsi="宋体" w:cs="宋体"/>
          <w:color w:val="auto"/>
          <w:sz w:val="24"/>
        </w:rPr>
      </w:pPr>
      <w:r>
        <w:rPr>
          <w:rFonts w:hint="eastAsia" w:ascii="宋体" w:hAnsi="宋体" w:cs="宋体"/>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F0C81FF">
      <w:pPr>
        <w:snapToGrid w:val="0"/>
        <w:spacing w:line="560" w:lineRule="atLeast"/>
        <w:ind w:right="56" w:firstLine="555"/>
        <w:rPr>
          <w:rFonts w:ascii="宋体" w:hAnsi="宋体" w:cs="宋体"/>
          <w:color w:val="auto"/>
          <w:sz w:val="24"/>
        </w:rPr>
      </w:pPr>
      <w:r>
        <w:rPr>
          <w:rFonts w:hint="eastAsia" w:ascii="宋体" w:hAnsi="宋体" w:cs="宋体"/>
          <w:color w:val="auto"/>
          <w:sz w:val="24"/>
        </w:rPr>
        <w:t>三、若出现上述行为，我公司及其参与投标的工作人员愿意接受按照国家法律法规等有关规定给予的处罚。</w:t>
      </w:r>
    </w:p>
    <w:p w14:paraId="7A6D6006">
      <w:pPr>
        <w:snapToGrid w:val="0"/>
        <w:spacing w:line="560" w:lineRule="atLeast"/>
        <w:ind w:right="56" w:firstLine="555"/>
        <w:rPr>
          <w:rFonts w:ascii="宋体" w:hAnsi="宋体" w:cs="宋体"/>
          <w:color w:val="auto"/>
          <w:sz w:val="24"/>
        </w:rPr>
      </w:pPr>
    </w:p>
    <w:p w14:paraId="56D02885">
      <w:pPr>
        <w:snapToGrid w:val="0"/>
        <w:spacing w:line="560" w:lineRule="atLeast"/>
        <w:ind w:right="56" w:firstLine="555"/>
        <w:rPr>
          <w:rFonts w:ascii="宋体" w:hAnsi="宋体" w:cs="宋体"/>
          <w:color w:val="auto"/>
          <w:sz w:val="24"/>
        </w:rPr>
      </w:pPr>
    </w:p>
    <w:p w14:paraId="0DB44417">
      <w:pPr>
        <w:snapToGrid w:val="0"/>
        <w:spacing w:line="560" w:lineRule="atLeast"/>
        <w:ind w:right="56" w:firstLine="555"/>
        <w:rPr>
          <w:rFonts w:ascii="宋体" w:hAnsi="宋体" w:cs="宋体"/>
          <w:color w:val="auto"/>
          <w:sz w:val="24"/>
        </w:rPr>
      </w:pPr>
    </w:p>
    <w:p w14:paraId="7BAD6072">
      <w:pPr>
        <w:snapToGrid w:val="0"/>
        <w:spacing w:line="560" w:lineRule="atLeast"/>
        <w:ind w:right="56" w:firstLine="555"/>
        <w:rPr>
          <w:rFonts w:ascii="宋体" w:hAnsi="宋体" w:cs="宋体"/>
          <w:color w:val="auto"/>
          <w:sz w:val="24"/>
        </w:rPr>
      </w:pPr>
    </w:p>
    <w:p w14:paraId="7DD1FD74">
      <w:pPr>
        <w:snapToGrid w:val="0"/>
        <w:spacing w:line="560" w:lineRule="atLeast"/>
        <w:ind w:right="56" w:firstLine="555"/>
        <w:rPr>
          <w:rFonts w:ascii="宋体" w:hAnsi="宋体" w:cs="宋体"/>
          <w:color w:val="auto"/>
          <w:sz w:val="24"/>
        </w:rPr>
      </w:pPr>
    </w:p>
    <w:p w14:paraId="7C38C5BD">
      <w:pPr>
        <w:snapToGrid w:val="0"/>
        <w:spacing w:line="560" w:lineRule="atLeast"/>
        <w:ind w:right="56" w:firstLine="555"/>
        <w:rPr>
          <w:rFonts w:ascii="宋体" w:hAnsi="宋体" w:cs="宋体"/>
          <w:color w:val="auto"/>
          <w:sz w:val="24"/>
        </w:rPr>
      </w:pPr>
    </w:p>
    <w:p w14:paraId="4B662C24">
      <w:pPr>
        <w:snapToGrid w:val="0"/>
        <w:spacing w:line="560" w:lineRule="atLeast"/>
        <w:ind w:right="56" w:firstLine="555"/>
        <w:rPr>
          <w:rFonts w:ascii="宋体" w:hAnsi="宋体" w:cs="宋体"/>
          <w:color w:val="auto"/>
          <w:sz w:val="24"/>
        </w:rPr>
      </w:pPr>
    </w:p>
    <w:p w14:paraId="1E1CF7F0">
      <w:pPr>
        <w:snapToGrid w:val="0"/>
        <w:spacing w:line="560" w:lineRule="atLeast"/>
        <w:ind w:right="56" w:firstLine="555"/>
        <w:rPr>
          <w:rFonts w:ascii="宋体" w:hAnsi="宋体" w:cs="宋体"/>
          <w:color w:val="auto"/>
          <w:sz w:val="24"/>
        </w:rPr>
      </w:pPr>
    </w:p>
    <w:p w14:paraId="25E064AC">
      <w:pPr>
        <w:snapToGrid w:val="0"/>
        <w:spacing w:line="560" w:lineRule="atLeast"/>
        <w:ind w:right="56" w:firstLine="555"/>
        <w:rPr>
          <w:rFonts w:ascii="宋体" w:hAnsi="宋体" w:cs="宋体"/>
          <w:color w:val="auto"/>
          <w:sz w:val="24"/>
        </w:rPr>
      </w:pPr>
    </w:p>
    <w:p w14:paraId="08E1B1FD">
      <w:pPr>
        <w:snapToGrid w:val="0"/>
        <w:spacing w:line="560" w:lineRule="atLeast"/>
        <w:ind w:right="56" w:firstLine="555"/>
        <w:rPr>
          <w:rFonts w:ascii="宋体" w:hAnsi="宋体" w:cs="宋体"/>
          <w:color w:val="auto"/>
          <w:sz w:val="24"/>
        </w:rPr>
      </w:pPr>
    </w:p>
    <w:p w14:paraId="71103623">
      <w:pPr>
        <w:snapToGrid w:val="0"/>
        <w:spacing w:line="560" w:lineRule="atLeast"/>
        <w:ind w:right="56"/>
        <w:rPr>
          <w:rFonts w:ascii="宋体" w:hAnsi="宋体" w:cs="宋体"/>
          <w:color w:val="auto"/>
          <w:sz w:val="24"/>
        </w:rPr>
      </w:pPr>
    </w:p>
    <w:p w14:paraId="43CE094D">
      <w:pPr>
        <w:tabs>
          <w:tab w:val="left" w:pos="0"/>
        </w:tabs>
        <w:spacing w:line="480" w:lineRule="auto"/>
        <w:ind w:right="512"/>
        <w:rPr>
          <w:rFonts w:ascii="宋体" w:hAnsi="宋体" w:cs="宋体"/>
          <w:color w:val="auto"/>
          <w:spacing w:val="8"/>
          <w:sz w:val="24"/>
        </w:rPr>
      </w:pPr>
      <w:r>
        <w:rPr>
          <w:rFonts w:hint="eastAsia" w:ascii="宋体" w:hAnsi="宋体" w:cs="宋体"/>
          <w:color w:val="auto"/>
          <w:sz w:val="24"/>
          <w:szCs w:val="24"/>
        </w:rPr>
        <w:t>供应商（电子签章）</w:t>
      </w:r>
      <w:r>
        <w:rPr>
          <w:rFonts w:hint="eastAsia" w:ascii="宋体" w:hAnsi="宋体" w:cs="宋体"/>
          <w:color w:val="auto"/>
          <w:spacing w:val="8"/>
          <w:sz w:val="24"/>
        </w:rPr>
        <w:t>：</w:t>
      </w:r>
    </w:p>
    <w:p w14:paraId="6742164D">
      <w:pPr>
        <w:tabs>
          <w:tab w:val="left" w:pos="0"/>
        </w:tabs>
        <w:spacing w:line="480" w:lineRule="auto"/>
        <w:ind w:right="768"/>
        <w:jc w:val="left"/>
        <w:rPr>
          <w:rFonts w:ascii="宋体" w:hAnsi="宋体" w:cs="宋体"/>
          <w:color w:val="auto"/>
          <w:spacing w:val="8"/>
          <w:sz w:val="24"/>
        </w:rPr>
      </w:pPr>
      <w:r>
        <w:rPr>
          <w:rFonts w:hint="eastAsia" w:ascii="宋体" w:hAnsi="宋体" w:cs="宋体"/>
          <w:color w:val="auto"/>
          <w:spacing w:val="8"/>
          <w:sz w:val="24"/>
        </w:rPr>
        <w:t>法定代表人</w:t>
      </w:r>
      <w:r>
        <w:rPr>
          <w:rFonts w:hint="eastAsia" w:ascii="宋体" w:hAnsi="宋体" w:cs="宋体"/>
          <w:color w:val="auto"/>
          <w:sz w:val="24"/>
          <w:szCs w:val="24"/>
        </w:rPr>
        <w:t>（电子签名）</w:t>
      </w:r>
      <w:r>
        <w:rPr>
          <w:rFonts w:hint="eastAsia" w:ascii="宋体" w:hAnsi="宋体" w:cs="宋体"/>
          <w:color w:val="auto"/>
          <w:spacing w:val="8"/>
          <w:sz w:val="24"/>
        </w:rPr>
        <w:t>：</w:t>
      </w:r>
    </w:p>
    <w:p w14:paraId="31CBD355">
      <w:pPr>
        <w:autoSpaceDE w:val="0"/>
        <w:autoSpaceDN w:val="0"/>
        <w:adjustRightInd w:val="0"/>
        <w:spacing w:line="480" w:lineRule="auto"/>
        <w:rPr>
          <w:rFonts w:ascii="宋体" w:hAnsi="宋体" w:cs="宋体"/>
          <w:color w:val="auto"/>
          <w:sz w:val="24"/>
        </w:rPr>
      </w:pPr>
      <w:r>
        <w:rPr>
          <w:rFonts w:hint="eastAsia" w:ascii="宋体" w:hAnsi="宋体" w:cs="宋体"/>
          <w:color w:val="auto"/>
          <w:spacing w:val="8"/>
          <w:sz w:val="24"/>
        </w:rPr>
        <w:t>日期 ：</w:t>
      </w:r>
      <w:r>
        <w:rPr>
          <w:rFonts w:hint="eastAsia" w:ascii="宋体" w:hAnsi="宋体" w:cs="宋体"/>
          <w:color w:val="auto"/>
          <w:sz w:val="24"/>
          <w:lang w:val="zh-CN"/>
        </w:rPr>
        <w:t xml:space="preserve">   年   月   日</w:t>
      </w:r>
    </w:p>
    <w:p w14:paraId="269BB28F">
      <w:pPr>
        <w:tabs>
          <w:tab w:val="left" w:pos="540"/>
        </w:tabs>
        <w:spacing w:line="440" w:lineRule="exact"/>
        <w:jc w:val="center"/>
        <w:rPr>
          <w:rFonts w:ascii="宋体" w:hAnsi="宋体" w:cs="宋体"/>
          <w:color w:val="auto"/>
        </w:rPr>
      </w:pPr>
      <w:r>
        <w:rPr>
          <w:rFonts w:hint="eastAsia" w:ascii="宋体" w:hAnsi="宋体" w:cs="宋体"/>
          <w:color w:val="auto"/>
        </w:rPr>
        <w:br w:type="page"/>
      </w:r>
      <w:bookmarkStart w:id="65" w:name="_Toc10928"/>
    </w:p>
    <w:p w14:paraId="22A42E54">
      <w:pPr>
        <w:pStyle w:val="2"/>
        <w:rPr>
          <w:color w:val="auto"/>
        </w:rPr>
      </w:pPr>
      <w:r>
        <w:rPr>
          <w:rFonts w:hint="eastAsia"/>
          <w:color w:val="auto"/>
        </w:rPr>
        <w:t>十、资格要求相关证明材料（文件）</w:t>
      </w:r>
    </w:p>
    <w:p w14:paraId="5C3705C1">
      <w:pPr>
        <w:spacing w:before="100" w:beforeAutospacing="1" w:after="100" w:afterAutospacing="1" w:line="500" w:lineRule="exact"/>
        <w:jc w:val="center"/>
        <w:rPr>
          <w:b/>
          <w:bCs/>
          <w:color w:val="auto"/>
          <w:kern w:val="44"/>
          <w:sz w:val="36"/>
          <w:szCs w:val="44"/>
        </w:rPr>
      </w:pPr>
    </w:p>
    <w:p w14:paraId="3988BAA6">
      <w:pPr>
        <w:spacing w:before="100" w:beforeAutospacing="1" w:after="100" w:afterAutospacing="1" w:line="500" w:lineRule="exact"/>
        <w:jc w:val="center"/>
        <w:rPr>
          <w:b/>
          <w:bCs/>
          <w:color w:val="auto"/>
          <w:kern w:val="44"/>
          <w:sz w:val="36"/>
          <w:szCs w:val="44"/>
        </w:rPr>
      </w:pPr>
    </w:p>
    <w:p w14:paraId="2951E0B1">
      <w:pPr>
        <w:rPr>
          <w:b/>
          <w:bCs/>
          <w:color w:val="auto"/>
          <w:kern w:val="44"/>
          <w:sz w:val="36"/>
          <w:szCs w:val="44"/>
        </w:rPr>
      </w:pPr>
      <w:r>
        <w:rPr>
          <w:rFonts w:hint="eastAsia"/>
          <w:b/>
          <w:bCs/>
          <w:color w:val="auto"/>
          <w:kern w:val="44"/>
          <w:sz w:val="36"/>
          <w:szCs w:val="44"/>
        </w:rPr>
        <w:br w:type="page"/>
      </w:r>
    </w:p>
    <w:p w14:paraId="3BA18C13">
      <w:pPr>
        <w:spacing w:before="100" w:beforeAutospacing="1" w:after="100" w:afterAutospacing="1" w:line="500" w:lineRule="exact"/>
        <w:jc w:val="center"/>
        <w:rPr>
          <w:rFonts w:ascii="宋体" w:hAnsi="宋体" w:cs="宋体"/>
          <w:b/>
          <w:color w:val="auto"/>
          <w:sz w:val="24"/>
          <w:szCs w:val="24"/>
          <w:highlight w:val="red"/>
        </w:rPr>
      </w:pPr>
      <w:r>
        <w:rPr>
          <w:rFonts w:hint="eastAsia"/>
          <w:b/>
          <w:bCs/>
          <w:color w:val="auto"/>
          <w:kern w:val="44"/>
          <w:sz w:val="36"/>
          <w:szCs w:val="44"/>
        </w:rPr>
        <w:t>供应商资格条件及履约承诺函</w:t>
      </w:r>
    </w:p>
    <w:p w14:paraId="39AB7B46">
      <w:pPr>
        <w:tabs>
          <w:tab w:val="left" w:pos="9365"/>
        </w:tabs>
        <w:spacing w:line="400" w:lineRule="exact"/>
        <w:ind w:right="85"/>
        <w:jc w:val="left"/>
        <w:textAlignment w:val="top"/>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pacing w:val="11"/>
          <w:sz w:val="24"/>
          <w:szCs w:val="24"/>
          <w:u w:val="single"/>
        </w:rPr>
        <w:t xml:space="preserve">(采购人名称）    </w:t>
      </w:r>
    </w:p>
    <w:p w14:paraId="4D65495E">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在采购编号为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的</w:t>
      </w:r>
      <w:r>
        <w:rPr>
          <w:rFonts w:hint="eastAsia" w:ascii="宋体" w:hAnsi="宋体" w:cs="宋体"/>
          <w:color w:val="auto"/>
          <w:sz w:val="24"/>
          <w:szCs w:val="24"/>
          <w:u w:val="single"/>
        </w:rPr>
        <w:t xml:space="preserve">    （项目名称）  </w:t>
      </w:r>
      <w:r>
        <w:rPr>
          <w:rFonts w:hint="eastAsia" w:ascii="宋体" w:hAnsi="宋体" w:cs="宋体"/>
          <w:color w:val="auto"/>
          <w:sz w:val="24"/>
          <w:szCs w:val="24"/>
        </w:rPr>
        <w:t>采购活动中，我单位严格遵守《中华人民共和国政府采购法》及相关法律法规，坚守公开、公平、公正和诚实信用的原则，依法诚信经营，无条件遵守本次政府采购活动的各项规定。我公司郑重承诺：</w:t>
      </w:r>
    </w:p>
    <w:p w14:paraId="0741C859">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一、我公司具备《中华人民共和国政府采购法》第二十二条第一款规定的六项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538D0A67">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二、我公司为本项目所提供的货物或服务未侵犯知识产权。</w:t>
      </w:r>
    </w:p>
    <w:p w14:paraId="0B250ADE">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三、我公司参与本项目政府采购活动时不存在被有关部门禁止参与政府采购活动且在有效期内的情况。</w:t>
      </w:r>
    </w:p>
    <w:p w14:paraId="015C4162">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四、我公司参与本项目投标，严格遵守政府采购相关法律法规，不造假，不围标、串标、陪标。我公司已清楚，如违反上述要求，投标文件将作无效处理，被列入不良记录名单并在网上曝光，同时将被提请政府采购监督管理部门给予一定年限内禁止参与政府采购活动或其他处罚。</w:t>
      </w:r>
    </w:p>
    <w:p w14:paraId="6C327103">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五、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82B36DE">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六、我公司承诺中标后项目不转包，未经采购人同意不进行分包。</w:t>
      </w:r>
    </w:p>
    <w:p w14:paraId="57677035">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七、我公司保证，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公司承担全部责任。</w:t>
      </w:r>
    </w:p>
    <w:p w14:paraId="615D56F5">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八、我公司承诺不向国家工作人员、政府采购代理机构工作人员、评审专家及其亲属提供礼品礼金、有价证券、购物券、回扣、佣金、咨询费、劳务费、赞助费、宣传费、宴请；不为其报销各种消费凭证，不支付其旅游、娱乐等费用。</w:t>
      </w:r>
    </w:p>
    <w:p w14:paraId="21D71AE2">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九、我公司承诺单位负责人为同一人或者存在直接控股、管理关系的不同供应商，不参加同一合同项下的政府采购活动。没有为本项目提供整体设计、规范编制或者项目管理、监理、检测等服务。</w:t>
      </w:r>
    </w:p>
    <w:p w14:paraId="6F00F6D2">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十、我公司已详细阅读并完全理解、同意《招标文件》的全部内容，包括修改补充文件、更正公告以及全部参考资料和有关附件；除我公司在《招标文件》规定期间内提出的质疑外，我公司放弃对这方面不明及误解的权力，并严格按采购人确定的技术及商务要求等履行。</w:t>
      </w:r>
    </w:p>
    <w:p w14:paraId="364AF38F">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十一、我公司开标前已详细了解采购标的，并按采购人现有条件及要求编制投标报价；我公司的投标报价包括《招标文件》所述报价组成的所有内容、并包括《招标文件》未列明而完成本项目所必须的所有设备、材料、工具、费用等达到交付使用及验收条件的所有一切风险、责任和义务的费用。我公司确认投标报价保证按《招标文件》要求及投标承诺的质量诚信履约。</w:t>
      </w:r>
    </w:p>
    <w:p w14:paraId="7EADB293">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十二、我公司保证在《招标文件》要求的时间内按期、保质完成本项目。如我公司中标，将在中标结果公告后，积极、主动的与采购人联系合同签订事宜，合同签订中如有任何的问题，我公司保证及时书面反映情况，否则视为我公司责任、按违约处理。</w:t>
      </w:r>
    </w:p>
    <w:p w14:paraId="64472C37">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十三、除法律规定的不可抗力因素外，我公司中标后以任何理由（包括违背上述承诺的事项）提出不能满足《招标文件》技术、效验期等要求或不能实现投标承诺的或提出变更的，我公司将无条件接受违约处理、并放弃我公司中标资格。我公司知悉违约责任及其处理，并无条件接受：情节严重的，由财政部门列入不良行为记录名单，在一至三年内禁止参加政府采购活动，并予以通报，处以罚金，给采购人及他人造成损失的，承担相应的赔偿责任。</w:t>
      </w:r>
    </w:p>
    <w:p w14:paraId="0F775E2B">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我公司保证上述承诺事项的真实性，如有弄虚作假或其他违法违规行为，愿意承担一切法律责任，并承担因此造成的一切损失。</w:t>
      </w:r>
    </w:p>
    <w:p w14:paraId="25750429">
      <w:pPr>
        <w:tabs>
          <w:tab w:val="left" w:pos="9365"/>
        </w:tabs>
        <w:spacing w:line="400" w:lineRule="exact"/>
        <w:ind w:right="85"/>
        <w:jc w:val="left"/>
        <w:textAlignment w:val="top"/>
        <w:rPr>
          <w:rFonts w:ascii="宋体" w:hAnsi="宋体" w:cs="宋体"/>
          <w:b/>
          <w:bCs/>
          <w:color w:val="auto"/>
          <w:sz w:val="24"/>
          <w:szCs w:val="24"/>
        </w:rPr>
      </w:pPr>
      <w:r>
        <w:rPr>
          <w:rFonts w:hint="eastAsia" w:ascii="宋体" w:hAnsi="宋体" w:cs="宋体"/>
          <w:b/>
          <w:bCs/>
          <w:color w:val="auto"/>
          <w:sz w:val="24"/>
          <w:szCs w:val="24"/>
        </w:rPr>
        <w:t xml:space="preserve">                 </w:t>
      </w:r>
    </w:p>
    <w:p w14:paraId="2F572D68">
      <w:pPr>
        <w:tabs>
          <w:tab w:val="left" w:pos="9365"/>
        </w:tabs>
        <w:spacing w:line="400" w:lineRule="exact"/>
        <w:ind w:right="85"/>
        <w:jc w:val="left"/>
        <w:textAlignment w:val="top"/>
        <w:rPr>
          <w:rFonts w:ascii="仿宋_GB2312" w:eastAsia="仿宋_GB2312"/>
          <w:b/>
          <w:bCs/>
          <w:color w:val="auto"/>
          <w:sz w:val="28"/>
          <w:szCs w:val="28"/>
        </w:rPr>
      </w:pPr>
    </w:p>
    <w:p w14:paraId="118BEE79">
      <w:pPr>
        <w:tabs>
          <w:tab w:val="left" w:pos="9365"/>
        </w:tabs>
        <w:spacing w:line="400" w:lineRule="exact"/>
        <w:ind w:right="85"/>
        <w:jc w:val="left"/>
        <w:textAlignment w:val="top"/>
        <w:rPr>
          <w:rFonts w:ascii="仿宋_GB2312" w:eastAsia="仿宋_GB2312"/>
          <w:b/>
          <w:bCs/>
          <w:color w:val="auto"/>
          <w:sz w:val="28"/>
          <w:szCs w:val="28"/>
        </w:rPr>
      </w:pPr>
    </w:p>
    <w:p w14:paraId="7342E06C">
      <w:pPr>
        <w:tabs>
          <w:tab w:val="left" w:pos="9365"/>
        </w:tabs>
        <w:spacing w:line="400" w:lineRule="exact"/>
        <w:ind w:right="85"/>
        <w:jc w:val="left"/>
        <w:textAlignment w:val="top"/>
        <w:rPr>
          <w:rFonts w:ascii="仿宋_GB2312" w:eastAsia="仿宋_GB2312"/>
          <w:b/>
          <w:bCs/>
          <w:color w:val="auto"/>
          <w:sz w:val="28"/>
          <w:szCs w:val="28"/>
        </w:rPr>
      </w:pPr>
    </w:p>
    <w:p w14:paraId="766AB6B1">
      <w:pPr>
        <w:tabs>
          <w:tab w:val="left" w:pos="9365"/>
        </w:tabs>
        <w:spacing w:line="400" w:lineRule="exact"/>
        <w:ind w:right="85"/>
        <w:jc w:val="left"/>
        <w:textAlignment w:val="top"/>
        <w:rPr>
          <w:rFonts w:ascii="仿宋_GB2312" w:eastAsia="仿宋_GB2312"/>
          <w:b/>
          <w:bCs/>
          <w:color w:val="auto"/>
          <w:sz w:val="28"/>
          <w:szCs w:val="28"/>
        </w:rPr>
      </w:pPr>
    </w:p>
    <w:p w14:paraId="31BBEEC1">
      <w:pPr>
        <w:tabs>
          <w:tab w:val="left" w:pos="9365"/>
        </w:tabs>
        <w:spacing w:line="400" w:lineRule="exact"/>
        <w:ind w:right="85"/>
        <w:jc w:val="left"/>
        <w:textAlignment w:val="top"/>
        <w:rPr>
          <w:rFonts w:ascii="仿宋_GB2312" w:eastAsia="仿宋_GB2312"/>
          <w:b/>
          <w:bCs/>
          <w:color w:val="auto"/>
          <w:sz w:val="28"/>
          <w:szCs w:val="28"/>
        </w:rPr>
      </w:pPr>
    </w:p>
    <w:p w14:paraId="43A75B98">
      <w:pPr>
        <w:tabs>
          <w:tab w:val="left" w:pos="9365"/>
        </w:tabs>
        <w:spacing w:line="400" w:lineRule="exact"/>
        <w:ind w:right="85"/>
        <w:jc w:val="left"/>
        <w:textAlignment w:val="top"/>
        <w:rPr>
          <w:rFonts w:ascii="仿宋_GB2312" w:eastAsia="仿宋_GB2312"/>
          <w:b/>
          <w:bCs/>
          <w:color w:val="auto"/>
          <w:sz w:val="28"/>
          <w:szCs w:val="28"/>
        </w:rPr>
      </w:pPr>
    </w:p>
    <w:p w14:paraId="0A076926">
      <w:pPr>
        <w:tabs>
          <w:tab w:val="left" w:pos="9365"/>
        </w:tabs>
        <w:spacing w:line="400" w:lineRule="exact"/>
        <w:ind w:right="85"/>
        <w:jc w:val="left"/>
        <w:textAlignment w:val="top"/>
        <w:rPr>
          <w:rFonts w:ascii="仿宋_GB2312" w:eastAsia="仿宋_GB2312"/>
          <w:b/>
          <w:bCs/>
          <w:color w:val="auto"/>
          <w:sz w:val="28"/>
          <w:szCs w:val="28"/>
        </w:rPr>
      </w:pPr>
    </w:p>
    <w:p w14:paraId="70BA0928">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法定代表人（经营者）（电子签名）：</w:t>
      </w:r>
    </w:p>
    <w:p w14:paraId="7919D0F0">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供应商（电子签章）：</w:t>
      </w:r>
    </w:p>
    <w:p w14:paraId="7684A6E2">
      <w:pPr>
        <w:tabs>
          <w:tab w:val="left" w:pos="9365"/>
        </w:tabs>
        <w:spacing w:line="400" w:lineRule="exac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日期：</w:t>
      </w:r>
    </w:p>
    <w:p w14:paraId="54EBD264">
      <w:pPr>
        <w:rPr>
          <w:color w:val="auto"/>
        </w:rPr>
      </w:pPr>
    </w:p>
    <w:p w14:paraId="0874E664">
      <w:pPr>
        <w:tabs>
          <w:tab w:val="left" w:pos="540"/>
        </w:tabs>
        <w:spacing w:line="440" w:lineRule="exact"/>
        <w:rPr>
          <w:rFonts w:ascii="宋体" w:hAnsi="宋体" w:cs="宋体"/>
          <w:color w:val="auto"/>
        </w:rPr>
      </w:pPr>
    </w:p>
    <w:p w14:paraId="4F4DEA69">
      <w:pPr>
        <w:rPr>
          <w:rStyle w:val="28"/>
          <w:color w:val="auto"/>
        </w:rPr>
      </w:pPr>
      <w:r>
        <w:rPr>
          <w:rStyle w:val="28"/>
          <w:rFonts w:hint="eastAsia"/>
          <w:color w:val="auto"/>
        </w:rPr>
        <w:br w:type="page"/>
      </w:r>
    </w:p>
    <w:p w14:paraId="3366659F">
      <w:pPr>
        <w:spacing w:before="100" w:beforeAutospacing="1" w:after="100" w:afterAutospacing="1" w:line="500" w:lineRule="exact"/>
        <w:jc w:val="center"/>
        <w:rPr>
          <w:b/>
          <w:bCs/>
          <w:color w:val="auto"/>
          <w:kern w:val="44"/>
          <w:sz w:val="36"/>
          <w:szCs w:val="44"/>
        </w:rPr>
      </w:pPr>
      <w:r>
        <w:rPr>
          <w:rFonts w:hint="eastAsia"/>
          <w:b/>
          <w:bCs/>
          <w:color w:val="auto"/>
          <w:kern w:val="44"/>
          <w:sz w:val="36"/>
          <w:szCs w:val="44"/>
        </w:rPr>
        <w:t>近三年无重大违法记录的声明函</w:t>
      </w:r>
    </w:p>
    <w:p w14:paraId="3FA143F7">
      <w:pPr>
        <w:autoSpaceDE w:val="0"/>
        <w:autoSpaceDN w:val="0"/>
        <w:adjustRightInd w:val="0"/>
        <w:snapToGrid w:val="0"/>
        <w:spacing w:line="360" w:lineRule="auto"/>
        <w:ind w:firstLine="480" w:firstLineChars="200"/>
        <w:rPr>
          <w:rFonts w:ascii="宋体" w:hAnsi="宋体" w:cs="宋体"/>
          <w:color w:val="auto"/>
          <w:sz w:val="24"/>
          <w:szCs w:val="24"/>
        </w:rPr>
      </w:pPr>
    </w:p>
    <w:p w14:paraId="57532985">
      <w:pPr>
        <w:autoSpaceDE w:val="0"/>
        <w:autoSpaceDN w:val="0"/>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河南圣坤工程咨询有限公司：</w:t>
      </w:r>
    </w:p>
    <w:p w14:paraId="6B29C74F">
      <w:pPr>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我单位在参加政府采购活动前三年内，在经营活动中没有重大违法记录。</w:t>
      </w:r>
    </w:p>
    <w:p w14:paraId="548D1A18">
      <w:pPr>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特此承诺。</w:t>
      </w:r>
    </w:p>
    <w:p w14:paraId="3084A373">
      <w:pPr>
        <w:autoSpaceDE w:val="0"/>
        <w:autoSpaceDN w:val="0"/>
        <w:adjustRightInd w:val="0"/>
        <w:snapToGrid w:val="0"/>
        <w:spacing w:line="360" w:lineRule="auto"/>
        <w:ind w:firstLine="480" w:firstLineChars="200"/>
        <w:rPr>
          <w:rFonts w:ascii="宋体" w:hAnsi="宋体" w:cs="宋体"/>
          <w:color w:val="auto"/>
          <w:sz w:val="24"/>
          <w:szCs w:val="24"/>
        </w:rPr>
      </w:pPr>
    </w:p>
    <w:p w14:paraId="1FEB27AB">
      <w:pPr>
        <w:autoSpaceDE w:val="0"/>
        <w:autoSpaceDN w:val="0"/>
        <w:adjustRightInd w:val="0"/>
        <w:snapToGrid w:val="0"/>
        <w:spacing w:line="360" w:lineRule="auto"/>
        <w:ind w:firstLine="480" w:firstLineChars="200"/>
        <w:rPr>
          <w:rFonts w:ascii="宋体" w:hAnsi="宋体" w:cs="宋体"/>
          <w:color w:val="auto"/>
          <w:sz w:val="24"/>
          <w:szCs w:val="24"/>
        </w:rPr>
      </w:pPr>
    </w:p>
    <w:p w14:paraId="25AE5A49">
      <w:pPr>
        <w:autoSpaceDE w:val="0"/>
        <w:autoSpaceDN w:val="0"/>
        <w:adjustRightInd w:val="0"/>
        <w:snapToGrid w:val="0"/>
        <w:spacing w:line="360" w:lineRule="auto"/>
        <w:ind w:firstLine="480" w:firstLineChars="200"/>
        <w:rPr>
          <w:rFonts w:ascii="宋体" w:hAnsi="宋体" w:cs="宋体"/>
          <w:color w:val="auto"/>
          <w:sz w:val="24"/>
          <w:szCs w:val="24"/>
        </w:rPr>
      </w:pPr>
    </w:p>
    <w:p w14:paraId="0B4BA925">
      <w:pPr>
        <w:autoSpaceDE w:val="0"/>
        <w:autoSpaceDN w:val="0"/>
        <w:adjustRightInd w:val="0"/>
        <w:snapToGrid w:val="0"/>
        <w:spacing w:line="360" w:lineRule="auto"/>
        <w:ind w:firstLine="480" w:firstLineChars="200"/>
        <w:rPr>
          <w:rFonts w:ascii="宋体" w:hAnsi="宋体" w:cs="宋体"/>
          <w:color w:val="auto"/>
          <w:sz w:val="24"/>
          <w:szCs w:val="24"/>
        </w:rPr>
      </w:pPr>
    </w:p>
    <w:p w14:paraId="403AB2B2">
      <w:pPr>
        <w:autoSpaceDE w:val="0"/>
        <w:autoSpaceDN w:val="0"/>
        <w:adjustRightInd w:val="0"/>
        <w:snapToGrid w:val="0"/>
        <w:spacing w:line="360" w:lineRule="auto"/>
        <w:ind w:firstLine="480" w:firstLineChars="200"/>
        <w:rPr>
          <w:rFonts w:ascii="宋体" w:hAnsi="宋体" w:cs="宋体"/>
          <w:color w:val="auto"/>
          <w:sz w:val="24"/>
          <w:szCs w:val="24"/>
        </w:rPr>
      </w:pPr>
    </w:p>
    <w:p w14:paraId="1E029458">
      <w:pPr>
        <w:autoSpaceDE w:val="0"/>
        <w:autoSpaceDN w:val="0"/>
        <w:adjustRightInd w:val="0"/>
        <w:snapToGrid w:val="0"/>
        <w:spacing w:line="360" w:lineRule="auto"/>
        <w:ind w:firstLine="480" w:firstLineChars="200"/>
        <w:rPr>
          <w:rFonts w:ascii="宋体" w:hAnsi="宋体" w:cs="宋体"/>
          <w:color w:val="auto"/>
          <w:sz w:val="24"/>
          <w:szCs w:val="24"/>
        </w:rPr>
      </w:pPr>
    </w:p>
    <w:p w14:paraId="1C927D42">
      <w:pPr>
        <w:autoSpaceDE w:val="0"/>
        <w:autoSpaceDN w:val="0"/>
        <w:adjustRightInd w:val="0"/>
        <w:snapToGrid w:val="0"/>
        <w:spacing w:line="360" w:lineRule="auto"/>
        <w:ind w:firstLine="480" w:firstLineChars="200"/>
        <w:rPr>
          <w:rFonts w:ascii="宋体" w:hAnsi="宋体" w:cs="宋体"/>
          <w:color w:val="auto"/>
          <w:sz w:val="24"/>
          <w:szCs w:val="24"/>
        </w:rPr>
      </w:pPr>
    </w:p>
    <w:p w14:paraId="00C2681C">
      <w:pPr>
        <w:autoSpaceDE w:val="0"/>
        <w:autoSpaceDN w:val="0"/>
        <w:adjustRightInd w:val="0"/>
        <w:snapToGrid w:val="0"/>
        <w:spacing w:line="360" w:lineRule="auto"/>
        <w:ind w:firstLine="480" w:firstLineChars="200"/>
        <w:rPr>
          <w:rFonts w:ascii="宋体" w:hAnsi="宋体" w:cs="宋体"/>
          <w:color w:val="auto"/>
          <w:sz w:val="24"/>
          <w:szCs w:val="24"/>
        </w:rPr>
      </w:pPr>
    </w:p>
    <w:p w14:paraId="65C156BE">
      <w:pPr>
        <w:autoSpaceDE w:val="0"/>
        <w:autoSpaceDN w:val="0"/>
        <w:adjustRightInd w:val="0"/>
        <w:snapToGrid w:val="0"/>
        <w:spacing w:line="360" w:lineRule="auto"/>
        <w:ind w:firstLine="480" w:firstLineChars="200"/>
        <w:rPr>
          <w:rFonts w:ascii="宋体" w:hAnsi="宋体" w:cs="宋体"/>
          <w:color w:val="auto"/>
          <w:sz w:val="24"/>
          <w:szCs w:val="24"/>
        </w:rPr>
      </w:pPr>
    </w:p>
    <w:p w14:paraId="7967C351">
      <w:pPr>
        <w:autoSpaceDE w:val="0"/>
        <w:autoSpaceDN w:val="0"/>
        <w:adjustRightInd w:val="0"/>
        <w:snapToGrid w:val="0"/>
        <w:spacing w:line="360" w:lineRule="auto"/>
        <w:ind w:firstLine="480" w:firstLineChars="200"/>
        <w:rPr>
          <w:rFonts w:ascii="宋体" w:hAnsi="宋体" w:cs="宋体"/>
          <w:color w:val="auto"/>
          <w:sz w:val="24"/>
          <w:szCs w:val="24"/>
        </w:rPr>
      </w:pPr>
    </w:p>
    <w:p w14:paraId="426CE2C0">
      <w:pPr>
        <w:autoSpaceDE w:val="0"/>
        <w:autoSpaceDN w:val="0"/>
        <w:adjustRightInd w:val="0"/>
        <w:snapToGrid w:val="0"/>
        <w:spacing w:line="360" w:lineRule="auto"/>
        <w:ind w:firstLine="480" w:firstLineChars="200"/>
        <w:rPr>
          <w:rFonts w:ascii="宋体" w:hAnsi="宋体" w:cs="宋体"/>
          <w:color w:val="auto"/>
          <w:sz w:val="24"/>
          <w:szCs w:val="24"/>
        </w:rPr>
      </w:pPr>
    </w:p>
    <w:p w14:paraId="2408422B">
      <w:pPr>
        <w:autoSpaceDE w:val="0"/>
        <w:autoSpaceDN w:val="0"/>
        <w:adjustRightInd w:val="0"/>
        <w:snapToGrid w:val="0"/>
        <w:spacing w:line="360" w:lineRule="auto"/>
        <w:ind w:firstLine="480" w:firstLineChars="200"/>
        <w:rPr>
          <w:rFonts w:ascii="宋体" w:hAnsi="宋体" w:cs="宋体"/>
          <w:color w:val="auto"/>
          <w:sz w:val="24"/>
          <w:szCs w:val="24"/>
        </w:rPr>
      </w:pPr>
    </w:p>
    <w:p w14:paraId="195690B3">
      <w:pPr>
        <w:autoSpaceDE w:val="0"/>
        <w:autoSpaceDN w:val="0"/>
        <w:adjustRightInd w:val="0"/>
        <w:snapToGrid w:val="0"/>
        <w:spacing w:line="360" w:lineRule="auto"/>
        <w:ind w:firstLine="480" w:firstLineChars="200"/>
        <w:rPr>
          <w:rFonts w:ascii="宋体" w:hAnsi="宋体" w:cs="宋体"/>
          <w:color w:val="auto"/>
          <w:sz w:val="24"/>
          <w:szCs w:val="24"/>
        </w:rPr>
      </w:pPr>
    </w:p>
    <w:p w14:paraId="501869B7">
      <w:pPr>
        <w:autoSpaceDE w:val="0"/>
        <w:autoSpaceDN w:val="0"/>
        <w:adjustRightInd w:val="0"/>
        <w:snapToGrid w:val="0"/>
        <w:spacing w:line="360" w:lineRule="auto"/>
        <w:ind w:firstLine="480" w:firstLineChars="200"/>
        <w:rPr>
          <w:rFonts w:ascii="宋体" w:hAnsi="宋体" w:cs="宋体"/>
          <w:color w:val="auto"/>
          <w:sz w:val="24"/>
          <w:szCs w:val="24"/>
        </w:rPr>
      </w:pPr>
    </w:p>
    <w:p w14:paraId="63ED7850">
      <w:pPr>
        <w:autoSpaceDE w:val="0"/>
        <w:autoSpaceDN w:val="0"/>
        <w:adjustRightInd w:val="0"/>
        <w:snapToGrid w:val="0"/>
        <w:spacing w:line="360" w:lineRule="auto"/>
        <w:ind w:firstLine="480" w:firstLineChars="200"/>
        <w:rPr>
          <w:rFonts w:ascii="宋体" w:hAnsi="宋体" w:cs="宋体"/>
          <w:color w:val="auto"/>
          <w:sz w:val="24"/>
          <w:szCs w:val="24"/>
        </w:rPr>
      </w:pPr>
    </w:p>
    <w:p w14:paraId="158C88B5">
      <w:pPr>
        <w:autoSpaceDE w:val="0"/>
        <w:autoSpaceDN w:val="0"/>
        <w:adjustRightInd w:val="0"/>
        <w:snapToGrid w:val="0"/>
        <w:spacing w:line="360" w:lineRule="auto"/>
        <w:ind w:firstLine="480" w:firstLineChars="200"/>
        <w:rPr>
          <w:rFonts w:ascii="宋体" w:hAnsi="宋体" w:cs="宋体"/>
          <w:color w:val="auto"/>
          <w:sz w:val="24"/>
          <w:szCs w:val="24"/>
        </w:rPr>
      </w:pPr>
    </w:p>
    <w:p w14:paraId="206AEAA7">
      <w:pPr>
        <w:autoSpaceDE w:val="0"/>
        <w:autoSpaceDN w:val="0"/>
        <w:adjustRightInd w:val="0"/>
        <w:snapToGrid w:val="0"/>
        <w:spacing w:line="360" w:lineRule="auto"/>
        <w:ind w:firstLine="480" w:firstLineChars="200"/>
        <w:rPr>
          <w:rFonts w:ascii="宋体" w:hAnsi="宋体" w:cs="宋体"/>
          <w:color w:val="auto"/>
          <w:sz w:val="24"/>
          <w:szCs w:val="24"/>
        </w:rPr>
      </w:pPr>
    </w:p>
    <w:p w14:paraId="13462DE5">
      <w:pPr>
        <w:autoSpaceDE w:val="0"/>
        <w:autoSpaceDN w:val="0"/>
        <w:adjustRightInd w:val="0"/>
        <w:snapToGrid w:val="0"/>
        <w:spacing w:line="360" w:lineRule="auto"/>
        <w:ind w:firstLine="480" w:firstLineChars="200"/>
        <w:rPr>
          <w:rFonts w:ascii="宋体" w:hAnsi="宋体" w:cs="宋体"/>
          <w:color w:val="auto"/>
          <w:sz w:val="24"/>
          <w:szCs w:val="24"/>
        </w:rPr>
      </w:pPr>
    </w:p>
    <w:p w14:paraId="79E9FB58">
      <w:pPr>
        <w:tabs>
          <w:tab w:val="left" w:pos="540"/>
        </w:tabs>
        <w:spacing w:line="360" w:lineRule="auto"/>
        <w:rPr>
          <w:rFonts w:ascii="宋体" w:hAnsi="宋体" w:cs="宋体"/>
          <w:color w:val="auto"/>
          <w:sz w:val="24"/>
          <w:szCs w:val="24"/>
        </w:rPr>
      </w:pPr>
      <w:r>
        <w:rPr>
          <w:rFonts w:hint="eastAsia" w:ascii="宋体" w:hAnsi="宋体" w:cs="宋体"/>
          <w:color w:val="auto"/>
          <w:sz w:val="24"/>
          <w:szCs w:val="24"/>
        </w:rPr>
        <w:t>供应商（电子签章）：</w:t>
      </w:r>
    </w:p>
    <w:p w14:paraId="4AA3C9AB">
      <w:pPr>
        <w:snapToGrid w:val="0"/>
        <w:spacing w:line="360" w:lineRule="auto"/>
        <w:rPr>
          <w:rFonts w:ascii="宋体" w:hAnsi="宋体" w:cs="宋体"/>
          <w:color w:val="auto"/>
          <w:sz w:val="24"/>
          <w:szCs w:val="24"/>
        </w:rPr>
      </w:pPr>
      <w:r>
        <w:rPr>
          <w:rFonts w:hint="eastAsia" w:ascii="宋体" w:hAnsi="宋体" w:cs="宋体"/>
          <w:color w:val="auto"/>
          <w:sz w:val="24"/>
          <w:szCs w:val="24"/>
        </w:rPr>
        <w:t>法定代表人（电子签名）：</w:t>
      </w:r>
    </w:p>
    <w:p w14:paraId="04388396">
      <w:pPr>
        <w:widowControl w:val="0"/>
        <w:tabs>
          <w:tab w:val="left" w:pos="9365"/>
        </w:tabs>
        <w:snapToGrid w:val="0"/>
        <w:spacing w:line="360" w:lineRule="auto"/>
        <w:jc w:val="left"/>
        <w:textAlignment w:val="top"/>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lang w:val="zh-CN"/>
        </w:rPr>
        <w:t xml:space="preserve">  年   月   日</w:t>
      </w:r>
    </w:p>
    <w:p w14:paraId="3E5509E5">
      <w:pPr>
        <w:autoSpaceDE w:val="0"/>
        <w:autoSpaceDN w:val="0"/>
        <w:adjustRightInd w:val="0"/>
        <w:snapToGrid w:val="0"/>
        <w:spacing w:line="360" w:lineRule="auto"/>
        <w:ind w:firstLine="480" w:firstLineChars="200"/>
        <w:rPr>
          <w:rFonts w:ascii="宋体" w:hAnsi="宋体" w:cs="宋体"/>
          <w:color w:val="auto"/>
          <w:sz w:val="24"/>
          <w:szCs w:val="24"/>
        </w:rPr>
      </w:pPr>
    </w:p>
    <w:p w14:paraId="083B29A2">
      <w:pPr>
        <w:rPr>
          <w:rFonts w:ascii="宋体" w:hAnsi="宋体" w:cs="宋体"/>
          <w:b/>
          <w:color w:val="auto"/>
          <w:sz w:val="30"/>
          <w:szCs w:val="30"/>
        </w:rPr>
      </w:pPr>
      <w:r>
        <w:rPr>
          <w:rFonts w:hint="eastAsia" w:ascii="宋体" w:hAnsi="宋体" w:cs="宋体"/>
          <w:b/>
          <w:color w:val="auto"/>
          <w:sz w:val="30"/>
          <w:szCs w:val="30"/>
        </w:rPr>
        <w:br w:type="page"/>
      </w:r>
    </w:p>
    <w:p w14:paraId="6BE8C55E">
      <w:pPr>
        <w:spacing w:before="100" w:beforeAutospacing="1" w:after="100" w:afterAutospacing="1" w:line="500" w:lineRule="exact"/>
        <w:jc w:val="center"/>
        <w:rPr>
          <w:b/>
          <w:bCs/>
          <w:color w:val="auto"/>
          <w:kern w:val="44"/>
          <w:sz w:val="36"/>
          <w:szCs w:val="44"/>
        </w:rPr>
      </w:pPr>
      <w:r>
        <w:rPr>
          <w:rFonts w:hint="eastAsia"/>
          <w:b/>
          <w:bCs/>
          <w:color w:val="auto"/>
          <w:kern w:val="44"/>
          <w:sz w:val="36"/>
          <w:szCs w:val="44"/>
        </w:rPr>
        <w:t>供应商负责人控股、设计等相关承诺书</w:t>
      </w:r>
    </w:p>
    <w:p w14:paraId="77ECA97D">
      <w:pPr>
        <w:tabs>
          <w:tab w:val="left" w:pos="9365"/>
        </w:tabs>
        <w:spacing w:before="360" w:after="360" w:line="586" w:lineRule="atLeast"/>
        <w:ind w:right="85"/>
        <w:jc w:val="left"/>
        <w:textAlignment w:val="top"/>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pacing w:val="11"/>
          <w:sz w:val="24"/>
          <w:szCs w:val="24"/>
          <w:u w:val="single"/>
        </w:rPr>
        <w:t xml:space="preserve">(采购人名称）    </w:t>
      </w:r>
    </w:p>
    <w:p w14:paraId="25A05287">
      <w:pPr>
        <w:tabs>
          <w:tab w:val="left" w:pos="65"/>
        </w:tabs>
        <w:spacing w:line="740" w:lineRule="exact"/>
        <w:ind w:firstLine="480" w:firstLineChars="200"/>
        <w:rPr>
          <w:rFonts w:ascii="宋体" w:hAnsi="宋体" w:cs="宋体"/>
          <w:color w:val="auto"/>
          <w:sz w:val="24"/>
          <w:szCs w:val="24"/>
        </w:rPr>
      </w:pPr>
      <w:r>
        <w:rPr>
          <w:rFonts w:hint="eastAsia" w:ascii="宋体" w:hAnsi="宋体" w:cs="宋体"/>
          <w:color w:val="auto"/>
          <w:sz w:val="24"/>
          <w:szCs w:val="24"/>
        </w:rPr>
        <w:t>在项目编号为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的</w:t>
      </w:r>
      <w:r>
        <w:rPr>
          <w:rFonts w:hint="eastAsia" w:ascii="宋体" w:hAnsi="宋体" w:cs="宋体"/>
          <w:color w:val="auto"/>
          <w:sz w:val="24"/>
          <w:szCs w:val="24"/>
          <w:u w:val="single"/>
        </w:rPr>
        <w:t xml:space="preserve">    （项目名称）  </w:t>
      </w:r>
      <w:r>
        <w:rPr>
          <w:rFonts w:hint="eastAsia" w:ascii="宋体" w:hAnsi="宋体" w:cs="宋体"/>
          <w:color w:val="auto"/>
          <w:sz w:val="24"/>
          <w:szCs w:val="24"/>
        </w:rPr>
        <w:t xml:space="preserve"> 招标活动中，我单位承诺满足以下要求：</w:t>
      </w:r>
    </w:p>
    <w:p w14:paraId="55B736A2">
      <w:pPr>
        <w:tabs>
          <w:tab w:val="left" w:pos="65"/>
        </w:tabs>
        <w:spacing w:line="740" w:lineRule="exact"/>
        <w:ind w:firstLine="480" w:firstLineChars="20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一、单位负责人为同一人或者存在直接控股、管理关系的不同供应商，不参加同一合同项下的政府采购活动。</w:t>
      </w:r>
    </w:p>
    <w:p w14:paraId="38567106">
      <w:pPr>
        <w:tabs>
          <w:tab w:val="left" w:pos="65"/>
        </w:tabs>
        <w:spacing w:line="740" w:lineRule="exact"/>
        <w:ind w:firstLine="480" w:firstLineChars="200"/>
        <w:rPr>
          <w:rFonts w:ascii="宋体" w:hAnsi="宋体" w:cs="宋体"/>
          <w:color w:val="auto"/>
          <w:sz w:val="24"/>
          <w:szCs w:val="24"/>
        </w:rPr>
      </w:pPr>
      <w:r>
        <w:rPr>
          <w:rFonts w:hint="eastAsia" w:ascii="宋体" w:hAnsi="宋体" w:cs="宋体"/>
          <w:color w:val="auto"/>
          <w:sz w:val="24"/>
          <w:szCs w:val="24"/>
        </w:rPr>
        <w:t>二、没有为本项目提供整体设计、规范编制或者项目管理、监理、检测等服务。</w:t>
      </w:r>
    </w:p>
    <w:p w14:paraId="3D525E7F">
      <w:pPr>
        <w:tabs>
          <w:tab w:val="left" w:pos="9365"/>
        </w:tabs>
        <w:spacing w:before="57" w:after="57" w:line="586" w:lineRule="atLeast"/>
        <w:ind w:right="85" w:firstLine="480" w:firstLineChars="200"/>
        <w:jc w:val="left"/>
        <w:textAlignment w:val="top"/>
        <w:rPr>
          <w:rFonts w:ascii="宋体" w:hAnsi="宋体" w:cs="宋体"/>
          <w:color w:val="auto"/>
          <w:sz w:val="24"/>
          <w:szCs w:val="24"/>
        </w:rPr>
      </w:pPr>
      <w:r>
        <w:rPr>
          <w:rFonts w:hint="eastAsia" w:ascii="宋体" w:hAnsi="宋体" w:cs="宋体"/>
          <w:color w:val="auto"/>
          <w:sz w:val="24"/>
          <w:szCs w:val="24"/>
        </w:rPr>
        <w:t>三、若出现上述行为，我单位确认投标无效、承诺书虚假，接受相关部门按照国家法律法规等有关规定对我单位虚假承诺所给予的处理。</w:t>
      </w:r>
    </w:p>
    <w:p w14:paraId="15AB2ACE">
      <w:pPr>
        <w:tabs>
          <w:tab w:val="left" w:pos="9365"/>
        </w:tabs>
        <w:spacing w:before="57" w:after="57" w:line="586" w:lineRule="atLeast"/>
        <w:ind w:right="85"/>
        <w:jc w:val="left"/>
        <w:textAlignment w:val="top"/>
        <w:rPr>
          <w:rFonts w:ascii="宋体" w:hAnsi="宋体" w:cs="宋体"/>
          <w:color w:val="auto"/>
          <w:sz w:val="24"/>
          <w:szCs w:val="24"/>
        </w:rPr>
      </w:pPr>
      <w:r>
        <w:rPr>
          <w:rFonts w:hint="eastAsia" w:ascii="宋体" w:hAnsi="宋体" w:cs="宋体"/>
          <w:color w:val="auto"/>
          <w:sz w:val="24"/>
          <w:szCs w:val="24"/>
        </w:rPr>
        <w:t> </w:t>
      </w:r>
    </w:p>
    <w:p w14:paraId="71B6DF60">
      <w:pPr>
        <w:tabs>
          <w:tab w:val="left" w:pos="540"/>
        </w:tabs>
        <w:spacing w:line="360" w:lineRule="auto"/>
        <w:rPr>
          <w:rFonts w:ascii="宋体" w:hAnsi="宋体" w:cs="宋体"/>
          <w:color w:val="auto"/>
          <w:sz w:val="24"/>
          <w:szCs w:val="24"/>
        </w:rPr>
      </w:pPr>
    </w:p>
    <w:p w14:paraId="4F2E5153">
      <w:pPr>
        <w:tabs>
          <w:tab w:val="left" w:pos="540"/>
        </w:tabs>
        <w:spacing w:line="360" w:lineRule="auto"/>
        <w:rPr>
          <w:rFonts w:ascii="宋体" w:hAnsi="宋体" w:cs="宋体"/>
          <w:color w:val="auto"/>
          <w:sz w:val="24"/>
          <w:szCs w:val="24"/>
        </w:rPr>
      </w:pPr>
    </w:p>
    <w:p w14:paraId="6382AB03">
      <w:pPr>
        <w:tabs>
          <w:tab w:val="left" w:pos="540"/>
        </w:tabs>
        <w:spacing w:line="360" w:lineRule="auto"/>
        <w:rPr>
          <w:rFonts w:ascii="宋体" w:hAnsi="宋体" w:cs="宋体"/>
          <w:color w:val="auto"/>
          <w:sz w:val="24"/>
          <w:szCs w:val="24"/>
        </w:rPr>
      </w:pPr>
    </w:p>
    <w:p w14:paraId="298A1ADA">
      <w:pPr>
        <w:pStyle w:val="31"/>
        <w:rPr>
          <w:rFonts w:ascii="宋体" w:hAnsi="宋体" w:cs="宋体"/>
          <w:sz w:val="24"/>
          <w:szCs w:val="24"/>
        </w:rPr>
      </w:pPr>
    </w:p>
    <w:p w14:paraId="3677341F">
      <w:pPr>
        <w:pStyle w:val="31"/>
        <w:rPr>
          <w:rFonts w:ascii="宋体" w:hAnsi="宋体" w:cs="宋体"/>
          <w:sz w:val="24"/>
          <w:szCs w:val="24"/>
        </w:rPr>
      </w:pPr>
    </w:p>
    <w:p w14:paraId="2B02E035">
      <w:pPr>
        <w:tabs>
          <w:tab w:val="left" w:pos="540"/>
        </w:tabs>
        <w:spacing w:line="360" w:lineRule="auto"/>
        <w:rPr>
          <w:rFonts w:ascii="宋体" w:hAnsi="宋体" w:cs="宋体"/>
          <w:color w:val="auto"/>
          <w:sz w:val="24"/>
          <w:szCs w:val="24"/>
        </w:rPr>
      </w:pPr>
    </w:p>
    <w:p w14:paraId="7B4842C7">
      <w:pPr>
        <w:tabs>
          <w:tab w:val="left" w:pos="540"/>
        </w:tabs>
        <w:spacing w:line="360" w:lineRule="auto"/>
        <w:rPr>
          <w:rFonts w:ascii="宋体" w:hAnsi="宋体" w:cs="宋体"/>
          <w:color w:val="auto"/>
          <w:sz w:val="24"/>
          <w:szCs w:val="24"/>
        </w:rPr>
      </w:pPr>
      <w:r>
        <w:rPr>
          <w:rFonts w:hint="eastAsia" w:ascii="宋体" w:hAnsi="宋体" w:cs="宋体"/>
          <w:color w:val="auto"/>
          <w:sz w:val="24"/>
          <w:szCs w:val="24"/>
        </w:rPr>
        <w:t>供应商（电子签章）：</w:t>
      </w:r>
    </w:p>
    <w:p w14:paraId="6DA90EA3">
      <w:pPr>
        <w:snapToGrid w:val="0"/>
        <w:spacing w:line="360" w:lineRule="auto"/>
        <w:rPr>
          <w:rFonts w:ascii="宋体" w:hAnsi="宋体" w:cs="宋体"/>
          <w:color w:val="auto"/>
          <w:sz w:val="24"/>
          <w:szCs w:val="24"/>
        </w:rPr>
      </w:pPr>
      <w:r>
        <w:rPr>
          <w:rFonts w:hint="eastAsia" w:ascii="宋体" w:hAnsi="宋体" w:cs="宋体"/>
          <w:color w:val="auto"/>
          <w:sz w:val="24"/>
          <w:szCs w:val="24"/>
        </w:rPr>
        <w:t>法定代表人（电子签名）：</w:t>
      </w:r>
    </w:p>
    <w:p w14:paraId="12042EB3">
      <w:pPr>
        <w:widowControl w:val="0"/>
        <w:tabs>
          <w:tab w:val="left" w:pos="9365"/>
        </w:tabs>
        <w:snapToGrid w:val="0"/>
        <w:spacing w:line="360" w:lineRule="auto"/>
        <w:jc w:val="left"/>
        <w:textAlignment w:val="top"/>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lang w:val="zh-CN"/>
        </w:rPr>
        <w:t xml:space="preserve">  年   月   日</w:t>
      </w:r>
    </w:p>
    <w:p w14:paraId="7B41B682">
      <w:pPr>
        <w:tabs>
          <w:tab w:val="left" w:pos="540"/>
        </w:tabs>
        <w:spacing w:line="440" w:lineRule="exact"/>
        <w:jc w:val="left"/>
        <w:rPr>
          <w:rFonts w:ascii="宋体" w:hAnsi="宋体" w:cs="宋体"/>
          <w:b/>
          <w:color w:val="auto"/>
          <w:sz w:val="32"/>
          <w:szCs w:val="32"/>
        </w:rPr>
      </w:pPr>
      <w:r>
        <w:rPr>
          <w:rFonts w:hint="eastAsia" w:ascii="宋体" w:hAnsi="宋体" w:cs="宋体"/>
          <w:b/>
          <w:color w:val="auto"/>
          <w:sz w:val="32"/>
          <w:szCs w:val="32"/>
        </w:rPr>
        <w:br w:type="page"/>
      </w:r>
    </w:p>
    <w:p w14:paraId="191B77C0">
      <w:pPr>
        <w:spacing w:before="100" w:beforeAutospacing="1" w:after="100" w:afterAutospacing="1" w:line="500" w:lineRule="exact"/>
        <w:jc w:val="center"/>
        <w:rPr>
          <w:b/>
          <w:bCs/>
          <w:color w:val="auto"/>
          <w:kern w:val="44"/>
          <w:sz w:val="36"/>
          <w:szCs w:val="44"/>
        </w:rPr>
      </w:pPr>
      <w:r>
        <w:rPr>
          <w:rFonts w:hint="eastAsia"/>
          <w:b/>
          <w:bCs/>
          <w:color w:val="auto"/>
          <w:kern w:val="44"/>
          <w:sz w:val="36"/>
          <w:szCs w:val="44"/>
        </w:rPr>
        <w:t>投标承诺函</w:t>
      </w:r>
    </w:p>
    <w:p w14:paraId="3A0543DA">
      <w:pPr>
        <w:widowControl w:val="0"/>
        <w:autoSpaceDE w:val="0"/>
        <w:autoSpaceDN w:val="0"/>
        <w:adjustRightInd w:val="0"/>
        <w:spacing w:line="240" w:lineRule="auto"/>
        <w:jc w:val="center"/>
        <w:textAlignment w:val="auto"/>
        <w:rPr>
          <w:rFonts w:ascii="宋体" w:hAnsi="宋体" w:cs="宋体"/>
          <w:b/>
          <w:color w:val="auto"/>
          <w:sz w:val="30"/>
          <w:szCs w:val="30"/>
        </w:rPr>
      </w:pPr>
      <w:r>
        <w:rPr>
          <w:rFonts w:hint="eastAsia" w:ascii="宋体" w:hAnsi="宋体" w:cs="宋体"/>
          <w:b/>
          <w:color w:val="auto"/>
          <w:sz w:val="30"/>
          <w:szCs w:val="30"/>
        </w:rPr>
        <w:t>（以投标承诺函形式，替代投标保证金的相关承诺事项）</w:t>
      </w:r>
    </w:p>
    <w:p w14:paraId="22589F51">
      <w:pPr>
        <w:widowControl w:val="0"/>
        <w:tabs>
          <w:tab w:val="left" w:pos="9365"/>
        </w:tabs>
        <w:spacing w:before="360" w:after="360" w:line="360" w:lineRule="auto"/>
        <w:ind w:right="85"/>
        <w:jc w:val="left"/>
        <w:textAlignment w:val="top"/>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pacing w:val="11"/>
          <w:sz w:val="24"/>
          <w:szCs w:val="24"/>
          <w:u w:val="single"/>
        </w:rPr>
        <w:t>(采购人名称）</w:t>
      </w:r>
    </w:p>
    <w:p w14:paraId="6712FFC6">
      <w:pPr>
        <w:widowControl w:val="0"/>
        <w:tabs>
          <w:tab w:val="left" w:pos="65"/>
        </w:tabs>
        <w:spacing w:line="460" w:lineRule="atLeas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在项目编号为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的</w:t>
      </w:r>
      <w:r>
        <w:rPr>
          <w:rFonts w:hint="eastAsia" w:ascii="宋体" w:hAnsi="宋体" w:cs="宋体"/>
          <w:color w:val="auto"/>
          <w:sz w:val="24"/>
          <w:szCs w:val="24"/>
          <w:u w:val="single"/>
        </w:rPr>
        <w:t xml:space="preserve">    （项目名称）  </w:t>
      </w:r>
      <w:r>
        <w:rPr>
          <w:rFonts w:hint="eastAsia" w:ascii="宋体" w:hAnsi="宋体" w:cs="宋体"/>
          <w:color w:val="auto"/>
          <w:sz w:val="24"/>
          <w:szCs w:val="24"/>
        </w:rPr>
        <w:t xml:space="preserve"> 采购活动中，我</w:t>
      </w:r>
      <w:r>
        <w:rPr>
          <w:rFonts w:hint="eastAsia" w:ascii="宋体" w:hAnsi="宋体" w:cs="宋体"/>
          <w:color w:val="auto"/>
          <w:sz w:val="24"/>
        </w:rPr>
        <w:t>单位</w:t>
      </w:r>
      <w:r>
        <w:rPr>
          <w:rFonts w:hint="eastAsia" w:ascii="宋体" w:hAnsi="宋体" w:cs="宋体"/>
          <w:color w:val="auto"/>
          <w:sz w:val="24"/>
          <w:szCs w:val="24"/>
        </w:rPr>
        <w:t>承诺：</w:t>
      </w:r>
    </w:p>
    <w:p w14:paraId="59200CC0">
      <w:pPr>
        <w:widowControl w:val="0"/>
        <w:tabs>
          <w:tab w:val="left" w:pos="65"/>
        </w:tabs>
        <w:spacing w:line="460" w:lineRule="atLeast"/>
        <w:ind w:firstLine="480" w:firstLineChars="200"/>
        <w:textAlignment w:val="auto"/>
        <w:rPr>
          <w:rFonts w:ascii="宋体" w:hAnsi="宋体" w:cs="宋体"/>
          <w:color w:val="auto"/>
          <w:sz w:val="24"/>
          <w:szCs w:val="24"/>
        </w:rPr>
      </w:pPr>
      <w:r>
        <w:rPr>
          <w:rFonts w:hint="eastAsia" w:ascii="宋体" w:hAnsi="宋体" w:cs="宋体"/>
          <w:color w:val="auto"/>
          <w:sz w:val="24"/>
          <w:szCs w:val="24"/>
        </w:rPr>
        <w:t>一、遵循公开、公平、公正和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s="宋体"/>
          <w:color w:val="auto"/>
          <w:sz w:val="24"/>
          <w:szCs w:val="24"/>
        </w:rPr>
        <w:t>诚实信用</w:t>
      </w:r>
      <w:r>
        <w:rPr>
          <w:rFonts w:hint="eastAsia" w:ascii="宋体" w:hAnsi="宋体" w:cs="宋体"/>
          <w:color w:val="auto"/>
          <w:sz w:val="24"/>
          <w:szCs w:val="24"/>
        </w:rPr>
        <w:fldChar w:fldCharType="end"/>
      </w:r>
      <w:r>
        <w:rPr>
          <w:rFonts w:hint="eastAsia" w:ascii="宋体" w:hAnsi="宋体" w:cs="宋体"/>
          <w:color w:val="auto"/>
          <w:sz w:val="24"/>
          <w:szCs w:val="24"/>
        </w:rPr>
        <w:t>的原则自愿参加本项目投标；</w:t>
      </w:r>
      <w:r>
        <w:rPr>
          <w:rFonts w:hint="eastAsia" w:ascii="宋体" w:hAnsi="宋体" w:cs="宋体"/>
          <w:color w:val="auto"/>
          <w:sz w:val="24"/>
          <w:szCs w:val="24"/>
        </w:rPr>
        <w:br w:type="textWrapping"/>
      </w:r>
      <w:r>
        <w:rPr>
          <w:rFonts w:hint="eastAsia" w:ascii="宋体" w:hAnsi="宋体" w:cs="宋体"/>
          <w:color w:val="auto"/>
          <w:sz w:val="24"/>
          <w:szCs w:val="24"/>
        </w:rPr>
        <w:t xml:space="preserve">    二、在政府采购活动中提供真实、准确、有效、合法的材料，不</w:t>
      </w:r>
      <w:r>
        <w:rPr>
          <w:rFonts w:hint="eastAsia" w:ascii="宋体" w:hAnsi="宋体" w:cs="宋体"/>
          <w:color w:val="auto"/>
          <w:sz w:val="24"/>
          <w:lang w:val="zh-CN"/>
        </w:rPr>
        <w:t>提供虚假材料；</w:t>
      </w:r>
    </w:p>
    <w:p w14:paraId="27029654">
      <w:pPr>
        <w:topLinePunct/>
        <w:adjustRightInd w:val="0"/>
        <w:snapToGrid w:val="0"/>
        <w:spacing w:before="120" w:beforeLines="50" w:line="300" w:lineRule="auto"/>
        <w:ind w:firstLine="480" w:firstLineChars="200"/>
        <w:rPr>
          <w:rFonts w:ascii="宋体" w:hAnsi="宋体" w:cs="宋体"/>
          <w:color w:val="auto"/>
          <w:sz w:val="24"/>
          <w:lang w:val="zh-CN"/>
        </w:rPr>
      </w:pPr>
      <w:r>
        <w:rPr>
          <w:rFonts w:hint="eastAsia" w:ascii="宋体" w:hAnsi="宋体" w:cs="宋体"/>
          <w:color w:val="auto"/>
          <w:sz w:val="24"/>
          <w:szCs w:val="24"/>
        </w:rPr>
        <w:t>三、</w:t>
      </w:r>
      <w:r>
        <w:rPr>
          <w:rFonts w:hint="eastAsia" w:ascii="宋体" w:hAnsi="宋体" w:cs="宋体"/>
          <w:color w:val="auto"/>
          <w:sz w:val="24"/>
          <w:lang w:val="zh-CN"/>
        </w:rPr>
        <w:t>按照招标文件规定，在提交投标文件截止时间后，在招标文件规定的投标有效期限内不撤回投标文件；</w:t>
      </w:r>
    </w:p>
    <w:p w14:paraId="75F77808">
      <w:pPr>
        <w:topLinePunct/>
        <w:adjustRightInd w:val="0"/>
        <w:snapToGrid w:val="0"/>
        <w:spacing w:before="120" w:beforeLines="50" w:line="300" w:lineRule="auto"/>
        <w:ind w:firstLine="480" w:firstLineChars="200"/>
        <w:rPr>
          <w:rFonts w:ascii="宋体" w:hAnsi="宋体" w:cs="宋体"/>
          <w:color w:val="auto"/>
          <w:sz w:val="24"/>
          <w:lang w:val="zh-CN"/>
        </w:rPr>
      </w:pPr>
      <w:r>
        <w:rPr>
          <w:rFonts w:hint="eastAsia" w:ascii="宋体" w:hAnsi="宋体" w:cs="宋体"/>
          <w:color w:val="auto"/>
          <w:sz w:val="24"/>
        </w:rPr>
        <w:t>四、不</w:t>
      </w:r>
      <w:r>
        <w:rPr>
          <w:rFonts w:hint="eastAsia" w:ascii="宋体" w:hAnsi="宋体" w:cs="宋体"/>
          <w:color w:val="auto"/>
          <w:sz w:val="24"/>
          <w:lang w:val="zh-CN"/>
        </w:rPr>
        <w:t>与其他供应商、采购人或采购代理机构串通或恶意串通。</w:t>
      </w:r>
    </w:p>
    <w:p w14:paraId="06EFD517">
      <w:pPr>
        <w:widowControl w:val="0"/>
        <w:tabs>
          <w:tab w:val="left" w:pos="65"/>
        </w:tabs>
        <w:spacing w:line="460" w:lineRule="atLeast"/>
        <w:ind w:firstLine="480" w:firstLineChars="200"/>
        <w:textAlignment w:val="auto"/>
        <w:rPr>
          <w:rFonts w:ascii="宋体" w:hAnsi="宋体" w:cs="宋体"/>
          <w:color w:val="auto"/>
          <w:sz w:val="24"/>
        </w:rPr>
      </w:pPr>
      <w:r>
        <w:rPr>
          <w:rFonts w:hint="eastAsia" w:ascii="宋体" w:hAnsi="宋体" w:cs="宋体"/>
          <w:color w:val="auto"/>
          <w:sz w:val="24"/>
        </w:rPr>
        <w:t>五、如我单位中标，</w:t>
      </w:r>
      <w:r>
        <w:rPr>
          <w:rFonts w:hint="eastAsia" w:ascii="宋体" w:hAnsi="宋体" w:cs="宋体"/>
          <w:color w:val="auto"/>
          <w:sz w:val="24"/>
          <w:lang w:val="zh-CN"/>
        </w:rPr>
        <w:t>除不可抗拒力或</w:t>
      </w:r>
      <w:r>
        <w:rPr>
          <w:rFonts w:hint="eastAsia" w:ascii="宋体" w:hAnsi="宋体" w:cs="宋体"/>
          <w:color w:val="auto"/>
          <w:sz w:val="24"/>
        </w:rPr>
        <w:t>招标</w:t>
      </w:r>
      <w:r>
        <w:rPr>
          <w:rFonts w:hint="eastAsia" w:ascii="宋体" w:hAnsi="宋体" w:cs="宋体"/>
          <w:color w:val="auto"/>
          <w:sz w:val="24"/>
          <w:lang w:val="zh-CN"/>
        </w:rPr>
        <w:t>文件认可的情形外</w:t>
      </w:r>
      <w:r>
        <w:rPr>
          <w:rFonts w:hint="eastAsia" w:ascii="宋体" w:hAnsi="宋体" w:cs="宋体"/>
          <w:color w:val="auto"/>
          <w:sz w:val="24"/>
        </w:rPr>
        <w:t>，我单位</w:t>
      </w:r>
      <w:r>
        <w:rPr>
          <w:rFonts w:hint="eastAsia" w:ascii="宋体" w:hAnsi="宋体" w:cs="宋体"/>
          <w:color w:val="auto"/>
          <w:sz w:val="24"/>
          <w:szCs w:val="24"/>
        </w:rPr>
        <w:t>承诺</w:t>
      </w:r>
      <w:r>
        <w:rPr>
          <w:rFonts w:hint="eastAsia" w:ascii="宋体" w:hAnsi="宋体" w:cs="宋体"/>
          <w:color w:val="auto"/>
          <w:sz w:val="24"/>
        </w:rPr>
        <w:t>及时领取中标通知书，</w:t>
      </w:r>
      <w:r>
        <w:rPr>
          <w:rFonts w:hint="eastAsia" w:ascii="宋体" w:hAnsi="宋体" w:cs="宋体"/>
          <w:color w:val="auto"/>
          <w:sz w:val="24"/>
          <w:lang w:val="zh-CN"/>
        </w:rPr>
        <w:t>在成交通知书规定时间、地点与采购人签订合同；</w:t>
      </w:r>
      <w:r>
        <w:rPr>
          <w:rFonts w:hint="eastAsia" w:ascii="宋体" w:hAnsi="宋体" w:cs="宋体"/>
          <w:color w:val="auto"/>
          <w:sz w:val="24"/>
        </w:rPr>
        <w:t xml:space="preserve"> </w:t>
      </w:r>
    </w:p>
    <w:p w14:paraId="6C96AD63">
      <w:pPr>
        <w:widowControl w:val="0"/>
        <w:tabs>
          <w:tab w:val="left" w:pos="65"/>
        </w:tabs>
        <w:spacing w:line="460" w:lineRule="atLeast"/>
        <w:ind w:firstLine="480" w:firstLineChars="200"/>
        <w:textAlignment w:val="auto"/>
        <w:rPr>
          <w:rFonts w:ascii="宋体" w:hAnsi="宋体" w:cs="宋体"/>
          <w:color w:val="auto"/>
          <w:sz w:val="24"/>
        </w:rPr>
      </w:pPr>
      <w:r>
        <w:rPr>
          <w:rFonts w:hint="eastAsia" w:ascii="宋体" w:hAnsi="宋体" w:cs="宋体"/>
          <w:color w:val="auto"/>
          <w:sz w:val="24"/>
        </w:rPr>
        <w:t>六、</w:t>
      </w:r>
      <w:r>
        <w:rPr>
          <w:rFonts w:hint="eastAsia" w:ascii="宋体" w:hAnsi="宋体" w:cs="宋体"/>
          <w:color w:val="auto"/>
          <w:sz w:val="24"/>
          <w:lang w:val="zh-CN"/>
        </w:rPr>
        <w:t>遵守法律法规及招标文件规定的其他情况；</w:t>
      </w:r>
    </w:p>
    <w:p w14:paraId="183B96E8">
      <w:pPr>
        <w:widowControl w:val="0"/>
        <w:tabs>
          <w:tab w:val="left" w:pos="65"/>
        </w:tabs>
        <w:spacing w:line="460" w:lineRule="atLeast"/>
        <w:ind w:firstLine="480" w:firstLineChars="200"/>
        <w:textAlignment w:val="auto"/>
        <w:rPr>
          <w:rFonts w:ascii="宋体" w:hAnsi="宋体" w:cs="宋体"/>
          <w:color w:val="auto"/>
          <w:sz w:val="24"/>
        </w:rPr>
      </w:pPr>
      <w:r>
        <w:rPr>
          <w:rFonts w:hint="eastAsia" w:ascii="宋体" w:hAnsi="宋体" w:cs="宋体"/>
          <w:color w:val="auto"/>
          <w:sz w:val="24"/>
        </w:rPr>
        <w:t>七、按招标文件规定</w:t>
      </w:r>
      <w:r>
        <w:rPr>
          <w:rFonts w:hint="eastAsia" w:ascii="宋体" w:hAnsi="宋体" w:cs="宋体"/>
          <w:color w:val="auto"/>
          <w:sz w:val="24"/>
          <w:szCs w:val="24"/>
        </w:rPr>
        <w:t>及时</w:t>
      </w:r>
      <w:r>
        <w:rPr>
          <w:rFonts w:hint="eastAsia" w:ascii="宋体" w:hAnsi="宋体" w:cs="宋体"/>
          <w:color w:val="auto"/>
          <w:sz w:val="24"/>
        </w:rPr>
        <w:t>缴纳中标服务费。</w:t>
      </w:r>
    </w:p>
    <w:p w14:paraId="414C1AF4">
      <w:pPr>
        <w:widowControl w:val="0"/>
        <w:tabs>
          <w:tab w:val="left" w:pos="65"/>
        </w:tabs>
        <w:spacing w:line="460" w:lineRule="atLeast"/>
        <w:ind w:firstLine="480" w:firstLineChars="200"/>
        <w:textAlignment w:val="auto"/>
        <w:rPr>
          <w:rFonts w:ascii="宋体" w:hAnsi="宋体" w:cs="宋体"/>
          <w:color w:val="auto"/>
          <w:sz w:val="24"/>
        </w:rPr>
      </w:pPr>
      <w:r>
        <w:rPr>
          <w:rFonts w:hint="eastAsia" w:ascii="宋体" w:hAnsi="宋体" w:cs="宋体"/>
          <w:color w:val="auto"/>
          <w:sz w:val="24"/>
        </w:rPr>
        <w:t>八、违背上述承诺事项的，我单位无条件接受以下责任追究：</w:t>
      </w:r>
    </w:p>
    <w:p w14:paraId="3BDD53B3">
      <w:pPr>
        <w:widowControl w:val="0"/>
        <w:tabs>
          <w:tab w:val="left" w:pos="65"/>
        </w:tabs>
        <w:spacing w:line="460" w:lineRule="atLeast"/>
        <w:ind w:firstLine="480" w:firstLineChars="200"/>
        <w:textAlignment w:val="auto"/>
        <w:rPr>
          <w:rFonts w:ascii="宋体" w:hAnsi="宋体" w:cs="宋体"/>
          <w:color w:val="auto"/>
          <w:sz w:val="24"/>
          <w:lang w:val="zh-CN"/>
        </w:rPr>
      </w:pPr>
      <w:r>
        <w:rPr>
          <w:rFonts w:hint="eastAsia" w:ascii="宋体" w:hAnsi="宋体" w:cs="宋体"/>
          <w:color w:val="auto"/>
          <w:sz w:val="24"/>
          <w:lang w:val="zh-CN"/>
        </w:rPr>
        <w:t>（一）法定责任：</w:t>
      </w:r>
      <w:r>
        <w:rPr>
          <w:rFonts w:hint="eastAsia" w:ascii="宋体" w:hAnsi="宋体" w:cs="宋体"/>
          <w:color w:val="auto"/>
          <w:sz w:val="24"/>
        </w:rPr>
        <w:t>按照政府采购相关法规，</w:t>
      </w:r>
      <w:r>
        <w:rPr>
          <w:rFonts w:hint="eastAsia" w:ascii="宋体" w:hAnsi="宋体" w:cs="宋体"/>
          <w:color w:val="auto"/>
          <w:sz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20DCCB96">
      <w:pPr>
        <w:widowControl w:val="0"/>
        <w:tabs>
          <w:tab w:val="left" w:pos="65"/>
        </w:tabs>
        <w:spacing w:line="460" w:lineRule="atLeast"/>
        <w:ind w:firstLine="480" w:firstLineChars="200"/>
        <w:textAlignment w:val="auto"/>
        <w:rPr>
          <w:rFonts w:ascii="宋体" w:hAnsi="宋体" w:cs="宋体"/>
          <w:color w:val="auto"/>
          <w:sz w:val="24"/>
          <w:lang w:val="zh-CN"/>
        </w:rPr>
      </w:pPr>
      <w:r>
        <w:rPr>
          <w:rFonts w:hint="eastAsia" w:ascii="宋体" w:hAnsi="宋体" w:cs="宋体"/>
          <w:color w:val="auto"/>
          <w:sz w:val="24"/>
        </w:rPr>
        <w:t>给采购人及他人造成损失的，愿承担相应的赔偿责任。</w:t>
      </w:r>
    </w:p>
    <w:p w14:paraId="682C35D4">
      <w:pPr>
        <w:widowControl w:val="0"/>
        <w:tabs>
          <w:tab w:val="left" w:pos="65"/>
        </w:tabs>
        <w:spacing w:line="460" w:lineRule="atLeast"/>
        <w:ind w:firstLine="480" w:firstLineChars="200"/>
        <w:textAlignment w:val="auto"/>
        <w:rPr>
          <w:rFonts w:ascii="宋体" w:hAnsi="宋体" w:cs="宋体"/>
          <w:color w:val="auto"/>
          <w:sz w:val="24"/>
        </w:rPr>
      </w:pPr>
      <w:r>
        <w:rPr>
          <w:rFonts w:hint="eastAsia" w:ascii="宋体" w:hAnsi="宋体" w:cs="宋体"/>
          <w:color w:val="auto"/>
          <w:sz w:val="24"/>
          <w:lang w:val="zh-CN"/>
        </w:rPr>
        <w:t>（二）违约责任：</w:t>
      </w:r>
    </w:p>
    <w:p w14:paraId="10B2EC67">
      <w:pPr>
        <w:widowControl w:val="0"/>
        <w:tabs>
          <w:tab w:val="left" w:pos="65"/>
        </w:tabs>
        <w:spacing w:line="460" w:lineRule="atLeast"/>
        <w:ind w:firstLine="480" w:firstLineChars="200"/>
        <w:textAlignment w:val="auto"/>
        <w:rPr>
          <w:rFonts w:ascii="宋体" w:hAnsi="宋体" w:cs="宋体"/>
          <w:color w:val="auto"/>
          <w:sz w:val="24"/>
        </w:rPr>
      </w:pPr>
      <w:r>
        <w:rPr>
          <w:rFonts w:hint="eastAsia" w:ascii="宋体" w:hAnsi="宋体" w:cs="宋体"/>
          <w:color w:val="auto"/>
          <w:sz w:val="24"/>
        </w:rPr>
        <w:t>1、已中标的，中标（</w:t>
      </w:r>
      <w:r>
        <w:rPr>
          <w:rFonts w:hint="eastAsia" w:ascii="宋体" w:hAnsi="宋体" w:cs="宋体"/>
          <w:color w:val="auto"/>
          <w:szCs w:val="21"/>
        </w:rPr>
        <w:t>成交</w:t>
      </w:r>
      <w:r>
        <w:rPr>
          <w:rFonts w:hint="eastAsia" w:ascii="宋体" w:hAnsi="宋体" w:cs="宋体"/>
          <w:color w:val="auto"/>
          <w:sz w:val="24"/>
        </w:rPr>
        <w:t>）无效；</w:t>
      </w:r>
    </w:p>
    <w:p w14:paraId="0A7F440A">
      <w:pPr>
        <w:widowControl w:val="0"/>
        <w:tabs>
          <w:tab w:val="left" w:pos="65"/>
        </w:tabs>
        <w:spacing w:line="460" w:lineRule="atLeast"/>
        <w:ind w:firstLine="480" w:firstLineChars="200"/>
        <w:textAlignment w:val="auto"/>
        <w:rPr>
          <w:rFonts w:ascii="宋体" w:hAnsi="宋体" w:cs="宋体"/>
          <w:color w:val="auto"/>
          <w:sz w:val="24"/>
        </w:rPr>
      </w:pPr>
      <w:r>
        <w:rPr>
          <w:rFonts w:hint="eastAsia" w:ascii="宋体" w:hAnsi="宋体" w:cs="宋体"/>
          <w:color w:val="auto"/>
          <w:sz w:val="24"/>
        </w:rPr>
        <w:t>2、支付采购人违约标的预算金额2%的</w:t>
      </w:r>
      <w:r>
        <w:rPr>
          <w:rFonts w:hint="eastAsia" w:ascii="宋体" w:hAnsi="宋体" w:cs="宋体"/>
          <w:color w:val="auto"/>
          <w:sz w:val="24"/>
          <w:lang w:val="zh-CN"/>
        </w:rPr>
        <w:t>违约金</w:t>
      </w:r>
      <w:r>
        <w:rPr>
          <w:rFonts w:hint="eastAsia" w:ascii="宋体" w:hAnsi="宋体" w:cs="宋体"/>
          <w:color w:val="auto"/>
          <w:sz w:val="24"/>
        </w:rPr>
        <w:t>；</w:t>
      </w:r>
    </w:p>
    <w:p w14:paraId="12CAE8F3">
      <w:pPr>
        <w:widowControl w:val="0"/>
        <w:tabs>
          <w:tab w:val="left" w:pos="65"/>
        </w:tabs>
        <w:spacing w:line="460" w:lineRule="atLeast"/>
        <w:ind w:firstLine="480" w:firstLineChars="200"/>
        <w:textAlignment w:val="auto"/>
        <w:rPr>
          <w:rFonts w:ascii="宋体" w:hAnsi="宋体" w:cs="宋体"/>
          <w:color w:val="auto"/>
          <w:sz w:val="24"/>
          <w:lang w:val="zh-CN"/>
        </w:rPr>
      </w:pPr>
      <w:r>
        <w:rPr>
          <w:rFonts w:hint="eastAsia" w:ascii="宋体" w:hAnsi="宋体" w:cs="宋体"/>
          <w:color w:val="auto"/>
          <w:sz w:val="24"/>
        </w:rPr>
        <w:t>3、中标后</w:t>
      </w:r>
      <w:r>
        <w:rPr>
          <w:rFonts w:hint="eastAsia" w:ascii="宋体" w:hAnsi="宋体" w:cs="宋体"/>
          <w:color w:val="auto"/>
          <w:sz w:val="24"/>
          <w:szCs w:val="24"/>
        </w:rPr>
        <w:t>未缴</w:t>
      </w:r>
      <w:r>
        <w:rPr>
          <w:rFonts w:hint="eastAsia" w:ascii="宋体" w:hAnsi="宋体" w:cs="宋体"/>
          <w:color w:val="auto"/>
          <w:sz w:val="24"/>
        </w:rPr>
        <w:t>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s="宋体"/>
          <w:color w:val="auto"/>
          <w:sz w:val="24"/>
          <w:szCs w:val="24"/>
        </w:rPr>
        <w:t>诚实信用</w:t>
      </w:r>
      <w:r>
        <w:rPr>
          <w:rFonts w:hint="eastAsia" w:ascii="宋体" w:hAnsi="宋体" w:cs="宋体"/>
          <w:color w:val="auto"/>
          <w:sz w:val="24"/>
          <w:szCs w:val="24"/>
        </w:rPr>
        <w:fldChar w:fldCharType="end"/>
      </w:r>
      <w:r>
        <w:rPr>
          <w:rFonts w:hint="eastAsia" w:ascii="宋体" w:hAnsi="宋体" w:cs="宋体"/>
          <w:color w:val="auto"/>
          <w:sz w:val="24"/>
          <w:szCs w:val="24"/>
        </w:rPr>
        <w:t>原则，在履行承诺前，代理机构将视我单位为失信企业、不予办理其后相关业务。</w:t>
      </w:r>
    </w:p>
    <w:p w14:paraId="639E0337">
      <w:pPr>
        <w:widowControl w:val="0"/>
        <w:autoSpaceDE w:val="0"/>
        <w:autoSpaceDN w:val="0"/>
        <w:adjustRightInd w:val="0"/>
        <w:spacing w:line="460" w:lineRule="atLeast"/>
        <w:ind w:left="-2" w:right="-817" w:hanging="149"/>
        <w:textAlignment w:val="auto"/>
        <w:rPr>
          <w:rFonts w:ascii="宋体" w:hAnsi="宋体" w:cs="宋体"/>
          <w:color w:val="auto"/>
          <w:sz w:val="24"/>
          <w:lang w:val="zh-CN"/>
        </w:rPr>
      </w:pPr>
    </w:p>
    <w:p w14:paraId="24F4C96B">
      <w:pPr>
        <w:tabs>
          <w:tab w:val="left" w:pos="540"/>
        </w:tabs>
        <w:spacing w:line="360" w:lineRule="auto"/>
        <w:rPr>
          <w:rFonts w:ascii="宋体" w:hAnsi="宋体" w:cs="宋体"/>
          <w:color w:val="auto"/>
          <w:sz w:val="24"/>
          <w:szCs w:val="24"/>
        </w:rPr>
      </w:pPr>
      <w:r>
        <w:rPr>
          <w:rFonts w:hint="eastAsia" w:ascii="宋体" w:hAnsi="宋体" w:cs="宋体"/>
          <w:color w:val="auto"/>
          <w:sz w:val="24"/>
          <w:szCs w:val="24"/>
        </w:rPr>
        <w:t>供应商（电子签章）：</w:t>
      </w:r>
    </w:p>
    <w:p w14:paraId="63B6D21D">
      <w:pPr>
        <w:snapToGrid w:val="0"/>
        <w:spacing w:line="360" w:lineRule="auto"/>
        <w:rPr>
          <w:rFonts w:ascii="宋体" w:hAnsi="宋体" w:cs="宋体"/>
          <w:color w:val="auto"/>
          <w:sz w:val="24"/>
          <w:szCs w:val="24"/>
        </w:rPr>
      </w:pPr>
      <w:r>
        <w:rPr>
          <w:rFonts w:hint="eastAsia" w:ascii="宋体" w:hAnsi="宋体" w:cs="宋体"/>
          <w:color w:val="auto"/>
          <w:sz w:val="24"/>
          <w:szCs w:val="24"/>
        </w:rPr>
        <w:t>法定代表人（电子签名）：</w:t>
      </w:r>
    </w:p>
    <w:p w14:paraId="5F67E215">
      <w:pPr>
        <w:widowControl w:val="0"/>
        <w:tabs>
          <w:tab w:val="left" w:pos="9365"/>
        </w:tabs>
        <w:snapToGrid w:val="0"/>
        <w:spacing w:line="360" w:lineRule="auto"/>
        <w:jc w:val="left"/>
        <w:textAlignment w:val="top"/>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lang w:val="zh-CN"/>
        </w:rPr>
        <w:t xml:space="preserve">  年   月   日</w:t>
      </w:r>
    </w:p>
    <w:p w14:paraId="749568C2">
      <w:pPr>
        <w:rPr>
          <w:rStyle w:val="28"/>
          <w:color w:val="auto"/>
        </w:rPr>
      </w:pPr>
      <w:r>
        <w:rPr>
          <w:rStyle w:val="28"/>
          <w:rFonts w:hint="eastAsia"/>
          <w:color w:val="auto"/>
        </w:rPr>
        <w:br w:type="page"/>
      </w:r>
    </w:p>
    <w:p w14:paraId="1C2F1263">
      <w:pPr>
        <w:spacing w:before="100" w:beforeAutospacing="1" w:after="100" w:afterAutospacing="1" w:line="500" w:lineRule="exact"/>
        <w:jc w:val="center"/>
        <w:rPr>
          <w:b/>
          <w:bCs/>
          <w:color w:val="auto"/>
          <w:kern w:val="44"/>
          <w:sz w:val="36"/>
          <w:szCs w:val="44"/>
        </w:rPr>
      </w:pPr>
      <w:r>
        <w:rPr>
          <w:rFonts w:hint="eastAsia"/>
          <w:b/>
          <w:bCs/>
          <w:color w:val="auto"/>
          <w:kern w:val="44"/>
          <w:sz w:val="36"/>
          <w:szCs w:val="44"/>
        </w:rPr>
        <w:t>中小企业声明函（如符合条件时填写*）</w:t>
      </w:r>
    </w:p>
    <w:p w14:paraId="02613187">
      <w:pPr>
        <w:pStyle w:val="70"/>
        <w:shd w:val="clear" w:color="auto" w:fill="auto"/>
        <w:spacing w:after="0" w:line="518" w:lineRule="exact"/>
        <w:ind w:firstLine="680"/>
        <w:jc w:val="both"/>
        <w:rPr>
          <w:rFonts w:ascii="宋体" w:hAnsi="宋体" w:eastAsia="宋体"/>
          <w:spacing w:val="0"/>
          <w:sz w:val="24"/>
          <w:szCs w:val="24"/>
        </w:rPr>
      </w:pPr>
      <w:r>
        <w:rPr>
          <w:rFonts w:ascii="宋体" w:hAnsi="宋体" w:eastAsia="宋体"/>
          <w:spacing w:val="0"/>
          <w:sz w:val="24"/>
          <w:szCs w:val="24"/>
        </w:rPr>
        <w:t>本公司（联合体）郑重声明，根据《政府采购促进中小企业发展管理办法》（财库〔2020〕46号）的规定，本公司(联合体</w:t>
      </w:r>
      <w:r>
        <w:rPr>
          <w:rFonts w:ascii="宋体" w:hAnsi="宋体" w:eastAsia="宋体"/>
          <w:i/>
          <w:spacing w:val="0"/>
          <w:sz w:val="24"/>
          <w:szCs w:val="24"/>
        </w:rPr>
        <w:t>）</w:t>
      </w:r>
      <w:r>
        <w:rPr>
          <w:rStyle w:val="71"/>
          <w:rFonts w:ascii="宋体" w:hAnsi="宋体" w:eastAsia="宋体"/>
          <w:i w:val="0"/>
          <w:color w:val="auto"/>
          <w:sz w:val="24"/>
          <w:szCs w:val="24"/>
        </w:rPr>
        <w:t>参加</w:t>
      </w:r>
      <w:r>
        <w:rPr>
          <w:rStyle w:val="71"/>
          <w:rFonts w:ascii="宋体" w:hAnsi="宋体" w:eastAsia="宋体"/>
          <w:i w:val="0"/>
          <w:color w:val="auto"/>
          <w:sz w:val="24"/>
          <w:szCs w:val="24"/>
          <w:u w:val="single"/>
        </w:rPr>
        <w:t>（单位名称）</w:t>
      </w:r>
      <w:r>
        <w:rPr>
          <w:rStyle w:val="71"/>
          <w:rFonts w:ascii="宋体" w:hAnsi="宋体" w:eastAsia="宋体"/>
          <w:i w:val="0"/>
          <w:color w:val="auto"/>
          <w:sz w:val="24"/>
          <w:szCs w:val="24"/>
        </w:rPr>
        <w:t>的</w:t>
      </w:r>
      <w:r>
        <w:rPr>
          <w:rStyle w:val="71"/>
          <w:rFonts w:ascii="宋体" w:hAnsi="宋体" w:eastAsia="宋体"/>
          <w:i w:val="0"/>
          <w:color w:val="auto"/>
          <w:sz w:val="24"/>
          <w:szCs w:val="24"/>
          <w:u w:val="single"/>
        </w:rPr>
        <w:t>（项目名称）</w:t>
      </w:r>
      <w:r>
        <w:rPr>
          <w:rStyle w:val="71"/>
          <w:rFonts w:ascii="宋体" w:hAnsi="宋体" w:eastAsia="宋体"/>
          <w:i w:val="0"/>
          <w:color w:val="auto"/>
          <w:sz w:val="24"/>
          <w:szCs w:val="24"/>
        </w:rPr>
        <w:t>采购活动</w:t>
      </w:r>
      <w:r>
        <w:rPr>
          <w:rStyle w:val="71"/>
          <w:rFonts w:ascii="宋体" w:hAnsi="宋体" w:eastAsia="宋体"/>
          <w:color w:val="auto"/>
          <w:sz w:val="24"/>
          <w:szCs w:val="24"/>
        </w:rPr>
        <w:t>，</w:t>
      </w:r>
      <w:r>
        <w:rPr>
          <w:rFonts w:hint="eastAsia" w:ascii="宋体" w:hAnsi="宋体" w:eastAsia="宋体"/>
          <w:spacing w:val="0"/>
          <w:sz w:val="24"/>
          <w:szCs w:val="24"/>
        </w:rPr>
        <w:t>服务</w:t>
      </w:r>
      <w:r>
        <w:rPr>
          <w:rFonts w:ascii="宋体" w:hAnsi="宋体" w:eastAsia="宋体"/>
          <w:spacing w:val="0"/>
          <w:sz w:val="24"/>
          <w:szCs w:val="24"/>
        </w:rPr>
        <w:t>全部</w:t>
      </w:r>
      <w:r>
        <w:rPr>
          <w:rFonts w:hint="eastAsia" w:ascii="宋体" w:hAnsi="宋体" w:eastAsia="宋体"/>
          <w:spacing w:val="0"/>
          <w:sz w:val="24"/>
          <w:szCs w:val="24"/>
        </w:rPr>
        <w:t>由</w:t>
      </w:r>
      <w:r>
        <w:rPr>
          <w:rFonts w:ascii="宋体" w:hAnsi="宋体" w:eastAsia="宋体"/>
          <w:spacing w:val="0"/>
          <w:sz w:val="24"/>
          <w:szCs w:val="24"/>
        </w:rPr>
        <w:t>符合政策要求的中小企业</w:t>
      </w:r>
      <w:r>
        <w:rPr>
          <w:rFonts w:hint="eastAsia" w:ascii="宋体" w:hAnsi="宋体" w:eastAsia="宋体"/>
          <w:spacing w:val="0"/>
          <w:sz w:val="24"/>
          <w:szCs w:val="24"/>
        </w:rPr>
        <w:t>承接</w:t>
      </w:r>
      <w:r>
        <w:rPr>
          <w:rFonts w:ascii="宋体" w:hAnsi="宋体" w:eastAsia="宋体"/>
          <w:spacing w:val="0"/>
          <w:sz w:val="24"/>
          <w:szCs w:val="24"/>
        </w:rPr>
        <w:t>。相关企业</w:t>
      </w:r>
      <w:r>
        <w:rPr>
          <w:rFonts w:ascii="宋体" w:hAnsi="宋体" w:eastAsia="宋体"/>
          <w:spacing w:val="0"/>
          <w:sz w:val="24"/>
          <w:szCs w:val="24"/>
          <w:lang w:bidi="en-US"/>
        </w:rPr>
        <w:t>（</w:t>
      </w:r>
      <w:r>
        <w:rPr>
          <w:rFonts w:ascii="宋体" w:hAnsi="宋体" w:eastAsia="宋体"/>
          <w:spacing w:val="0"/>
          <w:sz w:val="24"/>
          <w:szCs w:val="24"/>
        </w:rPr>
        <w:t>含联合体中的中小企业、签订分包意向协议的中小企业）的具体情况如下：</w:t>
      </w:r>
    </w:p>
    <w:p w14:paraId="6A71BFB2">
      <w:pPr>
        <w:spacing w:line="588" w:lineRule="exact"/>
        <w:ind w:firstLine="480" w:firstLineChars="200"/>
        <w:rPr>
          <w:rFonts w:ascii="宋体" w:hAnsi="宋体"/>
          <w:color w:val="auto"/>
          <w:sz w:val="24"/>
          <w:szCs w:val="24"/>
        </w:rPr>
      </w:pPr>
      <w:r>
        <w:rPr>
          <w:rFonts w:hint="eastAsia" w:ascii="宋体" w:hAnsi="宋体"/>
          <w:color w:val="auto"/>
          <w:sz w:val="24"/>
          <w:szCs w:val="24"/>
        </w:rPr>
        <w:t>1.</w:t>
      </w:r>
      <w:r>
        <w:rPr>
          <w:rFonts w:ascii="宋体" w:hAnsi="宋体"/>
          <w:iCs/>
          <w:color w:val="auto"/>
          <w:sz w:val="24"/>
          <w:szCs w:val="24"/>
          <w:u w:val="single"/>
        </w:rPr>
        <w:t>(标的名称)</w:t>
      </w:r>
      <w:r>
        <w:rPr>
          <w:rFonts w:ascii="宋体" w:hAnsi="宋体"/>
          <w:iCs/>
          <w:color w:val="auto"/>
          <w:sz w:val="24"/>
          <w:szCs w:val="24"/>
        </w:rPr>
        <w:t>，</w:t>
      </w:r>
      <w:r>
        <w:rPr>
          <w:rFonts w:ascii="宋体" w:hAnsi="宋体"/>
          <w:color w:val="auto"/>
          <w:sz w:val="24"/>
          <w:szCs w:val="24"/>
        </w:rPr>
        <w:t>属于</w:t>
      </w:r>
      <w:r>
        <w:rPr>
          <w:rFonts w:ascii="宋体" w:hAnsi="宋体"/>
          <w:iCs/>
          <w:color w:val="auto"/>
          <w:sz w:val="24"/>
          <w:szCs w:val="24"/>
          <w:u w:val="single"/>
        </w:rPr>
        <w:t>（采购文件中明确的所属行业)</w:t>
      </w:r>
      <w:r>
        <w:rPr>
          <w:rFonts w:hint="eastAsia" w:ascii="宋体" w:hAnsi="宋体"/>
          <w:iCs/>
          <w:color w:val="auto"/>
          <w:sz w:val="24"/>
          <w:szCs w:val="24"/>
        </w:rPr>
        <w:t>，</w:t>
      </w:r>
      <w:r>
        <w:rPr>
          <w:rFonts w:ascii="宋体" w:hAnsi="宋体"/>
          <w:color w:val="auto"/>
          <w:sz w:val="24"/>
          <w:szCs w:val="24"/>
        </w:rPr>
        <w:t>承</w:t>
      </w:r>
      <w:r>
        <w:rPr>
          <w:rFonts w:hint="eastAsia" w:ascii="宋体" w:hAnsi="宋体"/>
          <w:color w:val="auto"/>
          <w:sz w:val="24"/>
          <w:szCs w:val="24"/>
        </w:rPr>
        <w:t>接</w:t>
      </w:r>
      <w:r>
        <w:rPr>
          <w:rFonts w:ascii="宋体" w:hAnsi="宋体"/>
          <w:iCs/>
          <w:color w:val="auto"/>
          <w:sz w:val="24"/>
          <w:szCs w:val="24"/>
        </w:rPr>
        <w:t>企业为</w:t>
      </w:r>
      <w:r>
        <w:rPr>
          <w:rFonts w:ascii="宋体" w:hAnsi="宋体"/>
          <w:color w:val="auto"/>
          <w:sz w:val="24"/>
          <w:szCs w:val="24"/>
          <w:u w:val="single"/>
        </w:rPr>
        <w:t>（企业名称)</w:t>
      </w:r>
      <w:r>
        <w:rPr>
          <w:rFonts w:ascii="宋体" w:hAnsi="宋体"/>
          <w:color w:val="auto"/>
          <w:sz w:val="24"/>
          <w:szCs w:val="24"/>
        </w:rPr>
        <w:t>，从业人员人，营业收</w:t>
      </w:r>
      <w:r>
        <w:rPr>
          <w:rFonts w:ascii="宋体" w:hAnsi="宋体"/>
          <w:iCs/>
          <w:color w:val="auto"/>
          <w:sz w:val="24"/>
          <w:szCs w:val="24"/>
        </w:rPr>
        <w:t>入为_万元，资产总额为_万元</w:t>
      </w:r>
      <w:r>
        <w:rPr>
          <w:rFonts w:hint="eastAsia" w:ascii="宋体" w:hAnsi="宋体"/>
          <w:iCs/>
          <w:color w:val="auto"/>
          <w:sz w:val="24"/>
          <w:szCs w:val="24"/>
          <w:vertAlign w:val="superscript"/>
        </w:rPr>
        <w:t>1</w:t>
      </w:r>
      <w:r>
        <w:rPr>
          <w:rFonts w:hint="eastAsia" w:ascii="宋体" w:hAnsi="宋体"/>
          <w:iCs/>
          <w:color w:val="auto"/>
          <w:sz w:val="24"/>
          <w:szCs w:val="24"/>
        </w:rPr>
        <w:t>，</w:t>
      </w:r>
      <w:r>
        <w:rPr>
          <w:rFonts w:ascii="宋体" w:hAnsi="宋体"/>
          <w:color w:val="auto"/>
          <w:sz w:val="24"/>
          <w:szCs w:val="24"/>
        </w:rPr>
        <w:t>属于</w:t>
      </w:r>
      <w:r>
        <w:rPr>
          <w:rFonts w:ascii="宋体" w:hAnsi="宋体"/>
          <w:iCs/>
          <w:color w:val="auto"/>
          <w:sz w:val="24"/>
          <w:szCs w:val="24"/>
          <w:u w:val="single"/>
        </w:rPr>
        <w:t>（中型企业、小型企业、微型企业）</w:t>
      </w:r>
      <w:r>
        <w:rPr>
          <w:rFonts w:hint="eastAsia" w:ascii="宋体" w:hAnsi="宋体"/>
          <w:color w:val="auto"/>
          <w:sz w:val="24"/>
          <w:szCs w:val="24"/>
        </w:rPr>
        <w:t>；</w:t>
      </w:r>
    </w:p>
    <w:p w14:paraId="6917349B">
      <w:pPr>
        <w:spacing w:line="588" w:lineRule="exact"/>
        <w:ind w:firstLine="480" w:firstLineChars="200"/>
        <w:rPr>
          <w:rFonts w:ascii="宋体" w:hAnsi="宋体"/>
          <w:color w:val="auto"/>
          <w:sz w:val="24"/>
          <w:szCs w:val="24"/>
        </w:rPr>
      </w:pPr>
      <w:r>
        <w:rPr>
          <w:rFonts w:hint="eastAsia" w:ascii="宋体" w:hAnsi="宋体"/>
          <w:color w:val="auto"/>
          <w:sz w:val="24"/>
          <w:szCs w:val="24"/>
        </w:rPr>
        <w:t>2.</w:t>
      </w:r>
      <w:r>
        <w:rPr>
          <w:rFonts w:ascii="宋体" w:hAnsi="宋体"/>
          <w:iCs/>
          <w:color w:val="auto"/>
          <w:sz w:val="24"/>
          <w:szCs w:val="24"/>
          <w:u w:val="single"/>
        </w:rPr>
        <w:t>(标的名称)</w:t>
      </w:r>
      <w:r>
        <w:rPr>
          <w:rFonts w:ascii="宋体" w:hAnsi="宋体"/>
          <w:iCs/>
          <w:color w:val="auto"/>
          <w:sz w:val="24"/>
          <w:szCs w:val="24"/>
        </w:rPr>
        <w:t>，</w:t>
      </w:r>
      <w:r>
        <w:rPr>
          <w:rFonts w:ascii="宋体" w:hAnsi="宋体"/>
          <w:color w:val="auto"/>
          <w:sz w:val="24"/>
          <w:szCs w:val="24"/>
        </w:rPr>
        <w:t>属于</w:t>
      </w:r>
      <w:r>
        <w:rPr>
          <w:rFonts w:ascii="宋体" w:hAnsi="宋体"/>
          <w:iCs/>
          <w:color w:val="auto"/>
          <w:sz w:val="24"/>
          <w:szCs w:val="24"/>
          <w:u w:val="single"/>
        </w:rPr>
        <w:t>（采购文件中明确的所属行业)</w:t>
      </w:r>
      <w:r>
        <w:rPr>
          <w:rFonts w:hint="eastAsia" w:ascii="宋体" w:hAnsi="宋体"/>
          <w:iCs/>
          <w:color w:val="auto"/>
          <w:sz w:val="24"/>
          <w:szCs w:val="24"/>
        </w:rPr>
        <w:t>，</w:t>
      </w:r>
      <w:r>
        <w:rPr>
          <w:rFonts w:ascii="宋体" w:hAnsi="宋体"/>
          <w:color w:val="auto"/>
          <w:sz w:val="24"/>
          <w:szCs w:val="24"/>
        </w:rPr>
        <w:t>承</w:t>
      </w:r>
      <w:r>
        <w:rPr>
          <w:rFonts w:hint="eastAsia" w:ascii="宋体" w:hAnsi="宋体"/>
          <w:color w:val="auto"/>
          <w:sz w:val="24"/>
          <w:szCs w:val="24"/>
        </w:rPr>
        <w:t>接</w:t>
      </w:r>
      <w:r>
        <w:rPr>
          <w:rFonts w:ascii="宋体" w:hAnsi="宋体"/>
          <w:iCs/>
          <w:color w:val="auto"/>
          <w:sz w:val="24"/>
          <w:szCs w:val="24"/>
        </w:rPr>
        <w:t>企业为</w:t>
      </w:r>
      <w:r>
        <w:rPr>
          <w:rFonts w:ascii="宋体" w:hAnsi="宋体"/>
          <w:color w:val="auto"/>
          <w:sz w:val="24"/>
          <w:szCs w:val="24"/>
          <w:u w:val="single"/>
        </w:rPr>
        <w:t>（企业名称)</w:t>
      </w:r>
      <w:r>
        <w:rPr>
          <w:rFonts w:ascii="宋体" w:hAnsi="宋体"/>
          <w:color w:val="auto"/>
          <w:sz w:val="24"/>
          <w:szCs w:val="24"/>
        </w:rPr>
        <w:t>，从业人员人，营业收</w:t>
      </w:r>
      <w:r>
        <w:rPr>
          <w:rFonts w:ascii="宋体" w:hAnsi="宋体"/>
          <w:iCs/>
          <w:color w:val="auto"/>
          <w:sz w:val="24"/>
          <w:szCs w:val="24"/>
        </w:rPr>
        <w:t>入为_万元，资产总额为_万元</w:t>
      </w:r>
      <w:r>
        <w:rPr>
          <w:rFonts w:hint="eastAsia" w:ascii="宋体" w:hAnsi="宋体"/>
          <w:iCs/>
          <w:color w:val="auto"/>
          <w:sz w:val="24"/>
          <w:szCs w:val="24"/>
        </w:rPr>
        <w:t>，</w:t>
      </w:r>
      <w:r>
        <w:rPr>
          <w:rFonts w:ascii="宋体" w:hAnsi="宋体"/>
          <w:color w:val="auto"/>
          <w:sz w:val="24"/>
          <w:szCs w:val="24"/>
        </w:rPr>
        <w:t>属于</w:t>
      </w:r>
      <w:r>
        <w:rPr>
          <w:rFonts w:ascii="宋体" w:hAnsi="宋体"/>
          <w:iCs/>
          <w:color w:val="auto"/>
          <w:sz w:val="24"/>
          <w:szCs w:val="24"/>
          <w:u w:val="single"/>
        </w:rPr>
        <w:t>（中型企业、小型企业、微型企业）</w:t>
      </w:r>
      <w:r>
        <w:rPr>
          <w:rFonts w:hint="eastAsia" w:ascii="宋体" w:hAnsi="宋体"/>
          <w:color w:val="auto"/>
          <w:sz w:val="24"/>
          <w:szCs w:val="24"/>
        </w:rPr>
        <w:t>；</w:t>
      </w:r>
    </w:p>
    <w:p w14:paraId="79E70840">
      <w:pPr>
        <w:pStyle w:val="70"/>
        <w:shd w:val="clear" w:color="auto" w:fill="auto"/>
        <w:spacing w:after="0" w:line="518" w:lineRule="exact"/>
        <w:ind w:firstLine="680"/>
        <w:jc w:val="both"/>
        <w:rPr>
          <w:rFonts w:ascii="宋体" w:hAnsi="宋体" w:eastAsia="宋体"/>
          <w:sz w:val="24"/>
          <w:szCs w:val="24"/>
        </w:rPr>
      </w:pPr>
      <w:r>
        <w:rPr>
          <w:rFonts w:hint="eastAsia" w:ascii="宋体" w:hAnsi="宋体" w:eastAsia="宋体"/>
          <w:sz w:val="24"/>
          <w:szCs w:val="24"/>
        </w:rPr>
        <w:t>……</w:t>
      </w:r>
    </w:p>
    <w:p w14:paraId="16699D15">
      <w:pPr>
        <w:pStyle w:val="70"/>
        <w:shd w:val="clear" w:color="auto" w:fill="auto"/>
        <w:spacing w:after="0" w:line="518" w:lineRule="exact"/>
        <w:ind w:firstLine="680"/>
        <w:jc w:val="both"/>
        <w:rPr>
          <w:rFonts w:ascii="宋体" w:hAnsi="宋体" w:eastAsia="宋体"/>
          <w:sz w:val="24"/>
          <w:szCs w:val="24"/>
        </w:rPr>
      </w:pPr>
      <w:r>
        <w:rPr>
          <w:rFonts w:ascii="宋体" w:hAnsi="宋体" w:eastAsia="宋体"/>
          <w:sz w:val="24"/>
          <w:szCs w:val="24"/>
        </w:rPr>
        <w:t>以上企业，不属于大企业的分支机构，不存在控股股东为大企业的情形，也不存在与大企业的负责人为同一人的情形。</w:t>
      </w:r>
    </w:p>
    <w:p w14:paraId="1E2E014F">
      <w:pPr>
        <w:pStyle w:val="70"/>
        <w:shd w:val="clear" w:color="auto" w:fill="auto"/>
        <w:spacing w:after="0" w:line="518" w:lineRule="exact"/>
        <w:ind w:firstLine="680"/>
        <w:jc w:val="both"/>
        <w:rPr>
          <w:rFonts w:ascii="宋体" w:hAnsi="宋体" w:eastAsia="宋体"/>
          <w:sz w:val="24"/>
          <w:szCs w:val="24"/>
        </w:rPr>
      </w:pPr>
      <w:r>
        <w:rPr>
          <w:rFonts w:ascii="宋体" w:hAnsi="宋体" w:eastAsia="宋体"/>
          <w:sz w:val="24"/>
          <w:szCs w:val="24"/>
        </w:rPr>
        <w:t>本企业对上述声明内容的真实性负责。如有虚假，将依法承担相应责任。</w:t>
      </w:r>
    </w:p>
    <w:p w14:paraId="3DA93A75">
      <w:pPr>
        <w:pStyle w:val="70"/>
        <w:shd w:val="clear" w:color="auto" w:fill="auto"/>
        <w:spacing w:after="228" w:line="300" w:lineRule="exact"/>
        <w:ind w:left="3900"/>
        <w:rPr>
          <w:rFonts w:ascii="宋体" w:hAnsi="宋体" w:eastAsia="宋体"/>
          <w:sz w:val="24"/>
          <w:szCs w:val="24"/>
        </w:rPr>
      </w:pPr>
    </w:p>
    <w:p w14:paraId="6512BDBA">
      <w:pPr>
        <w:pStyle w:val="70"/>
        <w:shd w:val="clear" w:color="auto" w:fill="auto"/>
        <w:spacing w:after="228" w:line="300" w:lineRule="exact"/>
        <w:ind w:left="3900"/>
        <w:rPr>
          <w:rFonts w:ascii="宋体" w:hAnsi="宋体" w:eastAsia="宋体"/>
          <w:sz w:val="24"/>
          <w:szCs w:val="24"/>
        </w:rPr>
      </w:pPr>
    </w:p>
    <w:p w14:paraId="69AEC25A">
      <w:pPr>
        <w:pStyle w:val="70"/>
        <w:shd w:val="clear" w:color="auto" w:fill="auto"/>
        <w:spacing w:after="228" w:line="300" w:lineRule="exact"/>
        <w:ind w:firstLine="4536" w:firstLineChars="1512"/>
        <w:rPr>
          <w:rFonts w:ascii="宋体" w:hAnsi="宋体" w:eastAsia="宋体"/>
          <w:sz w:val="24"/>
          <w:szCs w:val="24"/>
        </w:rPr>
      </w:pPr>
      <w:r>
        <w:rPr>
          <w:rFonts w:ascii="宋体" w:hAnsi="宋体" w:eastAsia="宋体"/>
          <w:sz w:val="24"/>
          <w:szCs w:val="24"/>
        </w:rPr>
        <w:t>企业名称（盖章</w:t>
      </w:r>
      <w:r>
        <w:rPr>
          <w:rFonts w:ascii="宋体" w:hAnsi="宋体" w:eastAsia="宋体"/>
          <w:sz w:val="24"/>
          <w:szCs w:val="24"/>
          <w:lang w:bidi="en-US"/>
        </w:rPr>
        <w:t>）</w:t>
      </w:r>
    </w:p>
    <w:p w14:paraId="34478649">
      <w:pPr>
        <w:autoSpaceDE w:val="0"/>
        <w:autoSpaceDN w:val="0"/>
        <w:adjustRightInd w:val="0"/>
        <w:spacing w:line="360" w:lineRule="auto"/>
        <w:ind w:firstLine="4536" w:firstLineChars="1890"/>
        <w:jc w:val="left"/>
        <w:rPr>
          <w:rFonts w:ascii="宋体" w:hAnsi="宋体"/>
          <w:color w:val="auto"/>
          <w:sz w:val="24"/>
          <w:szCs w:val="24"/>
        </w:rPr>
      </w:pPr>
      <w:r>
        <w:rPr>
          <w:rFonts w:ascii="宋体" w:hAnsi="宋体"/>
          <w:color w:val="auto"/>
          <w:sz w:val="24"/>
          <w:szCs w:val="24"/>
        </w:rPr>
        <w:t>日期：</w:t>
      </w:r>
    </w:p>
    <w:p w14:paraId="59E65B94">
      <w:pPr>
        <w:spacing w:line="360" w:lineRule="auto"/>
        <w:rPr>
          <w:rStyle w:val="73"/>
          <w:rFonts w:ascii="宋体" w:hAnsi="宋体" w:eastAsia="宋体" w:cs="宋体"/>
          <w:color w:val="auto"/>
        </w:rPr>
      </w:pPr>
      <w:r>
        <w:rPr>
          <w:rFonts w:hint="eastAsia" w:ascii="宋体" w:hAnsi="宋体" w:cs="宋体"/>
          <w:color w:val="auto"/>
          <w:sz w:val="18"/>
          <w:szCs w:val="18"/>
        </w:rPr>
        <w:t>注：1、</w:t>
      </w:r>
      <w:r>
        <w:rPr>
          <w:rStyle w:val="72"/>
          <w:rFonts w:hint="eastAsia" w:ascii="宋体" w:hAnsi="宋体" w:eastAsia="宋体" w:cs="宋体"/>
          <w:color w:val="auto"/>
          <w:sz w:val="18"/>
          <w:szCs w:val="18"/>
          <w:vertAlign w:val="superscript"/>
        </w:rPr>
        <w:t>1</w:t>
      </w:r>
      <w:r>
        <w:rPr>
          <w:rStyle w:val="73"/>
          <w:rFonts w:hint="eastAsia" w:ascii="宋体" w:hAnsi="宋体" w:eastAsia="宋体" w:cs="宋体"/>
          <w:color w:val="auto"/>
        </w:rPr>
        <w:t>从业人员、营业收入、资产总额填报上一年度数据，无上一年度数据的新成立企业可不填报。</w:t>
      </w:r>
    </w:p>
    <w:p w14:paraId="007ECF44">
      <w:pPr>
        <w:spacing w:line="360" w:lineRule="auto"/>
        <w:rPr>
          <w:rFonts w:ascii="宋体" w:hAnsi="宋体" w:cs="宋体"/>
          <w:color w:val="auto"/>
          <w:sz w:val="18"/>
          <w:szCs w:val="18"/>
        </w:rPr>
      </w:pPr>
      <w:r>
        <w:rPr>
          <w:rStyle w:val="73"/>
          <w:rFonts w:hint="eastAsia" w:ascii="宋体" w:hAnsi="宋体" w:eastAsia="宋体" w:cs="宋体"/>
          <w:color w:val="auto"/>
        </w:rPr>
        <w:t xml:space="preserve">    </w:t>
      </w:r>
    </w:p>
    <w:p w14:paraId="57B1C6D5">
      <w:pPr>
        <w:spacing w:line="588" w:lineRule="exact"/>
        <w:jc w:val="center"/>
        <w:rPr>
          <w:rFonts w:ascii="宋体" w:hAnsi="宋体" w:cs="宋体"/>
          <w:b/>
          <w:color w:val="auto"/>
          <w:sz w:val="30"/>
          <w:szCs w:val="30"/>
        </w:rPr>
      </w:pPr>
      <w:r>
        <w:rPr>
          <w:rFonts w:hint="eastAsia" w:ascii="宋体" w:hAnsi="宋体" w:cs="宋体"/>
          <w:b/>
          <w:color w:val="auto"/>
          <w:sz w:val="30"/>
          <w:szCs w:val="30"/>
        </w:rPr>
        <w:br w:type="page"/>
      </w:r>
    </w:p>
    <w:p w14:paraId="00BF662D">
      <w:pPr>
        <w:spacing w:before="100" w:beforeAutospacing="1" w:after="100" w:afterAutospacing="1" w:line="500" w:lineRule="exact"/>
        <w:jc w:val="center"/>
        <w:rPr>
          <w:b/>
          <w:bCs/>
          <w:color w:val="auto"/>
          <w:kern w:val="44"/>
          <w:sz w:val="36"/>
          <w:szCs w:val="44"/>
        </w:rPr>
      </w:pPr>
      <w:r>
        <w:rPr>
          <w:rFonts w:hint="eastAsia"/>
          <w:b/>
          <w:bCs/>
          <w:color w:val="auto"/>
          <w:kern w:val="44"/>
          <w:sz w:val="36"/>
          <w:szCs w:val="44"/>
        </w:rPr>
        <w:t>残疾人福利性单位声明函（如符合条件时填写*）</w:t>
      </w:r>
    </w:p>
    <w:p w14:paraId="65250C6E">
      <w:pPr>
        <w:spacing w:line="588" w:lineRule="exact"/>
        <w:rPr>
          <w:rFonts w:ascii="宋体" w:hAnsi="宋体" w:cs="宋体"/>
          <w:color w:val="auto"/>
          <w:spacing w:val="6"/>
          <w:sz w:val="24"/>
          <w:szCs w:val="24"/>
        </w:rPr>
      </w:pPr>
    </w:p>
    <w:p w14:paraId="33B5A4D5">
      <w:pPr>
        <w:spacing w:line="588" w:lineRule="exact"/>
        <w:ind w:firstLine="504" w:firstLineChars="200"/>
        <w:rPr>
          <w:rFonts w:ascii="宋体" w:hAnsi="宋体" w:cs="宋体"/>
          <w:color w:val="auto"/>
          <w:spacing w:val="6"/>
          <w:sz w:val="24"/>
          <w:szCs w:val="24"/>
        </w:rPr>
      </w:pPr>
      <w:r>
        <w:rPr>
          <w:rFonts w:hint="eastAsia" w:ascii="宋体" w:hAnsi="宋体" w:cs="宋体"/>
          <w:color w:val="auto"/>
          <w:spacing w:val="6"/>
          <w:sz w:val="24"/>
          <w:szCs w:val="24"/>
        </w:rPr>
        <w:t>本单位郑重声明，根据《财政部 民政部 中国残疾人联合会关于促进残疾人就业政府采购政策的通知》（财库</w:t>
      </w:r>
      <w:r>
        <w:rPr>
          <w:rFonts w:hint="eastAsia" w:ascii="宋体" w:hAnsi="宋体" w:cs="宋体"/>
          <w:color w:val="auto"/>
          <w:sz w:val="24"/>
          <w:szCs w:val="24"/>
        </w:rPr>
        <w:t>〔2017〕141</w:t>
      </w:r>
      <w:r>
        <w:rPr>
          <w:rFonts w:hint="eastAsia" w:ascii="宋体" w:hAnsi="宋体" w:cs="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3B468AB">
      <w:pPr>
        <w:spacing w:line="588" w:lineRule="exact"/>
        <w:ind w:firstLine="504" w:firstLineChars="200"/>
        <w:rPr>
          <w:rFonts w:ascii="宋体" w:hAnsi="宋体" w:cs="宋体"/>
          <w:color w:val="auto"/>
          <w:spacing w:val="6"/>
          <w:sz w:val="24"/>
          <w:szCs w:val="24"/>
        </w:rPr>
      </w:pPr>
      <w:r>
        <w:rPr>
          <w:rFonts w:hint="eastAsia" w:ascii="宋体" w:hAnsi="宋体" w:cs="宋体"/>
          <w:color w:val="auto"/>
          <w:spacing w:val="6"/>
          <w:sz w:val="24"/>
          <w:szCs w:val="24"/>
        </w:rPr>
        <w:t>本单位对上述声明的真实性负责。如有虚假，将依法承担相应责任。</w:t>
      </w:r>
    </w:p>
    <w:p w14:paraId="4E1BBCD4">
      <w:pPr>
        <w:spacing w:line="588" w:lineRule="exact"/>
        <w:ind w:firstLine="504" w:firstLineChars="200"/>
        <w:rPr>
          <w:rFonts w:ascii="宋体" w:hAnsi="宋体" w:cs="宋体"/>
          <w:color w:val="auto"/>
          <w:spacing w:val="6"/>
          <w:sz w:val="24"/>
          <w:szCs w:val="24"/>
        </w:rPr>
      </w:pPr>
    </w:p>
    <w:p w14:paraId="59DCE62E">
      <w:pPr>
        <w:spacing w:line="588" w:lineRule="exact"/>
        <w:ind w:firstLine="504" w:firstLineChars="200"/>
        <w:rPr>
          <w:rFonts w:ascii="宋体" w:hAnsi="宋体" w:cs="宋体"/>
          <w:color w:val="auto"/>
          <w:spacing w:val="6"/>
          <w:sz w:val="24"/>
          <w:szCs w:val="24"/>
        </w:rPr>
      </w:pPr>
    </w:p>
    <w:p w14:paraId="5AD9F563">
      <w:pPr>
        <w:spacing w:line="588" w:lineRule="exact"/>
        <w:ind w:firstLine="504" w:firstLineChars="200"/>
        <w:rPr>
          <w:rFonts w:ascii="宋体" w:hAnsi="宋体" w:cs="宋体"/>
          <w:color w:val="auto"/>
          <w:spacing w:val="6"/>
          <w:sz w:val="24"/>
          <w:szCs w:val="24"/>
        </w:rPr>
      </w:pPr>
    </w:p>
    <w:p w14:paraId="1D8EA138">
      <w:pPr>
        <w:snapToGrid w:val="0"/>
        <w:spacing w:before="100" w:beforeAutospacing="1" w:after="100" w:afterAutospacing="1" w:line="700" w:lineRule="exact"/>
        <w:ind w:right="641" w:firstLine="4960" w:firstLineChars="2067"/>
        <w:rPr>
          <w:rFonts w:ascii="宋体" w:hAnsi="宋体" w:cs="宋体"/>
          <w:color w:val="auto"/>
          <w:sz w:val="24"/>
          <w:szCs w:val="24"/>
        </w:rPr>
      </w:pPr>
      <w:r>
        <w:rPr>
          <w:rFonts w:hint="eastAsia" w:ascii="宋体" w:hAnsi="宋体" w:cs="宋体"/>
          <w:color w:val="auto"/>
          <w:sz w:val="24"/>
          <w:szCs w:val="24"/>
        </w:rPr>
        <w:t>单位名称（盖章</w:t>
      </w:r>
      <w:r>
        <w:rPr>
          <w:rFonts w:hint="eastAsia" w:ascii="宋体" w:hAnsi="宋体" w:cs="宋体"/>
          <w:color w:val="auto"/>
          <w:sz w:val="24"/>
          <w:szCs w:val="24"/>
          <w:lang w:bidi="en-US"/>
        </w:rPr>
        <w:t>）</w:t>
      </w:r>
      <w:r>
        <w:rPr>
          <w:rFonts w:hint="eastAsia" w:ascii="宋体" w:hAnsi="宋体" w:cs="宋体"/>
          <w:color w:val="auto"/>
          <w:sz w:val="24"/>
          <w:szCs w:val="24"/>
        </w:rPr>
        <w:t>：</w:t>
      </w:r>
    </w:p>
    <w:p w14:paraId="1FAC545B">
      <w:pPr>
        <w:snapToGrid w:val="0"/>
        <w:spacing w:before="100" w:beforeAutospacing="1" w:after="100" w:afterAutospacing="1" w:line="540" w:lineRule="exact"/>
        <w:ind w:right="85" w:firstLine="5016" w:firstLineChars="2090"/>
        <w:jc w:val="left"/>
        <w:textAlignment w:val="top"/>
        <w:rPr>
          <w:rFonts w:ascii="宋体" w:hAnsi="宋体" w:cs="宋体"/>
          <w:color w:val="auto"/>
          <w:sz w:val="24"/>
          <w:szCs w:val="24"/>
        </w:rPr>
      </w:pPr>
      <w:r>
        <w:rPr>
          <w:rFonts w:hint="eastAsia" w:ascii="宋体" w:hAnsi="宋体" w:cs="宋体"/>
          <w:color w:val="auto"/>
          <w:sz w:val="24"/>
          <w:szCs w:val="24"/>
        </w:rPr>
        <w:t>日期：</w:t>
      </w:r>
    </w:p>
    <w:p w14:paraId="39815707">
      <w:pPr>
        <w:autoSpaceDE w:val="0"/>
        <w:autoSpaceDN w:val="0"/>
        <w:adjustRightInd w:val="0"/>
        <w:spacing w:line="360" w:lineRule="auto"/>
        <w:jc w:val="both"/>
        <w:rPr>
          <w:rFonts w:ascii="宋体" w:hAnsi="宋体" w:cs="宋体"/>
          <w:color w:val="auto"/>
          <w:sz w:val="24"/>
          <w:szCs w:val="24"/>
        </w:rPr>
      </w:pPr>
    </w:p>
    <w:p w14:paraId="67C5F731">
      <w:pPr>
        <w:autoSpaceDE w:val="0"/>
        <w:autoSpaceDN w:val="0"/>
        <w:adjustRightInd w:val="0"/>
        <w:spacing w:line="360" w:lineRule="auto"/>
        <w:jc w:val="center"/>
        <w:rPr>
          <w:rFonts w:ascii="宋体" w:hAnsi="宋体" w:cs="宋体"/>
          <w:color w:val="auto"/>
          <w:sz w:val="24"/>
          <w:szCs w:val="24"/>
        </w:rPr>
      </w:pPr>
    </w:p>
    <w:p w14:paraId="21978D84">
      <w:pPr>
        <w:spacing w:line="360" w:lineRule="auto"/>
        <w:rPr>
          <w:rStyle w:val="73"/>
          <w:rFonts w:hint="eastAsia" w:ascii="宋体" w:hAnsi="宋体" w:eastAsia="宋体" w:cs="宋体"/>
          <w:color w:val="auto"/>
        </w:rPr>
      </w:pPr>
      <w:r>
        <w:rPr>
          <w:rStyle w:val="73"/>
          <w:rFonts w:hint="eastAsia" w:ascii="宋体" w:hAnsi="宋体" w:eastAsia="宋体" w:cs="宋体"/>
          <w:color w:val="auto"/>
        </w:rPr>
        <w:t>注：1、按政策规定：符合条件的残疾人福利性单位视同小型、微型企业。残疾人福利性单位属于小型、微型企业的，不重复享受政策。</w:t>
      </w:r>
    </w:p>
    <w:p w14:paraId="58761CC7">
      <w:pPr>
        <w:spacing w:line="360" w:lineRule="auto"/>
        <w:rPr>
          <w:rStyle w:val="73"/>
          <w:rFonts w:hint="eastAsia" w:ascii="宋体" w:hAnsi="宋体" w:eastAsia="宋体" w:cs="宋体"/>
          <w:color w:val="auto"/>
        </w:rPr>
      </w:pPr>
      <w:r>
        <w:rPr>
          <w:rStyle w:val="73"/>
          <w:rFonts w:hint="eastAsia" w:ascii="宋体" w:hAnsi="宋体" w:eastAsia="宋体" w:cs="宋体"/>
          <w:color w:val="auto"/>
        </w:rPr>
        <w:t>2、*本格式由符合促进残疾人就业政府采购政策条件的残疾人福利性单位填写，非残疾人福利性单位无需填写。本项目（专门面向中小企业采购）中，残疾人福利性单位属于中型企业、小型、微型企业的，可只填写“ 中小企业声明函”，不再填写“残疾人福利性单位声明函”。</w:t>
      </w:r>
    </w:p>
    <w:p w14:paraId="3B1DF0BE">
      <w:pPr>
        <w:spacing w:line="360" w:lineRule="auto"/>
        <w:rPr>
          <w:rStyle w:val="73"/>
          <w:rFonts w:hint="eastAsia" w:ascii="宋体" w:hAnsi="宋体" w:eastAsia="宋体" w:cs="宋体"/>
          <w:color w:val="auto"/>
        </w:rPr>
      </w:pPr>
      <w:r>
        <w:rPr>
          <w:rStyle w:val="73"/>
          <w:rFonts w:hint="eastAsia" w:ascii="宋体" w:hAnsi="宋体" w:eastAsia="宋体" w:cs="宋体"/>
          <w:color w:val="auto"/>
        </w:rPr>
        <w:t>3、残疾人福利性单位填写“残疾人福利性单位声明函”后，仍需同时填写“中小企业声明函”、可在“中小企业声明函”注明“属于符合条件的残疾人福利性单位、视同小型、微型企业”。</w:t>
      </w:r>
    </w:p>
    <w:p w14:paraId="2F3827C9">
      <w:pPr>
        <w:spacing w:line="360" w:lineRule="auto"/>
        <w:rPr>
          <w:rStyle w:val="73"/>
          <w:rFonts w:hint="eastAsia" w:ascii="宋体" w:hAnsi="宋体" w:eastAsia="宋体" w:cs="宋体"/>
          <w:color w:val="auto"/>
        </w:rPr>
      </w:pPr>
    </w:p>
    <w:p w14:paraId="345FF956">
      <w:pPr>
        <w:rPr>
          <w:rStyle w:val="28"/>
          <w:color w:val="auto"/>
        </w:rPr>
      </w:pPr>
      <w:r>
        <w:rPr>
          <w:rStyle w:val="28"/>
          <w:rFonts w:hint="eastAsia"/>
          <w:color w:val="auto"/>
        </w:rPr>
        <w:br w:type="page"/>
      </w:r>
    </w:p>
    <w:p w14:paraId="271B2884">
      <w:pPr>
        <w:tabs>
          <w:tab w:val="left" w:pos="540"/>
        </w:tabs>
        <w:spacing w:line="440" w:lineRule="exact"/>
        <w:jc w:val="center"/>
        <w:rPr>
          <w:rFonts w:ascii="宋体" w:hAnsi="宋体" w:cs="宋体"/>
          <w:b/>
          <w:color w:val="auto"/>
          <w:sz w:val="24"/>
          <w:szCs w:val="24"/>
        </w:rPr>
      </w:pPr>
      <w:r>
        <w:rPr>
          <w:rStyle w:val="28"/>
          <w:rFonts w:hint="eastAsia"/>
          <w:color w:val="auto"/>
        </w:rPr>
        <w:t>十一、采购项目及服务要求所需的其他材料（按条款需要）</w:t>
      </w:r>
      <w:bookmarkEnd w:id="65"/>
    </w:p>
    <w:p w14:paraId="3BD33AE9">
      <w:pPr>
        <w:tabs>
          <w:tab w:val="left" w:pos="540"/>
        </w:tabs>
        <w:spacing w:line="440" w:lineRule="exact"/>
        <w:ind w:firstLine="315" w:firstLineChars="150"/>
        <w:rPr>
          <w:rFonts w:ascii="宋体" w:hAnsi="宋体" w:cs="宋体"/>
          <w:color w:val="auto"/>
          <w:szCs w:val="21"/>
        </w:rPr>
      </w:pPr>
      <w:r>
        <w:rPr>
          <w:rFonts w:hint="eastAsia" w:ascii="宋体" w:hAnsi="宋体" w:cs="宋体"/>
          <w:color w:val="auto"/>
          <w:szCs w:val="21"/>
        </w:rPr>
        <w:t>（按条款需要填列；并按条款要求</w:t>
      </w:r>
      <w:r>
        <w:rPr>
          <w:rFonts w:hint="eastAsia" w:ascii="宋体" w:hAnsi="宋体" w:cs="宋体"/>
          <w:color w:val="auto"/>
          <w:szCs w:val="16"/>
          <w:lang w:val="zh-CN"/>
        </w:rPr>
        <w:t>电子签名&lt;签</w:t>
      </w:r>
      <w:r>
        <w:rPr>
          <w:rFonts w:hint="eastAsia" w:ascii="宋体" w:hAnsi="宋体" w:cs="宋体"/>
          <w:color w:val="auto"/>
          <w:szCs w:val="21"/>
        </w:rPr>
        <w:t>章&gt;。条款中对</w:t>
      </w:r>
      <w:r>
        <w:rPr>
          <w:rFonts w:hint="eastAsia" w:ascii="宋体" w:hAnsi="宋体" w:cs="宋体"/>
          <w:color w:val="auto"/>
          <w:szCs w:val="16"/>
          <w:lang w:val="zh-CN"/>
        </w:rPr>
        <w:t>电子签名&lt;签</w:t>
      </w:r>
      <w:r>
        <w:rPr>
          <w:rFonts w:hint="eastAsia" w:ascii="宋体" w:hAnsi="宋体" w:cs="宋体"/>
          <w:color w:val="auto"/>
          <w:szCs w:val="21"/>
        </w:rPr>
        <w:t>章&gt;未作明确要求的，由法定代表人</w:t>
      </w:r>
      <w:r>
        <w:rPr>
          <w:rFonts w:hint="eastAsia" w:ascii="宋体" w:hAnsi="宋体" w:cs="宋体"/>
          <w:color w:val="auto"/>
          <w:szCs w:val="16"/>
          <w:lang w:val="zh-CN"/>
        </w:rPr>
        <w:t>电子签名</w:t>
      </w:r>
      <w:r>
        <w:rPr>
          <w:rFonts w:hint="eastAsia" w:ascii="宋体" w:hAnsi="宋体" w:cs="宋体"/>
          <w:color w:val="auto"/>
          <w:szCs w:val="21"/>
        </w:rPr>
        <w:t>或供应商</w:t>
      </w:r>
      <w:r>
        <w:rPr>
          <w:rFonts w:hint="eastAsia" w:ascii="宋体" w:hAnsi="宋体" w:cs="宋体"/>
          <w:color w:val="auto"/>
          <w:szCs w:val="16"/>
          <w:lang w:val="zh-CN"/>
        </w:rPr>
        <w:t>电子签</w:t>
      </w:r>
      <w:r>
        <w:rPr>
          <w:rFonts w:hint="eastAsia" w:ascii="宋体" w:hAnsi="宋体" w:cs="宋体"/>
          <w:color w:val="auto"/>
          <w:szCs w:val="21"/>
        </w:rPr>
        <w:t>章）</w:t>
      </w:r>
    </w:p>
    <w:p w14:paraId="2742DB57">
      <w:pPr>
        <w:tabs>
          <w:tab w:val="left" w:pos="540"/>
        </w:tabs>
        <w:spacing w:line="440" w:lineRule="exact"/>
        <w:ind w:firstLine="241" w:firstLineChars="100"/>
        <w:rPr>
          <w:rFonts w:ascii="宋体" w:hAnsi="宋体" w:cs="宋体"/>
          <w:b/>
          <w:color w:val="auto"/>
          <w:sz w:val="24"/>
          <w:szCs w:val="24"/>
        </w:rPr>
      </w:pPr>
    </w:p>
    <w:p w14:paraId="2B75342D">
      <w:pPr>
        <w:pStyle w:val="2"/>
        <w:rPr>
          <w:rStyle w:val="28"/>
          <w:b/>
          <w:bCs w:val="0"/>
          <w:color w:val="auto"/>
          <w:szCs w:val="20"/>
        </w:rPr>
      </w:pPr>
      <w:bookmarkStart w:id="66" w:name="_Toc22264"/>
      <w:r>
        <w:rPr>
          <w:rStyle w:val="28"/>
          <w:rFonts w:hint="eastAsia"/>
          <w:b/>
          <w:bCs w:val="0"/>
          <w:color w:val="auto"/>
          <w:szCs w:val="20"/>
        </w:rPr>
        <w:t>十二、供应商须知所需的其他材料（按条款需要）</w:t>
      </w:r>
      <w:bookmarkEnd w:id="66"/>
    </w:p>
    <w:p w14:paraId="1C816A41">
      <w:pPr>
        <w:tabs>
          <w:tab w:val="left" w:pos="540"/>
        </w:tabs>
        <w:spacing w:line="440" w:lineRule="exact"/>
        <w:ind w:firstLine="315" w:firstLineChars="150"/>
        <w:rPr>
          <w:rFonts w:ascii="宋体" w:hAnsi="宋体" w:cs="宋体"/>
          <w:color w:val="auto"/>
          <w:szCs w:val="21"/>
        </w:rPr>
      </w:pPr>
      <w:r>
        <w:rPr>
          <w:rFonts w:hint="eastAsia" w:ascii="宋体" w:hAnsi="宋体" w:cs="宋体"/>
          <w:color w:val="auto"/>
          <w:szCs w:val="21"/>
        </w:rPr>
        <w:t>（按条款需要填列；并按条款要求</w:t>
      </w:r>
      <w:r>
        <w:rPr>
          <w:rFonts w:hint="eastAsia" w:ascii="宋体" w:hAnsi="宋体" w:cs="宋体"/>
          <w:color w:val="auto"/>
          <w:szCs w:val="16"/>
          <w:lang w:val="zh-CN"/>
        </w:rPr>
        <w:t>电子签名&lt;签</w:t>
      </w:r>
      <w:r>
        <w:rPr>
          <w:rFonts w:hint="eastAsia" w:ascii="宋体" w:hAnsi="宋体" w:cs="宋体"/>
          <w:color w:val="auto"/>
          <w:szCs w:val="21"/>
        </w:rPr>
        <w:t>章&gt;。条款中对</w:t>
      </w:r>
      <w:r>
        <w:rPr>
          <w:rFonts w:hint="eastAsia" w:ascii="宋体" w:hAnsi="宋体" w:cs="宋体"/>
          <w:color w:val="auto"/>
          <w:szCs w:val="16"/>
          <w:lang w:val="zh-CN"/>
        </w:rPr>
        <w:t>电子签名&lt;签</w:t>
      </w:r>
      <w:r>
        <w:rPr>
          <w:rFonts w:hint="eastAsia" w:ascii="宋体" w:hAnsi="宋体" w:cs="宋体"/>
          <w:color w:val="auto"/>
          <w:szCs w:val="21"/>
        </w:rPr>
        <w:t>章&gt;未作明确要求的，由法定代表人</w:t>
      </w:r>
      <w:r>
        <w:rPr>
          <w:rFonts w:hint="eastAsia" w:ascii="宋体" w:hAnsi="宋体" w:cs="宋体"/>
          <w:color w:val="auto"/>
          <w:szCs w:val="16"/>
          <w:lang w:val="zh-CN"/>
        </w:rPr>
        <w:t>电子签名</w:t>
      </w:r>
      <w:r>
        <w:rPr>
          <w:rFonts w:hint="eastAsia" w:ascii="宋体" w:hAnsi="宋体" w:cs="宋体"/>
          <w:color w:val="auto"/>
          <w:szCs w:val="21"/>
        </w:rPr>
        <w:t>或供应商</w:t>
      </w:r>
      <w:r>
        <w:rPr>
          <w:rFonts w:hint="eastAsia" w:ascii="宋体" w:hAnsi="宋体" w:cs="宋体"/>
          <w:color w:val="auto"/>
          <w:szCs w:val="16"/>
          <w:lang w:val="zh-CN"/>
        </w:rPr>
        <w:t>电子签</w:t>
      </w:r>
      <w:r>
        <w:rPr>
          <w:rFonts w:hint="eastAsia" w:ascii="宋体" w:hAnsi="宋体" w:cs="宋体"/>
          <w:color w:val="auto"/>
          <w:szCs w:val="21"/>
        </w:rPr>
        <w:t>章）</w:t>
      </w:r>
    </w:p>
    <w:p w14:paraId="4C3BC69C">
      <w:pPr>
        <w:tabs>
          <w:tab w:val="left" w:pos="540"/>
        </w:tabs>
        <w:spacing w:line="440" w:lineRule="exact"/>
        <w:ind w:firstLine="241" w:firstLineChars="100"/>
        <w:rPr>
          <w:rFonts w:ascii="宋体" w:hAnsi="宋体" w:cs="宋体"/>
          <w:b/>
          <w:color w:val="auto"/>
          <w:sz w:val="24"/>
          <w:szCs w:val="24"/>
        </w:rPr>
      </w:pPr>
    </w:p>
    <w:p w14:paraId="78313EFC">
      <w:pPr>
        <w:tabs>
          <w:tab w:val="left" w:pos="540"/>
        </w:tabs>
        <w:spacing w:line="440" w:lineRule="exact"/>
        <w:jc w:val="center"/>
        <w:rPr>
          <w:rStyle w:val="28"/>
          <w:color w:val="auto"/>
        </w:rPr>
      </w:pPr>
      <w:bookmarkStart w:id="67" w:name="_Toc30870"/>
      <w:r>
        <w:rPr>
          <w:rStyle w:val="28"/>
          <w:rFonts w:hint="eastAsia"/>
          <w:color w:val="auto"/>
        </w:rPr>
        <w:t>十三、评审办法所需的其他材料（按条款需要）</w:t>
      </w:r>
    </w:p>
    <w:bookmarkEnd w:id="67"/>
    <w:p w14:paraId="2F1E697A">
      <w:pPr>
        <w:tabs>
          <w:tab w:val="left" w:pos="540"/>
        </w:tabs>
        <w:spacing w:line="440" w:lineRule="exact"/>
        <w:ind w:firstLine="210" w:firstLineChars="100"/>
        <w:rPr>
          <w:rFonts w:ascii="宋体" w:hAnsi="宋体" w:cs="宋体"/>
          <w:color w:val="auto"/>
          <w:szCs w:val="21"/>
        </w:rPr>
      </w:pPr>
      <w:r>
        <w:rPr>
          <w:rFonts w:hint="eastAsia" w:ascii="宋体" w:hAnsi="宋体" w:cs="宋体"/>
          <w:color w:val="auto"/>
          <w:szCs w:val="21"/>
        </w:rPr>
        <w:t>（按条款需要填列；并按条款要求</w:t>
      </w:r>
      <w:r>
        <w:rPr>
          <w:rFonts w:hint="eastAsia" w:ascii="宋体" w:hAnsi="宋体" w:cs="宋体"/>
          <w:color w:val="auto"/>
          <w:szCs w:val="16"/>
          <w:lang w:val="zh-CN"/>
        </w:rPr>
        <w:t>电子签名&lt;签</w:t>
      </w:r>
      <w:r>
        <w:rPr>
          <w:rFonts w:hint="eastAsia" w:ascii="宋体" w:hAnsi="宋体" w:cs="宋体"/>
          <w:color w:val="auto"/>
          <w:szCs w:val="21"/>
        </w:rPr>
        <w:t>章&gt;。条款中对</w:t>
      </w:r>
      <w:r>
        <w:rPr>
          <w:rFonts w:hint="eastAsia" w:ascii="宋体" w:hAnsi="宋体" w:cs="宋体"/>
          <w:color w:val="auto"/>
          <w:szCs w:val="16"/>
          <w:lang w:val="zh-CN"/>
        </w:rPr>
        <w:t>电子签名&lt;签</w:t>
      </w:r>
      <w:r>
        <w:rPr>
          <w:rFonts w:hint="eastAsia" w:ascii="宋体" w:hAnsi="宋体" w:cs="宋体"/>
          <w:color w:val="auto"/>
          <w:szCs w:val="21"/>
        </w:rPr>
        <w:t>章&gt;未作明确要求的，由法定代表人</w:t>
      </w:r>
      <w:r>
        <w:rPr>
          <w:rFonts w:hint="eastAsia" w:ascii="宋体" w:hAnsi="宋体" w:cs="宋体"/>
          <w:color w:val="auto"/>
          <w:szCs w:val="16"/>
          <w:lang w:val="zh-CN"/>
        </w:rPr>
        <w:t>电子签名</w:t>
      </w:r>
      <w:r>
        <w:rPr>
          <w:rFonts w:hint="eastAsia" w:ascii="宋体" w:hAnsi="宋体" w:cs="宋体"/>
          <w:color w:val="auto"/>
          <w:szCs w:val="21"/>
        </w:rPr>
        <w:t>或供应商</w:t>
      </w:r>
      <w:r>
        <w:rPr>
          <w:rFonts w:hint="eastAsia" w:ascii="宋体" w:hAnsi="宋体" w:cs="宋体"/>
          <w:color w:val="auto"/>
          <w:szCs w:val="16"/>
          <w:lang w:val="zh-CN"/>
        </w:rPr>
        <w:t>电子签</w:t>
      </w:r>
      <w:r>
        <w:rPr>
          <w:rFonts w:hint="eastAsia" w:ascii="宋体" w:hAnsi="宋体" w:cs="宋体"/>
          <w:color w:val="auto"/>
          <w:szCs w:val="21"/>
        </w:rPr>
        <w:t>章）</w:t>
      </w:r>
    </w:p>
    <w:p w14:paraId="5F40303F">
      <w:pPr>
        <w:tabs>
          <w:tab w:val="left" w:pos="540"/>
        </w:tabs>
        <w:spacing w:line="440" w:lineRule="exact"/>
        <w:jc w:val="center"/>
        <w:rPr>
          <w:rStyle w:val="28"/>
          <w:color w:val="auto"/>
        </w:rPr>
      </w:pPr>
    </w:p>
    <w:p w14:paraId="2F0AF144">
      <w:pPr>
        <w:tabs>
          <w:tab w:val="left" w:pos="540"/>
        </w:tabs>
        <w:spacing w:line="440" w:lineRule="exact"/>
        <w:jc w:val="center"/>
        <w:rPr>
          <w:rStyle w:val="28"/>
          <w:color w:val="auto"/>
        </w:rPr>
      </w:pPr>
      <w:bookmarkStart w:id="68" w:name="_Toc15435"/>
      <w:r>
        <w:rPr>
          <w:rStyle w:val="28"/>
          <w:rFonts w:hint="eastAsia"/>
          <w:color w:val="auto"/>
        </w:rPr>
        <w:t>十四、供应商认为有必要提交的其它材料</w:t>
      </w:r>
    </w:p>
    <w:bookmarkEnd w:id="68"/>
    <w:p w14:paraId="012BAC96">
      <w:pPr>
        <w:widowControl w:val="0"/>
        <w:snapToGrid w:val="0"/>
        <w:spacing w:line="560" w:lineRule="exact"/>
        <w:ind w:firstLine="555"/>
        <w:rPr>
          <w:rFonts w:ascii="宋体" w:hAnsi="宋体" w:cs="宋体"/>
          <w:color w:val="auto"/>
          <w:szCs w:val="21"/>
        </w:rPr>
      </w:pPr>
      <w:r>
        <w:rPr>
          <w:rFonts w:hint="eastAsia" w:ascii="宋体" w:hAnsi="宋体" w:cs="宋体"/>
          <w:color w:val="auto"/>
          <w:szCs w:val="21"/>
        </w:rPr>
        <w:t>（按条款需要填列；并按条款要求</w:t>
      </w:r>
      <w:r>
        <w:rPr>
          <w:rFonts w:hint="eastAsia" w:ascii="宋体" w:hAnsi="宋体" w:cs="宋体"/>
          <w:color w:val="auto"/>
          <w:szCs w:val="16"/>
          <w:lang w:val="zh-CN"/>
        </w:rPr>
        <w:t>电子签名&lt;签</w:t>
      </w:r>
      <w:r>
        <w:rPr>
          <w:rFonts w:hint="eastAsia" w:ascii="宋体" w:hAnsi="宋体" w:cs="宋体"/>
          <w:color w:val="auto"/>
          <w:szCs w:val="21"/>
        </w:rPr>
        <w:t>章&gt;。条款中对</w:t>
      </w:r>
      <w:r>
        <w:rPr>
          <w:rFonts w:hint="eastAsia" w:ascii="宋体" w:hAnsi="宋体" w:cs="宋体"/>
          <w:color w:val="auto"/>
          <w:szCs w:val="16"/>
          <w:lang w:val="zh-CN"/>
        </w:rPr>
        <w:t>电子签名&lt;签</w:t>
      </w:r>
      <w:r>
        <w:rPr>
          <w:rFonts w:hint="eastAsia" w:ascii="宋体" w:hAnsi="宋体" w:cs="宋体"/>
          <w:color w:val="auto"/>
          <w:szCs w:val="21"/>
        </w:rPr>
        <w:t>章&gt;未作明确要求的，由法定代表人</w:t>
      </w:r>
      <w:r>
        <w:rPr>
          <w:rFonts w:hint="eastAsia" w:ascii="宋体" w:hAnsi="宋体" w:cs="宋体"/>
          <w:color w:val="auto"/>
          <w:szCs w:val="16"/>
          <w:lang w:val="zh-CN"/>
        </w:rPr>
        <w:t>电子签名</w:t>
      </w:r>
      <w:r>
        <w:rPr>
          <w:rFonts w:hint="eastAsia" w:ascii="宋体" w:hAnsi="宋体" w:cs="宋体"/>
          <w:color w:val="auto"/>
          <w:szCs w:val="21"/>
        </w:rPr>
        <w:t>或供应商</w:t>
      </w:r>
      <w:r>
        <w:rPr>
          <w:rFonts w:hint="eastAsia" w:ascii="宋体" w:hAnsi="宋体" w:cs="宋体"/>
          <w:color w:val="auto"/>
          <w:szCs w:val="16"/>
          <w:lang w:val="zh-CN"/>
        </w:rPr>
        <w:t>电子签</w:t>
      </w:r>
      <w:r>
        <w:rPr>
          <w:rFonts w:hint="eastAsia" w:ascii="宋体" w:hAnsi="宋体" w:cs="宋体"/>
          <w:color w:val="auto"/>
          <w:szCs w:val="21"/>
        </w:rPr>
        <w:t>章）</w:t>
      </w:r>
    </w:p>
    <w:p w14:paraId="43E886DD">
      <w:pPr>
        <w:autoSpaceDE w:val="0"/>
        <w:autoSpaceDN w:val="0"/>
        <w:adjustRightInd w:val="0"/>
        <w:spacing w:line="420" w:lineRule="exact"/>
        <w:jc w:val="center"/>
        <w:rPr>
          <w:rFonts w:ascii="Arial" w:hAnsi="Arial" w:cs="Arial"/>
          <w:b/>
          <w:snapToGrid w:val="0"/>
          <w:color w:val="auto"/>
          <w:kern w:val="44"/>
          <w:sz w:val="36"/>
          <w:szCs w:val="21"/>
        </w:rPr>
      </w:pPr>
    </w:p>
    <w:p w14:paraId="060DE69A">
      <w:pPr>
        <w:rPr>
          <w:rFonts w:ascii="Arial" w:hAnsi="Arial" w:cs="Arial"/>
          <w:b/>
          <w:snapToGrid w:val="0"/>
          <w:color w:val="auto"/>
          <w:kern w:val="44"/>
          <w:sz w:val="36"/>
          <w:szCs w:val="21"/>
        </w:rPr>
      </w:pPr>
      <w:r>
        <w:rPr>
          <w:rFonts w:hint="eastAsia" w:ascii="Arial" w:hAnsi="Arial" w:cs="Arial"/>
          <w:b/>
          <w:snapToGrid w:val="0"/>
          <w:color w:val="auto"/>
          <w:kern w:val="44"/>
          <w:sz w:val="36"/>
          <w:szCs w:val="21"/>
        </w:rPr>
        <w:br w:type="page"/>
      </w:r>
    </w:p>
    <w:p w14:paraId="5C54E000">
      <w:pPr>
        <w:autoSpaceDE w:val="0"/>
        <w:autoSpaceDN w:val="0"/>
        <w:adjustRightInd w:val="0"/>
        <w:spacing w:line="420" w:lineRule="exact"/>
        <w:jc w:val="center"/>
        <w:rPr>
          <w:rFonts w:ascii="Arial" w:hAnsi="Arial" w:cs="Arial"/>
          <w:b/>
          <w:snapToGrid w:val="0"/>
          <w:color w:val="auto"/>
          <w:kern w:val="44"/>
          <w:sz w:val="36"/>
          <w:szCs w:val="21"/>
        </w:rPr>
      </w:pPr>
      <w:r>
        <w:rPr>
          <w:rFonts w:hint="eastAsia" w:ascii="Arial" w:hAnsi="Arial" w:cs="Arial"/>
          <w:b/>
          <w:snapToGrid w:val="0"/>
          <w:color w:val="auto"/>
          <w:kern w:val="44"/>
          <w:sz w:val="36"/>
          <w:szCs w:val="21"/>
        </w:rPr>
        <w:t>授权委托书</w:t>
      </w:r>
    </w:p>
    <w:p w14:paraId="69841A92">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rPr>
      </w:pPr>
    </w:p>
    <w:p w14:paraId="25FE031F">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本人</w:t>
      </w:r>
      <w:r>
        <w:rPr>
          <w:rFonts w:hint="eastAsia" w:asciiTheme="minorEastAsia" w:hAnsiTheme="minorEastAsia" w:eastAsiaTheme="minorEastAsia" w:cstheme="minorEastAsia"/>
          <w:color w:val="auto"/>
          <w:sz w:val="24"/>
          <w:u w:val="single"/>
        </w:rPr>
        <w:tab/>
      </w:r>
      <w:r>
        <w:rPr>
          <w:rFonts w:hint="eastAsia" w:asciiTheme="minorEastAsia" w:hAnsiTheme="minorEastAsia" w:eastAsiaTheme="minorEastAsia" w:cstheme="minorEastAsia"/>
          <w:color w:val="auto"/>
          <w:sz w:val="24"/>
          <w:u w:val="single"/>
        </w:rPr>
        <w:tab/>
      </w:r>
      <w:r>
        <w:rPr>
          <w:rFonts w:hint="eastAsia" w:asciiTheme="minorEastAsia" w:hAnsiTheme="minorEastAsia" w:eastAsiaTheme="minorEastAsia" w:cstheme="minorEastAsia"/>
          <w:color w:val="auto"/>
          <w:sz w:val="24"/>
        </w:rPr>
        <w:t>（姓名）系</w:t>
      </w:r>
      <w:r>
        <w:rPr>
          <w:rFonts w:hint="eastAsia" w:asciiTheme="minorEastAsia" w:hAnsiTheme="minorEastAsia" w:eastAsiaTheme="minorEastAsia" w:cstheme="minorEastAsia"/>
          <w:color w:val="auto"/>
          <w:sz w:val="24"/>
          <w:u w:val="single"/>
        </w:rPr>
        <w:tab/>
      </w:r>
      <w:r>
        <w:rPr>
          <w:rFonts w:hint="eastAsia" w:asciiTheme="minorEastAsia" w:hAnsiTheme="minorEastAsia" w:eastAsiaTheme="minorEastAsia" w:cstheme="minorEastAsia"/>
          <w:color w:val="auto"/>
          <w:sz w:val="24"/>
          <w:u w:val="single"/>
        </w:rPr>
        <w:tab/>
      </w:r>
      <w:r>
        <w:rPr>
          <w:rFonts w:hint="eastAsia" w:asciiTheme="minorEastAsia" w:hAnsiTheme="minorEastAsia" w:eastAsiaTheme="minorEastAsia" w:cstheme="minorEastAsia"/>
          <w:color w:val="auto"/>
          <w:sz w:val="24"/>
        </w:rPr>
        <w:t>（供应商名称）的法定代表人，现委托</w:t>
      </w:r>
      <w:r>
        <w:rPr>
          <w:rFonts w:hint="eastAsia" w:asciiTheme="minorEastAsia" w:hAnsiTheme="minorEastAsia" w:eastAsiaTheme="minorEastAsia" w:cstheme="minorEastAsia"/>
          <w:color w:val="auto"/>
          <w:sz w:val="24"/>
          <w:u w:val="single"/>
        </w:rPr>
        <w:tab/>
      </w:r>
      <w:r>
        <w:rPr>
          <w:rFonts w:hint="eastAsia" w:asciiTheme="minorEastAsia" w:hAnsiTheme="minorEastAsia" w:eastAsiaTheme="minorEastAsia" w:cstheme="minorEastAsia"/>
          <w:color w:val="auto"/>
          <w:sz w:val="24"/>
          <w:u w:val="single"/>
        </w:rPr>
        <w:tab/>
      </w:r>
      <w:r>
        <w:rPr>
          <w:rFonts w:hint="eastAsia" w:asciiTheme="minorEastAsia" w:hAnsiTheme="minorEastAsia" w:eastAsiaTheme="minorEastAsia" w:cstheme="minorEastAsia"/>
          <w:color w:val="auto"/>
          <w:sz w:val="24"/>
        </w:rPr>
        <w:t>（姓名）为我方代理人。代理人根据授权，以我方名义签署、澄清、说明、补正、递交、撤回、修改</w:t>
      </w:r>
      <w:r>
        <w:rPr>
          <w:rFonts w:hint="eastAsia" w:asciiTheme="minorEastAsia" w:hAnsiTheme="minorEastAsia" w:eastAsiaTheme="minorEastAsia" w:cstheme="minorEastAsia"/>
          <w:color w:val="auto"/>
          <w:sz w:val="24"/>
          <w:u w:val="single"/>
        </w:rPr>
        <w:tab/>
      </w:r>
      <w:r>
        <w:rPr>
          <w:rFonts w:hint="eastAsia" w:asciiTheme="minorEastAsia" w:hAnsiTheme="minorEastAsia" w:eastAsiaTheme="minorEastAsia" w:cstheme="minorEastAsia"/>
          <w:color w:val="auto"/>
          <w:sz w:val="24"/>
          <w:u w:val="single"/>
        </w:rPr>
        <w:tab/>
      </w:r>
      <w:r>
        <w:rPr>
          <w:rFonts w:hint="eastAsia" w:asciiTheme="minorEastAsia" w:hAnsiTheme="minorEastAsia" w:eastAsiaTheme="minorEastAsia" w:cstheme="minorEastAsia"/>
          <w:color w:val="auto"/>
          <w:sz w:val="24"/>
        </w:rPr>
        <w:t>（项目名称）投标文件、签订合同和处理有关事宜，其法律后果由我方承担。</w:t>
      </w:r>
    </w:p>
    <w:p w14:paraId="72983E3E">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委托期限：</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14A500AA">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代理人无转委托权。</w:t>
      </w:r>
    </w:p>
    <w:p w14:paraId="6207F607">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附：法定代表人、委托代理人身份证复印件</w:t>
      </w:r>
    </w:p>
    <w:p w14:paraId="11F77BDA">
      <w:pPr>
        <w:autoSpaceDE w:val="0"/>
        <w:autoSpaceDN w:val="0"/>
        <w:adjustRightInd w:val="0"/>
        <w:snapToGrid w:val="0"/>
        <w:spacing w:line="360" w:lineRule="auto"/>
        <w:ind w:firstLine="360" w:firstLineChars="200"/>
        <w:rPr>
          <w:rFonts w:ascii="宋体" w:hAnsi="宋体" w:cs="宋体"/>
          <w:color w:val="auto"/>
          <w:sz w:val="18"/>
          <w:szCs w:val="18"/>
        </w:rPr>
      </w:pPr>
    </w:p>
    <w:p w14:paraId="64087B29">
      <w:pPr>
        <w:autoSpaceDE w:val="0"/>
        <w:autoSpaceDN w:val="0"/>
        <w:adjustRightInd w:val="0"/>
        <w:snapToGrid w:val="0"/>
        <w:spacing w:line="360" w:lineRule="auto"/>
        <w:ind w:firstLine="360" w:firstLineChars="200"/>
        <w:rPr>
          <w:rFonts w:ascii="宋体" w:hAnsi="宋体" w:cs="宋体"/>
          <w:color w:val="auto"/>
          <w:sz w:val="18"/>
          <w:szCs w:val="18"/>
        </w:rPr>
      </w:pPr>
    </w:p>
    <w:p w14:paraId="2F7B3BBE">
      <w:pPr>
        <w:autoSpaceDE w:val="0"/>
        <w:autoSpaceDN w:val="0"/>
        <w:adjustRightInd w:val="0"/>
        <w:snapToGrid w:val="0"/>
        <w:spacing w:line="360" w:lineRule="auto"/>
        <w:ind w:firstLine="360" w:firstLineChars="200"/>
        <w:rPr>
          <w:rFonts w:ascii="宋体" w:hAnsi="宋体" w:cs="宋体"/>
          <w:color w:val="auto"/>
          <w:sz w:val="18"/>
          <w:szCs w:val="18"/>
        </w:rPr>
      </w:pPr>
    </w:p>
    <w:p w14:paraId="20B2614B">
      <w:pPr>
        <w:autoSpaceDE w:val="0"/>
        <w:autoSpaceDN w:val="0"/>
        <w:adjustRightInd w:val="0"/>
        <w:snapToGrid w:val="0"/>
        <w:spacing w:line="360" w:lineRule="auto"/>
        <w:ind w:firstLine="360" w:firstLineChars="200"/>
        <w:rPr>
          <w:rFonts w:ascii="宋体" w:hAnsi="宋体" w:cs="宋体"/>
          <w:color w:val="auto"/>
          <w:sz w:val="18"/>
          <w:szCs w:val="18"/>
        </w:rPr>
      </w:pPr>
    </w:p>
    <w:p w14:paraId="30E6ADFC">
      <w:pPr>
        <w:autoSpaceDE w:val="0"/>
        <w:autoSpaceDN w:val="0"/>
        <w:adjustRightInd w:val="0"/>
        <w:snapToGrid w:val="0"/>
        <w:spacing w:line="360" w:lineRule="auto"/>
        <w:ind w:firstLine="360" w:firstLineChars="200"/>
        <w:rPr>
          <w:rFonts w:ascii="宋体" w:hAnsi="宋体" w:cs="宋体"/>
          <w:color w:val="auto"/>
          <w:sz w:val="18"/>
          <w:szCs w:val="18"/>
        </w:rPr>
      </w:pPr>
    </w:p>
    <w:p w14:paraId="660F5660">
      <w:pPr>
        <w:autoSpaceDE w:val="0"/>
        <w:autoSpaceDN w:val="0"/>
        <w:adjustRightInd w:val="0"/>
        <w:snapToGrid w:val="0"/>
        <w:spacing w:line="360" w:lineRule="auto"/>
        <w:ind w:firstLine="360" w:firstLineChars="200"/>
        <w:rPr>
          <w:rFonts w:ascii="宋体" w:hAnsi="宋体" w:cs="宋体"/>
          <w:color w:val="auto"/>
          <w:sz w:val="18"/>
          <w:szCs w:val="18"/>
        </w:rPr>
      </w:pPr>
    </w:p>
    <w:p w14:paraId="7CEE75E5">
      <w:pPr>
        <w:autoSpaceDE w:val="0"/>
        <w:autoSpaceDN w:val="0"/>
        <w:adjustRightInd w:val="0"/>
        <w:snapToGrid w:val="0"/>
        <w:spacing w:line="360" w:lineRule="auto"/>
        <w:ind w:firstLine="360" w:firstLineChars="200"/>
        <w:rPr>
          <w:rFonts w:ascii="宋体" w:hAnsi="宋体" w:cs="宋体"/>
          <w:color w:val="auto"/>
          <w:sz w:val="18"/>
          <w:szCs w:val="18"/>
        </w:rPr>
      </w:pPr>
    </w:p>
    <w:p w14:paraId="1AA07A0E">
      <w:pPr>
        <w:autoSpaceDE w:val="0"/>
        <w:autoSpaceDN w:val="0"/>
        <w:adjustRightInd w:val="0"/>
        <w:snapToGrid w:val="0"/>
        <w:spacing w:line="360" w:lineRule="auto"/>
        <w:ind w:firstLine="360" w:firstLineChars="200"/>
        <w:rPr>
          <w:rFonts w:ascii="宋体" w:hAnsi="宋体" w:cs="宋体"/>
          <w:color w:val="auto"/>
          <w:sz w:val="18"/>
          <w:szCs w:val="18"/>
        </w:rPr>
      </w:pPr>
    </w:p>
    <w:p w14:paraId="6F0CA257">
      <w:pPr>
        <w:autoSpaceDE w:val="0"/>
        <w:autoSpaceDN w:val="0"/>
        <w:adjustRightInd w:val="0"/>
        <w:snapToGrid w:val="0"/>
        <w:spacing w:line="360" w:lineRule="auto"/>
        <w:ind w:firstLine="360" w:firstLineChars="200"/>
        <w:rPr>
          <w:rFonts w:ascii="宋体" w:hAnsi="宋体" w:cs="宋体"/>
          <w:color w:val="auto"/>
          <w:sz w:val="18"/>
          <w:szCs w:val="18"/>
        </w:rPr>
      </w:pPr>
    </w:p>
    <w:p w14:paraId="6B5BED2E">
      <w:pPr>
        <w:autoSpaceDE w:val="0"/>
        <w:autoSpaceDN w:val="0"/>
        <w:adjustRightInd w:val="0"/>
        <w:snapToGrid w:val="0"/>
        <w:spacing w:line="360" w:lineRule="auto"/>
        <w:ind w:firstLine="360" w:firstLineChars="200"/>
        <w:rPr>
          <w:rFonts w:ascii="宋体" w:hAnsi="宋体" w:cs="宋体"/>
          <w:color w:val="auto"/>
          <w:sz w:val="18"/>
          <w:szCs w:val="18"/>
        </w:rPr>
      </w:pPr>
    </w:p>
    <w:p w14:paraId="5836DDCC">
      <w:pPr>
        <w:autoSpaceDE w:val="0"/>
        <w:autoSpaceDN w:val="0"/>
        <w:adjustRightInd w:val="0"/>
        <w:snapToGrid w:val="0"/>
        <w:spacing w:line="360" w:lineRule="auto"/>
        <w:ind w:firstLine="360" w:firstLineChars="200"/>
        <w:rPr>
          <w:rFonts w:ascii="宋体" w:hAnsi="宋体" w:cs="宋体"/>
          <w:color w:val="auto"/>
          <w:sz w:val="18"/>
          <w:szCs w:val="18"/>
        </w:rPr>
      </w:pPr>
    </w:p>
    <w:p w14:paraId="207B670B">
      <w:pPr>
        <w:autoSpaceDE w:val="0"/>
        <w:autoSpaceDN w:val="0"/>
        <w:adjustRightInd w:val="0"/>
        <w:snapToGrid w:val="0"/>
        <w:spacing w:line="360" w:lineRule="auto"/>
        <w:ind w:firstLine="360" w:firstLineChars="200"/>
        <w:rPr>
          <w:rFonts w:ascii="宋体" w:hAnsi="宋体" w:cs="宋体"/>
          <w:color w:val="auto"/>
          <w:sz w:val="18"/>
          <w:szCs w:val="18"/>
        </w:rPr>
      </w:pPr>
    </w:p>
    <w:p w14:paraId="79C7195D">
      <w:pPr>
        <w:autoSpaceDE w:val="0"/>
        <w:autoSpaceDN w:val="0"/>
        <w:adjustRightInd w:val="0"/>
        <w:snapToGrid w:val="0"/>
        <w:spacing w:line="360" w:lineRule="auto"/>
        <w:ind w:firstLine="360" w:firstLineChars="200"/>
        <w:rPr>
          <w:rFonts w:ascii="宋体" w:hAnsi="宋体" w:cs="宋体"/>
          <w:color w:val="auto"/>
          <w:sz w:val="18"/>
          <w:szCs w:val="18"/>
        </w:rPr>
      </w:pPr>
    </w:p>
    <w:p w14:paraId="78B6BF66">
      <w:pPr>
        <w:autoSpaceDE w:val="0"/>
        <w:autoSpaceDN w:val="0"/>
        <w:adjustRightInd w:val="0"/>
        <w:snapToGrid w:val="0"/>
        <w:spacing w:line="360" w:lineRule="auto"/>
        <w:ind w:firstLine="360" w:firstLineChars="200"/>
        <w:rPr>
          <w:rFonts w:ascii="宋体" w:hAnsi="宋体" w:cs="宋体"/>
          <w:color w:val="auto"/>
          <w:sz w:val="18"/>
          <w:szCs w:val="18"/>
        </w:rPr>
      </w:pPr>
    </w:p>
    <w:p w14:paraId="77541FC7">
      <w:pPr>
        <w:autoSpaceDE w:val="0"/>
        <w:autoSpaceDN w:val="0"/>
        <w:adjustRightInd w:val="0"/>
        <w:snapToGrid w:val="0"/>
        <w:spacing w:line="360" w:lineRule="auto"/>
        <w:ind w:firstLine="360" w:firstLineChars="200"/>
        <w:rPr>
          <w:rFonts w:ascii="宋体" w:hAnsi="宋体" w:cs="宋体"/>
          <w:color w:val="auto"/>
          <w:sz w:val="18"/>
          <w:szCs w:val="18"/>
        </w:rPr>
      </w:pPr>
    </w:p>
    <w:p w14:paraId="4E2E181D">
      <w:pPr>
        <w:autoSpaceDE w:val="0"/>
        <w:autoSpaceDN w:val="0"/>
        <w:adjustRightInd w:val="0"/>
        <w:snapToGrid w:val="0"/>
        <w:spacing w:line="360" w:lineRule="auto"/>
        <w:ind w:firstLine="360" w:firstLineChars="200"/>
        <w:rPr>
          <w:rFonts w:ascii="宋体" w:hAnsi="宋体" w:cs="宋体"/>
          <w:color w:val="auto"/>
          <w:sz w:val="18"/>
          <w:szCs w:val="18"/>
        </w:rPr>
      </w:pPr>
    </w:p>
    <w:p w14:paraId="42EEFF50">
      <w:pPr>
        <w:autoSpaceDE w:val="0"/>
        <w:autoSpaceDN w:val="0"/>
        <w:adjustRightInd w:val="0"/>
        <w:snapToGrid w:val="0"/>
        <w:spacing w:line="360" w:lineRule="auto"/>
        <w:ind w:firstLine="360" w:firstLineChars="200"/>
        <w:rPr>
          <w:rFonts w:ascii="宋体" w:hAnsi="宋体" w:cs="宋体"/>
          <w:color w:val="auto"/>
          <w:sz w:val="18"/>
          <w:szCs w:val="18"/>
        </w:rPr>
      </w:pPr>
    </w:p>
    <w:p w14:paraId="4FECAA0B">
      <w:pPr>
        <w:autoSpaceDE w:val="0"/>
        <w:autoSpaceDN w:val="0"/>
        <w:adjustRightInd w:val="0"/>
        <w:snapToGrid w:val="0"/>
        <w:spacing w:line="360" w:lineRule="auto"/>
        <w:ind w:firstLine="360" w:firstLineChars="200"/>
        <w:rPr>
          <w:rFonts w:ascii="宋体" w:hAnsi="宋体" w:cs="宋体"/>
          <w:color w:val="auto"/>
          <w:sz w:val="18"/>
          <w:szCs w:val="18"/>
        </w:rPr>
      </w:pPr>
    </w:p>
    <w:p w14:paraId="2C0A5D56">
      <w:pPr>
        <w:autoSpaceDE w:val="0"/>
        <w:autoSpaceDN w:val="0"/>
        <w:adjustRightInd w:val="0"/>
        <w:snapToGrid w:val="0"/>
        <w:spacing w:line="360" w:lineRule="auto"/>
        <w:ind w:firstLine="360" w:firstLineChars="200"/>
        <w:rPr>
          <w:rFonts w:ascii="宋体" w:hAnsi="宋体" w:cs="宋体"/>
          <w:color w:val="auto"/>
          <w:sz w:val="18"/>
          <w:szCs w:val="18"/>
        </w:rPr>
      </w:pPr>
    </w:p>
    <w:p w14:paraId="34620AAA">
      <w:pPr>
        <w:autoSpaceDE w:val="0"/>
        <w:autoSpaceDN w:val="0"/>
        <w:adjustRightInd w:val="0"/>
        <w:snapToGrid w:val="0"/>
        <w:spacing w:line="360" w:lineRule="auto"/>
        <w:ind w:firstLine="360" w:firstLineChars="200"/>
        <w:rPr>
          <w:rFonts w:ascii="宋体" w:hAnsi="宋体" w:cs="宋体"/>
          <w:color w:val="auto"/>
          <w:sz w:val="18"/>
          <w:szCs w:val="18"/>
        </w:rPr>
      </w:pPr>
    </w:p>
    <w:p w14:paraId="40B2DBE2">
      <w:pPr>
        <w:autoSpaceDE w:val="0"/>
        <w:autoSpaceDN w:val="0"/>
        <w:adjustRightInd w:val="0"/>
        <w:snapToGrid w:val="0"/>
        <w:spacing w:line="360" w:lineRule="auto"/>
        <w:ind w:firstLine="360" w:firstLineChars="200"/>
        <w:rPr>
          <w:rFonts w:ascii="宋体" w:hAnsi="宋体" w:cs="宋体"/>
          <w:color w:val="auto"/>
          <w:sz w:val="18"/>
          <w:szCs w:val="18"/>
        </w:rPr>
      </w:pPr>
    </w:p>
    <w:p w14:paraId="5C095F64">
      <w:pPr>
        <w:autoSpaceDE w:val="0"/>
        <w:autoSpaceDN w:val="0"/>
        <w:adjustRightInd w:val="0"/>
        <w:snapToGrid w:val="0"/>
        <w:spacing w:line="360" w:lineRule="auto"/>
        <w:ind w:firstLine="360" w:firstLineChars="200"/>
        <w:rPr>
          <w:rFonts w:ascii="宋体" w:hAnsi="宋体" w:cs="宋体"/>
          <w:color w:val="auto"/>
          <w:sz w:val="18"/>
          <w:szCs w:val="18"/>
        </w:rPr>
      </w:pPr>
    </w:p>
    <w:p w14:paraId="5FCD42E7">
      <w:pPr>
        <w:autoSpaceDE w:val="0"/>
        <w:autoSpaceDN w:val="0"/>
        <w:adjustRightInd w:val="0"/>
        <w:snapToGrid w:val="0"/>
        <w:spacing w:line="360" w:lineRule="auto"/>
        <w:ind w:firstLine="360" w:firstLineChars="200"/>
        <w:rPr>
          <w:rFonts w:ascii="宋体" w:hAnsi="宋体" w:cs="宋体"/>
          <w:color w:val="auto"/>
          <w:sz w:val="18"/>
          <w:szCs w:val="18"/>
        </w:rPr>
      </w:pPr>
    </w:p>
    <w:p w14:paraId="23341CA0">
      <w:pPr>
        <w:autoSpaceDE w:val="0"/>
        <w:autoSpaceDN w:val="0"/>
        <w:adjustRightInd w:val="0"/>
        <w:snapToGrid w:val="0"/>
        <w:spacing w:line="360" w:lineRule="auto"/>
        <w:ind w:firstLine="360" w:firstLineChars="200"/>
        <w:rPr>
          <w:rFonts w:ascii="宋体" w:hAnsi="宋体" w:cs="宋体"/>
          <w:color w:val="auto"/>
          <w:sz w:val="18"/>
          <w:szCs w:val="18"/>
        </w:rPr>
      </w:pPr>
    </w:p>
    <w:p w14:paraId="51A30D98">
      <w:pPr>
        <w:autoSpaceDE w:val="0"/>
        <w:autoSpaceDN w:val="0"/>
        <w:adjustRightInd w:val="0"/>
        <w:snapToGrid w:val="0"/>
        <w:spacing w:line="360" w:lineRule="auto"/>
        <w:ind w:firstLine="360" w:firstLineChars="200"/>
        <w:rPr>
          <w:rFonts w:ascii="宋体" w:hAnsi="宋体" w:cs="宋体"/>
          <w:color w:val="auto"/>
          <w:sz w:val="18"/>
          <w:szCs w:val="18"/>
        </w:rPr>
      </w:pPr>
    </w:p>
    <w:p w14:paraId="21FE4373">
      <w:pPr>
        <w:tabs>
          <w:tab w:val="left" w:pos="540"/>
        </w:tabs>
        <w:spacing w:line="360" w:lineRule="auto"/>
        <w:rPr>
          <w:rFonts w:ascii="宋体" w:hAnsi="宋体" w:cs="宋体"/>
          <w:color w:val="auto"/>
          <w:sz w:val="24"/>
          <w:szCs w:val="24"/>
        </w:rPr>
      </w:pPr>
      <w:r>
        <w:rPr>
          <w:rFonts w:hint="eastAsia" w:ascii="宋体" w:hAnsi="宋体" w:cs="宋体"/>
          <w:color w:val="auto"/>
          <w:sz w:val="24"/>
          <w:szCs w:val="24"/>
        </w:rPr>
        <w:t>供应商（电子签章）：</w:t>
      </w:r>
    </w:p>
    <w:p w14:paraId="28299FA1">
      <w:pPr>
        <w:snapToGrid w:val="0"/>
        <w:spacing w:line="360" w:lineRule="auto"/>
        <w:rPr>
          <w:rFonts w:ascii="宋体" w:hAnsi="宋体" w:cs="宋体"/>
          <w:color w:val="auto"/>
          <w:sz w:val="24"/>
          <w:szCs w:val="24"/>
        </w:rPr>
      </w:pPr>
      <w:r>
        <w:rPr>
          <w:rFonts w:hint="eastAsia" w:ascii="宋体" w:hAnsi="宋体" w:cs="宋体"/>
          <w:color w:val="auto"/>
          <w:sz w:val="24"/>
          <w:szCs w:val="24"/>
        </w:rPr>
        <w:t>法定代表人（电子签名）：</w:t>
      </w:r>
    </w:p>
    <w:p w14:paraId="50148B3D">
      <w:pPr>
        <w:widowControl w:val="0"/>
        <w:tabs>
          <w:tab w:val="left" w:pos="9365"/>
        </w:tabs>
        <w:snapToGrid w:val="0"/>
        <w:spacing w:line="360" w:lineRule="auto"/>
        <w:jc w:val="left"/>
        <w:textAlignment w:val="top"/>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lang w:val="zh-CN"/>
        </w:rPr>
        <w:t xml:space="preserve">  年   月   日</w:t>
      </w:r>
    </w:p>
    <w:sectPr>
      <w:footerReference r:id="rId12" w:type="first"/>
      <w:footerReference r:id="rId11" w:type="default"/>
      <w:pgSz w:w="11905" w:h="16837"/>
      <w:pgMar w:top="1417" w:right="1417" w:bottom="1417" w:left="1417" w:header="567" w:footer="1077" w:gutter="0"/>
      <w:cols w:space="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华文宋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9392B">
    <w:pPr>
      <w:widowControl w:val="0"/>
      <w:snapToGrid w:val="0"/>
      <w:spacing w:line="240" w:lineRule="atLeast"/>
      <w:ind w:right="21"/>
      <w:jc w:val="left"/>
      <w:rPr>
        <w:rFonts w:ascii="宋体" w:hAnsi="宋体"/>
        <w:szCs w:val="21"/>
        <w:u w:val="single"/>
      </w:rPr>
    </w:pP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4445" t="0" r="0" b="3175"/>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wps:wsp>
                </a:graphicData>
              </a:graphic>
            </wp:anchor>
          </w:drawing>
        </mc:Choice>
        <mc:Fallback>
          <w:pict>
            <v:shape id="Text Box 1026"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d7nI2QAAAA4BAAAPAAAAAAAAAAEAIAAAACIAAABkcnMvZG93bnJldi54bWxQSwECFAAUAAAA&#10;CACHTuJAM+zpke0BAADiAwAADgAAAAAAAAABACAAAAAoAQAAZHJzL2Uyb0RvYy54bWxQSwUGAAAA&#10;AAYABgBZAQAAhwU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98D75">
    <w:pPr>
      <w:pStyle w:val="14"/>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218B157F">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989EA">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7CE2D">
    <w:pPr>
      <w:widowControl w:val="0"/>
      <w:snapToGrid w:val="0"/>
      <w:spacing w:line="240" w:lineRule="atLeast"/>
      <w:ind w:right="21"/>
      <w:jc w:val="left"/>
      <w:rPr>
        <w:rFonts w:ascii="宋体" w:hAnsi="宋体"/>
        <w:szCs w:val="21"/>
        <w:u w:val="single"/>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E0427">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3FE0427">
                    <w:pPr>
                      <w:pStyle w:val="14"/>
                    </w:pPr>
                    <w:r>
                      <w:fldChar w:fldCharType="begin"/>
                    </w:r>
                    <w:r>
                      <w:instrText xml:space="preserve"> PAGE  \* MERGEFORMAT </w:instrText>
                    </w:r>
                    <w:r>
                      <w:fldChar w:fldCharType="separate"/>
                    </w:r>
                    <w:r>
                      <w:t>0</w:t>
                    </w:r>
                    <w:r>
                      <w:fldChar w:fldCharType="end"/>
                    </w:r>
                  </w:p>
                </w:txbxContent>
              </v:textbox>
            </v:shape>
          </w:pict>
        </mc:Fallback>
      </mc:AlternateContent>
    </w:r>
    <w:r>
      <w:rPr>
        <w:rFonts w:ascii="宋体" w:hAnsi="宋体"/>
      </w:rPr>
      <mc:AlternateContent>
        <mc:Choice Requires="wps">
          <w:drawing>
            <wp:anchor distT="0" distB="0" distL="114300" distR="114300" simplePos="0" relativeHeight="251661312"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7"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wps:wsp>
                </a:graphicData>
              </a:graphic>
            </wp:anchor>
          </w:drawing>
        </mc:Choice>
        <mc:Fallback>
          <w:pict>
            <v:shape id="Text Box 1026" o:spid="_x0000_s1026" o:spt="202" type="#_x0000_t202" style="position:absolute;left:0pt;margin-left:70.85pt;margin-top:799.35pt;height:14.15pt;width:453.5pt;mso-position-horizontal-relative:page;mso-position-vertical-relative:page;z-index:-251655168;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ne5yNkAAAAOAQAADwAAAAAAAAABACAAAAAiAAAAZHJzL2Rvd25yZXYueG1sUEsBAhQAFAAA&#10;AAgAh07iQEnQMYfuAQAA4gMAAA4AAAAAAAAAAQAgAAAAKAEAAGRycy9lMm9Eb2MueG1sUEsFBgAA&#10;AAAGAAYAWQEAAIgFAAAAAA==&#10;">
              <v:fill on="f" focussize="0,0"/>
              <v:stroke on="f"/>
              <v:imagedata o:title=""/>
              <o:lock v:ext="edit" aspectratio="f"/>
              <v:textbox inset="0mm,0mm,0mm,0mm"/>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FED7D">
    <w:pPr>
      <w:pStyle w:val="14"/>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E9AE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BBE9AE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FBA6F">
    <w:pPr>
      <w:widowControl w:val="0"/>
      <w:snapToGrid w:val="0"/>
      <w:spacing w:line="240" w:lineRule="atLeast"/>
      <w:ind w:right="21"/>
      <w:jc w:val="left"/>
      <w:rPr>
        <w:rFonts w:ascii="宋体" w:hAnsi="宋体"/>
        <w:szCs w:val="21"/>
        <w:u w:val="single"/>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C08E3">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E0C08E3">
                    <w:pPr>
                      <w:pStyle w:val="14"/>
                    </w:pPr>
                    <w:r>
                      <w:fldChar w:fldCharType="begin"/>
                    </w:r>
                    <w:r>
                      <w:instrText xml:space="preserve"> PAGE  \* MERGEFORMAT </w:instrText>
                    </w:r>
                    <w:r>
                      <w:fldChar w:fldCharType="separate"/>
                    </w:r>
                    <w:r>
                      <w:t>8</w:t>
                    </w:r>
                    <w:r>
                      <w:fldChar w:fldCharType="end"/>
                    </w:r>
                  </w:p>
                </w:txbxContent>
              </v:textbox>
            </v:shape>
          </w:pict>
        </mc:Fallback>
      </mc:AlternateContent>
    </w:r>
    <w:r>
      <w:rPr>
        <w:rFonts w:ascii="宋体" w:hAnsi="宋体"/>
      </w:rPr>
      <mc:AlternateContent>
        <mc:Choice Requires="wps">
          <w:drawing>
            <wp:anchor distT="0" distB="0" distL="114300" distR="114300" simplePos="0" relativeHeight="251662336"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4"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wps:wsp>
                </a:graphicData>
              </a:graphic>
            </wp:anchor>
          </w:drawing>
        </mc:Choice>
        <mc:Fallback>
          <w:pict>
            <v:shape id="Text Box 1026" o:spid="_x0000_s1026" o:spt="202" type="#_x0000_t202" style="position:absolute;left:0pt;margin-left:70.85pt;margin-top:799.35pt;height:14.15pt;width:453.5pt;mso-position-horizontal-relative:page;mso-position-vertical-relative:page;z-index:-251654144;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J3ucjZAAAADgEAAA8AAAAAAAAAAQAgAAAAIgAAAGRycy9kb3ducmV2LnhtbFBLAQIUABQA&#10;AAAIAIdO4kB0zl2M7wEAAOIDAAAOAAAAAAAAAAEAIAAAACgBAABkcnMvZTJvRG9jLnhtbFBLBQYA&#10;AAAABgAGAFkBAACJBQAAAAA=&#10;">
              <v:fill on="f" focussize="0,0"/>
              <v:stroke on="f"/>
              <v:imagedata o:title=""/>
              <o:lock v:ext="edit" aspectratio="f"/>
              <v:textbox inset="0mm,0mm,0mm,0mm"/>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F12F">
    <w:pPr>
      <w:pStyle w:val="14"/>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45E7E">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CE45E7E">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018A7">
    <w:pPr>
      <w:widowControl w:val="0"/>
      <w:snapToGrid w:val="0"/>
      <w:spacing w:line="240" w:lineRule="atLeast"/>
      <w:rPr>
        <w:rFonts w:ascii="宋体" w:hAnsi="宋体"/>
        <w:szCs w:val="21"/>
      </w:rPr>
    </w:pP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4445" t="0" r="0" b="381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03&#10;TnHYAAAACgEAAA8AAAAAAAAAAQAgAAAAIgAAAGRycy9kb3ducmV2LnhtbFBLAQIUABQAAAAIAIdO&#10;4kArTft06gEAAN8DAAAOAAAAAAAAAAEAIAAAACcBAABkcnMvZTJvRG9jLnhtbFBLBQYAAAAABgAG&#10;AFkBAACDBQAAAAA=&#10;">
              <v:fill on="f" focussize="0,0"/>
              <v:stroke on="f"/>
              <v:imagedata o:title=""/>
              <o:lock v:ext="edit" aspectratio="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ZWE4YzE2MTg2MTc0Njk2ODg5NmZlN2Y2NTNkMzgifQ=="/>
  </w:docVars>
  <w:rsids>
    <w:rsidRoot w:val="00172A27"/>
    <w:rsid w:val="00001D7A"/>
    <w:rsid w:val="00004B3A"/>
    <w:rsid w:val="00007E7D"/>
    <w:rsid w:val="0001069F"/>
    <w:rsid w:val="00011DEE"/>
    <w:rsid w:val="000122B4"/>
    <w:rsid w:val="00013814"/>
    <w:rsid w:val="00013DB2"/>
    <w:rsid w:val="000140FB"/>
    <w:rsid w:val="000154B7"/>
    <w:rsid w:val="00017E1E"/>
    <w:rsid w:val="0002046F"/>
    <w:rsid w:val="00023676"/>
    <w:rsid w:val="00024608"/>
    <w:rsid w:val="00025F1E"/>
    <w:rsid w:val="0002701F"/>
    <w:rsid w:val="0002739B"/>
    <w:rsid w:val="0003351F"/>
    <w:rsid w:val="000339BC"/>
    <w:rsid w:val="00033BB5"/>
    <w:rsid w:val="00035118"/>
    <w:rsid w:val="0003567F"/>
    <w:rsid w:val="00035BA8"/>
    <w:rsid w:val="00036AA4"/>
    <w:rsid w:val="00040BE7"/>
    <w:rsid w:val="00041891"/>
    <w:rsid w:val="000421BD"/>
    <w:rsid w:val="00042CA8"/>
    <w:rsid w:val="00043821"/>
    <w:rsid w:val="00043CBA"/>
    <w:rsid w:val="0004440A"/>
    <w:rsid w:val="00044F84"/>
    <w:rsid w:val="000464B0"/>
    <w:rsid w:val="00046A4B"/>
    <w:rsid w:val="0005228B"/>
    <w:rsid w:val="00054E34"/>
    <w:rsid w:val="00055755"/>
    <w:rsid w:val="0005610F"/>
    <w:rsid w:val="00056832"/>
    <w:rsid w:val="000570E1"/>
    <w:rsid w:val="00057F78"/>
    <w:rsid w:val="000602CF"/>
    <w:rsid w:val="0006134B"/>
    <w:rsid w:val="000619AE"/>
    <w:rsid w:val="00062821"/>
    <w:rsid w:val="00067307"/>
    <w:rsid w:val="000673ED"/>
    <w:rsid w:val="00070AA2"/>
    <w:rsid w:val="00070FA8"/>
    <w:rsid w:val="00072834"/>
    <w:rsid w:val="0007390E"/>
    <w:rsid w:val="00073A45"/>
    <w:rsid w:val="00073DBF"/>
    <w:rsid w:val="00074766"/>
    <w:rsid w:val="00076A72"/>
    <w:rsid w:val="00077629"/>
    <w:rsid w:val="00080AE9"/>
    <w:rsid w:val="00081801"/>
    <w:rsid w:val="00081A15"/>
    <w:rsid w:val="00081C6C"/>
    <w:rsid w:val="000823AD"/>
    <w:rsid w:val="000829A8"/>
    <w:rsid w:val="00084D4F"/>
    <w:rsid w:val="00086B70"/>
    <w:rsid w:val="00086B8A"/>
    <w:rsid w:val="00086E8A"/>
    <w:rsid w:val="00090D6B"/>
    <w:rsid w:val="00090EB6"/>
    <w:rsid w:val="00091C5E"/>
    <w:rsid w:val="0009268E"/>
    <w:rsid w:val="00093A6B"/>
    <w:rsid w:val="00095619"/>
    <w:rsid w:val="000956CE"/>
    <w:rsid w:val="00095F8C"/>
    <w:rsid w:val="000A152E"/>
    <w:rsid w:val="000A1C72"/>
    <w:rsid w:val="000A23B3"/>
    <w:rsid w:val="000A34FC"/>
    <w:rsid w:val="000A3FE8"/>
    <w:rsid w:val="000A4640"/>
    <w:rsid w:val="000A52BA"/>
    <w:rsid w:val="000A55EE"/>
    <w:rsid w:val="000A6CD3"/>
    <w:rsid w:val="000A7CCE"/>
    <w:rsid w:val="000B0EC6"/>
    <w:rsid w:val="000B1334"/>
    <w:rsid w:val="000B1594"/>
    <w:rsid w:val="000B2047"/>
    <w:rsid w:val="000B3317"/>
    <w:rsid w:val="000B4758"/>
    <w:rsid w:val="000B53BD"/>
    <w:rsid w:val="000B5412"/>
    <w:rsid w:val="000B6571"/>
    <w:rsid w:val="000C2342"/>
    <w:rsid w:val="000C2AA6"/>
    <w:rsid w:val="000C4BA5"/>
    <w:rsid w:val="000C52C4"/>
    <w:rsid w:val="000C540C"/>
    <w:rsid w:val="000D1A25"/>
    <w:rsid w:val="000D2631"/>
    <w:rsid w:val="000D69FD"/>
    <w:rsid w:val="000D73D8"/>
    <w:rsid w:val="000D7EC1"/>
    <w:rsid w:val="000D7FEA"/>
    <w:rsid w:val="000E02FC"/>
    <w:rsid w:val="000E54A0"/>
    <w:rsid w:val="000E6D5E"/>
    <w:rsid w:val="000F01A2"/>
    <w:rsid w:val="000F108C"/>
    <w:rsid w:val="000F1C87"/>
    <w:rsid w:val="000F3188"/>
    <w:rsid w:val="000F3D46"/>
    <w:rsid w:val="000F4146"/>
    <w:rsid w:val="000F71A3"/>
    <w:rsid w:val="000F7917"/>
    <w:rsid w:val="00101317"/>
    <w:rsid w:val="00101EAB"/>
    <w:rsid w:val="001028BA"/>
    <w:rsid w:val="00107435"/>
    <w:rsid w:val="00107CF2"/>
    <w:rsid w:val="00110434"/>
    <w:rsid w:val="001118D4"/>
    <w:rsid w:val="00111995"/>
    <w:rsid w:val="00115866"/>
    <w:rsid w:val="00115EF5"/>
    <w:rsid w:val="00116357"/>
    <w:rsid w:val="001163D8"/>
    <w:rsid w:val="00117877"/>
    <w:rsid w:val="00117CF5"/>
    <w:rsid w:val="00120822"/>
    <w:rsid w:val="001215D2"/>
    <w:rsid w:val="00122DB7"/>
    <w:rsid w:val="00123128"/>
    <w:rsid w:val="001234C9"/>
    <w:rsid w:val="00125A47"/>
    <w:rsid w:val="00126132"/>
    <w:rsid w:val="001263CF"/>
    <w:rsid w:val="001271B9"/>
    <w:rsid w:val="00130DF9"/>
    <w:rsid w:val="00131B13"/>
    <w:rsid w:val="00131CCB"/>
    <w:rsid w:val="00132364"/>
    <w:rsid w:val="00133DE9"/>
    <w:rsid w:val="001342A5"/>
    <w:rsid w:val="00134B76"/>
    <w:rsid w:val="00135227"/>
    <w:rsid w:val="001378C9"/>
    <w:rsid w:val="001401E4"/>
    <w:rsid w:val="0014277A"/>
    <w:rsid w:val="001439BF"/>
    <w:rsid w:val="001443E8"/>
    <w:rsid w:val="00144E92"/>
    <w:rsid w:val="0015053C"/>
    <w:rsid w:val="001532B2"/>
    <w:rsid w:val="001537D5"/>
    <w:rsid w:val="00153A06"/>
    <w:rsid w:val="0016042E"/>
    <w:rsid w:val="00163724"/>
    <w:rsid w:val="001641D5"/>
    <w:rsid w:val="001667B4"/>
    <w:rsid w:val="00166938"/>
    <w:rsid w:val="0016693E"/>
    <w:rsid w:val="0016783C"/>
    <w:rsid w:val="001678FA"/>
    <w:rsid w:val="001708C3"/>
    <w:rsid w:val="00170AE1"/>
    <w:rsid w:val="00170E55"/>
    <w:rsid w:val="001719D7"/>
    <w:rsid w:val="00172A27"/>
    <w:rsid w:val="00172A7E"/>
    <w:rsid w:val="0017374F"/>
    <w:rsid w:val="001737C0"/>
    <w:rsid w:val="00175E3A"/>
    <w:rsid w:val="0018176D"/>
    <w:rsid w:val="00183040"/>
    <w:rsid w:val="00183C38"/>
    <w:rsid w:val="00184EAC"/>
    <w:rsid w:val="00185D0E"/>
    <w:rsid w:val="001863F6"/>
    <w:rsid w:val="00187D1F"/>
    <w:rsid w:val="001906CC"/>
    <w:rsid w:val="00194451"/>
    <w:rsid w:val="0019697C"/>
    <w:rsid w:val="001A0AB9"/>
    <w:rsid w:val="001A158E"/>
    <w:rsid w:val="001A1BB5"/>
    <w:rsid w:val="001A1D5B"/>
    <w:rsid w:val="001A2082"/>
    <w:rsid w:val="001A6D30"/>
    <w:rsid w:val="001A6EC8"/>
    <w:rsid w:val="001A733E"/>
    <w:rsid w:val="001B2A9F"/>
    <w:rsid w:val="001B4914"/>
    <w:rsid w:val="001B5626"/>
    <w:rsid w:val="001B6072"/>
    <w:rsid w:val="001B7C99"/>
    <w:rsid w:val="001C050D"/>
    <w:rsid w:val="001C0A01"/>
    <w:rsid w:val="001C2406"/>
    <w:rsid w:val="001C2D34"/>
    <w:rsid w:val="001C397C"/>
    <w:rsid w:val="001C3DAF"/>
    <w:rsid w:val="001C528B"/>
    <w:rsid w:val="001C6505"/>
    <w:rsid w:val="001D0DA4"/>
    <w:rsid w:val="001D14A1"/>
    <w:rsid w:val="001D17A7"/>
    <w:rsid w:val="001D22C4"/>
    <w:rsid w:val="001D2F63"/>
    <w:rsid w:val="001D3921"/>
    <w:rsid w:val="001D3B0B"/>
    <w:rsid w:val="001D4345"/>
    <w:rsid w:val="001D6398"/>
    <w:rsid w:val="001D6640"/>
    <w:rsid w:val="001E04F2"/>
    <w:rsid w:val="001E0705"/>
    <w:rsid w:val="001E0A3F"/>
    <w:rsid w:val="001E0C14"/>
    <w:rsid w:val="001E1A46"/>
    <w:rsid w:val="001E1F40"/>
    <w:rsid w:val="001E1FAC"/>
    <w:rsid w:val="001E2D57"/>
    <w:rsid w:val="001E30AE"/>
    <w:rsid w:val="001E45BE"/>
    <w:rsid w:val="001E55A2"/>
    <w:rsid w:val="001E571D"/>
    <w:rsid w:val="001E60A9"/>
    <w:rsid w:val="001F1D57"/>
    <w:rsid w:val="001F4C70"/>
    <w:rsid w:val="001F6921"/>
    <w:rsid w:val="001F6B5C"/>
    <w:rsid w:val="00203DFD"/>
    <w:rsid w:val="00204738"/>
    <w:rsid w:val="002052BF"/>
    <w:rsid w:val="00205670"/>
    <w:rsid w:val="00205716"/>
    <w:rsid w:val="0020578E"/>
    <w:rsid w:val="00205DC9"/>
    <w:rsid w:val="0020635B"/>
    <w:rsid w:val="002064E1"/>
    <w:rsid w:val="00207A71"/>
    <w:rsid w:val="00210346"/>
    <w:rsid w:val="00210733"/>
    <w:rsid w:val="00212022"/>
    <w:rsid w:val="002132BD"/>
    <w:rsid w:val="002146E7"/>
    <w:rsid w:val="00214DD7"/>
    <w:rsid w:val="00214F54"/>
    <w:rsid w:val="002155C5"/>
    <w:rsid w:val="0021781F"/>
    <w:rsid w:val="0022052D"/>
    <w:rsid w:val="00221964"/>
    <w:rsid w:val="002228C6"/>
    <w:rsid w:val="002238AE"/>
    <w:rsid w:val="0023012A"/>
    <w:rsid w:val="00231508"/>
    <w:rsid w:val="00231A9D"/>
    <w:rsid w:val="00231D21"/>
    <w:rsid w:val="0023255F"/>
    <w:rsid w:val="002341A2"/>
    <w:rsid w:val="00235FDC"/>
    <w:rsid w:val="00237A15"/>
    <w:rsid w:val="00240733"/>
    <w:rsid w:val="00241D3A"/>
    <w:rsid w:val="0024269B"/>
    <w:rsid w:val="00244532"/>
    <w:rsid w:val="0024502A"/>
    <w:rsid w:val="0024541C"/>
    <w:rsid w:val="0024559D"/>
    <w:rsid w:val="00245CBE"/>
    <w:rsid w:val="00247523"/>
    <w:rsid w:val="00247993"/>
    <w:rsid w:val="002511FE"/>
    <w:rsid w:val="0025383B"/>
    <w:rsid w:val="00254F6E"/>
    <w:rsid w:val="002574D7"/>
    <w:rsid w:val="00257B22"/>
    <w:rsid w:val="002602F6"/>
    <w:rsid w:val="00260435"/>
    <w:rsid w:val="00262D1F"/>
    <w:rsid w:val="00264999"/>
    <w:rsid w:val="00264BD8"/>
    <w:rsid w:val="002665E4"/>
    <w:rsid w:val="002673AF"/>
    <w:rsid w:val="0027067C"/>
    <w:rsid w:val="00270FE1"/>
    <w:rsid w:val="00271ABB"/>
    <w:rsid w:val="00272B6B"/>
    <w:rsid w:val="00272CD3"/>
    <w:rsid w:val="00272DEC"/>
    <w:rsid w:val="0027329A"/>
    <w:rsid w:val="00273FB6"/>
    <w:rsid w:val="00275945"/>
    <w:rsid w:val="002759A2"/>
    <w:rsid w:val="00276204"/>
    <w:rsid w:val="00280E45"/>
    <w:rsid w:val="002810F8"/>
    <w:rsid w:val="0028181D"/>
    <w:rsid w:val="00281F3D"/>
    <w:rsid w:val="0028291D"/>
    <w:rsid w:val="002858E7"/>
    <w:rsid w:val="00285BA0"/>
    <w:rsid w:val="0029010D"/>
    <w:rsid w:val="00290D50"/>
    <w:rsid w:val="00291608"/>
    <w:rsid w:val="0029401C"/>
    <w:rsid w:val="0029442F"/>
    <w:rsid w:val="00294947"/>
    <w:rsid w:val="0029595B"/>
    <w:rsid w:val="00295A34"/>
    <w:rsid w:val="00296060"/>
    <w:rsid w:val="00296501"/>
    <w:rsid w:val="002968C0"/>
    <w:rsid w:val="002975BF"/>
    <w:rsid w:val="002A0696"/>
    <w:rsid w:val="002A0824"/>
    <w:rsid w:val="002A2037"/>
    <w:rsid w:val="002A2B5C"/>
    <w:rsid w:val="002A2EAF"/>
    <w:rsid w:val="002A35F6"/>
    <w:rsid w:val="002A4898"/>
    <w:rsid w:val="002A4F6F"/>
    <w:rsid w:val="002A5411"/>
    <w:rsid w:val="002A6D86"/>
    <w:rsid w:val="002A7073"/>
    <w:rsid w:val="002A7814"/>
    <w:rsid w:val="002B1A64"/>
    <w:rsid w:val="002B3090"/>
    <w:rsid w:val="002B5E0D"/>
    <w:rsid w:val="002C00FF"/>
    <w:rsid w:val="002C11FF"/>
    <w:rsid w:val="002C29D7"/>
    <w:rsid w:val="002C3330"/>
    <w:rsid w:val="002C580B"/>
    <w:rsid w:val="002D1708"/>
    <w:rsid w:val="002D1EC7"/>
    <w:rsid w:val="002D2579"/>
    <w:rsid w:val="002D2CB8"/>
    <w:rsid w:val="002D40A9"/>
    <w:rsid w:val="002D5174"/>
    <w:rsid w:val="002D5D50"/>
    <w:rsid w:val="002D6349"/>
    <w:rsid w:val="002D6B6F"/>
    <w:rsid w:val="002D70C6"/>
    <w:rsid w:val="002D7628"/>
    <w:rsid w:val="002D7A77"/>
    <w:rsid w:val="002D7BE8"/>
    <w:rsid w:val="002E098C"/>
    <w:rsid w:val="002E10EE"/>
    <w:rsid w:val="002E3E40"/>
    <w:rsid w:val="002E76EF"/>
    <w:rsid w:val="002E7E70"/>
    <w:rsid w:val="002F08C6"/>
    <w:rsid w:val="002F24F3"/>
    <w:rsid w:val="002F2754"/>
    <w:rsid w:val="002F37CB"/>
    <w:rsid w:val="002F4ADA"/>
    <w:rsid w:val="002F5465"/>
    <w:rsid w:val="002F7AD0"/>
    <w:rsid w:val="002F7EF3"/>
    <w:rsid w:val="002F7F3A"/>
    <w:rsid w:val="00300601"/>
    <w:rsid w:val="0030084A"/>
    <w:rsid w:val="0030169A"/>
    <w:rsid w:val="00306123"/>
    <w:rsid w:val="00307CF1"/>
    <w:rsid w:val="0031007D"/>
    <w:rsid w:val="003110D4"/>
    <w:rsid w:val="00311939"/>
    <w:rsid w:val="00311B9B"/>
    <w:rsid w:val="003157D1"/>
    <w:rsid w:val="00316A48"/>
    <w:rsid w:val="00317013"/>
    <w:rsid w:val="00317222"/>
    <w:rsid w:val="00317D7F"/>
    <w:rsid w:val="00320DF9"/>
    <w:rsid w:val="003214B1"/>
    <w:rsid w:val="00322799"/>
    <w:rsid w:val="00322900"/>
    <w:rsid w:val="003241F1"/>
    <w:rsid w:val="0032688F"/>
    <w:rsid w:val="00331D60"/>
    <w:rsid w:val="00332C6F"/>
    <w:rsid w:val="003343AD"/>
    <w:rsid w:val="00334CC7"/>
    <w:rsid w:val="003355B7"/>
    <w:rsid w:val="00336AAB"/>
    <w:rsid w:val="0034150B"/>
    <w:rsid w:val="00342477"/>
    <w:rsid w:val="0034283D"/>
    <w:rsid w:val="00343634"/>
    <w:rsid w:val="00343968"/>
    <w:rsid w:val="003439E0"/>
    <w:rsid w:val="00343A1D"/>
    <w:rsid w:val="00343D9C"/>
    <w:rsid w:val="00350611"/>
    <w:rsid w:val="0035121B"/>
    <w:rsid w:val="003521AC"/>
    <w:rsid w:val="00352D4E"/>
    <w:rsid w:val="00354452"/>
    <w:rsid w:val="00354D02"/>
    <w:rsid w:val="00356193"/>
    <w:rsid w:val="00356631"/>
    <w:rsid w:val="00356A9C"/>
    <w:rsid w:val="00357F64"/>
    <w:rsid w:val="00360068"/>
    <w:rsid w:val="0036067C"/>
    <w:rsid w:val="0036276F"/>
    <w:rsid w:val="003634F4"/>
    <w:rsid w:val="00363B02"/>
    <w:rsid w:val="003641AE"/>
    <w:rsid w:val="003642B6"/>
    <w:rsid w:val="003655E9"/>
    <w:rsid w:val="00365BD8"/>
    <w:rsid w:val="00367D22"/>
    <w:rsid w:val="003714A2"/>
    <w:rsid w:val="00371760"/>
    <w:rsid w:val="00371CE6"/>
    <w:rsid w:val="00376869"/>
    <w:rsid w:val="00376E42"/>
    <w:rsid w:val="00377440"/>
    <w:rsid w:val="00377AE0"/>
    <w:rsid w:val="00380598"/>
    <w:rsid w:val="00381B01"/>
    <w:rsid w:val="003829D9"/>
    <w:rsid w:val="00383B17"/>
    <w:rsid w:val="00384013"/>
    <w:rsid w:val="0038471F"/>
    <w:rsid w:val="00384A92"/>
    <w:rsid w:val="003854F3"/>
    <w:rsid w:val="00386518"/>
    <w:rsid w:val="003875CD"/>
    <w:rsid w:val="00387FBB"/>
    <w:rsid w:val="00390A4F"/>
    <w:rsid w:val="00391A61"/>
    <w:rsid w:val="00397B1C"/>
    <w:rsid w:val="00397E86"/>
    <w:rsid w:val="003A0C28"/>
    <w:rsid w:val="003A1388"/>
    <w:rsid w:val="003A1D20"/>
    <w:rsid w:val="003A258C"/>
    <w:rsid w:val="003A3330"/>
    <w:rsid w:val="003A37AB"/>
    <w:rsid w:val="003A40E7"/>
    <w:rsid w:val="003A4472"/>
    <w:rsid w:val="003A47C4"/>
    <w:rsid w:val="003A78B7"/>
    <w:rsid w:val="003B1C86"/>
    <w:rsid w:val="003B4A06"/>
    <w:rsid w:val="003B5D61"/>
    <w:rsid w:val="003B5D7B"/>
    <w:rsid w:val="003B5F19"/>
    <w:rsid w:val="003B67A0"/>
    <w:rsid w:val="003B72E5"/>
    <w:rsid w:val="003B7ACE"/>
    <w:rsid w:val="003C0859"/>
    <w:rsid w:val="003C0E0B"/>
    <w:rsid w:val="003C1220"/>
    <w:rsid w:val="003C4237"/>
    <w:rsid w:val="003C5626"/>
    <w:rsid w:val="003C6339"/>
    <w:rsid w:val="003C6B76"/>
    <w:rsid w:val="003D3B92"/>
    <w:rsid w:val="003D4056"/>
    <w:rsid w:val="003D415D"/>
    <w:rsid w:val="003D46D1"/>
    <w:rsid w:val="003D756F"/>
    <w:rsid w:val="003D7EC2"/>
    <w:rsid w:val="003E0044"/>
    <w:rsid w:val="003E1BD5"/>
    <w:rsid w:val="003E1BE9"/>
    <w:rsid w:val="003E3AC3"/>
    <w:rsid w:val="003E58E5"/>
    <w:rsid w:val="003E58FF"/>
    <w:rsid w:val="003E5EE1"/>
    <w:rsid w:val="003E7C9B"/>
    <w:rsid w:val="003E7D25"/>
    <w:rsid w:val="003F0417"/>
    <w:rsid w:val="003F4210"/>
    <w:rsid w:val="003F688C"/>
    <w:rsid w:val="00400DD3"/>
    <w:rsid w:val="00403958"/>
    <w:rsid w:val="004073DB"/>
    <w:rsid w:val="004137F3"/>
    <w:rsid w:val="00414F84"/>
    <w:rsid w:val="00415470"/>
    <w:rsid w:val="00415CFA"/>
    <w:rsid w:val="00416388"/>
    <w:rsid w:val="00417D4F"/>
    <w:rsid w:val="00421975"/>
    <w:rsid w:val="004223F4"/>
    <w:rsid w:val="004223F7"/>
    <w:rsid w:val="00422BB8"/>
    <w:rsid w:val="004237AF"/>
    <w:rsid w:val="00426990"/>
    <w:rsid w:val="004300B5"/>
    <w:rsid w:val="00433561"/>
    <w:rsid w:val="004342C9"/>
    <w:rsid w:val="0043683E"/>
    <w:rsid w:val="0043770E"/>
    <w:rsid w:val="00440412"/>
    <w:rsid w:val="00440804"/>
    <w:rsid w:val="00443935"/>
    <w:rsid w:val="00443963"/>
    <w:rsid w:val="00443E0B"/>
    <w:rsid w:val="004442B3"/>
    <w:rsid w:val="00444D59"/>
    <w:rsid w:val="00446551"/>
    <w:rsid w:val="00447654"/>
    <w:rsid w:val="00447D75"/>
    <w:rsid w:val="004513F9"/>
    <w:rsid w:val="00451DAE"/>
    <w:rsid w:val="00452F36"/>
    <w:rsid w:val="00453130"/>
    <w:rsid w:val="0045394E"/>
    <w:rsid w:val="00454535"/>
    <w:rsid w:val="00454B5D"/>
    <w:rsid w:val="00455B44"/>
    <w:rsid w:val="00456CDF"/>
    <w:rsid w:val="00456FA3"/>
    <w:rsid w:val="0045754E"/>
    <w:rsid w:val="00460E98"/>
    <w:rsid w:val="00461626"/>
    <w:rsid w:val="0046275C"/>
    <w:rsid w:val="004640E1"/>
    <w:rsid w:val="00465462"/>
    <w:rsid w:val="00471684"/>
    <w:rsid w:val="00471F6B"/>
    <w:rsid w:val="0047305B"/>
    <w:rsid w:val="0047493D"/>
    <w:rsid w:val="00475A0F"/>
    <w:rsid w:val="00476388"/>
    <w:rsid w:val="00476EF6"/>
    <w:rsid w:val="004771A7"/>
    <w:rsid w:val="00477DF1"/>
    <w:rsid w:val="004805E1"/>
    <w:rsid w:val="0048194E"/>
    <w:rsid w:val="004819D3"/>
    <w:rsid w:val="00481D33"/>
    <w:rsid w:val="00481EFC"/>
    <w:rsid w:val="0048481A"/>
    <w:rsid w:val="00486D4E"/>
    <w:rsid w:val="004874BB"/>
    <w:rsid w:val="00487F50"/>
    <w:rsid w:val="00490DEF"/>
    <w:rsid w:val="0049307F"/>
    <w:rsid w:val="0049352F"/>
    <w:rsid w:val="00497B97"/>
    <w:rsid w:val="004A28E9"/>
    <w:rsid w:val="004A38BF"/>
    <w:rsid w:val="004A4443"/>
    <w:rsid w:val="004A465C"/>
    <w:rsid w:val="004A494B"/>
    <w:rsid w:val="004A5683"/>
    <w:rsid w:val="004A5A5E"/>
    <w:rsid w:val="004A647D"/>
    <w:rsid w:val="004A6BB2"/>
    <w:rsid w:val="004A7816"/>
    <w:rsid w:val="004A791C"/>
    <w:rsid w:val="004A7C35"/>
    <w:rsid w:val="004B0A0E"/>
    <w:rsid w:val="004B10CD"/>
    <w:rsid w:val="004B2765"/>
    <w:rsid w:val="004B6646"/>
    <w:rsid w:val="004B6984"/>
    <w:rsid w:val="004C05F2"/>
    <w:rsid w:val="004C1E04"/>
    <w:rsid w:val="004C1EBB"/>
    <w:rsid w:val="004C407E"/>
    <w:rsid w:val="004C506F"/>
    <w:rsid w:val="004C6C03"/>
    <w:rsid w:val="004C7A15"/>
    <w:rsid w:val="004D10B1"/>
    <w:rsid w:val="004D11B7"/>
    <w:rsid w:val="004D57A0"/>
    <w:rsid w:val="004D5F36"/>
    <w:rsid w:val="004D7DD5"/>
    <w:rsid w:val="004E0791"/>
    <w:rsid w:val="004E431E"/>
    <w:rsid w:val="004E44CC"/>
    <w:rsid w:val="004E50CC"/>
    <w:rsid w:val="004E587A"/>
    <w:rsid w:val="004E5CA5"/>
    <w:rsid w:val="004E6F0E"/>
    <w:rsid w:val="004E797E"/>
    <w:rsid w:val="004F02F2"/>
    <w:rsid w:val="004F16A1"/>
    <w:rsid w:val="004F1918"/>
    <w:rsid w:val="004F2DDA"/>
    <w:rsid w:val="004F48F5"/>
    <w:rsid w:val="004F4B65"/>
    <w:rsid w:val="004F6370"/>
    <w:rsid w:val="004F75EB"/>
    <w:rsid w:val="005005D1"/>
    <w:rsid w:val="00502DF4"/>
    <w:rsid w:val="005034FC"/>
    <w:rsid w:val="00503795"/>
    <w:rsid w:val="00503F67"/>
    <w:rsid w:val="005044B9"/>
    <w:rsid w:val="005055E2"/>
    <w:rsid w:val="00507AFA"/>
    <w:rsid w:val="005106D5"/>
    <w:rsid w:val="005112F3"/>
    <w:rsid w:val="0051257B"/>
    <w:rsid w:val="00517BF1"/>
    <w:rsid w:val="00520645"/>
    <w:rsid w:val="00520920"/>
    <w:rsid w:val="00521C1F"/>
    <w:rsid w:val="0052426A"/>
    <w:rsid w:val="00524C98"/>
    <w:rsid w:val="00524D6D"/>
    <w:rsid w:val="005252C0"/>
    <w:rsid w:val="00530725"/>
    <w:rsid w:val="00530CE7"/>
    <w:rsid w:val="005316A8"/>
    <w:rsid w:val="0053300B"/>
    <w:rsid w:val="00534489"/>
    <w:rsid w:val="00535C65"/>
    <w:rsid w:val="0053682D"/>
    <w:rsid w:val="00540FEC"/>
    <w:rsid w:val="005414D6"/>
    <w:rsid w:val="00541F83"/>
    <w:rsid w:val="00542766"/>
    <w:rsid w:val="005430C7"/>
    <w:rsid w:val="00543809"/>
    <w:rsid w:val="00543CB6"/>
    <w:rsid w:val="00543EC9"/>
    <w:rsid w:val="005446B0"/>
    <w:rsid w:val="00546DF7"/>
    <w:rsid w:val="005475A9"/>
    <w:rsid w:val="00547E4F"/>
    <w:rsid w:val="00551DFC"/>
    <w:rsid w:val="0055211A"/>
    <w:rsid w:val="00554187"/>
    <w:rsid w:val="00555958"/>
    <w:rsid w:val="005605F8"/>
    <w:rsid w:val="00560975"/>
    <w:rsid w:val="005615D4"/>
    <w:rsid w:val="00561C28"/>
    <w:rsid w:val="005650C2"/>
    <w:rsid w:val="00565A8C"/>
    <w:rsid w:val="00565D2E"/>
    <w:rsid w:val="00566FDE"/>
    <w:rsid w:val="00573012"/>
    <w:rsid w:val="005731AA"/>
    <w:rsid w:val="00574068"/>
    <w:rsid w:val="00575709"/>
    <w:rsid w:val="005773BE"/>
    <w:rsid w:val="005804F3"/>
    <w:rsid w:val="00580954"/>
    <w:rsid w:val="005824F8"/>
    <w:rsid w:val="00583A5C"/>
    <w:rsid w:val="00584C19"/>
    <w:rsid w:val="005850D6"/>
    <w:rsid w:val="005863B3"/>
    <w:rsid w:val="0058643C"/>
    <w:rsid w:val="005866BD"/>
    <w:rsid w:val="00586EDA"/>
    <w:rsid w:val="005927CD"/>
    <w:rsid w:val="0059343A"/>
    <w:rsid w:val="005964EC"/>
    <w:rsid w:val="005A0661"/>
    <w:rsid w:val="005A1A2F"/>
    <w:rsid w:val="005A1FDF"/>
    <w:rsid w:val="005A2BEB"/>
    <w:rsid w:val="005A39AF"/>
    <w:rsid w:val="005A44A7"/>
    <w:rsid w:val="005A4F1F"/>
    <w:rsid w:val="005A61BC"/>
    <w:rsid w:val="005A6511"/>
    <w:rsid w:val="005A6544"/>
    <w:rsid w:val="005A6732"/>
    <w:rsid w:val="005A69C1"/>
    <w:rsid w:val="005A7272"/>
    <w:rsid w:val="005A7EC2"/>
    <w:rsid w:val="005B19C2"/>
    <w:rsid w:val="005B304D"/>
    <w:rsid w:val="005B334E"/>
    <w:rsid w:val="005B3FB5"/>
    <w:rsid w:val="005B68EC"/>
    <w:rsid w:val="005C2265"/>
    <w:rsid w:val="005C3B65"/>
    <w:rsid w:val="005C71EA"/>
    <w:rsid w:val="005D248A"/>
    <w:rsid w:val="005D2AF6"/>
    <w:rsid w:val="005D2C74"/>
    <w:rsid w:val="005D2CB5"/>
    <w:rsid w:val="005D386F"/>
    <w:rsid w:val="005D511D"/>
    <w:rsid w:val="005D7100"/>
    <w:rsid w:val="005D72C1"/>
    <w:rsid w:val="005E3DC5"/>
    <w:rsid w:val="005E4813"/>
    <w:rsid w:val="005E6E82"/>
    <w:rsid w:val="005F1BF2"/>
    <w:rsid w:val="005F2B98"/>
    <w:rsid w:val="005F6167"/>
    <w:rsid w:val="00600AD2"/>
    <w:rsid w:val="006016E4"/>
    <w:rsid w:val="006031DC"/>
    <w:rsid w:val="006035CB"/>
    <w:rsid w:val="00604122"/>
    <w:rsid w:val="0060535C"/>
    <w:rsid w:val="00606709"/>
    <w:rsid w:val="00606C61"/>
    <w:rsid w:val="00613D71"/>
    <w:rsid w:val="00615523"/>
    <w:rsid w:val="00615DBE"/>
    <w:rsid w:val="006161C5"/>
    <w:rsid w:val="006225EA"/>
    <w:rsid w:val="00624E86"/>
    <w:rsid w:val="00625C51"/>
    <w:rsid w:val="00626DC6"/>
    <w:rsid w:val="00626E6E"/>
    <w:rsid w:val="00630B77"/>
    <w:rsid w:val="006313EC"/>
    <w:rsid w:val="00631BE9"/>
    <w:rsid w:val="00633872"/>
    <w:rsid w:val="0063507E"/>
    <w:rsid w:val="006353A6"/>
    <w:rsid w:val="006369CC"/>
    <w:rsid w:val="006374EF"/>
    <w:rsid w:val="00637BA2"/>
    <w:rsid w:val="00643CAC"/>
    <w:rsid w:val="00643E16"/>
    <w:rsid w:val="00646631"/>
    <w:rsid w:val="00647EDF"/>
    <w:rsid w:val="00647F26"/>
    <w:rsid w:val="006536D6"/>
    <w:rsid w:val="00654B00"/>
    <w:rsid w:val="00655415"/>
    <w:rsid w:val="006555FF"/>
    <w:rsid w:val="006560FF"/>
    <w:rsid w:val="00657382"/>
    <w:rsid w:val="00657569"/>
    <w:rsid w:val="00662875"/>
    <w:rsid w:val="00662C7C"/>
    <w:rsid w:val="00663399"/>
    <w:rsid w:val="006635A7"/>
    <w:rsid w:val="006649C6"/>
    <w:rsid w:val="006656A2"/>
    <w:rsid w:val="00665738"/>
    <w:rsid w:val="00666247"/>
    <w:rsid w:val="006679EB"/>
    <w:rsid w:val="00671EF7"/>
    <w:rsid w:val="00671FA8"/>
    <w:rsid w:val="00672684"/>
    <w:rsid w:val="00674F5E"/>
    <w:rsid w:val="006763B3"/>
    <w:rsid w:val="00682F0F"/>
    <w:rsid w:val="00683222"/>
    <w:rsid w:val="00685F1B"/>
    <w:rsid w:val="00686A7A"/>
    <w:rsid w:val="00686C76"/>
    <w:rsid w:val="00686F46"/>
    <w:rsid w:val="00687B51"/>
    <w:rsid w:val="006900BC"/>
    <w:rsid w:val="006907CD"/>
    <w:rsid w:val="00692DDF"/>
    <w:rsid w:val="0069376A"/>
    <w:rsid w:val="00694554"/>
    <w:rsid w:val="00695074"/>
    <w:rsid w:val="00696578"/>
    <w:rsid w:val="006A077D"/>
    <w:rsid w:val="006A1725"/>
    <w:rsid w:val="006A211F"/>
    <w:rsid w:val="006A4311"/>
    <w:rsid w:val="006A5EAE"/>
    <w:rsid w:val="006A633A"/>
    <w:rsid w:val="006A76FE"/>
    <w:rsid w:val="006B46DC"/>
    <w:rsid w:val="006B5557"/>
    <w:rsid w:val="006B5CB6"/>
    <w:rsid w:val="006B666A"/>
    <w:rsid w:val="006B7F89"/>
    <w:rsid w:val="006C3846"/>
    <w:rsid w:val="006C3BF0"/>
    <w:rsid w:val="006C4725"/>
    <w:rsid w:val="006C4B2D"/>
    <w:rsid w:val="006C5D6A"/>
    <w:rsid w:val="006C76B1"/>
    <w:rsid w:val="006D221B"/>
    <w:rsid w:val="006D4845"/>
    <w:rsid w:val="006D7839"/>
    <w:rsid w:val="006E02B1"/>
    <w:rsid w:val="006E157D"/>
    <w:rsid w:val="006E3615"/>
    <w:rsid w:val="006E6DDB"/>
    <w:rsid w:val="006F0AC4"/>
    <w:rsid w:val="006F0EEC"/>
    <w:rsid w:val="006F2CEE"/>
    <w:rsid w:val="006F3384"/>
    <w:rsid w:val="006F5195"/>
    <w:rsid w:val="006F5426"/>
    <w:rsid w:val="006F61C3"/>
    <w:rsid w:val="006F65DD"/>
    <w:rsid w:val="006F732E"/>
    <w:rsid w:val="006F7546"/>
    <w:rsid w:val="00700495"/>
    <w:rsid w:val="00702286"/>
    <w:rsid w:val="0070375B"/>
    <w:rsid w:val="00705060"/>
    <w:rsid w:val="00705F0C"/>
    <w:rsid w:val="007064D1"/>
    <w:rsid w:val="00710F95"/>
    <w:rsid w:val="007110F6"/>
    <w:rsid w:val="007132C1"/>
    <w:rsid w:val="00714445"/>
    <w:rsid w:val="00720F15"/>
    <w:rsid w:val="0072283F"/>
    <w:rsid w:val="00722DD9"/>
    <w:rsid w:val="0072306E"/>
    <w:rsid w:val="007269A4"/>
    <w:rsid w:val="0073136A"/>
    <w:rsid w:val="00733E60"/>
    <w:rsid w:val="007343BA"/>
    <w:rsid w:val="00734BF0"/>
    <w:rsid w:val="007358D4"/>
    <w:rsid w:val="007362E1"/>
    <w:rsid w:val="007375A2"/>
    <w:rsid w:val="00737D3F"/>
    <w:rsid w:val="00740FCA"/>
    <w:rsid w:val="007411EA"/>
    <w:rsid w:val="00742808"/>
    <w:rsid w:val="00743133"/>
    <w:rsid w:val="0074512B"/>
    <w:rsid w:val="00745330"/>
    <w:rsid w:val="00745FC7"/>
    <w:rsid w:val="00746653"/>
    <w:rsid w:val="0075061D"/>
    <w:rsid w:val="007506CA"/>
    <w:rsid w:val="00753442"/>
    <w:rsid w:val="00754000"/>
    <w:rsid w:val="0075584E"/>
    <w:rsid w:val="00760447"/>
    <w:rsid w:val="00760C76"/>
    <w:rsid w:val="00761258"/>
    <w:rsid w:val="007616E0"/>
    <w:rsid w:val="007623A6"/>
    <w:rsid w:val="007639A9"/>
    <w:rsid w:val="0076632F"/>
    <w:rsid w:val="00771BDB"/>
    <w:rsid w:val="00772247"/>
    <w:rsid w:val="0077232F"/>
    <w:rsid w:val="0077268E"/>
    <w:rsid w:val="0078222F"/>
    <w:rsid w:val="007830DD"/>
    <w:rsid w:val="00783259"/>
    <w:rsid w:val="0078401E"/>
    <w:rsid w:val="00784AE6"/>
    <w:rsid w:val="00784CA4"/>
    <w:rsid w:val="00784D51"/>
    <w:rsid w:val="0078521D"/>
    <w:rsid w:val="00787769"/>
    <w:rsid w:val="00787D03"/>
    <w:rsid w:val="0079034F"/>
    <w:rsid w:val="0079060C"/>
    <w:rsid w:val="007907DE"/>
    <w:rsid w:val="007910EF"/>
    <w:rsid w:val="00791384"/>
    <w:rsid w:val="007940AE"/>
    <w:rsid w:val="00794FBE"/>
    <w:rsid w:val="00795E8D"/>
    <w:rsid w:val="00797162"/>
    <w:rsid w:val="00797A49"/>
    <w:rsid w:val="007A0227"/>
    <w:rsid w:val="007A1908"/>
    <w:rsid w:val="007A31E6"/>
    <w:rsid w:val="007A3201"/>
    <w:rsid w:val="007A3987"/>
    <w:rsid w:val="007A4951"/>
    <w:rsid w:val="007A69E3"/>
    <w:rsid w:val="007A7D92"/>
    <w:rsid w:val="007B1D8C"/>
    <w:rsid w:val="007B2424"/>
    <w:rsid w:val="007B39B5"/>
    <w:rsid w:val="007B3C6E"/>
    <w:rsid w:val="007B62B0"/>
    <w:rsid w:val="007B677B"/>
    <w:rsid w:val="007B6C53"/>
    <w:rsid w:val="007B76CF"/>
    <w:rsid w:val="007C06DB"/>
    <w:rsid w:val="007C07F2"/>
    <w:rsid w:val="007C1AA6"/>
    <w:rsid w:val="007C442F"/>
    <w:rsid w:val="007C4873"/>
    <w:rsid w:val="007C6E2F"/>
    <w:rsid w:val="007C73A9"/>
    <w:rsid w:val="007C7F1C"/>
    <w:rsid w:val="007D02CF"/>
    <w:rsid w:val="007D0693"/>
    <w:rsid w:val="007D0860"/>
    <w:rsid w:val="007D26D0"/>
    <w:rsid w:val="007D2F6E"/>
    <w:rsid w:val="007D502C"/>
    <w:rsid w:val="007D53D2"/>
    <w:rsid w:val="007D542C"/>
    <w:rsid w:val="007D5FB6"/>
    <w:rsid w:val="007D6337"/>
    <w:rsid w:val="007D71B9"/>
    <w:rsid w:val="007D737E"/>
    <w:rsid w:val="007E03DA"/>
    <w:rsid w:val="007E0E19"/>
    <w:rsid w:val="007E21C1"/>
    <w:rsid w:val="007E50F9"/>
    <w:rsid w:val="007E6B47"/>
    <w:rsid w:val="007E7CC7"/>
    <w:rsid w:val="007F12B7"/>
    <w:rsid w:val="007F1E10"/>
    <w:rsid w:val="007F25A9"/>
    <w:rsid w:val="007F33A7"/>
    <w:rsid w:val="007F35ED"/>
    <w:rsid w:val="0080080F"/>
    <w:rsid w:val="00800944"/>
    <w:rsid w:val="00800DA8"/>
    <w:rsid w:val="00801036"/>
    <w:rsid w:val="00801199"/>
    <w:rsid w:val="00801575"/>
    <w:rsid w:val="0080418D"/>
    <w:rsid w:val="00804799"/>
    <w:rsid w:val="00804A64"/>
    <w:rsid w:val="00804F81"/>
    <w:rsid w:val="00810E4C"/>
    <w:rsid w:val="00811C1B"/>
    <w:rsid w:val="00812C4E"/>
    <w:rsid w:val="00813D5B"/>
    <w:rsid w:val="00815D71"/>
    <w:rsid w:val="00820836"/>
    <w:rsid w:val="00821591"/>
    <w:rsid w:val="008231BA"/>
    <w:rsid w:val="008236C3"/>
    <w:rsid w:val="00824005"/>
    <w:rsid w:val="00824E2B"/>
    <w:rsid w:val="00826779"/>
    <w:rsid w:val="00826980"/>
    <w:rsid w:val="008306DE"/>
    <w:rsid w:val="008313B2"/>
    <w:rsid w:val="00831E17"/>
    <w:rsid w:val="00832B98"/>
    <w:rsid w:val="008350F8"/>
    <w:rsid w:val="00835E18"/>
    <w:rsid w:val="00837F0A"/>
    <w:rsid w:val="00840199"/>
    <w:rsid w:val="008405A7"/>
    <w:rsid w:val="00842423"/>
    <w:rsid w:val="0084319C"/>
    <w:rsid w:val="008437C4"/>
    <w:rsid w:val="00851660"/>
    <w:rsid w:val="00853B0C"/>
    <w:rsid w:val="00853B1B"/>
    <w:rsid w:val="00854838"/>
    <w:rsid w:val="00857361"/>
    <w:rsid w:val="008577D4"/>
    <w:rsid w:val="00860BCB"/>
    <w:rsid w:val="00860DDC"/>
    <w:rsid w:val="00861136"/>
    <w:rsid w:val="00862065"/>
    <w:rsid w:val="0086232F"/>
    <w:rsid w:val="00862400"/>
    <w:rsid w:val="00863DB6"/>
    <w:rsid w:val="00863FD0"/>
    <w:rsid w:val="00867539"/>
    <w:rsid w:val="008675E3"/>
    <w:rsid w:val="008720D8"/>
    <w:rsid w:val="00872FF8"/>
    <w:rsid w:val="0087367F"/>
    <w:rsid w:val="00873A06"/>
    <w:rsid w:val="008743C8"/>
    <w:rsid w:val="00874D70"/>
    <w:rsid w:val="00875555"/>
    <w:rsid w:val="00876C81"/>
    <w:rsid w:val="0087789D"/>
    <w:rsid w:val="008838C7"/>
    <w:rsid w:val="00883E6C"/>
    <w:rsid w:val="008862B5"/>
    <w:rsid w:val="0088721E"/>
    <w:rsid w:val="0088740B"/>
    <w:rsid w:val="00887544"/>
    <w:rsid w:val="008908F5"/>
    <w:rsid w:val="00890A4C"/>
    <w:rsid w:val="00890DDA"/>
    <w:rsid w:val="00891914"/>
    <w:rsid w:val="008945FD"/>
    <w:rsid w:val="00894A72"/>
    <w:rsid w:val="008951AC"/>
    <w:rsid w:val="008961B7"/>
    <w:rsid w:val="0089677E"/>
    <w:rsid w:val="00897483"/>
    <w:rsid w:val="008978CC"/>
    <w:rsid w:val="008A072A"/>
    <w:rsid w:val="008A1053"/>
    <w:rsid w:val="008A1A66"/>
    <w:rsid w:val="008A1FED"/>
    <w:rsid w:val="008A227F"/>
    <w:rsid w:val="008A2418"/>
    <w:rsid w:val="008A5499"/>
    <w:rsid w:val="008A6931"/>
    <w:rsid w:val="008B2D4C"/>
    <w:rsid w:val="008B5987"/>
    <w:rsid w:val="008C1F86"/>
    <w:rsid w:val="008C2A3C"/>
    <w:rsid w:val="008C2DAD"/>
    <w:rsid w:val="008C2E65"/>
    <w:rsid w:val="008C37C8"/>
    <w:rsid w:val="008C7F13"/>
    <w:rsid w:val="008D0652"/>
    <w:rsid w:val="008D0788"/>
    <w:rsid w:val="008D0BF5"/>
    <w:rsid w:val="008D114B"/>
    <w:rsid w:val="008D2E88"/>
    <w:rsid w:val="008D45D9"/>
    <w:rsid w:val="008D6C45"/>
    <w:rsid w:val="008D7DDB"/>
    <w:rsid w:val="008E08F8"/>
    <w:rsid w:val="008E18FE"/>
    <w:rsid w:val="008E1F19"/>
    <w:rsid w:val="008E2631"/>
    <w:rsid w:val="008E3F07"/>
    <w:rsid w:val="008E60AA"/>
    <w:rsid w:val="008F11E2"/>
    <w:rsid w:val="008F3660"/>
    <w:rsid w:val="008F3F09"/>
    <w:rsid w:val="008F7B87"/>
    <w:rsid w:val="00900D88"/>
    <w:rsid w:val="0090282F"/>
    <w:rsid w:val="00902C55"/>
    <w:rsid w:val="00905989"/>
    <w:rsid w:val="00906098"/>
    <w:rsid w:val="00907206"/>
    <w:rsid w:val="0090744F"/>
    <w:rsid w:val="0090749A"/>
    <w:rsid w:val="00907611"/>
    <w:rsid w:val="00910DFD"/>
    <w:rsid w:val="00911C69"/>
    <w:rsid w:val="00911E72"/>
    <w:rsid w:val="009129DD"/>
    <w:rsid w:val="00912DEC"/>
    <w:rsid w:val="0091364C"/>
    <w:rsid w:val="009149A9"/>
    <w:rsid w:val="00914C10"/>
    <w:rsid w:val="00915D80"/>
    <w:rsid w:val="009165B6"/>
    <w:rsid w:val="00916C5B"/>
    <w:rsid w:val="00917556"/>
    <w:rsid w:val="00917902"/>
    <w:rsid w:val="009205BD"/>
    <w:rsid w:val="009209E2"/>
    <w:rsid w:val="009249F5"/>
    <w:rsid w:val="00924B22"/>
    <w:rsid w:val="009258F6"/>
    <w:rsid w:val="00927BC3"/>
    <w:rsid w:val="00927F3E"/>
    <w:rsid w:val="00930A46"/>
    <w:rsid w:val="00930A82"/>
    <w:rsid w:val="00930D8F"/>
    <w:rsid w:val="0093111B"/>
    <w:rsid w:val="00933CF1"/>
    <w:rsid w:val="00934A69"/>
    <w:rsid w:val="009360C7"/>
    <w:rsid w:val="00936103"/>
    <w:rsid w:val="00936722"/>
    <w:rsid w:val="009376A3"/>
    <w:rsid w:val="009405F0"/>
    <w:rsid w:val="00942F37"/>
    <w:rsid w:val="00945087"/>
    <w:rsid w:val="009451C2"/>
    <w:rsid w:val="0095018E"/>
    <w:rsid w:val="0095022F"/>
    <w:rsid w:val="00950C28"/>
    <w:rsid w:val="00952050"/>
    <w:rsid w:val="009528ED"/>
    <w:rsid w:val="009548FE"/>
    <w:rsid w:val="00954B36"/>
    <w:rsid w:val="0096081D"/>
    <w:rsid w:val="009610A2"/>
    <w:rsid w:val="00963473"/>
    <w:rsid w:val="00963C2C"/>
    <w:rsid w:val="00964509"/>
    <w:rsid w:val="00965A62"/>
    <w:rsid w:val="00965A8D"/>
    <w:rsid w:val="00966C54"/>
    <w:rsid w:val="009678FD"/>
    <w:rsid w:val="0097037F"/>
    <w:rsid w:val="00970DE5"/>
    <w:rsid w:val="00971822"/>
    <w:rsid w:val="00972CB3"/>
    <w:rsid w:val="00975828"/>
    <w:rsid w:val="00975DA4"/>
    <w:rsid w:val="0097649D"/>
    <w:rsid w:val="00976EC3"/>
    <w:rsid w:val="00977466"/>
    <w:rsid w:val="00977987"/>
    <w:rsid w:val="00980CD8"/>
    <w:rsid w:val="0098169D"/>
    <w:rsid w:val="00981FD7"/>
    <w:rsid w:val="0098287F"/>
    <w:rsid w:val="00984F86"/>
    <w:rsid w:val="009853EE"/>
    <w:rsid w:val="009862FF"/>
    <w:rsid w:val="00986463"/>
    <w:rsid w:val="009872D8"/>
    <w:rsid w:val="00990627"/>
    <w:rsid w:val="00990D29"/>
    <w:rsid w:val="009916C7"/>
    <w:rsid w:val="00991914"/>
    <w:rsid w:val="009937E4"/>
    <w:rsid w:val="009944E0"/>
    <w:rsid w:val="009946A0"/>
    <w:rsid w:val="009A32F5"/>
    <w:rsid w:val="009A4397"/>
    <w:rsid w:val="009A5462"/>
    <w:rsid w:val="009A58EC"/>
    <w:rsid w:val="009A5BBB"/>
    <w:rsid w:val="009A7DF7"/>
    <w:rsid w:val="009B0310"/>
    <w:rsid w:val="009B09C6"/>
    <w:rsid w:val="009B1372"/>
    <w:rsid w:val="009B138F"/>
    <w:rsid w:val="009B13D3"/>
    <w:rsid w:val="009B1ACA"/>
    <w:rsid w:val="009B31FA"/>
    <w:rsid w:val="009B4A2A"/>
    <w:rsid w:val="009B4B21"/>
    <w:rsid w:val="009B4DE2"/>
    <w:rsid w:val="009B6EF7"/>
    <w:rsid w:val="009C0A02"/>
    <w:rsid w:val="009C3782"/>
    <w:rsid w:val="009C4B02"/>
    <w:rsid w:val="009D182C"/>
    <w:rsid w:val="009D4ED5"/>
    <w:rsid w:val="009D53F2"/>
    <w:rsid w:val="009D5869"/>
    <w:rsid w:val="009D7CE9"/>
    <w:rsid w:val="009E0EE1"/>
    <w:rsid w:val="009E3979"/>
    <w:rsid w:val="009E40DD"/>
    <w:rsid w:val="009E56B5"/>
    <w:rsid w:val="009E6BFC"/>
    <w:rsid w:val="009E74C5"/>
    <w:rsid w:val="009E776F"/>
    <w:rsid w:val="009E7D0D"/>
    <w:rsid w:val="009F0413"/>
    <w:rsid w:val="009F06B9"/>
    <w:rsid w:val="009F0DB1"/>
    <w:rsid w:val="009F11A1"/>
    <w:rsid w:val="009F1A5D"/>
    <w:rsid w:val="009F2104"/>
    <w:rsid w:val="009F2584"/>
    <w:rsid w:val="009F2800"/>
    <w:rsid w:val="009F6808"/>
    <w:rsid w:val="009F775D"/>
    <w:rsid w:val="00A00951"/>
    <w:rsid w:val="00A00B8C"/>
    <w:rsid w:val="00A01292"/>
    <w:rsid w:val="00A016A9"/>
    <w:rsid w:val="00A034E8"/>
    <w:rsid w:val="00A037AC"/>
    <w:rsid w:val="00A03BF8"/>
    <w:rsid w:val="00A059A1"/>
    <w:rsid w:val="00A111F1"/>
    <w:rsid w:val="00A119EE"/>
    <w:rsid w:val="00A13326"/>
    <w:rsid w:val="00A15DA1"/>
    <w:rsid w:val="00A17418"/>
    <w:rsid w:val="00A179C6"/>
    <w:rsid w:val="00A222BD"/>
    <w:rsid w:val="00A22797"/>
    <w:rsid w:val="00A23425"/>
    <w:rsid w:val="00A23993"/>
    <w:rsid w:val="00A23B3F"/>
    <w:rsid w:val="00A2594E"/>
    <w:rsid w:val="00A2690A"/>
    <w:rsid w:val="00A26A38"/>
    <w:rsid w:val="00A3056D"/>
    <w:rsid w:val="00A30F8F"/>
    <w:rsid w:val="00A32C0E"/>
    <w:rsid w:val="00A32EFD"/>
    <w:rsid w:val="00A3358B"/>
    <w:rsid w:val="00A348B7"/>
    <w:rsid w:val="00A34FE8"/>
    <w:rsid w:val="00A35F40"/>
    <w:rsid w:val="00A4131F"/>
    <w:rsid w:val="00A4432C"/>
    <w:rsid w:val="00A44B4B"/>
    <w:rsid w:val="00A5060F"/>
    <w:rsid w:val="00A52609"/>
    <w:rsid w:val="00A52796"/>
    <w:rsid w:val="00A52E90"/>
    <w:rsid w:val="00A603FA"/>
    <w:rsid w:val="00A60D25"/>
    <w:rsid w:val="00A63BEB"/>
    <w:rsid w:val="00A6519F"/>
    <w:rsid w:val="00A6575E"/>
    <w:rsid w:val="00A65E12"/>
    <w:rsid w:val="00A66FC6"/>
    <w:rsid w:val="00A67063"/>
    <w:rsid w:val="00A67467"/>
    <w:rsid w:val="00A71215"/>
    <w:rsid w:val="00A7196F"/>
    <w:rsid w:val="00A74B2E"/>
    <w:rsid w:val="00A758F4"/>
    <w:rsid w:val="00A75B86"/>
    <w:rsid w:val="00A8393C"/>
    <w:rsid w:val="00A84693"/>
    <w:rsid w:val="00A85612"/>
    <w:rsid w:val="00A866E0"/>
    <w:rsid w:val="00A87EF2"/>
    <w:rsid w:val="00A912FC"/>
    <w:rsid w:val="00A93155"/>
    <w:rsid w:val="00A93B9A"/>
    <w:rsid w:val="00A9411B"/>
    <w:rsid w:val="00A943CA"/>
    <w:rsid w:val="00A94A12"/>
    <w:rsid w:val="00A95911"/>
    <w:rsid w:val="00AA07EE"/>
    <w:rsid w:val="00AA347C"/>
    <w:rsid w:val="00AA51FF"/>
    <w:rsid w:val="00AA66A4"/>
    <w:rsid w:val="00AA6CAA"/>
    <w:rsid w:val="00AB0F56"/>
    <w:rsid w:val="00AB3041"/>
    <w:rsid w:val="00AB3D2E"/>
    <w:rsid w:val="00AB4415"/>
    <w:rsid w:val="00AB6C79"/>
    <w:rsid w:val="00AB7B74"/>
    <w:rsid w:val="00AC1289"/>
    <w:rsid w:val="00AC298F"/>
    <w:rsid w:val="00AD067A"/>
    <w:rsid w:val="00AD44B4"/>
    <w:rsid w:val="00AD4E43"/>
    <w:rsid w:val="00AD5870"/>
    <w:rsid w:val="00AD5876"/>
    <w:rsid w:val="00AD5C4D"/>
    <w:rsid w:val="00AD5E53"/>
    <w:rsid w:val="00AD7497"/>
    <w:rsid w:val="00AE0749"/>
    <w:rsid w:val="00AE35E2"/>
    <w:rsid w:val="00AE395D"/>
    <w:rsid w:val="00AE407C"/>
    <w:rsid w:val="00AE4B00"/>
    <w:rsid w:val="00AE4E6C"/>
    <w:rsid w:val="00AE5259"/>
    <w:rsid w:val="00AE5E8A"/>
    <w:rsid w:val="00AE5F33"/>
    <w:rsid w:val="00AE68AF"/>
    <w:rsid w:val="00AE6B15"/>
    <w:rsid w:val="00AE6FD6"/>
    <w:rsid w:val="00AF0B6C"/>
    <w:rsid w:val="00AF2326"/>
    <w:rsid w:val="00AF2763"/>
    <w:rsid w:val="00AF27C9"/>
    <w:rsid w:val="00AF3745"/>
    <w:rsid w:val="00AF4175"/>
    <w:rsid w:val="00B008D1"/>
    <w:rsid w:val="00B0328B"/>
    <w:rsid w:val="00B03E26"/>
    <w:rsid w:val="00B04C06"/>
    <w:rsid w:val="00B05607"/>
    <w:rsid w:val="00B0583F"/>
    <w:rsid w:val="00B0669C"/>
    <w:rsid w:val="00B067FD"/>
    <w:rsid w:val="00B06911"/>
    <w:rsid w:val="00B06DBE"/>
    <w:rsid w:val="00B06ED3"/>
    <w:rsid w:val="00B071F8"/>
    <w:rsid w:val="00B07FCB"/>
    <w:rsid w:val="00B10D13"/>
    <w:rsid w:val="00B11C68"/>
    <w:rsid w:val="00B11E69"/>
    <w:rsid w:val="00B12E1D"/>
    <w:rsid w:val="00B13366"/>
    <w:rsid w:val="00B13F72"/>
    <w:rsid w:val="00B15AE4"/>
    <w:rsid w:val="00B1632C"/>
    <w:rsid w:val="00B20DFF"/>
    <w:rsid w:val="00B222C9"/>
    <w:rsid w:val="00B23E64"/>
    <w:rsid w:val="00B2438A"/>
    <w:rsid w:val="00B26011"/>
    <w:rsid w:val="00B308A3"/>
    <w:rsid w:val="00B31161"/>
    <w:rsid w:val="00B31DA0"/>
    <w:rsid w:val="00B33815"/>
    <w:rsid w:val="00B347DC"/>
    <w:rsid w:val="00B356B0"/>
    <w:rsid w:val="00B35E7F"/>
    <w:rsid w:val="00B36561"/>
    <w:rsid w:val="00B400EA"/>
    <w:rsid w:val="00B40306"/>
    <w:rsid w:val="00B417DE"/>
    <w:rsid w:val="00B41904"/>
    <w:rsid w:val="00B42486"/>
    <w:rsid w:val="00B45A72"/>
    <w:rsid w:val="00B46129"/>
    <w:rsid w:val="00B46ADD"/>
    <w:rsid w:val="00B47D91"/>
    <w:rsid w:val="00B50649"/>
    <w:rsid w:val="00B50DA4"/>
    <w:rsid w:val="00B535E8"/>
    <w:rsid w:val="00B53768"/>
    <w:rsid w:val="00B57631"/>
    <w:rsid w:val="00B57DB6"/>
    <w:rsid w:val="00B60169"/>
    <w:rsid w:val="00B630CF"/>
    <w:rsid w:val="00B63BF8"/>
    <w:rsid w:val="00B63C28"/>
    <w:rsid w:val="00B63F49"/>
    <w:rsid w:val="00B644F7"/>
    <w:rsid w:val="00B65358"/>
    <w:rsid w:val="00B65ACE"/>
    <w:rsid w:val="00B65C97"/>
    <w:rsid w:val="00B65E78"/>
    <w:rsid w:val="00B65EC2"/>
    <w:rsid w:val="00B6616F"/>
    <w:rsid w:val="00B66FE1"/>
    <w:rsid w:val="00B7007B"/>
    <w:rsid w:val="00B72A03"/>
    <w:rsid w:val="00B73982"/>
    <w:rsid w:val="00B73D85"/>
    <w:rsid w:val="00B73ECE"/>
    <w:rsid w:val="00B75D74"/>
    <w:rsid w:val="00B77029"/>
    <w:rsid w:val="00B77183"/>
    <w:rsid w:val="00B817E0"/>
    <w:rsid w:val="00B81DA2"/>
    <w:rsid w:val="00B83416"/>
    <w:rsid w:val="00B834A8"/>
    <w:rsid w:val="00B843CD"/>
    <w:rsid w:val="00B84812"/>
    <w:rsid w:val="00B86B09"/>
    <w:rsid w:val="00B86B7A"/>
    <w:rsid w:val="00B86BB3"/>
    <w:rsid w:val="00B876EF"/>
    <w:rsid w:val="00B909FE"/>
    <w:rsid w:val="00B91135"/>
    <w:rsid w:val="00B912D6"/>
    <w:rsid w:val="00B92014"/>
    <w:rsid w:val="00B94616"/>
    <w:rsid w:val="00B96979"/>
    <w:rsid w:val="00BA19EC"/>
    <w:rsid w:val="00BA2225"/>
    <w:rsid w:val="00BA39C4"/>
    <w:rsid w:val="00BA3BB4"/>
    <w:rsid w:val="00BA474B"/>
    <w:rsid w:val="00BB07CE"/>
    <w:rsid w:val="00BB3AEE"/>
    <w:rsid w:val="00BB481E"/>
    <w:rsid w:val="00BB5EC0"/>
    <w:rsid w:val="00BB6334"/>
    <w:rsid w:val="00BB7050"/>
    <w:rsid w:val="00BB7973"/>
    <w:rsid w:val="00BC08FD"/>
    <w:rsid w:val="00BC1CEE"/>
    <w:rsid w:val="00BC2AA4"/>
    <w:rsid w:val="00BC375A"/>
    <w:rsid w:val="00BC55A1"/>
    <w:rsid w:val="00BC5BE9"/>
    <w:rsid w:val="00BC6EF1"/>
    <w:rsid w:val="00BD1A91"/>
    <w:rsid w:val="00BD25BF"/>
    <w:rsid w:val="00BD32FA"/>
    <w:rsid w:val="00BD47D3"/>
    <w:rsid w:val="00BE0054"/>
    <w:rsid w:val="00BE0F2C"/>
    <w:rsid w:val="00BE0F82"/>
    <w:rsid w:val="00BE11EF"/>
    <w:rsid w:val="00BE309E"/>
    <w:rsid w:val="00BE51FD"/>
    <w:rsid w:val="00BE5D49"/>
    <w:rsid w:val="00BE692B"/>
    <w:rsid w:val="00BE7CAC"/>
    <w:rsid w:val="00BF0778"/>
    <w:rsid w:val="00BF13A5"/>
    <w:rsid w:val="00BF243B"/>
    <w:rsid w:val="00BF2441"/>
    <w:rsid w:val="00BF2689"/>
    <w:rsid w:val="00BF2EFF"/>
    <w:rsid w:val="00BF3213"/>
    <w:rsid w:val="00BF44BF"/>
    <w:rsid w:val="00BF4CA9"/>
    <w:rsid w:val="00BF534D"/>
    <w:rsid w:val="00BF556F"/>
    <w:rsid w:val="00BF74A8"/>
    <w:rsid w:val="00BF760E"/>
    <w:rsid w:val="00BF7F06"/>
    <w:rsid w:val="00C00872"/>
    <w:rsid w:val="00C0489E"/>
    <w:rsid w:val="00C04E48"/>
    <w:rsid w:val="00C070DE"/>
    <w:rsid w:val="00C0725D"/>
    <w:rsid w:val="00C10437"/>
    <w:rsid w:val="00C105C5"/>
    <w:rsid w:val="00C10DE6"/>
    <w:rsid w:val="00C116D2"/>
    <w:rsid w:val="00C126FA"/>
    <w:rsid w:val="00C12952"/>
    <w:rsid w:val="00C12A8E"/>
    <w:rsid w:val="00C12F61"/>
    <w:rsid w:val="00C14230"/>
    <w:rsid w:val="00C167AC"/>
    <w:rsid w:val="00C203A0"/>
    <w:rsid w:val="00C22776"/>
    <w:rsid w:val="00C24018"/>
    <w:rsid w:val="00C2476B"/>
    <w:rsid w:val="00C250DA"/>
    <w:rsid w:val="00C25E5D"/>
    <w:rsid w:val="00C27F5E"/>
    <w:rsid w:val="00C3000A"/>
    <w:rsid w:val="00C304A7"/>
    <w:rsid w:val="00C32997"/>
    <w:rsid w:val="00C34D62"/>
    <w:rsid w:val="00C3666A"/>
    <w:rsid w:val="00C3697F"/>
    <w:rsid w:val="00C37494"/>
    <w:rsid w:val="00C374B1"/>
    <w:rsid w:val="00C374F3"/>
    <w:rsid w:val="00C376D3"/>
    <w:rsid w:val="00C42C0F"/>
    <w:rsid w:val="00C430E3"/>
    <w:rsid w:val="00C43CD6"/>
    <w:rsid w:val="00C4474B"/>
    <w:rsid w:val="00C45172"/>
    <w:rsid w:val="00C45F57"/>
    <w:rsid w:val="00C46500"/>
    <w:rsid w:val="00C47DB3"/>
    <w:rsid w:val="00C50250"/>
    <w:rsid w:val="00C51BF2"/>
    <w:rsid w:val="00C51EDF"/>
    <w:rsid w:val="00C5250C"/>
    <w:rsid w:val="00C56AAF"/>
    <w:rsid w:val="00C56B5E"/>
    <w:rsid w:val="00C62CB0"/>
    <w:rsid w:val="00C644B7"/>
    <w:rsid w:val="00C65011"/>
    <w:rsid w:val="00C66105"/>
    <w:rsid w:val="00C671F1"/>
    <w:rsid w:val="00C67363"/>
    <w:rsid w:val="00C67644"/>
    <w:rsid w:val="00C67E09"/>
    <w:rsid w:val="00C700AE"/>
    <w:rsid w:val="00C72DC4"/>
    <w:rsid w:val="00C81411"/>
    <w:rsid w:val="00C8145D"/>
    <w:rsid w:val="00C81FD4"/>
    <w:rsid w:val="00C8592B"/>
    <w:rsid w:val="00C901CE"/>
    <w:rsid w:val="00C91E26"/>
    <w:rsid w:val="00C94481"/>
    <w:rsid w:val="00C9508F"/>
    <w:rsid w:val="00C96E35"/>
    <w:rsid w:val="00CA279F"/>
    <w:rsid w:val="00CA4E5B"/>
    <w:rsid w:val="00CA4E71"/>
    <w:rsid w:val="00CA536F"/>
    <w:rsid w:val="00CA63E8"/>
    <w:rsid w:val="00CA652B"/>
    <w:rsid w:val="00CA6FFD"/>
    <w:rsid w:val="00CA7199"/>
    <w:rsid w:val="00CA7327"/>
    <w:rsid w:val="00CB16A5"/>
    <w:rsid w:val="00CB290E"/>
    <w:rsid w:val="00CB2E26"/>
    <w:rsid w:val="00CB2F0D"/>
    <w:rsid w:val="00CB303B"/>
    <w:rsid w:val="00CB3046"/>
    <w:rsid w:val="00CB4DAD"/>
    <w:rsid w:val="00CB6EAC"/>
    <w:rsid w:val="00CB7F74"/>
    <w:rsid w:val="00CC10FB"/>
    <w:rsid w:val="00CC14C1"/>
    <w:rsid w:val="00CC157B"/>
    <w:rsid w:val="00CC17AE"/>
    <w:rsid w:val="00CC25EB"/>
    <w:rsid w:val="00CC4269"/>
    <w:rsid w:val="00CC49CB"/>
    <w:rsid w:val="00CC550F"/>
    <w:rsid w:val="00CC565D"/>
    <w:rsid w:val="00CC56A1"/>
    <w:rsid w:val="00CC7A3F"/>
    <w:rsid w:val="00CC7A70"/>
    <w:rsid w:val="00CC7CE2"/>
    <w:rsid w:val="00CD1819"/>
    <w:rsid w:val="00CD2896"/>
    <w:rsid w:val="00CD314F"/>
    <w:rsid w:val="00CD4923"/>
    <w:rsid w:val="00CD4E39"/>
    <w:rsid w:val="00CD5611"/>
    <w:rsid w:val="00CD57D3"/>
    <w:rsid w:val="00CD6149"/>
    <w:rsid w:val="00CD6342"/>
    <w:rsid w:val="00CD69B2"/>
    <w:rsid w:val="00CD6AC7"/>
    <w:rsid w:val="00CD6FD1"/>
    <w:rsid w:val="00CD7D98"/>
    <w:rsid w:val="00CE0126"/>
    <w:rsid w:val="00CE06EC"/>
    <w:rsid w:val="00CE1EEB"/>
    <w:rsid w:val="00CE3598"/>
    <w:rsid w:val="00CE45C2"/>
    <w:rsid w:val="00CE5E6C"/>
    <w:rsid w:val="00CE6A45"/>
    <w:rsid w:val="00CF0E0A"/>
    <w:rsid w:val="00CF1F4C"/>
    <w:rsid w:val="00CF23E3"/>
    <w:rsid w:val="00CF2457"/>
    <w:rsid w:val="00CF328E"/>
    <w:rsid w:val="00CF6310"/>
    <w:rsid w:val="00D00C66"/>
    <w:rsid w:val="00D00E38"/>
    <w:rsid w:val="00D01398"/>
    <w:rsid w:val="00D0357C"/>
    <w:rsid w:val="00D03688"/>
    <w:rsid w:val="00D03C92"/>
    <w:rsid w:val="00D06DA1"/>
    <w:rsid w:val="00D14D5C"/>
    <w:rsid w:val="00D14E9B"/>
    <w:rsid w:val="00D1593D"/>
    <w:rsid w:val="00D17867"/>
    <w:rsid w:val="00D20263"/>
    <w:rsid w:val="00D21DBE"/>
    <w:rsid w:val="00D21F09"/>
    <w:rsid w:val="00D24A23"/>
    <w:rsid w:val="00D250A8"/>
    <w:rsid w:val="00D25CA2"/>
    <w:rsid w:val="00D268CF"/>
    <w:rsid w:val="00D27F87"/>
    <w:rsid w:val="00D31E6C"/>
    <w:rsid w:val="00D33262"/>
    <w:rsid w:val="00D33A3C"/>
    <w:rsid w:val="00D363F6"/>
    <w:rsid w:val="00D3778C"/>
    <w:rsid w:val="00D37B8E"/>
    <w:rsid w:val="00D404F4"/>
    <w:rsid w:val="00D4118C"/>
    <w:rsid w:val="00D419A2"/>
    <w:rsid w:val="00D42C0D"/>
    <w:rsid w:val="00D44570"/>
    <w:rsid w:val="00D44E99"/>
    <w:rsid w:val="00D44FF9"/>
    <w:rsid w:val="00D4654C"/>
    <w:rsid w:val="00D46DF1"/>
    <w:rsid w:val="00D47A81"/>
    <w:rsid w:val="00D51C9A"/>
    <w:rsid w:val="00D52418"/>
    <w:rsid w:val="00D541DC"/>
    <w:rsid w:val="00D56035"/>
    <w:rsid w:val="00D56AFD"/>
    <w:rsid w:val="00D619EB"/>
    <w:rsid w:val="00D6227C"/>
    <w:rsid w:val="00D62745"/>
    <w:rsid w:val="00D63C60"/>
    <w:rsid w:val="00D64231"/>
    <w:rsid w:val="00D643EF"/>
    <w:rsid w:val="00D651DD"/>
    <w:rsid w:val="00D70BC5"/>
    <w:rsid w:val="00D727D0"/>
    <w:rsid w:val="00D74E3C"/>
    <w:rsid w:val="00D75E58"/>
    <w:rsid w:val="00D7649C"/>
    <w:rsid w:val="00D7723C"/>
    <w:rsid w:val="00D77F61"/>
    <w:rsid w:val="00D82AD9"/>
    <w:rsid w:val="00D83165"/>
    <w:rsid w:val="00D8376F"/>
    <w:rsid w:val="00D87E6F"/>
    <w:rsid w:val="00D91DD0"/>
    <w:rsid w:val="00D92584"/>
    <w:rsid w:val="00D9279B"/>
    <w:rsid w:val="00D94630"/>
    <w:rsid w:val="00D9472B"/>
    <w:rsid w:val="00D94E6E"/>
    <w:rsid w:val="00D96227"/>
    <w:rsid w:val="00D96679"/>
    <w:rsid w:val="00D97347"/>
    <w:rsid w:val="00D97709"/>
    <w:rsid w:val="00D9775E"/>
    <w:rsid w:val="00DA0C24"/>
    <w:rsid w:val="00DA123A"/>
    <w:rsid w:val="00DA19BC"/>
    <w:rsid w:val="00DA1F7F"/>
    <w:rsid w:val="00DA2952"/>
    <w:rsid w:val="00DA4EB2"/>
    <w:rsid w:val="00DA5380"/>
    <w:rsid w:val="00DA5B16"/>
    <w:rsid w:val="00DA6ACF"/>
    <w:rsid w:val="00DB0246"/>
    <w:rsid w:val="00DB04EA"/>
    <w:rsid w:val="00DB11F4"/>
    <w:rsid w:val="00DB23B3"/>
    <w:rsid w:val="00DB4E9C"/>
    <w:rsid w:val="00DB6523"/>
    <w:rsid w:val="00DB6685"/>
    <w:rsid w:val="00DB6C15"/>
    <w:rsid w:val="00DB74DE"/>
    <w:rsid w:val="00DC07BE"/>
    <w:rsid w:val="00DC1CA3"/>
    <w:rsid w:val="00DC25CB"/>
    <w:rsid w:val="00DC26C4"/>
    <w:rsid w:val="00DC393D"/>
    <w:rsid w:val="00DC3DF5"/>
    <w:rsid w:val="00DC4C3D"/>
    <w:rsid w:val="00DC511E"/>
    <w:rsid w:val="00DC5A34"/>
    <w:rsid w:val="00DC5B3B"/>
    <w:rsid w:val="00DC5DD9"/>
    <w:rsid w:val="00DC72D6"/>
    <w:rsid w:val="00DD091C"/>
    <w:rsid w:val="00DD2292"/>
    <w:rsid w:val="00DD427D"/>
    <w:rsid w:val="00DD4D95"/>
    <w:rsid w:val="00DD6CD8"/>
    <w:rsid w:val="00DE2EF4"/>
    <w:rsid w:val="00DE3DFD"/>
    <w:rsid w:val="00DE584B"/>
    <w:rsid w:val="00DE6A19"/>
    <w:rsid w:val="00DF12EC"/>
    <w:rsid w:val="00DF2EAA"/>
    <w:rsid w:val="00DF388C"/>
    <w:rsid w:val="00DF6A98"/>
    <w:rsid w:val="00E00C3F"/>
    <w:rsid w:val="00E03529"/>
    <w:rsid w:val="00E0520E"/>
    <w:rsid w:val="00E054BB"/>
    <w:rsid w:val="00E05DE6"/>
    <w:rsid w:val="00E06CC8"/>
    <w:rsid w:val="00E07501"/>
    <w:rsid w:val="00E107B3"/>
    <w:rsid w:val="00E10F19"/>
    <w:rsid w:val="00E1181B"/>
    <w:rsid w:val="00E11E49"/>
    <w:rsid w:val="00E1282D"/>
    <w:rsid w:val="00E14D21"/>
    <w:rsid w:val="00E15791"/>
    <w:rsid w:val="00E159B3"/>
    <w:rsid w:val="00E16F68"/>
    <w:rsid w:val="00E1750C"/>
    <w:rsid w:val="00E200B1"/>
    <w:rsid w:val="00E20CA3"/>
    <w:rsid w:val="00E20D90"/>
    <w:rsid w:val="00E22DB9"/>
    <w:rsid w:val="00E23D18"/>
    <w:rsid w:val="00E240A5"/>
    <w:rsid w:val="00E245B2"/>
    <w:rsid w:val="00E247F0"/>
    <w:rsid w:val="00E25817"/>
    <w:rsid w:val="00E25E6E"/>
    <w:rsid w:val="00E266D4"/>
    <w:rsid w:val="00E34393"/>
    <w:rsid w:val="00E346FA"/>
    <w:rsid w:val="00E353C8"/>
    <w:rsid w:val="00E36C86"/>
    <w:rsid w:val="00E36F05"/>
    <w:rsid w:val="00E37305"/>
    <w:rsid w:val="00E37B70"/>
    <w:rsid w:val="00E449A7"/>
    <w:rsid w:val="00E44F0E"/>
    <w:rsid w:val="00E45EEA"/>
    <w:rsid w:val="00E465EC"/>
    <w:rsid w:val="00E46FCA"/>
    <w:rsid w:val="00E477B9"/>
    <w:rsid w:val="00E52280"/>
    <w:rsid w:val="00E523EB"/>
    <w:rsid w:val="00E530DB"/>
    <w:rsid w:val="00E63CFB"/>
    <w:rsid w:val="00E644E0"/>
    <w:rsid w:val="00E64B8A"/>
    <w:rsid w:val="00E64FE9"/>
    <w:rsid w:val="00E65CDF"/>
    <w:rsid w:val="00E65E72"/>
    <w:rsid w:val="00E668D2"/>
    <w:rsid w:val="00E679D7"/>
    <w:rsid w:val="00E70F72"/>
    <w:rsid w:val="00E756F8"/>
    <w:rsid w:val="00E7663B"/>
    <w:rsid w:val="00E76C6F"/>
    <w:rsid w:val="00E77246"/>
    <w:rsid w:val="00E80091"/>
    <w:rsid w:val="00E80344"/>
    <w:rsid w:val="00E80B46"/>
    <w:rsid w:val="00E818AD"/>
    <w:rsid w:val="00E84974"/>
    <w:rsid w:val="00E84E7B"/>
    <w:rsid w:val="00E85EB4"/>
    <w:rsid w:val="00E917E6"/>
    <w:rsid w:val="00E92D1B"/>
    <w:rsid w:val="00E93329"/>
    <w:rsid w:val="00EA1510"/>
    <w:rsid w:val="00EA3FCF"/>
    <w:rsid w:val="00EA499B"/>
    <w:rsid w:val="00EA4F20"/>
    <w:rsid w:val="00EA6050"/>
    <w:rsid w:val="00EA6223"/>
    <w:rsid w:val="00EA6552"/>
    <w:rsid w:val="00EA73DB"/>
    <w:rsid w:val="00EA77E5"/>
    <w:rsid w:val="00EB0C2C"/>
    <w:rsid w:val="00EB0E5E"/>
    <w:rsid w:val="00EB1EBB"/>
    <w:rsid w:val="00EB23AB"/>
    <w:rsid w:val="00EB2D96"/>
    <w:rsid w:val="00EB4133"/>
    <w:rsid w:val="00EB4347"/>
    <w:rsid w:val="00EB4D7D"/>
    <w:rsid w:val="00EB5E0E"/>
    <w:rsid w:val="00EB6BC3"/>
    <w:rsid w:val="00EC10C9"/>
    <w:rsid w:val="00EC350E"/>
    <w:rsid w:val="00EC5B6B"/>
    <w:rsid w:val="00ED0F2D"/>
    <w:rsid w:val="00ED1498"/>
    <w:rsid w:val="00ED1FF5"/>
    <w:rsid w:val="00ED42CE"/>
    <w:rsid w:val="00ED7699"/>
    <w:rsid w:val="00EE28AB"/>
    <w:rsid w:val="00EE47B2"/>
    <w:rsid w:val="00EE5CB2"/>
    <w:rsid w:val="00EF141F"/>
    <w:rsid w:val="00EF22DB"/>
    <w:rsid w:val="00EF3529"/>
    <w:rsid w:val="00EF5D3F"/>
    <w:rsid w:val="00EF712B"/>
    <w:rsid w:val="00EF7D01"/>
    <w:rsid w:val="00EF7D5A"/>
    <w:rsid w:val="00F01718"/>
    <w:rsid w:val="00F018F3"/>
    <w:rsid w:val="00F01BE9"/>
    <w:rsid w:val="00F020DD"/>
    <w:rsid w:val="00F02505"/>
    <w:rsid w:val="00F03617"/>
    <w:rsid w:val="00F04EF2"/>
    <w:rsid w:val="00F05FA7"/>
    <w:rsid w:val="00F06801"/>
    <w:rsid w:val="00F06D39"/>
    <w:rsid w:val="00F06EAB"/>
    <w:rsid w:val="00F112EA"/>
    <w:rsid w:val="00F1136F"/>
    <w:rsid w:val="00F13519"/>
    <w:rsid w:val="00F147C4"/>
    <w:rsid w:val="00F16C66"/>
    <w:rsid w:val="00F17781"/>
    <w:rsid w:val="00F20DDB"/>
    <w:rsid w:val="00F22352"/>
    <w:rsid w:val="00F23882"/>
    <w:rsid w:val="00F25C21"/>
    <w:rsid w:val="00F25F07"/>
    <w:rsid w:val="00F2626E"/>
    <w:rsid w:val="00F26B4C"/>
    <w:rsid w:val="00F31EA1"/>
    <w:rsid w:val="00F34DA5"/>
    <w:rsid w:val="00F35EC8"/>
    <w:rsid w:val="00F377A4"/>
    <w:rsid w:val="00F37909"/>
    <w:rsid w:val="00F41368"/>
    <w:rsid w:val="00F41834"/>
    <w:rsid w:val="00F44420"/>
    <w:rsid w:val="00F45CFC"/>
    <w:rsid w:val="00F469BA"/>
    <w:rsid w:val="00F474F2"/>
    <w:rsid w:val="00F50A85"/>
    <w:rsid w:val="00F52612"/>
    <w:rsid w:val="00F52628"/>
    <w:rsid w:val="00F55401"/>
    <w:rsid w:val="00F55FA6"/>
    <w:rsid w:val="00F5774B"/>
    <w:rsid w:val="00F60480"/>
    <w:rsid w:val="00F61EEE"/>
    <w:rsid w:val="00F6257A"/>
    <w:rsid w:val="00F64D99"/>
    <w:rsid w:val="00F6590C"/>
    <w:rsid w:val="00F678E0"/>
    <w:rsid w:val="00F703CA"/>
    <w:rsid w:val="00F715E6"/>
    <w:rsid w:val="00F7263B"/>
    <w:rsid w:val="00F72EE9"/>
    <w:rsid w:val="00F743FE"/>
    <w:rsid w:val="00F76B51"/>
    <w:rsid w:val="00F774B6"/>
    <w:rsid w:val="00F779CD"/>
    <w:rsid w:val="00F80A6A"/>
    <w:rsid w:val="00F82EA8"/>
    <w:rsid w:val="00F83508"/>
    <w:rsid w:val="00F837B8"/>
    <w:rsid w:val="00F838CE"/>
    <w:rsid w:val="00F84D96"/>
    <w:rsid w:val="00F91422"/>
    <w:rsid w:val="00F9167A"/>
    <w:rsid w:val="00F91DBB"/>
    <w:rsid w:val="00F9493A"/>
    <w:rsid w:val="00F94C94"/>
    <w:rsid w:val="00F955B1"/>
    <w:rsid w:val="00F961B9"/>
    <w:rsid w:val="00FA1256"/>
    <w:rsid w:val="00FA1516"/>
    <w:rsid w:val="00FA208A"/>
    <w:rsid w:val="00FA3EAA"/>
    <w:rsid w:val="00FA4226"/>
    <w:rsid w:val="00FB2B62"/>
    <w:rsid w:val="00FB3398"/>
    <w:rsid w:val="00FB37AA"/>
    <w:rsid w:val="00FB38B9"/>
    <w:rsid w:val="00FB3EF3"/>
    <w:rsid w:val="00FB4FC4"/>
    <w:rsid w:val="00FB50D6"/>
    <w:rsid w:val="00FB57D8"/>
    <w:rsid w:val="00FB665C"/>
    <w:rsid w:val="00FB668B"/>
    <w:rsid w:val="00FC072E"/>
    <w:rsid w:val="00FC5F55"/>
    <w:rsid w:val="00FC6771"/>
    <w:rsid w:val="00FD0ACF"/>
    <w:rsid w:val="00FD1ECE"/>
    <w:rsid w:val="00FD2B62"/>
    <w:rsid w:val="00FD32A7"/>
    <w:rsid w:val="00FD5E24"/>
    <w:rsid w:val="00FE1080"/>
    <w:rsid w:val="00FE133D"/>
    <w:rsid w:val="00FE1A74"/>
    <w:rsid w:val="00FE206C"/>
    <w:rsid w:val="00FE4D17"/>
    <w:rsid w:val="00FE5427"/>
    <w:rsid w:val="00FE63A1"/>
    <w:rsid w:val="00FE71C5"/>
    <w:rsid w:val="00FF2007"/>
    <w:rsid w:val="00FF21FA"/>
    <w:rsid w:val="00FF23BD"/>
    <w:rsid w:val="00FF33F5"/>
    <w:rsid w:val="00FF536D"/>
    <w:rsid w:val="00FF5408"/>
    <w:rsid w:val="00FF623A"/>
    <w:rsid w:val="00FF6240"/>
    <w:rsid w:val="00FF680E"/>
    <w:rsid w:val="010C1F2E"/>
    <w:rsid w:val="01753694"/>
    <w:rsid w:val="018E6C5A"/>
    <w:rsid w:val="01A00EAA"/>
    <w:rsid w:val="01B25746"/>
    <w:rsid w:val="02532161"/>
    <w:rsid w:val="033809FD"/>
    <w:rsid w:val="033E66F8"/>
    <w:rsid w:val="04043713"/>
    <w:rsid w:val="04243A0E"/>
    <w:rsid w:val="04BF763A"/>
    <w:rsid w:val="05241B93"/>
    <w:rsid w:val="059F0360"/>
    <w:rsid w:val="05AB2747"/>
    <w:rsid w:val="06007F0A"/>
    <w:rsid w:val="06A0572A"/>
    <w:rsid w:val="06CE1DB6"/>
    <w:rsid w:val="07E027FB"/>
    <w:rsid w:val="08643237"/>
    <w:rsid w:val="08762705"/>
    <w:rsid w:val="098D6C99"/>
    <w:rsid w:val="09935DEB"/>
    <w:rsid w:val="09AB4631"/>
    <w:rsid w:val="09AF2373"/>
    <w:rsid w:val="09DA024F"/>
    <w:rsid w:val="0A29103C"/>
    <w:rsid w:val="0A8D263D"/>
    <w:rsid w:val="0AAF0A2C"/>
    <w:rsid w:val="0B057D70"/>
    <w:rsid w:val="0B9730BE"/>
    <w:rsid w:val="0BAD3335"/>
    <w:rsid w:val="0BDA2FAB"/>
    <w:rsid w:val="0C660B0A"/>
    <w:rsid w:val="0CA5180B"/>
    <w:rsid w:val="0D8C43E1"/>
    <w:rsid w:val="0E1C78AB"/>
    <w:rsid w:val="0E3270CE"/>
    <w:rsid w:val="0E3746E5"/>
    <w:rsid w:val="0E537D4A"/>
    <w:rsid w:val="0EBC1367"/>
    <w:rsid w:val="0F063F2C"/>
    <w:rsid w:val="0FB12275"/>
    <w:rsid w:val="0FEB7730"/>
    <w:rsid w:val="10232DB5"/>
    <w:rsid w:val="105570A4"/>
    <w:rsid w:val="10A2678D"/>
    <w:rsid w:val="10D426BF"/>
    <w:rsid w:val="115F642C"/>
    <w:rsid w:val="127F4938"/>
    <w:rsid w:val="128F4AEF"/>
    <w:rsid w:val="129F4311"/>
    <w:rsid w:val="13452764"/>
    <w:rsid w:val="136E6DFB"/>
    <w:rsid w:val="13744D38"/>
    <w:rsid w:val="13831552"/>
    <w:rsid w:val="14192E51"/>
    <w:rsid w:val="1437543F"/>
    <w:rsid w:val="14D9753D"/>
    <w:rsid w:val="150D2643"/>
    <w:rsid w:val="15CE1DD3"/>
    <w:rsid w:val="15CE3892"/>
    <w:rsid w:val="15D60D37"/>
    <w:rsid w:val="15D73C01"/>
    <w:rsid w:val="15FC76A4"/>
    <w:rsid w:val="163C6D3C"/>
    <w:rsid w:val="179437E6"/>
    <w:rsid w:val="17BD416F"/>
    <w:rsid w:val="17F8684B"/>
    <w:rsid w:val="17F90136"/>
    <w:rsid w:val="18194E5B"/>
    <w:rsid w:val="18422604"/>
    <w:rsid w:val="18790398"/>
    <w:rsid w:val="18B922C8"/>
    <w:rsid w:val="18BA4FCC"/>
    <w:rsid w:val="18DC4807"/>
    <w:rsid w:val="18FA4C8D"/>
    <w:rsid w:val="19BC3800"/>
    <w:rsid w:val="19C37774"/>
    <w:rsid w:val="19CF29F8"/>
    <w:rsid w:val="19E03E83"/>
    <w:rsid w:val="1A245885"/>
    <w:rsid w:val="1A670100"/>
    <w:rsid w:val="1A6E148E"/>
    <w:rsid w:val="1B1F6C2C"/>
    <w:rsid w:val="1B2B187A"/>
    <w:rsid w:val="1B3B6128"/>
    <w:rsid w:val="1B3D54CC"/>
    <w:rsid w:val="1B4C1479"/>
    <w:rsid w:val="1BA6544E"/>
    <w:rsid w:val="1C3A3244"/>
    <w:rsid w:val="1C4A4D14"/>
    <w:rsid w:val="1D1F2F14"/>
    <w:rsid w:val="1D2E13A9"/>
    <w:rsid w:val="1D452A1E"/>
    <w:rsid w:val="1D5072AB"/>
    <w:rsid w:val="1DC31AF1"/>
    <w:rsid w:val="1E2C58E8"/>
    <w:rsid w:val="1E707980"/>
    <w:rsid w:val="1E8F341F"/>
    <w:rsid w:val="1EE04B5B"/>
    <w:rsid w:val="1F365D90"/>
    <w:rsid w:val="1F365DEF"/>
    <w:rsid w:val="1FFE6C8C"/>
    <w:rsid w:val="208C08C0"/>
    <w:rsid w:val="21906AFC"/>
    <w:rsid w:val="21CD1190"/>
    <w:rsid w:val="21D36130"/>
    <w:rsid w:val="21DC6506"/>
    <w:rsid w:val="21DF7CEB"/>
    <w:rsid w:val="22B1221A"/>
    <w:rsid w:val="22C06271"/>
    <w:rsid w:val="22CA56D0"/>
    <w:rsid w:val="22CF0F38"/>
    <w:rsid w:val="22E744D4"/>
    <w:rsid w:val="231E3CEC"/>
    <w:rsid w:val="23294AEC"/>
    <w:rsid w:val="23AE1AD2"/>
    <w:rsid w:val="23D3133D"/>
    <w:rsid w:val="24295BA6"/>
    <w:rsid w:val="245C2C9F"/>
    <w:rsid w:val="248E27E6"/>
    <w:rsid w:val="24F01CA5"/>
    <w:rsid w:val="25562D91"/>
    <w:rsid w:val="25E940BF"/>
    <w:rsid w:val="263257AD"/>
    <w:rsid w:val="27453D00"/>
    <w:rsid w:val="276957B1"/>
    <w:rsid w:val="27BC47E2"/>
    <w:rsid w:val="28CB21A2"/>
    <w:rsid w:val="28CB2A1B"/>
    <w:rsid w:val="2940049A"/>
    <w:rsid w:val="29CB06AB"/>
    <w:rsid w:val="29CE1F49"/>
    <w:rsid w:val="2A195046"/>
    <w:rsid w:val="2A2D3D7B"/>
    <w:rsid w:val="2B1B4372"/>
    <w:rsid w:val="2B45623B"/>
    <w:rsid w:val="2B6D7A6C"/>
    <w:rsid w:val="2B7C5F62"/>
    <w:rsid w:val="2C817FEB"/>
    <w:rsid w:val="2CD35496"/>
    <w:rsid w:val="2CEA709A"/>
    <w:rsid w:val="2D072F15"/>
    <w:rsid w:val="2D2D34A7"/>
    <w:rsid w:val="2DB1273B"/>
    <w:rsid w:val="2E004F6E"/>
    <w:rsid w:val="2E021C3B"/>
    <w:rsid w:val="2E132CAC"/>
    <w:rsid w:val="2E5B3E67"/>
    <w:rsid w:val="2EDE0BBD"/>
    <w:rsid w:val="2FA46DA6"/>
    <w:rsid w:val="2FFD0E93"/>
    <w:rsid w:val="301721D0"/>
    <w:rsid w:val="303F14CF"/>
    <w:rsid w:val="306A28C0"/>
    <w:rsid w:val="307164BF"/>
    <w:rsid w:val="30B13253"/>
    <w:rsid w:val="30B8125D"/>
    <w:rsid w:val="30E335E0"/>
    <w:rsid w:val="318949A1"/>
    <w:rsid w:val="31F91B2E"/>
    <w:rsid w:val="31FB3AF8"/>
    <w:rsid w:val="32357607"/>
    <w:rsid w:val="326C0660"/>
    <w:rsid w:val="32D21D23"/>
    <w:rsid w:val="339468F0"/>
    <w:rsid w:val="33CD62CC"/>
    <w:rsid w:val="33E54383"/>
    <w:rsid w:val="34050C5E"/>
    <w:rsid w:val="346B54F2"/>
    <w:rsid w:val="347E37B5"/>
    <w:rsid w:val="348D0228"/>
    <w:rsid w:val="349E48DA"/>
    <w:rsid w:val="34F5482E"/>
    <w:rsid w:val="35410BA6"/>
    <w:rsid w:val="354E45EC"/>
    <w:rsid w:val="35E07771"/>
    <w:rsid w:val="35EA2E6F"/>
    <w:rsid w:val="36315D3A"/>
    <w:rsid w:val="36335353"/>
    <w:rsid w:val="36C17F31"/>
    <w:rsid w:val="375C140B"/>
    <w:rsid w:val="376E7BF5"/>
    <w:rsid w:val="37AC1BBE"/>
    <w:rsid w:val="37C04489"/>
    <w:rsid w:val="3805581C"/>
    <w:rsid w:val="38892804"/>
    <w:rsid w:val="3A490AB6"/>
    <w:rsid w:val="3A86642A"/>
    <w:rsid w:val="3B1F4B75"/>
    <w:rsid w:val="3B471B5C"/>
    <w:rsid w:val="3B5A363D"/>
    <w:rsid w:val="3BBE3DC7"/>
    <w:rsid w:val="3C19138B"/>
    <w:rsid w:val="3C814BF9"/>
    <w:rsid w:val="3CAB1306"/>
    <w:rsid w:val="3D0D46DF"/>
    <w:rsid w:val="3D404AB5"/>
    <w:rsid w:val="3D826E7B"/>
    <w:rsid w:val="3D934233"/>
    <w:rsid w:val="3E1A3702"/>
    <w:rsid w:val="3E2207A7"/>
    <w:rsid w:val="3E822FD2"/>
    <w:rsid w:val="3EC62A9D"/>
    <w:rsid w:val="3F4343E8"/>
    <w:rsid w:val="3FCF4A8E"/>
    <w:rsid w:val="3FDB6D16"/>
    <w:rsid w:val="4013200C"/>
    <w:rsid w:val="401A783F"/>
    <w:rsid w:val="40BF6EE6"/>
    <w:rsid w:val="41483F38"/>
    <w:rsid w:val="415E5659"/>
    <w:rsid w:val="41E72FC5"/>
    <w:rsid w:val="42091919"/>
    <w:rsid w:val="42336996"/>
    <w:rsid w:val="429D74CF"/>
    <w:rsid w:val="42E91FDB"/>
    <w:rsid w:val="433808F6"/>
    <w:rsid w:val="43AD1BA4"/>
    <w:rsid w:val="43D32E35"/>
    <w:rsid w:val="442C3609"/>
    <w:rsid w:val="44361A66"/>
    <w:rsid w:val="44B20FFA"/>
    <w:rsid w:val="44BC492A"/>
    <w:rsid w:val="44DC5472"/>
    <w:rsid w:val="44E26451"/>
    <w:rsid w:val="45061CB5"/>
    <w:rsid w:val="45341068"/>
    <w:rsid w:val="453A358C"/>
    <w:rsid w:val="45B93656"/>
    <w:rsid w:val="45E5016B"/>
    <w:rsid w:val="460D5750"/>
    <w:rsid w:val="468E71DB"/>
    <w:rsid w:val="46B70ADA"/>
    <w:rsid w:val="46CE4EDF"/>
    <w:rsid w:val="46CF6512"/>
    <w:rsid w:val="47060B1D"/>
    <w:rsid w:val="477C2B8D"/>
    <w:rsid w:val="47A6638F"/>
    <w:rsid w:val="480F7D1E"/>
    <w:rsid w:val="48221986"/>
    <w:rsid w:val="4866760A"/>
    <w:rsid w:val="48A4559B"/>
    <w:rsid w:val="48CA1C95"/>
    <w:rsid w:val="49311755"/>
    <w:rsid w:val="49532700"/>
    <w:rsid w:val="49642946"/>
    <w:rsid w:val="49730464"/>
    <w:rsid w:val="49AB1508"/>
    <w:rsid w:val="49CA4084"/>
    <w:rsid w:val="4A33331C"/>
    <w:rsid w:val="4A421E6C"/>
    <w:rsid w:val="4AB27CAF"/>
    <w:rsid w:val="4ABF4154"/>
    <w:rsid w:val="4B9C4D43"/>
    <w:rsid w:val="4C121D12"/>
    <w:rsid w:val="4C6205A3"/>
    <w:rsid w:val="4CE17311"/>
    <w:rsid w:val="4D6A7284"/>
    <w:rsid w:val="4DBB3CE6"/>
    <w:rsid w:val="4F971C2B"/>
    <w:rsid w:val="4F9A44F8"/>
    <w:rsid w:val="4FC25B8B"/>
    <w:rsid w:val="50401A76"/>
    <w:rsid w:val="50625682"/>
    <w:rsid w:val="508A0853"/>
    <w:rsid w:val="509530CA"/>
    <w:rsid w:val="50CA4969"/>
    <w:rsid w:val="50D70553"/>
    <w:rsid w:val="512978E2"/>
    <w:rsid w:val="51731A6F"/>
    <w:rsid w:val="51CF1D01"/>
    <w:rsid w:val="51DA565B"/>
    <w:rsid w:val="526515A2"/>
    <w:rsid w:val="52EB0BC7"/>
    <w:rsid w:val="532C36B9"/>
    <w:rsid w:val="533D7674"/>
    <w:rsid w:val="53581AB1"/>
    <w:rsid w:val="53915463"/>
    <w:rsid w:val="544B5DC1"/>
    <w:rsid w:val="548A4620"/>
    <w:rsid w:val="548D462B"/>
    <w:rsid w:val="548E3F00"/>
    <w:rsid w:val="5544501C"/>
    <w:rsid w:val="554B32A8"/>
    <w:rsid w:val="555C072A"/>
    <w:rsid w:val="55EE2EA8"/>
    <w:rsid w:val="565A40BC"/>
    <w:rsid w:val="569752EE"/>
    <w:rsid w:val="570B36FC"/>
    <w:rsid w:val="573214BA"/>
    <w:rsid w:val="57FD5207"/>
    <w:rsid w:val="580C65A0"/>
    <w:rsid w:val="58BC728D"/>
    <w:rsid w:val="58FE1654"/>
    <w:rsid w:val="590218C5"/>
    <w:rsid w:val="598629F0"/>
    <w:rsid w:val="59B14918"/>
    <w:rsid w:val="5A0F163F"/>
    <w:rsid w:val="5A325A08"/>
    <w:rsid w:val="5A954857"/>
    <w:rsid w:val="5BC61BBC"/>
    <w:rsid w:val="5C750E2D"/>
    <w:rsid w:val="5D077594"/>
    <w:rsid w:val="5D2036F2"/>
    <w:rsid w:val="5D8D2FA6"/>
    <w:rsid w:val="5DA56BD3"/>
    <w:rsid w:val="5DE54B90"/>
    <w:rsid w:val="5E2A6A47"/>
    <w:rsid w:val="5E5341F0"/>
    <w:rsid w:val="5E6C3504"/>
    <w:rsid w:val="5E802B0B"/>
    <w:rsid w:val="5EC200EC"/>
    <w:rsid w:val="5F920D48"/>
    <w:rsid w:val="5F9C5723"/>
    <w:rsid w:val="60446B46"/>
    <w:rsid w:val="60DA2497"/>
    <w:rsid w:val="61341414"/>
    <w:rsid w:val="61431D2C"/>
    <w:rsid w:val="614D5EC2"/>
    <w:rsid w:val="619F6EA3"/>
    <w:rsid w:val="622E2AD0"/>
    <w:rsid w:val="623A705D"/>
    <w:rsid w:val="628C5535"/>
    <w:rsid w:val="6422743A"/>
    <w:rsid w:val="64656A2B"/>
    <w:rsid w:val="6472739A"/>
    <w:rsid w:val="64FE0611"/>
    <w:rsid w:val="65055B18"/>
    <w:rsid w:val="65200BA4"/>
    <w:rsid w:val="65252BDA"/>
    <w:rsid w:val="657D0589"/>
    <w:rsid w:val="65BD63F3"/>
    <w:rsid w:val="661B7593"/>
    <w:rsid w:val="663127D6"/>
    <w:rsid w:val="66772A46"/>
    <w:rsid w:val="667F18FA"/>
    <w:rsid w:val="669262C6"/>
    <w:rsid w:val="66A1656C"/>
    <w:rsid w:val="66C51A03"/>
    <w:rsid w:val="66F463D0"/>
    <w:rsid w:val="67316B5D"/>
    <w:rsid w:val="67736107"/>
    <w:rsid w:val="67DC5256"/>
    <w:rsid w:val="67F90768"/>
    <w:rsid w:val="689C2C37"/>
    <w:rsid w:val="68FC5484"/>
    <w:rsid w:val="69903FC9"/>
    <w:rsid w:val="69E87FA8"/>
    <w:rsid w:val="6A244C92"/>
    <w:rsid w:val="6A4E52F8"/>
    <w:rsid w:val="6B671C2B"/>
    <w:rsid w:val="6C3118E9"/>
    <w:rsid w:val="6C8B1F02"/>
    <w:rsid w:val="6D401DE3"/>
    <w:rsid w:val="6D9739CD"/>
    <w:rsid w:val="6E134E56"/>
    <w:rsid w:val="6E25722B"/>
    <w:rsid w:val="6E5518BE"/>
    <w:rsid w:val="6EC66318"/>
    <w:rsid w:val="6F0F4AFF"/>
    <w:rsid w:val="6F506B8D"/>
    <w:rsid w:val="6F8B5AA3"/>
    <w:rsid w:val="6FF41961"/>
    <w:rsid w:val="701D01BA"/>
    <w:rsid w:val="7137174F"/>
    <w:rsid w:val="714B6FA9"/>
    <w:rsid w:val="71DF1054"/>
    <w:rsid w:val="72083063"/>
    <w:rsid w:val="72A21CFF"/>
    <w:rsid w:val="72C47013"/>
    <w:rsid w:val="72E41463"/>
    <w:rsid w:val="734C0DB6"/>
    <w:rsid w:val="737045A7"/>
    <w:rsid w:val="73BB0416"/>
    <w:rsid w:val="73E01294"/>
    <w:rsid w:val="741B664A"/>
    <w:rsid w:val="75273712"/>
    <w:rsid w:val="75361E99"/>
    <w:rsid w:val="753957C9"/>
    <w:rsid w:val="75A77E7E"/>
    <w:rsid w:val="75B549E3"/>
    <w:rsid w:val="75CB0021"/>
    <w:rsid w:val="75D30AE5"/>
    <w:rsid w:val="75E20EFD"/>
    <w:rsid w:val="75F145C2"/>
    <w:rsid w:val="760616F0"/>
    <w:rsid w:val="76F167EA"/>
    <w:rsid w:val="77094E3F"/>
    <w:rsid w:val="77763CAD"/>
    <w:rsid w:val="77C67C87"/>
    <w:rsid w:val="77CD6969"/>
    <w:rsid w:val="784976AB"/>
    <w:rsid w:val="78660CCA"/>
    <w:rsid w:val="78BE4BF4"/>
    <w:rsid w:val="78EF44FB"/>
    <w:rsid w:val="78F63C9E"/>
    <w:rsid w:val="79140BE4"/>
    <w:rsid w:val="79327075"/>
    <w:rsid w:val="79BD37A5"/>
    <w:rsid w:val="79EE4C0E"/>
    <w:rsid w:val="7A1E525A"/>
    <w:rsid w:val="7A680BCB"/>
    <w:rsid w:val="7A956555"/>
    <w:rsid w:val="7AD324E9"/>
    <w:rsid w:val="7AEF7704"/>
    <w:rsid w:val="7B000E04"/>
    <w:rsid w:val="7B6D6DCF"/>
    <w:rsid w:val="7BCC59DF"/>
    <w:rsid w:val="7C674B88"/>
    <w:rsid w:val="7CC5314A"/>
    <w:rsid w:val="7CEA58C8"/>
    <w:rsid w:val="7D132DAF"/>
    <w:rsid w:val="7D94268D"/>
    <w:rsid w:val="7D9A0761"/>
    <w:rsid w:val="7DBD2FDC"/>
    <w:rsid w:val="7E960E9E"/>
    <w:rsid w:val="7EC465AB"/>
    <w:rsid w:val="7F2E59FC"/>
    <w:rsid w:val="7F985AAF"/>
    <w:rsid w:val="7F9C1FE2"/>
    <w:rsid w:val="7FC811B2"/>
    <w:rsid w:val="7FF76C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ocked="1"/>
    <w:lsdException w:qFormat="1" w:unhideWhenUsed="0" w:uiPriority="99" w:semiHidden="0" w:name="heading 3"/>
    <w:lsdException w:qFormat="1" w:unhideWhenUsed="0" w:uiPriority="0" w:semiHidden="0" w:name="heading 4" w:locked="1"/>
    <w:lsdException w:qFormat="1" w:uiPriority="0" w:semiHidden="0" w:name="heading 5" w:locked="1"/>
    <w:lsdException w:qFormat="1" w:uiPriority="0" w:semiHidden="0"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8"/>
    <w:autoRedefine/>
    <w:qFormat/>
    <w:uiPriority w:val="99"/>
    <w:pPr>
      <w:keepNext/>
      <w:keepLines/>
      <w:widowControl w:val="0"/>
      <w:spacing w:line="360" w:lineRule="auto"/>
      <w:jc w:val="center"/>
      <w:textAlignment w:val="auto"/>
      <w:outlineLvl w:val="0"/>
    </w:pPr>
    <w:rPr>
      <w:b/>
      <w:bCs/>
      <w:kern w:val="44"/>
      <w:sz w:val="36"/>
      <w:szCs w:val="44"/>
    </w:rPr>
  </w:style>
  <w:style w:type="paragraph" w:styleId="3">
    <w:name w:val="heading 2"/>
    <w:basedOn w:val="1"/>
    <w:next w:val="1"/>
    <w:link w:val="30"/>
    <w:autoRedefine/>
    <w:unhideWhenUsed/>
    <w:qFormat/>
    <w:locked/>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29"/>
    <w:autoRedefine/>
    <w:qFormat/>
    <w:uiPriority w:val="99"/>
    <w:pPr>
      <w:keepNext/>
      <w:keepLines/>
      <w:spacing w:before="260" w:after="260" w:line="416" w:lineRule="atLeast"/>
      <w:outlineLvl w:val="2"/>
    </w:pPr>
    <w:rPr>
      <w:b/>
      <w:bCs/>
      <w:sz w:val="32"/>
      <w:szCs w:val="32"/>
    </w:rPr>
  </w:style>
  <w:style w:type="paragraph" w:styleId="5">
    <w:name w:val="heading 4"/>
    <w:basedOn w:val="1"/>
    <w:next w:val="1"/>
    <w:autoRedefine/>
    <w:qFormat/>
    <w:locked/>
    <w:uiPriority w:val="0"/>
    <w:pPr>
      <w:keepNext/>
      <w:keepLines/>
      <w:widowControl w:val="0"/>
      <w:spacing w:before="280" w:after="290" w:line="376" w:lineRule="auto"/>
      <w:textAlignment w:val="auto"/>
      <w:outlineLvl w:val="3"/>
    </w:pPr>
    <w:rPr>
      <w:rFonts w:ascii="Cambria" w:hAnsi="Cambria"/>
      <w:b/>
      <w:bCs/>
      <w:color w:val="auto"/>
      <w:kern w:val="2"/>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link w:val="68"/>
    <w:autoRedefine/>
    <w:semiHidden/>
    <w:unhideWhenUsed/>
    <w:qFormat/>
    <w:locked/>
    <w:uiPriority w:val="99"/>
    <w:pPr>
      <w:spacing w:after="120"/>
    </w:pPr>
  </w:style>
  <w:style w:type="paragraph" w:styleId="7">
    <w:name w:val="Body Text 2"/>
    <w:basedOn w:val="1"/>
    <w:link w:val="38"/>
    <w:autoRedefine/>
    <w:qFormat/>
    <w:uiPriority w:val="99"/>
    <w:pPr>
      <w:spacing w:after="120" w:line="480" w:lineRule="auto"/>
    </w:pPr>
    <w:rPr>
      <w:sz w:val="20"/>
    </w:rPr>
  </w:style>
  <w:style w:type="paragraph" w:styleId="8">
    <w:name w:val="Body Text Indent"/>
    <w:basedOn w:val="1"/>
    <w:link w:val="32"/>
    <w:autoRedefine/>
    <w:qFormat/>
    <w:uiPriority w:val="99"/>
    <w:pPr>
      <w:widowControl w:val="0"/>
      <w:snapToGrid w:val="0"/>
      <w:spacing w:before="283" w:line="560" w:lineRule="exact"/>
      <w:ind w:firstLine="510"/>
    </w:pPr>
    <w:rPr>
      <w:sz w:val="20"/>
    </w:rPr>
  </w:style>
  <w:style w:type="paragraph" w:styleId="9">
    <w:name w:val="Plain Text"/>
    <w:basedOn w:val="1"/>
    <w:next w:val="10"/>
    <w:link w:val="33"/>
    <w:autoRedefine/>
    <w:qFormat/>
    <w:uiPriority w:val="99"/>
    <w:pPr>
      <w:widowControl w:val="0"/>
      <w:spacing w:line="240" w:lineRule="auto"/>
      <w:textAlignment w:val="auto"/>
    </w:pPr>
    <w:rPr>
      <w:rFonts w:ascii="宋体" w:hAnsi="Courier New"/>
      <w:color w:val="auto"/>
      <w:kern w:val="2"/>
    </w:rPr>
  </w:style>
  <w:style w:type="paragraph" w:styleId="10">
    <w:name w:val="Body Text Indent 2"/>
    <w:basedOn w:val="1"/>
    <w:next w:val="11"/>
    <w:autoRedefine/>
    <w:qFormat/>
    <w:locked/>
    <w:uiPriority w:val="0"/>
    <w:pPr>
      <w:spacing w:line="480" w:lineRule="auto"/>
      <w:ind w:firstLine="480" w:firstLineChars="200"/>
    </w:pPr>
    <w:rPr>
      <w:rFonts w:ascii="仿宋_GB2312" w:hAnsi="宋体" w:eastAsia="仿宋_GB2312"/>
      <w:sz w:val="24"/>
      <w:szCs w:val="24"/>
    </w:rPr>
  </w:style>
  <w:style w:type="paragraph" w:customStyle="1" w:styleId="11">
    <w:name w:val="z正文"/>
    <w:basedOn w:val="9"/>
    <w:autoRedefine/>
    <w:qFormat/>
    <w:uiPriority w:val="0"/>
    <w:pPr>
      <w:tabs>
        <w:tab w:val="left" w:pos="525"/>
      </w:tabs>
      <w:snapToGrid w:val="0"/>
      <w:spacing w:line="360" w:lineRule="auto"/>
    </w:pPr>
    <w:rPr>
      <w:rFonts w:ascii="Times New Roman" w:hAnsi="宋体"/>
      <w:sz w:val="24"/>
      <w:szCs w:val="24"/>
    </w:rPr>
  </w:style>
  <w:style w:type="paragraph" w:styleId="12">
    <w:name w:val="Date"/>
    <w:basedOn w:val="1"/>
    <w:next w:val="1"/>
    <w:link w:val="34"/>
    <w:autoRedefine/>
    <w:qFormat/>
    <w:uiPriority w:val="99"/>
    <w:pPr>
      <w:ind w:left="100" w:leftChars="2500"/>
    </w:pPr>
  </w:style>
  <w:style w:type="paragraph" w:styleId="13">
    <w:name w:val="Balloon Text"/>
    <w:basedOn w:val="1"/>
    <w:link w:val="35"/>
    <w:autoRedefine/>
    <w:qFormat/>
    <w:uiPriority w:val="99"/>
    <w:pPr>
      <w:spacing w:line="240" w:lineRule="auto"/>
    </w:pPr>
    <w:rPr>
      <w:sz w:val="18"/>
      <w:szCs w:val="18"/>
    </w:rPr>
  </w:style>
  <w:style w:type="paragraph" w:styleId="14">
    <w:name w:val="footer"/>
    <w:basedOn w:val="1"/>
    <w:link w:val="36"/>
    <w:autoRedefine/>
    <w:qFormat/>
    <w:uiPriority w:val="99"/>
    <w:pPr>
      <w:tabs>
        <w:tab w:val="center" w:pos="4153"/>
        <w:tab w:val="right" w:pos="8306"/>
      </w:tabs>
      <w:snapToGrid w:val="0"/>
      <w:spacing w:line="240" w:lineRule="atLeast"/>
      <w:jc w:val="left"/>
    </w:pPr>
    <w:rPr>
      <w:sz w:val="18"/>
      <w:szCs w:val="18"/>
    </w:rPr>
  </w:style>
  <w:style w:type="paragraph" w:styleId="15">
    <w:name w:val="envelope return"/>
    <w:basedOn w:val="1"/>
    <w:autoRedefine/>
    <w:qFormat/>
    <w:locked/>
    <w:uiPriority w:val="0"/>
    <w:pPr>
      <w:snapToGrid w:val="0"/>
    </w:pPr>
    <w:rPr>
      <w:rFonts w:ascii="Arial" w:hAnsi="Arial"/>
    </w:rPr>
  </w:style>
  <w:style w:type="paragraph" w:styleId="16">
    <w:name w:val="header"/>
    <w:basedOn w:val="1"/>
    <w:link w:val="37"/>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autoRedefine/>
    <w:qFormat/>
    <w:uiPriority w:val="39"/>
  </w:style>
  <w:style w:type="paragraph" w:styleId="18">
    <w:name w:val="toc 2"/>
    <w:basedOn w:val="1"/>
    <w:next w:val="1"/>
    <w:autoRedefine/>
    <w:qFormat/>
    <w:uiPriority w:val="39"/>
    <w:pPr>
      <w:ind w:left="420" w:leftChars="200"/>
    </w:pPr>
  </w:style>
  <w:style w:type="paragraph" w:styleId="19">
    <w:name w:val="Normal (Web)"/>
    <w:basedOn w:val="1"/>
    <w:autoRedefine/>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20">
    <w:name w:val="Body Text First Indent"/>
    <w:basedOn w:val="6"/>
    <w:next w:val="21"/>
    <w:link w:val="69"/>
    <w:autoRedefine/>
    <w:semiHidden/>
    <w:unhideWhenUsed/>
    <w:qFormat/>
    <w:locked/>
    <w:uiPriority w:val="99"/>
    <w:pPr>
      <w:ind w:firstLine="420" w:firstLineChars="100"/>
    </w:pPr>
  </w:style>
  <w:style w:type="paragraph" w:styleId="21">
    <w:name w:val="Body Text First Indent 2"/>
    <w:basedOn w:val="8"/>
    <w:next w:val="6"/>
    <w:link w:val="76"/>
    <w:autoRedefine/>
    <w:semiHidden/>
    <w:unhideWhenUsed/>
    <w:qFormat/>
    <w:locked/>
    <w:uiPriority w:val="99"/>
    <w:pPr>
      <w:widowControl/>
      <w:snapToGrid/>
      <w:spacing w:before="0" w:after="120" w:line="357" w:lineRule="atLeast"/>
      <w:ind w:left="420" w:leftChars="200" w:firstLine="420" w:firstLineChars="200"/>
    </w:pPr>
    <w:rPr>
      <w:sz w:val="21"/>
    </w:rPr>
  </w:style>
  <w:style w:type="table" w:styleId="23">
    <w:name w:val="Table Grid"/>
    <w:basedOn w:val="2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99"/>
    <w:rPr>
      <w:rFonts w:cs="Times New Roman"/>
      <w:b/>
    </w:rPr>
  </w:style>
  <w:style w:type="character" w:styleId="26">
    <w:name w:val="page number"/>
    <w:autoRedefine/>
    <w:qFormat/>
    <w:uiPriority w:val="99"/>
    <w:rPr>
      <w:rFonts w:cs="Times New Roman"/>
    </w:rPr>
  </w:style>
  <w:style w:type="character" w:styleId="27">
    <w:name w:val="Hyperlink"/>
    <w:autoRedefine/>
    <w:qFormat/>
    <w:uiPriority w:val="99"/>
    <w:rPr>
      <w:rFonts w:cs="Times New Roman"/>
      <w:color w:val="0368A8"/>
      <w:u w:val="none"/>
    </w:rPr>
  </w:style>
  <w:style w:type="character" w:customStyle="1" w:styleId="28">
    <w:name w:val="标题 1 Char"/>
    <w:link w:val="2"/>
    <w:autoRedefine/>
    <w:qFormat/>
    <w:locked/>
    <w:uiPriority w:val="99"/>
    <w:rPr>
      <w:rFonts w:ascii="Times New Roman" w:hAnsi="Times New Roman" w:eastAsia="宋体" w:cs="Times New Roman"/>
      <w:b/>
      <w:color w:val="000000"/>
      <w:kern w:val="44"/>
      <w:sz w:val="36"/>
      <w:u w:val="none" w:color="000000"/>
    </w:rPr>
  </w:style>
  <w:style w:type="character" w:customStyle="1" w:styleId="29">
    <w:name w:val="标题 3 Char"/>
    <w:link w:val="4"/>
    <w:autoRedefine/>
    <w:semiHidden/>
    <w:qFormat/>
    <w:locked/>
    <w:uiPriority w:val="99"/>
    <w:rPr>
      <w:rFonts w:cs="Times New Roman"/>
      <w:b/>
      <w:color w:val="000000"/>
      <w:sz w:val="32"/>
      <w:u w:val="none" w:color="000000"/>
    </w:rPr>
  </w:style>
  <w:style w:type="character" w:customStyle="1" w:styleId="30">
    <w:name w:val="标题 2 Char"/>
    <w:link w:val="3"/>
    <w:autoRedefine/>
    <w:qFormat/>
    <w:uiPriority w:val="9"/>
    <w:rPr>
      <w:rFonts w:ascii="Cambria" w:hAnsi="Cambria" w:eastAsia="宋体" w:cs="Times New Roman"/>
      <w:b/>
      <w:bCs/>
      <w:color w:val="000000"/>
      <w:sz w:val="32"/>
      <w:szCs w:val="32"/>
      <w:u w:color="000000"/>
    </w:rPr>
  </w:style>
  <w:style w:type="paragraph" w:customStyle="1" w:styleId="31">
    <w:name w:val="无间隔1"/>
    <w:autoRedefine/>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32">
    <w:name w:val="正文文本缩进 Char"/>
    <w:link w:val="8"/>
    <w:autoRedefine/>
    <w:semiHidden/>
    <w:qFormat/>
    <w:locked/>
    <w:uiPriority w:val="99"/>
    <w:rPr>
      <w:rFonts w:cs="Times New Roman"/>
      <w:color w:val="000000"/>
      <w:kern w:val="0"/>
      <w:sz w:val="20"/>
      <w:u w:val="none" w:color="000000"/>
    </w:rPr>
  </w:style>
  <w:style w:type="character" w:customStyle="1" w:styleId="33">
    <w:name w:val="纯文本 Char1"/>
    <w:link w:val="9"/>
    <w:autoRedefine/>
    <w:qFormat/>
    <w:locked/>
    <w:uiPriority w:val="99"/>
    <w:rPr>
      <w:rFonts w:ascii="宋体" w:hAnsi="Courier New" w:cs="Times New Roman"/>
      <w:color w:val="000000"/>
      <w:kern w:val="0"/>
      <w:sz w:val="21"/>
      <w:u w:val="none" w:color="000000"/>
    </w:rPr>
  </w:style>
  <w:style w:type="character" w:customStyle="1" w:styleId="34">
    <w:name w:val="日期 Char"/>
    <w:link w:val="12"/>
    <w:autoRedefine/>
    <w:qFormat/>
    <w:locked/>
    <w:uiPriority w:val="99"/>
    <w:rPr>
      <w:rFonts w:cs="Times New Roman"/>
      <w:color w:val="000000"/>
      <w:sz w:val="21"/>
      <w:u w:val="none" w:color="000000"/>
    </w:rPr>
  </w:style>
  <w:style w:type="character" w:customStyle="1" w:styleId="35">
    <w:name w:val="批注框文本 Char"/>
    <w:link w:val="13"/>
    <w:autoRedefine/>
    <w:qFormat/>
    <w:locked/>
    <w:uiPriority w:val="99"/>
    <w:rPr>
      <w:rFonts w:cs="Times New Roman"/>
      <w:color w:val="000000"/>
      <w:sz w:val="18"/>
      <w:u w:val="none" w:color="000000"/>
    </w:rPr>
  </w:style>
  <w:style w:type="character" w:customStyle="1" w:styleId="36">
    <w:name w:val="页脚 Char"/>
    <w:link w:val="14"/>
    <w:autoRedefine/>
    <w:semiHidden/>
    <w:qFormat/>
    <w:locked/>
    <w:uiPriority w:val="99"/>
    <w:rPr>
      <w:rFonts w:cs="Times New Roman"/>
      <w:color w:val="000000"/>
      <w:kern w:val="0"/>
      <w:sz w:val="18"/>
      <w:u w:val="none" w:color="000000"/>
    </w:rPr>
  </w:style>
  <w:style w:type="character" w:customStyle="1" w:styleId="37">
    <w:name w:val="页眉 Char"/>
    <w:link w:val="16"/>
    <w:autoRedefine/>
    <w:semiHidden/>
    <w:qFormat/>
    <w:locked/>
    <w:uiPriority w:val="99"/>
    <w:rPr>
      <w:rFonts w:cs="Times New Roman"/>
      <w:color w:val="000000"/>
      <w:kern w:val="0"/>
      <w:sz w:val="18"/>
      <w:u w:val="none" w:color="000000"/>
    </w:rPr>
  </w:style>
  <w:style w:type="character" w:customStyle="1" w:styleId="38">
    <w:name w:val="正文文本 2 Char"/>
    <w:link w:val="7"/>
    <w:autoRedefine/>
    <w:semiHidden/>
    <w:qFormat/>
    <w:locked/>
    <w:uiPriority w:val="99"/>
    <w:rPr>
      <w:rFonts w:cs="Times New Roman"/>
      <w:color w:val="000000"/>
      <w:kern w:val="0"/>
      <w:sz w:val="20"/>
      <w:u w:val="none" w:color="000000"/>
    </w:rPr>
  </w:style>
  <w:style w:type="paragraph" w:customStyle="1" w:styleId="39">
    <w:name w:val="目录1"/>
    <w:basedOn w:val="1"/>
    <w:next w:val="1"/>
    <w:autoRedefine/>
    <w:qFormat/>
    <w:uiPriority w:val="99"/>
    <w:pPr>
      <w:tabs>
        <w:tab w:val="left" w:leader="dot" w:pos="8503"/>
      </w:tabs>
      <w:spacing w:after="136" w:line="289" w:lineRule="atLeast"/>
      <w:jc w:val="left"/>
    </w:pPr>
    <w:rPr>
      <w:rFonts w:ascii="Arial" w:eastAsia="黑体"/>
      <w:sz w:val="28"/>
    </w:rPr>
  </w:style>
  <w:style w:type="paragraph" w:customStyle="1" w:styleId="40">
    <w:name w:val="章标题"/>
    <w:basedOn w:val="1"/>
    <w:next w:val="41"/>
    <w:autoRedefine/>
    <w:qFormat/>
    <w:uiPriority w:val="99"/>
    <w:pPr>
      <w:spacing w:before="158" w:after="153" w:line="323" w:lineRule="atLeast"/>
      <w:jc w:val="center"/>
    </w:pPr>
    <w:rPr>
      <w:rFonts w:ascii="Arial" w:eastAsia="黑体"/>
      <w:sz w:val="31"/>
    </w:rPr>
  </w:style>
  <w:style w:type="paragraph" w:customStyle="1" w:styleId="41">
    <w:name w:val="节标题"/>
    <w:basedOn w:val="1"/>
    <w:next w:val="42"/>
    <w:autoRedefine/>
    <w:qFormat/>
    <w:uiPriority w:val="99"/>
    <w:pPr>
      <w:spacing w:line="289" w:lineRule="atLeast"/>
      <w:jc w:val="center"/>
    </w:pPr>
    <w:rPr>
      <w:sz w:val="28"/>
    </w:rPr>
  </w:style>
  <w:style w:type="paragraph" w:customStyle="1" w:styleId="42">
    <w:name w:val="小节标题"/>
    <w:basedOn w:val="1"/>
    <w:next w:val="1"/>
    <w:autoRedefine/>
    <w:qFormat/>
    <w:uiPriority w:val="99"/>
    <w:pPr>
      <w:spacing w:before="175" w:after="102" w:line="351" w:lineRule="atLeast"/>
    </w:pPr>
    <w:rPr>
      <w:rFonts w:eastAsia="黑体"/>
    </w:rPr>
  </w:style>
  <w:style w:type="paragraph" w:customStyle="1" w:styleId="43">
    <w:name w:val="目录2"/>
    <w:basedOn w:val="1"/>
    <w:next w:val="1"/>
    <w:autoRedefine/>
    <w:qFormat/>
    <w:uiPriority w:val="99"/>
    <w:pPr>
      <w:tabs>
        <w:tab w:val="left" w:leader="dot" w:pos="8503"/>
      </w:tabs>
      <w:spacing w:line="317" w:lineRule="atLeast"/>
      <w:ind w:firstLine="209"/>
    </w:pPr>
  </w:style>
  <w:style w:type="paragraph" w:customStyle="1" w:styleId="44">
    <w:name w:val="目录4"/>
    <w:basedOn w:val="1"/>
    <w:next w:val="1"/>
    <w:autoRedefine/>
    <w:qFormat/>
    <w:uiPriority w:val="99"/>
    <w:pPr>
      <w:tabs>
        <w:tab w:val="left" w:leader="dot" w:pos="8503"/>
      </w:tabs>
      <w:spacing w:line="317" w:lineRule="atLeast"/>
      <w:ind w:firstLine="629"/>
    </w:pPr>
  </w:style>
  <w:style w:type="paragraph" w:customStyle="1" w:styleId="45">
    <w:name w:val="1 Char Char Char Char"/>
    <w:basedOn w:val="1"/>
    <w:autoRedefine/>
    <w:qFormat/>
    <w:uiPriority w:val="99"/>
    <w:pPr>
      <w:widowControl w:val="0"/>
      <w:spacing w:line="240" w:lineRule="auto"/>
      <w:textAlignment w:val="auto"/>
    </w:pPr>
    <w:rPr>
      <w:rFonts w:ascii="Tahoma" w:hAnsi="Tahoma" w:cs="Tahoma"/>
      <w:color w:val="auto"/>
      <w:kern w:val="2"/>
      <w:sz w:val="24"/>
      <w:szCs w:val="24"/>
    </w:rPr>
  </w:style>
  <w:style w:type="paragraph" w:customStyle="1" w:styleId="46">
    <w:name w:val="Char Char Char"/>
    <w:basedOn w:val="1"/>
    <w:autoRedefine/>
    <w:qFormat/>
    <w:uiPriority w:val="99"/>
    <w:pPr>
      <w:widowControl w:val="0"/>
      <w:spacing w:line="240" w:lineRule="auto"/>
      <w:textAlignment w:val="auto"/>
    </w:pPr>
    <w:rPr>
      <w:rFonts w:ascii="Tahoma" w:hAnsi="Tahoma"/>
      <w:color w:val="auto"/>
      <w:kern w:val="2"/>
      <w:sz w:val="24"/>
    </w:rPr>
  </w:style>
  <w:style w:type="paragraph" w:customStyle="1" w:styleId="47">
    <w:name w:val="目录3"/>
    <w:basedOn w:val="1"/>
    <w:next w:val="1"/>
    <w:autoRedefine/>
    <w:qFormat/>
    <w:uiPriority w:val="99"/>
    <w:pPr>
      <w:tabs>
        <w:tab w:val="left" w:leader="dot" w:pos="8503"/>
      </w:tabs>
      <w:spacing w:line="317" w:lineRule="atLeast"/>
      <w:ind w:firstLine="419"/>
    </w:pPr>
  </w:style>
  <w:style w:type="paragraph" w:customStyle="1" w:styleId="48">
    <w:name w:val="目录标题"/>
    <w:basedOn w:val="1"/>
    <w:next w:val="1"/>
    <w:autoRedefine/>
    <w:qFormat/>
    <w:uiPriority w:val="99"/>
    <w:pPr>
      <w:spacing w:before="566" w:after="544" w:line="566" w:lineRule="atLeast"/>
      <w:ind w:firstLine="419"/>
      <w:jc w:val="center"/>
    </w:pPr>
    <w:rPr>
      <w:rFonts w:ascii="Arial" w:eastAsia="黑体"/>
      <w:spacing w:val="566"/>
      <w:sz w:val="54"/>
    </w:rPr>
  </w:style>
  <w:style w:type="paragraph" w:customStyle="1" w:styleId="49">
    <w:name w:val="文章总标题"/>
    <w:basedOn w:val="1"/>
    <w:next w:val="50"/>
    <w:autoRedefine/>
    <w:qFormat/>
    <w:uiPriority w:val="99"/>
    <w:pPr>
      <w:spacing w:before="566" w:after="544" w:line="566" w:lineRule="atLeast"/>
      <w:jc w:val="center"/>
    </w:pPr>
    <w:rPr>
      <w:rFonts w:ascii="Arial" w:eastAsia="黑体"/>
      <w:sz w:val="54"/>
    </w:rPr>
  </w:style>
  <w:style w:type="paragraph" w:customStyle="1" w:styleId="50">
    <w:name w:val="文章附标题"/>
    <w:basedOn w:val="1"/>
    <w:next w:val="40"/>
    <w:autoRedefine/>
    <w:qFormat/>
    <w:uiPriority w:val="99"/>
    <w:pPr>
      <w:spacing w:before="187" w:after="175" w:line="374" w:lineRule="atLeast"/>
      <w:jc w:val="center"/>
    </w:pPr>
    <w:rPr>
      <w:sz w:val="36"/>
    </w:rPr>
  </w:style>
  <w:style w:type="paragraph" w:customStyle="1" w:styleId="51">
    <w:name w:val="Char1"/>
    <w:basedOn w:val="1"/>
    <w:autoRedefine/>
    <w:qFormat/>
    <w:uiPriority w:val="99"/>
    <w:pPr>
      <w:widowControl w:val="0"/>
      <w:spacing w:line="240" w:lineRule="auto"/>
      <w:textAlignment w:val="auto"/>
    </w:pPr>
    <w:rPr>
      <w:rFonts w:ascii="Tahoma" w:hAnsi="Tahoma"/>
      <w:color w:val="auto"/>
      <w:kern w:val="2"/>
      <w:sz w:val="24"/>
    </w:rPr>
  </w:style>
  <w:style w:type="paragraph" w:customStyle="1" w:styleId="52">
    <w:name w:val="Char11"/>
    <w:basedOn w:val="1"/>
    <w:autoRedefine/>
    <w:qFormat/>
    <w:uiPriority w:val="99"/>
    <w:pPr>
      <w:widowControl w:val="0"/>
      <w:spacing w:line="240" w:lineRule="auto"/>
      <w:textAlignment w:val="auto"/>
    </w:pPr>
    <w:rPr>
      <w:rFonts w:ascii="Tahoma" w:hAnsi="Tahoma"/>
      <w:color w:val="auto"/>
      <w:kern w:val="2"/>
      <w:sz w:val="24"/>
    </w:rPr>
  </w:style>
  <w:style w:type="paragraph" w:customStyle="1" w:styleId="53">
    <w:name w:val="Char Char Char Char Char Char Char"/>
    <w:basedOn w:val="1"/>
    <w:autoRedefine/>
    <w:qFormat/>
    <w:uiPriority w:val="99"/>
    <w:pPr>
      <w:widowControl w:val="0"/>
      <w:spacing w:line="240" w:lineRule="auto"/>
      <w:textAlignment w:val="auto"/>
    </w:pPr>
    <w:rPr>
      <w:rFonts w:ascii="Tahoma" w:hAnsi="Tahoma"/>
      <w:color w:val="auto"/>
      <w:kern w:val="2"/>
      <w:sz w:val="24"/>
    </w:rPr>
  </w:style>
  <w:style w:type="paragraph" w:customStyle="1" w:styleId="54">
    <w:name w:val="WPS Plain"/>
    <w:autoRedefine/>
    <w:qFormat/>
    <w:uiPriority w:val="99"/>
    <w:rPr>
      <w:rFonts w:ascii="Times New Roman" w:hAnsi="Times New Roman" w:eastAsia="宋体" w:cs="Times New Roman"/>
      <w:lang w:val="en-US" w:eastAsia="zh-CN" w:bidi="ar-SA"/>
    </w:rPr>
  </w:style>
  <w:style w:type="paragraph" w:customStyle="1" w:styleId="55">
    <w:name w:val="cjk"/>
    <w:basedOn w:val="1"/>
    <w:autoRedefine/>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6">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7">
    <w:name w:val="TOC 标题1"/>
    <w:basedOn w:val="2"/>
    <w:next w:val="1"/>
    <w:autoRedefine/>
    <w:qFormat/>
    <w:uiPriority w:val="99"/>
    <w:pPr>
      <w:widowControl/>
      <w:spacing w:before="480" w:line="276" w:lineRule="auto"/>
      <w:jc w:val="left"/>
      <w:outlineLvl w:val="9"/>
    </w:pPr>
    <w:rPr>
      <w:rFonts w:ascii="Cambria" w:hAnsi="Cambria"/>
      <w:color w:val="365F91"/>
      <w:kern w:val="0"/>
      <w:sz w:val="28"/>
      <w:szCs w:val="28"/>
    </w:rPr>
  </w:style>
  <w:style w:type="character" w:customStyle="1" w:styleId="58">
    <w:name w:val="链接"/>
    <w:autoRedefine/>
    <w:qFormat/>
    <w:uiPriority w:val="99"/>
    <w:rPr>
      <w:rFonts w:ascii="Times New Roman" w:eastAsia="宋体"/>
      <w:color w:val="0000FF"/>
      <w:sz w:val="21"/>
      <w:u w:val="single" w:color="0000FF"/>
      <w:lang w:val="en-US" w:eastAsia="zh-CN"/>
    </w:rPr>
  </w:style>
  <w:style w:type="character" w:customStyle="1" w:styleId="59">
    <w:name w:val="超级链接"/>
    <w:autoRedefine/>
    <w:qFormat/>
    <w:uiPriority w:val="99"/>
    <w:rPr>
      <w:rFonts w:ascii="Times New Roman" w:eastAsia="宋体"/>
      <w:color w:val="0000FF"/>
      <w:sz w:val="21"/>
      <w:u w:val="single" w:color="0000FF"/>
      <w:lang w:val="en-US" w:eastAsia="zh-CN"/>
    </w:rPr>
  </w:style>
  <w:style w:type="character" w:customStyle="1" w:styleId="60">
    <w:name w:val="param_td12"/>
    <w:autoRedefine/>
    <w:qFormat/>
    <w:uiPriority w:val="99"/>
  </w:style>
  <w:style w:type="character" w:customStyle="1" w:styleId="61">
    <w:name w:val="纯文本 Char"/>
    <w:autoRedefine/>
    <w:qFormat/>
    <w:locked/>
    <w:uiPriority w:val="99"/>
    <w:rPr>
      <w:rFonts w:ascii="宋体" w:hAnsi="Courier New" w:eastAsia="宋体"/>
      <w:kern w:val="2"/>
      <w:sz w:val="21"/>
      <w:lang w:val="en-US" w:eastAsia="zh-CN"/>
    </w:rPr>
  </w:style>
  <w:style w:type="character" w:customStyle="1" w:styleId="62">
    <w:name w:val="纯文本 Char Char"/>
    <w:autoRedefine/>
    <w:qFormat/>
    <w:uiPriority w:val="99"/>
    <w:rPr>
      <w:rFonts w:ascii="宋体" w:hAnsi="Courier New" w:eastAsia="宋体"/>
      <w:kern w:val="2"/>
      <w:sz w:val="21"/>
      <w:lang w:val="en-US" w:eastAsia="zh-CN"/>
    </w:rPr>
  </w:style>
  <w:style w:type="character" w:customStyle="1" w:styleId="63">
    <w:name w:val="Char Char4"/>
    <w:autoRedefine/>
    <w:qFormat/>
    <w:uiPriority w:val="99"/>
    <w:rPr>
      <w:rFonts w:ascii="宋体" w:eastAsia="宋体"/>
      <w:kern w:val="2"/>
      <w:sz w:val="28"/>
    </w:rPr>
  </w:style>
  <w:style w:type="character" w:customStyle="1" w:styleId="64">
    <w:name w:val="Plain Text Char1"/>
    <w:autoRedefine/>
    <w:semiHidden/>
    <w:qFormat/>
    <w:locked/>
    <w:uiPriority w:val="99"/>
    <w:rPr>
      <w:rFonts w:ascii="宋体" w:hAnsi="Courier New" w:cs="Courier New"/>
      <w:color w:val="000000"/>
      <w:kern w:val="0"/>
      <w:sz w:val="21"/>
      <w:szCs w:val="21"/>
      <w:u w:val="none" w:color="000000"/>
    </w:rPr>
  </w:style>
  <w:style w:type="character" w:customStyle="1" w:styleId="65">
    <w:name w:val="15"/>
    <w:basedOn w:val="24"/>
    <w:autoRedefine/>
    <w:qFormat/>
    <w:uiPriority w:val="0"/>
  </w:style>
  <w:style w:type="character" w:customStyle="1" w:styleId="66">
    <w:name w:val="样式 首行缩进:  0 字符 Char"/>
    <w:link w:val="67"/>
    <w:autoRedefine/>
    <w:qFormat/>
    <w:locked/>
    <w:uiPriority w:val="0"/>
    <w:rPr>
      <w:sz w:val="24"/>
    </w:rPr>
  </w:style>
  <w:style w:type="paragraph" w:customStyle="1" w:styleId="67">
    <w:name w:val="样式 首行缩进:  0 字符"/>
    <w:basedOn w:val="1"/>
    <w:link w:val="66"/>
    <w:autoRedefine/>
    <w:qFormat/>
    <w:uiPriority w:val="0"/>
    <w:pPr>
      <w:widowControl w:val="0"/>
      <w:spacing w:line="360" w:lineRule="auto"/>
      <w:ind w:firstLine="200" w:firstLineChars="200"/>
      <w:textAlignment w:val="auto"/>
    </w:pPr>
    <w:rPr>
      <w:color w:val="auto"/>
      <w:sz w:val="24"/>
    </w:rPr>
  </w:style>
  <w:style w:type="character" w:customStyle="1" w:styleId="68">
    <w:name w:val="正文文本 Char"/>
    <w:link w:val="6"/>
    <w:autoRedefine/>
    <w:semiHidden/>
    <w:qFormat/>
    <w:uiPriority w:val="99"/>
    <w:rPr>
      <w:color w:val="000000"/>
      <w:sz w:val="21"/>
      <w:u w:color="000000"/>
    </w:rPr>
  </w:style>
  <w:style w:type="character" w:customStyle="1" w:styleId="69">
    <w:name w:val="正文首行缩进 Char"/>
    <w:link w:val="20"/>
    <w:autoRedefine/>
    <w:semiHidden/>
    <w:qFormat/>
    <w:uiPriority w:val="99"/>
    <w:rPr>
      <w:color w:val="000000"/>
      <w:sz w:val="21"/>
      <w:u w:color="000000"/>
    </w:rPr>
  </w:style>
  <w:style w:type="paragraph" w:customStyle="1" w:styleId="70">
    <w:name w:val="正文文本 (2)"/>
    <w:basedOn w:val="1"/>
    <w:link w:val="74"/>
    <w:autoRedefine/>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71">
    <w:name w:val="正文文本 (2) + 斜体"/>
    <w:autoRedefine/>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72">
    <w:name w:val="页眉或页脚 + Calibri"/>
    <w:autoRedefine/>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73">
    <w:name w:val="页眉或页脚"/>
    <w:autoRedefine/>
    <w:qFormat/>
    <w:uiPriority w:val="0"/>
    <w:rPr>
      <w:rFonts w:ascii="MingLiU" w:hAnsi="MingLiU" w:eastAsia="MingLiU" w:cs="MingLiU"/>
      <w:color w:val="000000"/>
      <w:spacing w:val="0"/>
      <w:w w:val="100"/>
      <w:position w:val="0"/>
      <w:sz w:val="18"/>
      <w:szCs w:val="18"/>
      <w:u w:val="none"/>
      <w:lang w:val="zh-CN" w:eastAsia="zh-CN" w:bidi="zh-CN"/>
    </w:rPr>
  </w:style>
  <w:style w:type="character" w:customStyle="1" w:styleId="74">
    <w:name w:val="正文文本 (2)_"/>
    <w:link w:val="70"/>
    <w:autoRedefine/>
    <w:qFormat/>
    <w:uiPriority w:val="0"/>
    <w:rPr>
      <w:rFonts w:ascii="MingLiU" w:hAnsi="MingLiU" w:eastAsia="MingLiU" w:cs="MingLiU"/>
      <w:spacing w:val="30"/>
      <w:sz w:val="30"/>
      <w:szCs w:val="30"/>
      <w:u w:color="000000"/>
      <w:shd w:val="clear" w:color="auto" w:fill="FFFFFF"/>
    </w:rPr>
  </w:style>
  <w:style w:type="paragraph" w:customStyle="1" w:styleId="75">
    <w:name w:val="默认段落字体 Para Char"/>
    <w:basedOn w:val="1"/>
    <w:autoRedefine/>
    <w:qFormat/>
    <w:uiPriority w:val="0"/>
    <w:pPr>
      <w:widowControl w:val="0"/>
      <w:spacing w:line="240" w:lineRule="auto"/>
      <w:textAlignment w:val="auto"/>
    </w:pPr>
    <w:rPr>
      <w:rFonts w:ascii="Calibri" w:hAnsi="Calibri"/>
      <w:color w:val="auto"/>
      <w:kern w:val="2"/>
    </w:rPr>
  </w:style>
  <w:style w:type="character" w:customStyle="1" w:styleId="76">
    <w:name w:val="正文首行缩进 2 Char"/>
    <w:link w:val="21"/>
    <w:autoRedefine/>
    <w:semiHidden/>
    <w:qFormat/>
    <w:uiPriority w:val="99"/>
    <w:rPr>
      <w:rFonts w:cs="Times New Roman"/>
      <w:color w:val="000000"/>
      <w:kern w:val="0"/>
      <w:sz w:val="21"/>
      <w:u w:val="none" w:color="000000"/>
    </w:rPr>
  </w:style>
  <w:style w:type="paragraph" w:customStyle="1" w:styleId="77">
    <w:name w:val="Table Text"/>
    <w:basedOn w:val="1"/>
    <w:semiHidden/>
    <w:qFormat/>
    <w:uiPriority w:val="0"/>
    <w:rPr>
      <w:rFonts w:ascii="宋体" w:hAnsi="宋体" w:cs="宋体"/>
      <w:szCs w:val="21"/>
      <w:lang w:eastAsia="en-US"/>
    </w:rPr>
  </w:style>
  <w:style w:type="table" w:customStyle="1" w:styleId="78">
    <w:name w:val="Table Normal"/>
    <w:semiHidden/>
    <w:unhideWhenUsed/>
    <w:qFormat/>
    <w:uiPriority w:val="0"/>
    <w:tblPr>
      <w:tblCellMar>
        <w:top w:w="0" w:type="dxa"/>
        <w:left w:w="0" w:type="dxa"/>
        <w:bottom w:w="0" w:type="dxa"/>
        <w:right w:w="0" w:type="dxa"/>
      </w:tblCellMar>
    </w:tblPr>
  </w:style>
  <w:style w:type="paragraph" w:customStyle="1" w:styleId="79">
    <w:name w:val="Table Paragraph"/>
    <w:basedOn w:val="1"/>
    <w:qFormat/>
    <w:uiPriority w:val="1"/>
    <w:pPr>
      <w:widowControl w:val="0"/>
      <w:kinsoku w:val="0"/>
      <w:autoSpaceDE w:val="0"/>
      <w:autoSpaceDN w:val="0"/>
      <w:adjustRightInd w:val="0"/>
      <w:snapToGrid w:val="0"/>
      <w:jc w:val="left"/>
    </w:pPr>
    <w:rPr>
      <w:rFonts w:ascii="宋体" w:hAnsi="宋体" w:eastAsia="Arial" w:cs="宋体"/>
      <w:snapToGrid w:val="0"/>
      <w:color w:val="auto"/>
      <w:sz w:val="22"/>
      <w:szCs w:val="22"/>
      <w:lang w:val="zh-CN" w:eastAsia="en-US" w:bidi="zh-CN"/>
    </w:rPr>
  </w:style>
  <w:style w:type="table" w:customStyle="1" w:styleId="80">
    <w:name w:val="Table Normal_0"/>
    <w:semiHidden/>
    <w:unhideWhenUsed/>
    <w:qFormat/>
    <w:uiPriority w:val="0"/>
    <w:rPr>
      <w:lang w:eastAsia="en-US"/>
    </w:rPr>
    <w:tblPr>
      <w:tblCellMar>
        <w:top w:w="0" w:type="dxa"/>
        <w:left w:w="0" w:type="dxa"/>
        <w:bottom w:w="0" w:type="dxa"/>
        <w:right w:w="0" w:type="dxa"/>
      </w:tblCellMar>
    </w:tblPr>
  </w:style>
  <w:style w:type="character" w:customStyle="1" w:styleId="81">
    <w:name w:val="font31"/>
    <w:basedOn w:val="24"/>
    <w:qFormat/>
    <w:uiPriority w:val="0"/>
    <w:rPr>
      <w:rFonts w:hint="eastAsia" w:ascii="仿宋" w:hAnsi="仿宋" w:eastAsia="仿宋" w:cs="仿宋"/>
      <w:color w:val="000000"/>
      <w:sz w:val="20"/>
      <w:szCs w:val="20"/>
      <w:u w:val="none"/>
    </w:rPr>
  </w:style>
  <w:style w:type="character" w:customStyle="1" w:styleId="82">
    <w:name w:val="NormalCharacter"/>
    <w:link w:val="83"/>
    <w:qFormat/>
    <w:uiPriority w:val="0"/>
  </w:style>
  <w:style w:type="paragraph" w:customStyle="1" w:styleId="83">
    <w:name w:val="UserStyle_0"/>
    <w:basedOn w:val="1"/>
    <w:link w:val="8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30867</Words>
  <Characters>32408</Characters>
  <Lines>294</Lines>
  <Paragraphs>82</Paragraphs>
  <TotalTime>134</TotalTime>
  <ScaleCrop>false</ScaleCrop>
  <LinksUpToDate>false</LinksUpToDate>
  <CharactersWithSpaces>33229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2023-08-16T02:06:00Z</dcterms:created>
  <dc:creator>ZM</dc:creator>
  <cp:lastModifiedBy>安阳北关分公司宋慧芳</cp:lastModifiedBy>
  <cp:lastPrinted>2025-12-09T09:41:00Z</cp:lastPrinted>
  <dcterms:modified xsi:type="dcterms:W3CDTF">2025-12-17T07:28:51Z</dcterms:modified>
  <dc:title>内黄县第一高级中学所需多媒体教室设备项目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47FA7FB816E84C768FF095D09519D279_13</vt:lpwstr>
  </property>
  <property fmtid="{D5CDD505-2E9C-101B-9397-08002B2CF9AE}" pid="3" name="KSOProductBuildVer">
    <vt:lpwstr>2052-12.1.0.19770</vt:lpwstr>
  </property>
  <property fmtid="{D5CDD505-2E9C-101B-9397-08002B2CF9AE}" pid="4" name="KSOTemplateDocerSaveRecord">
    <vt:lpwstr>eyJoZGlkIjoiYTQyYzdmNjMwMzM5OTdiYzE0MjU1YWYxZTc4NmVkNmIiLCJ1c2VySWQiOiIxMTQzNTUwNjI4In0=</vt:lpwstr>
  </property>
</Properties>
</file>